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84D" w:rsidRPr="00E723C2" w:rsidRDefault="008E6ECC" w:rsidP="00E2523F">
      <w:pPr>
        <w:pStyle w:val="Titre1"/>
        <w:rPr>
          <w:lang w:val="en-US"/>
        </w:rPr>
      </w:pPr>
      <w:r w:rsidRPr="00E723C2">
        <w:rPr>
          <w:lang w:val="en-US"/>
        </w:rPr>
        <w:t>Liquidity and Risk Sharing Benefits</w:t>
      </w:r>
      <w:r w:rsidRPr="00E723C2">
        <w:rPr>
          <w:lang w:val="en-US"/>
        </w:rPr>
        <w:br/>
        <w:t>from the Introduction of an ETF</w:t>
      </w:r>
    </w:p>
    <w:p w:rsidR="006910C5" w:rsidRPr="00E62C32" w:rsidRDefault="00B37B4B" w:rsidP="00E2523F">
      <w:pPr>
        <w:spacing w:before="1440"/>
        <w:jc w:val="center"/>
        <w:rPr>
          <w:sz w:val="28"/>
          <w:szCs w:val="28"/>
          <w:lang w:val="en-US"/>
        </w:rPr>
      </w:pPr>
      <w:r w:rsidRPr="00E62C32">
        <w:rPr>
          <w:sz w:val="28"/>
          <w:szCs w:val="28"/>
          <w:lang w:val="en-US"/>
        </w:rPr>
        <w:t xml:space="preserve">Rudy De </w:t>
      </w:r>
      <w:proofErr w:type="spellStart"/>
      <w:r w:rsidRPr="00E62C32">
        <w:rPr>
          <w:sz w:val="28"/>
          <w:szCs w:val="28"/>
          <w:lang w:val="en-US"/>
        </w:rPr>
        <w:t>Winne</w:t>
      </w:r>
      <w:r w:rsidRPr="00E62C32">
        <w:rPr>
          <w:sz w:val="28"/>
          <w:szCs w:val="28"/>
          <w:vertAlign w:val="superscript"/>
          <w:lang w:val="en-US"/>
        </w:rPr>
        <w:t>a</w:t>
      </w:r>
      <w:proofErr w:type="spellEnd"/>
      <w:r w:rsidRPr="00E62C32">
        <w:rPr>
          <w:sz w:val="28"/>
          <w:szCs w:val="28"/>
          <w:lang w:val="en-US"/>
        </w:rPr>
        <w:t xml:space="preserve">, Carole </w:t>
      </w:r>
      <w:proofErr w:type="spellStart"/>
      <w:r w:rsidRPr="00E62C32">
        <w:rPr>
          <w:sz w:val="28"/>
          <w:szCs w:val="28"/>
          <w:lang w:val="en-US"/>
        </w:rPr>
        <w:t>Gresse</w:t>
      </w:r>
      <w:r w:rsidRPr="00E62C32">
        <w:rPr>
          <w:sz w:val="28"/>
          <w:szCs w:val="28"/>
          <w:vertAlign w:val="superscript"/>
          <w:lang w:val="en-US"/>
        </w:rPr>
        <w:t>b</w:t>
      </w:r>
      <w:proofErr w:type="spellEnd"/>
      <w:r w:rsidRPr="00E62C32">
        <w:rPr>
          <w:sz w:val="28"/>
          <w:szCs w:val="28"/>
          <w:lang w:val="en-US"/>
        </w:rPr>
        <w:t xml:space="preserve">, and Isabelle </w:t>
      </w:r>
      <w:proofErr w:type="spellStart"/>
      <w:r w:rsidRPr="00E62C32">
        <w:rPr>
          <w:sz w:val="28"/>
          <w:szCs w:val="28"/>
          <w:lang w:val="en-US"/>
        </w:rPr>
        <w:t>Platten</w:t>
      </w:r>
      <w:r w:rsidRPr="00E62C32">
        <w:rPr>
          <w:sz w:val="28"/>
          <w:szCs w:val="28"/>
          <w:vertAlign w:val="superscript"/>
          <w:lang w:val="en-US"/>
        </w:rPr>
        <w:t>a</w:t>
      </w:r>
      <w:proofErr w:type="spellEnd"/>
    </w:p>
    <w:p w:rsidR="00FE5D7B" w:rsidRPr="003F1C25" w:rsidRDefault="00B37B4B">
      <w:pPr>
        <w:spacing w:line="240" w:lineRule="auto"/>
        <w:jc w:val="center"/>
        <w:rPr>
          <w:lang w:val="fr-FR"/>
        </w:rPr>
      </w:pPr>
      <w:r w:rsidRPr="003F1C25">
        <w:rPr>
          <w:vertAlign w:val="superscript"/>
          <w:lang w:val="fr-FR"/>
        </w:rPr>
        <w:t>a</w:t>
      </w:r>
      <w:r w:rsidRPr="003F1C25">
        <w:rPr>
          <w:lang w:val="fr-FR"/>
        </w:rPr>
        <w:t xml:space="preserve"> </w:t>
      </w:r>
      <w:r w:rsidR="00F85DBE">
        <w:rPr>
          <w:i/>
          <w:lang w:val="fr-FR"/>
        </w:rPr>
        <w:t>U</w:t>
      </w:r>
      <w:r w:rsidR="00EB0A31">
        <w:rPr>
          <w:i/>
          <w:lang w:val="fr-FR"/>
        </w:rPr>
        <w:t>niversité catholique de Louvain</w:t>
      </w:r>
      <w:r w:rsidR="003F1C25" w:rsidRPr="003F1C25">
        <w:rPr>
          <w:lang w:val="fr-FR"/>
        </w:rPr>
        <w:t xml:space="preserve">, </w:t>
      </w:r>
      <w:r w:rsidRPr="003F1C25">
        <w:rPr>
          <w:i/>
          <w:lang w:val="fr-FR"/>
        </w:rPr>
        <w:t xml:space="preserve">Louvain </w:t>
      </w:r>
      <w:proofErr w:type="spellStart"/>
      <w:r w:rsidRPr="003F1C25">
        <w:rPr>
          <w:i/>
          <w:lang w:val="fr-FR"/>
        </w:rPr>
        <w:t>School</w:t>
      </w:r>
      <w:proofErr w:type="spellEnd"/>
      <w:r w:rsidRPr="003F1C25">
        <w:rPr>
          <w:i/>
          <w:lang w:val="fr-FR"/>
        </w:rPr>
        <w:t xml:space="preserve"> of Management</w:t>
      </w:r>
      <w:proofErr w:type="gramStart"/>
      <w:r w:rsidRPr="003F1C25">
        <w:rPr>
          <w:i/>
          <w:lang w:val="fr-FR"/>
        </w:rPr>
        <w:t>,</w:t>
      </w:r>
      <w:proofErr w:type="gramEnd"/>
      <w:r w:rsidRPr="003F1C25">
        <w:rPr>
          <w:i/>
          <w:lang w:val="fr-FR"/>
        </w:rPr>
        <w:br/>
        <w:t xml:space="preserve">151, Chaussée de Binche, 7000 Mons, </w:t>
      </w:r>
      <w:proofErr w:type="spellStart"/>
      <w:r w:rsidRPr="003F1C25">
        <w:rPr>
          <w:i/>
          <w:lang w:val="fr-FR"/>
        </w:rPr>
        <w:t>Belgium</w:t>
      </w:r>
      <w:proofErr w:type="spellEnd"/>
    </w:p>
    <w:p w:rsidR="00FE5D7B" w:rsidRPr="003F1C25" w:rsidRDefault="00C36EF8">
      <w:pPr>
        <w:spacing w:line="240" w:lineRule="auto"/>
        <w:jc w:val="center"/>
        <w:rPr>
          <w:lang w:val="fr-FR"/>
        </w:rPr>
      </w:pPr>
      <w:proofErr w:type="gramStart"/>
      <w:r w:rsidRPr="003F1C25">
        <w:rPr>
          <w:vertAlign w:val="superscript"/>
          <w:lang w:val="fr-FR"/>
        </w:rPr>
        <w:t>b</w:t>
      </w:r>
      <w:proofErr w:type="gramEnd"/>
      <w:r w:rsidRPr="003F1C25">
        <w:rPr>
          <w:lang w:val="fr-FR"/>
        </w:rPr>
        <w:t xml:space="preserve"> </w:t>
      </w:r>
      <w:proofErr w:type="spellStart"/>
      <w:r w:rsidRPr="003F1C25">
        <w:rPr>
          <w:lang w:val="fr-FR"/>
        </w:rPr>
        <w:t>Corresponding</w:t>
      </w:r>
      <w:proofErr w:type="spellEnd"/>
      <w:r w:rsidRPr="003F1C25">
        <w:rPr>
          <w:lang w:val="fr-FR"/>
        </w:rPr>
        <w:t xml:space="preserve"> </w:t>
      </w:r>
      <w:proofErr w:type="spellStart"/>
      <w:r w:rsidRPr="003F1C25">
        <w:rPr>
          <w:lang w:val="fr-FR"/>
        </w:rPr>
        <w:t>author</w:t>
      </w:r>
      <w:proofErr w:type="spellEnd"/>
      <w:r w:rsidRPr="003F1C25">
        <w:rPr>
          <w:lang w:val="fr-FR"/>
        </w:rPr>
        <w:t xml:space="preserve"> - </w:t>
      </w:r>
      <w:r w:rsidRPr="003F1C25">
        <w:rPr>
          <w:i/>
          <w:lang w:val="fr-FR"/>
        </w:rPr>
        <w:t>Université Paris-Dauphine, DRM</w:t>
      </w:r>
      <w:r w:rsidRPr="003F1C25">
        <w:rPr>
          <w:i/>
          <w:lang w:val="fr-FR"/>
        </w:rPr>
        <w:br/>
        <w:t xml:space="preserve">Pl. du Ml de Lattre de Tassigny, 75775 Paris cedex 16, France – </w:t>
      </w:r>
      <w:hyperlink r:id="rId10" w:history="1">
        <w:r w:rsidRPr="003F1C25">
          <w:rPr>
            <w:rStyle w:val="Lienhypertexte"/>
            <w:i/>
            <w:lang w:val="fr-FR"/>
          </w:rPr>
          <w:t>carole.gresse@dauphine.fr</w:t>
        </w:r>
      </w:hyperlink>
      <w:r w:rsidRPr="003F1C25">
        <w:rPr>
          <w:i/>
          <w:lang w:val="fr-FR"/>
        </w:rPr>
        <w:t xml:space="preserve"> </w:t>
      </w:r>
      <w:r w:rsidR="00EF7100" w:rsidRPr="003F1C25">
        <w:rPr>
          <w:i/>
          <w:lang w:val="fr-FR"/>
        </w:rPr>
        <w:t>Tel</w:t>
      </w:r>
      <w:r w:rsidRPr="003F1C25">
        <w:rPr>
          <w:i/>
          <w:lang w:val="fr-FR"/>
        </w:rPr>
        <w:t> : +33(0)1 41 16 71 1</w:t>
      </w:r>
      <w:r w:rsidR="003F1C25">
        <w:rPr>
          <w:i/>
          <w:lang w:val="fr-FR"/>
        </w:rPr>
        <w:t>5</w:t>
      </w:r>
      <w:r w:rsidRPr="003F1C25">
        <w:rPr>
          <w:i/>
          <w:lang w:val="fr-FR"/>
        </w:rPr>
        <w:t xml:space="preserve"> – Fax : +33 (0)1 41 16 76 35</w:t>
      </w:r>
    </w:p>
    <w:p w:rsidR="00FE5D7B" w:rsidRPr="004E51C2" w:rsidRDefault="00F25FCF">
      <w:pPr>
        <w:spacing w:before="720"/>
        <w:jc w:val="center"/>
        <w:rPr>
          <w:lang w:val="en-US"/>
        </w:rPr>
      </w:pPr>
      <w:r>
        <w:rPr>
          <w:lang w:val="en-US"/>
        </w:rPr>
        <w:t>April</w:t>
      </w:r>
      <w:r w:rsidRPr="004E51C2">
        <w:rPr>
          <w:lang w:val="en-US"/>
        </w:rPr>
        <w:t xml:space="preserve"> </w:t>
      </w:r>
      <w:r w:rsidR="003D3304" w:rsidRPr="004E51C2">
        <w:rPr>
          <w:lang w:val="en-US"/>
        </w:rPr>
        <w:t>2012</w:t>
      </w:r>
    </w:p>
    <w:p w:rsidR="00FE5D7B" w:rsidRPr="004E51C2" w:rsidRDefault="00C0615A">
      <w:pPr>
        <w:spacing w:before="1440"/>
        <w:ind w:firstLine="0"/>
        <w:rPr>
          <w:lang w:val="en-US"/>
        </w:rPr>
      </w:pPr>
      <w:r w:rsidRPr="004E51C2">
        <w:rPr>
          <w:i/>
          <w:lang w:val="en-US"/>
        </w:rPr>
        <w:t>JEL classification</w:t>
      </w:r>
      <w:r w:rsidRPr="004E51C2">
        <w:rPr>
          <w:lang w:val="en-US"/>
        </w:rPr>
        <w:t>: G11; G12; G14</w:t>
      </w:r>
    </w:p>
    <w:p w:rsidR="00FE5D7B" w:rsidRPr="00E62C32" w:rsidRDefault="00C0615A">
      <w:pPr>
        <w:ind w:firstLine="0"/>
        <w:rPr>
          <w:lang w:val="en-US"/>
        </w:rPr>
      </w:pPr>
      <w:r w:rsidRPr="00C0615A">
        <w:rPr>
          <w:i/>
          <w:lang w:val="en-US"/>
        </w:rPr>
        <w:t>Keywords</w:t>
      </w:r>
      <w:r w:rsidRPr="00C0615A">
        <w:rPr>
          <w:lang w:val="en-US"/>
        </w:rPr>
        <w:t>: Exchange-</w:t>
      </w:r>
      <w:r w:rsidR="003F1C25">
        <w:rPr>
          <w:lang w:val="en-US"/>
        </w:rPr>
        <w:t>t</w:t>
      </w:r>
      <w:r w:rsidRPr="00C0615A">
        <w:rPr>
          <w:lang w:val="en-US"/>
        </w:rPr>
        <w:t xml:space="preserve">raded </w:t>
      </w:r>
      <w:r w:rsidR="003F1C25">
        <w:rPr>
          <w:lang w:val="en-US"/>
        </w:rPr>
        <w:t>f</w:t>
      </w:r>
      <w:r w:rsidRPr="00C0615A">
        <w:rPr>
          <w:lang w:val="en-US"/>
        </w:rPr>
        <w:t>und (ETF), index trading, transaction costs, liquidity</w:t>
      </w:r>
      <w:r w:rsidR="003F1C25">
        <w:rPr>
          <w:lang w:val="en-US"/>
        </w:rPr>
        <w:t>, risk sharing</w:t>
      </w:r>
    </w:p>
    <w:p w:rsidR="00FE5D7B" w:rsidRPr="00E62C32" w:rsidRDefault="00C0615A">
      <w:pPr>
        <w:pStyle w:val="Titre1"/>
        <w:rPr>
          <w:lang w:val="en-US"/>
        </w:rPr>
      </w:pPr>
      <w:r w:rsidRPr="00C0615A">
        <w:rPr>
          <w:lang w:val="en-US"/>
        </w:rPr>
        <w:br w:type="page"/>
      </w:r>
      <w:r w:rsidRPr="00C0615A">
        <w:rPr>
          <w:lang w:val="en-US"/>
        </w:rPr>
        <w:lastRenderedPageBreak/>
        <w:t>Liquidity and Risk Sharing Benefits</w:t>
      </w:r>
      <w:r w:rsidRPr="00C0615A">
        <w:rPr>
          <w:lang w:val="en-US"/>
        </w:rPr>
        <w:br/>
        <w:t>from the Introduction of an ETF</w:t>
      </w:r>
    </w:p>
    <w:p w:rsidR="00FE5D7B" w:rsidRPr="00E62C32" w:rsidRDefault="00C0615A">
      <w:pPr>
        <w:spacing w:before="2400"/>
        <w:ind w:firstLine="0"/>
        <w:jc w:val="center"/>
        <w:rPr>
          <w:lang w:val="en-US"/>
        </w:rPr>
      </w:pPr>
      <w:r w:rsidRPr="00C0615A">
        <w:rPr>
          <w:b/>
          <w:lang w:val="en-US"/>
        </w:rPr>
        <w:t>Abstract</w:t>
      </w:r>
    </w:p>
    <w:p w:rsidR="00FE5D7B" w:rsidRPr="00E62C32" w:rsidRDefault="00C0615A">
      <w:pPr>
        <w:rPr>
          <w:lang w:val="en-US"/>
        </w:rPr>
      </w:pPr>
      <w:r w:rsidRPr="00C0615A">
        <w:rPr>
          <w:lang w:val="en-US"/>
        </w:rPr>
        <w:t xml:space="preserve">This article examines how the introduction of an ETF replicating a stock index impacts </w:t>
      </w:r>
      <w:r w:rsidR="00E62C32">
        <w:rPr>
          <w:lang w:val="en-US"/>
        </w:rPr>
        <w:t xml:space="preserve">on </w:t>
      </w:r>
      <w:r w:rsidRPr="00C0615A">
        <w:rPr>
          <w:lang w:val="en-US"/>
        </w:rPr>
        <w:t xml:space="preserve">the liquidity of the underlying stocks.  </w:t>
      </w:r>
      <w:r w:rsidR="00C36EF8" w:rsidRPr="00C36EF8">
        <w:rPr>
          <w:lang w:val="en-US"/>
        </w:rPr>
        <w:t xml:space="preserve">We find that </w:t>
      </w:r>
      <w:r w:rsidRPr="00C0615A">
        <w:rPr>
          <w:lang w:val="en-US"/>
        </w:rPr>
        <w:t>index stock spreads decline</w:t>
      </w:r>
      <w:r w:rsidR="00E62C32">
        <w:rPr>
          <w:lang w:val="en-US"/>
        </w:rPr>
        <w:t xml:space="preserve">, </w:t>
      </w:r>
      <w:r w:rsidR="00E62C32" w:rsidRPr="00E62C32">
        <w:rPr>
          <w:lang w:val="en-US"/>
        </w:rPr>
        <w:t>relative to those of non index stocks</w:t>
      </w:r>
      <w:r w:rsidR="00E62C32">
        <w:rPr>
          <w:lang w:val="en-US"/>
        </w:rPr>
        <w:t>,</w:t>
      </w:r>
      <w:r w:rsidRPr="00C0615A">
        <w:rPr>
          <w:lang w:val="en-US"/>
        </w:rPr>
        <w:t xml:space="preserve"> after the </w:t>
      </w:r>
      <w:r w:rsidR="00E62C32">
        <w:rPr>
          <w:lang w:val="en-US"/>
        </w:rPr>
        <w:t xml:space="preserve">introduction of the </w:t>
      </w:r>
      <w:r w:rsidRPr="00C0615A">
        <w:rPr>
          <w:lang w:val="en-US"/>
        </w:rPr>
        <w:t xml:space="preserve">ETF.  Changes in adverse selection do not appear to be </w:t>
      </w:r>
      <w:r w:rsidR="00E62C32">
        <w:rPr>
          <w:lang w:val="en-US"/>
        </w:rPr>
        <w:t xml:space="preserve">a </w:t>
      </w:r>
      <w:r w:rsidRPr="00C0615A">
        <w:rPr>
          <w:lang w:val="en-US"/>
        </w:rPr>
        <w:t xml:space="preserve">major factor explaining this liquidity improvement.  We also fail to relate it to recognition effects.  By contrast, we </w:t>
      </w:r>
      <w:r w:rsidR="00E62C32">
        <w:rPr>
          <w:lang w:val="en-US"/>
        </w:rPr>
        <w:t xml:space="preserve">think that it can </w:t>
      </w:r>
      <w:r w:rsidRPr="00C0615A">
        <w:rPr>
          <w:lang w:val="en-US"/>
        </w:rPr>
        <w:t xml:space="preserve">mainly </w:t>
      </w:r>
      <w:r w:rsidR="00E62C32">
        <w:rPr>
          <w:lang w:val="en-US"/>
        </w:rPr>
        <w:t>be explained by</w:t>
      </w:r>
      <w:r w:rsidR="00C36EF8" w:rsidRPr="00C36EF8">
        <w:rPr>
          <w:lang w:val="en-US"/>
        </w:rPr>
        <w:t xml:space="preserve"> a decrease in order processing and order imbalance costs.  </w:t>
      </w:r>
      <w:r w:rsidRPr="00C0615A">
        <w:rPr>
          <w:lang w:val="en-US"/>
        </w:rPr>
        <w:t xml:space="preserve">This is consistent with the arbitrage theory of </w:t>
      </w:r>
      <w:proofErr w:type="spellStart"/>
      <w:r w:rsidRPr="00C0615A">
        <w:rPr>
          <w:lang w:val="en-US"/>
        </w:rPr>
        <w:t>Fremault</w:t>
      </w:r>
      <w:proofErr w:type="spellEnd"/>
      <w:r w:rsidRPr="00C0615A">
        <w:rPr>
          <w:lang w:val="en-US"/>
        </w:rPr>
        <w:t xml:space="preserve"> (1991) according to which increased cross-market trading provides additional risk</w:t>
      </w:r>
      <w:r w:rsidR="003F1C25">
        <w:rPr>
          <w:lang w:val="en-US"/>
        </w:rPr>
        <w:t xml:space="preserve"> </w:t>
      </w:r>
      <w:r w:rsidRPr="00C0615A">
        <w:rPr>
          <w:lang w:val="en-US"/>
        </w:rPr>
        <w:t>sharing capacity.</w:t>
      </w:r>
    </w:p>
    <w:p w:rsidR="00FE5D7B" w:rsidRPr="00E62C32" w:rsidRDefault="00FE5D7B">
      <w:pPr>
        <w:rPr>
          <w:lang w:val="en-US"/>
        </w:rPr>
      </w:pPr>
    </w:p>
    <w:p w:rsidR="00FE5D7B" w:rsidRPr="00E62C32" w:rsidRDefault="00FE5D7B" w:rsidP="00E2523F">
      <w:pPr>
        <w:pStyle w:val="Titre2"/>
        <w:rPr>
          <w:lang w:val="en-US"/>
        </w:rPr>
        <w:sectPr w:rsidR="00FE5D7B" w:rsidRPr="00E62C32" w:rsidSect="00165EDA">
          <w:footerReference w:type="even" r:id="rId11"/>
          <w:footerReference w:type="default" r:id="rId12"/>
          <w:pgSz w:w="11906" w:h="16838"/>
          <w:pgMar w:top="1417" w:right="1417" w:bottom="1417" w:left="1417" w:header="708" w:footer="708" w:gutter="0"/>
          <w:cols w:space="708"/>
          <w:titlePg/>
          <w:docGrid w:linePitch="360"/>
        </w:sectPr>
      </w:pPr>
    </w:p>
    <w:p w:rsidR="00FE5D7B" w:rsidRDefault="00C0615A">
      <w:pPr>
        <w:pStyle w:val="Titre2"/>
        <w:rPr>
          <w:lang w:val="en-US"/>
        </w:rPr>
      </w:pPr>
      <w:r w:rsidRPr="00C0615A">
        <w:rPr>
          <w:lang w:val="en-US"/>
        </w:rPr>
        <w:lastRenderedPageBreak/>
        <w:t>1.</w:t>
      </w:r>
      <w:r w:rsidRPr="00C0615A">
        <w:rPr>
          <w:lang w:val="en-US"/>
        </w:rPr>
        <w:tab/>
        <w:t>Introduction</w:t>
      </w:r>
    </w:p>
    <w:p w:rsidR="00FE5D7B" w:rsidRDefault="00C0615A">
      <w:pPr>
        <w:rPr>
          <w:lang w:val="en-US"/>
        </w:rPr>
      </w:pPr>
      <w:r w:rsidRPr="00C0615A">
        <w:rPr>
          <w:lang w:val="en-US"/>
        </w:rPr>
        <w:t>Exchange-</w:t>
      </w:r>
      <w:r w:rsidR="00F143FE">
        <w:rPr>
          <w:lang w:val="en-US"/>
        </w:rPr>
        <w:t>t</w:t>
      </w:r>
      <w:r w:rsidRPr="00C0615A">
        <w:rPr>
          <w:lang w:val="en-US"/>
        </w:rPr>
        <w:t xml:space="preserve">raded </w:t>
      </w:r>
      <w:r w:rsidR="00F143FE">
        <w:rPr>
          <w:lang w:val="en-US"/>
        </w:rPr>
        <w:t>f</w:t>
      </w:r>
      <w:r w:rsidRPr="00C0615A">
        <w:rPr>
          <w:lang w:val="en-US"/>
        </w:rPr>
        <w:t xml:space="preserve">unds (ETFs) are widely acknowledged to be one of the most useful </w:t>
      </w:r>
      <w:r w:rsidR="00F143FE">
        <w:rPr>
          <w:lang w:val="en-US"/>
        </w:rPr>
        <w:t xml:space="preserve">financial </w:t>
      </w:r>
      <w:r w:rsidRPr="00C0615A">
        <w:rPr>
          <w:lang w:val="en-US"/>
        </w:rPr>
        <w:t>innovations of the past few decades, especially for index traders.  They are essentially exchange-traded assets that represent a basket of securities comprising a particular index.  ETFs allow investors to take positions in a given market without selecting individual securities, and provide them with an opportunity to trade indices</w:t>
      </w:r>
      <w:r w:rsidR="00AA0003">
        <w:rPr>
          <w:lang w:val="en-US"/>
        </w:rPr>
        <w:t xml:space="preserve"> </w:t>
      </w:r>
      <w:r w:rsidR="00AA0003" w:rsidRPr="00E723C2">
        <w:rPr>
          <w:lang w:val="en-US"/>
        </w:rPr>
        <w:t>easily</w:t>
      </w:r>
      <w:r w:rsidRPr="00C0615A">
        <w:rPr>
          <w:lang w:val="en-US"/>
        </w:rPr>
        <w:t>, in small amounts, and at very low costs.</w:t>
      </w:r>
      <w:r w:rsidR="00C36EF8" w:rsidRPr="00C36EF8">
        <w:rPr>
          <w:lang w:val="en-US"/>
        </w:rPr>
        <w:t xml:space="preserve">  They are thus generally not considered as redundant assets, but rather as new financial instruments that complete markets in an economic sense.  They are particularly well suited for passive investors, and combine the advantages of closed-end and open-end mutual funds with much lower expense fees.  On the one hand, as </w:t>
      </w:r>
      <w:r w:rsidRPr="00C0615A">
        <w:rPr>
          <w:lang w:val="en-US"/>
        </w:rPr>
        <w:t>close</w:t>
      </w:r>
      <w:r w:rsidR="00AA0003">
        <w:rPr>
          <w:lang w:val="en-US"/>
        </w:rPr>
        <w:t>d</w:t>
      </w:r>
      <w:r w:rsidR="00C36EF8" w:rsidRPr="00C36EF8">
        <w:rPr>
          <w:lang w:val="en-US"/>
        </w:rPr>
        <w:t>-end funds, ETFs can be traded throughout the day in the secondary market.  On the other hand, they can be considered as open-end mutual funds, as the creation and redemption of ETF shares are allowed.</w:t>
      </w:r>
    </w:p>
    <w:p w:rsidR="00FE5D7B" w:rsidRDefault="00C36EF8">
      <w:pPr>
        <w:rPr>
          <w:lang w:val="en-US"/>
        </w:rPr>
      </w:pPr>
      <w:r w:rsidRPr="00C36EF8">
        <w:rPr>
          <w:lang w:val="en-US"/>
        </w:rPr>
        <w:t xml:space="preserve">As a result of these attractive features, ETFs are now very popular investment vehicles.  A </w:t>
      </w:r>
      <w:proofErr w:type="spellStart"/>
      <w:r w:rsidRPr="00C36EF8">
        <w:rPr>
          <w:lang w:val="en-US"/>
        </w:rPr>
        <w:t>BlackRock</w:t>
      </w:r>
      <w:proofErr w:type="spellEnd"/>
      <w:r w:rsidRPr="00C36EF8">
        <w:rPr>
          <w:lang w:val="en-US"/>
        </w:rPr>
        <w:t xml:space="preserve"> report</w:t>
      </w:r>
      <w:r w:rsidRPr="00C36EF8">
        <w:rPr>
          <w:rStyle w:val="Appelnotedebasdep"/>
          <w:lang w:val="en-US"/>
        </w:rPr>
        <w:footnoteReference w:id="1"/>
      </w:r>
      <w:r w:rsidRPr="00C36EF8">
        <w:rPr>
          <w:lang w:val="en-US"/>
        </w:rPr>
        <w:t xml:space="preserve"> found that the number of ETFs available worldwide at </w:t>
      </w:r>
      <w:r w:rsidR="00AA0003">
        <w:rPr>
          <w:lang w:val="en-US"/>
        </w:rPr>
        <w:t>the</w:t>
      </w:r>
      <w:r w:rsidRPr="00C36EF8">
        <w:rPr>
          <w:lang w:val="en-US"/>
        </w:rPr>
        <w:t xml:space="preserve"> end </w:t>
      </w:r>
      <w:r w:rsidR="00AA0003">
        <w:rPr>
          <w:lang w:val="en-US"/>
        </w:rPr>
        <w:t xml:space="preserve">of </w:t>
      </w:r>
      <w:r w:rsidRPr="00C36EF8">
        <w:rPr>
          <w:lang w:val="en-US"/>
        </w:rPr>
        <w:t xml:space="preserve">2010 was 2,459 ETFs, </w:t>
      </w:r>
      <w:r w:rsidR="00C0615A" w:rsidRPr="00C0615A">
        <w:rPr>
          <w:lang w:val="en-US"/>
        </w:rPr>
        <w:t xml:space="preserve">totaling </w:t>
      </w:r>
      <w:r w:rsidRPr="00C36EF8">
        <w:rPr>
          <w:lang w:val="en-US"/>
        </w:rPr>
        <w:t>assets under management</w:t>
      </w:r>
      <w:r w:rsidR="00C0615A" w:rsidRPr="00C0615A">
        <w:rPr>
          <w:lang w:val="en-US"/>
        </w:rPr>
        <w:t xml:space="preserve"> </w:t>
      </w:r>
      <w:r w:rsidR="00AA0003">
        <w:rPr>
          <w:lang w:val="en-US"/>
        </w:rPr>
        <w:t xml:space="preserve">of </w:t>
      </w:r>
      <w:r w:rsidR="00C0615A" w:rsidRPr="00C0615A">
        <w:rPr>
          <w:lang w:val="en-US"/>
        </w:rPr>
        <w:t>US</w:t>
      </w:r>
      <w:r w:rsidR="00E2523F">
        <w:rPr>
          <w:lang w:val="en-US"/>
        </w:rPr>
        <w:t xml:space="preserve"> </w:t>
      </w:r>
      <w:r w:rsidR="00C0615A" w:rsidRPr="00C0615A">
        <w:rPr>
          <w:lang w:val="en-US"/>
        </w:rPr>
        <w:t>$ 1,311 billion,</w:t>
      </w:r>
      <w:r w:rsidRPr="00C36EF8">
        <w:rPr>
          <w:lang w:val="en-US"/>
        </w:rPr>
        <w:t xml:space="preserve"> listed on 46 exchanges.  In Europe, the ETF industry had 1,071 ETFs, with assets of US$284.0 billion, on 22 exchanges. Understanding how and why ETFs contribute to the quality of stock markets is thus of great interest.  Our research specifically investigates how the first introduction of an ETF tracking a stock index </w:t>
      </w:r>
      <w:r w:rsidR="00AA0003">
        <w:rPr>
          <w:lang w:val="en-US"/>
        </w:rPr>
        <w:t>affects</w:t>
      </w:r>
      <w:r w:rsidRPr="00C36EF8">
        <w:rPr>
          <w:lang w:val="en-US"/>
        </w:rPr>
        <w:t xml:space="preserve"> the liquidity of the underlying stocks.  We find that the liquidity of underlying stocks improves relative to that of non</w:t>
      </w:r>
      <w:r w:rsidR="00AA0003">
        <w:rPr>
          <w:lang w:val="en-US"/>
        </w:rPr>
        <w:t>-</w:t>
      </w:r>
      <w:r w:rsidRPr="00C36EF8">
        <w:rPr>
          <w:lang w:val="en-US"/>
        </w:rPr>
        <w:t xml:space="preserve">index </w:t>
      </w:r>
      <w:proofErr w:type="gramStart"/>
      <w:r w:rsidRPr="00C36EF8">
        <w:rPr>
          <w:lang w:val="en-US"/>
        </w:rPr>
        <w:t>stocks</w:t>
      </w:r>
      <w:r w:rsidR="00AA0003">
        <w:rPr>
          <w:lang w:val="en-US"/>
        </w:rPr>
        <w:t>,</w:t>
      </w:r>
      <w:proofErr w:type="gramEnd"/>
      <w:r w:rsidRPr="00C36EF8">
        <w:rPr>
          <w:lang w:val="en-US"/>
        </w:rPr>
        <w:t xml:space="preserve"> and that this </w:t>
      </w:r>
      <w:r w:rsidRPr="00C36EF8">
        <w:rPr>
          <w:lang w:val="en-US"/>
        </w:rPr>
        <w:lastRenderedPageBreak/>
        <w:t xml:space="preserve">liquidity improvement mainly </w:t>
      </w:r>
      <w:r w:rsidR="00AA0003">
        <w:rPr>
          <w:lang w:val="en-US"/>
        </w:rPr>
        <w:t>occurs</w:t>
      </w:r>
      <w:r w:rsidRPr="00C36EF8">
        <w:rPr>
          <w:lang w:val="en-US"/>
        </w:rPr>
        <w:t xml:space="preserve"> by means of a reduction in order processing and order imbalance costs.</w:t>
      </w:r>
    </w:p>
    <w:p w:rsidR="00FE5D7B" w:rsidRDefault="00C36EF8">
      <w:pPr>
        <w:rPr>
          <w:lang w:val="en-US"/>
        </w:rPr>
      </w:pPr>
      <w:r w:rsidRPr="00C36EF8">
        <w:rPr>
          <w:lang w:val="en-US"/>
        </w:rPr>
        <w:t xml:space="preserve">Investigating the liquidity effects of </w:t>
      </w:r>
      <w:r w:rsidR="00AA0003">
        <w:rPr>
          <w:lang w:val="en-US"/>
        </w:rPr>
        <w:t>the</w:t>
      </w:r>
      <w:r w:rsidRPr="00C36EF8">
        <w:rPr>
          <w:lang w:val="en-US"/>
        </w:rPr>
        <w:t xml:space="preserve"> introduction</w:t>
      </w:r>
      <w:r w:rsidR="00C0615A" w:rsidRPr="00C0615A">
        <w:rPr>
          <w:lang w:val="en-US"/>
        </w:rPr>
        <w:t xml:space="preserve"> </w:t>
      </w:r>
      <w:r w:rsidR="00AA0003">
        <w:rPr>
          <w:lang w:val="en-US"/>
        </w:rPr>
        <w:t xml:space="preserve">of </w:t>
      </w:r>
      <w:r w:rsidR="00AA0003" w:rsidRPr="00E723C2">
        <w:rPr>
          <w:lang w:val="en-US"/>
        </w:rPr>
        <w:t>ETF</w:t>
      </w:r>
      <w:r w:rsidR="00AA0003">
        <w:rPr>
          <w:lang w:val="en-US"/>
        </w:rPr>
        <w:t>s</w:t>
      </w:r>
      <w:r w:rsidRPr="00C36EF8">
        <w:rPr>
          <w:lang w:val="en-US"/>
        </w:rPr>
        <w:t xml:space="preserve"> is relevant not only because of the size and expansion of the ETF sector but also because of the lack of consensus </w:t>
      </w:r>
      <w:r w:rsidR="00AA0003">
        <w:rPr>
          <w:lang w:val="en-US"/>
        </w:rPr>
        <w:t xml:space="preserve">about such effects in </w:t>
      </w:r>
      <w:r w:rsidRPr="00C36EF8">
        <w:rPr>
          <w:lang w:val="en-US"/>
        </w:rPr>
        <w:t xml:space="preserve">both the asset management industry and academia.  A survey </w:t>
      </w:r>
      <w:r w:rsidR="00AA0003">
        <w:rPr>
          <w:lang w:val="en-US"/>
        </w:rPr>
        <w:t>of</w:t>
      </w:r>
      <w:r w:rsidR="00AA0003" w:rsidRPr="00E723C2">
        <w:rPr>
          <w:lang w:val="en-US"/>
        </w:rPr>
        <w:t xml:space="preserve"> 192 European ETF users </w:t>
      </w:r>
      <w:r w:rsidRPr="00C36EF8">
        <w:rPr>
          <w:lang w:val="en-US"/>
        </w:rPr>
        <w:t xml:space="preserve">conducted </w:t>
      </w:r>
      <w:r w:rsidR="00AA0003">
        <w:rPr>
          <w:lang w:val="en-US"/>
        </w:rPr>
        <w:t xml:space="preserve">in 2010 </w:t>
      </w:r>
      <w:r w:rsidRPr="00C36EF8">
        <w:rPr>
          <w:lang w:val="en-US"/>
        </w:rPr>
        <w:t>by the EDHEC-Risk Institute</w:t>
      </w:r>
      <w:r w:rsidRPr="00C36EF8">
        <w:rPr>
          <w:rStyle w:val="Appelnotedebasdep"/>
          <w:lang w:val="en-US"/>
        </w:rPr>
        <w:footnoteReference w:id="2"/>
      </w:r>
      <w:r w:rsidRPr="00C36EF8">
        <w:rPr>
          <w:lang w:val="en-US"/>
        </w:rPr>
        <w:t xml:space="preserve"> shows how mixed the views of practitioners were on this matter: 31% of the survey respondents observed an improved liquidity in the underlying market, </w:t>
      </w:r>
      <w:r w:rsidR="00AA0003">
        <w:rPr>
          <w:lang w:val="en-US"/>
        </w:rPr>
        <w:t>but</w:t>
      </w:r>
      <w:r w:rsidRPr="00C36EF8">
        <w:rPr>
          <w:lang w:val="en-US"/>
        </w:rPr>
        <w:t xml:space="preserve"> 35% did not.  In the academic world, previous literature also provides diverse conclusions on the liquidity effect of ETF inception.  </w:t>
      </w:r>
      <w:proofErr w:type="spellStart"/>
      <w:r w:rsidRPr="00C36EF8">
        <w:rPr>
          <w:lang w:val="en-US"/>
        </w:rPr>
        <w:t>Hegde</w:t>
      </w:r>
      <w:proofErr w:type="spellEnd"/>
      <w:r w:rsidRPr="00C36EF8">
        <w:rPr>
          <w:lang w:val="en-US"/>
        </w:rPr>
        <w:t xml:space="preserve"> and McDermott (2004) </w:t>
      </w:r>
      <w:r w:rsidR="00C0615A" w:rsidRPr="00C0615A">
        <w:rPr>
          <w:lang w:val="en-US"/>
        </w:rPr>
        <w:t>investigate</w:t>
      </w:r>
      <w:r w:rsidR="00EC6A48">
        <w:rPr>
          <w:lang w:val="en-US"/>
        </w:rPr>
        <w:t>d</w:t>
      </w:r>
      <w:r w:rsidRPr="00C36EF8">
        <w:rPr>
          <w:lang w:val="en-US"/>
        </w:rPr>
        <w:t xml:space="preserve"> the liquidity effects of the introduction of ETFs for the DJIA 30 and the </w:t>
      </w:r>
      <w:proofErr w:type="spellStart"/>
      <w:r w:rsidRPr="00C36EF8">
        <w:rPr>
          <w:lang w:val="en-US"/>
        </w:rPr>
        <w:t>Nasdaq</w:t>
      </w:r>
      <w:proofErr w:type="spellEnd"/>
      <w:r w:rsidRPr="00C36EF8">
        <w:rPr>
          <w:lang w:val="en-US"/>
        </w:rPr>
        <w:t xml:space="preserve"> 100 stock indices, the Diamonds index, and the QQQ, and </w:t>
      </w:r>
      <w:r w:rsidR="00EC6A48">
        <w:rPr>
          <w:lang w:val="en-US"/>
        </w:rPr>
        <w:t>found</w:t>
      </w:r>
      <w:r w:rsidRPr="00C36EF8">
        <w:rPr>
          <w:lang w:val="en-US"/>
        </w:rPr>
        <w:t xml:space="preserve"> a liquidity improvement largely related to a decline in the cost of informed trading in the underlying stocks.  Richie and Madura (2007) also </w:t>
      </w:r>
      <w:r w:rsidR="00C0615A" w:rsidRPr="00C0615A">
        <w:rPr>
          <w:lang w:val="en-US"/>
        </w:rPr>
        <w:t>test</w:t>
      </w:r>
      <w:r w:rsidR="00EC6A48">
        <w:rPr>
          <w:lang w:val="en-US"/>
        </w:rPr>
        <w:t>ed</w:t>
      </w:r>
      <w:r w:rsidRPr="00C36EF8">
        <w:rPr>
          <w:lang w:val="en-US"/>
        </w:rPr>
        <w:t xml:space="preserve"> the impact of the creation </w:t>
      </w:r>
      <w:r w:rsidR="00EC6A48">
        <w:rPr>
          <w:lang w:val="en-US"/>
        </w:rPr>
        <w:t xml:space="preserve">of the </w:t>
      </w:r>
      <w:r w:rsidR="0021048B">
        <w:rPr>
          <w:lang w:val="en-US"/>
        </w:rPr>
        <w:t>QQQ fund</w:t>
      </w:r>
      <w:r w:rsidR="00C0615A" w:rsidRPr="00C0615A">
        <w:rPr>
          <w:lang w:val="en-US"/>
        </w:rPr>
        <w:t xml:space="preserve"> </w:t>
      </w:r>
      <w:r w:rsidRPr="00C36EF8">
        <w:rPr>
          <w:lang w:val="en-US"/>
        </w:rPr>
        <w:t xml:space="preserve">on the liquidity of the component securities and the risk of the underlying securities.  They </w:t>
      </w:r>
      <w:r w:rsidR="00C0615A" w:rsidRPr="00C0615A">
        <w:rPr>
          <w:lang w:val="en-US"/>
        </w:rPr>
        <w:t>f</w:t>
      </w:r>
      <w:r w:rsidR="00EC6A48">
        <w:rPr>
          <w:lang w:val="en-US"/>
        </w:rPr>
        <w:t>ou</w:t>
      </w:r>
      <w:r w:rsidR="00C0615A" w:rsidRPr="00C0615A">
        <w:rPr>
          <w:lang w:val="en-US"/>
        </w:rPr>
        <w:t>nd</w:t>
      </w:r>
      <w:r w:rsidRPr="00C36EF8">
        <w:rPr>
          <w:lang w:val="en-US"/>
        </w:rPr>
        <w:t xml:space="preserve"> that the liquidity improvement following the creation </w:t>
      </w:r>
      <w:r w:rsidR="00EC6A48">
        <w:rPr>
          <w:lang w:val="en-US"/>
        </w:rPr>
        <w:t xml:space="preserve">of the </w:t>
      </w:r>
      <w:r w:rsidR="00C0615A" w:rsidRPr="00C0615A">
        <w:rPr>
          <w:lang w:val="en-US"/>
        </w:rPr>
        <w:t xml:space="preserve">QQQ </w:t>
      </w:r>
      <w:r w:rsidR="00EC6A48">
        <w:rPr>
          <w:lang w:val="en-US"/>
        </w:rPr>
        <w:t>wa</w:t>
      </w:r>
      <w:r w:rsidR="00C0615A" w:rsidRPr="00C0615A">
        <w:rPr>
          <w:lang w:val="en-US"/>
        </w:rPr>
        <w:t>s</w:t>
      </w:r>
      <w:r w:rsidRPr="00C36EF8">
        <w:rPr>
          <w:lang w:val="en-US"/>
        </w:rPr>
        <w:t xml:space="preserve"> more pronounced for less heavily weighted stocks</w:t>
      </w:r>
      <w:r w:rsidR="00EC6A48">
        <w:rPr>
          <w:lang w:val="en-US"/>
        </w:rPr>
        <w:t>,</w:t>
      </w:r>
      <w:r w:rsidRPr="00C36EF8">
        <w:rPr>
          <w:lang w:val="en-US"/>
        </w:rPr>
        <w:t xml:space="preserve"> and that the </w:t>
      </w:r>
      <w:r w:rsidR="00C0615A" w:rsidRPr="00C0615A">
        <w:rPr>
          <w:lang w:val="en-US"/>
        </w:rPr>
        <w:t>system</w:t>
      </w:r>
      <w:r w:rsidR="0021048B">
        <w:rPr>
          <w:lang w:val="en-US"/>
        </w:rPr>
        <w:t>at</w:t>
      </w:r>
      <w:r w:rsidR="00C0615A" w:rsidRPr="00C0615A">
        <w:rPr>
          <w:lang w:val="en-US"/>
        </w:rPr>
        <w:t xml:space="preserve">ic </w:t>
      </w:r>
      <w:r w:rsidRPr="00C36EF8">
        <w:rPr>
          <w:lang w:val="en-US"/>
        </w:rPr>
        <w:t xml:space="preserve">risk of the underlying stocks </w:t>
      </w:r>
      <w:r w:rsidR="00C0615A" w:rsidRPr="00C0615A">
        <w:rPr>
          <w:lang w:val="en-US"/>
        </w:rPr>
        <w:t>decline</w:t>
      </w:r>
      <w:r w:rsidR="00EC6A48">
        <w:rPr>
          <w:lang w:val="en-US"/>
        </w:rPr>
        <w:t>d</w:t>
      </w:r>
      <w:r w:rsidRPr="00C36EF8">
        <w:rPr>
          <w:lang w:val="en-US"/>
        </w:rPr>
        <w:t xml:space="preserve"> relative to a control sample.  However, using matched samples, Van Ness, Van Ness, and </w:t>
      </w:r>
      <w:proofErr w:type="spellStart"/>
      <w:r w:rsidRPr="00C36EF8">
        <w:rPr>
          <w:lang w:val="en-US"/>
        </w:rPr>
        <w:t>Warr</w:t>
      </w:r>
      <w:proofErr w:type="spellEnd"/>
      <w:r w:rsidRPr="00C36EF8">
        <w:rPr>
          <w:lang w:val="en-US"/>
        </w:rPr>
        <w:t xml:space="preserve"> (2005) </w:t>
      </w:r>
      <w:r w:rsidR="00EC6A48">
        <w:rPr>
          <w:lang w:val="en-US"/>
        </w:rPr>
        <w:t>did</w:t>
      </w:r>
      <w:r w:rsidRPr="00C36EF8">
        <w:rPr>
          <w:lang w:val="en-US"/>
        </w:rPr>
        <w:t xml:space="preserve"> not find a similar improvement for the DJIA 30.  They </w:t>
      </w:r>
      <w:r w:rsidR="00C0615A" w:rsidRPr="00C0615A">
        <w:rPr>
          <w:lang w:val="en-US"/>
        </w:rPr>
        <w:t>test</w:t>
      </w:r>
      <w:r w:rsidR="00EC6A48">
        <w:rPr>
          <w:lang w:val="en-US"/>
        </w:rPr>
        <w:t>ed</w:t>
      </w:r>
      <w:r w:rsidRPr="00C36EF8">
        <w:rPr>
          <w:lang w:val="en-US"/>
        </w:rPr>
        <w:t xml:space="preserve"> the hypothesis that uninformed traders prefer to invest in the Diamond ETF rather than </w:t>
      </w:r>
      <w:r w:rsidR="00EC6A48">
        <w:rPr>
          <w:lang w:val="en-US"/>
        </w:rPr>
        <w:t xml:space="preserve">in the </w:t>
      </w:r>
      <w:r w:rsidRPr="00C36EF8">
        <w:rPr>
          <w:lang w:val="en-US"/>
        </w:rPr>
        <w:t>individual stocks constituting the index</w:t>
      </w:r>
      <w:r w:rsidR="00EC6A48">
        <w:rPr>
          <w:lang w:val="en-US"/>
        </w:rPr>
        <w:t>, and found</w:t>
      </w:r>
      <w:r w:rsidRPr="00C36EF8">
        <w:rPr>
          <w:lang w:val="en-US"/>
        </w:rPr>
        <w:t xml:space="preserve"> that</w:t>
      </w:r>
      <w:r w:rsidR="00EC6A48">
        <w:rPr>
          <w:lang w:val="en-US"/>
        </w:rPr>
        <w:t>,</w:t>
      </w:r>
      <w:r w:rsidRPr="00C36EF8">
        <w:rPr>
          <w:lang w:val="en-US"/>
        </w:rPr>
        <w:t xml:space="preserve"> following the introduction of the Diamonds ETF, the bid-ask spreads of the DJIA 30 actually </w:t>
      </w:r>
      <w:r w:rsidR="00C0615A" w:rsidRPr="00C0615A">
        <w:rPr>
          <w:lang w:val="en-US"/>
        </w:rPr>
        <w:t>increase</w:t>
      </w:r>
      <w:r w:rsidR="00EC6A48">
        <w:rPr>
          <w:lang w:val="en-US"/>
        </w:rPr>
        <w:t>d</w:t>
      </w:r>
      <w:r w:rsidRPr="00C36EF8">
        <w:rPr>
          <w:lang w:val="en-US"/>
        </w:rPr>
        <w:t xml:space="preserve"> relative to </w:t>
      </w:r>
      <w:r w:rsidR="00EC6A48">
        <w:rPr>
          <w:lang w:val="en-US"/>
        </w:rPr>
        <w:t xml:space="preserve">the </w:t>
      </w:r>
      <w:r w:rsidRPr="00C36EF8">
        <w:rPr>
          <w:lang w:val="en-US"/>
        </w:rPr>
        <w:t>spreads of matching stocks</w:t>
      </w:r>
      <w:r w:rsidR="00EC6A48">
        <w:rPr>
          <w:lang w:val="en-US"/>
        </w:rPr>
        <w:t>. However</w:t>
      </w:r>
      <w:r w:rsidRPr="00C36EF8">
        <w:rPr>
          <w:lang w:val="en-US"/>
        </w:rPr>
        <w:t xml:space="preserve"> they </w:t>
      </w:r>
      <w:r w:rsidR="0021048B">
        <w:rPr>
          <w:lang w:val="en-US"/>
        </w:rPr>
        <w:t>did not find</w:t>
      </w:r>
      <w:r w:rsidRPr="00C36EF8">
        <w:rPr>
          <w:lang w:val="en-US"/>
        </w:rPr>
        <w:t xml:space="preserve"> a consistent change in the adverse selection components of the spreads</w:t>
      </w:r>
      <w:r w:rsidR="00EC6A48">
        <w:rPr>
          <w:lang w:val="en-US"/>
        </w:rPr>
        <w:t xml:space="preserve"> of the </w:t>
      </w:r>
      <w:r w:rsidR="00C0615A" w:rsidRPr="00C0615A">
        <w:rPr>
          <w:lang w:val="en-US"/>
        </w:rPr>
        <w:t>Dow stocks</w:t>
      </w:r>
      <w:r w:rsidRPr="00C36EF8">
        <w:rPr>
          <w:lang w:val="en-US"/>
        </w:rPr>
        <w:t>.</w:t>
      </w:r>
    </w:p>
    <w:p w:rsidR="00FE5D7B" w:rsidRDefault="00C36EF8">
      <w:pPr>
        <w:rPr>
          <w:lang w:val="en-US"/>
        </w:rPr>
      </w:pPr>
      <w:r w:rsidRPr="00C36EF8">
        <w:rPr>
          <w:lang w:val="en-US"/>
        </w:rPr>
        <w:lastRenderedPageBreak/>
        <w:t xml:space="preserve">Based on the introduction of the </w:t>
      </w:r>
      <w:proofErr w:type="spellStart"/>
      <w:r w:rsidRPr="00C36EF8">
        <w:rPr>
          <w:lang w:val="en-US"/>
        </w:rPr>
        <w:t>Lyxor</w:t>
      </w:r>
      <w:proofErr w:type="spellEnd"/>
      <w:r w:rsidRPr="00C36EF8">
        <w:rPr>
          <w:lang w:val="en-US"/>
        </w:rPr>
        <w:t xml:space="preserve"> CAC 40, the </w:t>
      </w:r>
      <w:r w:rsidR="000D566D" w:rsidRPr="00E723C2">
        <w:rPr>
          <w:lang w:val="en-US"/>
        </w:rPr>
        <w:t>first Euronext-listed ETF to replicate the French CAC</w:t>
      </w:r>
      <w:r w:rsidR="003F1C25">
        <w:rPr>
          <w:lang w:val="en-US"/>
        </w:rPr>
        <w:t xml:space="preserve"> </w:t>
      </w:r>
      <w:r w:rsidR="000D566D" w:rsidRPr="00E723C2">
        <w:rPr>
          <w:lang w:val="en-US"/>
        </w:rPr>
        <w:t xml:space="preserve">40 index, </w:t>
      </w:r>
      <w:r w:rsidR="00C0615A" w:rsidRPr="00C0615A">
        <w:rPr>
          <w:lang w:val="en-US"/>
        </w:rPr>
        <w:t xml:space="preserve">our empirical work </w:t>
      </w:r>
      <w:r w:rsidRPr="00C36EF8">
        <w:rPr>
          <w:lang w:val="en-US"/>
        </w:rPr>
        <w:t>contributes to the literature in two ways.  First, studying the inception of an ETF on Euronext may provide a new insight because of the particular market design of the ETF market segment of this exchange.  On Euronext,</w:t>
      </w:r>
      <w:r w:rsidR="00372830" w:rsidRPr="00E723C2">
        <w:rPr>
          <w:rStyle w:val="Appelnotedebasdep"/>
          <w:lang w:val="en-US"/>
        </w:rPr>
        <w:footnoteReference w:id="3"/>
      </w:r>
      <w:r w:rsidRPr="00C36EF8">
        <w:rPr>
          <w:lang w:val="en-US"/>
        </w:rPr>
        <w:t xml:space="preserve"> ETFs are traded in a hybrid, continuous, order-driven market, in which designated market makers, called </w:t>
      </w:r>
      <w:r w:rsidR="00FB3A1F">
        <w:rPr>
          <w:lang w:val="en-US"/>
        </w:rPr>
        <w:t>l</w:t>
      </w:r>
      <w:r w:rsidR="00C0615A" w:rsidRPr="00C0615A">
        <w:rPr>
          <w:lang w:val="en-US"/>
        </w:rPr>
        <w:t xml:space="preserve">iquidity </w:t>
      </w:r>
      <w:r w:rsidR="00FB3A1F">
        <w:rPr>
          <w:lang w:val="en-US"/>
        </w:rPr>
        <w:t>p</w:t>
      </w:r>
      <w:r w:rsidR="00C0615A" w:rsidRPr="00C0615A">
        <w:rPr>
          <w:lang w:val="en-US"/>
        </w:rPr>
        <w:t>roviders</w:t>
      </w:r>
      <w:r w:rsidRPr="00C36EF8">
        <w:rPr>
          <w:lang w:val="en-US"/>
        </w:rPr>
        <w:t xml:space="preserve"> (LPs), have to provide immediacy services.  </w:t>
      </w:r>
      <w:r w:rsidR="000D566D" w:rsidRPr="00E723C2">
        <w:rPr>
          <w:lang w:val="en-US"/>
        </w:rPr>
        <w:t>Using non-public complete order</w:t>
      </w:r>
      <w:r w:rsidR="003F1C25">
        <w:rPr>
          <w:lang w:val="en-US"/>
        </w:rPr>
        <w:t xml:space="preserve"> </w:t>
      </w:r>
      <w:r w:rsidR="000D566D" w:rsidRPr="00E723C2">
        <w:rPr>
          <w:lang w:val="en-US"/>
        </w:rPr>
        <w:t xml:space="preserve">book data, we show that ETF LPs contribute </w:t>
      </w:r>
      <w:r w:rsidR="00FB3A1F" w:rsidRPr="00E723C2">
        <w:rPr>
          <w:lang w:val="en-US"/>
        </w:rPr>
        <w:t xml:space="preserve">greatly </w:t>
      </w:r>
      <w:r w:rsidR="000D566D" w:rsidRPr="00E723C2">
        <w:rPr>
          <w:lang w:val="en-US"/>
        </w:rPr>
        <w:t>to the liquidity of the ETF market.  Given the ben</w:t>
      </w:r>
      <w:r w:rsidR="00C0615A" w:rsidRPr="00C0615A">
        <w:rPr>
          <w:lang w:val="en-US"/>
        </w:rPr>
        <w:t>efit of th</w:t>
      </w:r>
      <w:r w:rsidR="00FB3A1F">
        <w:rPr>
          <w:lang w:val="en-US"/>
        </w:rPr>
        <w:t>e</w:t>
      </w:r>
      <w:r w:rsidR="00C0615A" w:rsidRPr="00C0615A">
        <w:rPr>
          <w:lang w:val="en-US"/>
        </w:rPr>
        <w:t xml:space="preserve">se LPs, liquidity effects may differ from those observed for ETFs listed on other exchanges.  </w:t>
      </w:r>
      <w:r w:rsidRPr="00C36EF8">
        <w:rPr>
          <w:lang w:val="en-US"/>
        </w:rPr>
        <w:t xml:space="preserve">Second, we compare the theories that </w:t>
      </w:r>
      <w:r w:rsidR="00FB3A1F">
        <w:rPr>
          <w:lang w:val="en-US"/>
        </w:rPr>
        <w:t>have been put forward to</w:t>
      </w:r>
      <w:r w:rsidRPr="00C36EF8">
        <w:rPr>
          <w:lang w:val="en-US"/>
        </w:rPr>
        <w:t xml:space="preserve"> explain the liquidity improvement observed for CAC</w:t>
      </w:r>
      <w:r w:rsidR="003F1C25">
        <w:rPr>
          <w:lang w:val="en-US"/>
        </w:rPr>
        <w:t xml:space="preserve"> </w:t>
      </w:r>
      <w:r w:rsidRPr="00C36EF8">
        <w:rPr>
          <w:lang w:val="en-US"/>
        </w:rPr>
        <w:t xml:space="preserve">40 stocks after the </w:t>
      </w:r>
      <w:r w:rsidR="00FB3A1F">
        <w:rPr>
          <w:lang w:val="en-US"/>
        </w:rPr>
        <w:t>introduction of the</w:t>
      </w:r>
      <w:r w:rsidR="00C0615A" w:rsidRPr="00C0615A">
        <w:rPr>
          <w:lang w:val="en-US"/>
        </w:rPr>
        <w:t xml:space="preserve"> </w:t>
      </w:r>
      <w:proofErr w:type="spellStart"/>
      <w:r w:rsidRPr="00C36EF8">
        <w:rPr>
          <w:lang w:val="en-US"/>
        </w:rPr>
        <w:t>Lyxor</w:t>
      </w:r>
      <w:proofErr w:type="spellEnd"/>
      <w:r w:rsidRPr="00C36EF8">
        <w:rPr>
          <w:lang w:val="en-US"/>
        </w:rPr>
        <w:t xml:space="preserve"> CAC 40</w:t>
      </w:r>
      <w:r w:rsidR="00C0615A" w:rsidRPr="00C0615A">
        <w:rPr>
          <w:lang w:val="en-US"/>
        </w:rPr>
        <w:t>.</w:t>
      </w:r>
      <w:r w:rsidRPr="00C36EF8">
        <w:rPr>
          <w:lang w:val="en-US"/>
        </w:rPr>
        <w:t xml:space="preserve">  Our main contribution is to show that the tightening of index stock spreads is </w:t>
      </w:r>
      <w:r w:rsidR="00FB3A1F">
        <w:rPr>
          <w:lang w:val="en-US"/>
        </w:rPr>
        <w:t>pre</w:t>
      </w:r>
      <w:r w:rsidR="00C0615A" w:rsidRPr="00C0615A">
        <w:rPr>
          <w:lang w:val="en-US"/>
        </w:rPr>
        <w:t>dominantly</w:t>
      </w:r>
      <w:r w:rsidRPr="00C36EF8">
        <w:rPr>
          <w:lang w:val="en-US"/>
        </w:rPr>
        <w:t xml:space="preserve"> related to a decrease in the temporary price effect of order execution.  This is in line with </w:t>
      </w:r>
      <w:proofErr w:type="spellStart"/>
      <w:r w:rsidRPr="00C36EF8">
        <w:rPr>
          <w:lang w:val="en-US"/>
        </w:rPr>
        <w:t>Fremault’s</w:t>
      </w:r>
      <w:proofErr w:type="spellEnd"/>
      <w:r w:rsidRPr="00C36EF8">
        <w:rPr>
          <w:lang w:val="en-US"/>
        </w:rPr>
        <w:t xml:space="preserve"> (1991) arbitrage theory according to which cross-market trading has beneficial risk</w:t>
      </w:r>
      <w:r w:rsidR="003F1C25">
        <w:rPr>
          <w:lang w:val="en-US"/>
        </w:rPr>
        <w:t xml:space="preserve"> </w:t>
      </w:r>
      <w:r w:rsidRPr="00C36EF8">
        <w:rPr>
          <w:lang w:val="en-US"/>
        </w:rPr>
        <w:t>sharing effects.</w:t>
      </w:r>
    </w:p>
    <w:p w:rsidR="00FE5D7B" w:rsidRDefault="000D566D">
      <w:pPr>
        <w:tabs>
          <w:tab w:val="left" w:pos="6120"/>
        </w:tabs>
        <w:rPr>
          <w:lang w:val="en-US"/>
        </w:rPr>
      </w:pPr>
      <w:r w:rsidRPr="00E723C2">
        <w:rPr>
          <w:lang w:val="en-US"/>
        </w:rPr>
        <w:t xml:space="preserve">This article is organized as follows. In Section 2, we describe the </w:t>
      </w:r>
      <w:proofErr w:type="spellStart"/>
      <w:r w:rsidRPr="00E723C2">
        <w:rPr>
          <w:lang w:val="en-US"/>
        </w:rPr>
        <w:t>Lyxor</w:t>
      </w:r>
      <w:proofErr w:type="spellEnd"/>
      <w:r w:rsidRPr="00E723C2">
        <w:rPr>
          <w:lang w:val="en-US"/>
        </w:rPr>
        <w:t xml:space="preserve"> CAC</w:t>
      </w:r>
      <w:r w:rsidR="004F4039">
        <w:rPr>
          <w:lang w:val="en-US"/>
        </w:rPr>
        <w:t xml:space="preserve"> </w:t>
      </w:r>
      <w:r w:rsidRPr="00E723C2">
        <w:rPr>
          <w:lang w:val="en-US"/>
        </w:rPr>
        <w:t xml:space="preserve">40, present its market microstructure, and assess its economic role by estimating </w:t>
      </w:r>
      <w:r w:rsidR="00FB3A1F">
        <w:rPr>
          <w:lang w:val="en-US"/>
        </w:rPr>
        <w:t xml:space="preserve">the </w:t>
      </w:r>
      <w:r w:rsidRPr="00E723C2">
        <w:rPr>
          <w:lang w:val="en-US"/>
        </w:rPr>
        <w:t>implicit trading costs incurred by index traders in b</w:t>
      </w:r>
      <w:r w:rsidR="00C0615A" w:rsidRPr="00C0615A">
        <w:rPr>
          <w:lang w:val="en-US"/>
        </w:rPr>
        <w:t xml:space="preserve">oth the market for individual stocks and the ETF market.  In Section 3, we review the theories predicting </w:t>
      </w:r>
      <w:r w:rsidR="00FB3A1F">
        <w:rPr>
          <w:lang w:val="en-US"/>
        </w:rPr>
        <w:t xml:space="preserve">the </w:t>
      </w:r>
      <w:r w:rsidR="00C0615A" w:rsidRPr="00C0615A">
        <w:rPr>
          <w:lang w:val="en-US"/>
        </w:rPr>
        <w:t>effects of the inception of an ETF on the liquidity of the basket stocks, and derive testable hypotheses.  Those hypotheses are then tested in Section 4.  Section 5 provides a discussion of the findings and a validation of the arbitrage hypothesis</w:t>
      </w:r>
      <w:r w:rsidR="00FB3A1F">
        <w:rPr>
          <w:lang w:val="en-US"/>
        </w:rPr>
        <w:t>, and</w:t>
      </w:r>
      <w:r w:rsidR="00C0615A" w:rsidRPr="00C0615A">
        <w:rPr>
          <w:lang w:val="en-US"/>
        </w:rPr>
        <w:t xml:space="preserve"> Section 6 </w:t>
      </w:r>
      <w:r w:rsidR="00FB3A1F">
        <w:rPr>
          <w:lang w:val="en-US"/>
        </w:rPr>
        <w:t xml:space="preserve">presents our </w:t>
      </w:r>
      <w:r w:rsidR="00C0615A" w:rsidRPr="00C0615A">
        <w:rPr>
          <w:lang w:val="en-US"/>
        </w:rPr>
        <w:t>conclu</w:t>
      </w:r>
      <w:r w:rsidR="00FB3A1F">
        <w:rPr>
          <w:lang w:val="en-US"/>
        </w:rPr>
        <w:t>sions</w:t>
      </w:r>
      <w:r w:rsidR="00C0615A" w:rsidRPr="00C0615A">
        <w:rPr>
          <w:lang w:val="en-US"/>
        </w:rPr>
        <w:t>.</w:t>
      </w:r>
    </w:p>
    <w:p w:rsidR="00FE5D7B" w:rsidRDefault="00C0615A">
      <w:pPr>
        <w:pStyle w:val="Titre2"/>
        <w:rPr>
          <w:lang w:val="en-US"/>
        </w:rPr>
      </w:pPr>
      <w:r w:rsidRPr="00C0615A">
        <w:rPr>
          <w:lang w:val="en-US"/>
        </w:rPr>
        <w:lastRenderedPageBreak/>
        <w:t>2.</w:t>
      </w:r>
      <w:r w:rsidRPr="00C0615A">
        <w:rPr>
          <w:lang w:val="en-US"/>
        </w:rPr>
        <w:tab/>
        <w:t xml:space="preserve">The </w:t>
      </w:r>
      <w:proofErr w:type="spellStart"/>
      <w:r w:rsidRPr="00C0615A">
        <w:rPr>
          <w:lang w:val="en-US"/>
        </w:rPr>
        <w:t>Lyxor</w:t>
      </w:r>
      <w:proofErr w:type="spellEnd"/>
      <w:r w:rsidRPr="00C0615A">
        <w:rPr>
          <w:lang w:val="en-US"/>
        </w:rPr>
        <w:t xml:space="preserve"> CAC</w:t>
      </w:r>
      <w:r w:rsidR="004F4039">
        <w:rPr>
          <w:lang w:val="en-US"/>
        </w:rPr>
        <w:t xml:space="preserve"> </w:t>
      </w:r>
      <w:r w:rsidRPr="00C0615A">
        <w:rPr>
          <w:lang w:val="en-US"/>
        </w:rPr>
        <w:t>40: description, trading mechanisms, and associated cost savings</w:t>
      </w:r>
    </w:p>
    <w:p w:rsidR="00FE5D7B" w:rsidRDefault="00C36EF8">
      <w:pPr>
        <w:rPr>
          <w:lang w:val="en-US"/>
        </w:rPr>
      </w:pPr>
      <w:r w:rsidRPr="00C36EF8">
        <w:rPr>
          <w:lang w:val="en-US"/>
        </w:rPr>
        <w:t>Whereas ETFs were created in the 1990s in North-America,</w:t>
      </w:r>
      <w:r w:rsidRPr="00C36EF8">
        <w:rPr>
          <w:rStyle w:val="Appelnotedebasdep"/>
          <w:lang w:val="en-US"/>
        </w:rPr>
        <w:footnoteReference w:id="4"/>
      </w:r>
      <w:r w:rsidRPr="00C36EF8">
        <w:rPr>
          <w:lang w:val="en-US"/>
        </w:rPr>
        <w:t xml:space="preserve"> they were only introduced </w:t>
      </w:r>
      <w:r w:rsidR="004F4039">
        <w:rPr>
          <w:lang w:val="en-US"/>
        </w:rPr>
        <w:t xml:space="preserve">into European markets </w:t>
      </w:r>
      <w:r w:rsidRPr="00C36EF8">
        <w:rPr>
          <w:lang w:val="en-US"/>
        </w:rPr>
        <w:t xml:space="preserve">in the early 2000s.  The </w:t>
      </w:r>
      <w:proofErr w:type="spellStart"/>
      <w:r w:rsidRPr="00C36EF8">
        <w:rPr>
          <w:lang w:val="en-US"/>
        </w:rPr>
        <w:t>Lyxor</w:t>
      </w:r>
      <w:proofErr w:type="spellEnd"/>
      <w:r w:rsidRPr="00C36EF8">
        <w:rPr>
          <w:lang w:val="en-US"/>
        </w:rPr>
        <w:t xml:space="preserve"> CAC 40, which tracks the performance of the CAC 40 index, was the first ETF to be listed on Euronext.</w:t>
      </w:r>
      <w:r w:rsidRPr="00C36EF8">
        <w:rPr>
          <w:sz w:val="20"/>
          <w:lang w:val="en-US"/>
        </w:rPr>
        <w:t xml:space="preserve">  </w:t>
      </w:r>
      <w:r w:rsidRPr="00C36EF8">
        <w:rPr>
          <w:lang w:val="en-US"/>
        </w:rPr>
        <w:t xml:space="preserve">ETFs </w:t>
      </w:r>
      <w:r w:rsidR="004F4039">
        <w:rPr>
          <w:lang w:val="en-US"/>
        </w:rPr>
        <w:t xml:space="preserve">which </w:t>
      </w:r>
      <w:r w:rsidR="00C0615A" w:rsidRPr="00C0615A">
        <w:rPr>
          <w:lang w:val="en-US"/>
        </w:rPr>
        <w:t>track</w:t>
      </w:r>
      <w:r w:rsidRPr="00C36EF8">
        <w:rPr>
          <w:lang w:val="en-US"/>
        </w:rPr>
        <w:t xml:space="preserve"> national indices are the most popular equity ETFs, with 16.22% of the </w:t>
      </w:r>
      <w:r w:rsidR="00C0615A" w:rsidRPr="00C0615A">
        <w:rPr>
          <w:lang w:val="en-US"/>
        </w:rPr>
        <w:t>asset</w:t>
      </w:r>
      <w:r w:rsidR="004F4039">
        <w:rPr>
          <w:lang w:val="en-US"/>
        </w:rPr>
        <w:t>s</w:t>
      </w:r>
      <w:r w:rsidRPr="00C36EF8">
        <w:rPr>
          <w:lang w:val="en-US"/>
        </w:rPr>
        <w:t xml:space="preserve"> under management on the European </w:t>
      </w:r>
      <w:r w:rsidR="00C0615A" w:rsidRPr="00C0615A">
        <w:rPr>
          <w:lang w:val="en-US"/>
        </w:rPr>
        <w:t>ETF</w:t>
      </w:r>
      <w:r w:rsidRPr="00C36EF8">
        <w:rPr>
          <w:lang w:val="en-US"/>
        </w:rPr>
        <w:t xml:space="preserve"> market.  With €3.07 billion under management in July 2010, the </w:t>
      </w:r>
      <w:proofErr w:type="spellStart"/>
      <w:r w:rsidRPr="00C36EF8">
        <w:rPr>
          <w:lang w:val="en-US"/>
        </w:rPr>
        <w:t>Lyxor</w:t>
      </w:r>
      <w:proofErr w:type="spellEnd"/>
      <w:r w:rsidRPr="00C36EF8">
        <w:rPr>
          <w:lang w:val="en-US"/>
        </w:rPr>
        <w:t xml:space="preserve"> CAC 40 has now become one of the most actively traded funds on </w:t>
      </w:r>
      <w:proofErr w:type="spellStart"/>
      <w:r w:rsidRPr="00C36EF8">
        <w:rPr>
          <w:lang w:val="en-US"/>
        </w:rPr>
        <w:t>NextTrack</w:t>
      </w:r>
      <w:proofErr w:type="spellEnd"/>
      <w:r w:rsidRPr="00C36EF8">
        <w:rPr>
          <w:lang w:val="en-US"/>
        </w:rPr>
        <w:t>, the Euronext segment dedicated to the listing and trading of ETFs.  For the year 2010, it ranked third, with an average daily turnover of €34.08 million and a market share of 9.26%.</w:t>
      </w:r>
    </w:p>
    <w:p w:rsidR="00FE5D7B" w:rsidRDefault="009C42CC">
      <w:pPr>
        <w:pStyle w:val="Titre3"/>
        <w:rPr>
          <w:lang w:val="en-US"/>
        </w:rPr>
      </w:pPr>
      <w:r w:rsidRPr="00E723C2">
        <w:rPr>
          <w:lang w:val="en-US"/>
        </w:rPr>
        <w:t>2.1.</w:t>
      </w:r>
      <w:r w:rsidRPr="00E723C2">
        <w:rPr>
          <w:lang w:val="en-US"/>
        </w:rPr>
        <w:tab/>
        <w:t xml:space="preserve">The </w:t>
      </w:r>
      <w:proofErr w:type="spellStart"/>
      <w:r w:rsidRPr="00E723C2">
        <w:rPr>
          <w:lang w:val="en-US"/>
        </w:rPr>
        <w:t>Lyxor</w:t>
      </w:r>
      <w:proofErr w:type="spellEnd"/>
      <w:r w:rsidRPr="00E723C2">
        <w:rPr>
          <w:lang w:val="en-US"/>
        </w:rPr>
        <w:t xml:space="preserve"> CAC</w:t>
      </w:r>
      <w:r w:rsidR="004F4039">
        <w:rPr>
          <w:lang w:val="en-US"/>
        </w:rPr>
        <w:t xml:space="preserve"> </w:t>
      </w:r>
      <w:r w:rsidRPr="00E723C2">
        <w:rPr>
          <w:lang w:val="en-US"/>
        </w:rPr>
        <w:t>40 fund</w:t>
      </w:r>
    </w:p>
    <w:p w:rsidR="00FE5D7B" w:rsidRDefault="00C0615A">
      <w:pPr>
        <w:rPr>
          <w:lang w:val="en-US"/>
        </w:rPr>
      </w:pPr>
      <w:r w:rsidRPr="00C0615A">
        <w:rPr>
          <w:lang w:val="en-US"/>
        </w:rPr>
        <w:t>The CAC 40 index is the flagship French stock market index and comprises forty large capitalization stocks.  It is a market-value weighted index wh</w:t>
      </w:r>
      <w:r w:rsidR="004F4039">
        <w:rPr>
          <w:lang w:val="en-US"/>
        </w:rPr>
        <w:t>ose</w:t>
      </w:r>
      <w:r w:rsidRPr="00C0615A">
        <w:rPr>
          <w:lang w:val="en-US"/>
        </w:rPr>
        <w:t xml:space="preserve"> composition is reviewed quarterly by an independent Index Steering Committee.  The main criteria for inclusion in the CAC 40 are market size and turnover.</w:t>
      </w:r>
      <w:r w:rsidR="009C42CC" w:rsidRPr="00E723C2">
        <w:rPr>
          <w:rStyle w:val="Appelnotedebasdep"/>
          <w:lang w:val="en-US"/>
        </w:rPr>
        <w:footnoteReference w:id="5"/>
      </w:r>
      <w:r w:rsidR="009C42CC" w:rsidRPr="00E723C2">
        <w:rPr>
          <w:lang w:val="en-US"/>
        </w:rPr>
        <w:t xml:space="preserve">  Its base value was set to 1,000 on December 31, 1987.  It serves as an underlying asset for futures contracts and options traded on </w:t>
      </w:r>
      <w:proofErr w:type="spellStart"/>
      <w:proofErr w:type="gramStart"/>
      <w:r w:rsidR="009C42CC" w:rsidRPr="00E723C2">
        <w:rPr>
          <w:lang w:val="en-US"/>
        </w:rPr>
        <w:t>Nyse</w:t>
      </w:r>
      <w:proofErr w:type="spellEnd"/>
      <w:proofErr w:type="gramEnd"/>
      <w:r w:rsidR="009C42CC" w:rsidRPr="00E723C2">
        <w:rPr>
          <w:lang w:val="en-US"/>
        </w:rPr>
        <w:t xml:space="preserve"> </w:t>
      </w:r>
      <w:proofErr w:type="spellStart"/>
      <w:r w:rsidR="009C42CC" w:rsidRPr="00E723C2">
        <w:rPr>
          <w:lang w:val="en-US"/>
        </w:rPr>
        <w:t>Liffe</w:t>
      </w:r>
      <w:proofErr w:type="spellEnd"/>
      <w:r w:rsidR="009C42CC" w:rsidRPr="00E723C2">
        <w:rPr>
          <w:lang w:val="en-US"/>
        </w:rPr>
        <w:t>.</w:t>
      </w:r>
      <w:r w:rsidR="009C42CC" w:rsidRPr="00E723C2">
        <w:rPr>
          <w:rStyle w:val="Appelnotedebasdep"/>
          <w:lang w:val="en-US"/>
        </w:rPr>
        <w:footnoteReference w:id="6"/>
      </w:r>
    </w:p>
    <w:p w:rsidR="00FE5D7B" w:rsidRDefault="009C42CC">
      <w:pPr>
        <w:rPr>
          <w:lang w:val="en-US"/>
        </w:rPr>
      </w:pPr>
      <w:r w:rsidRPr="00E723C2">
        <w:rPr>
          <w:lang w:val="en-US"/>
        </w:rPr>
        <w:lastRenderedPageBreak/>
        <w:t xml:space="preserve">The </w:t>
      </w:r>
      <w:proofErr w:type="spellStart"/>
      <w:r w:rsidRPr="00E723C2">
        <w:rPr>
          <w:lang w:val="en-US"/>
        </w:rPr>
        <w:t>Lyxor</w:t>
      </w:r>
      <w:proofErr w:type="spellEnd"/>
      <w:r w:rsidRPr="00E723C2">
        <w:rPr>
          <w:lang w:val="en-US"/>
        </w:rPr>
        <w:t xml:space="preserve"> CAC 40 was the first ETF created to replicate the value of the CAC 40.  It is a French mutual fund that complies with the UCITS III European directive.</w:t>
      </w:r>
      <w:r w:rsidRPr="00E723C2">
        <w:rPr>
          <w:rStyle w:val="Appelnotedebasdep"/>
          <w:lang w:val="en-US"/>
        </w:rPr>
        <w:footnoteReference w:id="7"/>
      </w:r>
      <w:r w:rsidRPr="00E723C2">
        <w:rPr>
          <w:lang w:val="en-US"/>
        </w:rPr>
        <w:t xml:space="preserve">  It was issued on </w:t>
      </w:r>
      <w:proofErr w:type="spellStart"/>
      <w:r w:rsidRPr="00E723C2">
        <w:rPr>
          <w:lang w:val="en-US"/>
        </w:rPr>
        <w:t>NextTrack</w:t>
      </w:r>
      <w:proofErr w:type="spellEnd"/>
      <w:r w:rsidRPr="00E723C2">
        <w:rPr>
          <w:lang w:val="en-US"/>
        </w:rPr>
        <w:t xml:space="preserve">, on January 22, 2001, by </w:t>
      </w:r>
      <w:proofErr w:type="spellStart"/>
      <w:r w:rsidRPr="00E723C2">
        <w:rPr>
          <w:lang w:val="en-US"/>
        </w:rPr>
        <w:t>Lyxor</w:t>
      </w:r>
      <w:proofErr w:type="spellEnd"/>
      <w:r w:rsidRPr="00E723C2">
        <w:rPr>
          <w:lang w:val="en-US"/>
        </w:rPr>
        <w:t xml:space="preserve">, a subsidiary of </w:t>
      </w:r>
      <w:proofErr w:type="spellStart"/>
      <w:r w:rsidRPr="00E723C2">
        <w:rPr>
          <w:lang w:val="en-US"/>
        </w:rPr>
        <w:t>Société</w:t>
      </w:r>
      <w:proofErr w:type="spellEnd"/>
      <w:r w:rsidRPr="00E723C2">
        <w:rPr>
          <w:lang w:val="en-US"/>
        </w:rPr>
        <w:t xml:space="preserve"> </w:t>
      </w:r>
      <w:proofErr w:type="spellStart"/>
      <w:r w:rsidRPr="00E723C2">
        <w:rPr>
          <w:lang w:val="en-US"/>
        </w:rPr>
        <w:t>Générale</w:t>
      </w:r>
      <w:proofErr w:type="spellEnd"/>
      <w:r w:rsidRPr="00E723C2">
        <w:rPr>
          <w:lang w:val="en-US"/>
        </w:rPr>
        <w:t>.  One unit of the ETF is worth 1/100 of the index and the objective is to track the index return.  Several replication mechanisms can be employed by t</w:t>
      </w:r>
      <w:r w:rsidR="00C0615A" w:rsidRPr="00C0615A">
        <w:rPr>
          <w:lang w:val="en-US"/>
        </w:rPr>
        <w:t xml:space="preserve">he fund manager in order to minimize the tracking error: physical replication, statistical sampling or swap-based replication.  </w:t>
      </w:r>
      <w:proofErr w:type="spellStart"/>
      <w:r w:rsidR="00C0615A" w:rsidRPr="00C0615A">
        <w:rPr>
          <w:lang w:val="en-US"/>
        </w:rPr>
        <w:t>Lyxor</w:t>
      </w:r>
      <w:proofErr w:type="spellEnd"/>
      <w:r w:rsidR="00C0615A" w:rsidRPr="00C0615A">
        <w:rPr>
          <w:lang w:val="en-US"/>
        </w:rPr>
        <w:t xml:space="preserve"> systematically uses </w:t>
      </w:r>
      <w:r w:rsidR="004F4039">
        <w:rPr>
          <w:lang w:val="en-US"/>
        </w:rPr>
        <w:t xml:space="preserve">swap-based replication to </w:t>
      </w:r>
      <w:r w:rsidR="00C0615A" w:rsidRPr="00C0615A">
        <w:rPr>
          <w:lang w:val="en-US"/>
        </w:rPr>
        <w:t>manag</w:t>
      </w:r>
      <w:r w:rsidR="004F4039">
        <w:rPr>
          <w:lang w:val="en-US"/>
        </w:rPr>
        <w:t>e</w:t>
      </w:r>
      <w:r w:rsidR="00C0615A" w:rsidRPr="00C0615A">
        <w:rPr>
          <w:lang w:val="en-US"/>
        </w:rPr>
        <w:t xml:space="preserve"> the replication risk of its ETFs.</w:t>
      </w:r>
      <w:r w:rsidRPr="00E723C2">
        <w:rPr>
          <w:rStyle w:val="Appelnotedebasdep"/>
          <w:lang w:val="en-US"/>
        </w:rPr>
        <w:footnoteReference w:id="8"/>
      </w:r>
      <w:r w:rsidRPr="00E723C2">
        <w:rPr>
          <w:lang w:val="en-US"/>
        </w:rPr>
        <w:t xml:space="preserve">  The fund invests in a broad basket of stocks (as </w:t>
      </w:r>
      <w:r w:rsidR="000E2946">
        <w:rPr>
          <w:lang w:val="en-US"/>
        </w:rPr>
        <w:t xml:space="preserve">many </w:t>
      </w:r>
      <w:r w:rsidRPr="00E723C2">
        <w:rPr>
          <w:lang w:val="en-US"/>
        </w:rPr>
        <w:t>as 90 for the CAC 40 ETF)</w:t>
      </w:r>
      <w:r w:rsidRPr="00E723C2">
        <w:rPr>
          <w:rStyle w:val="Appelnotedebasdep"/>
          <w:lang w:val="en-US"/>
        </w:rPr>
        <w:footnoteReference w:id="9"/>
      </w:r>
      <w:r w:rsidRPr="00E723C2">
        <w:rPr>
          <w:lang w:val="en-US"/>
        </w:rPr>
        <w:t xml:space="preserve"> and swaps the performance of the basket against the performance of the index.  </w:t>
      </w:r>
      <w:r w:rsidR="000E2946">
        <w:rPr>
          <w:lang w:val="en-US"/>
        </w:rPr>
        <w:t>T</w:t>
      </w:r>
      <w:r w:rsidRPr="00E723C2">
        <w:rPr>
          <w:lang w:val="en-US"/>
        </w:rPr>
        <w:t xml:space="preserve">he swap counterparty </w:t>
      </w:r>
      <w:r w:rsidR="000E2946">
        <w:rPr>
          <w:lang w:val="en-US"/>
        </w:rPr>
        <w:t xml:space="preserve">for </w:t>
      </w:r>
      <w:proofErr w:type="spellStart"/>
      <w:r w:rsidR="00620D59">
        <w:rPr>
          <w:lang w:val="en-US"/>
        </w:rPr>
        <w:t>Lyxor</w:t>
      </w:r>
      <w:proofErr w:type="spellEnd"/>
      <w:r w:rsidR="000E2946" w:rsidRPr="00E723C2">
        <w:rPr>
          <w:lang w:val="en-US"/>
        </w:rPr>
        <w:t xml:space="preserve"> </w:t>
      </w:r>
      <w:r w:rsidRPr="00E723C2">
        <w:rPr>
          <w:lang w:val="en-US"/>
        </w:rPr>
        <w:t xml:space="preserve">is always the parent bank, </w:t>
      </w:r>
      <w:proofErr w:type="spellStart"/>
      <w:r w:rsidRPr="00E723C2">
        <w:rPr>
          <w:lang w:val="en-US"/>
        </w:rPr>
        <w:t>Société</w:t>
      </w:r>
      <w:proofErr w:type="spellEnd"/>
      <w:r w:rsidRPr="00E723C2">
        <w:rPr>
          <w:lang w:val="en-US"/>
        </w:rPr>
        <w:t xml:space="preserve"> </w:t>
      </w:r>
      <w:proofErr w:type="spellStart"/>
      <w:r w:rsidRPr="00E723C2">
        <w:rPr>
          <w:lang w:val="en-US"/>
        </w:rPr>
        <w:t>Générale</w:t>
      </w:r>
      <w:proofErr w:type="spellEnd"/>
      <w:r w:rsidRPr="00E723C2">
        <w:rPr>
          <w:lang w:val="en-US"/>
        </w:rPr>
        <w:t>.  With such a mechanism, the investor bears almost</w:t>
      </w:r>
      <w:r w:rsidR="00C0615A" w:rsidRPr="00C0615A">
        <w:rPr>
          <w:lang w:val="en-US"/>
        </w:rPr>
        <w:t xml:space="preserve"> no replication risk</w:t>
      </w:r>
      <w:r w:rsidR="000E2946">
        <w:rPr>
          <w:lang w:val="en-US"/>
        </w:rPr>
        <w:t>,</w:t>
      </w:r>
      <w:r w:rsidR="00F9465B" w:rsidRPr="00E723C2">
        <w:rPr>
          <w:rStyle w:val="Appelnotedebasdep"/>
          <w:lang w:val="en-US"/>
        </w:rPr>
        <w:footnoteReference w:id="10"/>
      </w:r>
      <w:r w:rsidRPr="00E723C2">
        <w:rPr>
          <w:lang w:val="en-US"/>
        </w:rPr>
        <w:t xml:space="preserve"> but supports the counterparty default risk associated with the market value of the swap.  Management fees </w:t>
      </w:r>
      <w:r w:rsidR="000E2946">
        <w:rPr>
          <w:lang w:val="en-US"/>
        </w:rPr>
        <w:t xml:space="preserve">are </w:t>
      </w:r>
      <w:r w:rsidRPr="00E723C2">
        <w:rPr>
          <w:lang w:val="en-US"/>
        </w:rPr>
        <w:t>no more than 0.25% per year and no entrance or exit fees are charged.  Th</w:t>
      </w:r>
      <w:r w:rsidR="000E2946">
        <w:rPr>
          <w:lang w:val="en-US"/>
        </w:rPr>
        <w:t>is</w:t>
      </w:r>
      <w:r w:rsidRPr="00E723C2">
        <w:rPr>
          <w:lang w:val="en-US"/>
        </w:rPr>
        <w:t xml:space="preserve"> allows investors to buy the index with perfect</w:t>
      </w:r>
      <w:r w:rsidR="00C0615A" w:rsidRPr="00C0615A">
        <w:rPr>
          <w:lang w:val="en-US"/>
        </w:rPr>
        <w:t xml:space="preserve"> replication, even for small amounts, at low fees, and without the constraints of derivative markets </w:t>
      </w:r>
      <w:r w:rsidR="000E2946">
        <w:rPr>
          <w:lang w:val="en-US"/>
        </w:rPr>
        <w:t>(</w:t>
      </w:r>
      <w:r w:rsidR="00C0615A" w:rsidRPr="00C0615A">
        <w:rPr>
          <w:lang w:val="en-US"/>
        </w:rPr>
        <w:t>such as deposits and margin calls</w:t>
      </w:r>
      <w:r w:rsidR="000E2946">
        <w:rPr>
          <w:lang w:val="en-US"/>
        </w:rPr>
        <w:t>)</w:t>
      </w:r>
      <w:r w:rsidR="00A57A76">
        <w:rPr>
          <w:lang w:val="en-US"/>
        </w:rPr>
        <w:t>.</w:t>
      </w:r>
    </w:p>
    <w:p w:rsidR="00241EFA" w:rsidRDefault="00413225">
      <w:pPr>
        <w:rPr>
          <w:lang w:val="en-US"/>
        </w:rPr>
      </w:pPr>
      <w:r w:rsidRPr="00937563">
        <w:rPr>
          <w:lang w:val="en-US"/>
        </w:rPr>
        <w:t>Subscriptions and redemptio</w:t>
      </w:r>
      <w:r>
        <w:rPr>
          <w:lang w:val="en-US"/>
        </w:rPr>
        <w:t>n</w:t>
      </w:r>
      <w:r w:rsidRPr="00937563">
        <w:rPr>
          <w:lang w:val="en-US"/>
        </w:rPr>
        <w:t>s for units in the fund are possible t</w:t>
      </w:r>
      <w:r w:rsidR="003D3304">
        <w:rPr>
          <w:lang w:val="en-US"/>
        </w:rPr>
        <w:t>h</w:t>
      </w:r>
      <w:r w:rsidRPr="00937563">
        <w:rPr>
          <w:lang w:val="en-US"/>
        </w:rPr>
        <w:t xml:space="preserve">rough transfer of shares or can be made exclusively in cash. </w:t>
      </w:r>
      <w:r>
        <w:rPr>
          <w:lang w:val="en-US"/>
        </w:rPr>
        <w:t xml:space="preserve"> The request must be transmitted to </w:t>
      </w:r>
      <w:proofErr w:type="spellStart"/>
      <w:r>
        <w:rPr>
          <w:lang w:val="en-US"/>
        </w:rPr>
        <w:t>Société</w:t>
      </w:r>
      <w:proofErr w:type="spellEnd"/>
      <w:r>
        <w:rPr>
          <w:lang w:val="en-US"/>
        </w:rPr>
        <w:t xml:space="preserve"> </w:t>
      </w:r>
      <w:proofErr w:type="spellStart"/>
      <w:r>
        <w:rPr>
          <w:lang w:val="en-US"/>
        </w:rPr>
        <w:t>Générale’s</w:t>
      </w:r>
      <w:proofErr w:type="spellEnd"/>
      <w:r>
        <w:rPr>
          <w:lang w:val="en-US"/>
        </w:rPr>
        <w:t xml:space="preserve"> Securities and Stock Market Department during a trading day, for execution based </w:t>
      </w:r>
      <w:r>
        <w:rPr>
          <w:lang w:val="en-US"/>
        </w:rPr>
        <w:lastRenderedPageBreak/>
        <w:t xml:space="preserve">on the net asset value published on this trading day.  Subscriptions/redemptions are carried out for a whole number or fund units, corresponding to a minimum of €100,000 and charged €10,000 per subscription/redemption request.  For subscription through transfer of shares, the subscriber must deliver a </w:t>
      </w:r>
      <w:r w:rsidR="00A57A76">
        <w:rPr>
          <w:lang w:val="en-US"/>
        </w:rPr>
        <w:t xml:space="preserve">basket </w:t>
      </w:r>
      <w:r>
        <w:rPr>
          <w:lang w:val="en-US"/>
        </w:rPr>
        <w:t xml:space="preserve">of shares making up the CAC 40 </w:t>
      </w:r>
      <w:r w:rsidR="0074308C">
        <w:rPr>
          <w:lang w:val="en-US"/>
        </w:rPr>
        <w:t>i</w:t>
      </w:r>
      <w:r>
        <w:rPr>
          <w:lang w:val="en-US"/>
        </w:rPr>
        <w:t xml:space="preserve">ndex (round down to the nearest share), plus an amount in cash in EUR (the “balance”).  </w:t>
      </w:r>
      <w:r w:rsidR="00A57A76">
        <w:rPr>
          <w:lang w:val="en-US"/>
        </w:rPr>
        <w:t xml:space="preserve">The cash </w:t>
      </w:r>
      <w:r>
        <w:rPr>
          <w:lang w:val="en-US"/>
        </w:rPr>
        <w:t xml:space="preserve">balance solve the rounding problem and is equal to the difference between the net asset value of one unit multiplied by the number of units subscribed and the value of the shares delivered.  The reverse mechanism is applicable for redemption through transfer of shares.  </w:t>
      </w:r>
      <w:r w:rsidR="00A57A76">
        <w:rPr>
          <w:lang w:val="en-US"/>
        </w:rPr>
        <w:t xml:space="preserve">Those </w:t>
      </w:r>
      <w:r>
        <w:rPr>
          <w:lang w:val="en-US"/>
        </w:rPr>
        <w:t xml:space="preserve">primary market </w:t>
      </w:r>
      <w:r w:rsidR="00A57A76">
        <w:rPr>
          <w:lang w:val="en-US"/>
        </w:rPr>
        <w:t xml:space="preserve">operations are </w:t>
      </w:r>
      <w:r>
        <w:rPr>
          <w:lang w:val="en-US"/>
        </w:rPr>
        <w:t xml:space="preserve">effectively used by </w:t>
      </w:r>
      <w:r w:rsidR="0074308C">
        <w:rPr>
          <w:lang w:val="en-US"/>
        </w:rPr>
        <w:t>investors:</w:t>
      </w:r>
      <w:r>
        <w:rPr>
          <w:lang w:val="en-US"/>
        </w:rPr>
        <w:t xml:space="preserve"> </w:t>
      </w:r>
      <w:r w:rsidR="00A57A76">
        <w:rPr>
          <w:lang w:val="en-US"/>
        </w:rPr>
        <w:t>from</w:t>
      </w:r>
      <w:r>
        <w:rPr>
          <w:lang w:val="en-US"/>
        </w:rPr>
        <w:t xml:space="preserve"> July 2009 </w:t>
      </w:r>
      <w:r w:rsidR="00A57A76">
        <w:rPr>
          <w:lang w:val="en-US"/>
        </w:rPr>
        <w:t xml:space="preserve">to </w:t>
      </w:r>
      <w:r>
        <w:rPr>
          <w:lang w:val="en-US"/>
        </w:rPr>
        <w:t xml:space="preserve">July 2010, </w:t>
      </w:r>
      <w:r w:rsidRPr="00C36EF8">
        <w:rPr>
          <w:lang w:val="en-US"/>
        </w:rPr>
        <w:t>€</w:t>
      </w:r>
      <w:r>
        <w:rPr>
          <w:lang w:val="en-US"/>
        </w:rPr>
        <w:t>2</w:t>
      </w:r>
      <w:r w:rsidRPr="00C36EF8">
        <w:rPr>
          <w:lang w:val="en-US"/>
        </w:rPr>
        <w:t>.</w:t>
      </w:r>
      <w:r>
        <w:rPr>
          <w:lang w:val="en-US"/>
        </w:rPr>
        <w:t>8</w:t>
      </w:r>
      <w:r w:rsidRPr="00C36EF8">
        <w:rPr>
          <w:lang w:val="en-US"/>
        </w:rPr>
        <w:t xml:space="preserve"> billion</w:t>
      </w:r>
      <w:r>
        <w:rPr>
          <w:lang w:val="en-US"/>
        </w:rPr>
        <w:t xml:space="preserve"> of subscription and </w:t>
      </w:r>
      <w:r w:rsidRPr="00C36EF8">
        <w:rPr>
          <w:lang w:val="en-US"/>
        </w:rPr>
        <w:t>€</w:t>
      </w:r>
      <w:r>
        <w:rPr>
          <w:lang w:val="en-US"/>
        </w:rPr>
        <w:t>3.0</w:t>
      </w:r>
      <w:r w:rsidRPr="00C36EF8">
        <w:rPr>
          <w:lang w:val="en-US"/>
        </w:rPr>
        <w:t xml:space="preserve"> billion</w:t>
      </w:r>
      <w:r>
        <w:rPr>
          <w:lang w:val="en-US"/>
        </w:rPr>
        <w:t xml:space="preserve"> of redemption </w:t>
      </w:r>
      <w:r w:rsidR="00A57A76">
        <w:rPr>
          <w:lang w:val="en-US"/>
        </w:rPr>
        <w:t>were</w:t>
      </w:r>
      <w:r>
        <w:rPr>
          <w:lang w:val="en-US"/>
        </w:rPr>
        <w:t xml:space="preserve"> registered</w:t>
      </w:r>
      <w:r w:rsidR="0074308C">
        <w:rPr>
          <w:lang w:val="en-US"/>
        </w:rPr>
        <w:t>, t</w:t>
      </w:r>
      <w:r w:rsidR="00A57A76">
        <w:rPr>
          <w:lang w:val="en-US"/>
        </w:rPr>
        <w:t xml:space="preserve">hese </w:t>
      </w:r>
      <w:r>
        <w:rPr>
          <w:lang w:val="en-US"/>
        </w:rPr>
        <w:t xml:space="preserve">amounts </w:t>
      </w:r>
      <w:r w:rsidR="00A57A76">
        <w:rPr>
          <w:lang w:val="en-US"/>
        </w:rPr>
        <w:t xml:space="preserve">being </w:t>
      </w:r>
      <w:r>
        <w:rPr>
          <w:lang w:val="en-US"/>
        </w:rPr>
        <w:t xml:space="preserve">comparable to </w:t>
      </w:r>
      <w:r w:rsidR="001A18B8">
        <w:rPr>
          <w:lang w:val="en-US"/>
        </w:rPr>
        <w:t xml:space="preserve">the </w:t>
      </w:r>
      <w:r>
        <w:rPr>
          <w:lang w:val="en-US"/>
        </w:rPr>
        <w:t>value of assets under management.</w:t>
      </w:r>
      <w:r w:rsidR="00461594">
        <w:rPr>
          <w:rStyle w:val="Appelnotedebasdep"/>
          <w:lang w:val="en-US"/>
        </w:rPr>
        <w:footnoteReference w:id="11"/>
      </w:r>
    </w:p>
    <w:p w:rsidR="00FE5D7B" w:rsidRDefault="00C0615A">
      <w:pPr>
        <w:pStyle w:val="Titre3"/>
        <w:rPr>
          <w:lang w:val="en-US"/>
        </w:rPr>
      </w:pPr>
      <w:r w:rsidRPr="00C0615A">
        <w:rPr>
          <w:lang w:val="en-US"/>
        </w:rPr>
        <w:t>2.2.</w:t>
      </w:r>
      <w:r w:rsidRPr="00C0615A">
        <w:rPr>
          <w:lang w:val="en-US"/>
        </w:rPr>
        <w:tab/>
        <w:t>Trading mechanisms</w:t>
      </w:r>
    </w:p>
    <w:p w:rsidR="0046347F" w:rsidRDefault="00C0615A">
      <w:pPr>
        <w:rPr>
          <w:lang w:val="en-US"/>
        </w:rPr>
      </w:pPr>
      <w:r w:rsidRPr="00C0615A">
        <w:rPr>
          <w:lang w:val="en-US"/>
        </w:rPr>
        <w:t xml:space="preserve">The European stock markets of </w:t>
      </w:r>
      <w:proofErr w:type="spellStart"/>
      <w:r w:rsidRPr="00C0615A">
        <w:rPr>
          <w:lang w:val="en-US"/>
        </w:rPr>
        <w:t>Nyse</w:t>
      </w:r>
      <w:proofErr w:type="spellEnd"/>
      <w:r w:rsidRPr="00C0615A">
        <w:rPr>
          <w:lang w:val="en-US"/>
        </w:rPr>
        <w:t>-Euronext currently rank among the most important trading venues in Europe</w:t>
      </w:r>
      <w:r w:rsidR="00E2523F">
        <w:rPr>
          <w:lang w:val="en-US"/>
        </w:rPr>
        <w:t>. They</w:t>
      </w:r>
      <w:r w:rsidRPr="00C0615A">
        <w:rPr>
          <w:lang w:val="en-US"/>
        </w:rPr>
        <w:t xml:space="preserve"> rely on a</w:t>
      </w:r>
      <w:r w:rsidR="00E2523F">
        <w:rPr>
          <w:lang w:val="en-US"/>
        </w:rPr>
        <w:t xml:space="preserve"> </w:t>
      </w:r>
      <w:r w:rsidRPr="00C0615A">
        <w:rPr>
          <w:lang w:val="en-US"/>
        </w:rPr>
        <w:t>homogeneous order-driven structure.  The CAC 40 stocks are traded continuously in the Euronext electronic order book.  The trading day starts with a call auction at 9.00</w:t>
      </w:r>
      <w:r w:rsidR="00E2523F">
        <w:rPr>
          <w:lang w:val="en-US"/>
        </w:rPr>
        <w:t xml:space="preserve"> </w:t>
      </w:r>
      <w:r w:rsidRPr="00C0615A">
        <w:rPr>
          <w:lang w:val="en-US"/>
        </w:rPr>
        <w:t>a</w:t>
      </w:r>
      <w:r w:rsidR="00E2523F">
        <w:rPr>
          <w:lang w:val="en-US"/>
        </w:rPr>
        <w:t>.</w:t>
      </w:r>
      <w:r w:rsidRPr="00C0615A">
        <w:rPr>
          <w:lang w:val="en-US"/>
        </w:rPr>
        <w:t>m</w:t>
      </w:r>
      <w:r w:rsidR="00E2523F">
        <w:rPr>
          <w:lang w:val="en-US"/>
        </w:rPr>
        <w:t>.</w:t>
      </w:r>
      <w:r w:rsidRPr="00C0615A">
        <w:rPr>
          <w:lang w:val="en-US"/>
        </w:rPr>
        <w:t xml:space="preserve"> following a pre-opening phase beginning at 7.15</w:t>
      </w:r>
      <w:r w:rsidR="00E2523F">
        <w:rPr>
          <w:lang w:val="en-US"/>
        </w:rPr>
        <w:t xml:space="preserve"> </w:t>
      </w:r>
      <w:r w:rsidRPr="00C0615A">
        <w:rPr>
          <w:lang w:val="en-US"/>
        </w:rPr>
        <w:t>a</w:t>
      </w:r>
      <w:r w:rsidR="00E2523F">
        <w:rPr>
          <w:lang w:val="en-US"/>
        </w:rPr>
        <w:t>.</w:t>
      </w:r>
      <w:r w:rsidRPr="00C0615A">
        <w:rPr>
          <w:lang w:val="en-US"/>
        </w:rPr>
        <w:t>m.  Then the market switches over to continuous trading and closes with a call auction at 5.30 p</w:t>
      </w:r>
      <w:r w:rsidR="00E2523F">
        <w:rPr>
          <w:lang w:val="en-US"/>
        </w:rPr>
        <w:t>.</w:t>
      </w:r>
      <w:r w:rsidRPr="00C0615A">
        <w:rPr>
          <w:lang w:val="en-US"/>
        </w:rPr>
        <w:t>m</w:t>
      </w:r>
      <w:r w:rsidR="00E2523F">
        <w:rPr>
          <w:lang w:val="en-US"/>
        </w:rPr>
        <w:t>.</w:t>
      </w:r>
      <w:r w:rsidRPr="00C0615A">
        <w:rPr>
          <w:lang w:val="en-US"/>
        </w:rPr>
        <w:t xml:space="preserve"> following a </w:t>
      </w:r>
      <w:r w:rsidR="00F25FCF">
        <w:rPr>
          <w:lang w:val="en-US"/>
        </w:rPr>
        <w:t>five</w:t>
      </w:r>
      <w:r w:rsidRPr="00C0615A">
        <w:rPr>
          <w:lang w:val="en-US"/>
        </w:rPr>
        <w:t>-minute pre-closing period.  Both opening and closing prices are set by matching the supply and demand curves and selecting the price that maximizes the trading volume.  The continuous trading system enforces a price-time order priority rule to arrange trades.</w:t>
      </w:r>
    </w:p>
    <w:p w:rsidR="00620D59" w:rsidRDefault="00C0615A">
      <w:pPr>
        <w:rPr>
          <w:lang w:val="en-US"/>
        </w:rPr>
      </w:pPr>
      <w:r w:rsidRPr="00C0615A">
        <w:rPr>
          <w:lang w:val="en-US"/>
        </w:rPr>
        <w:lastRenderedPageBreak/>
        <w:t xml:space="preserve">ETFs listed on </w:t>
      </w:r>
      <w:proofErr w:type="spellStart"/>
      <w:r w:rsidRPr="00C0615A">
        <w:rPr>
          <w:lang w:val="en-US"/>
        </w:rPr>
        <w:t>NextTrack</w:t>
      </w:r>
      <w:proofErr w:type="spellEnd"/>
      <w:r w:rsidRPr="00C0615A">
        <w:rPr>
          <w:lang w:val="en-US"/>
        </w:rPr>
        <w:t xml:space="preserve"> are also continuously traded but their trading session is delayed by five minutes </w:t>
      </w:r>
      <w:r w:rsidR="00E2523F">
        <w:rPr>
          <w:lang w:val="en-US"/>
        </w:rPr>
        <w:t xml:space="preserve">relative to </w:t>
      </w:r>
      <w:r w:rsidRPr="00C0615A">
        <w:rPr>
          <w:lang w:val="en-US"/>
        </w:rPr>
        <w:t>the cash stock</w:t>
      </w:r>
      <w:r w:rsidR="003F1C25">
        <w:rPr>
          <w:lang w:val="en-US"/>
        </w:rPr>
        <w:t xml:space="preserve"> </w:t>
      </w:r>
      <w:r w:rsidRPr="00C0615A">
        <w:rPr>
          <w:lang w:val="en-US"/>
        </w:rPr>
        <w:t xml:space="preserve">market session, so that the price discovery process on underlying stocks precedes that on ETFs.  In spite of </w:t>
      </w:r>
      <w:r w:rsidR="00E2523F">
        <w:rPr>
          <w:lang w:val="en-US"/>
        </w:rPr>
        <w:t xml:space="preserve">its </w:t>
      </w:r>
      <w:r w:rsidRPr="00C0615A">
        <w:rPr>
          <w:lang w:val="en-US"/>
        </w:rPr>
        <w:t xml:space="preserve">similarity with the cash market microstructure, the ETF market is different </w:t>
      </w:r>
      <w:r w:rsidR="00E2523F">
        <w:rPr>
          <w:lang w:val="en-US"/>
        </w:rPr>
        <w:t xml:space="preserve">in </w:t>
      </w:r>
      <w:r w:rsidRPr="00C0615A">
        <w:rPr>
          <w:lang w:val="en-US"/>
        </w:rPr>
        <w:t xml:space="preserve">two </w:t>
      </w:r>
      <w:r w:rsidR="00E2523F">
        <w:rPr>
          <w:lang w:val="en-US"/>
        </w:rPr>
        <w:t>re</w:t>
      </w:r>
      <w:r w:rsidRPr="00C0615A">
        <w:rPr>
          <w:lang w:val="en-US"/>
        </w:rPr>
        <w:t>spects</w:t>
      </w:r>
      <w:r w:rsidR="00620D59">
        <w:rPr>
          <w:lang w:val="en-US"/>
        </w:rPr>
        <w:t>.</w:t>
      </w:r>
    </w:p>
    <w:p w:rsidR="00620D59" w:rsidRDefault="00C0615A">
      <w:pPr>
        <w:rPr>
          <w:lang w:val="en-US"/>
        </w:rPr>
      </w:pPr>
      <w:r w:rsidRPr="00C0615A">
        <w:rPr>
          <w:lang w:val="en-US"/>
        </w:rPr>
        <w:t>First, while CAC 40 stocks are traded in a pure limit</w:t>
      </w:r>
      <w:r w:rsidR="003F1C25">
        <w:rPr>
          <w:lang w:val="en-US"/>
        </w:rPr>
        <w:t xml:space="preserve"> </w:t>
      </w:r>
      <w:r w:rsidRPr="00C0615A">
        <w:rPr>
          <w:lang w:val="en-US"/>
        </w:rPr>
        <w:t xml:space="preserve">order book market, market members may act as LPs on </w:t>
      </w:r>
      <w:proofErr w:type="spellStart"/>
      <w:r w:rsidRPr="00C0615A">
        <w:rPr>
          <w:lang w:val="en-US"/>
        </w:rPr>
        <w:t>NextTrack</w:t>
      </w:r>
      <w:proofErr w:type="spellEnd"/>
      <w:r w:rsidRPr="00C0615A">
        <w:rPr>
          <w:lang w:val="en-US"/>
        </w:rPr>
        <w:t>.  As market specialists for their stocks, LPs have a business agreement with Euronext whereby they undertake to quote two-way bid and ask prices in the limit</w:t>
      </w:r>
      <w:r w:rsidR="003F1C25">
        <w:rPr>
          <w:lang w:val="en-US"/>
        </w:rPr>
        <w:t xml:space="preserve"> </w:t>
      </w:r>
      <w:r w:rsidRPr="00C0615A">
        <w:rPr>
          <w:lang w:val="en-US"/>
        </w:rPr>
        <w:t>order book, with a minimum volume and within a maximum spread.  They commit to maintain</w:t>
      </w:r>
      <w:r w:rsidR="001643B9">
        <w:rPr>
          <w:lang w:val="en-US"/>
        </w:rPr>
        <w:t>ing</w:t>
      </w:r>
      <w:r w:rsidRPr="00C0615A">
        <w:rPr>
          <w:lang w:val="en-US"/>
        </w:rPr>
        <w:t xml:space="preserve"> a spread of firm bid and offer prices during the fifteen minutes preceding the market opening, and then throughout the trading day</w:t>
      </w:r>
      <w:r w:rsidR="001643B9">
        <w:rPr>
          <w:lang w:val="en-US"/>
        </w:rPr>
        <w:t>,</w:t>
      </w:r>
      <w:r w:rsidRPr="00C0615A">
        <w:rPr>
          <w:lang w:val="en-US"/>
        </w:rPr>
        <w:t xml:space="preserve"> including the order</w:t>
      </w:r>
      <w:r w:rsidR="003F1C25">
        <w:rPr>
          <w:lang w:val="en-US"/>
        </w:rPr>
        <w:t xml:space="preserve"> </w:t>
      </w:r>
      <w:r w:rsidRPr="00C0615A">
        <w:rPr>
          <w:lang w:val="en-US"/>
        </w:rPr>
        <w:t>accumulation period preceding auctions.  In return for those commitments, orders placed by LPs and their resulting trades are subject to tariff benefits which are conditioned on their performance in providing liquidity</w:t>
      </w:r>
      <w:r w:rsidR="001643B9">
        <w:rPr>
          <w:lang w:val="en-US"/>
        </w:rPr>
        <w:t>,</w:t>
      </w:r>
      <w:r w:rsidRPr="00C0615A">
        <w:rPr>
          <w:lang w:val="en-US"/>
        </w:rPr>
        <w:t xml:space="preserve"> and may not exceed 50% of explicit trading fees.  LPs benefit from the maximum fee reduction of 50%, provided that they comply with 80% of their commitments in terms of quote time, quoted s</w:t>
      </w:r>
      <w:r w:rsidR="00620D59">
        <w:rPr>
          <w:lang w:val="en-US"/>
        </w:rPr>
        <w:t>preads, and quoted quantities.</w:t>
      </w:r>
    </w:p>
    <w:p w:rsidR="00FE5D7B" w:rsidRDefault="00620D59">
      <w:pPr>
        <w:rPr>
          <w:lang w:val="en-US"/>
        </w:rPr>
      </w:pPr>
      <w:r>
        <w:rPr>
          <w:lang w:val="en-US"/>
        </w:rPr>
        <w:t xml:space="preserve">Second, a </w:t>
      </w:r>
      <w:r w:rsidR="00C0615A" w:rsidRPr="00C0615A">
        <w:rPr>
          <w:lang w:val="en-US"/>
        </w:rPr>
        <w:t xml:space="preserve">large portion of the ETF order flow is executed in the </w:t>
      </w:r>
      <w:r w:rsidR="001643B9">
        <w:rPr>
          <w:lang w:val="en-US"/>
        </w:rPr>
        <w:t>over-the-counter</w:t>
      </w:r>
      <w:r w:rsidR="00C0615A" w:rsidRPr="00C0615A">
        <w:rPr>
          <w:lang w:val="en-US"/>
        </w:rPr>
        <w:t xml:space="preserve"> market by LPs. As the </w:t>
      </w:r>
      <w:r w:rsidR="00C36EF8" w:rsidRPr="00C36EF8">
        <w:rPr>
          <w:lang w:val="en-US"/>
        </w:rPr>
        <w:t>Markets in Financial Instruments Directive</w:t>
      </w:r>
      <w:r w:rsidR="009C42CC" w:rsidRPr="00E723C2">
        <w:rPr>
          <w:lang w:val="en-US"/>
        </w:rPr>
        <w:t xml:space="preserve"> (</w:t>
      </w:r>
      <w:proofErr w:type="spellStart"/>
      <w:r w:rsidR="009C42CC" w:rsidRPr="00E723C2">
        <w:rPr>
          <w:lang w:val="en-US"/>
        </w:rPr>
        <w:t>MiFID</w:t>
      </w:r>
      <w:proofErr w:type="spellEnd"/>
      <w:r w:rsidR="009C42CC" w:rsidRPr="00E723C2">
        <w:rPr>
          <w:lang w:val="en-US"/>
        </w:rPr>
        <w:t>)</w:t>
      </w:r>
      <w:r w:rsidR="009C42CC" w:rsidRPr="00E723C2">
        <w:rPr>
          <w:rStyle w:val="Appelnotedebasdep"/>
          <w:lang w:val="en-US"/>
        </w:rPr>
        <w:footnoteReference w:id="12"/>
      </w:r>
      <w:r w:rsidR="009C42CC" w:rsidRPr="00E723C2">
        <w:rPr>
          <w:lang w:val="en-US"/>
        </w:rPr>
        <w:t xml:space="preserve"> </w:t>
      </w:r>
      <w:proofErr w:type="gramStart"/>
      <w:r w:rsidR="009C42CC" w:rsidRPr="00E723C2">
        <w:rPr>
          <w:lang w:val="en-US"/>
        </w:rPr>
        <w:t>does</w:t>
      </w:r>
      <w:proofErr w:type="gramEnd"/>
      <w:r w:rsidR="009C42CC" w:rsidRPr="00E723C2">
        <w:rPr>
          <w:lang w:val="en-US"/>
        </w:rPr>
        <w:t xml:space="preserve"> not apply to ETF trading, there is no commitment </w:t>
      </w:r>
      <w:r w:rsidR="001643B9">
        <w:rPr>
          <w:lang w:val="en-US"/>
        </w:rPr>
        <w:t xml:space="preserve">to </w:t>
      </w:r>
      <w:r w:rsidR="009C42CC" w:rsidRPr="00E723C2">
        <w:rPr>
          <w:lang w:val="en-US"/>
        </w:rPr>
        <w:t>post-trade transparency for those OTC trades.</w:t>
      </w:r>
    </w:p>
    <w:p w:rsidR="00FE5D7B" w:rsidRDefault="00C0615A">
      <w:pPr>
        <w:pStyle w:val="Titre3"/>
        <w:rPr>
          <w:lang w:val="en-US"/>
        </w:rPr>
      </w:pPr>
      <w:r w:rsidRPr="00C0615A">
        <w:rPr>
          <w:lang w:val="en-US"/>
        </w:rPr>
        <w:lastRenderedPageBreak/>
        <w:t>2.3.</w:t>
      </w:r>
      <w:r w:rsidRPr="00C0615A">
        <w:rPr>
          <w:lang w:val="en-US"/>
        </w:rPr>
        <w:tab/>
        <w:t>Cost savings related to the ETF and LPs’ contribution</w:t>
      </w:r>
    </w:p>
    <w:p w:rsidR="0046347F" w:rsidRDefault="00C0615A">
      <w:pPr>
        <w:rPr>
          <w:lang w:val="en-US"/>
        </w:rPr>
      </w:pPr>
      <w:r w:rsidRPr="00C0615A">
        <w:rPr>
          <w:lang w:val="en-US"/>
        </w:rPr>
        <w:t xml:space="preserve">We assess the economic relevance of ETFs by comparing the implicit transaction costs associated with the </w:t>
      </w:r>
      <w:proofErr w:type="spellStart"/>
      <w:r w:rsidRPr="00C0615A">
        <w:rPr>
          <w:lang w:val="en-US"/>
        </w:rPr>
        <w:t>Lyxor</w:t>
      </w:r>
      <w:proofErr w:type="spellEnd"/>
      <w:r w:rsidRPr="00C0615A">
        <w:rPr>
          <w:lang w:val="en-US"/>
        </w:rPr>
        <w:t xml:space="preserve"> CAC 40 with those associated with the CAC 40 stock basket.</w:t>
      </w:r>
      <w:r w:rsidR="001643B9">
        <w:rPr>
          <w:lang w:val="en-US"/>
        </w:rPr>
        <w:t xml:space="preserve"> Our </w:t>
      </w:r>
      <w:r w:rsidRPr="00C0615A">
        <w:rPr>
          <w:lang w:val="en-US"/>
        </w:rPr>
        <w:t xml:space="preserve">analysis </w:t>
      </w:r>
      <w:r w:rsidR="001643B9">
        <w:rPr>
          <w:lang w:val="en-US"/>
        </w:rPr>
        <w:t xml:space="preserve">is based </w:t>
      </w:r>
      <w:r w:rsidRPr="00C0615A">
        <w:rPr>
          <w:lang w:val="en-US"/>
        </w:rPr>
        <w:t xml:space="preserve">on the database used by De Winne and D’Hondt (2007).  This database contains very detailed order book </w:t>
      </w:r>
      <w:r w:rsidR="00620D59">
        <w:rPr>
          <w:lang w:val="en-US"/>
        </w:rPr>
        <w:t xml:space="preserve">data </w:t>
      </w:r>
      <w:r w:rsidRPr="00C0615A">
        <w:rPr>
          <w:lang w:val="en-US"/>
        </w:rPr>
        <w:t xml:space="preserve">during October 2002.  Our sample contains the CAC 40 stocks and the </w:t>
      </w:r>
      <w:proofErr w:type="spellStart"/>
      <w:r w:rsidRPr="00C0615A">
        <w:rPr>
          <w:lang w:val="en-US"/>
        </w:rPr>
        <w:t>Lyxor</w:t>
      </w:r>
      <w:proofErr w:type="spellEnd"/>
      <w:r w:rsidRPr="00C0615A">
        <w:rPr>
          <w:lang w:val="en-US"/>
        </w:rPr>
        <w:t xml:space="preserve"> CAC 40 security.  </w:t>
      </w:r>
      <w:r w:rsidR="001643B9">
        <w:rPr>
          <w:lang w:val="en-US"/>
        </w:rPr>
        <w:t>W</w:t>
      </w:r>
      <w:r w:rsidRPr="00C0615A">
        <w:rPr>
          <w:lang w:val="en-US"/>
        </w:rPr>
        <w:t xml:space="preserve">e know exactly what is registered in the limit order book for a given stock </w:t>
      </w:r>
      <w:r w:rsidR="001643B9">
        <w:rPr>
          <w:lang w:val="en-US"/>
        </w:rPr>
        <w:t>a</w:t>
      </w:r>
      <w:r w:rsidR="001643B9" w:rsidRPr="00E723C2">
        <w:rPr>
          <w:lang w:val="en-US"/>
        </w:rPr>
        <w:t>t e</w:t>
      </w:r>
      <w:r w:rsidR="001643B9">
        <w:rPr>
          <w:lang w:val="en-US"/>
        </w:rPr>
        <w:t>very second</w:t>
      </w:r>
      <w:r w:rsidR="00F25FCF">
        <w:rPr>
          <w:lang w:val="en-US"/>
        </w:rPr>
        <w:t>:</w:t>
      </w:r>
      <w:r w:rsidR="001643B9" w:rsidRPr="00E723C2">
        <w:rPr>
          <w:lang w:val="en-US"/>
        </w:rPr>
        <w:t xml:space="preserve"> </w:t>
      </w:r>
      <w:r w:rsidRPr="00C0615A">
        <w:rPr>
          <w:lang w:val="en-US"/>
        </w:rPr>
        <w:t xml:space="preserve">the set of the five best bid/ask quotes, both displayed and hidden quantities associated with these quotes, and the portion of these quantities stemming from client orders, principal orders, </w:t>
      </w:r>
      <w:r w:rsidR="004D1BA2">
        <w:rPr>
          <w:lang w:val="en-US"/>
        </w:rPr>
        <w:t xml:space="preserve">and </w:t>
      </w:r>
      <w:r w:rsidRPr="00C0615A">
        <w:rPr>
          <w:lang w:val="en-US"/>
        </w:rPr>
        <w:t>LP orders.  Additional information</w:t>
      </w:r>
      <w:r w:rsidR="009C42CC" w:rsidRPr="00E723C2">
        <w:rPr>
          <w:rStyle w:val="Appelnotedebasdep"/>
          <w:lang w:val="en-US"/>
        </w:rPr>
        <w:footnoteReference w:id="13"/>
      </w:r>
      <w:r w:rsidR="009C42CC" w:rsidRPr="00E723C2">
        <w:rPr>
          <w:lang w:val="en-US"/>
        </w:rPr>
        <w:t xml:space="preserve"> about this database and about the process used to build the limit order book </w:t>
      </w:r>
      <w:r w:rsidR="004D1BA2">
        <w:rPr>
          <w:lang w:val="en-US"/>
        </w:rPr>
        <w:t xml:space="preserve">can </w:t>
      </w:r>
      <w:r w:rsidR="009C42CC" w:rsidRPr="00E723C2">
        <w:rPr>
          <w:lang w:val="en-US"/>
        </w:rPr>
        <w:t>be found in De Winne and D’Hondt (2007).</w:t>
      </w:r>
    </w:p>
    <w:p w:rsidR="00FE5D7B" w:rsidRDefault="00C0615A">
      <w:pPr>
        <w:rPr>
          <w:lang w:val="en-US"/>
        </w:rPr>
      </w:pPr>
      <w:r w:rsidRPr="00C0615A">
        <w:rPr>
          <w:lang w:val="en-US"/>
        </w:rPr>
        <w:t>Using these order</w:t>
      </w:r>
      <w:r w:rsidR="00E55A6E">
        <w:rPr>
          <w:lang w:val="en-US"/>
        </w:rPr>
        <w:t xml:space="preserve"> </w:t>
      </w:r>
      <w:r w:rsidRPr="00C0615A">
        <w:rPr>
          <w:lang w:val="en-US"/>
        </w:rPr>
        <w:t xml:space="preserve">book data, we compare the cost of a round-trip trade in the CAC 40 stock basket and in the CAC 40 ETF.  As </w:t>
      </w:r>
      <w:r w:rsidR="004D1BA2">
        <w:rPr>
          <w:lang w:val="en-US"/>
        </w:rPr>
        <w:t xml:space="preserve">suggested </w:t>
      </w:r>
      <w:r w:rsidRPr="00C0615A">
        <w:rPr>
          <w:lang w:val="en-US"/>
        </w:rPr>
        <w:t xml:space="preserve">by Irvine, </w:t>
      </w:r>
      <w:proofErr w:type="spellStart"/>
      <w:r w:rsidRPr="00C0615A">
        <w:rPr>
          <w:lang w:val="en-US"/>
        </w:rPr>
        <w:t>Benston</w:t>
      </w:r>
      <w:proofErr w:type="spellEnd"/>
      <w:r w:rsidRPr="00C0615A">
        <w:rPr>
          <w:lang w:val="en-US"/>
        </w:rPr>
        <w:t xml:space="preserve">, and </w:t>
      </w:r>
      <w:proofErr w:type="spellStart"/>
      <w:r w:rsidRPr="00C0615A">
        <w:rPr>
          <w:lang w:val="en-US"/>
        </w:rPr>
        <w:t>Kandel</w:t>
      </w:r>
      <w:proofErr w:type="spellEnd"/>
      <w:r w:rsidRPr="00C0615A">
        <w:rPr>
          <w:lang w:val="en-US"/>
        </w:rPr>
        <w:t xml:space="preserve"> (2000), an</w:t>
      </w:r>
      <w:r w:rsidR="00C36EF8" w:rsidRPr="00C36EF8">
        <w:rPr>
          <w:i/>
          <w:lang w:val="en-US"/>
        </w:rPr>
        <w:t xml:space="preserve"> ex-ante</w:t>
      </w:r>
      <w:r w:rsidRPr="00C0615A">
        <w:rPr>
          <w:lang w:val="en-US"/>
        </w:rPr>
        <w:t xml:space="preserve"> liquidity measure is useful to indicate the upper bound of </w:t>
      </w:r>
      <w:r w:rsidR="004D1BA2">
        <w:rPr>
          <w:lang w:val="en-US"/>
        </w:rPr>
        <w:t xml:space="preserve">the </w:t>
      </w:r>
      <w:r w:rsidRPr="00C0615A">
        <w:rPr>
          <w:lang w:val="en-US"/>
        </w:rPr>
        <w:t xml:space="preserve">transaction cost at which an order can be immediately executed.  Of course, we know that many traders will try to obtain a better price for the whole </w:t>
      </w:r>
      <w:r w:rsidR="004D1BA2">
        <w:rPr>
          <w:lang w:val="en-US"/>
        </w:rPr>
        <w:t xml:space="preserve">bundle </w:t>
      </w:r>
      <w:r w:rsidRPr="00C0615A">
        <w:rPr>
          <w:lang w:val="en-US"/>
        </w:rPr>
        <w:t>of shares by splitting their orders</w:t>
      </w:r>
      <w:r w:rsidR="004D1BA2">
        <w:rPr>
          <w:lang w:val="en-US"/>
        </w:rPr>
        <w:t>,</w:t>
      </w:r>
      <w:r w:rsidRPr="00C0615A">
        <w:rPr>
          <w:lang w:val="en-US"/>
        </w:rPr>
        <w:t xml:space="preserve"> but the cost of a round-trip trade (CRT) gives some idea of the implicit costs that </w:t>
      </w:r>
      <w:r w:rsidR="004D1BA2">
        <w:rPr>
          <w:lang w:val="en-US"/>
        </w:rPr>
        <w:t xml:space="preserve">can be </w:t>
      </w:r>
      <w:r w:rsidRPr="00C0615A">
        <w:rPr>
          <w:lang w:val="en-US"/>
        </w:rPr>
        <w:t>expect</w:t>
      </w:r>
      <w:r w:rsidR="004D1BA2">
        <w:rPr>
          <w:lang w:val="en-US"/>
        </w:rPr>
        <w:t>ed</w:t>
      </w:r>
      <w:r w:rsidRPr="00C0615A">
        <w:rPr>
          <w:lang w:val="en-US"/>
        </w:rPr>
        <w:t xml:space="preserve"> from a naive order</w:t>
      </w:r>
      <w:r w:rsidR="003F1C25">
        <w:rPr>
          <w:lang w:val="en-US"/>
        </w:rPr>
        <w:t xml:space="preserve"> </w:t>
      </w:r>
      <w:r w:rsidRPr="00C0615A">
        <w:rPr>
          <w:lang w:val="en-US"/>
        </w:rPr>
        <w:t>placement strategy. At a</w:t>
      </w:r>
      <w:r w:rsidR="004D1BA2">
        <w:rPr>
          <w:lang w:val="en-US"/>
        </w:rPr>
        <w:t>ny</w:t>
      </w:r>
      <w:r w:rsidRPr="00C0615A">
        <w:rPr>
          <w:lang w:val="en-US"/>
        </w:rPr>
        <w:t xml:space="preserve"> given point in time</w:t>
      </w:r>
      <w:r w:rsidRPr="00C0615A">
        <w:rPr>
          <w:i/>
          <w:lang w:val="en-US"/>
        </w:rPr>
        <w:t xml:space="preserve"> t</w:t>
      </w:r>
      <w:r w:rsidRPr="00C0615A">
        <w:rPr>
          <w:lang w:val="en-US"/>
        </w:rPr>
        <w:t xml:space="preserve">, the CRT for a trade size </w:t>
      </w:r>
      <w:r w:rsidRPr="00C0615A">
        <w:rPr>
          <w:i/>
          <w:lang w:val="en-US"/>
        </w:rPr>
        <w:t>T</w:t>
      </w:r>
      <w:r w:rsidRPr="00C0615A">
        <w:rPr>
          <w:lang w:val="en-US"/>
        </w:rPr>
        <w:t xml:space="preserve"> corresponds to the difference between the cost of buying </w:t>
      </w:r>
      <w:r w:rsidRPr="00C0615A">
        <w:rPr>
          <w:i/>
          <w:lang w:val="en-US"/>
        </w:rPr>
        <w:t>T</w:t>
      </w:r>
      <w:r w:rsidRPr="00C0615A">
        <w:rPr>
          <w:lang w:val="en-US"/>
        </w:rPr>
        <w:t xml:space="preserve"> shares of a stock </w:t>
      </w:r>
      <w:proofErr w:type="spellStart"/>
      <w:r w:rsidRPr="00C0615A">
        <w:rPr>
          <w:i/>
          <w:lang w:val="en-US"/>
        </w:rPr>
        <w:t>i</w:t>
      </w:r>
      <w:proofErr w:type="spellEnd"/>
      <w:r w:rsidRPr="00C0615A">
        <w:rPr>
          <w:lang w:val="en-US"/>
        </w:rPr>
        <w:t xml:space="preserve"> (</w:t>
      </w:r>
      <w:proofErr w:type="spellStart"/>
      <w:r w:rsidRPr="00C0615A">
        <w:rPr>
          <w:i/>
          <w:lang w:val="en-US"/>
        </w:rPr>
        <w:t>B</w:t>
      </w:r>
      <w:r w:rsidR="00687845">
        <w:rPr>
          <w:i/>
          <w:vertAlign w:val="subscript"/>
          <w:lang w:val="en-US"/>
        </w:rPr>
        <w:t>T,i,t</w:t>
      </w:r>
      <w:proofErr w:type="spellEnd"/>
      <w:r w:rsidRPr="00C0615A">
        <w:rPr>
          <w:lang w:val="en-US"/>
        </w:rPr>
        <w:t xml:space="preserve">) and the amount received from selling these </w:t>
      </w:r>
      <w:r w:rsidRPr="00C0615A">
        <w:rPr>
          <w:i/>
          <w:lang w:val="en-US"/>
        </w:rPr>
        <w:t>T</w:t>
      </w:r>
      <w:r w:rsidRPr="00C0615A">
        <w:rPr>
          <w:lang w:val="en-US"/>
        </w:rPr>
        <w:t xml:space="preserve"> shares (</w:t>
      </w:r>
      <w:proofErr w:type="spellStart"/>
      <w:r w:rsidRPr="00C0615A">
        <w:rPr>
          <w:i/>
          <w:lang w:val="en-US"/>
        </w:rPr>
        <w:t>S</w:t>
      </w:r>
      <w:r w:rsidR="00687845">
        <w:rPr>
          <w:i/>
          <w:vertAlign w:val="subscript"/>
          <w:lang w:val="en-US"/>
        </w:rPr>
        <w:t>T,i,t</w:t>
      </w:r>
      <w:proofErr w:type="spellEnd"/>
      <w:r w:rsidRPr="00C0615A">
        <w:rPr>
          <w:lang w:val="en-US"/>
        </w:rPr>
        <w:t xml:space="preserve">).  For the purpose of comparison across </w:t>
      </w:r>
      <w:r w:rsidRPr="00C0615A">
        <w:rPr>
          <w:lang w:val="en-US"/>
        </w:rPr>
        <w:lastRenderedPageBreak/>
        <w:t xml:space="preserve">stocks or </w:t>
      </w:r>
      <w:r w:rsidR="004D1BA2">
        <w:rPr>
          <w:lang w:val="en-US"/>
        </w:rPr>
        <w:t xml:space="preserve">across </w:t>
      </w:r>
      <w:r w:rsidRPr="00C0615A">
        <w:rPr>
          <w:lang w:val="en-US"/>
        </w:rPr>
        <w:t xml:space="preserve">trade sizes, this difference is divided by the value of these </w:t>
      </w:r>
      <w:r w:rsidRPr="00C0615A">
        <w:rPr>
          <w:i/>
          <w:lang w:val="en-US"/>
        </w:rPr>
        <w:t>T</w:t>
      </w:r>
      <w:r w:rsidRPr="00C0615A">
        <w:rPr>
          <w:lang w:val="en-US"/>
        </w:rPr>
        <w:t xml:space="preserve"> shares at the mid-point.  The CRT for a trade size of </w:t>
      </w:r>
      <w:r w:rsidRPr="00C0615A">
        <w:rPr>
          <w:i/>
          <w:lang w:val="en-US"/>
        </w:rPr>
        <w:t>T</w:t>
      </w:r>
      <w:r w:rsidRPr="00C0615A">
        <w:rPr>
          <w:lang w:val="en-US"/>
        </w:rPr>
        <w:t xml:space="preserve"> shares of stock</w:t>
      </w:r>
      <w:r w:rsidRPr="00C0615A">
        <w:rPr>
          <w:i/>
          <w:lang w:val="en-US"/>
        </w:rPr>
        <w:t xml:space="preserve"> </w:t>
      </w:r>
      <w:proofErr w:type="spellStart"/>
      <w:r w:rsidRPr="00C0615A">
        <w:rPr>
          <w:i/>
          <w:lang w:val="en-US"/>
        </w:rPr>
        <w:t>i</w:t>
      </w:r>
      <w:proofErr w:type="spellEnd"/>
      <w:r w:rsidRPr="00C0615A">
        <w:rPr>
          <w:lang w:val="en-US"/>
        </w:rPr>
        <w:t xml:space="preserve"> at time </w:t>
      </w:r>
      <w:proofErr w:type="spellStart"/>
      <w:r w:rsidRPr="00C0615A">
        <w:rPr>
          <w:i/>
          <w:lang w:val="en-US"/>
        </w:rPr>
        <w:t>t</w:t>
      </w:r>
      <w:proofErr w:type="spellEnd"/>
      <w:r w:rsidRPr="00C0615A">
        <w:rPr>
          <w:lang w:val="en-US"/>
        </w:rPr>
        <w:t xml:space="preserve"> </w:t>
      </w:r>
      <w:r w:rsidR="004D1BA2">
        <w:rPr>
          <w:lang w:val="en-US"/>
        </w:rPr>
        <w:t xml:space="preserve">is therefore </w:t>
      </w:r>
      <w:r w:rsidRPr="00C0615A">
        <w:rPr>
          <w:lang w:val="en-US"/>
        </w:rPr>
        <w:t>computed as:</w:t>
      </w:r>
    </w:p>
    <w:tbl>
      <w:tblPr>
        <w:tblW w:w="9290" w:type="dxa"/>
        <w:tblLook w:val="01E0" w:firstRow="1" w:lastRow="1" w:firstColumn="1" w:lastColumn="1" w:noHBand="0" w:noVBand="0"/>
      </w:tblPr>
      <w:tblGrid>
        <w:gridCol w:w="8208"/>
        <w:gridCol w:w="1082"/>
      </w:tblGrid>
      <w:tr w:rsidR="009C42CC" w:rsidRPr="00E723C2" w:rsidTr="00D65560">
        <w:tc>
          <w:tcPr>
            <w:tcW w:w="8208" w:type="dxa"/>
          </w:tcPr>
          <w:p w:rsidR="00FE5D7B" w:rsidRDefault="009C42CC">
            <w:pPr>
              <w:spacing w:before="0"/>
              <w:ind w:firstLine="0"/>
              <w:jc w:val="center"/>
              <w:rPr>
                <w:lang w:val="en-US"/>
              </w:rPr>
            </w:pPr>
            <w:r w:rsidRPr="00E723C2">
              <w:rPr>
                <w:position w:val="-58"/>
                <w:lang w:val="en-US"/>
              </w:rPr>
              <w:object w:dxaOrig="2860"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50.25pt" o:ole="">
                  <v:imagedata r:id="rId13" o:title=""/>
                </v:shape>
                <o:OLEObject Type="Embed" ProgID="Equation.3" ShapeID="_x0000_i1025" DrawAspect="Content" ObjectID="_1396445678" r:id="rId14"/>
              </w:object>
            </w:r>
            <w:r w:rsidRPr="00E723C2">
              <w:rPr>
                <w:lang w:val="en-US"/>
              </w:rPr>
              <w:t>,</w:t>
            </w:r>
          </w:p>
        </w:tc>
        <w:tc>
          <w:tcPr>
            <w:tcW w:w="1082" w:type="dxa"/>
            <w:vAlign w:val="center"/>
          </w:tcPr>
          <w:p w:rsidR="00FE5D7B" w:rsidRDefault="00C0615A">
            <w:pPr>
              <w:spacing w:before="0"/>
              <w:ind w:firstLine="0"/>
              <w:jc w:val="right"/>
              <w:rPr>
                <w:lang w:val="en-US"/>
              </w:rPr>
            </w:pPr>
            <w:r w:rsidRPr="00C0615A">
              <w:rPr>
                <w:lang w:val="en-US"/>
              </w:rPr>
              <w:t>(1)</w:t>
            </w:r>
          </w:p>
        </w:tc>
      </w:tr>
    </w:tbl>
    <w:p w:rsidR="00FE5D7B" w:rsidRDefault="009C42CC">
      <w:pPr>
        <w:ind w:firstLine="0"/>
        <w:rPr>
          <w:lang w:val="en-US"/>
        </w:rPr>
      </w:pPr>
      <w:proofErr w:type="gramStart"/>
      <w:r w:rsidRPr="00E723C2">
        <w:rPr>
          <w:lang w:val="en-US"/>
        </w:rPr>
        <w:t>where</w:t>
      </w:r>
      <w:proofErr w:type="gramEnd"/>
      <w:r w:rsidRPr="00E723C2">
        <w:rPr>
          <w:lang w:val="en-US"/>
        </w:rPr>
        <w:t xml:space="preserve"> both displayed and hidden orders are </w:t>
      </w:r>
      <w:r w:rsidR="004D1BA2">
        <w:rPr>
          <w:lang w:val="en-US"/>
        </w:rPr>
        <w:t xml:space="preserve">taken into </w:t>
      </w:r>
      <w:r w:rsidRPr="00E723C2">
        <w:rPr>
          <w:lang w:val="en-US"/>
        </w:rPr>
        <w:t>account.</w:t>
      </w:r>
      <w:r w:rsidRPr="00E723C2">
        <w:rPr>
          <w:rStyle w:val="Appelnotedebasdep"/>
          <w:lang w:val="en-US"/>
        </w:rPr>
        <w:footnoteReference w:id="14"/>
      </w:r>
    </w:p>
    <w:p w:rsidR="00FE5D7B" w:rsidRDefault="009C42CC">
      <w:pPr>
        <w:rPr>
          <w:lang w:val="en-US"/>
        </w:rPr>
      </w:pPr>
      <w:r w:rsidRPr="00E723C2">
        <w:rPr>
          <w:lang w:val="en-US"/>
        </w:rPr>
        <w:t>For each stock in our sample and for the</w:t>
      </w:r>
      <w:r w:rsidR="004D1BA2">
        <w:rPr>
          <w:lang w:val="en-US"/>
        </w:rPr>
        <w:t xml:space="preserve"> </w:t>
      </w:r>
      <w:r w:rsidR="00C0615A" w:rsidRPr="00C0615A">
        <w:rPr>
          <w:lang w:val="en-US"/>
        </w:rPr>
        <w:t>ETF, we compute</w:t>
      </w:r>
      <w:r w:rsidR="004D1BA2">
        <w:rPr>
          <w:lang w:val="en-US"/>
        </w:rPr>
        <w:t>d</w:t>
      </w:r>
      <w:r w:rsidR="00C0615A" w:rsidRPr="00C0615A">
        <w:rPr>
          <w:lang w:val="en-US"/>
        </w:rPr>
        <w:t xml:space="preserve"> this measure </w:t>
      </w:r>
      <w:r w:rsidR="004D1BA2">
        <w:rPr>
          <w:lang w:val="en-US"/>
        </w:rPr>
        <w:t xml:space="preserve">for </w:t>
      </w:r>
      <w:r w:rsidR="00C0615A" w:rsidRPr="00C0615A">
        <w:rPr>
          <w:lang w:val="en-US"/>
        </w:rPr>
        <w:t xml:space="preserve">every time a new order </w:t>
      </w:r>
      <w:r w:rsidR="004D1BA2">
        <w:rPr>
          <w:lang w:val="en-US"/>
        </w:rPr>
        <w:t>wa</w:t>
      </w:r>
      <w:r w:rsidR="00C0615A" w:rsidRPr="00C0615A">
        <w:rPr>
          <w:lang w:val="en-US"/>
        </w:rPr>
        <w:t>s placed.  We measure</w:t>
      </w:r>
      <w:r w:rsidR="004D1BA2">
        <w:rPr>
          <w:lang w:val="en-US"/>
        </w:rPr>
        <w:t>d</w:t>
      </w:r>
      <w:r w:rsidR="00C0615A" w:rsidRPr="00C0615A">
        <w:rPr>
          <w:lang w:val="en-US"/>
        </w:rPr>
        <w:t xml:space="preserve"> the CRT for 5,000 and 50,000 shares of the </w:t>
      </w:r>
      <w:proofErr w:type="spellStart"/>
      <w:r w:rsidR="00C0615A" w:rsidRPr="00C0615A">
        <w:rPr>
          <w:lang w:val="en-US"/>
        </w:rPr>
        <w:t>Lyxor</w:t>
      </w:r>
      <w:proofErr w:type="spellEnd"/>
      <w:r w:rsidR="00C0615A" w:rsidRPr="00C0615A">
        <w:rPr>
          <w:lang w:val="en-US"/>
        </w:rPr>
        <w:t xml:space="preserve"> CAC 40.  According to the weight of each stock in the CAC 40 index measured at the opening auction every day, we compute</w:t>
      </w:r>
      <w:r w:rsidR="004D1BA2">
        <w:rPr>
          <w:lang w:val="en-US"/>
        </w:rPr>
        <w:t>d</w:t>
      </w:r>
      <w:r w:rsidR="00C0615A" w:rsidRPr="00C0615A">
        <w:rPr>
          <w:lang w:val="en-US"/>
        </w:rPr>
        <w:t xml:space="preserve"> the corresponding number of shares to be traded for 5,000 and 50,000 shares of the ETF.  These numbers </w:t>
      </w:r>
      <w:r w:rsidR="004D1BA2">
        <w:rPr>
          <w:lang w:val="en-US"/>
        </w:rPr>
        <w:t>we</w:t>
      </w:r>
      <w:r w:rsidR="00C0615A" w:rsidRPr="00C0615A">
        <w:rPr>
          <w:lang w:val="en-US"/>
        </w:rPr>
        <w:t>re then used to measure the CRT of individual stocks according to Equation (1). For each trading day, we first average</w:t>
      </w:r>
      <w:r w:rsidR="00ED33DF">
        <w:rPr>
          <w:lang w:val="en-US"/>
        </w:rPr>
        <w:t>d</w:t>
      </w:r>
      <w:r w:rsidR="00C0615A" w:rsidRPr="00C0615A">
        <w:rPr>
          <w:lang w:val="en-US"/>
        </w:rPr>
        <w:t xml:space="preserve"> the CRTs in every stock and then compute</w:t>
      </w:r>
      <w:r w:rsidR="00ED33DF">
        <w:rPr>
          <w:lang w:val="en-US"/>
        </w:rPr>
        <w:t>d</w:t>
      </w:r>
      <w:r w:rsidR="00C0615A" w:rsidRPr="00C0615A">
        <w:rPr>
          <w:lang w:val="en-US"/>
        </w:rPr>
        <w:t xml:space="preserve"> the average CRT of the basket according to the stock weights on that day. Finally, we average</w:t>
      </w:r>
      <w:r w:rsidR="00ED33DF">
        <w:rPr>
          <w:lang w:val="en-US"/>
        </w:rPr>
        <w:t>d</w:t>
      </w:r>
      <w:r w:rsidR="00C0615A" w:rsidRPr="00C0615A">
        <w:rPr>
          <w:lang w:val="en-US"/>
        </w:rPr>
        <w:t xml:space="preserve"> the daily CRTs across the 23 trading days in October 2002 to obtain the basket CRT. </w:t>
      </w:r>
    </w:p>
    <w:p w:rsidR="00FE5D7B" w:rsidRDefault="00C0615A">
      <w:pPr>
        <w:rPr>
          <w:lang w:val="en-US"/>
        </w:rPr>
      </w:pPr>
      <w:r w:rsidRPr="00C0615A">
        <w:rPr>
          <w:lang w:val="en-US"/>
        </w:rPr>
        <w:t xml:space="preserve">Since the </w:t>
      </w:r>
      <w:proofErr w:type="spellStart"/>
      <w:r w:rsidRPr="00C0615A">
        <w:rPr>
          <w:lang w:val="en-US"/>
        </w:rPr>
        <w:t>Lyxor</w:t>
      </w:r>
      <w:proofErr w:type="spellEnd"/>
      <w:r w:rsidRPr="00C0615A">
        <w:rPr>
          <w:lang w:val="en-US"/>
        </w:rPr>
        <w:t xml:space="preserve"> CAC 40 security is traded in a hybrid market where LPs with market</w:t>
      </w:r>
      <w:r w:rsidR="00ED33DF">
        <w:rPr>
          <w:lang w:val="en-US"/>
        </w:rPr>
        <w:t>-</w:t>
      </w:r>
      <w:r w:rsidRPr="00C0615A">
        <w:rPr>
          <w:lang w:val="en-US"/>
        </w:rPr>
        <w:t>making contractual commitments interact in the order book, we also estimated the relative contribution of LPs to the market liquidity using the 432,266 order</w:t>
      </w:r>
      <w:r w:rsidR="003F1C25">
        <w:rPr>
          <w:lang w:val="en-US"/>
        </w:rPr>
        <w:t xml:space="preserve"> </w:t>
      </w:r>
      <w:r w:rsidRPr="00C0615A">
        <w:rPr>
          <w:lang w:val="en-US"/>
        </w:rPr>
        <w:t xml:space="preserve">book states observed for the ETF security during that month. Average relative quoted spreads, average depths at the first and the five best limits, as well as relative CRTs for 5,000 and 50,000 shares, </w:t>
      </w:r>
      <w:r w:rsidR="00ED33DF">
        <w:rPr>
          <w:lang w:val="en-US"/>
        </w:rPr>
        <w:t>we</w:t>
      </w:r>
      <w:r w:rsidRPr="00C0615A">
        <w:rPr>
          <w:lang w:val="en-US"/>
        </w:rPr>
        <w:t>re first computed using all the orders waiting in the limit</w:t>
      </w:r>
      <w:r w:rsidR="003F1C25">
        <w:rPr>
          <w:lang w:val="en-US"/>
        </w:rPr>
        <w:t xml:space="preserve"> </w:t>
      </w:r>
      <w:r w:rsidRPr="00C0615A">
        <w:rPr>
          <w:lang w:val="en-US"/>
        </w:rPr>
        <w:t>order book.  Then th</w:t>
      </w:r>
      <w:r w:rsidR="00ED33DF">
        <w:rPr>
          <w:lang w:val="en-US"/>
        </w:rPr>
        <w:t>e</w:t>
      </w:r>
      <w:r w:rsidRPr="00C0615A">
        <w:rPr>
          <w:lang w:val="en-US"/>
        </w:rPr>
        <w:t xml:space="preserve">se measures </w:t>
      </w:r>
      <w:r w:rsidR="00ED33DF">
        <w:rPr>
          <w:lang w:val="en-US"/>
        </w:rPr>
        <w:t>we</w:t>
      </w:r>
      <w:r w:rsidRPr="00C0615A">
        <w:rPr>
          <w:lang w:val="en-US"/>
        </w:rPr>
        <w:t xml:space="preserve">re </w:t>
      </w:r>
      <w:r w:rsidR="00ED33DF">
        <w:rPr>
          <w:lang w:val="en-US"/>
        </w:rPr>
        <w:t>re</w:t>
      </w:r>
      <w:r w:rsidRPr="00C0615A">
        <w:rPr>
          <w:lang w:val="en-US"/>
        </w:rPr>
        <w:t xml:space="preserve">computed without </w:t>
      </w:r>
      <w:r w:rsidR="00ED33DF">
        <w:rPr>
          <w:lang w:val="en-US"/>
        </w:rPr>
        <w:t xml:space="preserve">the </w:t>
      </w:r>
      <w:r w:rsidRPr="00C0615A">
        <w:rPr>
          <w:lang w:val="en-US"/>
        </w:rPr>
        <w:t xml:space="preserve">orders submitted by LPs. </w:t>
      </w:r>
    </w:p>
    <w:p w:rsidR="00FE5D7B" w:rsidRDefault="00C0615A">
      <w:pPr>
        <w:pStyle w:val="Inserttable"/>
      </w:pPr>
      <w:r w:rsidRPr="00C0615A">
        <w:lastRenderedPageBreak/>
        <w:t>[Insert Table 1</w:t>
      </w:r>
      <w:r w:rsidR="00ED33DF">
        <w:t xml:space="preserve"> about here</w:t>
      </w:r>
      <w:r w:rsidRPr="00C0615A">
        <w:t>]</w:t>
      </w:r>
    </w:p>
    <w:p w:rsidR="00FE5D7B" w:rsidRDefault="00ED33DF">
      <w:pPr>
        <w:rPr>
          <w:lang w:val="en-US"/>
        </w:rPr>
      </w:pPr>
      <w:r>
        <w:rPr>
          <w:lang w:val="en-US"/>
        </w:rPr>
        <w:t xml:space="preserve">The </w:t>
      </w:r>
      <w:r w:rsidRPr="00E723C2">
        <w:rPr>
          <w:lang w:val="en-US"/>
        </w:rPr>
        <w:t xml:space="preserve">results are </w:t>
      </w:r>
      <w:r>
        <w:rPr>
          <w:lang w:val="en-US"/>
        </w:rPr>
        <w:t xml:space="preserve">presented </w:t>
      </w:r>
      <w:r w:rsidRPr="00E723C2">
        <w:rPr>
          <w:lang w:val="en-US"/>
        </w:rPr>
        <w:t>in Table 1.</w:t>
      </w:r>
      <w:r>
        <w:rPr>
          <w:lang w:val="en-US"/>
        </w:rPr>
        <w:t xml:space="preserve"> </w:t>
      </w:r>
      <w:r w:rsidR="00C0615A" w:rsidRPr="00C0615A">
        <w:rPr>
          <w:lang w:val="en-US"/>
        </w:rPr>
        <w:t xml:space="preserve">The costs associated with trading the basket of stocks appears to be higher than that associated with trading the ETF. </w:t>
      </w:r>
      <w:r>
        <w:rPr>
          <w:lang w:val="en-US"/>
        </w:rPr>
        <w:t>B</w:t>
      </w:r>
      <w:r w:rsidR="00C0615A" w:rsidRPr="00C0615A">
        <w:rPr>
          <w:lang w:val="en-US"/>
        </w:rPr>
        <w:t xml:space="preserve">uying and selling the underlying stocks costs 0.21% </w:t>
      </w:r>
      <w:r>
        <w:rPr>
          <w:lang w:val="en-US"/>
        </w:rPr>
        <w:t>(</w:t>
      </w:r>
      <w:r w:rsidR="00C0615A" w:rsidRPr="00C0615A">
        <w:rPr>
          <w:lang w:val="en-US"/>
        </w:rPr>
        <w:t xml:space="preserve">compared </w:t>
      </w:r>
      <w:r>
        <w:rPr>
          <w:lang w:val="en-US"/>
        </w:rPr>
        <w:t xml:space="preserve">to </w:t>
      </w:r>
      <w:r w:rsidR="00C0615A" w:rsidRPr="00C0615A">
        <w:rPr>
          <w:lang w:val="en-US"/>
        </w:rPr>
        <w:t xml:space="preserve">0.15% </w:t>
      </w:r>
      <w:r>
        <w:rPr>
          <w:lang w:val="en-US"/>
        </w:rPr>
        <w:t xml:space="preserve">for the ETF) </w:t>
      </w:r>
      <w:r w:rsidR="00C0615A" w:rsidRPr="00C0615A">
        <w:rPr>
          <w:lang w:val="en-US"/>
        </w:rPr>
        <w:t xml:space="preserve">for </w:t>
      </w:r>
      <w:r w:rsidR="00B81D66">
        <w:rPr>
          <w:lang w:val="en-US"/>
        </w:rPr>
        <w:t xml:space="preserve">a trade size equivalent to </w:t>
      </w:r>
      <w:r w:rsidR="00C0615A" w:rsidRPr="00C0615A">
        <w:rPr>
          <w:lang w:val="en-US"/>
        </w:rPr>
        <w:t xml:space="preserve">5,000 </w:t>
      </w:r>
      <w:r w:rsidR="00B81D66">
        <w:rPr>
          <w:lang w:val="en-US"/>
        </w:rPr>
        <w:t xml:space="preserve">ETF </w:t>
      </w:r>
      <w:r w:rsidR="00C0615A" w:rsidRPr="00C0615A">
        <w:rPr>
          <w:lang w:val="en-US"/>
        </w:rPr>
        <w:t>shares</w:t>
      </w:r>
      <w:r>
        <w:rPr>
          <w:lang w:val="en-US"/>
        </w:rPr>
        <w:t xml:space="preserve">, </w:t>
      </w:r>
      <w:r w:rsidR="00C0615A" w:rsidRPr="00C0615A">
        <w:rPr>
          <w:lang w:val="en-US"/>
        </w:rPr>
        <w:t xml:space="preserve">or </w:t>
      </w:r>
      <w:r>
        <w:rPr>
          <w:lang w:val="en-US"/>
        </w:rPr>
        <w:t xml:space="preserve">0.27% (compared to </w:t>
      </w:r>
      <w:r w:rsidR="00C0615A" w:rsidRPr="00C0615A">
        <w:rPr>
          <w:lang w:val="en-US"/>
        </w:rPr>
        <w:t>0.21%</w:t>
      </w:r>
      <w:r>
        <w:rPr>
          <w:lang w:val="en-US"/>
        </w:rPr>
        <w:t>)</w:t>
      </w:r>
      <w:r w:rsidR="00C0615A" w:rsidRPr="00C0615A">
        <w:rPr>
          <w:lang w:val="en-US"/>
        </w:rPr>
        <w:t xml:space="preserve"> for </w:t>
      </w:r>
      <w:r w:rsidR="00B81D66">
        <w:rPr>
          <w:lang w:val="en-US"/>
        </w:rPr>
        <w:t xml:space="preserve">a trade size of </w:t>
      </w:r>
      <w:r w:rsidR="00C0615A" w:rsidRPr="00C0615A">
        <w:rPr>
          <w:lang w:val="en-US"/>
        </w:rPr>
        <w:t xml:space="preserve">50,000 </w:t>
      </w:r>
      <w:r w:rsidR="00B81D66">
        <w:rPr>
          <w:lang w:val="en-US"/>
        </w:rPr>
        <w:t xml:space="preserve">ETF </w:t>
      </w:r>
      <w:r w:rsidR="00C0615A" w:rsidRPr="00C0615A">
        <w:rPr>
          <w:lang w:val="en-US"/>
        </w:rPr>
        <w:t>shares. Translated in</w:t>
      </w:r>
      <w:r>
        <w:rPr>
          <w:lang w:val="en-US"/>
        </w:rPr>
        <w:t>to</w:t>
      </w:r>
      <w:r w:rsidR="00C0615A" w:rsidRPr="00C0615A">
        <w:rPr>
          <w:lang w:val="en-US"/>
        </w:rPr>
        <w:t xml:space="preserve"> monetary units, these differences represent about €100 and €1,000 respectively for the equivalent of 5,000 and 50,000 </w:t>
      </w:r>
      <w:r w:rsidR="00B81D66">
        <w:rPr>
          <w:lang w:val="en-US"/>
        </w:rPr>
        <w:t xml:space="preserve">ETF </w:t>
      </w:r>
      <w:r w:rsidR="00C0615A" w:rsidRPr="00C0615A">
        <w:rPr>
          <w:lang w:val="en-US"/>
        </w:rPr>
        <w:t xml:space="preserve">shares. Comparing the two last columns shows that LPs contribute </w:t>
      </w:r>
      <w:r w:rsidRPr="00E723C2">
        <w:rPr>
          <w:lang w:val="en-US"/>
        </w:rPr>
        <w:t xml:space="preserve">greatly </w:t>
      </w:r>
      <w:r w:rsidR="00C0615A" w:rsidRPr="00C0615A">
        <w:rPr>
          <w:lang w:val="en-US"/>
        </w:rPr>
        <w:t xml:space="preserve">to the liquidity of the ETF market. </w:t>
      </w:r>
      <w:r>
        <w:rPr>
          <w:lang w:val="en-US"/>
        </w:rPr>
        <w:t>O</w:t>
      </w:r>
      <w:r w:rsidR="00C0615A" w:rsidRPr="00C0615A">
        <w:rPr>
          <w:lang w:val="en-US"/>
        </w:rPr>
        <w:t xml:space="preserve">mitting orders placed by LPs multiplies the CRT by </w:t>
      </w:r>
      <w:r>
        <w:rPr>
          <w:lang w:val="en-US"/>
        </w:rPr>
        <w:t xml:space="preserve">a factor of </w:t>
      </w:r>
      <w:r w:rsidR="00C0615A" w:rsidRPr="00C0615A">
        <w:rPr>
          <w:lang w:val="en-US"/>
        </w:rPr>
        <w:t>about four.</w:t>
      </w:r>
      <w:r w:rsidR="009C42CC" w:rsidRPr="00E723C2">
        <w:rPr>
          <w:rStyle w:val="Appelnotedebasdep"/>
          <w:lang w:val="en-US"/>
        </w:rPr>
        <w:footnoteReference w:id="15"/>
      </w:r>
    </w:p>
    <w:p w:rsidR="00FE5D7B" w:rsidRDefault="00194C47">
      <w:pPr>
        <w:pStyle w:val="Titre2"/>
        <w:rPr>
          <w:lang w:val="en-US"/>
        </w:rPr>
      </w:pPr>
      <w:r w:rsidRPr="00E723C2">
        <w:rPr>
          <w:lang w:val="en-US"/>
        </w:rPr>
        <w:t>3</w:t>
      </w:r>
      <w:r w:rsidR="00C0615A" w:rsidRPr="00C0615A">
        <w:rPr>
          <w:lang w:val="en-US"/>
        </w:rPr>
        <w:t>.</w:t>
      </w:r>
      <w:r w:rsidR="00C0615A" w:rsidRPr="00C0615A">
        <w:rPr>
          <w:lang w:val="en-US"/>
        </w:rPr>
        <w:tab/>
        <w:t>Related theories and testable hypotheses</w:t>
      </w:r>
    </w:p>
    <w:p w:rsidR="00FE5D7B" w:rsidRDefault="00C0615A">
      <w:pPr>
        <w:rPr>
          <w:lang w:val="en-US"/>
        </w:rPr>
      </w:pPr>
      <w:r w:rsidRPr="00C0615A">
        <w:rPr>
          <w:lang w:val="en-US"/>
        </w:rPr>
        <w:t xml:space="preserve">Since the introduction of the </w:t>
      </w:r>
      <w:proofErr w:type="spellStart"/>
      <w:r w:rsidRPr="00C0615A">
        <w:rPr>
          <w:lang w:val="en-US"/>
        </w:rPr>
        <w:t>Lyxor</w:t>
      </w:r>
      <w:proofErr w:type="spellEnd"/>
      <w:r w:rsidRPr="00C0615A">
        <w:rPr>
          <w:lang w:val="en-US"/>
        </w:rPr>
        <w:t xml:space="preserve"> CAC 40 allows the CAC 40 index </w:t>
      </w:r>
      <w:r w:rsidR="00FE5D7B">
        <w:rPr>
          <w:lang w:val="en-US"/>
        </w:rPr>
        <w:t xml:space="preserve">to be traded </w:t>
      </w:r>
      <w:r w:rsidRPr="00C0615A">
        <w:rPr>
          <w:lang w:val="en-US"/>
        </w:rPr>
        <w:t>in small</w:t>
      </w:r>
      <w:r w:rsidR="00FE5D7B">
        <w:rPr>
          <w:lang w:val="en-US"/>
        </w:rPr>
        <w:t>er</w:t>
      </w:r>
      <w:r w:rsidRPr="00C0615A">
        <w:rPr>
          <w:lang w:val="en-US"/>
        </w:rPr>
        <w:t xml:space="preserve"> denominations and at lower costs, it may have diverse effects </w:t>
      </w:r>
      <w:r w:rsidR="00FE5D7B">
        <w:rPr>
          <w:lang w:val="en-US"/>
        </w:rPr>
        <w:t>(</w:t>
      </w:r>
      <w:r w:rsidRPr="00C0615A">
        <w:rPr>
          <w:lang w:val="en-US"/>
        </w:rPr>
        <w:t>such as attracting new investors to the stock market or diverting particular categories of traders from the market of the underlying stocks to the ETF market</w:t>
      </w:r>
      <w:r w:rsidR="00FE5D7B">
        <w:rPr>
          <w:lang w:val="en-US"/>
        </w:rPr>
        <w:t>)</w:t>
      </w:r>
      <w:r w:rsidRPr="00C0615A">
        <w:rPr>
          <w:lang w:val="en-US"/>
        </w:rPr>
        <w:t>.  Th</w:t>
      </w:r>
      <w:r w:rsidR="00FE5D7B">
        <w:rPr>
          <w:lang w:val="en-US"/>
        </w:rPr>
        <w:t>e</w:t>
      </w:r>
      <w:r w:rsidRPr="00C0615A">
        <w:rPr>
          <w:lang w:val="en-US"/>
        </w:rPr>
        <w:t xml:space="preserve">se effects are likely to impact the liquidity of the basket of underlying stocks, either positively or negatively.  This section presents the theoretical hypotheses that may explain how the </w:t>
      </w:r>
      <w:r w:rsidR="0046347F">
        <w:rPr>
          <w:lang w:val="en-US"/>
        </w:rPr>
        <w:t>inception</w:t>
      </w:r>
      <w:r w:rsidR="00FE5D7B">
        <w:rPr>
          <w:lang w:val="en-US"/>
        </w:rPr>
        <w:t xml:space="preserve"> </w:t>
      </w:r>
      <w:r w:rsidRPr="00C0615A">
        <w:rPr>
          <w:lang w:val="en-US"/>
        </w:rPr>
        <w:t xml:space="preserve">of an ETF can alter the liquidity of the index components. The theories </w:t>
      </w:r>
      <w:r w:rsidR="00FE5D7B">
        <w:rPr>
          <w:lang w:val="en-US"/>
        </w:rPr>
        <w:t xml:space="preserve">which are </w:t>
      </w:r>
      <w:r w:rsidRPr="00C0615A">
        <w:rPr>
          <w:lang w:val="en-US"/>
        </w:rPr>
        <w:t xml:space="preserve">most </w:t>
      </w:r>
      <w:r w:rsidR="00FE5D7B">
        <w:rPr>
          <w:lang w:val="en-US"/>
        </w:rPr>
        <w:t xml:space="preserve">often cited </w:t>
      </w:r>
      <w:r w:rsidRPr="00C0615A">
        <w:rPr>
          <w:lang w:val="en-US"/>
        </w:rPr>
        <w:t xml:space="preserve">in the literature are the </w:t>
      </w:r>
      <w:r w:rsidRPr="00C0615A">
        <w:rPr>
          <w:i/>
          <w:lang w:val="en-US"/>
        </w:rPr>
        <w:t>adverse selection hypothesis</w:t>
      </w:r>
      <w:r w:rsidRPr="00C0615A">
        <w:rPr>
          <w:lang w:val="en-US"/>
        </w:rPr>
        <w:t xml:space="preserve"> and the </w:t>
      </w:r>
      <w:r w:rsidRPr="00C0615A">
        <w:rPr>
          <w:i/>
          <w:lang w:val="en-US"/>
        </w:rPr>
        <w:t>arbitrage hypothesis</w:t>
      </w:r>
      <w:r w:rsidRPr="00C0615A">
        <w:rPr>
          <w:lang w:val="en-US"/>
        </w:rPr>
        <w:t xml:space="preserve">.  Richie and Madura (2007) also put forward the </w:t>
      </w:r>
      <w:r w:rsidRPr="00C0615A">
        <w:rPr>
          <w:i/>
          <w:lang w:val="en-US"/>
        </w:rPr>
        <w:t>recognition hypothesis</w:t>
      </w:r>
      <w:r w:rsidRPr="00C0615A">
        <w:rPr>
          <w:lang w:val="en-US"/>
        </w:rPr>
        <w:t>.  From these theories, we derive a set of hypotheses that will be tested in Section 4.</w:t>
      </w:r>
    </w:p>
    <w:p w:rsidR="00FE5D7B" w:rsidRDefault="00C0615A">
      <w:pPr>
        <w:pStyle w:val="Titre4"/>
        <w:rPr>
          <w:lang w:val="en-US"/>
        </w:rPr>
      </w:pPr>
      <w:r w:rsidRPr="00C0615A">
        <w:rPr>
          <w:lang w:val="en-US"/>
        </w:rPr>
        <w:lastRenderedPageBreak/>
        <w:t>3.1.</w:t>
      </w:r>
      <w:r w:rsidRPr="00C0615A">
        <w:rPr>
          <w:lang w:val="en-US"/>
        </w:rPr>
        <w:tab/>
        <w:t>The adverse selection hypothesis</w:t>
      </w:r>
    </w:p>
    <w:p w:rsidR="00727CF7" w:rsidRDefault="00C0615A">
      <w:pPr>
        <w:rPr>
          <w:lang w:val="en-US"/>
        </w:rPr>
      </w:pPr>
      <w:r w:rsidRPr="00C0615A">
        <w:rPr>
          <w:lang w:val="en-US"/>
        </w:rPr>
        <w:t xml:space="preserve">The consequences of the introduction of a basket security for liquidity have been modeled by </w:t>
      </w:r>
      <w:proofErr w:type="spellStart"/>
      <w:r w:rsidRPr="00C0615A">
        <w:rPr>
          <w:lang w:val="en-US"/>
        </w:rPr>
        <w:t>Subra</w:t>
      </w:r>
      <w:r w:rsidR="00FE5D7B">
        <w:rPr>
          <w:lang w:val="en-US"/>
        </w:rPr>
        <w:t>h</w:t>
      </w:r>
      <w:r w:rsidRPr="00C0615A">
        <w:rPr>
          <w:lang w:val="en-US"/>
        </w:rPr>
        <w:t>manyam</w:t>
      </w:r>
      <w:proofErr w:type="spellEnd"/>
      <w:r w:rsidRPr="00C0615A">
        <w:rPr>
          <w:lang w:val="en-US"/>
        </w:rPr>
        <w:t xml:space="preserve"> (1991) in the theoretical settings </w:t>
      </w:r>
      <w:r w:rsidR="00FE5D7B">
        <w:rPr>
          <w:lang w:val="en-US"/>
        </w:rPr>
        <w:t>chosen by</w:t>
      </w:r>
      <w:r w:rsidRPr="00C0615A">
        <w:rPr>
          <w:lang w:val="en-US"/>
        </w:rPr>
        <w:t xml:space="preserve"> </w:t>
      </w:r>
      <w:proofErr w:type="spellStart"/>
      <w:r w:rsidRPr="00C0615A">
        <w:rPr>
          <w:lang w:val="en-US"/>
        </w:rPr>
        <w:t>Admati</w:t>
      </w:r>
      <w:proofErr w:type="spellEnd"/>
      <w:r w:rsidRPr="00C0615A">
        <w:rPr>
          <w:lang w:val="en-US"/>
        </w:rPr>
        <w:t xml:space="preserve"> and </w:t>
      </w:r>
      <w:proofErr w:type="spellStart"/>
      <w:r w:rsidRPr="00C0615A">
        <w:rPr>
          <w:lang w:val="en-US"/>
        </w:rPr>
        <w:t>Pfleiderer</w:t>
      </w:r>
      <w:proofErr w:type="spellEnd"/>
      <w:r w:rsidRPr="00C0615A">
        <w:rPr>
          <w:lang w:val="en-US"/>
        </w:rPr>
        <w:t xml:space="preserve"> (1988).  In this model, a population of informed and uninformed traders can choose to trade either in </w:t>
      </w:r>
      <w:r w:rsidRPr="00C0615A">
        <w:rPr>
          <w:i/>
          <w:lang w:val="en-US"/>
        </w:rPr>
        <w:t>N</w:t>
      </w:r>
      <w:r w:rsidRPr="00C0615A">
        <w:rPr>
          <w:lang w:val="en-US"/>
        </w:rPr>
        <w:t xml:space="preserve"> individual asset markets or in the </w:t>
      </w:r>
      <w:r w:rsidRPr="00C0615A">
        <w:rPr>
          <w:i/>
          <w:lang w:val="en-US"/>
        </w:rPr>
        <w:t>N</w:t>
      </w:r>
      <w:r w:rsidRPr="00C0615A">
        <w:rPr>
          <w:lang w:val="en-US"/>
        </w:rPr>
        <w:t xml:space="preserve">-assets index stock market. Informed traders </w:t>
      </w:r>
      <w:r w:rsidR="00FE5D7B">
        <w:rPr>
          <w:lang w:val="en-US"/>
        </w:rPr>
        <w:t xml:space="preserve">can receive </w:t>
      </w:r>
      <w:r w:rsidRPr="00C0615A">
        <w:rPr>
          <w:lang w:val="en-US"/>
        </w:rPr>
        <w:t xml:space="preserve">two types of signals: </w:t>
      </w:r>
      <w:r w:rsidR="00FE5D7B">
        <w:rPr>
          <w:lang w:val="en-US"/>
        </w:rPr>
        <w:t xml:space="preserve">either </w:t>
      </w:r>
      <w:r w:rsidRPr="00C0615A">
        <w:rPr>
          <w:lang w:val="en-US"/>
        </w:rPr>
        <w:t xml:space="preserve">specific private information </w:t>
      </w:r>
      <w:r w:rsidR="00FE5D7B">
        <w:rPr>
          <w:lang w:val="en-US"/>
        </w:rPr>
        <w:t xml:space="preserve">or </w:t>
      </w:r>
      <w:r w:rsidRPr="00C0615A">
        <w:rPr>
          <w:lang w:val="en-US"/>
        </w:rPr>
        <w:t xml:space="preserve">systematic private information.  At equilibrium, specific-information traders preferably trade in the underlying stock market while systematic-information traders elicit the basket market for trading, and discretionary liquidity traders go to the basket market, where their losses to informed traders are expected to be lower.  </w:t>
      </w:r>
    </w:p>
    <w:p w:rsidR="00FE5D7B" w:rsidRDefault="00C0615A">
      <w:pPr>
        <w:rPr>
          <w:lang w:val="en-US"/>
        </w:rPr>
      </w:pPr>
      <w:r w:rsidRPr="00C0615A">
        <w:rPr>
          <w:lang w:val="en-US"/>
        </w:rPr>
        <w:t xml:space="preserve">This is very similar to Gorton and </w:t>
      </w:r>
      <w:proofErr w:type="spellStart"/>
      <w:r w:rsidRPr="00C0615A">
        <w:rPr>
          <w:lang w:val="en-US"/>
        </w:rPr>
        <w:t>Pennacchi’s</w:t>
      </w:r>
      <w:proofErr w:type="spellEnd"/>
      <w:r w:rsidRPr="00C0615A">
        <w:rPr>
          <w:lang w:val="en-US"/>
        </w:rPr>
        <w:t xml:space="preserve"> (1993) model, in which less informed agents reduce their trading losses by trading in composite rather than individual securities.  As a result of reduced liquidity trading in the component securities, adverse selection costs and spreads may increase in the underlying security markets, and this increase is predicted to be more significant for securities with smaller weights in the basket than for heavily weighted securities.</w:t>
      </w:r>
      <w:r w:rsidR="00E307A0">
        <w:rPr>
          <w:rStyle w:val="Appelnotedebasdep"/>
          <w:lang w:val="en-US"/>
        </w:rPr>
        <w:footnoteReference w:id="16"/>
      </w:r>
      <w:r w:rsidRPr="00C0615A">
        <w:rPr>
          <w:lang w:val="en-US"/>
        </w:rPr>
        <w:t xml:space="preserve">  </w:t>
      </w:r>
      <w:r w:rsidR="00727CF7">
        <w:rPr>
          <w:lang w:val="en-US"/>
        </w:rPr>
        <w:t>T</w:t>
      </w:r>
      <w:r w:rsidRPr="00C0615A">
        <w:rPr>
          <w:lang w:val="en-US"/>
        </w:rPr>
        <w:t>h</w:t>
      </w:r>
      <w:r w:rsidR="00727CF7">
        <w:rPr>
          <w:lang w:val="en-US"/>
        </w:rPr>
        <w:t>e</w:t>
      </w:r>
      <w:r w:rsidRPr="00C0615A">
        <w:rPr>
          <w:lang w:val="en-US"/>
        </w:rPr>
        <w:t>se effects could be even more pronounced when the newly created index market involves market</w:t>
      </w:r>
      <w:r w:rsidR="00727CF7">
        <w:rPr>
          <w:lang w:val="en-US"/>
        </w:rPr>
        <w:t>-</w:t>
      </w:r>
      <w:r w:rsidRPr="00C0615A">
        <w:rPr>
          <w:lang w:val="en-US"/>
        </w:rPr>
        <w:t xml:space="preserve">making intermediaries such as the </w:t>
      </w:r>
      <w:proofErr w:type="spellStart"/>
      <w:r w:rsidRPr="00C0615A">
        <w:rPr>
          <w:lang w:val="en-US"/>
        </w:rPr>
        <w:t>Lyxor</w:t>
      </w:r>
      <w:proofErr w:type="spellEnd"/>
      <w:r w:rsidRPr="00C0615A">
        <w:rPr>
          <w:lang w:val="en-US"/>
        </w:rPr>
        <w:t xml:space="preserve"> CAC</w:t>
      </w:r>
      <w:r w:rsidR="00F25FCF">
        <w:rPr>
          <w:lang w:val="en-US"/>
        </w:rPr>
        <w:t xml:space="preserve"> </w:t>
      </w:r>
      <w:r w:rsidRPr="00C0615A">
        <w:rPr>
          <w:lang w:val="en-US"/>
        </w:rPr>
        <w:t xml:space="preserve">40 LPs because this </w:t>
      </w:r>
      <w:r w:rsidRPr="00C0615A">
        <w:rPr>
          <w:lang w:val="en-US"/>
        </w:rPr>
        <w:lastRenderedPageBreak/>
        <w:t xml:space="preserve">category of market participants is acknowledged to be able to skim </w:t>
      </w:r>
      <w:r w:rsidR="00727CF7">
        <w:rPr>
          <w:lang w:val="en-US"/>
        </w:rPr>
        <w:t xml:space="preserve">off </w:t>
      </w:r>
      <w:r w:rsidRPr="00C0615A">
        <w:rPr>
          <w:lang w:val="en-US"/>
        </w:rPr>
        <w:t xml:space="preserve">the most profitable orders, that </w:t>
      </w:r>
      <w:proofErr w:type="gramStart"/>
      <w:r w:rsidRPr="00C0615A">
        <w:rPr>
          <w:lang w:val="en-US"/>
        </w:rPr>
        <w:t>is</w:t>
      </w:r>
      <w:proofErr w:type="gramEnd"/>
      <w:r w:rsidRPr="00C0615A">
        <w:rPr>
          <w:lang w:val="en-US"/>
        </w:rPr>
        <w:t xml:space="preserve"> the least informed (</w:t>
      </w:r>
      <w:r w:rsidR="00727CF7">
        <w:rPr>
          <w:lang w:val="en-US"/>
        </w:rPr>
        <w:t xml:space="preserve">see </w:t>
      </w:r>
      <w:r w:rsidR="00C36EF8" w:rsidRPr="00C36EF8">
        <w:rPr>
          <w:lang w:val="en-US"/>
        </w:rPr>
        <w:t>Easley</w:t>
      </w:r>
      <w:r w:rsidR="003C3039">
        <w:rPr>
          <w:lang w:val="en-US"/>
        </w:rPr>
        <w:t xml:space="preserve"> et al.</w:t>
      </w:r>
      <w:r w:rsidR="00C36EF8" w:rsidRPr="00C36EF8">
        <w:rPr>
          <w:lang w:val="en-US"/>
        </w:rPr>
        <w:t xml:space="preserve"> 1996)</w:t>
      </w:r>
      <w:r w:rsidR="00650AEA" w:rsidRPr="00E723C2">
        <w:rPr>
          <w:lang w:val="en-US"/>
        </w:rPr>
        <w:t>.</w:t>
      </w:r>
    </w:p>
    <w:p w:rsidR="00FE5D7B" w:rsidRDefault="00650AEA">
      <w:pPr>
        <w:pStyle w:val="Titre4"/>
        <w:rPr>
          <w:lang w:val="en-US"/>
        </w:rPr>
      </w:pPr>
      <w:r w:rsidRPr="00E723C2">
        <w:rPr>
          <w:lang w:val="en-US"/>
        </w:rPr>
        <w:t>3.2.</w:t>
      </w:r>
      <w:r w:rsidRPr="00E723C2">
        <w:rPr>
          <w:lang w:val="en-US"/>
        </w:rPr>
        <w:tab/>
        <w:t>The arbitrage hypothesis</w:t>
      </w:r>
    </w:p>
    <w:p w:rsidR="00FE5D7B" w:rsidRDefault="00C0615A">
      <w:pPr>
        <w:rPr>
          <w:lang w:val="en-US"/>
        </w:rPr>
      </w:pPr>
      <w:r w:rsidRPr="00C0615A">
        <w:rPr>
          <w:lang w:val="en-US"/>
        </w:rPr>
        <w:t>Introducing financial instruments derived from existing securities, such as futures, options, or ETFs, may reduce market incompleteness and expand the investment and arbitrage oppor</w:t>
      </w:r>
      <w:r w:rsidR="003C3039">
        <w:rPr>
          <w:lang w:val="en-US"/>
        </w:rPr>
        <w:t xml:space="preserve">tunities facing investors (Ross 1976; </w:t>
      </w:r>
      <w:proofErr w:type="spellStart"/>
      <w:r w:rsidR="003C3039">
        <w:rPr>
          <w:lang w:val="en-US"/>
        </w:rPr>
        <w:t>Hakansson</w:t>
      </w:r>
      <w:proofErr w:type="spellEnd"/>
      <w:r w:rsidRPr="00C0615A">
        <w:rPr>
          <w:lang w:val="en-US"/>
        </w:rPr>
        <w:t xml:space="preserve"> 1982). If these new instruments generate additional arbitrage trading, price efficiency and liquidity in the underlying markets are improved. For instance, Kumar, </w:t>
      </w:r>
      <w:proofErr w:type="spellStart"/>
      <w:r w:rsidRPr="00C0615A">
        <w:rPr>
          <w:lang w:val="en-US"/>
        </w:rPr>
        <w:t>Sarin</w:t>
      </w:r>
      <w:proofErr w:type="spellEnd"/>
      <w:r w:rsidRPr="00C0615A">
        <w:rPr>
          <w:lang w:val="en-US"/>
        </w:rPr>
        <w:t xml:space="preserve"> and </w:t>
      </w:r>
      <w:proofErr w:type="spellStart"/>
      <w:r w:rsidRPr="00C0615A">
        <w:rPr>
          <w:lang w:val="en-US"/>
        </w:rPr>
        <w:t>Shastri</w:t>
      </w:r>
      <w:proofErr w:type="spellEnd"/>
      <w:r w:rsidRPr="00C0615A">
        <w:rPr>
          <w:lang w:val="en-US"/>
        </w:rPr>
        <w:t xml:space="preserve"> (1998) provide unambiguous evidence of improved market liquidity after option listings.  </w:t>
      </w:r>
      <w:proofErr w:type="spellStart"/>
      <w:r w:rsidRPr="00C0615A">
        <w:rPr>
          <w:lang w:val="en-US"/>
        </w:rPr>
        <w:t>Kurov</w:t>
      </w:r>
      <w:proofErr w:type="spellEnd"/>
      <w:r w:rsidRPr="00C0615A">
        <w:rPr>
          <w:lang w:val="en-US"/>
        </w:rPr>
        <w:t xml:space="preserve"> and </w:t>
      </w:r>
      <w:proofErr w:type="spellStart"/>
      <w:r w:rsidRPr="00C0615A">
        <w:rPr>
          <w:lang w:val="en-US"/>
        </w:rPr>
        <w:t>Lasser</w:t>
      </w:r>
      <w:proofErr w:type="spellEnd"/>
      <w:r w:rsidRPr="00C0615A">
        <w:rPr>
          <w:lang w:val="en-US"/>
        </w:rPr>
        <w:t xml:space="preserve"> (2002) and Deville, </w:t>
      </w:r>
      <w:proofErr w:type="spellStart"/>
      <w:r w:rsidRPr="00C0615A">
        <w:rPr>
          <w:lang w:val="en-US"/>
        </w:rPr>
        <w:t>Gresse</w:t>
      </w:r>
      <w:proofErr w:type="spellEnd"/>
      <w:r w:rsidRPr="00C0615A">
        <w:rPr>
          <w:lang w:val="en-US"/>
        </w:rPr>
        <w:t xml:space="preserve"> and </w:t>
      </w:r>
      <w:proofErr w:type="spellStart"/>
      <w:r w:rsidRPr="00C0615A">
        <w:rPr>
          <w:lang w:val="en-US"/>
        </w:rPr>
        <w:t>Séverac</w:t>
      </w:r>
      <w:proofErr w:type="spellEnd"/>
      <w:r w:rsidRPr="00C0615A">
        <w:rPr>
          <w:lang w:val="en-US"/>
        </w:rPr>
        <w:t xml:space="preserve"> (2011) </w:t>
      </w:r>
      <w:r w:rsidR="00C77BF5">
        <w:rPr>
          <w:lang w:val="en-US"/>
        </w:rPr>
        <w:t xml:space="preserve">have </w:t>
      </w:r>
      <w:r w:rsidRPr="00C0615A">
        <w:rPr>
          <w:lang w:val="en-US"/>
        </w:rPr>
        <w:t>show</w:t>
      </w:r>
      <w:r w:rsidR="00C77BF5">
        <w:rPr>
          <w:lang w:val="en-US"/>
        </w:rPr>
        <w:t>n</w:t>
      </w:r>
      <w:r w:rsidRPr="00C0615A">
        <w:rPr>
          <w:lang w:val="en-US"/>
        </w:rPr>
        <w:t xml:space="preserve"> that index cash-futures arbitrage profits decrease in frequency and magnitude followi</w:t>
      </w:r>
      <w:r w:rsidR="0046347F">
        <w:rPr>
          <w:lang w:val="en-US"/>
        </w:rPr>
        <w:t>ng the introduction of an ETF.</w:t>
      </w:r>
    </w:p>
    <w:p w:rsidR="00FE5D7B" w:rsidRDefault="00C0615A">
      <w:pPr>
        <w:rPr>
          <w:lang w:val="en-US"/>
        </w:rPr>
      </w:pPr>
      <w:r w:rsidRPr="00C0615A">
        <w:rPr>
          <w:lang w:val="en-US"/>
        </w:rPr>
        <w:t xml:space="preserve">The introduction of ETFs may create arbitrage benefits in two ways.  First, assuming that markets are </w:t>
      </w:r>
      <w:proofErr w:type="spellStart"/>
      <w:r w:rsidRPr="00C0615A">
        <w:rPr>
          <w:lang w:val="en-US"/>
        </w:rPr>
        <w:t>informationally</w:t>
      </w:r>
      <w:proofErr w:type="spellEnd"/>
      <w:r w:rsidRPr="00C0615A">
        <w:rPr>
          <w:lang w:val="en-US"/>
        </w:rPr>
        <w:t xml:space="preserve"> segmented, the introduction of an index security mitigates </w:t>
      </w:r>
      <w:r w:rsidR="00C77BF5">
        <w:rPr>
          <w:lang w:val="en-US"/>
        </w:rPr>
        <w:t xml:space="preserve">the </w:t>
      </w:r>
      <w:r w:rsidRPr="00C0615A">
        <w:rPr>
          <w:lang w:val="en-US"/>
        </w:rPr>
        <w:t xml:space="preserve">structural problems </w:t>
      </w:r>
      <w:r w:rsidR="00C77BF5">
        <w:rPr>
          <w:lang w:val="en-US"/>
        </w:rPr>
        <w:t xml:space="preserve">that </w:t>
      </w:r>
      <w:r w:rsidRPr="00C0615A">
        <w:rPr>
          <w:lang w:val="en-US"/>
        </w:rPr>
        <w:t>beset</w:t>
      </w:r>
      <w:r w:rsidR="00C77BF5">
        <w:rPr>
          <w:lang w:val="en-US"/>
        </w:rPr>
        <w:t xml:space="preserve"> </w:t>
      </w:r>
      <w:r w:rsidRPr="00C0615A">
        <w:rPr>
          <w:lang w:val="en-US"/>
        </w:rPr>
        <w:t xml:space="preserve">inter-market arbitrage: it lowers arbitrage costs such as tracking errors </w:t>
      </w:r>
      <w:r w:rsidR="00C77BF5">
        <w:rPr>
          <w:lang w:val="en-US"/>
        </w:rPr>
        <w:t xml:space="preserve">and </w:t>
      </w:r>
      <w:r w:rsidRPr="00C0615A">
        <w:rPr>
          <w:lang w:val="en-US"/>
        </w:rPr>
        <w:t>the randomness in the intervening dividend payoffs</w:t>
      </w:r>
      <w:r w:rsidR="00C77BF5">
        <w:rPr>
          <w:lang w:val="en-US"/>
        </w:rPr>
        <w:t>,</w:t>
      </w:r>
      <w:r w:rsidRPr="00C0615A">
        <w:rPr>
          <w:lang w:val="en-US"/>
        </w:rPr>
        <w:t xml:space="preserve"> and it therefore favors arbitra</w:t>
      </w:r>
      <w:r w:rsidR="003C3039">
        <w:rPr>
          <w:lang w:val="en-US"/>
        </w:rPr>
        <w:t>ge trading (</w:t>
      </w:r>
      <w:proofErr w:type="spellStart"/>
      <w:r w:rsidR="003C3039">
        <w:rPr>
          <w:lang w:val="en-US"/>
        </w:rPr>
        <w:t>Hegde</w:t>
      </w:r>
      <w:proofErr w:type="spellEnd"/>
      <w:r w:rsidR="003C3039">
        <w:rPr>
          <w:lang w:val="en-US"/>
        </w:rPr>
        <w:t xml:space="preserve"> and McDermott</w:t>
      </w:r>
      <w:r w:rsidRPr="00C0615A">
        <w:rPr>
          <w:lang w:val="en-US"/>
        </w:rPr>
        <w:t xml:space="preserve"> 2004).  </w:t>
      </w:r>
      <w:r w:rsidR="00C36EF8" w:rsidRPr="00C36EF8">
        <w:rPr>
          <w:lang w:val="en-US"/>
        </w:rPr>
        <w:t xml:space="preserve">Second, upon introduction of the ETF, traders or ETF LPs can exploit new arbitrage opportunities </w:t>
      </w:r>
      <w:r w:rsidR="00C77BF5">
        <w:rPr>
          <w:lang w:val="en-US"/>
        </w:rPr>
        <w:t xml:space="preserve">by </w:t>
      </w:r>
      <w:r w:rsidRPr="00C0615A">
        <w:rPr>
          <w:lang w:val="en-US"/>
        </w:rPr>
        <w:t>creati</w:t>
      </w:r>
      <w:r w:rsidR="00C77BF5">
        <w:rPr>
          <w:lang w:val="en-US"/>
        </w:rPr>
        <w:t xml:space="preserve">ng </w:t>
      </w:r>
      <w:r w:rsidRPr="00C0615A">
        <w:rPr>
          <w:lang w:val="en-US"/>
        </w:rPr>
        <w:t xml:space="preserve">and </w:t>
      </w:r>
      <w:r w:rsidR="00C77BF5">
        <w:rPr>
          <w:lang w:val="en-US"/>
        </w:rPr>
        <w:t>redeeming</w:t>
      </w:r>
      <w:r w:rsidR="00C36EF8" w:rsidRPr="00C36EF8">
        <w:rPr>
          <w:lang w:val="en-US"/>
        </w:rPr>
        <w:t xml:space="preserve"> shares in the new ETF (Richie and Madura 2007).  However, the arbitrage opportunities resulting from </w:t>
      </w:r>
      <w:r w:rsidR="00C77BF5">
        <w:rPr>
          <w:lang w:val="en-US"/>
        </w:rPr>
        <w:t>the</w:t>
      </w:r>
      <w:r w:rsidRPr="00C0615A">
        <w:rPr>
          <w:lang w:val="en-US"/>
        </w:rPr>
        <w:t xml:space="preserve"> </w:t>
      </w:r>
      <w:r w:rsidR="00C36EF8" w:rsidRPr="00C36EF8">
        <w:rPr>
          <w:lang w:val="en-US"/>
        </w:rPr>
        <w:t xml:space="preserve">creation and redemption of ETF shares seem difficult to exploit </w:t>
      </w:r>
      <w:r w:rsidR="00C77BF5">
        <w:rPr>
          <w:lang w:val="en-US"/>
        </w:rPr>
        <w:t xml:space="preserve">on </w:t>
      </w:r>
      <w:r w:rsidR="00C77BF5" w:rsidRPr="00687845">
        <w:rPr>
          <w:lang w:val="en-US"/>
        </w:rPr>
        <w:t xml:space="preserve">the </w:t>
      </w:r>
      <w:proofErr w:type="spellStart"/>
      <w:r w:rsidR="00C77BF5" w:rsidRPr="00687845">
        <w:rPr>
          <w:lang w:val="en-US"/>
        </w:rPr>
        <w:t>Lyxor</w:t>
      </w:r>
      <w:proofErr w:type="spellEnd"/>
      <w:r w:rsidR="00C77BF5" w:rsidRPr="00687845">
        <w:rPr>
          <w:lang w:val="en-US"/>
        </w:rPr>
        <w:t xml:space="preserve"> CAC 40, </w:t>
      </w:r>
      <w:r w:rsidR="00C36EF8" w:rsidRPr="00C36EF8">
        <w:rPr>
          <w:lang w:val="en-US"/>
        </w:rPr>
        <w:t xml:space="preserve">because of the </w:t>
      </w:r>
      <w:r w:rsidR="00C77BF5">
        <w:rPr>
          <w:lang w:val="en-US"/>
        </w:rPr>
        <w:t>prohibitive</w:t>
      </w:r>
      <w:r w:rsidR="00C36EF8" w:rsidRPr="00C36EF8">
        <w:rPr>
          <w:lang w:val="en-US"/>
        </w:rPr>
        <w:t xml:space="preserve"> costs charged in the ETF primary market</w:t>
      </w:r>
      <w:r w:rsidR="00C77BF5">
        <w:rPr>
          <w:lang w:val="en-US"/>
        </w:rPr>
        <w:t>.</w:t>
      </w:r>
      <w:r w:rsidRPr="00C0615A">
        <w:rPr>
          <w:rStyle w:val="Appelnotedebasdep"/>
          <w:lang w:val="en-US"/>
        </w:rPr>
        <w:footnoteReference w:id="17"/>
      </w:r>
      <w:r w:rsidRPr="00C0615A">
        <w:rPr>
          <w:lang w:val="en-US"/>
        </w:rPr>
        <w:t xml:space="preserve"> </w:t>
      </w:r>
      <w:r w:rsidR="00C77BF5">
        <w:rPr>
          <w:lang w:val="en-US"/>
        </w:rPr>
        <w:t>N</w:t>
      </w:r>
      <w:r w:rsidRPr="00C0615A">
        <w:rPr>
          <w:lang w:val="en-US"/>
        </w:rPr>
        <w:t>ew</w:t>
      </w:r>
      <w:r w:rsidR="00C36EF8" w:rsidRPr="00C36EF8">
        <w:rPr>
          <w:lang w:val="en-US"/>
        </w:rPr>
        <w:t xml:space="preserve"> arbitrage opportunities should essentially arise in the ETF secondary market.</w:t>
      </w:r>
    </w:p>
    <w:p w:rsidR="00FE5D7B" w:rsidRDefault="00650AEA">
      <w:pPr>
        <w:rPr>
          <w:lang w:val="en-US"/>
        </w:rPr>
      </w:pPr>
      <w:proofErr w:type="spellStart"/>
      <w:r w:rsidRPr="00E723C2">
        <w:rPr>
          <w:lang w:val="en-US"/>
        </w:rPr>
        <w:lastRenderedPageBreak/>
        <w:t>Frem</w:t>
      </w:r>
      <w:r w:rsidR="00C0615A" w:rsidRPr="00C0615A">
        <w:rPr>
          <w:lang w:val="en-US"/>
        </w:rPr>
        <w:t>ault</w:t>
      </w:r>
      <w:proofErr w:type="spellEnd"/>
      <w:r w:rsidR="00C0615A" w:rsidRPr="00C0615A">
        <w:rPr>
          <w:lang w:val="en-US"/>
        </w:rPr>
        <w:t xml:space="preserve"> (1991) model</w:t>
      </w:r>
      <w:r w:rsidR="00C77BF5">
        <w:rPr>
          <w:lang w:val="en-US"/>
        </w:rPr>
        <w:t>ed</w:t>
      </w:r>
      <w:r w:rsidR="00C0615A" w:rsidRPr="00C0615A">
        <w:rPr>
          <w:lang w:val="en-US"/>
        </w:rPr>
        <w:t xml:space="preserve"> the benefits of arbitrage between cash and futures index markets under rational expectations, and show</w:t>
      </w:r>
      <w:r w:rsidR="00C77BF5">
        <w:rPr>
          <w:lang w:val="en-US"/>
        </w:rPr>
        <w:t>ed</w:t>
      </w:r>
      <w:r w:rsidR="00C0615A" w:rsidRPr="00C0615A">
        <w:rPr>
          <w:lang w:val="en-US"/>
        </w:rPr>
        <w:t xml:space="preserve"> that increased index arbitrage:</w:t>
      </w:r>
    </w:p>
    <w:p w:rsidR="0046347F" w:rsidRDefault="00C0615A">
      <w:pPr>
        <w:ind w:left="567" w:hanging="284"/>
        <w:rPr>
          <w:lang w:val="en-US"/>
        </w:rPr>
      </w:pPr>
      <w:r w:rsidRPr="00C0615A">
        <w:rPr>
          <w:lang w:val="en-US"/>
        </w:rPr>
        <w:t>1.</w:t>
      </w:r>
      <w:r w:rsidRPr="00C0615A">
        <w:rPr>
          <w:lang w:val="en-US"/>
        </w:rPr>
        <w:tab/>
        <w:t xml:space="preserve">adds liquidity and allows </w:t>
      </w:r>
      <w:r w:rsidR="00C77BF5">
        <w:rPr>
          <w:lang w:val="en-US"/>
        </w:rPr>
        <w:t xml:space="preserve">risk to be </w:t>
      </w:r>
      <w:r w:rsidRPr="00C0615A">
        <w:rPr>
          <w:lang w:val="en-US"/>
        </w:rPr>
        <w:t>reallocat</w:t>
      </w:r>
      <w:r w:rsidR="00C77BF5">
        <w:rPr>
          <w:lang w:val="en-US"/>
        </w:rPr>
        <w:t xml:space="preserve">ed </w:t>
      </w:r>
      <w:r w:rsidRPr="00C0615A">
        <w:rPr>
          <w:lang w:val="en-US"/>
        </w:rPr>
        <w:t>from hedgers of one market to speculators on another market;</w:t>
      </w:r>
    </w:p>
    <w:p w:rsidR="0046347F" w:rsidRDefault="00C0615A">
      <w:pPr>
        <w:ind w:left="567" w:hanging="284"/>
        <w:rPr>
          <w:lang w:val="en-US"/>
        </w:rPr>
      </w:pPr>
      <w:r w:rsidRPr="00C0615A">
        <w:rPr>
          <w:lang w:val="en-US"/>
        </w:rPr>
        <w:t>2.</w:t>
      </w:r>
      <w:r w:rsidRPr="00C0615A">
        <w:rPr>
          <w:lang w:val="en-US"/>
        </w:rPr>
        <w:tab/>
      </w:r>
      <w:proofErr w:type="gramStart"/>
      <w:r w:rsidRPr="00C0615A">
        <w:rPr>
          <w:lang w:val="en-US"/>
        </w:rPr>
        <w:t>adds</w:t>
      </w:r>
      <w:proofErr w:type="gramEnd"/>
      <w:r w:rsidRPr="00C0615A">
        <w:rPr>
          <w:lang w:val="en-US"/>
        </w:rPr>
        <w:t xml:space="preserve"> risk</w:t>
      </w:r>
      <w:r w:rsidR="003F1C25">
        <w:rPr>
          <w:lang w:val="en-US"/>
        </w:rPr>
        <w:t xml:space="preserve"> </w:t>
      </w:r>
      <w:r w:rsidRPr="00C0615A">
        <w:rPr>
          <w:lang w:val="en-US"/>
        </w:rPr>
        <w:t xml:space="preserve">bearing capacity to markets and provides buying and selling support in </w:t>
      </w:r>
      <w:r w:rsidR="0046347F">
        <w:rPr>
          <w:lang w:val="en-US"/>
        </w:rPr>
        <w:t>markets</w:t>
      </w:r>
      <w:r w:rsidR="00C77BF5">
        <w:rPr>
          <w:lang w:val="en-US"/>
        </w:rPr>
        <w:t xml:space="preserve"> </w:t>
      </w:r>
      <w:r w:rsidRPr="00C0615A">
        <w:rPr>
          <w:lang w:val="en-US"/>
        </w:rPr>
        <w:t>order imbalances;</w:t>
      </w:r>
    </w:p>
    <w:p w:rsidR="0046347F" w:rsidRDefault="00C0615A">
      <w:pPr>
        <w:ind w:left="567" w:hanging="284"/>
        <w:rPr>
          <w:lang w:val="en-US"/>
        </w:rPr>
      </w:pPr>
      <w:r w:rsidRPr="00C0615A">
        <w:rPr>
          <w:lang w:val="en-US"/>
        </w:rPr>
        <w:t>3.</w:t>
      </w:r>
      <w:r w:rsidRPr="00C0615A">
        <w:rPr>
          <w:lang w:val="en-US"/>
        </w:rPr>
        <w:tab/>
      </w:r>
      <w:proofErr w:type="gramStart"/>
      <w:r w:rsidRPr="00C0615A">
        <w:rPr>
          <w:lang w:val="en-US"/>
        </w:rPr>
        <w:t>has</w:t>
      </w:r>
      <w:proofErr w:type="gramEnd"/>
      <w:r w:rsidRPr="00C0615A">
        <w:rPr>
          <w:lang w:val="en-US"/>
        </w:rPr>
        <w:t xml:space="preserve"> a stabilizing effect on prices if the variances of aggregate supply in the respective markets are not too divergent.</w:t>
      </w:r>
    </w:p>
    <w:p w:rsidR="00FE5D7B" w:rsidRDefault="00C0615A">
      <w:pPr>
        <w:spacing w:before="0"/>
        <w:ind w:firstLine="0"/>
        <w:rPr>
          <w:lang w:val="en-US"/>
        </w:rPr>
      </w:pPr>
      <w:r w:rsidRPr="00C0615A">
        <w:rPr>
          <w:lang w:val="en-US"/>
        </w:rPr>
        <w:t>If we transpose th</w:t>
      </w:r>
      <w:r w:rsidR="00C77BF5">
        <w:rPr>
          <w:lang w:val="en-US"/>
        </w:rPr>
        <w:t>is</w:t>
      </w:r>
      <w:r w:rsidRPr="00C0615A">
        <w:rPr>
          <w:lang w:val="en-US"/>
        </w:rPr>
        <w:t xml:space="preserve"> theory to the introduction of an ETF, arbitrage trading across the underlying</w:t>
      </w:r>
      <w:r w:rsidR="00C77BF5">
        <w:rPr>
          <w:lang w:val="en-US"/>
        </w:rPr>
        <w:t>-</w:t>
      </w:r>
      <w:r w:rsidRPr="00C0615A">
        <w:rPr>
          <w:lang w:val="en-US"/>
        </w:rPr>
        <w:t xml:space="preserve">stocks market and the ETF market should improve stock liquidity by allowing risk </w:t>
      </w:r>
      <w:r w:rsidR="00C77BF5">
        <w:rPr>
          <w:lang w:val="en-US"/>
        </w:rPr>
        <w:t xml:space="preserve">to be </w:t>
      </w:r>
      <w:r w:rsidRPr="00C0615A">
        <w:rPr>
          <w:lang w:val="en-US"/>
        </w:rPr>
        <w:t>reallocat</w:t>
      </w:r>
      <w:r w:rsidR="00C77BF5">
        <w:rPr>
          <w:lang w:val="en-US"/>
        </w:rPr>
        <w:t xml:space="preserve">ed </w:t>
      </w:r>
      <w:r w:rsidRPr="00C0615A">
        <w:rPr>
          <w:lang w:val="en-US"/>
        </w:rPr>
        <w:t>between the markets</w:t>
      </w:r>
      <w:r w:rsidR="00C77BF5">
        <w:rPr>
          <w:lang w:val="en-US"/>
        </w:rPr>
        <w:t>,</w:t>
      </w:r>
      <w:r w:rsidRPr="00C0615A">
        <w:rPr>
          <w:lang w:val="en-US"/>
        </w:rPr>
        <w:t xml:space="preserve"> and reducing the impact of order imbalances.  This risk</w:t>
      </w:r>
      <w:r w:rsidR="003F1C25">
        <w:rPr>
          <w:lang w:val="en-US"/>
        </w:rPr>
        <w:t xml:space="preserve"> </w:t>
      </w:r>
      <w:r w:rsidRPr="00C0615A">
        <w:rPr>
          <w:lang w:val="en-US"/>
        </w:rPr>
        <w:t xml:space="preserve">sharing effect could be greater for an ETF market </w:t>
      </w:r>
      <w:r w:rsidR="00C77BF5">
        <w:rPr>
          <w:lang w:val="en-US"/>
        </w:rPr>
        <w:t xml:space="preserve">whose </w:t>
      </w:r>
      <w:r w:rsidRPr="00C0615A">
        <w:rPr>
          <w:lang w:val="en-US"/>
        </w:rPr>
        <w:t>structure involves LPs if the LPs contribute to the risk</w:t>
      </w:r>
      <w:r w:rsidR="003F1C25">
        <w:rPr>
          <w:lang w:val="en-US"/>
        </w:rPr>
        <w:t xml:space="preserve"> </w:t>
      </w:r>
      <w:r w:rsidRPr="00C0615A">
        <w:rPr>
          <w:lang w:val="en-US"/>
        </w:rPr>
        <w:t>allocation process.</w:t>
      </w:r>
    </w:p>
    <w:p w:rsidR="00FE5D7B" w:rsidRDefault="00C0615A">
      <w:pPr>
        <w:pStyle w:val="Titre4"/>
        <w:rPr>
          <w:lang w:val="en-US"/>
        </w:rPr>
      </w:pPr>
      <w:r w:rsidRPr="00C0615A">
        <w:rPr>
          <w:lang w:val="en-US"/>
        </w:rPr>
        <w:t>3.3.</w:t>
      </w:r>
      <w:r w:rsidRPr="00C0615A">
        <w:rPr>
          <w:lang w:val="en-US"/>
        </w:rPr>
        <w:tab/>
        <w:t>The recognition hypothesis</w:t>
      </w:r>
    </w:p>
    <w:p w:rsidR="00FE5D7B" w:rsidRDefault="00C0615A">
      <w:pPr>
        <w:rPr>
          <w:lang w:val="en-US"/>
        </w:rPr>
      </w:pPr>
      <w:r w:rsidRPr="00C0615A">
        <w:rPr>
          <w:lang w:val="en-US"/>
        </w:rPr>
        <w:t>The inclusion of a stock in an index is generally accompanied by a positive permanent price increase (</w:t>
      </w:r>
      <w:r w:rsidR="00027109">
        <w:rPr>
          <w:lang w:val="en-US"/>
        </w:rPr>
        <w:t>see, for example,</w:t>
      </w:r>
      <w:r w:rsidR="003C3039">
        <w:rPr>
          <w:lang w:val="en-US"/>
        </w:rPr>
        <w:t xml:space="preserve"> </w:t>
      </w:r>
      <w:proofErr w:type="spellStart"/>
      <w:r w:rsidR="003C3039">
        <w:rPr>
          <w:lang w:val="en-US"/>
        </w:rPr>
        <w:t>Beneish</w:t>
      </w:r>
      <w:proofErr w:type="spellEnd"/>
      <w:r w:rsidR="003C3039">
        <w:rPr>
          <w:lang w:val="en-US"/>
        </w:rPr>
        <w:t xml:space="preserve"> and Whaley 1996; Harris and </w:t>
      </w:r>
      <w:proofErr w:type="spellStart"/>
      <w:r w:rsidR="003C3039">
        <w:rPr>
          <w:lang w:val="en-US"/>
        </w:rPr>
        <w:t>Gurel</w:t>
      </w:r>
      <w:proofErr w:type="spellEnd"/>
      <w:r w:rsidRPr="00C0615A">
        <w:rPr>
          <w:lang w:val="en-US"/>
        </w:rPr>
        <w:t xml:space="preserve"> 1986) and an improvement in</w:t>
      </w:r>
      <w:r w:rsidR="003C3039">
        <w:rPr>
          <w:lang w:val="en-US"/>
        </w:rPr>
        <w:t xml:space="preserve"> liquidity (</w:t>
      </w:r>
      <w:proofErr w:type="spellStart"/>
      <w:r w:rsidR="003C3039">
        <w:rPr>
          <w:lang w:val="en-US"/>
        </w:rPr>
        <w:t>Hegde</w:t>
      </w:r>
      <w:proofErr w:type="spellEnd"/>
      <w:r w:rsidR="003C3039">
        <w:rPr>
          <w:lang w:val="en-US"/>
        </w:rPr>
        <w:t xml:space="preserve"> and McDermott</w:t>
      </w:r>
      <w:r w:rsidRPr="00C0615A">
        <w:rPr>
          <w:lang w:val="en-US"/>
        </w:rPr>
        <w:t xml:space="preserve"> 2003).  Chen, Noronha, and </w:t>
      </w:r>
      <w:proofErr w:type="spellStart"/>
      <w:r w:rsidRPr="00C0615A">
        <w:rPr>
          <w:lang w:val="en-US"/>
        </w:rPr>
        <w:t>Singal</w:t>
      </w:r>
      <w:proofErr w:type="spellEnd"/>
      <w:r w:rsidRPr="00C0615A">
        <w:rPr>
          <w:lang w:val="en-US"/>
        </w:rPr>
        <w:t xml:space="preserve"> (2004) consider that those positive effects are consistent with Merton’s (1987) </w:t>
      </w:r>
      <w:r w:rsidR="00027109">
        <w:rPr>
          <w:i/>
          <w:lang w:val="en-US"/>
        </w:rPr>
        <w:t>i</w:t>
      </w:r>
      <w:r w:rsidRPr="00C0615A">
        <w:rPr>
          <w:i/>
          <w:lang w:val="en-US"/>
        </w:rPr>
        <w:t xml:space="preserve">nvestor </w:t>
      </w:r>
      <w:r w:rsidR="00027109">
        <w:rPr>
          <w:i/>
          <w:lang w:val="en-US"/>
        </w:rPr>
        <w:t>r</w:t>
      </w:r>
      <w:r w:rsidRPr="00C0615A">
        <w:rPr>
          <w:i/>
          <w:lang w:val="en-US"/>
        </w:rPr>
        <w:t xml:space="preserve">ecognition </w:t>
      </w:r>
      <w:r w:rsidR="00027109">
        <w:rPr>
          <w:i/>
          <w:lang w:val="en-US"/>
        </w:rPr>
        <w:t>t</w:t>
      </w:r>
      <w:r w:rsidRPr="00C0615A">
        <w:rPr>
          <w:i/>
          <w:lang w:val="en-US"/>
        </w:rPr>
        <w:t>heory</w:t>
      </w:r>
      <w:r w:rsidR="00027109">
        <w:rPr>
          <w:i/>
          <w:lang w:val="en-US"/>
        </w:rPr>
        <w:t>,</w:t>
      </w:r>
      <w:r w:rsidRPr="00C0615A">
        <w:rPr>
          <w:lang w:val="en-US"/>
        </w:rPr>
        <w:t xml:space="preserve"> because </w:t>
      </w:r>
      <w:r w:rsidR="00027109">
        <w:rPr>
          <w:lang w:val="en-US"/>
        </w:rPr>
        <w:t xml:space="preserve">the </w:t>
      </w:r>
      <w:r w:rsidRPr="00C0615A">
        <w:rPr>
          <w:lang w:val="en-US"/>
        </w:rPr>
        <w:t>price response</w:t>
      </w:r>
      <w:r w:rsidR="00027109">
        <w:rPr>
          <w:lang w:val="en-US"/>
        </w:rPr>
        <w:t>s</w:t>
      </w:r>
      <w:r w:rsidRPr="00C0615A">
        <w:rPr>
          <w:lang w:val="en-US"/>
        </w:rPr>
        <w:t xml:space="preserve"> to additions </w:t>
      </w:r>
      <w:r w:rsidR="00027109">
        <w:rPr>
          <w:lang w:val="en-US"/>
        </w:rPr>
        <w:t xml:space="preserve">to </w:t>
      </w:r>
      <w:r w:rsidRPr="00C0615A">
        <w:rPr>
          <w:lang w:val="en-US"/>
        </w:rPr>
        <w:t xml:space="preserve">and deletions </w:t>
      </w:r>
      <w:r w:rsidR="00027109">
        <w:rPr>
          <w:lang w:val="en-US"/>
        </w:rPr>
        <w:t xml:space="preserve">from the </w:t>
      </w:r>
      <w:r w:rsidR="00027109" w:rsidRPr="00687845">
        <w:rPr>
          <w:lang w:val="en-US"/>
        </w:rPr>
        <w:t xml:space="preserve">S&amp;P 500 index </w:t>
      </w:r>
      <w:r w:rsidRPr="00C0615A">
        <w:rPr>
          <w:lang w:val="en-US"/>
        </w:rPr>
        <w:t xml:space="preserve">is asymmetric, with no permanent price decrease following index deletions.  According to Merton (1987), with increased investor recognition, the shareholder base broadens, resulting in lower required returns and higher liquidity.  Investor awareness of a stock increases following its addition to the index, which results in a positive price response.  Because </w:t>
      </w:r>
      <w:r w:rsidRPr="00C0615A">
        <w:rPr>
          <w:lang w:val="en-US"/>
        </w:rPr>
        <w:lastRenderedPageBreak/>
        <w:t xml:space="preserve">investor awareness does not </w:t>
      </w:r>
      <w:r w:rsidR="00027109">
        <w:rPr>
          <w:lang w:val="en-US"/>
        </w:rPr>
        <w:t xml:space="preserve">necessarily </w:t>
      </w:r>
      <w:r w:rsidRPr="00C0615A">
        <w:rPr>
          <w:lang w:val="en-US"/>
        </w:rPr>
        <w:t>decrease after a deletion from the index, the opposite effect is not found.</w:t>
      </w:r>
    </w:p>
    <w:p w:rsidR="00FE5D7B" w:rsidRDefault="00C0615A">
      <w:pPr>
        <w:rPr>
          <w:lang w:val="en-US"/>
        </w:rPr>
      </w:pPr>
      <w:r w:rsidRPr="00C0615A">
        <w:rPr>
          <w:lang w:val="en-US"/>
        </w:rPr>
        <w:t>With the introduction of an ETF on a stock index, similar recognition effects may occur.  First, the</w:t>
      </w:r>
      <w:r w:rsidR="00027109">
        <w:rPr>
          <w:lang w:val="en-US"/>
        </w:rPr>
        <w:t xml:space="preserve"> </w:t>
      </w:r>
      <w:r w:rsidR="002C1140">
        <w:rPr>
          <w:lang w:val="en-US"/>
        </w:rPr>
        <w:t>inception</w:t>
      </w:r>
      <w:r w:rsidR="00027109">
        <w:rPr>
          <w:lang w:val="en-US"/>
        </w:rPr>
        <w:t xml:space="preserve"> of an</w:t>
      </w:r>
      <w:r w:rsidRPr="00C0615A">
        <w:rPr>
          <w:lang w:val="en-US"/>
        </w:rPr>
        <w:t xml:space="preserve"> ETF is an unusual event that may attract the attention of investors </w:t>
      </w:r>
      <w:r w:rsidR="00027109">
        <w:rPr>
          <w:lang w:val="en-US"/>
        </w:rPr>
        <w:t xml:space="preserve">to </w:t>
      </w:r>
      <w:r w:rsidRPr="00C0615A">
        <w:rPr>
          <w:lang w:val="en-US"/>
        </w:rPr>
        <w:t>index securities, and there</w:t>
      </w:r>
      <w:r w:rsidR="00027109">
        <w:rPr>
          <w:lang w:val="en-US"/>
        </w:rPr>
        <w:t xml:space="preserve">by </w:t>
      </w:r>
      <w:r w:rsidRPr="00C0615A">
        <w:rPr>
          <w:lang w:val="en-US"/>
        </w:rPr>
        <w:t xml:space="preserve">induce new investors to trade </w:t>
      </w:r>
      <w:r w:rsidR="00027109">
        <w:rPr>
          <w:lang w:val="en-US"/>
        </w:rPr>
        <w:t xml:space="preserve">in </w:t>
      </w:r>
      <w:r w:rsidRPr="00C0615A">
        <w:rPr>
          <w:lang w:val="en-US"/>
        </w:rPr>
        <w:t xml:space="preserve">them (Barber and </w:t>
      </w:r>
      <w:proofErr w:type="spellStart"/>
      <w:r w:rsidRPr="00C0615A">
        <w:rPr>
          <w:lang w:val="en-US"/>
        </w:rPr>
        <w:t>Odean</w:t>
      </w:r>
      <w:proofErr w:type="spellEnd"/>
      <w:r w:rsidR="003C3039">
        <w:rPr>
          <w:lang w:val="en-US"/>
        </w:rPr>
        <w:t xml:space="preserve"> </w:t>
      </w:r>
      <w:r w:rsidRPr="00C0615A">
        <w:rPr>
          <w:lang w:val="en-US"/>
        </w:rPr>
        <w:t xml:space="preserve">2008).  Second, the </w:t>
      </w:r>
      <w:r w:rsidR="002C1140">
        <w:rPr>
          <w:lang w:val="en-US"/>
        </w:rPr>
        <w:t>incep</w:t>
      </w:r>
      <w:r w:rsidR="00027109">
        <w:rPr>
          <w:lang w:val="en-US"/>
        </w:rPr>
        <w:t xml:space="preserve">tion of an </w:t>
      </w:r>
      <w:r w:rsidRPr="00C0615A">
        <w:rPr>
          <w:lang w:val="en-US"/>
        </w:rPr>
        <w:t xml:space="preserve">ETF </w:t>
      </w:r>
      <w:r w:rsidR="00027109">
        <w:rPr>
          <w:lang w:val="en-US"/>
        </w:rPr>
        <w:t xml:space="preserve">gives </w:t>
      </w:r>
      <w:r w:rsidRPr="00C0615A">
        <w:rPr>
          <w:lang w:val="en-US"/>
        </w:rPr>
        <w:t>the index components</w:t>
      </w:r>
      <w:r w:rsidR="00027109">
        <w:rPr>
          <w:lang w:val="en-US"/>
        </w:rPr>
        <w:t xml:space="preserve"> some useful publicity</w:t>
      </w:r>
      <w:r w:rsidRPr="00C0615A">
        <w:rPr>
          <w:lang w:val="en-US"/>
        </w:rPr>
        <w:t xml:space="preserve">.  As shown by </w:t>
      </w:r>
      <w:proofErr w:type="spellStart"/>
      <w:r w:rsidRPr="00C0615A">
        <w:rPr>
          <w:lang w:val="en-US"/>
        </w:rPr>
        <w:t>Grullon</w:t>
      </w:r>
      <w:proofErr w:type="spellEnd"/>
      <w:r w:rsidRPr="00C0615A">
        <w:rPr>
          <w:lang w:val="en-US"/>
        </w:rPr>
        <w:t xml:space="preserve">, </w:t>
      </w:r>
      <w:proofErr w:type="spellStart"/>
      <w:r w:rsidRPr="00C0615A">
        <w:rPr>
          <w:lang w:val="en-US"/>
        </w:rPr>
        <w:t>Kanataas</w:t>
      </w:r>
      <w:proofErr w:type="spellEnd"/>
      <w:r w:rsidRPr="00C0615A">
        <w:rPr>
          <w:lang w:val="en-US"/>
        </w:rPr>
        <w:t xml:space="preserve">, and Weston (2004), increased advertising results in increased stock liquidity because new-found individual and institutional investors participate in the market. </w:t>
      </w:r>
      <w:r w:rsidR="00C36EF8" w:rsidRPr="00C36EF8">
        <w:rPr>
          <w:lang w:val="en-US"/>
        </w:rPr>
        <w:t xml:space="preserve"> The recognition hypothesis thus predicts increased liquidity after </w:t>
      </w:r>
      <w:r w:rsidR="007C6365">
        <w:rPr>
          <w:lang w:val="en-US"/>
        </w:rPr>
        <w:t xml:space="preserve">the </w:t>
      </w:r>
      <w:r w:rsidR="0046347F">
        <w:rPr>
          <w:lang w:val="en-US"/>
        </w:rPr>
        <w:t>inception</w:t>
      </w:r>
      <w:r w:rsidR="007C6365">
        <w:rPr>
          <w:lang w:val="en-US"/>
        </w:rPr>
        <w:t xml:space="preserve"> of an </w:t>
      </w:r>
      <w:r w:rsidR="00C36EF8" w:rsidRPr="00C36EF8">
        <w:rPr>
          <w:lang w:val="en-US"/>
        </w:rPr>
        <w:t>ETF</w:t>
      </w:r>
      <w:r w:rsidR="007C6365">
        <w:rPr>
          <w:lang w:val="en-US"/>
        </w:rPr>
        <w:t>,</w:t>
      </w:r>
      <w:r w:rsidR="00C36EF8" w:rsidRPr="00C36EF8">
        <w:rPr>
          <w:lang w:val="en-US"/>
        </w:rPr>
        <w:t xml:space="preserve"> and this effect is expected to be more pronounced for index components that were less</w:t>
      </w:r>
      <w:r w:rsidR="003F1C25">
        <w:rPr>
          <w:lang w:val="en-US"/>
        </w:rPr>
        <w:t xml:space="preserve"> </w:t>
      </w:r>
      <w:r w:rsidR="00C36EF8" w:rsidRPr="00C36EF8">
        <w:rPr>
          <w:lang w:val="en-US"/>
        </w:rPr>
        <w:t>traded prior to the ETF introduction, that is the smallest components of t</w:t>
      </w:r>
      <w:r w:rsidR="003C3039">
        <w:rPr>
          <w:lang w:val="en-US"/>
        </w:rPr>
        <w:t>he index (see Richie and Madura</w:t>
      </w:r>
      <w:r w:rsidR="00C36EF8" w:rsidRPr="00C36EF8">
        <w:rPr>
          <w:lang w:val="en-US"/>
        </w:rPr>
        <w:t xml:space="preserve"> 2007).</w:t>
      </w:r>
    </w:p>
    <w:p w:rsidR="00FE5D7B" w:rsidRDefault="00650AEA">
      <w:pPr>
        <w:pStyle w:val="Titre4"/>
        <w:rPr>
          <w:lang w:val="en-US"/>
        </w:rPr>
      </w:pPr>
      <w:r w:rsidRPr="00E723C2">
        <w:rPr>
          <w:lang w:val="en-US"/>
        </w:rPr>
        <w:t>3.4.</w:t>
      </w:r>
      <w:r w:rsidRPr="00E723C2">
        <w:rPr>
          <w:lang w:val="en-US"/>
        </w:rPr>
        <w:tab/>
        <w:t>Testable hypotheses</w:t>
      </w:r>
    </w:p>
    <w:p w:rsidR="00FE5D7B" w:rsidRDefault="00C0615A">
      <w:pPr>
        <w:rPr>
          <w:lang w:val="en-US"/>
        </w:rPr>
      </w:pPr>
      <w:r w:rsidRPr="00C0615A">
        <w:rPr>
          <w:lang w:val="en-US"/>
        </w:rPr>
        <w:t>According to the adverse selection hypothesis, the liquidity of the basket</w:t>
      </w:r>
      <w:r w:rsidR="00DF7CFE">
        <w:rPr>
          <w:lang w:val="en-US"/>
        </w:rPr>
        <w:t xml:space="preserve"> of</w:t>
      </w:r>
      <w:r w:rsidRPr="00C0615A">
        <w:rPr>
          <w:lang w:val="en-US"/>
        </w:rPr>
        <w:t xml:space="preserve"> stocks is reduced after the introduction of the ETF, because adverse selection increases in the cash stock market.  This theory can be examined by testing the hypotheses</w:t>
      </w:r>
      <w:r w:rsidR="00DF7CFE">
        <w:rPr>
          <w:lang w:val="en-US"/>
        </w:rPr>
        <w:t xml:space="preserve"> that</w:t>
      </w:r>
      <w:r w:rsidRPr="00C0615A">
        <w:rPr>
          <w:lang w:val="en-US"/>
        </w:rPr>
        <w:t>:</w:t>
      </w:r>
    </w:p>
    <w:p w:rsidR="0046347F" w:rsidRDefault="00C0615A">
      <w:pPr>
        <w:spacing w:before="0"/>
        <w:ind w:left="993" w:hanging="567"/>
        <w:rPr>
          <w:i/>
          <w:lang w:val="en-US"/>
        </w:rPr>
      </w:pPr>
      <w:proofErr w:type="gramStart"/>
      <w:r w:rsidRPr="00C0615A">
        <w:rPr>
          <w:i/>
          <w:lang w:val="en-US"/>
        </w:rPr>
        <w:t>immediately</w:t>
      </w:r>
      <w:proofErr w:type="gramEnd"/>
      <w:r w:rsidRPr="00C0615A">
        <w:rPr>
          <w:i/>
          <w:lang w:val="en-US"/>
        </w:rPr>
        <w:t xml:space="preserve"> after the inception of the ETF,</w:t>
      </w:r>
    </w:p>
    <w:p w:rsidR="0046347F" w:rsidRDefault="00C0615A">
      <w:pPr>
        <w:spacing w:before="0"/>
        <w:ind w:left="993" w:hanging="567"/>
        <w:rPr>
          <w:i/>
          <w:lang w:val="en-US"/>
        </w:rPr>
      </w:pPr>
      <w:r w:rsidRPr="00C0615A">
        <w:rPr>
          <w:i/>
          <w:lang w:val="en-US"/>
        </w:rPr>
        <w:t xml:space="preserve">H1a. </w:t>
      </w:r>
      <w:r w:rsidR="00DF7CFE">
        <w:rPr>
          <w:i/>
          <w:lang w:val="en-US"/>
        </w:rPr>
        <w:tab/>
      </w:r>
      <w:proofErr w:type="gramStart"/>
      <w:r w:rsidR="00DF7CFE">
        <w:rPr>
          <w:i/>
          <w:lang w:val="en-US"/>
        </w:rPr>
        <w:t>the</w:t>
      </w:r>
      <w:proofErr w:type="gramEnd"/>
      <w:r w:rsidR="00DF7CFE">
        <w:rPr>
          <w:i/>
          <w:lang w:val="en-US"/>
        </w:rPr>
        <w:t xml:space="preserve"> trading volumes of </w:t>
      </w:r>
      <w:r w:rsidRPr="00C0615A">
        <w:rPr>
          <w:i/>
          <w:lang w:val="en-US"/>
        </w:rPr>
        <w:t xml:space="preserve">index stocks decrease relative to </w:t>
      </w:r>
      <w:r w:rsidR="00DF7CFE">
        <w:rPr>
          <w:i/>
          <w:lang w:val="en-US"/>
        </w:rPr>
        <w:t xml:space="preserve">those of </w:t>
      </w:r>
      <w:r w:rsidRPr="00C0615A">
        <w:rPr>
          <w:i/>
          <w:lang w:val="en-US"/>
        </w:rPr>
        <w:t>non-index stocks;</w:t>
      </w:r>
    </w:p>
    <w:p w:rsidR="0046347F" w:rsidRDefault="00C0615A">
      <w:pPr>
        <w:spacing w:before="0"/>
        <w:ind w:left="993" w:hanging="567"/>
        <w:rPr>
          <w:i/>
          <w:lang w:val="en-US"/>
        </w:rPr>
      </w:pPr>
      <w:r w:rsidRPr="00C0615A">
        <w:rPr>
          <w:i/>
          <w:lang w:val="en-US"/>
        </w:rPr>
        <w:t>H2a.</w:t>
      </w:r>
      <w:r w:rsidR="00DF7CFE">
        <w:rPr>
          <w:i/>
          <w:lang w:val="en-US"/>
        </w:rPr>
        <w:t xml:space="preserve"> </w:t>
      </w:r>
      <w:proofErr w:type="gramStart"/>
      <w:r w:rsidR="00DF7CFE">
        <w:rPr>
          <w:i/>
          <w:lang w:val="en-US"/>
        </w:rPr>
        <w:t>the</w:t>
      </w:r>
      <w:proofErr w:type="gramEnd"/>
      <w:r w:rsidR="00DF7CFE">
        <w:rPr>
          <w:i/>
          <w:lang w:val="en-US"/>
        </w:rPr>
        <w:t xml:space="preserve"> </w:t>
      </w:r>
      <w:r w:rsidRPr="00C0615A">
        <w:rPr>
          <w:i/>
          <w:lang w:val="en-US"/>
        </w:rPr>
        <w:t>spreads and depth of index stocks</w:t>
      </w:r>
      <w:r w:rsidR="00DF7CFE">
        <w:rPr>
          <w:lang w:val="en-US"/>
        </w:rPr>
        <w:t xml:space="preserve"> </w:t>
      </w:r>
      <w:r w:rsidRPr="00C0615A">
        <w:rPr>
          <w:i/>
          <w:lang w:val="en-US"/>
        </w:rPr>
        <w:t xml:space="preserve">deteriorate relative to </w:t>
      </w:r>
      <w:r w:rsidR="00DF7CFE">
        <w:rPr>
          <w:i/>
          <w:lang w:val="en-US"/>
        </w:rPr>
        <w:t xml:space="preserve">those of </w:t>
      </w:r>
      <w:r w:rsidRPr="00C0615A">
        <w:rPr>
          <w:i/>
          <w:lang w:val="en-US"/>
        </w:rPr>
        <w:t>non-index stocks;</w:t>
      </w:r>
    </w:p>
    <w:p w:rsidR="0046347F" w:rsidRDefault="00C0615A">
      <w:pPr>
        <w:spacing w:before="0"/>
        <w:ind w:left="993" w:hanging="567"/>
        <w:rPr>
          <w:i/>
          <w:lang w:val="en-US"/>
        </w:rPr>
      </w:pPr>
      <w:r w:rsidRPr="00C0615A">
        <w:rPr>
          <w:i/>
          <w:lang w:val="en-US"/>
        </w:rPr>
        <w:t xml:space="preserve">H3. </w:t>
      </w:r>
      <w:r w:rsidR="00DF7CFE">
        <w:rPr>
          <w:i/>
          <w:lang w:val="en-US"/>
        </w:rPr>
        <w:tab/>
      </w:r>
      <w:proofErr w:type="gramStart"/>
      <w:r w:rsidR="00DF7CFE">
        <w:rPr>
          <w:i/>
          <w:lang w:val="en-US"/>
        </w:rPr>
        <w:t>the</w:t>
      </w:r>
      <w:proofErr w:type="gramEnd"/>
      <w:r w:rsidR="00DF7CFE">
        <w:rPr>
          <w:i/>
          <w:lang w:val="en-US"/>
        </w:rPr>
        <w:t xml:space="preserve"> </w:t>
      </w:r>
      <w:r w:rsidRPr="00C0615A">
        <w:rPr>
          <w:i/>
          <w:lang w:val="en-US"/>
        </w:rPr>
        <w:t xml:space="preserve">adverse selection costs </w:t>
      </w:r>
      <w:r w:rsidR="00DF7CFE">
        <w:rPr>
          <w:i/>
          <w:lang w:val="en-US"/>
        </w:rPr>
        <w:t>of index stocks</w:t>
      </w:r>
      <w:r w:rsidR="00DF7CFE" w:rsidRPr="00687845">
        <w:rPr>
          <w:i/>
          <w:lang w:val="en-US"/>
        </w:rPr>
        <w:t xml:space="preserve"> </w:t>
      </w:r>
      <w:r w:rsidRPr="00C0615A">
        <w:rPr>
          <w:i/>
          <w:lang w:val="en-US"/>
        </w:rPr>
        <w:t>increase relative to those of non-index stocks;</w:t>
      </w:r>
    </w:p>
    <w:p w:rsidR="0046347F" w:rsidRDefault="00C0615A">
      <w:pPr>
        <w:spacing w:before="0"/>
        <w:ind w:left="993" w:hanging="567"/>
        <w:rPr>
          <w:i/>
          <w:lang w:val="en-US"/>
        </w:rPr>
      </w:pPr>
      <w:r w:rsidRPr="00C0615A">
        <w:rPr>
          <w:i/>
          <w:lang w:val="en-US"/>
        </w:rPr>
        <w:t xml:space="preserve">H4. </w:t>
      </w:r>
      <w:r w:rsidR="00DF7CFE">
        <w:rPr>
          <w:i/>
          <w:lang w:val="en-US"/>
        </w:rPr>
        <w:tab/>
      </w:r>
      <w:proofErr w:type="gramStart"/>
      <w:r w:rsidRPr="00C0615A">
        <w:rPr>
          <w:i/>
          <w:lang w:val="en-US"/>
        </w:rPr>
        <w:t>provided</w:t>
      </w:r>
      <w:proofErr w:type="gramEnd"/>
      <w:r w:rsidRPr="00C0615A">
        <w:rPr>
          <w:i/>
          <w:lang w:val="en-US"/>
        </w:rPr>
        <w:t xml:space="preserve"> H3 holds, adverse selection costs increase more for stocks with smaller weights in the index.</w:t>
      </w:r>
    </w:p>
    <w:p w:rsidR="00FE5D7B" w:rsidRDefault="00C0615A">
      <w:pPr>
        <w:rPr>
          <w:lang w:val="en-US"/>
        </w:rPr>
      </w:pPr>
      <w:r w:rsidRPr="00C0615A">
        <w:rPr>
          <w:lang w:val="en-US"/>
        </w:rPr>
        <w:lastRenderedPageBreak/>
        <w:t>Alternatively, according to the arbitrage and recognition hypotheses, the</w:t>
      </w:r>
      <w:r w:rsidR="00DF7CFE">
        <w:rPr>
          <w:lang w:val="en-US"/>
        </w:rPr>
        <w:t xml:space="preserve"> liquidity of the </w:t>
      </w:r>
      <w:r w:rsidRPr="00C0615A">
        <w:rPr>
          <w:lang w:val="en-US"/>
        </w:rPr>
        <w:t xml:space="preserve">underlying stocks is improved with the </w:t>
      </w:r>
      <w:r w:rsidR="00DF7CFE">
        <w:rPr>
          <w:lang w:val="en-US"/>
        </w:rPr>
        <w:t xml:space="preserve">introduction of the </w:t>
      </w:r>
      <w:r w:rsidRPr="00C0615A">
        <w:rPr>
          <w:lang w:val="en-US"/>
        </w:rPr>
        <w:t>ETF, so that these two theories may hold if we find evidence to support H1b and H2b</w:t>
      </w:r>
      <w:r w:rsidR="00DF7CFE">
        <w:rPr>
          <w:lang w:val="en-US"/>
        </w:rPr>
        <w:t xml:space="preserve"> (below)</w:t>
      </w:r>
      <w:r w:rsidRPr="00C0615A">
        <w:rPr>
          <w:lang w:val="en-US"/>
        </w:rPr>
        <w:t xml:space="preserve">, which are </w:t>
      </w:r>
      <w:r w:rsidR="00DF7CFE">
        <w:rPr>
          <w:lang w:val="en-US"/>
        </w:rPr>
        <w:t xml:space="preserve">the </w:t>
      </w:r>
      <w:r w:rsidRPr="00C0615A">
        <w:rPr>
          <w:lang w:val="en-US"/>
        </w:rPr>
        <w:t xml:space="preserve">opposite </w:t>
      </w:r>
      <w:r w:rsidR="00DF7CFE">
        <w:rPr>
          <w:lang w:val="en-US"/>
        </w:rPr>
        <w:t xml:space="preserve">of </w:t>
      </w:r>
      <w:r w:rsidRPr="00C0615A">
        <w:rPr>
          <w:lang w:val="en-US"/>
        </w:rPr>
        <w:t>H1a and H2a:</w:t>
      </w:r>
    </w:p>
    <w:p w:rsidR="0046347F" w:rsidRDefault="00C0615A">
      <w:pPr>
        <w:spacing w:before="0"/>
        <w:ind w:left="993" w:hanging="567"/>
        <w:rPr>
          <w:i/>
          <w:lang w:val="en-US"/>
        </w:rPr>
      </w:pPr>
      <w:proofErr w:type="gramStart"/>
      <w:r w:rsidRPr="00C0615A">
        <w:rPr>
          <w:i/>
          <w:lang w:val="en-US"/>
        </w:rPr>
        <w:t>immediately</w:t>
      </w:r>
      <w:proofErr w:type="gramEnd"/>
      <w:r w:rsidRPr="00C0615A">
        <w:rPr>
          <w:i/>
          <w:lang w:val="en-US"/>
        </w:rPr>
        <w:t xml:space="preserve"> after the inception of the ETF,</w:t>
      </w:r>
    </w:p>
    <w:p w:rsidR="0046347F" w:rsidRDefault="00C0615A">
      <w:pPr>
        <w:spacing w:before="0"/>
        <w:ind w:left="993" w:hanging="567"/>
        <w:rPr>
          <w:i/>
          <w:lang w:val="en-US"/>
        </w:rPr>
      </w:pPr>
      <w:r w:rsidRPr="00C0615A">
        <w:rPr>
          <w:i/>
          <w:lang w:val="en-US"/>
        </w:rPr>
        <w:t>H1b.</w:t>
      </w:r>
      <w:r w:rsidR="00463FB8">
        <w:rPr>
          <w:i/>
          <w:lang w:val="en-US"/>
        </w:rPr>
        <w:tab/>
      </w:r>
      <w:r w:rsidR="00DF7CFE">
        <w:rPr>
          <w:i/>
          <w:lang w:val="en-US"/>
        </w:rPr>
        <w:t xml:space="preserve">the </w:t>
      </w:r>
      <w:r w:rsidRPr="00C0615A">
        <w:rPr>
          <w:i/>
          <w:lang w:val="en-US"/>
        </w:rPr>
        <w:t xml:space="preserve">trading volumes </w:t>
      </w:r>
      <w:r w:rsidR="00DF7CFE">
        <w:rPr>
          <w:i/>
          <w:lang w:val="en-US"/>
        </w:rPr>
        <w:t>of index stocks</w:t>
      </w:r>
      <w:r w:rsidR="00DF7CFE" w:rsidRPr="00687845">
        <w:rPr>
          <w:i/>
          <w:lang w:val="en-US"/>
        </w:rPr>
        <w:t xml:space="preserve"> </w:t>
      </w:r>
      <w:r w:rsidRPr="00C0615A">
        <w:rPr>
          <w:i/>
          <w:lang w:val="en-US"/>
        </w:rPr>
        <w:t xml:space="preserve">increase relative to </w:t>
      </w:r>
      <w:r w:rsidR="00DF7CFE">
        <w:rPr>
          <w:i/>
          <w:lang w:val="en-US"/>
        </w:rPr>
        <w:t xml:space="preserve">those of </w:t>
      </w:r>
      <w:r w:rsidRPr="00C0615A">
        <w:rPr>
          <w:i/>
          <w:lang w:val="en-US"/>
        </w:rPr>
        <w:t>non-index stocks;</w:t>
      </w:r>
    </w:p>
    <w:p w:rsidR="0046347F" w:rsidRDefault="00C0615A">
      <w:pPr>
        <w:spacing w:before="0"/>
        <w:ind w:left="993" w:hanging="567"/>
        <w:rPr>
          <w:i/>
          <w:lang w:val="en-US"/>
        </w:rPr>
      </w:pPr>
      <w:r w:rsidRPr="00C0615A">
        <w:rPr>
          <w:i/>
          <w:lang w:val="en-US"/>
        </w:rPr>
        <w:t xml:space="preserve">H2b. </w:t>
      </w:r>
      <w:r w:rsidR="00463FB8">
        <w:rPr>
          <w:i/>
          <w:lang w:val="en-US"/>
        </w:rPr>
        <w:tab/>
      </w:r>
      <w:proofErr w:type="gramStart"/>
      <w:r w:rsidR="00DF7CFE">
        <w:rPr>
          <w:i/>
          <w:lang w:val="en-US"/>
        </w:rPr>
        <w:t>the</w:t>
      </w:r>
      <w:proofErr w:type="gramEnd"/>
      <w:r w:rsidR="00DF7CFE">
        <w:rPr>
          <w:i/>
          <w:lang w:val="en-US"/>
        </w:rPr>
        <w:t xml:space="preserve"> </w:t>
      </w:r>
      <w:r w:rsidRPr="00C0615A">
        <w:rPr>
          <w:i/>
          <w:lang w:val="en-US"/>
        </w:rPr>
        <w:t xml:space="preserve">spreads and depth </w:t>
      </w:r>
      <w:r w:rsidR="00DF7CFE">
        <w:rPr>
          <w:i/>
          <w:lang w:val="en-US"/>
        </w:rPr>
        <w:t xml:space="preserve">of index stocks </w:t>
      </w:r>
      <w:r w:rsidRPr="00C0615A">
        <w:rPr>
          <w:i/>
          <w:lang w:val="en-US"/>
        </w:rPr>
        <w:t xml:space="preserve">improve relative to </w:t>
      </w:r>
      <w:r w:rsidR="00DF7CFE">
        <w:rPr>
          <w:i/>
          <w:lang w:val="en-US"/>
        </w:rPr>
        <w:t xml:space="preserve">those of </w:t>
      </w:r>
      <w:r w:rsidRPr="00C0615A">
        <w:rPr>
          <w:i/>
          <w:lang w:val="en-US"/>
        </w:rPr>
        <w:t>non-index stocks.</w:t>
      </w:r>
    </w:p>
    <w:p w:rsidR="00FE5D7B" w:rsidRDefault="00DF7CFE">
      <w:pPr>
        <w:rPr>
          <w:lang w:val="en-US"/>
        </w:rPr>
      </w:pPr>
      <w:r>
        <w:rPr>
          <w:lang w:val="en-US"/>
        </w:rPr>
        <w:t>A</w:t>
      </w:r>
      <w:r w:rsidR="00C0615A" w:rsidRPr="00C0615A">
        <w:rPr>
          <w:lang w:val="en-US"/>
        </w:rPr>
        <w:t xml:space="preserve">ccording to </w:t>
      </w:r>
      <w:proofErr w:type="spellStart"/>
      <w:r w:rsidR="00C0615A" w:rsidRPr="00C0615A">
        <w:rPr>
          <w:lang w:val="en-US"/>
        </w:rPr>
        <w:t>Fremault</w:t>
      </w:r>
      <w:proofErr w:type="spellEnd"/>
      <w:r w:rsidR="00C0615A" w:rsidRPr="00C0615A">
        <w:rPr>
          <w:lang w:val="en-US"/>
        </w:rPr>
        <w:t xml:space="preserve"> (1991), under some market conditions, increased arbitrage trading may help stabiliz</w:t>
      </w:r>
      <w:r>
        <w:rPr>
          <w:lang w:val="en-US"/>
        </w:rPr>
        <w:t>e</w:t>
      </w:r>
      <w:r w:rsidR="00C0615A" w:rsidRPr="00C0615A">
        <w:rPr>
          <w:lang w:val="en-US"/>
        </w:rPr>
        <w:t xml:space="preserve"> prices.  This leads us to test the </w:t>
      </w:r>
      <w:r>
        <w:rPr>
          <w:lang w:val="en-US"/>
        </w:rPr>
        <w:t>hypothesis that</w:t>
      </w:r>
      <w:r w:rsidR="00C0615A" w:rsidRPr="00C0615A">
        <w:rPr>
          <w:lang w:val="en-US"/>
        </w:rPr>
        <w:t>:</w:t>
      </w:r>
    </w:p>
    <w:p w:rsidR="0046347F" w:rsidRDefault="00C0615A">
      <w:pPr>
        <w:spacing w:before="0"/>
        <w:ind w:left="993" w:hanging="567"/>
        <w:rPr>
          <w:i/>
          <w:lang w:val="en-US"/>
        </w:rPr>
      </w:pPr>
      <w:r w:rsidRPr="00C0615A">
        <w:rPr>
          <w:i/>
          <w:lang w:val="en-US"/>
        </w:rPr>
        <w:t xml:space="preserve">H5. </w:t>
      </w:r>
      <w:r w:rsidR="00463FB8">
        <w:rPr>
          <w:i/>
          <w:lang w:val="en-US"/>
        </w:rPr>
        <w:tab/>
      </w:r>
      <w:proofErr w:type="gramStart"/>
      <w:r w:rsidRPr="00C0615A">
        <w:rPr>
          <w:i/>
          <w:lang w:val="en-US"/>
        </w:rPr>
        <w:t>immediately</w:t>
      </w:r>
      <w:proofErr w:type="gramEnd"/>
      <w:r w:rsidRPr="00C0615A">
        <w:rPr>
          <w:i/>
          <w:lang w:val="en-US"/>
        </w:rPr>
        <w:t xml:space="preserve"> after the inception of the ETF, </w:t>
      </w:r>
      <w:r w:rsidR="00DF7CFE">
        <w:rPr>
          <w:i/>
          <w:lang w:val="en-US"/>
        </w:rPr>
        <w:t xml:space="preserve">the </w:t>
      </w:r>
      <w:r w:rsidRPr="00C0615A">
        <w:rPr>
          <w:i/>
          <w:lang w:val="en-US"/>
        </w:rPr>
        <w:t xml:space="preserve">temporary volatility </w:t>
      </w:r>
      <w:r w:rsidR="00463FB8">
        <w:rPr>
          <w:i/>
          <w:lang w:val="en-US"/>
        </w:rPr>
        <w:t xml:space="preserve">of index stocks </w:t>
      </w:r>
      <w:r w:rsidRPr="00C0615A">
        <w:rPr>
          <w:i/>
          <w:lang w:val="en-US"/>
        </w:rPr>
        <w:t xml:space="preserve">decreases relative to </w:t>
      </w:r>
      <w:r w:rsidR="00DF7CFE">
        <w:rPr>
          <w:i/>
          <w:lang w:val="en-US"/>
        </w:rPr>
        <w:t xml:space="preserve">that of </w:t>
      </w:r>
      <w:r w:rsidRPr="00C0615A">
        <w:rPr>
          <w:i/>
          <w:lang w:val="en-US"/>
        </w:rPr>
        <w:t>non-index stocks.</w:t>
      </w:r>
    </w:p>
    <w:p w:rsidR="00FE5D7B" w:rsidRDefault="00C0615A">
      <w:pPr>
        <w:spacing w:before="0"/>
        <w:ind w:firstLine="0"/>
        <w:rPr>
          <w:lang w:val="en-US"/>
        </w:rPr>
      </w:pPr>
      <w:r w:rsidRPr="00C0615A">
        <w:rPr>
          <w:lang w:val="en-US"/>
        </w:rPr>
        <w:t xml:space="preserve">While </w:t>
      </w:r>
      <w:r w:rsidR="00463FB8">
        <w:rPr>
          <w:lang w:val="en-US"/>
        </w:rPr>
        <w:t xml:space="preserve">support for </w:t>
      </w:r>
      <w:r w:rsidRPr="00C0615A">
        <w:rPr>
          <w:lang w:val="en-US"/>
        </w:rPr>
        <w:t xml:space="preserve">H5 would </w:t>
      </w:r>
      <w:r w:rsidR="00463FB8">
        <w:rPr>
          <w:lang w:val="en-US"/>
        </w:rPr>
        <w:t xml:space="preserve">favor </w:t>
      </w:r>
      <w:r w:rsidRPr="00C0615A">
        <w:rPr>
          <w:lang w:val="en-US"/>
        </w:rPr>
        <w:t xml:space="preserve">the arbitrage hypothesis, rejecting H5 would still be compatible with </w:t>
      </w:r>
      <w:proofErr w:type="spellStart"/>
      <w:r w:rsidRPr="00C0615A">
        <w:rPr>
          <w:lang w:val="en-US"/>
        </w:rPr>
        <w:t>Fremault’s</w:t>
      </w:r>
      <w:proofErr w:type="spellEnd"/>
      <w:r w:rsidRPr="00C0615A">
        <w:rPr>
          <w:lang w:val="en-US"/>
        </w:rPr>
        <w:t xml:space="preserve"> (1991) arbitrage theory, as she identifies market conditions under which increased arbitrage does not necessarily stabilize prices.</w:t>
      </w:r>
    </w:p>
    <w:p w:rsidR="00FE5D7B" w:rsidRDefault="00C0615A">
      <w:pPr>
        <w:rPr>
          <w:lang w:val="en-US"/>
        </w:rPr>
      </w:pPr>
      <w:r w:rsidRPr="00C0615A">
        <w:rPr>
          <w:lang w:val="en-US"/>
        </w:rPr>
        <w:t xml:space="preserve">Finally, </w:t>
      </w:r>
      <w:r w:rsidR="0038511D">
        <w:rPr>
          <w:lang w:val="en-US"/>
        </w:rPr>
        <w:t xml:space="preserve">while </w:t>
      </w:r>
      <w:proofErr w:type="spellStart"/>
      <w:r w:rsidRPr="00C0615A">
        <w:rPr>
          <w:lang w:val="en-US"/>
        </w:rPr>
        <w:t>Fremault</w:t>
      </w:r>
      <w:r w:rsidR="00463FB8">
        <w:rPr>
          <w:lang w:val="en-US"/>
        </w:rPr>
        <w:t>’</w:t>
      </w:r>
      <w:r w:rsidR="00463FB8" w:rsidRPr="003F1C25">
        <w:rPr>
          <w:lang w:val="en-US"/>
        </w:rPr>
        <w:t>s</w:t>
      </w:r>
      <w:proofErr w:type="spellEnd"/>
      <w:r w:rsidRPr="00C0615A">
        <w:rPr>
          <w:lang w:val="en-US"/>
        </w:rPr>
        <w:t xml:space="preserve"> (1991) </w:t>
      </w:r>
      <w:r w:rsidR="00463FB8">
        <w:rPr>
          <w:lang w:val="en-US"/>
        </w:rPr>
        <w:t xml:space="preserve">arbitrage theory </w:t>
      </w:r>
      <w:r w:rsidRPr="00C0615A">
        <w:rPr>
          <w:lang w:val="en-US"/>
        </w:rPr>
        <w:t xml:space="preserve">does not predict </w:t>
      </w:r>
      <w:r w:rsidR="0038511D">
        <w:rPr>
          <w:lang w:val="en-US"/>
        </w:rPr>
        <w:t xml:space="preserve">any </w:t>
      </w:r>
      <w:r w:rsidRPr="00C0615A">
        <w:rPr>
          <w:lang w:val="en-US"/>
        </w:rPr>
        <w:t>different</w:t>
      </w:r>
      <w:r w:rsidR="0038511D">
        <w:rPr>
          <w:lang w:val="en-US"/>
        </w:rPr>
        <w:t>ial effect</w:t>
      </w:r>
      <w:r w:rsidRPr="00C0615A">
        <w:rPr>
          <w:lang w:val="en-US"/>
        </w:rPr>
        <w:t xml:space="preserve"> </w:t>
      </w:r>
      <w:r w:rsidR="0038511D">
        <w:rPr>
          <w:lang w:val="en-US"/>
        </w:rPr>
        <w:t>between</w:t>
      </w:r>
      <w:r w:rsidRPr="00C0615A">
        <w:rPr>
          <w:lang w:val="en-US"/>
        </w:rPr>
        <w:t xml:space="preserve"> small and large index components</w:t>
      </w:r>
      <w:r w:rsidR="00463FB8">
        <w:rPr>
          <w:lang w:val="en-US"/>
        </w:rPr>
        <w:t>,</w:t>
      </w:r>
      <w:r w:rsidRPr="00C0615A">
        <w:rPr>
          <w:lang w:val="en-US"/>
        </w:rPr>
        <w:t xml:space="preserve"> the recognition effect should </w:t>
      </w:r>
      <w:r w:rsidR="00463FB8">
        <w:rPr>
          <w:lang w:val="en-US"/>
        </w:rPr>
        <w:t xml:space="preserve">affect </w:t>
      </w:r>
      <w:r w:rsidRPr="00C0615A">
        <w:rPr>
          <w:lang w:val="en-US"/>
        </w:rPr>
        <w:t>the smallest constituents</w:t>
      </w:r>
      <w:r w:rsidR="00463FB8">
        <w:rPr>
          <w:lang w:val="en-US"/>
        </w:rPr>
        <w:t xml:space="preserve"> most</w:t>
      </w:r>
      <w:r w:rsidRPr="00C0615A">
        <w:rPr>
          <w:lang w:val="en-US"/>
        </w:rPr>
        <w:t xml:space="preserve">.  </w:t>
      </w:r>
      <w:r w:rsidR="007D4A5B">
        <w:rPr>
          <w:lang w:val="en-US"/>
        </w:rPr>
        <w:t>Subsequently</w:t>
      </w:r>
      <w:r w:rsidRPr="00C0615A">
        <w:rPr>
          <w:lang w:val="en-US"/>
        </w:rPr>
        <w:t xml:space="preserve">, </w:t>
      </w:r>
      <w:r w:rsidR="007D4A5B" w:rsidRPr="00C0615A">
        <w:rPr>
          <w:lang w:val="en-US"/>
        </w:rPr>
        <w:t xml:space="preserve">if we find support for H1b and H2b, </w:t>
      </w:r>
      <w:r w:rsidR="007D4A5B">
        <w:rPr>
          <w:lang w:val="en-US"/>
        </w:rPr>
        <w:t xml:space="preserve">additional </w:t>
      </w:r>
      <w:r w:rsidRPr="00C0615A">
        <w:rPr>
          <w:lang w:val="en-US"/>
        </w:rPr>
        <w:t>evidence for the recognition hypothesis would come from support for H6:</w:t>
      </w:r>
    </w:p>
    <w:p w:rsidR="0046347F" w:rsidRDefault="00C0615A">
      <w:pPr>
        <w:spacing w:before="0"/>
        <w:ind w:left="993" w:hanging="567"/>
        <w:rPr>
          <w:i/>
          <w:lang w:val="en-US"/>
        </w:rPr>
      </w:pPr>
      <w:r w:rsidRPr="00C0615A">
        <w:rPr>
          <w:i/>
          <w:lang w:val="en-US"/>
        </w:rPr>
        <w:t xml:space="preserve">H6. </w:t>
      </w:r>
      <w:r w:rsidR="00463FB8">
        <w:rPr>
          <w:i/>
          <w:lang w:val="en-US"/>
        </w:rPr>
        <w:tab/>
      </w:r>
      <w:proofErr w:type="gramStart"/>
      <w:r w:rsidR="007D4A5B">
        <w:rPr>
          <w:i/>
          <w:lang w:val="en-US"/>
        </w:rPr>
        <w:t>w</w:t>
      </w:r>
      <w:r w:rsidR="00463FB8">
        <w:rPr>
          <w:i/>
          <w:lang w:val="en-US"/>
        </w:rPr>
        <w:t>hen</w:t>
      </w:r>
      <w:proofErr w:type="gramEnd"/>
      <w:r w:rsidR="00463FB8">
        <w:rPr>
          <w:i/>
          <w:lang w:val="en-US"/>
        </w:rPr>
        <w:t xml:space="preserve"> </w:t>
      </w:r>
      <w:r w:rsidRPr="00C0615A">
        <w:rPr>
          <w:i/>
          <w:lang w:val="en-US"/>
        </w:rPr>
        <w:t>support for H1b and H2b</w:t>
      </w:r>
      <w:r w:rsidR="00463FB8">
        <w:rPr>
          <w:i/>
          <w:lang w:val="en-US"/>
        </w:rPr>
        <w:t xml:space="preserve"> is present</w:t>
      </w:r>
      <w:r w:rsidRPr="00C0615A">
        <w:rPr>
          <w:i/>
          <w:lang w:val="en-US"/>
        </w:rPr>
        <w:t>, the increase in liquidity is greate</w:t>
      </w:r>
      <w:r w:rsidR="00463FB8">
        <w:rPr>
          <w:i/>
          <w:lang w:val="en-US"/>
        </w:rPr>
        <w:t>st</w:t>
      </w:r>
      <w:r w:rsidRPr="00C0615A">
        <w:rPr>
          <w:i/>
          <w:lang w:val="en-US"/>
        </w:rPr>
        <w:t xml:space="preserve"> for the s</w:t>
      </w:r>
      <w:r w:rsidR="0038511D">
        <w:rPr>
          <w:i/>
          <w:lang w:val="en-US"/>
        </w:rPr>
        <w:t>mallest components of the index;</w:t>
      </w:r>
    </w:p>
    <w:p w:rsidR="007D4A5B" w:rsidRDefault="007D4A5B" w:rsidP="007D4A5B">
      <w:pPr>
        <w:spacing w:before="0"/>
        <w:ind w:firstLine="0"/>
        <w:rPr>
          <w:lang w:val="en-US"/>
        </w:rPr>
      </w:pPr>
      <w:proofErr w:type="gramStart"/>
      <w:r>
        <w:rPr>
          <w:lang w:val="en-US"/>
        </w:rPr>
        <w:t>whereas</w:t>
      </w:r>
      <w:proofErr w:type="gramEnd"/>
      <w:r>
        <w:rPr>
          <w:lang w:val="en-US"/>
        </w:rPr>
        <w:t xml:space="preserve"> rejecting H6 would </w:t>
      </w:r>
      <w:r w:rsidR="0038511D">
        <w:rPr>
          <w:lang w:val="en-US"/>
        </w:rPr>
        <w:t xml:space="preserve">lead us to eliminate the recognition hypothesis and retain </w:t>
      </w:r>
      <w:r w:rsidRPr="00C0615A">
        <w:rPr>
          <w:lang w:val="en-US"/>
        </w:rPr>
        <w:t xml:space="preserve">the arbitrage hypothesis </w:t>
      </w:r>
      <w:r w:rsidR="0038511D">
        <w:rPr>
          <w:lang w:val="en-US"/>
        </w:rPr>
        <w:t>only</w:t>
      </w:r>
      <w:r w:rsidRPr="00C0615A">
        <w:rPr>
          <w:lang w:val="en-US"/>
        </w:rPr>
        <w:t>.</w:t>
      </w:r>
    </w:p>
    <w:p w:rsidR="00FE5D7B" w:rsidRDefault="00C0615A">
      <w:pPr>
        <w:pStyle w:val="Titre2"/>
        <w:rPr>
          <w:lang w:val="en-US"/>
        </w:rPr>
      </w:pPr>
      <w:r w:rsidRPr="00C0615A">
        <w:rPr>
          <w:lang w:val="en-US"/>
        </w:rPr>
        <w:lastRenderedPageBreak/>
        <w:t>4.</w:t>
      </w:r>
      <w:r w:rsidRPr="00C0615A">
        <w:rPr>
          <w:lang w:val="en-US"/>
        </w:rPr>
        <w:tab/>
        <w:t>The impact of the</w:t>
      </w:r>
      <w:r w:rsidR="00463FB8">
        <w:rPr>
          <w:lang w:val="en-US"/>
        </w:rPr>
        <w:t xml:space="preserve"> introduction of an </w:t>
      </w:r>
      <w:r w:rsidRPr="00C0615A">
        <w:rPr>
          <w:lang w:val="en-US"/>
        </w:rPr>
        <w:t>ETF on the liquidity of underlying stocks</w:t>
      </w:r>
    </w:p>
    <w:p w:rsidR="009E486A" w:rsidRDefault="00C0615A">
      <w:pPr>
        <w:rPr>
          <w:lang w:val="en-US"/>
        </w:rPr>
      </w:pPr>
      <w:r w:rsidRPr="00C0615A">
        <w:rPr>
          <w:lang w:val="en-US"/>
        </w:rPr>
        <w:t>In order to test the competing hypotheses related to the introduction of a basket security, we examine</w:t>
      </w:r>
      <w:r w:rsidR="004045D4">
        <w:rPr>
          <w:lang w:val="en-US"/>
        </w:rPr>
        <w:t>d</w:t>
      </w:r>
      <w:r w:rsidRPr="00C0615A">
        <w:rPr>
          <w:lang w:val="en-US"/>
        </w:rPr>
        <w:t xml:space="preserve"> the variation in several liquidity measures for CAC 40 stocks and for a control sample on two 3-month intervals surrounding the </w:t>
      </w:r>
      <w:r w:rsidR="004045D4">
        <w:rPr>
          <w:lang w:val="en-US"/>
        </w:rPr>
        <w:t>date (</w:t>
      </w:r>
      <w:r w:rsidRPr="00C0615A">
        <w:rPr>
          <w:lang w:val="en-US"/>
        </w:rPr>
        <w:t>January 22, 2001</w:t>
      </w:r>
      <w:r w:rsidR="004045D4">
        <w:rPr>
          <w:lang w:val="en-US"/>
        </w:rPr>
        <w:t xml:space="preserve">) of the </w:t>
      </w:r>
      <w:r w:rsidR="0046347F">
        <w:rPr>
          <w:lang w:val="en-US"/>
        </w:rPr>
        <w:t>inception</w:t>
      </w:r>
      <w:r w:rsidR="004045D4">
        <w:rPr>
          <w:lang w:val="en-US"/>
        </w:rPr>
        <w:t xml:space="preserve"> of the ETF</w:t>
      </w:r>
      <w:r w:rsidRPr="00C0615A">
        <w:rPr>
          <w:lang w:val="en-US"/>
        </w:rPr>
        <w:t xml:space="preserve">.  The pre-introduction observation period is defined as the </w:t>
      </w:r>
      <w:r w:rsidR="005570F2">
        <w:rPr>
          <w:lang w:val="en-US"/>
        </w:rPr>
        <w:t>60 trading days</w:t>
      </w:r>
      <w:r w:rsidR="004045D4">
        <w:rPr>
          <w:lang w:val="en-US"/>
        </w:rPr>
        <w:t xml:space="preserve"> </w:t>
      </w:r>
      <w:r w:rsidRPr="00C0615A">
        <w:rPr>
          <w:lang w:val="en-US"/>
        </w:rPr>
        <w:t xml:space="preserve">between October 19, 2000 and January 15, 2001, while the post-introduction period covers the </w:t>
      </w:r>
      <w:r w:rsidR="005570F2">
        <w:rPr>
          <w:lang w:val="en-US"/>
        </w:rPr>
        <w:t>60 trading days</w:t>
      </w:r>
      <w:r w:rsidR="004045D4">
        <w:rPr>
          <w:lang w:val="en-US"/>
        </w:rPr>
        <w:t xml:space="preserve"> </w:t>
      </w:r>
      <w:r w:rsidRPr="00C0615A">
        <w:rPr>
          <w:lang w:val="en-US"/>
        </w:rPr>
        <w:t>from February 1, 2001 to April 27, 2001.  The</w:t>
      </w:r>
      <w:r w:rsidR="005570F2">
        <w:rPr>
          <w:lang w:val="en-US"/>
        </w:rPr>
        <w:t>se</w:t>
      </w:r>
      <w:r w:rsidRPr="00C0615A">
        <w:rPr>
          <w:lang w:val="en-US"/>
        </w:rPr>
        <w:t xml:space="preserve"> two </w:t>
      </w:r>
      <w:r w:rsidR="005570F2">
        <w:rPr>
          <w:lang w:val="en-US"/>
        </w:rPr>
        <w:t xml:space="preserve">observation periods do not include the two </w:t>
      </w:r>
      <w:r w:rsidRPr="00C0615A">
        <w:rPr>
          <w:lang w:val="en-US"/>
        </w:rPr>
        <w:t xml:space="preserve">weeks immediately surrounding the </w:t>
      </w:r>
      <w:r w:rsidR="0046347F">
        <w:rPr>
          <w:lang w:val="en-US"/>
        </w:rPr>
        <w:t>inception</w:t>
      </w:r>
      <w:r w:rsidR="004045D4">
        <w:rPr>
          <w:lang w:val="en-US"/>
        </w:rPr>
        <w:t xml:space="preserve"> of the </w:t>
      </w:r>
      <w:proofErr w:type="spellStart"/>
      <w:r w:rsidRPr="00C0615A">
        <w:rPr>
          <w:lang w:val="en-US"/>
        </w:rPr>
        <w:t>Lyxor</w:t>
      </w:r>
      <w:proofErr w:type="spellEnd"/>
      <w:r w:rsidRPr="00C0615A">
        <w:rPr>
          <w:lang w:val="en-US"/>
        </w:rPr>
        <w:t xml:space="preserve"> CAC 40 so as to avoid temporary liquidity effects.  After excluding securities added to and deleted from the CAC 40 index during the observation period</w:t>
      </w:r>
      <w:r w:rsidR="004045D4">
        <w:rPr>
          <w:lang w:val="en-US"/>
        </w:rPr>
        <w:t>,</w:t>
      </w:r>
      <w:r w:rsidRPr="00C0615A">
        <w:rPr>
          <w:lang w:val="en-US"/>
        </w:rPr>
        <w:t xml:space="preserve"> and a stock for which a major corporate event occurred (merger), we </w:t>
      </w:r>
      <w:r w:rsidR="004045D4">
        <w:rPr>
          <w:lang w:val="en-US"/>
        </w:rPr>
        <w:t>were left with</w:t>
      </w:r>
      <w:r w:rsidRPr="00C0615A">
        <w:rPr>
          <w:lang w:val="en-US"/>
        </w:rPr>
        <w:t xml:space="preserve"> a </w:t>
      </w:r>
      <w:r w:rsidR="00C26032">
        <w:rPr>
          <w:lang w:val="en-US"/>
        </w:rPr>
        <w:t>sample</w:t>
      </w:r>
      <w:r w:rsidR="004045D4">
        <w:rPr>
          <w:lang w:val="en-US"/>
        </w:rPr>
        <w:t xml:space="preserve"> </w:t>
      </w:r>
      <w:r w:rsidRPr="00C0615A">
        <w:rPr>
          <w:lang w:val="en-US"/>
        </w:rPr>
        <w:t>of 37 stocks.</w:t>
      </w:r>
    </w:p>
    <w:p w:rsidR="00FE5D7B" w:rsidRDefault="004045D4">
      <w:pPr>
        <w:rPr>
          <w:lang w:val="en-US"/>
        </w:rPr>
      </w:pPr>
      <w:r>
        <w:rPr>
          <w:lang w:val="en-US"/>
        </w:rPr>
        <w:t>T</w:t>
      </w:r>
      <w:r w:rsidR="00C0615A" w:rsidRPr="00C0615A">
        <w:rPr>
          <w:lang w:val="en-US"/>
        </w:rPr>
        <w:t xml:space="preserve">he control </w:t>
      </w:r>
      <w:r w:rsidR="00C26032">
        <w:rPr>
          <w:lang w:val="en-US"/>
        </w:rPr>
        <w:t>sample</w:t>
      </w:r>
      <w:r>
        <w:rPr>
          <w:lang w:val="en-US"/>
        </w:rPr>
        <w:t xml:space="preserve"> was formed </w:t>
      </w:r>
      <w:r w:rsidR="00C0615A" w:rsidRPr="00C0615A">
        <w:rPr>
          <w:lang w:val="en-US"/>
        </w:rPr>
        <w:t>by selecting the most</w:t>
      </w:r>
      <w:r w:rsidR="003F1C25">
        <w:rPr>
          <w:lang w:val="en-US"/>
        </w:rPr>
        <w:t xml:space="preserve"> </w:t>
      </w:r>
      <w:r w:rsidR="00C0615A" w:rsidRPr="00C0615A">
        <w:rPr>
          <w:lang w:val="en-US"/>
        </w:rPr>
        <w:t>traded non-CAC 40 stocks in the SBF 120 index</w:t>
      </w:r>
      <w:r w:rsidR="00F25FCF">
        <w:rPr>
          <w:lang w:val="en-US"/>
        </w:rPr>
        <w:t>.  Th</w:t>
      </w:r>
      <w:r w:rsidR="009E486A">
        <w:rPr>
          <w:lang w:val="en-US"/>
        </w:rPr>
        <w:t>e</w:t>
      </w:r>
      <w:r w:rsidR="00F25FCF">
        <w:rPr>
          <w:lang w:val="en-US"/>
        </w:rPr>
        <w:t xml:space="preserve"> </w:t>
      </w:r>
      <w:r w:rsidR="009E486A">
        <w:rPr>
          <w:lang w:val="en-US"/>
        </w:rPr>
        <w:t>SBF 120</w:t>
      </w:r>
      <w:r w:rsidR="00F25FCF" w:rsidRPr="00F25FCF">
        <w:rPr>
          <w:lang w:val="en-US"/>
        </w:rPr>
        <w:t xml:space="preserve"> includes the constituents of the CAC 40 index plus the </w:t>
      </w:r>
      <w:r w:rsidR="009E486A">
        <w:rPr>
          <w:lang w:val="en-US"/>
        </w:rPr>
        <w:t xml:space="preserve">next </w:t>
      </w:r>
      <w:r w:rsidR="00F25FCF">
        <w:rPr>
          <w:lang w:val="en-US"/>
        </w:rPr>
        <w:t>80</w:t>
      </w:r>
      <w:r w:rsidR="00F25FCF" w:rsidRPr="00F25FCF">
        <w:rPr>
          <w:lang w:val="en-US"/>
        </w:rPr>
        <w:t xml:space="preserve"> most actively traded stocks listed on Euronext Paris.</w:t>
      </w:r>
      <w:r w:rsidR="009E486A">
        <w:rPr>
          <w:lang w:val="en-US"/>
        </w:rPr>
        <w:t xml:space="preserve"> </w:t>
      </w:r>
      <w:r w:rsidR="00C0615A" w:rsidRPr="00C0615A">
        <w:rPr>
          <w:lang w:val="en-US"/>
        </w:rPr>
        <w:t xml:space="preserve"> </w:t>
      </w:r>
      <w:r w:rsidR="009E486A">
        <w:rPr>
          <w:lang w:val="en-US"/>
        </w:rPr>
        <w:t>In this set of 80 securities, we selected the most liquid by</w:t>
      </w:r>
      <w:r w:rsidR="009E486A" w:rsidRPr="00C0615A">
        <w:rPr>
          <w:lang w:val="en-US"/>
        </w:rPr>
        <w:t xml:space="preserve"> </w:t>
      </w:r>
      <w:r w:rsidR="00C0615A" w:rsidRPr="00C0615A">
        <w:rPr>
          <w:lang w:val="en-US"/>
        </w:rPr>
        <w:t>imposing a minimum average trading frequency of 100 trades per day</w:t>
      </w:r>
      <w:r w:rsidR="00A7492C">
        <w:rPr>
          <w:lang w:val="en-US"/>
        </w:rPr>
        <w:t>, a minimum average close price of five euros, a maximum average bid-ask spread of 1%, and a minimum average daily trading volume of one million euros in the pre-ETF period</w:t>
      </w:r>
      <w:r w:rsidR="00C0615A" w:rsidRPr="00C0615A">
        <w:rPr>
          <w:lang w:val="en-US"/>
        </w:rPr>
        <w:t xml:space="preserve">.  This procedure results in a control </w:t>
      </w:r>
      <w:r w:rsidR="00C26032">
        <w:rPr>
          <w:lang w:val="en-US"/>
        </w:rPr>
        <w:t>sample</w:t>
      </w:r>
      <w:r>
        <w:rPr>
          <w:lang w:val="en-US"/>
        </w:rPr>
        <w:t xml:space="preserve"> </w:t>
      </w:r>
      <w:r w:rsidR="00C0615A" w:rsidRPr="00C0615A">
        <w:rPr>
          <w:lang w:val="en-US"/>
        </w:rPr>
        <w:t xml:space="preserve">of </w:t>
      </w:r>
      <w:r w:rsidR="005E0BBD">
        <w:rPr>
          <w:lang w:val="en-US"/>
        </w:rPr>
        <w:t>49</w:t>
      </w:r>
      <w:r w:rsidR="00C0615A" w:rsidRPr="00C0615A">
        <w:rPr>
          <w:lang w:val="en-US"/>
        </w:rPr>
        <w:t xml:space="preserve"> stocks.</w:t>
      </w:r>
      <w:r w:rsidR="009E486A">
        <w:rPr>
          <w:lang w:val="en-US"/>
        </w:rPr>
        <w:t xml:space="preserve">  Further, s</w:t>
      </w:r>
      <w:r w:rsidR="009E486A" w:rsidRPr="00C0615A">
        <w:rPr>
          <w:lang w:val="en-US"/>
        </w:rPr>
        <w:t xml:space="preserve">ince 1994, Euronext Paris </w:t>
      </w:r>
      <w:r w:rsidR="009E486A">
        <w:rPr>
          <w:lang w:val="en-US"/>
        </w:rPr>
        <w:t xml:space="preserve">has </w:t>
      </w:r>
      <w:r w:rsidR="009E486A" w:rsidRPr="00C0615A">
        <w:rPr>
          <w:lang w:val="en-US"/>
        </w:rPr>
        <w:t>benefit</w:t>
      </w:r>
      <w:r w:rsidR="009E486A">
        <w:rPr>
          <w:lang w:val="en-US"/>
        </w:rPr>
        <w:t>ed</w:t>
      </w:r>
      <w:r w:rsidR="009E486A" w:rsidRPr="00C0615A">
        <w:rPr>
          <w:lang w:val="en-US"/>
        </w:rPr>
        <w:t xml:space="preserve"> from the existence of an upstairs market.  While all CAC 40 securities are eligible for block trading, not all control stocks are.  The elimination of non-eligible stocks leaves us with a control </w:t>
      </w:r>
      <w:r w:rsidR="009E486A">
        <w:rPr>
          <w:lang w:val="en-US"/>
        </w:rPr>
        <w:t xml:space="preserve">sample </w:t>
      </w:r>
      <w:r w:rsidR="009E486A" w:rsidRPr="00C0615A">
        <w:rPr>
          <w:lang w:val="en-US"/>
        </w:rPr>
        <w:t>of 4</w:t>
      </w:r>
      <w:r w:rsidR="009E486A">
        <w:rPr>
          <w:lang w:val="en-US"/>
        </w:rPr>
        <w:t>4</w:t>
      </w:r>
      <w:r w:rsidR="009E486A" w:rsidRPr="00C0615A">
        <w:rPr>
          <w:lang w:val="en-US"/>
        </w:rPr>
        <w:t xml:space="preserve"> stocks for tests requiring upstairs-market data.</w:t>
      </w:r>
      <w:r w:rsidR="00C0615A" w:rsidRPr="00C0615A">
        <w:rPr>
          <w:lang w:val="en-US"/>
        </w:rPr>
        <w:t xml:space="preserve">  </w:t>
      </w:r>
      <w:r w:rsidR="00A30E21">
        <w:rPr>
          <w:lang w:val="en-US"/>
        </w:rPr>
        <w:t>W</w:t>
      </w:r>
      <w:r w:rsidR="009E486A">
        <w:rPr>
          <w:lang w:val="en-US"/>
        </w:rPr>
        <w:t>hile w</w:t>
      </w:r>
      <w:r w:rsidR="00A30E21">
        <w:rPr>
          <w:lang w:val="en-US"/>
        </w:rPr>
        <w:t xml:space="preserve">e </w:t>
      </w:r>
      <w:r w:rsidR="009E486A">
        <w:rPr>
          <w:lang w:val="en-US"/>
        </w:rPr>
        <w:t>can</w:t>
      </w:r>
      <w:r w:rsidR="00A30E21">
        <w:rPr>
          <w:lang w:val="en-US"/>
        </w:rPr>
        <w:t>not claim that these control stocks are perfectly comparable to CAC 40 constituents</w:t>
      </w:r>
      <w:r w:rsidR="009E486A">
        <w:rPr>
          <w:lang w:val="en-US"/>
        </w:rPr>
        <w:t>,</w:t>
      </w:r>
      <w:r w:rsidR="00A30E21">
        <w:rPr>
          <w:lang w:val="en-US"/>
        </w:rPr>
        <w:t xml:space="preserve"> they are the best comparables </w:t>
      </w:r>
      <w:r w:rsidR="00B3430A">
        <w:rPr>
          <w:lang w:val="en-US"/>
        </w:rPr>
        <w:t xml:space="preserve">we can find </w:t>
      </w:r>
      <w:r w:rsidR="00A30E21">
        <w:rPr>
          <w:lang w:val="en-US"/>
        </w:rPr>
        <w:t>in the French stock</w:t>
      </w:r>
      <w:r w:rsidR="002420D4">
        <w:rPr>
          <w:lang w:val="en-US"/>
        </w:rPr>
        <w:t xml:space="preserve"> market</w:t>
      </w:r>
      <w:r w:rsidR="009E486A">
        <w:rPr>
          <w:lang w:val="en-US"/>
        </w:rPr>
        <w:t xml:space="preserve"> in terms of market size and liquidity</w:t>
      </w:r>
      <w:r w:rsidR="00A30E21">
        <w:rPr>
          <w:lang w:val="en-US"/>
        </w:rPr>
        <w:t xml:space="preserve">.  </w:t>
      </w:r>
      <w:r w:rsidR="009E486A">
        <w:rPr>
          <w:lang w:val="en-US"/>
        </w:rPr>
        <w:t xml:space="preserve">The alternative solution of </w:t>
      </w:r>
      <w:r w:rsidR="00B3430A">
        <w:rPr>
          <w:lang w:val="en-US"/>
        </w:rPr>
        <w:t>c</w:t>
      </w:r>
      <w:r w:rsidR="00A30E21">
        <w:rPr>
          <w:lang w:val="en-US"/>
        </w:rPr>
        <w:t xml:space="preserve">hoosing </w:t>
      </w:r>
      <w:r w:rsidR="00B3430A">
        <w:rPr>
          <w:lang w:val="en-US"/>
        </w:rPr>
        <w:t xml:space="preserve">as control stocks </w:t>
      </w:r>
      <w:r w:rsidR="00A30E21">
        <w:rPr>
          <w:lang w:val="en-US"/>
        </w:rPr>
        <w:t xml:space="preserve">large equities traded in the other markets of Euronext, such as Euronext Amsterdam, would </w:t>
      </w:r>
      <w:r w:rsidR="009E486A">
        <w:rPr>
          <w:lang w:val="en-US"/>
        </w:rPr>
        <w:t xml:space="preserve">not </w:t>
      </w:r>
      <w:r w:rsidR="00A30E21">
        <w:rPr>
          <w:lang w:val="en-US"/>
        </w:rPr>
        <w:t xml:space="preserve">be </w:t>
      </w:r>
      <w:r w:rsidR="009E486A">
        <w:rPr>
          <w:lang w:val="en-US"/>
        </w:rPr>
        <w:t>satisfactory</w:t>
      </w:r>
      <w:r w:rsidR="00A30E21">
        <w:rPr>
          <w:lang w:val="en-US"/>
        </w:rPr>
        <w:t xml:space="preserve"> as the national </w:t>
      </w:r>
      <w:r w:rsidR="00A30E21">
        <w:rPr>
          <w:lang w:val="en-US"/>
        </w:rPr>
        <w:lastRenderedPageBreak/>
        <w:t>trading platforms of Euronext were not integrated and had substantial difference</w:t>
      </w:r>
      <w:r w:rsidR="00B3430A">
        <w:rPr>
          <w:lang w:val="en-US"/>
        </w:rPr>
        <w:t>s</w:t>
      </w:r>
      <w:r w:rsidR="00A30E21">
        <w:rPr>
          <w:lang w:val="en-US"/>
        </w:rPr>
        <w:t xml:space="preserve"> in the design of their trading mechanisms at the time of the </w:t>
      </w:r>
      <w:proofErr w:type="spellStart"/>
      <w:r w:rsidR="00A30E21">
        <w:rPr>
          <w:lang w:val="en-US"/>
        </w:rPr>
        <w:t>Lyxor</w:t>
      </w:r>
      <w:proofErr w:type="spellEnd"/>
      <w:r w:rsidR="00A30E21">
        <w:rPr>
          <w:lang w:val="en-US"/>
        </w:rPr>
        <w:t xml:space="preserve"> CAC 40 ETF inception.</w:t>
      </w:r>
    </w:p>
    <w:p w:rsidR="00FE5D7B" w:rsidRDefault="00C0615A">
      <w:pPr>
        <w:rPr>
          <w:lang w:val="en-US"/>
        </w:rPr>
      </w:pPr>
      <w:r w:rsidRPr="00C0615A">
        <w:rPr>
          <w:lang w:val="en-US"/>
        </w:rPr>
        <w:t xml:space="preserve">After describing the data, we test the hypotheses derived in Section 3 by conducting </w:t>
      </w:r>
      <w:proofErr w:type="spellStart"/>
      <w:r w:rsidRPr="00C0615A">
        <w:rPr>
          <w:lang w:val="en-US"/>
        </w:rPr>
        <w:t>univariate</w:t>
      </w:r>
      <w:proofErr w:type="spellEnd"/>
      <w:r w:rsidRPr="00C0615A">
        <w:rPr>
          <w:lang w:val="en-US"/>
        </w:rPr>
        <w:t xml:space="preserve"> and multivariate analys</w:t>
      </w:r>
      <w:r w:rsidR="00350FC7">
        <w:rPr>
          <w:lang w:val="en-US"/>
        </w:rPr>
        <w:t>e</w:t>
      </w:r>
      <w:r w:rsidRPr="00C0615A">
        <w:rPr>
          <w:lang w:val="en-US"/>
        </w:rPr>
        <w:t>s of liquidity and price stability measures for both the CAC 40 sample and the control sample in the pre-ETF and post-ETF period</w:t>
      </w:r>
      <w:r w:rsidR="00350FC7">
        <w:rPr>
          <w:lang w:val="en-US"/>
        </w:rPr>
        <w:t>s</w:t>
      </w:r>
      <w:r w:rsidRPr="00C0615A">
        <w:rPr>
          <w:lang w:val="en-US"/>
        </w:rPr>
        <w:t>.</w:t>
      </w:r>
    </w:p>
    <w:p w:rsidR="00FE5D7B" w:rsidRDefault="00C0615A">
      <w:pPr>
        <w:pStyle w:val="Titre3"/>
        <w:rPr>
          <w:lang w:val="en-US"/>
        </w:rPr>
      </w:pPr>
      <w:r w:rsidRPr="00C0615A">
        <w:rPr>
          <w:lang w:val="en-US"/>
        </w:rPr>
        <w:t>4.1.</w:t>
      </w:r>
      <w:r w:rsidRPr="00C0615A">
        <w:rPr>
          <w:lang w:val="en-US"/>
        </w:rPr>
        <w:tab/>
        <w:t>Data</w:t>
      </w:r>
    </w:p>
    <w:p w:rsidR="00FE5D7B" w:rsidRDefault="00C0615A">
      <w:pPr>
        <w:rPr>
          <w:lang w:val="en-US"/>
        </w:rPr>
      </w:pPr>
      <w:r w:rsidRPr="00C0615A">
        <w:rPr>
          <w:lang w:val="en-US"/>
        </w:rPr>
        <w:t xml:space="preserve">The high frequency trade and quote data used in this section </w:t>
      </w:r>
      <w:r w:rsidR="00350FC7">
        <w:rPr>
          <w:lang w:val="en-US"/>
        </w:rPr>
        <w:t>we</w:t>
      </w:r>
      <w:r w:rsidRPr="00C0615A">
        <w:rPr>
          <w:lang w:val="en-US"/>
        </w:rPr>
        <w:t xml:space="preserve">re extracted from the Euronext BDM </w:t>
      </w:r>
      <w:r w:rsidR="00350FC7">
        <w:rPr>
          <w:lang w:val="en-US"/>
        </w:rPr>
        <w:t>(</w:t>
      </w:r>
      <w:r w:rsidR="00895364" w:rsidRPr="00C41698">
        <w:rPr>
          <w:i/>
          <w:lang w:val="en-US"/>
        </w:rPr>
        <w:t xml:space="preserve">Base </w:t>
      </w:r>
      <w:r w:rsidR="00350FC7" w:rsidRPr="00C41698">
        <w:rPr>
          <w:i/>
          <w:lang w:val="en-US"/>
        </w:rPr>
        <w:t xml:space="preserve">de </w:t>
      </w:r>
      <w:proofErr w:type="spellStart"/>
      <w:r w:rsidR="00895364" w:rsidRPr="00C41698">
        <w:rPr>
          <w:i/>
          <w:lang w:val="en-US"/>
        </w:rPr>
        <w:t>Données</w:t>
      </w:r>
      <w:proofErr w:type="spellEnd"/>
      <w:r w:rsidR="00895364" w:rsidRPr="00C41698">
        <w:rPr>
          <w:i/>
          <w:lang w:val="en-US"/>
        </w:rPr>
        <w:t xml:space="preserve"> </w:t>
      </w:r>
      <w:r w:rsidR="00350FC7" w:rsidRPr="00C41698">
        <w:rPr>
          <w:i/>
          <w:lang w:val="en-US"/>
        </w:rPr>
        <w:t xml:space="preserve">de </w:t>
      </w:r>
      <w:r w:rsidR="00895364" w:rsidRPr="00C41698">
        <w:rPr>
          <w:i/>
          <w:lang w:val="en-US"/>
        </w:rPr>
        <w:t>Marché</w:t>
      </w:r>
      <w:r w:rsidR="00350FC7">
        <w:rPr>
          <w:lang w:val="en-US"/>
        </w:rPr>
        <w:t xml:space="preserve">) </w:t>
      </w:r>
      <w:r w:rsidRPr="00C0615A">
        <w:rPr>
          <w:lang w:val="en-US"/>
        </w:rPr>
        <w:t>market database.  Trade files provide</w:t>
      </w:r>
      <w:r w:rsidR="00350FC7">
        <w:rPr>
          <w:lang w:val="en-US"/>
        </w:rPr>
        <w:t>d</w:t>
      </w:r>
      <w:r w:rsidRPr="00C0615A">
        <w:rPr>
          <w:lang w:val="en-US"/>
        </w:rPr>
        <w:t xml:space="preserve"> the date, time, price, and volume of each trade executed during the opening auction, the continuous session, </w:t>
      </w:r>
      <w:r w:rsidR="00350FC7">
        <w:rPr>
          <w:lang w:val="en-US"/>
        </w:rPr>
        <w:t xml:space="preserve">and </w:t>
      </w:r>
      <w:r w:rsidRPr="00C0615A">
        <w:rPr>
          <w:lang w:val="en-US"/>
        </w:rPr>
        <w:t>the closing auction.  The quote data cover best bid and ask limit prices with associated displayed quantities as posted during the trading session</w:t>
      </w:r>
      <w:r w:rsidR="00C36EF8" w:rsidRPr="00C36EF8">
        <w:rPr>
          <w:lang w:val="en-US"/>
        </w:rPr>
        <w:t>.  Hidden quantities</w:t>
      </w:r>
      <w:r w:rsidR="004E68AA" w:rsidRPr="00E723C2">
        <w:rPr>
          <w:lang w:val="en-US"/>
        </w:rPr>
        <w:t xml:space="preserve"> are not provide</w:t>
      </w:r>
      <w:r w:rsidRPr="00C0615A">
        <w:rPr>
          <w:lang w:val="en-US"/>
        </w:rPr>
        <w:t>d.</w:t>
      </w:r>
    </w:p>
    <w:p w:rsidR="00DD6967" w:rsidRDefault="00C0615A">
      <w:pPr>
        <w:rPr>
          <w:lang w:val="en-US"/>
        </w:rPr>
      </w:pPr>
      <w:r w:rsidRPr="00C0615A">
        <w:rPr>
          <w:lang w:val="en-US"/>
        </w:rPr>
        <w:t xml:space="preserve">Quote and trade timestamps are based on a second-by-second frequency.  In </w:t>
      </w:r>
      <w:r w:rsidR="00DD6967">
        <w:rPr>
          <w:lang w:val="en-US"/>
        </w:rPr>
        <w:t xml:space="preserve">the </w:t>
      </w:r>
      <w:r w:rsidRPr="00C0615A">
        <w:rPr>
          <w:lang w:val="en-US"/>
        </w:rPr>
        <w:t>best</w:t>
      </w:r>
      <w:r w:rsidR="00DD6967">
        <w:rPr>
          <w:lang w:val="en-US"/>
        </w:rPr>
        <w:t>-</w:t>
      </w:r>
      <w:r w:rsidRPr="00C0615A">
        <w:rPr>
          <w:lang w:val="en-US"/>
        </w:rPr>
        <w:t xml:space="preserve">quote files, a new record appears each time any feature of the best limits, </w:t>
      </w:r>
      <w:proofErr w:type="gramStart"/>
      <w:r w:rsidRPr="00C0615A">
        <w:rPr>
          <w:lang w:val="en-US"/>
        </w:rPr>
        <w:t>either a</w:t>
      </w:r>
      <w:proofErr w:type="gramEnd"/>
      <w:r w:rsidRPr="00C0615A">
        <w:rPr>
          <w:lang w:val="en-US"/>
        </w:rPr>
        <w:t xml:space="preserve"> price or a quantity, changes.  </w:t>
      </w:r>
      <w:r w:rsidR="009A666D">
        <w:rPr>
          <w:lang w:val="en-US"/>
        </w:rPr>
        <w:t xml:space="preserve">In the trade database, if one buy (sell) marketable order executes against </w:t>
      </w:r>
      <w:r w:rsidR="009A666D" w:rsidRPr="00DF5890">
        <w:rPr>
          <w:i/>
          <w:lang w:val="en-US"/>
        </w:rPr>
        <w:t>n</w:t>
      </w:r>
      <w:r w:rsidR="009A666D">
        <w:rPr>
          <w:lang w:val="en-US"/>
        </w:rPr>
        <w:t xml:space="preserve"> sell (buy) orders with the same limit price, then </w:t>
      </w:r>
      <w:r w:rsidR="009A666D" w:rsidRPr="00DF5890">
        <w:rPr>
          <w:i/>
          <w:lang w:val="en-US"/>
        </w:rPr>
        <w:t>n</w:t>
      </w:r>
      <w:r w:rsidR="009A666D">
        <w:rPr>
          <w:lang w:val="en-US"/>
        </w:rPr>
        <w:t xml:space="preserve"> trades with the same timestamp and price will be recorded.</w:t>
      </w:r>
      <w:r w:rsidRPr="00C0615A">
        <w:rPr>
          <w:lang w:val="en-US"/>
        </w:rPr>
        <w:t xml:space="preserve">  </w:t>
      </w:r>
      <w:r w:rsidR="00DD6967">
        <w:rPr>
          <w:lang w:val="en-US"/>
        </w:rPr>
        <w:t>In addition</w:t>
      </w:r>
      <w:r w:rsidRPr="00C0615A">
        <w:rPr>
          <w:lang w:val="en-US"/>
        </w:rPr>
        <w:t>, each time an order is executed against a pending limit order, it modifies the best bid and ask quotes, so that a new best quote record is automatically produced with the same timestamp as the trade from which it results.  If a trade is executed against several orders, there will be several successive quotes produced by the trade and they will be recorded in chronological order in the quote file.</w:t>
      </w:r>
    </w:p>
    <w:p w:rsidR="00FE5D7B" w:rsidRDefault="00C0615A">
      <w:pPr>
        <w:rPr>
          <w:lang w:val="en-US"/>
        </w:rPr>
      </w:pPr>
      <w:r w:rsidRPr="00C0615A">
        <w:rPr>
          <w:lang w:val="en-US"/>
        </w:rPr>
        <w:t>We aggregate</w:t>
      </w:r>
      <w:r w:rsidR="00DD6967">
        <w:rPr>
          <w:lang w:val="en-US"/>
        </w:rPr>
        <w:t>d</w:t>
      </w:r>
      <w:r w:rsidRPr="00C0615A">
        <w:rPr>
          <w:lang w:val="en-US"/>
        </w:rPr>
        <w:t xml:space="preserve"> trade records with the same timestamp and price in</w:t>
      </w:r>
      <w:r w:rsidR="00DD6967">
        <w:rPr>
          <w:lang w:val="en-US"/>
        </w:rPr>
        <w:t>to</w:t>
      </w:r>
      <w:r w:rsidRPr="00C0615A">
        <w:rPr>
          <w:lang w:val="en-US"/>
        </w:rPr>
        <w:t xml:space="preserve"> a single trade record.  When several quote records ha</w:t>
      </w:r>
      <w:r w:rsidR="00DD6967">
        <w:rPr>
          <w:lang w:val="en-US"/>
        </w:rPr>
        <w:t>d</w:t>
      </w:r>
      <w:r w:rsidRPr="00C0615A">
        <w:rPr>
          <w:lang w:val="en-US"/>
        </w:rPr>
        <w:t xml:space="preserve"> the same timestamp, we </w:t>
      </w:r>
      <w:r w:rsidR="00DD6967">
        <w:rPr>
          <w:lang w:val="en-US"/>
        </w:rPr>
        <w:t xml:space="preserve">kept </w:t>
      </w:r>
      <w:r w:rsidRPr="00C0615A">
        <w:rPr>
          <w:lang w:val="en-US"/>
        </w:rPr>
        <w:t xml:space="preserve">the last one recorded in the best quote file.  When ordering trades and best quotes, if a trade and a quote </w:t>
      </w:r>
      <w:r w:rsidR="00DD6967">
        <w:rPr>
          <w:lang w:val="en-US"/>
        </w:rPr>
        <w:t xml:space="preserve">had </w:t>
      </w:r>
      <w:r w:rsidRPr="00C0615A">
        <w:rPr>
          <w:lang w:val="en-US"/>
        </w:rPr>
        <w:t xml:space="preserve">the same </w:t>
      </w:r>
      <w:r w:rsidRPr="00C0615A">
        <w:rPr>
          <w:lang w:val="en-US"/>
        </w:rPr>
        <w:lastRenderedPageBreak/>
        <w:t xml:space="preserve">timestamp, the quote </w:t>
      </w:r>
      <w:r w:rsidR="00DD6967">
        <w:rPr>
          <w:lang w:val="en-US"/>
        </w:rPr>
        <w:t>wa</w:t>
      </w:r>
      <w:r w:rsidRPr="00C0615A">
        <w:rPr>
          <w:lang w:val="en-US"/>
        </w:rPr>
        <w:t xml:space="preserve">s considered as </w:t>
      </w:r>
      <w:r w:rsidR="00DD6967">
        <w:rPr>
          <w:lang w:val="en-US"/>
        </w:rPr>
        <w:t xml:space="preserve">following </w:t>
      </w:r>
      <w:r w:rsidRPr="00C0615A">
        <w:rPr>
          <w:lang w:val="en-US"/>
        </w:rPr>
        <w:t xml:space="preserve">the trade.  Trades </w:t>
      </w:r>
      <w:r w:rsidR="00DD6967">
        <w:rPr>
          <w:lang w:val="en-US"/>
        </w:rPr>
        <w:t>we</w:t>
      </w:r>
      <w:r w:rsidRPr="00C0615A">
        <w:rPr>
          <w:lang w:val="en-US"/>
        </w:rPr>
        <w:t xml:space="preserve">re then </w:t>
      </w:r>
      <w:r w:rsidR="00DD6967">
        <w:rPr>
          <w:lang w:val="en-US"/>
        </w:rPr>
        <w:t>s</w:t>
      </w:r>
      <w:r w:rsidRPr="00C0615A">
        <w:rPr>
          <w:lang w:val="en-US"/>
        </w:rPr>
        <w:t>igne</w:t>
      </w:r>
      <w:r w:rsidR="00802A41">
        <w:rPr>
          <w:lang w:val="en-US"/>
        </w:rPr>
        <w:t xml:space="preserve">d </w:t>
      </w:r>
      <w:r w:rsidRPr="00C0615A">
        <w:rPr>
          <w:lang w:val="en-US"/>
        </w:rPr>
        <w:t xml:space="preserve">according to their price relative to the prevailing mid-quote at the time of the trade.  </w:t>
      </w:r>
      <w:r w:rsidR="00DD6967">
        <w:rPr>
          <w:lang w:val="en-US"/>
        </w:rPr>
        <w:t xml:space="preserve">Like </w:t>
      </w:r>
      <w:r w:rsidRPr="00C0615A">
        <w:rPr>
          <w:lang w:val="en-US"/>
        </w:rPr>
        <w:t xml:space="preserve">Lee and Ready (1991), </w:t>
      </w:r>
      <w:r w:rsidR="00DD6967">
        <w:rPr>
          <w:lang w:val="en-US"/>
        </w:rPr>
        <w:t xml:space="preserve">we considered </w:t>
      </w:r>
      <w:r w:rsidRPr="00C0615A">
        <w:rPr>
          <w:lang w:val="en-US"/>
        </w:rPr>
        <w:t xml:space="preserve">trades whose prices </w:t>
      </w:r>
      <w:r w:rsidR="00DD6967">
        <w:rPr>
          <w:lang w:val="en-US"/>
        </w:rPr>
        <w:t>we</w:t>
      </w:r>
      <w:r w:rsidRPr="00C0615A">
        <w:rPr>
          <w:lang w:val="en-US"/>
        </w:rPr>
        <w:t xml:space="preserve">re higher than the mid-quote </w:t>
      </w:r>
      <w:r w:rsidR="00DD6967">
        <w:rPr>
          <w:lang w:val="en-US"/>
        </w:rPr>
        <w:t xml:space="preserve">to be </w:t>
      </w:r>
      <w:r w:rsidRPr="00C0615A">
        <w:rPr>
          <w:lang w:val="en-US"/>
        </w:rPr>
        <w:t>buyer-initiated</w:t>
      </w:r>
      <w:r w:rsidR="00DD6967">
        <w:rPr>
          <w:lang w:val="en-US"/>
        </w:rPr>
        <w:t xml:space="preserve"> and those whose prices were lower than the mid-quote to be seller-initiated.</w:t>
      </w:r>
    </w:p>
    <w:p w:rsidR="00FE5D7B" w:rsidRDefault="00433DF0">
      <w:pPr>
        <w:rPr>
          <w:lang w:val="en-US"/>
        </w:rPr>
      </w:pPr>
      <w:r>
        <w:rPr>
          <w:lang w:val="en-US"/>
        </w:rPr>
        <w:t>Euronext defines a n</w:t>
      </w:r>
      <w:r w:rsidR="00C0615A" w:rsidRPr="00C0615A">
        <w:rPr>
          <w:lang w:val="en-US"/>
        </w:rPr>
        <w:t xml:space="preserve">ormal </w:t>
      </w:r>
      <w:r>
        <w:rPr>
          <w:lang w:val="en-US"/>
        </w:rPr>
        <w:t>b</w:t>
      </w:r>
      <w:r w:rsidR="00C0615A" w:rsidRPr="00C0615A">
        <w:rPr>
          <w:lang w:val="en-US"/>
        </w:rPr>
        <w:t xml:space="preserve">lock </w:t>
      </w:r>
      <w:r>
        <w:rPr>
          <w:lang w:val="en-US"/>
        </w:rPr>
        <w:t>s</w:t>
      </w:r>
      <w:r w:rsidR="00C0615A" w:rsidRPr="00C0615A">
        <w:rPr>
          <w:lang w:val="en-US"/>
        </w:rPr>
        <w:t>ize (NBS)</w:t>
      </w:r>
      <w:r>
        <w:rPr>
          <w:lang w:val="en-US"/>
        </w:rPr>
        <w:t xml:space="preserve"> to </w:t>
      </w:r>
      <w:r w:rsidR="00C0615A" w:rsidRPr="00C0615A">
        <w:rPr>
          <w:lang w:val="en-US"/>
        </w:rPr>
        <w:t>stocks that are eligible for blo</w:t>
      </w:r>
      <w:r>
        <w:rPr>
          <w:lang w:val="en-US"/>
        </w:rPr>
        <w:t xml:space="preserve">ck trading. The NBS </w:t>
      </w:r>
      <w:r w:rsidR="00C0615A" w:rsidRPr="00C0615A">
        <w:rPr>
          <w:lang w:val="en-US"/>
        </w:rPr>
        <w:t xml:space="preserve">is the minimum share quantity </w:t>
      </w:r>
      <w:r>
        <w:rPr>
          <w:lang w:val="en-US"/>
        </w:rPr>
        <w:t xml:space="preserve">to </w:t>
      </w:r>
      <w:r w:rsidR="00C0615A" w:rsidRPr="00C0615A">
        <w:rPr>
          <w:lang w:val="en-US"/>
        </w:rPr>
        <w:t>which the block trading procedure applies.  Euronext continuously reports the bid-ask spread that would result from buying and selling the NBS against orders in the order book.  This spread, designated hereafter as the block spread, is obtained by weighting the different bid and ask limit prices hit to execute the NBS with associated quantities.</w:t>
      </w:r>
    </w:p>
    <w:p w:rsidR="00FE5D7B" w:rsidRDefault="00433DF0">
      <w:pPr>
        <w:pStyle w:val="Titre3"/>
        <w:rPr>
          <w:lang w:val="en-US"/>
        </w:rPr>
      </w:pPr>
      <w:r>
        <w:rPr>
          <w:lang w:val="en-US"/>
        </w:rPr>
        <w:t>4.2.</w:t>
      </w:r>
      <w:r>
        <w:rPr>
          <w:lang w:val="en-US"/>
        </w:rPr>
        <w:tab/>
      </w:r>
      <w:proofErr w:type="spellStart"/>
      <w:r>
        <w:rPr>
          <w:lang w:val="en-US"/>
        </w:rPr>
        <w:t>Univariate</w:t>
      </w:r>
      <w:proofErr w:type="spellEnd"/>
      <w:r>
        <w:rPr>
          <w:lang w:val="en-US"/>
        </w:rPr>
        <w:t xml:space="preserve"> analys</w:t>
      </w:r>
      <w:r w:rsidR="007821D4">
        <w:rPr>
          <w:lang w:val="en-US"/>
        </w:rPr>
        <w:t>i</w:t>
      </w:r>
      <w:r w:rsidR="00C0615A" w:rsidRPr="00C0615A">
        <w:rPr>
          <w:lang w:val="en-US"/>
        </w:rPr>
        <w:t>s</w:t>
      </w:r>
    </w:p>
    <w:p w:rsidR="00FE5D7B" w:rsidRDefault="00433DF0">
      <w:pPr>
        <w:rPr>
          <w:lang w:val="en-US"/>
        </w:rPr>
      </w:pPr>
      <w:r>
        <w:rPr>
          <w:lang w:val="en-US"/>
        </w:rPr>
        <w:t xml:space="preserve">The </w:t>
      </w:r>
      <w:proofErr w:type="spellStart"/>
      <w:r>
        <w:rPr>
          <w:lang w:val="en-US"/>
        </w:rPr>
        <w:t>univariate</w:t>
      </w:r>
      <w:proofErr w:type="spellEnd"/>
      <w:r>
        <w:rPr>
          <w:lang w:val="en-US"/>
        </w:rPr>
        <w:t xml:space="preserve"> analys</w:t>
      </w:r>
      <w:r w:rsidR="007821D4">
        <w:rPr>
          <w:lang w:val="en-US"/>
        </w:rPr>
        <w:t>i</w:t>
      </w:r>
      <w:r w:rsidR="00C0615A" w:rsidRPr="00C0615A">
        <w:rPr>
          <w:lang w:val="en-US"/>
        </w:rPr>
        <w:t>s consist</w:t>
      </w:r>
      <w:r w:rsidR="007821D4">
        <w:rPr>
          <w:lang w:val="en-US"/>
        </w:rPr>
        <w:t>s</w:t>
      </w:r>
      <w:r>
        <w:rPr>
          <w:lang w:val="en-US"/>
        </w:rPr>
        <w:t xml:space="preserve"> </w:t>
      </w:r>
      <w:r w:rsidR="00B91954">
        <w:rPr>
          <w:lang w:val="en-US"/>
        </w:rPr>
        <w:t xml:space="preserve">of </w:t>
      </w:r>
      <w:r w:rsidR="00C0615A" w:rsidRPr="00C0615A">
        <w:rPr>
          <w:lang w:val="en-US"/>
        </w:rPr>
        <w:t>testing the difference between the pre-ETF and the post-ETF observation periods in the cross-sectional means of several variables. We perform</w:t>
      </w:r>
      <w:r>
        <w:rPr>
          <w:lang w:val="en-US"/>
        </w:rPr>
        <w:t>ed</w:t>
      </w:r>
      <w:r w:rsidR="00C0615A" w:rsidRPr="00C0615A">
        <w:rPr>
          <w:lang w:val="en-US"/>
        </w:rPr>
        <w:t xml:space="preserve"> statistical tests in two ways: first, the cross-sectional means of each variable </w:t>
      </w:r>
      <w:r w:rsidR="002A4EFA">
        <w:rPr>
          <w:lang w:val="en-US"/>
        </w:rPr>
        <w:t>were compared for</w:t>
      </w:r>
      <w:r>
        <w:rPr>
          <w:lang w:val="en-US"/>
        </w:rPr>
        <w:t xml:space="preserve"> </w:t>
      </w:r>
      <w:r w:rsidR="00C0615A" w:rsidRPr="00C0615A">
        <w:rPr>
          <w:lang w:val="en-US"/>
        </w:rPr>
        <w:t xml:space="preserve">the CAC40 </w:t>
      </w:r>
      <w:r w:rsidR="00C26032">
        <w:rPr>
          <w:lang w:val="en-US"/>
        </w:rPr>
        <w:t>sample</w:t>
      </w:r>
      <w:r>
        <w:rPr>
          <w:lang w:val="en-US"/>
        </w:rPr>
        <w:t xml:space="preserve"> </w:t>
      </w:r>
      <w:r w:rsidR="00C0615A" w:rsidRPr="00C0615A">
        <w:rPr>
          <w:lang w:val="en-US"/>
        </w:rPr>
        <w:t xml:space="preserve">and for the control </w:t>
      </w:r>
      <w:r w:rsidR="00C26032">
        <w:rPr>
          <w:lang w:val="en-US"/>
        </w:rPr>
        <w:t>sample</w:t>
      </w:r>
      <w:r>
        <w:rPr>
          <w:lang w:val="en-US"/>
        </w:rPr>
        <w:t xml:space="preserve"> </w:t>
      </w:r>
      <w:r w:rsidR="00C0615A" w:rsidRPr="00C0615A">
        <w:rPr>
          <w:lang w:val="en-US"/>
        </w:rPr>
        <w:t>in the pre</w:t>
      </w:r>
      <w:r>
        <w:rPr>
          <w:lang w:val="en-US"/>
        </w:rPr>
        <w:t xml:space="preserve">- and post-ETF </w:t>
      </w:r>
      <w:r w:rsidR="00C0615A" w:rsidRPr="00C0615A">
        <w:rPr>
          <w:lang w:val="en-US"/>
        </w:rPr>
        <w:t>periods</w:t>
      </w:r>
      <w:r>
        <w:rPr>
          <w:lang w:val="en-US"/>
        </w:rPr>
        <w:t>,</w:t>
      </w:r>
      <w:r w:rsidR="00C0615A" w:rsidRPr="00C0615A">
        <w:rPr>
          <w:lang w:val="en-US"/>
        </w:rPr>
        <w:t xml:space="preserve"> </w:t>
      </w:r>
      <w:r>
        <w:rPr>
          <w:lang w:val="en-US"/>
        </w:rPr>
        <w:t xml:space="preserve">using a paired </w:t>
      </w:r>
      <w:r w:rsidRPr="00DA34B7">
        <w:rPr>
          <w:i/>
          <w:lang w:val="en-US"/>
        </w:rPr>
        <w:t>t</w:t>
      </w:r>
      <w:r>
        <w:rPr>
          <w:lang w:val="en-US"/>
        </w:rPr>
        <w:t>-test</w:t>
      </w:r>
      <w:r w:rsidR="00C0615A" w:rsidRPr="00C0615A">
        <w:rPr>
          <w:lang w:val="en-US"/>
        </w:rPr>
        <w:t xml:space="preserve">.  </w:t>
      </w:r>
      <w:r w:rsidR="00925184">
        <w:rPr>
          <w:lang w:val="en-US"/>
        </w:rPr>
        <w:t xml:space="preserve">We tested both for the difference in the absolute and the percentage variation.  </w:t>
      </w:r>
      <w:r w:rsidR="00C0615A" w:rsidRPr="00C0615A">
        <w:rPr>
          <w:lang w:val="en-US"/>
        </w:rPr>
        <w:t>Second, we use</w:t>
      </w:r>
      <w:r>
        <w:rPr>
          <w:lang w:val="en-US"/>
        </w:rPr>
        <w:t>d</w:t>
      </w:r>
      <w:r w:rsidR="00C0615A" w:rsidRPr="00C0615A">
        <w:rPr>
          <w:lang w:val="en-US"/>
        </w:rPr>
        <w:t xml:space="preserve"> a difference-in-difference</w:t>
      </w:r>
      <w:r>
        <w:rPr>
          <w:lang w:val="en-US"/>
        </w:rPr>
        <w:t>s</w:t>
      </w:r>
      <w:r w:rsidR="00C0615A" w:rsidRPr="00C0615A">
        <w:rPr>
          <w:lang w:val="en-US"/>
        </w:rPr>
        <w:t xml:space="preserve"> approach to compare cross-sectional </w:t>
      </w:r>
      <w:r w:rsidR="00925184">
        <w:rPr>
          <w:lang w:val="en-US"/>
        </w:rPr>
        <w:t xml:space="preserve">absolute and </w:t>
      </w:r>
      <w:r w:rsidR="00C0615A" w:rsidRPr="00C0615A">
        <w:rPr>
          <w:lang w:val="en-US"/>
        </w:rPr>
        <w:t xml:space="preserve">percentage variations from the pre-ETF to the post-ETF period across </w:t>
      </w:r>
      <w:r w:rsidR="00C26032">
        <w:rPr>
          <w:lang w:val="en-US"/>
        </w:rPr>
        <w:t>sample</w:t>
      </w:r>
      <w:r>
        <w:rPr>
          <w:lang w:val="en-US"/>
        </w:rPr>
        <w:t>s</w:t>
      </w:r>
      <w:r w:rsidR="00C0615A" w:rsidRPr="00C0615A">
        <w:rPr>
          <w:lang w:val="en-US"/>
        </w:rPr>
        <w:t xml:space="preserve">. </w:t>
      </w:r>
      <w:r w:rsidR="00925184">
        <w:rPr>
          <w:lang w:val="en-US"/>
        </w:rPr>
        <w:t xml:space="preserve">  The variables reported in Tables 2 to 4 do not always exhibit similar level for the CAC 40 and the control sample stocks.  For that reason, the results of the difference in differences tests based on the percentage variation are more economically meaningful. </w:t>
      </w:r>
    </w:p>
    <w:p w:rsidR="00FE5D7B" w:rsidRDefault="00C0615A">
      <w:pPr>
        <w:rPr>
          <w:lang w:val="en-US"/>
        </w:rPr>
      </w:pPr>
      <w:r w:rsidRPr="00C0615A">
        <w:rPr>
          <w:lang w:val="en-US"/>
        </w:rPr>
        <w:t>In order to test hypotheses H1a, H1b, H2a, and H2b, we start</w:t>
      </w:r>
      <w:r w:rsidR="00433DF0">
        <w:rPr>
          <w:lang w:val="en-US"/>
        </w:rPr>
        <w:t>ed</w:t>
      </w:r>
      <w:r w:rsidRPr="00C0615A">
        <w:rPr>
          <w:lang w:val="en-US"/>
        </w:rPr>
        <w:t xml:space="preserve"> by considering measures related to trading volumes, trading frequency, spreads, and depth.  </w:t>
      </w:r>
      <w:r w:rsidR="00433DF0">
        <w:rPr>
          <w:lang w:val="en-US"/>
        </w:rPr>
        <w:t>T</w:t>
      </w:r>
      <w:r w:rsidRPr="00C0615A">
        <w:rPr>
          <w:lang w:val="en-US"/>
        </w:rPr>
        <w:t xml:space="preserve">he average daily trading volume in euros, the total trading volume in number of shares, the average daily </w:t>
      </w:r>
      <w:r w:rsidRPr="00C0615A">
        <w:rPr>
          <w:lang w:val="en-US"/>
        </w:rPr>
        <w:lastRenderedPageBreak/>
        <w:t>number of trades, and the average trade size</w:t>
      </w:r>
      <w:r w:rsidR="00433DF0">
        <w:rPr>
          <w:lang w:val="en-US"/>
        </w:rPr>
        <w:t xml:space="preserve"> were measured by the </w:t>
      </w:r>
      <w:r w:rsidRPr="00C0615A">
        <w:rPr>
          <w:lang w:val="en-US"/>
        </w:rPr>
        <w:t xml:space="preserve">volume and trading frequency.  According to H1a, </w:t>
      </w:r>
      <w:r w:rsidR="00433DF0">
        <w:rPr>
          <w:lang w:val="en-US"/>
        </w:rPr>
        <w:t xml:space="preserve">there </w:t>
      </w:r>
      <w:r w:rsidRPr="00C0615A">
        <w:rPr>
          <w:lang w:val="en-US"/>
        </w:rPr>
        <w:t xml:space="preserve">should </w:t>
      </w:r>
      <w:r w:rsidR="00433DF0">
        <w:rPr>
          <w:lang w:val="en-US"/>
        </w:rPr>
        <w:t xml:space="preserve">be </w:t>
      </w:r>
      <w:r w:rsidRPr="00C0615A">
        <w:rPr>
          <w:lang w:val="en-US"/>
        </w:rPr>
        <w:t xml:space="preserve">a significant decrease in measures of volume for </w:t>
      </w:r>
      <w:r w:rsidR="00433DF0">
        <w:rPr>
          <w:lang w:val="en-US"/>
        </w:rPr>
        <w:t xml:space="preserve">the </w:t>
      </w:r>
      <w:r w:rsidRPr="00C0615A">
        <w:rPr>
          <w:lang w:val="en-US"/>
        </w:rPr>
        <w:t xml:space="preserve">CAC 40 </w:t>
      </w:r>
      <w:r w:rsidR="00C26032">
        <w:rPr>
          <w:lang w:val="en-US"/>
        </w:rPr>
        <w:t>sample</w:t>
      </w:r>
      <w:r w:rsidRPr="00C0615A">
        <w:rPr>
          <w:lang w:val="en-US"/>
        </w:rPr>
        <w:t xml:space="preserve">, with no similar effect for the control </w:t>
      </w:r>
      <w:r w:rsidR="00C26032">
        <w:rPr>
          <w:lang w:val="en-US"/>
        </w:rPr>
        <w:t>sample</w:t>
      </w:r>
      <w:r w:rsidRPr="00C0615A">
        <w:rPr>
          <w:lang w:val="en-US"/>
        </w:rPr>
        <w:t xml:space="preserve">.  </w:t>
      </w:r>
      <w:r w:rsidR="00433DF0">
        <w:rPr>
          <w:lang w:val="en-US"/>
        </w:rPr>
        <w:t xml:space="preserve">Conversely, H1b predicts a significant increase in measures of volume for the CAC 40 </w:t>
      </w:r>
      <w:r w:rsidR="00C26032">
        <w:rPr>
          <w:lang w:val="en-US"/>
        </w:rPr>
        <w:t>sample</w:t>
      </w:r>
      <w:r w:rsidR="00433DF0">
        <w:rPr>
          <w:lang w:val="en-US"/>
        </w:rPr>
        <w:t xml:space="preserve">. </w:t>
      </w:r>
      <w:r w:rsidRPr="00C0615A">
        <w:rPr>
          <w:lang w:val="en-US"/>
        </w:rPr>
        <w:t>We then compare</w:t>
      </w:r>
      <w:r w:rsidR="004065ED">
        <w:rPr>
          <w:lang w:val="en-US"/>
        </w:rPr>
        <w:t>d</w:t>
      </w:r>
      <w:r w:rsidRPr="00C0615A">
        <w:rPr>
          <w:lang w:val="en-US"/>
        </w:rPr>
        <w:t xml:space="preserve"> bid-ask spread measures.  The average quoted spread for stock </w:t>
      </w:r>
      <w:proofErr w:type="spellStart"/>
      <w:r w:rsidRPr="00C0615A">
        <w:rPr>
          <w:i/>
          <w:lang w:val="en-US"/>
        </w:rPr>
        <w:t>i</w:t>
      </w:r>
      <w:proofErr w:type="spellEnd"/>
      <w:r w:rsidRPr="00C0615A">
        <w:rPr>
          <w:lang w:val="en-US"/>
        </w:rPr>
        <w:t xml:space="preserve"> over a given sub-period is</w:t>
      </w:r>
      <w:r w:rsidR="00B11390">
        <w:rPr>
          <w:lang w:val="en-US"/>
        </w:rPr>
        <w:t xml:space="preserve"> computed on a time-weighted basis as follows:</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4E68AA">
            <w:pPr>
              <w:spacing w:before="0"/>
              <w:ind w:firstLine="0"/>
              <w:jc w:val="center"/>
              <w:rPr>
                <w:lang w:val="en-US"/>
              </w:rPr>
            </w:pPr>
            <w:r w:rsidRPr="00E723C2">
              <w:rPr>
                <w:position w:val="-62"/>
                <w:lang w:val="en-US"/>
              </w:rPr>
              <w:object w:dxaOrig="3620" w:dyaOrig="1040">
                <v:shape id="_x0000_i1026" type="#_x0000_t75" style="width:180.75pt;height:51.75pt" o:ole="">
                  <v:imagedata r:id="rId15" o:title=""/>
                </v:shape>
                <o:OLEObject Type="Embed" ProgID="Equation.DSMT4" ShapeID="_x0000_i1026" DrawAspect="Content" ObjectID="_1396445679" r:id="rId16"/>
              </w:object>
            </w:r>
            <w:r w:rsidRPr="00E723C2">
              <w:rPr>
                <w:lang w:val="en-US"/>
              </w:rPr>
              <w:t>,</w:t>
            </w:r>
          </w:p>
        </w:tc>
        <w:tc>
          <w:tcPr>
            <w:tcW w:w="1082" w:type="dxa"/>
            <w:vAlign w:val="center"/>
          </w:tcPr>
          <w:p w:rsidR="00F426D0" w:rsidRDefault="00C0615A">
            <w:pPr>
              <w:spacing w:before="0"/>
              <w:ind w:firstLine="0"/>
              <w:jc w:val="right"/>
              <w:rPr>
                <w:lang w:val="en-US"/>
              </w:rPr>
            </w:pPr>
            <w:r w:rsidRPr="00C0615A">
              <w:rPr>
                <w:lang w:val="en-US"/>
              </w:rPr>
              <w:t>(2)</w:t>
            </w:r>
          </w:p>
        </w:tc>
      </w:tr>
    </w:tbl>
    <w:p w:rsidR="00B91954" w:rsidRDefault="004065ED">
      <w:pPr>
        <w:spacing w:before="0"/>
        <w:ind w:firstLine="0"/>
        <w:rPr>
          <w:lang w:val="en-US"/>
        </w:rPr>
      </w:pPr>
      <w:r>
        <w:rPr>
          <w:lang w:val="en-US"/>
        </w:rPr>
        <w:t>where</w:t>
      </w:r>
      <w:r w:rsidR="004E68AA" w:rsidRPr="00E723C2">
        <w:rPr>
          <w:position w:val="-14"/>
          <w:lang w:val="en-US"/>
        </w:rPr>
        <w:object w:dxaOrig="600" w:dyaOrig="380">
          <v:shape id="_x0000_i1027" type="#_x0000_t75" style="width:30pt;height:18.75pt" o:ole="">
            <v:imagedata r:id="rId17" o:title=""/>
          </v:shape>
          <o:OLEObject Type="Embed" ProgID="Equation.3" ShapeID="_x0000_i1027" DrawAspect="Content" ObjectID="_1396445680" r:id="rId18"/>
        </w:object>
      </w:r>
      <w:r w:rsidR="004E68AA" w:rsidRPr="00E723C2">
        <w:rPr>
          <w:lang w:val="en-US"/>
        </w:rPr>
        <w:t xml:space="preserve">, </w:t>
      </w:r>
      <w:r w:rsidR="004E68AA" w:rsidRPr="00E723C2">
        <w:rPr>
          <w:position w:val="-14"/>
          <w:lang w:val="en-US"/>
        </w:rPr>
        <w:object w:dxaOrig="600" w:dyaOrig="380">
          <v:shape id="_x0000_i1028" type="#_x0000_t75" style="width:30pt;height:18.75pt" o:ole="">
            <v:imagedata r:id="rId19" o:title=""/>
          </v:shape>
          <o:OLEObject Type="Embed" ProgID="Equation.3" ShapeID="_x0000_i1028" DrawAspect="Content" ObjectID="_1396445681" r:id="rId20"/>
        </w:object>
      </w:r>
      <w:r w:rsidR="004E68AA" w:rsidRPr="00E723C2">
        <w:rPr>
          <w:lang w:val="en-US"/>
        </w:rPr>
        <w:t xml:space="preserve">, and </w:t>
      </w:r>
      <w:r w:rsidR="004E68AA" w:rsidRPr="00E723C2">
        <w:rPr>
          <w:position w:val="-14"/>
          <w:lang w:val="en-US"/>
        </w:rPr>
        <w:object w:dxaOrig="760" w:dyaOrig="380">
          <v:shape id="_x0000_i1029" type="#_x0000_t75" style="width:38.25pt;height:18.75pt" o:ole="">
            <v:imagedata r:id="rId21" o:title=""/>
          </v:shape>
          <o:OLEObject Type="Embed" ProgID="Equation.3" ShapeID="_x0000_i1029" DrawAspect="Content" ObjectID="_1396445682" r:id="rId22"/>
        </w:object>
      </w:r>
      <w:r w:rsidR="004E68AA" w:rsidRPr="00E723C2">
        <w:rPr>
          <w:lang w:val="en-US"/>
        </w:rPr>
        <w:t xml:space="preserve">are respectively the best bid, best ask, and middle prices at the time of the </w:t>
      </w:r>
      <w:r w:rsidR="00C0615A" w:rsidRPr="00C0615A">
        <w:rPr>
          <w:i/>
          <w:lang w:val="en-US"/>
        </w:rPr>
        <w:t>n</w:t>
      </w:r>
      <w:r w:rsidR="00687845">
        <w:rPr>
          <w:vertAlign w:val="superscript"/>
          <w:lang w:val="en-US"/>
        </w:rPr>
        <w:t>th</w:t>
      </w:r>
      <w:r w:rsidR="00C0615A" w:rsidRPr="00C0615A">
        <w:rPr>
          <w:lang w:val="en-US"/>
        </w:rPr>
        <w:t xml:space="preserve"> quoted spread for stock </w:t>
      </w:r>
      <w:proofErr w:type="spellStart"/>
      <w:r w:rsidR="00B91954">
        <w:rPr>
          <w:i/>
          <w:lang w:val="en-US"/>
        </w:rPr>
        <w:t>i</w:t>
      </w:r>
      <w:proofErr w:type="spellEnd"/>
      <w:r w:rsidR="00B91954">
        <w:rPr>
          <w:lang w:val="en-US"/>
        </w:rPr>
        <w:t>;</w:t>
      </w:r>
      <w:r w:rsidR="00EA1A26">
        <w:rPr>
          <w:lang w:val="en-US"/>
        </w:rPr>
        <w:t xml:space="preserve"> </w:t>
      </w:r>
      <w:r w:rsidR="004E68AA" w:rsidRPr="00E723C2">
        <w:rPr>
          <w:position w:val="-14"/>
          <w:lang w:val="en-US"/>
        </w:rPr>
        <w:object w:dxaOrig="420" w:dyaOrig="380">
          <v:shape id="_x0000_i1030" type="#_x0000_t75" style="width:21.75pt;height:18.75pt" o:ole="">
            <v:imagedata r:id="rId23" o:title=""/>
          </v:shape>
          <o:OLEObject Type="Embed" ProgID="Equation.3" ShapeID="_x0000_i1030" DrawAspect="Content" ObjectID="_1396445683" r:id="rId24"/>
        </w:object>
      </w:r>
      <w:r w:rsidR="004E68AA" w:rsidRPr="00E723C2">
        <w:rPr>
          <w:lang w:val="en-US"/>
        </w:rPr>
        <w:t xml:space="preserve"> </w:t>
      </w:r>
      <w:r w:rsidR="00B11390">
        <w:rPr>
          <w:lang w:val="en-US"/>
        </w:rPr>
        <w:t>designates the number of seconds for which</w:t>
      </w:r>
      <w:r w:rsidR="004E68AA" w:rsidRPr="00E723C2">
        <w:rPr>
          <w:lang w:val="en-US"/>
        </w:rPr>
        <w:t xml:space="preserve"> the </w:t>
      </w:r>
      <w:r w:rsidR="004E68AA" w:rsidRPr="00E723C2">
        <w:rPr>
          <w:i/>
          <w:lang w:val="en-US"/>
        </w:rPr>
        <w:t>n</w:t>
      </w:r>
      <w:r w:rsidR="00687845">
        <w:rPr>
          <w:vertAlign w:val="superscript"/>
          <w:lang w:val="en-US"/>
        </w:rPr>
        <w:t>th</w:t>
      </w:r>
      <w:r w:rsidR="00C0615A" w:rsidRPr="00C0615A">
        <w:rPr>
          <w:lang w:val="en-US"/>
        </w:rPr>
        <w:t xml:space="preserve"> quoted spread </w:t>
      </w:r>
      <w:r w:rsidR="00B11390">
        <w:rPr>
          <w:lang w:val="en-US"/>
        </w:rPr>
        <w:t xml:space="preserve">was in effect in the market </w:t>
      </w:r>
      <w:r w:rsidR="00C0615A" w:rsidRPr="00C0615A">
        <w:rPr>
          <w:lang w:val="en-US"/>
        </w:rPr>
        <w:t>for stock</w:t>
      </w:r>
      <w:r>
        <w:rPr>
          <w:lang w:val="en-US"/>
        </w:rPr>
        <w:t xml:space="preserve"> </w:t>
      </w:r>
      <w:proofErr w:type="spellStart"/>
      <w:r w:rsidRPr="004065ED">
        <w:rPr>
          <w:i/>
          <w:lang w:val="en-US"/>
        </w:rPr>
        <w:t>i</w:t>
      </w:r>
      <w:proofErr w:type="spellEnd"/>
      <w:r w:rsidR="00B91954">
        <w:rPr>
          <w:lang w:val="en-US"/>
        </w:rPr>
        <w:t xml:space="preserve">; </w:t>
      </w:r>
      <w:r>
        <w:rPr>
          <w:lang w:val="en-US"/>
        </w:rPr>
        <w:t>and</w:t>
      </w:r>
      <w:r w:rsidR="004E68AA" w:rsidRPr="00E723C2">
        <w:rPr>
          <w:position w:val="-12"/>
          <w:lang w:val="en-US"/>
        </w:rPr>
        <w:object w:dxaOrig="300" w:dyaOrig="360">
          <v:shape id="_x0000_i1031" type="#_x0000_t75" style="width:14.25pt;height:18.75pt" o:ole="">
            <v:imagedata r:id="rId25" o:title=""/>
          </v:shape>
          <o:OLEObject Type="Embed" ProgID="Equation.DSMT4" ShapeID="_x0000_i1031" DrawAspect="Content" ObjectID="_1396445684" r:id="rId26"/>
        </w:object>
      </w:r>
      <w:r w:rsidR="004E68AA" w:rsidRPr="00E723C2">
        <w:rPr>
          <w:lang w:val="en-US"/>
        </w:rPr>
        <w:t xml:space="preserve"> is the number of quoted spreads for stock </w:t>
      </w:r>
      <w:proofErr w:type="spellStart"/>
      <w:r w:rsidR="00C0615A" w:rsidRPr="00C0615A">
        <w:rPr>
          <w:i/>
          <w:lang w:val="en-US"/>
        </w:rPr>
        <w:t>i</w:t>
      </w:r>
      <w:proofErr w:type="spellEnd"/>
      <w:r w:rsidR="00C0615A" w:rsidRPr="00C0615A">
        <w:rPr>
          <w:lang w:val="en-US"/>
        </w:rPr>
        <w:t xml:space="preserve"> during a given sub-period.</w:t>
      </w:r>
      <w:r>
        <w:rPr>
          <w:lang w:val="en-US"/>
        </w:rPr>
        <w:t xml:space="preserve"> </w:t>
      </w:r>
      <w:r w:rsidR="00C0615A" w:rsidRPr="00C0615A">
        <w:rPr>
          <w:lang w:val="en-US"/>
        </w:rPr>
        <w:t>Specific reference to the sub-period in the notation</w:t>
      </w:r>
      <w:r w:rsidR="00C0615A" w:rsidRPr="00C0615A">
        <w:rPr>
          <w:i/>
          <w:lang w:val="en-US"/>
        </w:rPr>
        <w:t xml:space="preserve"> </w:t>
      </w:r>
      <w:r w:rsidR="00C0615A" w:rsidRPr="00C0615A">
        <w:rPr>
          <w:lang w:val="en-US"/>
        </w:rPr>
        <w:t xml:space="preserve">has been omitted for the sake </w:t>
      </w:r>
      <w:r w:rsidR="00B91954">
        <w:rPr>
          <w:lang w:val="en-US"/>
        </w:rPr>
        <w:t>of</w:t>
      </w:r>
      <w:r w:rsidR="00B91954" w:rsidRPr="00C0615A">
        <w:rPr>
          <w:lang w:val="en-US"/>
        </w:rPr>
        <w:t xml:space="preserve"> </w:t>
      </w:r>
      <w:r w:rsidR="00C0615A" w:rsidRPr="00C0615A">
        <w:rPr>
          <w:lang w:val="en-US"/>
        </w:rPr>
        <w:t>brevity.</w:t>
      </w:r>
    </w:p>
    <w:p w:rsidR="00D94497" w:rsidRDefault="00C0615A">
      <w:pPr>
        <w:rPr>
          <w:lang w:val="en-US"/>
        </w:rPr>
      </w:pPr>
      <w:r w:rsidRPr="00C0615A">
        <w:rPr>
          <w:lang w:val="en-US"/>
        </w:rPr>
        <w:t>The average effective spread is defined as</w:t>
      </w:r>
      <w:r w:rsidR="003D3304">
        <w:rPr>
          <w:lang w:val="en-US"/>
        </w:rPr>
        <w:t>:</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4E68AA">
            <w:pPr>
              <w:spacing w:before="0"/>
              <w:ind w:firstLine="0"/>
              <w:jc w:val="center"/>
              <w:rPr>
                <w:lang w:val="en-US"/>
              </w:rPr>
            </w:pPr>
            <w:r w:rsidRPr="00E723C2">
              <w:rPr>
                <w:position w:val="-32"/>
                <w:lang w:val="en-US"/>
              </w:rPr>
              <w:object w:dxaOrig="3040" w:dyaOrig="740">
                <v:shape id="_x0000_i1032" type="#_x0000_t75" style="width:152.25pt;height:36.75pt" o:ole="">
                  <v:imagedata r:id="rId27" o:title=""/>
                </v:shape>
                <o:OLEObject Type="Embed" ProgID="Equation.DSMT4" ShapeID="_x0000_i1032" DrawAspect="Content" ObjectID="_1396445685" r:id="rId28"/>
              </w:object>
            </w:r>
            <w:r w:rsidR="00C36EF8" w:rsidRPr="00C36EF8">
              <w:rPr>
                <w:lang w:val="en-US"/>
              </w:rPr>
              <w:t>,</w:t>
            </w:r>
          </w:p>
        </w:tc>
        <w:tc>
          <w:tcPr>
            <w:tcW w:w="1082" w:type="dxa"/>
            <w:vAlign w:val="center"/>
          </w:tcPr>
          <w:p w:rsidR="00F426D0" w:rsidRPr="00F426D0" w:rsidRDefault="004E68AA">
            <w:pPr>
              <w:keepNext/>
              <w:keepLines/>
              <w:spacing w:before="0"/>
              <w:ind w:firstLine="0"/>
              <w:jc w:val="right"/>
              <w:outlineLvl w:val="6"/>
              <w:rPr>
                <w:rFonts w:asciiTheme="majorHAnsi" w:eastAsiaTheme="majorEastAsia" w:hAnsiTheme="majorHAnsi"/>
                <w:i/>
                <w:color w:val="404040" w:themeColor="text1" w:themeTint="BF"/>
                <w:lang w:val="en-US"/>
              </w:rPr>
            </w:pPr>
            <w:r w:rsidRPr="00E723C2">
              <w:rPr>
                <w:lang w:val="en-US"/>
              </w:rPr>
              <w:t>(3)</w:t>
            </w:r>
          </w:p>
        </w:tc>
      </w:tr>
    </w:tbl>
    <w:p w:rsidR="0046347F" w:rsidRDefault="00C36EF8">
      <w:pPr>
        <w:spacing w:before="0"/>
        <w:ind w:firstLine="0"/>
        <w:rPr>
          <w:lang w:val="en-US"/>
        </w:rPr>
      </w:pPr>
      <w:proofErr w:type="gramStart"/>
      <w:r w:rsidRPr="00C36EF8">
        <w:rPr>
          <w:lang w:val="en-US"/>
        </w:rPr>
        <w:t>where</w:t>
      </w:r>
      <w:proofErr w:type="gramEnd"/>
      <w:r w:rsidR="004065ED">
        <w:rPr>
          <w:lang w:val="en-US"/>
        </w:rPr>
        <w:t xml:space="preserve"> </w:t>
      </w:r>
      <w:r w:rsidR="004065ED" w:rsidRPr="00E723C2">
        <w:rPr>
          <w:position w:val="-14"/>
          <w:lang w:val="en-US"/>
        </w:rPr>
        <w:object w:dxaOrig="340" w:dyaOrig="380">
          <v:shape id="_x0000_i1033" type="#_x0000_t75" style="width:17.25pt;height:18.75pt" o:ole="">
            <v:imagedata r:id="rId29" o:title=""/>
          </v:shape>
          <o:OLEObject Type="Embed" ProgID="Equation.DSMT4" ShapeID="_x0000_i1033" DrawAspect="Content" ObjectID="_1396445686" r:id="rId30"/>
        </w:object>
      </w:r>
      <w:r w:rsidR="004065ED" w:rsidRPr="00E723C2">
        <w:rPr>
          <w:lang w:val="en-US"/>
        </w:rPr>
        <w:t>,</w:t>
      </w:r>
      <w:r w:rsidR="004E68AA" w:rsidRPr="00E723C2">
        <w:rPr>
          <w:position w:val="-14"/>
          <w:lang w:val="en-US"/>
        </w:rPr>
        <w:object w:dxaOrig="680" w:dyaOrig="380">
          <v:shape id="_x0000_i1034" type="#_x0000_t75" style="width:33.75pt;height:18.75pt" o:ole="">
            <v:imagedata r:id="rId31" o:title=""/>
          </v:shape>
          <o:OLEObject Type="Embed" ProgID="Equation.DSMT4" ShapeID="_x0000_i1034" DrawAspect="Content" ObjectID="_1396445687" r:id="rId32"/>
        </w:object>
      </w:r>
      <w:r w:rsidR="004E68AA" w:rsidRPr="00E723C2">
        <w:rPr>
          <w:lang w:val="en-US"/>
        </w:rPr>
        <w:t xml:space="preserve">and </w:t>
      </w:r>
      <w:r w:rsidR="004E68AA" w:rsidRPr="00E723C2">
        <w:rPr>
          <w:position w:val="-14"/>
          <w:lang w:val="en-US"/>
        </w:rPr>
        <w:object w:dxaOrig="320" w:dyaOrig="380">
          <v:shape id="_x0000_i1035" type="#_x0000_t75" style="width:16.5pt;height:18.75pt" o:ole="">
            <v:imagedata r:id="rId33" o:title=""/>
          </v:shape>
          <o:OLEObject Type="Embed" ProgID="Equation.DSMT4" ShapeID="_x0000_i1035" DrawAspect="Content" ObjectID="_1396445688" r:id="rId34"/>
        </w:object>
      </w:r>
      <w:r w:rsidR="004E68AA" w:rsidRPr="00E723C2">
        <w:rPr>
          <w:lang w:val="en-US"/>
        </w:rPr>
        <w:t xml:space="preserve"> are respectively the </w:t>
      </w:r>
      <w:proofErr w:type="spellStart"/>
      <w:r w:rsidR="00C0615A" w:rsidRPr="00C0615A">
        <w:rPr>
          <w:i/>
          <w:lang w:val="en-US"/>
        </w:rPr>
        <w:t>s</w:t>
      </w:r>
      <w:r w:rsidR="00687845">
        <w:rPr>
          <w:vertAlign w:val="superscript"/>
          <w:lang w:val="en-US"/>
        </w:rPr>
        <w:t>th</w:t>
      </w:r>
      <w:proofErr w:type="spellEnd"/>
      <w:r w:rsidR="00687845">
        <w:rPr>
          <w:vertAlign w:val="superscript"/>
          <w:lang w:val="en-US"/>
        </w:rPr>
        <w:t xml:space="preserve"> </w:t>
      </w:r>
      <w:r w:rsidR="00C0615A" w:rsidRPr="00C0615A">
        <w:rPr>
          <w:lang w:val="en-US"/>
        </w:rPr>
        <w:t xml:space="preserve">transaction price for stock </w:t>
      </w:r>
      <w:proofErr w:type="spellStart"/>
      <w:r w:rsidR="00C0615A" w:rsidRPr="00C0615A">
        <w:rPr>
          <w:i/>
          <w:lang w:val="en-US"/>
        </w:rPr>
        <w:t>i</w:t>
      </w:r>
      <w:proofErr w:type="spellEnd"/>
      <w:r w:rsidR="00C0615A" w:rsidRPr="00C0615A">
        <w:rPr>
          <w:lang w:val="en-US"/>
        </w:rPr>
        <w:t xml:space="preserve">,  the middle price prevailing before the </w:t>
      </w:r>
      <w:proofErr w:type="spellStart"/>
      <w:r w:rsidR="00C0615A" w:rsidRPr="00C0615A">
        <w:rPr>
          <w:i/>
          <w:lang w:val="en-US"/>
        </w:rPr>
        <w:t>s</w:t>
      </w:r>
      <w:r w:rsidR="00687845">
        <w:rPr>
          <w:vertAlign w:val="superscript"/>
          <w:lang w:val="en-US"/>
        </w:rPr>
        <w:t>th</w:t>
      </w:r>
      <w:proofErr w:type="spellEnd"/>
      <w:r w:rsidR="00687845">
        <w:rPr>
          <w:vertAlign w:val="superscript"/>
          <w:lang w:val="en-US"/>
        </w:rPr>
        <w:t xml:space="preserve"> </w:t>
      </w:r>
      <w:r w:rsidR="00C0615A" w:rsidRPr="00C0615A">
        <w:rPr>
          <w:lang w:val="en-US"/>
        </w:rPr>
        <w:t xml:space="preserve">transaction and the sign of the </w:t>
      </w:r>
      <w:r w:rsidR="004065ED">
        <w:rPr>
          <w:lang w:val="en-US"/>
        </w:rPr>
        <w:t>trade (+1 if the trade is buyer-</w:t>
      </w:r>
      <w:r w:rsidR="00C0615A" w:rsidRPr="00C0615A">
        <w:rPr>
          <w:lang w:val="en-US"/>
        </w:rPr>
        <w:t>initiate</w:t>
      </w:r>
      <w:r w:rsidR="004065ED">
        <w:rPr>
          <w:lang w:val="en-US"/>
        </w:rPr>
        <w:t>d and –1 if the trade is seller-</w:t>
      </w:r>
      <w:r w:rsidR="00C0615A" w:rsidRPr="00C0615A">
        <w:rPr>
          <w:lang w:val="en-US"/>
        </w:rPr>
        <w:t>initiated)</w:t>
      </w:r>
      <w:r w:rsidR="004065ED">
        <w:rPr>
          <w:lang w:val="en-US"/>
        </w:rPr>
        <w:t xml:space="preserve">, and </w:t>
      </w:r>
      <w:r w:rsidR="004E68AA" w:rsidRPr="00E723C2">
        <w:rPr>
          <w:position w:val="-12"/>
          <w:lang w:val="en-US"/>
        </w:rPr>
        <w:object w:dxaOrig="220" w:dyaOrig="360">
          <v:shape id="_x0000_i1036" type="#_x0000_t75" style="width:10.5pt;height:18.75pt" o:ole="">
            <v:imagedata r:id="rId35" o:title=""/>
          </v:shape>
          <o:OLEObject Type="Embed" ProgID="Equation.DSMT4" ShapeID="_x0000_i1036" DrawAspect="Content" ObjectID="_1396445689" r:id="rId36"/>
        </w:object>
      </w:r>
      <w:r w:rsidR="004E68AA" w:rsidRPr="00E723C2">
        <w:rPr>
          <w:position w:val="-14"/>
          <w:lang w:val="en-US"/>
        </w:rPr>
        <w:t xml:space="preserve"> </w:t>
      </w:r>
      <w:r w:rsidR="004E68AA" w:rsidRPr="00E723C2">
        <w:rPr>
          <w:lang w:val="en-US"/>
        </w:rPr>
        <w:t xml:space="preserve">is the number of trades for stock </w:t>
      </w:r>
      <w:proofErr w:type="spellStart"/>
      <w:r w:rsidR="00C0615A" w:rsidRPr="00C0615A">
        <w:rPr>
          <w:i/>
          <w:lang w:val="en-US"/>
        </w:rPr>
        <w:t>i</w:t>
      </w:r>
      <w:proofErr w:type="spellEnd"/>
      <w:r w:rsidR="00C0615A" w:rsidRPr="00C0615A">
        <w:rPr>
          <w:lang w:val="en-US"/>
        </w:rPr>
        <w:t xml:space="preserve"> during the sub-period.</w:t>
      </w:r>
    </w:p>
    <w:p w:rsidR="00FE5D7B" w:rsidRDefault="00C0615A">
      <w:pPr>
        <w:rPr>
          <w:lang w:val="en-US"/>
        </w:rPr>
      </w:pPr>
      <w:r w:rsidRPr="00C0615A">
        <w:rPr>
          <w:lang w:val="en-US"/>
        </w:rPr>
        <w:t xml:space="preserve">For stocks eligible for the block trading procedure, we compute the </w:t>
      </w:r>
      <w:r w:rsidR="00C01D63">
        <w:rPr>
          <w:lang w:val="en-US"/>
        </w:rPr>
        <w:t>time</w:t>
      </w:r>
      <w:r w:rsidRPr="00C0615A">
        <w:rPr>
          <w:lang w:val="en-US"/>
        </w:rPr>
        <w:t xml:space="preserve">-weighted average of their adjusted block spreads </w:t>
      </w:r>
      <w:r w:rsidR="004065ED">
        <w:rPr>
          <w:lang w:val="en-US"/>
        </w:rPr>
        <w:t xml:space="preserve">(ABS) </w:t>
      </w:r>
      <w:r w:rsidRPr="00C0615A">
        <w:rPr>
          <w:lang w:val="en-US"/>
        </w:rPr>
        <w:t>as:</w:t>
      </w:r>
    </w:p>
    <w:tbl>
      <w:tblPr>
        <w:tblW w:w="9290" w:type="dxa"/>
        <w:tblLook w:val="01E0" w:firstRow="1" w:lastRow="1" w:firstColumn="1" w:lastColumn="1" w:noHBand="0" w:noVBand="0"/>
      </w:tblPr>
      <w:tblGrid>
        <w:gridCol w:w="8208"/>
        <w:gridCol w:w="1082"/>
      </w:tblGrid>
      <w:tr w:rsidR="00C210E3" w:rsidRPr="00E723C2" w:rsidTr="00CE5D60">
        <w:tc>
          <w:tcPr>
            <w:tcW w:w="8208" w:type="dxa"/>
          </w:tcPr>
          <w:p w:rsidR="00FE5D7B" w:rsidRDefault="00C210E3">
            <w:pPr>
              <w:spacing w:before="0"/>
              <w:ind w:firstLine="0"/>
              <w:jc w:val="center"/>
              <w:rPr>
                <w:lang w:val="en-US"/>
              </w:rPr>
            </w:pPr>
            <w:r w:rsidRPr="00E723C2">
              <w:rPr>
                <w:position w:val="-62"/>
                <w:lang w:val="en-US"/>
              </w:rPr>
              <w:object w:dxaOrig="3560" w:dyaOrig="1040">
                <v:shape id="_x0000_i1037" type="#_x0000_t75" style="width:179.25pt;height:51.75pt" o:ole="">
                  <v:imagedata r:id="rId37" o:title=""/>
                </v:shape>
                <o:OLEObject Type="Embed" ProgID="Equation.DSMT4" ShapeID="_x0000_i1037" DrawAspect="Content" ObjectID="_1396445690" r:id="rId38"/>
              </w:object>
            </w:r>
            <w:r w:rsidRPr="00E723C2">
              <w:rPr>
                <w:lang w:val="en-US"/>
              </w:rPr>
              <w:t>,</w:t>
            </w:r>
          </w:p>
        </w:tc>
        <w:tc>
          <w:tcPr>
            <w:tcW w:w="1082" w:type="dxa"/>
            <w:vAlign w:val="center"/>
          </w:tcPr>
          <w:p w:rsidR="00FE5D7B" w:rsidRDefault="00C0615A">
            <w:pPr>
              <w:spacing w:before="0"/>
              <w:ind w:firstLine="0"/>
              <w:jc w:val="right"/>
              <w:rPr>
                <w:lang w:val="en-US"/>
              </w:rPr>
            </w:pPr>
            <w:r w:rsidRPr="00C0615A">
              <w:rPr>
                <w:lang w:val="en-US"/>
              </w:rPr>
              <w:t>(4)</w:t>
            </w:r>
          </w:p>
        </w:tc>
      </w:tr>
    </w:tbl>
    <w:p w:rsidR="00FE5D7B" w:rsidRDefault="004065ED">
      <w:pPr>
        <w:spacing w:before="0"/>
        <w:ind w:firstLine="0"/>
        <w:rPr>
          <w:lang w:val="en-US"/>
        </w:rPr>
      </w:pPr>
      <w:r>
        <w:rPr>
          <w:lang w:val="en-US"/>
        </w:rPr>
        <w:t>where</w:t>
      </w:r>
      <w:r w:rsidR="00C210E3" w:rsidRPr="00E723C2">
        <w:rPr>
          <w:position w:val="-14"/>
          <w:lang w:val="en-US"/>
        </w:rPr>
        <w:object w:dxaOrig="600" w:dyaOrig="380">
          <v:shape id="_x0000_i1038" type="#_x0000_t75" style="width:30pt;height:18.75pt" o:ole="">
            <v:imagedata r:id="rId39" o:title=""/>
          </v:shape>
          <o:OLEObject Type="Embed" ProgID="Equation.3" ShapeID="_x0000_i1038" DrawAspect="Content" ObjectID="_1396445691" r:id="rId40"/>
        </w:object>
      </w:r>
      <w:proofErr w:type="gramStart"/>
      <w:r w:rsidR="00C210E3" w:rsidRPr="00E723C2">
        <w:rPr>
          <w:lang w:val="en-US"/>
        </w:rPr>
        <w:t>,</w:t>
      </w:r>
      <w:proofErr w:type="gramEnd"/>
      <w:r w:rsidR="00C210E3" w:rsidRPr="00E723C2">
        <w:rPr>
          <w:position w:val="-14"/>
          <w:lang w:val="en-US"/>
        </w:rPr>
        <w:object w:dxaOrig="440" w:dyaOrig="380">
          <v:shape id="_x0000_i1039" type="#_x0000_t75" style="width:21.75pt;height:18.75pt" o:ole="">
            <v:imagedata r:id="rId41" o:title=""/>
          </v:shape>
          <o:OLEObject Type="Embed" ProgID="Equation.3" ShapeID="_x0000_i1039" DrawAspect="Content" ObjectID="_1396445692" r:id="rId42"/>
        </w:object>
      </w:r>
      <w:r w:rsidR="00C210E3" w:rsidRPr="00E723C2">
        <w:rPr>
          <w:lang w:val="en-US"/>
        </w:rPr>
        <w:t>and</w:t>
      </w:r>
      <w:r w:rsidR="00C210E3" w:rsidRPr="00E723C2">
        <w:rPr>
          <w:position w:val="-14"/>
          <w:lang w:val="en-US"/>
        </w:rPr>
        <w:object w:dxaOrig="720" w:dyaOrig="380">
          <v:shape id="_x0000_i1040" type="#_x0000_t75" style="width:36pt;height:18.75pt" o:ole="">
            <v:imagedata r:id="rId43" o:title=""/>
          </v:shape>
          <o:OLEObject Type="Embed" ProgID="Equation.DSMT4" ShapeID="_x0000_i1040" DrawAspect="Content" ObjectID="_1396445693" r:id="rId44"/>
        </w:object>
      </w:r>
      <w:r w:rsidR="00C210E3" w:rsidRPr="00E723C2">
        <w:rPr>
          <w:lang w:val="en-US"/>
        </w:rPr>
        <w:t xml:space="preserve"> are respectively the </w:t>
      </w:r>
      <w:proofErr w:type="spellStart"/>
      <w:r w:rsidR="00C0615A" w:rsidRPr="00C0615A">
        <w:rPr>
          <w:i/>
          <w:lang w:val="en-US"/>
        </w:rPr>
        <w:t>m</w:t>
      </w:r>
      <w:r w:rsidR="00687845">
        <w:rPr>
          <w:vertAlign w:val="superscript"/>
          <w:lang w:val="en-US"/>
        </w:rPr>
        <w:t>th</w:t>
      </w:r>
      <w:proofErr w:type="spellEnd"/>
      <w:r w:rsidR="00C0615A" w:rsidRPr="00C0615A">
        <w:rPr>
          <w:lang w:val="en-US"/>
        </w:rPr>
        <w:t xml:space="preserve"> block spread (</w:t>
      </w:r>
      <w:r>
        <w:rPr>
          <w:lang w:val="en-US"/>
        </w:rPr>
        <w:t xml:space="preserve">as a </w:t>
      </w:r>
      <w:r w:rsidR="00C0615A" w:rsidRPr="00C0615A">
        <w:rPr>
          <w:lang w:val="en-US"/>
        </w:rPr>
        <w:t>percentage of the mid</w:t>
      </w:r>
      <w:r>
        <w:rPr>
          <w:lang w:val="en-US"/>
        </w:rPr>
        <w:t>-price</w:t>
      </w:r>
      <w:r w:rsidR="00C0615A" w:rsidRPr="00C0615A">
        <w:rPr>
          <w:lang w:val="en-US"/>
        </w:rPr>
        <w:t xml:space="preserve">) for stock </w:t>
      </w:r>
      <w:proofErr w:type="spellStart"/>
      <w:r w:rsidR="00C0615A" w:rsidRPr="00C0615A">
        <w:rPr>
          <w:i/>
          <w:lang w:val="en-US"/>
        </w:rPr>
        <w:t>i</w:t>
      </w:r>
      <w:proofErr w:type="spellEnd"/>
      <w:r w:rsidR="00C0615A" w:rsidRPr="00C0615A">
        <w:rPr>
          <w:lang w:val="en-US"/>
        </w:rPr>
        <w:t xml:space="preserve">, the </w:t>
      </w:r>
      <w:r w:rsidR="00C01D63">
        <w:rPr>
          <w:lang w:val="en-US"/>
        </w:rPr>
        <w:t>time for which</w:t>
      </w:r>
      <w:r w:rsidR="00C01D63" w:rsidRPr="00C0615A">
        <w:rPr>
          <w:lang w:val="en-US"/>
        </w:rPr>
        <w:t xml:space="preserve"> th</w:t>
      </w:r>
      <w:r w:rsidR="00C01D63">
        <w:rPr>
          <w:lang w:val="en-US"/>
        </w:rPr>
        <w:t>e</w:t>
      </w:r>
      <w:r w:rsidR="00C01D63" w:rsidRPr="00C0615A">
        <w:rPr>
          <w:lang w:val="en-US"/>
        </w:rPr>
        <w:t xml:space="preserve"> </w:t>
      </w:r>
      <w:proofErr w:type="spellStart"/>
      <w:r w:rsidR="00C0615A" w:rsidRPr="00C0615A">
        <w:rPr>
          <w:i/>
          <w:lang w:val="en-US"/>
        </w:rPr>
        <w:t>m</w:t>
      </w:r>
      <w:r w:rsidR="00687845">
        <w:rPr>
          <w:vertAlign w:val="superscript"/>
          <w:lang w:val="en-US"/>
        </w:rPr>
        <w:t>th</w:t>
      </w:r>
      <w:proofErr w:type="spellEnd"/>
      <w:r w:rsidR="00C0615A" w:rsidRPr="00C0615A">
        <w:rPr>
          <w:lang w:val="en-US"/>
        </w:rPr>
        <w:t xml:space="preserve"> block spread</w:t>
      </w:r>
      <w:r w:rsidR="00C01D63">
        <w:rPr>
          <w:lang w:val="en-US"/>
        </w:rPr>
        <w:t xml:space="preserve"> prevails in the market for stock </w:t>
      </w:r>
      <w:proofErr w:type="spellStart"/>
      <w:r w:rsidR="003C0F19" w:rsidRPr="003C0F19">
        <w:rPr>
          <w:i/>
          <w:lang w:val="en-US"/>
        </w:rPr>
        <w:t>i</w:t>
      </w:r>
      <w:proofErr w:type="spellEnd"/>
      <w:r>
        <w:rPr>
          <w:lang w:val="en-US"/>
        </w:rPr>
        <w:t>,</w:t>
      </w:r>
      <w:r w:rsidR="00C0615A" w:rsidRPr="00C0615A">
        <w:rPr>
          <w:lang w:val="en-US"/>
        </w:rPr>
        <w:t xml:space="preserve"> and the normal block size defined by Euronext at the time of the </w:t>
      </w:r>
      <w:proofErr w:type="spellStart"/>
      <w:r w:rsidR="00C0615A" w:rsidRPr="00C0615A">
        <w:rPr>
          <w:i/>
          <w:lang w:val="en-US"/>
        </w:rPr>
        <w:t>m</w:t>
      </w:r>
      <w:r w:rsidR="00687845">
        <w:rPr>
          <w:vertAlign w:val="superscript"/>
          <w:lang w:val="en-US"/>
        </w:rPr>
        <w:t>th</w:t>
      </w:r>
      <w:proofErr w:type="spellEnd"/>
      <w:r w:rsidR="00C0615A" w:rsidRPr="00C0615A">
        <w:rPr>
          <w:lang w:val="en-US"/>
        </w:rPr>
        <w:t xml:space="preserve"> block spread</w:t>
      </w:r>
      <w:r>
        <w:rPr>
          <w:lang w:val="en-US"/>
        </w:rPr>
        <w:t xml:space="preserve">, and </w:t>
      </w:r>
      <w:r w:rsidR="00C210E3" w:rsidRPr="00E723C2">
        <w:rPr>
          <w:position w:val="-12"/>
          <w:lang w:val="en-US"/>
        </w:rPr>
        <w:object w:dxaOrig="340" w:dyaOrig="360">
          <v:shape id="_x0000_i1041" type="#_x0000_t75" style="width:16.5pt;height:18.75pt" o:ole="">
            <v:imagedata r:id="rId45" o:title=""/>
          </v:shape>
          <o:OLEObject Type="Embed" ProgID="Equation.DSMT4" ShapeID="_x0000_i1041" DrawAspect="Content" ObjectID="_1396445694" r:id="rId46"/>
        </w:object>
      </w:r>
      <w:r w:rsidR="00C210E3" w:rsidRPr="00E723C2">
        <w:rPr>
          <w:lang w:val="en-US"/>
        </w:rPr>
        <w:t xml:space="preserve"> is the number of block spreads reported for stock </w:t>
      </w:r>
      <w:proofErr w:type="spellStart"/>
      <w:r w:rsidR="00C0615A" w:rsidRPr="00C0615A">
        <w:rPr>
          <w:i/>
          <w:lang w:val="en-US"/>
        </w:rPr>
        <w:t>i</w:t>
      </w:r>
      <w:proofErr w:type="spellEnd"/>
      <w:r w:rsidR="00C0615A" w:rsidRPr="00C0615A">
        <w:rPr>
          <w:lang w:val="en-US"/>
        </w:rPr>
        <w:t xml:space="preserve"> during the sub-period.</w:t>
      </w:r>
      <w:r>
        <w:rPr>
          <w:lang w:val="en-US"/>
        </w:rPr>
        <w:t xml:space="preserve"> We cho</w:t>
      </w:r>
      <w:r w:rsidR="00C0615A" w:rsidRPr="00C0615A">
        <w:rPr>
          <w:lang w:val="en-US"/>
        </w:rPr>
        <w:t xml:space="preserve">se to normalize the block spread by the normal block size prevailing on the day </w:t>
      </w:r>
      <w:r>
        <w:rPr>
          <w:lang w:val="en-US"/>
        </w:rPr>
        <w:t xml:space="preserve">under </w:t>
      </w:r>
      <w:r w:rsidR="00C0615A" w:rsidRPr="00C0615A">
        <w:rPr>
          <w:lang w:val="en-US"/>
        </w:rPr>
        <w:t xml:space="preserve">consideration because normal block sizes change for several stocks during the sample period.  Those changes mechanically impact the size of the block spread and are likely to bias variation tests.  We </w:t>
      </w:r>
      <w:r>
        <w:rPr>
          <w:lang w:val="en-US"/>
        </w:rPr>
        <w:t xml:space="preserve">then </w:t>
      </w:r>
      <w:r w:rsidR="00C0615A" w:rsidRPr="00C0615A">
        <w:rPr>
          <w:lang w:val="en-US"/>
        </w:rPr>
        <w:t>multipl</w:t>
      </w:r>
      <w:r>
        <w:rPr>
          <w:lang w:val="en-US"/>
        </w:rPr>
        <w:t>ied</w:t>
      </w:r>
      <w:r w:rsidR="00C0615A" w:rsidRPr="00C0615A">
        <w:rPr>
          <w:lang w:val="en-US"/>
        </w:rPr>
        <w:t xml:space="preserve"> this quantity by a scaling factor of 100,000 for convenience of presentation.</w:t>
      </w:r>
    </w:p>
    <w:p w:rsidR="00FE5D7B" w:rsidRDefault="00C0615A">
      <w:pPr>
        <w:rPr>
          <w:lang w:val="en-US"/>
        </w:rPr>
      </w:pPr>
      <w:r w:rsidRPr="00C0615A">
        <w:rPr>
          <w:lang w:val="en-US"/>
        </w:rPr>
        <w:t>We also examine</w:t>
      </w:r>
      <w:r w:rsidR="004065ED">
        <w:rPr>
          <w:lang w:val="en-US"/>
        </w:rPr>
        <w:t>d the</w:t>
      </w:r>
      <w:r w:rsidRPr="00C0615A">
        <w:rPr>
          <w:lang w:val="en-US"/>
        </w:rPr>
        <w:t xml:space="preserve"> </w:t>
      </w:r>
      <w:r w:rsidR="002A4EFA">
        <w:rPr>
          <w:lang w:val="en-US"/>
        </w:rPr>
        <w:t xml:space="preserve">market </w:t>
      </w:r>
      <w:r w:rsidRPr="00C0615A">
        <w:rPr>
          <w:lang w:val="en-US"/>
        </w:rPr>
        <w:t>depth</w:t>
      </w:r>
      <w:r w:rsidR="00C7697D">
        <w:rPr>
          <w:lang w:val="en-US"/>
        </w:rPr>
        <w:t xml:space="preserve">, as </w:t>
      </w:r>
      <w:r w:rsidRPr="00C0615A">
        <w:rPr>
          <w:lang w:val="en-US"/>
        </w:rPr>
        <w:t xml:space="preserve">measured by the euro volumes associated with </w:t>
      </w:r>
      <w:r w:rsidR="00C7697D">
        <w:rPr>
          <w:lang w:val="en-US"/>
        </w:rPr>
        <w:t xml:space="preserve">the </w:t>
      </w:r>
      <w:r w:rsidRPr="00C0615A">
        <w:rPr>
          <w:lang w:val="en-US"/>
        </w:rPr>
        <w:t>best limits</w:t>
      </w:r>
      <w:r w:rsidR="00C7697D">
        <w:rPr>
          <w:lang w:val="en-US"/>
        </w:rPr>
        <w:t>, as</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4E68AA">
            <w:pPr>
              <w:spacing w:before="0"/>
              <w:ind w:firstLine="0"/>
              <w:jc w:val="center"/>
              <w:rPr>
                <w:lang w:val="en-US"/>
              </w:rPr>
            </w:pPr>
            <w:r w:rsidRPr="00E723C2">
              <w:rPr>
                <w:position w:val="-62"/>
                <w:lang w:val="en-US"/>
              </w:rPr>
              <w:object w:dxaOrig="4980" w:dyaOrig="1040">
                <v:shape id="_x0000_i1042" type="#_x0000_t75" style="width:248.25pt;height:51.75pt" o:ole="">
                  <v:imagedata r:id="rId47" o:title=""/>
                </v:shape>
                <o:OLEObject Type="Embed" ProgID="Equation.DSMT4" ShapeID="_x0000_i1042" DrawAspect="Content" ObjectID="_1396445695" r:id="rId48"/>
              </w:object>
            </w:r>
          </w:p>
        </w:tc>
        <w:tc>
          <w:tcPr>
            <w:tcW w:w="1082" w:type="dxa"/>
            <w:vAlign w:val="center"/>
          </w:tcPr>
          <w:p w:rsidR="00FE5D7B" w:rsidRDefault="004E68AA">
            <w:pPr>
              <w:spacing w:before="0"/>
              <w:ind w:firstLine="0"/>
              <w:jc w:val="right"/>
              <w:rPr>
                <w:lang w:val="en-US"/>
              </w:rPr>
            </w:pPr>
            <w:r w:rsidRPr="00E723C2">
              <w:rPr>
                <w:lang w:val="en-US"/>
              </w:rPr>
              <w:t>(</w:t>
            </w:r>
            <w:r w:rsidR="00C0615A" w:rsidRPr="00C0615A">
              <w:rPr>
                <w:lang w:val="en-US"/>
              </w:rPr>
              <w:t>5)</w:t>
            </w:r>
          </w:p>
        </w:tc>
      </w:tr>
    </w:tbl>
    <w:p w:rsidR="00FE5D7B" w:rsidRDefault="004E68AA">
      <w:pPr>
        <w:ind w:firstLine="0"/>
        <w:rPr>
          <w:lang w:val="en-US"/>
        </w:rPr>
      </w:pPr>
      <w:proofErr w:type="gramStart"/>
      <w:r w:rsidRPr="00E723C2">
        <w:rPr>
          <w:lang w:val="en-US"/>
        </w:rPr>
        <w:t>where</w:t>
      </w:r>
      <w:proofErr w:type="gramEnd"/>
      <w:r w:rsidRPr="00E723C2">
        <w:rPr>
          <w:lang w:val="en-US"/>
        </w:rPr>
        <w:t xml:space="preserve"> </w:t>
      </w:r>
      <w:r w:rsidRPr="00E723C2">
        <w:rPr>
          <w:position w:val="-14"/>
          <w:lang w:val="en-US"/>
        </w:rPr>
        <w:object w:dxaOrig="740" w:dyaOrig="380">
          <v:shape id="_x0000_i1043" type="#_x0000_t75" style="width:36.75pt;height:18.75pt" o:ole="">
            <v:imagedata r:id="rId49" o:title=""/>
          </v:shape>
          <o:OLEObject Type="Embed" ProgID="Equation.3" ShapeID="_x0000_i1043" DrawAspect="Content" ObjectID="_1396445696" r:id="rId50"/>
        </w:object>
      </w:r>
      <w:r w:rsidRPr="00E723C2">
        <w:rPr>
          <w:lang w:val="en-US"/>
        </w:rPr>
        <w:t xml:space="preserve"> is the number of shares demanded at the best bid price and </w:t>
      </w:r>
      <w:r w:rsidRPr="00E723C2">
        <w:rPr>
          <w:position w:val="-14"/>
          <w:lang w:val="en-US"/>
        </w:rPr>
        <w:object w:dxaOrig="740" w:dyaOrig="380">
          <v:shape id="_x0000_i1044" type="#_x0000_t75" style="width:36.75pt;height:18.75pt" o:ole="">
            <v:imagedata r:id="rId51" o:title=""/>
          </v:shape>
          <o:OLEObject Type="Embed" ProgID="Equation.3" ShapeID="_x0000_i1044" DrawAspect="Content" ObjectID="_1396445697" r:id="rId52"/>
        </w:object>
      </w:r>
      <w:r w:rsidRPr="00E723C2">
        <w:rPr>
          <w:lang w:val="en-US"/>
        </w:rPr>
        <w:t xml:space="preserve"> is the number of shares offered at the best ask price at the time of the </w:t>
      </w:r>
      <w:r w:rsidRPr="00E723C2">
        <w:rPr>
          <w:i/>
          <w:lang w:val="en-US"/>
        </w:rPr>
        <w:t>n</w:t>
      </w:r>
      <w:r w:rsidR="00687845">
        <w:rPr>
          <w:vertAlign w:val="superscript"/>
          <w:lang w:val="en-US"/>
        </w:rPr>
        <w:t>th</w:t>
      </w:r>
      <w:r w:rsidR="00C0615A" w:rsidRPr="00C0615A">
        <w:rPr>
          <w:lang w:val="en-US"/>
        </w:rPr>
        <w:t xml:space="preserve"> quoted spread for stock </w:t>
      </w:r>
      <w:proofErr w:type="spellStart"/>
      <w:r w:rsidR="00C0615A" w:rsidRPr="00C0615A">
        <w:rPr>
          <w:i/>
          <w:lang w:val="en-US"/>
        </w:rPr>
        <w:t>i</w:t>
      </w:r>
      <w:proofErr w:type="spellEnd"/>
      <w:r w:rsidR="00C0615A" w:rsidRPr="00C0615A">
        <w:rPr>
          <w:lang w:val="en-US"/>
        </w:rPr>
        <w:t xml:space="preserve">.  Finding a significant increase </w:t>
      </w:r>
      <w:r w:rsidR="00C7697D">
        <w:rPr>
          <w:lang w:val="en-US"/>
        </w:rPr>
        <w:t xml:space="preserve">in </w:t>
      </w:r>
      <w:r w:rsidR="00C0615A" w:rsidRPr="00C0615A">
        <w:rPr>
          <w:lang w:val="en-US"/>
        </w:rPr>
        <w:t xml:space="preserve">spread measures </w:t>
      </w:r>
      <w:r w:rsidR="00C7697D">
        <w:rPr>
          <w:lang w:val="en-US"/>
        </w:rPr>
        <w:t xml:space="preserve">and a significant decrease in depth measures </w:t>
      </w:r>
      <w:r w:rsidR="00C0615A" w:rsidRPr="00C0615A">
        <w:rPr>
          <w:lang w:val="en-US"/>
        </w:rPr>
        <w:t>for the CAC40 stocks, in comparison with the control stocks, would be in favor of H2a, while the opposite would support H2b.</w:t>
      </w:r>
    </w:p>
    <w:p w:rsidR="00FE5D7B" w:rsidRDefault="00C0615A">
      <w:pPr>
        <w:rPr>
          <w:lang w:val="en-US"/>
        </w:rPr>
      </w:pPr>
      <w:r w:rsidRPr="00C0615A">
        <w:rPr>
          <w:lang w:val="en-US"/>
        </w:rPr>
        <w:t xml:space="preserve">Tests of H3 are based on information asymmetry measures.  Following </w:t>
      </w:r>
      <w:proofErr w:type="spellStart"/>
      <w:r w:rsidRPr="00C0615A">
        <w:rPr>
          <w:lang w:val="en-US"/>
        </w:rPr>
        <w:t>Aktas</w:t>
      </w:r>
      <w:proofErr w:type="spellEnd"/>
      <w:r w:rsidRPr="00C0615A">
        <w:rPr>
          <w:lang w:val="en-US"/>
        </w:rPr>
        <w:t xml:space="preserve">, de </w:t>
      </w:r>
      <w:proofErr w:type="spellStart"/>
      <w:r w:rsidRPr="00C0615A">
        <w:rPr>
          <w:lang w:val="en-US"/>
        </w:rPr>
        <w:t>Bodt</w:t>
      </w:r>
      <w:proofErr w:type="spellEnd"/>
      <w:r w:rsidRPr="00C0615A">
        <w:rPr>
          <w:lang w:val="en-US"/>
        </w:rPr>
        <w:t xml:space="preserve">, </w:t>
      </w:r>
      <w:proofErr w:type="spellStart"/>
      <w:r w:rsidRPr="00C0615A">
        <w:rPr>
          <w:lang w:val="en-US"/>
        </w:rPr>
        <w:t>Declerck</w:t>
      </w:r>
      <w:proofErr w:type="spellEnd"/>
      <w:r w:rsidRPr="00C0615A">
        <w:rPr>
          <w:lang w:val="en-US"/>
        </w:rPr>
        <w:t>, and Van Oppens (2007), we use</w:t>
      </w:r>
      <w:r w:rsidR="00C7697D">
        <w:rPr>
          <w:lang w:val="en-US"/>
        </w:rPr>
        <w:t>d</w:t>
      </w:r>
      <w:r w:rsidRPr="00C0615A">
        <w:rPr>
          <w:lang w:val="en-US"/>
        </w:rPr>
        <w:t xml:space="preserve"> the relative order imbalance</w:t>
      </w:r>
      <w:r w:rsidR="00C7697D">
        <w:rPr>
          <w:lang w:val="en-US"/>
        </w:rPr>
        <w:t xml:space="preserve"> (OIB)</w:t>
      </w:r>
      <w:r w:rsidRPr="00C0615A">
        <w:rPr>
          <w:lang w:val="en-US"/>
        </w:rPr>
        <w:t xml:space="preserve"> as a proxy for the probability of information-based trading (PIN) introduced by Easley, Kiefer, O’Hara, and </w:t>
      </w:r>
      <w:proofErr w:type="spellStart"/>
      <w:r w:rsidRPr="00C0615A">
        <w:rPr>
          <w:lang w:val="en-US"/>
        </w:rPr>
        <w:lastRenderedPageBreak/>
        <w:t>Paperman</w:t>
      </w:r>
      <w:proofErr w:type="spellEnd"/>
      <w:r w:rsidRPr="00C0615A">
        <w:rPr>
          <w:lang w:val="en-US"/>
        </w:rPr>
        <w:t xml:space="preserve"> (1996).  The average order imbalance for stock </w:t>
      </w:r>
      <w:proofErr w:type="spellStart"/>
      <w:r w:rsidRPr="00C0615A">
        <w:rPr>
          <w:i/>
          <w:lang w:val="en-US"/>
        </w:rPr>
        <w:t>i</w:t>
      </w:r>
      <w:proofErr w:type="spellEnd"/>
      <w:r w:rsidRPr="00C0615A">
        <w:rPr>
          <w:lang w:val="en-US"/>
        </w:rPr>
        <w:t xml:space="preserve"> during a given period </w:t>
      </w:r>
      <w:r w:rsidR="00C7697D">
        <w:rPr>
          <w:lang w:val="en-US"/>
        </w:rPr>
        <w:t>wa</w:t>
      </w:r>
      <w:r w:rsidRPr="00C0615A">
        <w:rPr>
          <w:lang w:val="en-US"/>
        </w:rPr>
        <w:t xml:space="preserve">s calculated </w:t>
      </w:r>
      <w:r w:rsidR="00C7697D">
        <w:rPr>
          <w:lang w:val="en-US"/>
        </w:rPr>
        <w:t xml:space="preserve">as a </w:t>
      </w:r>
      <w:r w:rsidRPr="00C0615A">
        <w:rPr>
          <w:lang w:val="en-US"/>
        </w:rPr>
        <w:t>percentage of the euro traded volume:</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4E68AA">
            <w:pPr>
              <w:spacing w:before="0"/>
              <w:ind w:firstLine="0"/>
              <w:jc w:val="center"/>
              <w:rPr>
                <w:lang w:val="en-US"/>
              </w:rPr>
            </w:pPr>
            <w:r w:rsidRPr="00E723C2">
              <w:rPr>
                <w:position w:val="-62"/>
                <w:lang w:val="en-US"/>
              </w:rPr>
              <w:object w:dxaOrig="1980" w:dyaOrig="1359">
                <v:shape id="_x0000_i1045" type="#_x0000_t75" style="width:98.25pt;height:66.75pt" o:ole="">
                  <v:imagedata r:id="rId53" o:title=""/>
                </v:shape>
                <o:OLEObject Type="Embed" ProgID="Equation.DSMT4" ShapeID="_x0000_i1045" DrawAspect="Content" ObjectID="_1396445698" r:id="rId54"/>
              </w:object>
            </w:r>
            <w:r w:rsidRPr="00E723C2">
              <w:rPr>
                <w:lang w:val="en-US"/>
              </w:rPr>
              <w:t>,</w:t>
            </w:r>
          </w:p>
        </w:tc>
        <w:tc>
          <w:tcPr>
            <w:tcW w:w="1082" w:type="dxa"/>
            <w:vAlign w:val="center"/>
          </w:tcPr>
          <w:p w:rsidR="00F426D0" w:rsidRDefault="00C0615A">
            <w:pPr>
              <w:spacing w:before="0"/>
              <w:ind w:firstLine="0"/>
              <w:jc w:val="right"/>
              <w:rPr>
                <w:lang w:val="en-US"/>
              </w:rPr>
            </w:pPr>
            <w:r w:rsidRPr="00C0615A">
              <w:rPr>
                <w:lang w:val="en-US"/>
              </w:rPr>
              <w:t>(6)</w:t>
            </w:r>
          </w:p>
        </w:tc>
      </w:tr>
    </w:tbl>
    <w:p w:rsidR="00FE5D7B" w:rsidRDefault="009E76BF">
      <w:pPr>
        <w:spacing w:before="0"/>
        <w:ind w:firstLine="0"/>
        <w:rPr>
          <w:position w:val="-14"/>
          <w:lang w:val="en-US"/>
        </w:rPr>
      </w:pPr>
      <w:proofErr w:type="gramStart"/>
      <w:r w:rsidRPr="00E723C2">
        <w:rPr>
          <w:lang w:val="en-US"/>
        </w:rPr>
        <w:t>where</w:t>
      </w:r>
      <w:proofErr w:type="gramEnd"/>
      <w:r w:rsidRPr="00E723C2">
        <w:rPr>
          <w:lang w:val="en-US"/>
        </w:rPr>
        <w:t xml:space="preserve"> </w:t>
      </w:r>
      <w:r w:rsidR="004E68AA" w:rsidRPr="00E723C2">
        <w:rPr>
          <w:position w:val="-14"/>
          <w:lang w:val="en-US"/>
        </w:rPr>
        <w:object w:dxaOrig="380" w:dyaOrig="380">
          <v:shape id="_x0000_i1046" type="#_x0000_t75" style="width:19.5pt;height:18.75pt" o:ole="">
            <v:imagedata r:id="rId55" o:title=""/>
          </v:shape>
          <o:OLEObject Type="Embed" ProgID="Equation.DSMT4" ShapeID="_x0000_i1046" DrawAspect="Content" ObjectID="_1396445699" r:id="rId56"/>
        </w:object>
      </w:r>
      <w:r w:rsidR="004E68AA" w:rsidRPr="00E723C2">
        <w:rPr>
          <w:lang w:val="en-US"/>
        </w:rPr>
        <w:t>is the</w:t>
      </w:r>
      <w:r w:rsidR="00C0615A" w:rsidRPr="00C0615A">
        <w:rPr>
          <w:lang w:val="en-US"/>
        </w:rPr>
        <w:t xml:space="preserve"> unsigned quantity of the </w:t>
      </w:r>
      <w:proofErr w:type="spellStart"/>
      <w:r w:rsidR="00C0615A" w:rsidRPr="00C0615A">
        <w:rPr>
          <w:i/>
          <w:lang w:val="en-US"/>
        </w:rPr>
        <w:t>s</w:t>
      </w:r>
      <w:r w:rsidR="00687845">
        <w:rPr>
          <w:vertAlign w:val="superscript"/>
          <w:lang w:val="en-US"/>
        </w:rPr>
        <w:t>th</w:t>
      </w:r>
      <w:proofErr w:type="spellEnd"/>
      <w:r w:rsidR="00C0615A" w:rsidRPr="00C0615A">
        <w:rPr>
          <w:lang w:val="en-US"/>
        </w:rPr>
        <w:t xml:space="preserve"> transaction for stock </w:t>
      </w:r>
      <w:proofErr w:type="spellStart"/>
      <w:r w:rsidR="00C0615A" w:rsidRPr="00C0615A">
        <w:rPr>
          <w:i/>
          <w:lang w:val="en-US"/>
        </w:rPr>
        <w:t>i</w:t>
      </w:r>
      <w:proofErr w:type="spellEnd"/>
      <w:r w:rsidR="00C0615A" w:rsidRPr="00C0615A">
        <w:rPr>
          <w:lang w:val="en-US"/>
        </w:rPr>
        <w:t>.</w:t>
      </w:r>
      <w:r w:rsidR="00C0615A" w:rsidRPr="00C0615A">
        <w:rPr>
          <w:position w:val="-14"/>
          <w:lang w:val="en-US"/>
        </w:rPr>
        <w:t xml:space="preserve">  </w:t>
      </w:r>
      <w:r w:rsidR="00C0615A" w:rsidRPr="00C0615A">
        <w:rPr>
          <w:lang w:val="en-US"/>
        </w:rPr>
        <w:t xml:space="preserve">This measure is complemented by </w:t>
      </w:r>
      <w:r w:rsidR="00C36EF8" w:rsidRPr="00C36EF8">
        <w:rPr>
          <w:lang w:val="en-US"/>
        </w:rPr>
        <w:t xml:space="preserve">spread decomposition methods to distinguish the non-informational (inventory and order processing) and the informational component of the spread.  We </w:t>
      </w:r>
      <w:r w:rsidR="00C0615A" w:rsidRPr="00C0615A">
        <w:rPr>
          <w:lang w:val="en-US"/>
        </w:rPr>
        <w:t>use</w:t>
      </w:r>
      <w:r w:rsidR="00C7697D">
        <w:rPr>
          <w:lang w:val="en-US"/>
        </w:rPr>
        <w:t>d</w:t>
      </w:r>
      <w:r w:rsidR="00C36EF8" w:rsidRPr="00C36EF8">
        <w:rPr>
          <w:lang w:val="en-US"/>
        </w:rPr>
        <w:t xml:space="preserve"> two alternative methods: (1) the decomposition of the effective spread </w:t>
      </w:r>
      <w:r w:rsidR="00C0615A" w:rsidRPr="00C0615A">
        <w:rPr>
          <w:lang w:val="en-US"/>
        </w:rPr>
        <w:t>in</w:t>
      </w:r>
      <w:r w:rsidR="00C7697D">
        <w:rPr>
          <w:lang w:val="en-US"/>
        </w:rPr>
        <w:t>to</w:t>
      </w:r>
      <w:r w:rsidR="00C36EF8" w:rsidRPr="00C36EF8">
        <w:rPr>
          <w:lang w:val="en-US"/>
        </w:rPr>
        <w:t xml:space="preserve"> a realized spread and a permanent price impact within a given time interval </w:t>
      </w:r>
      <w:r w:rsidR="00C7697D">
        <w:rPr>
          <w:lang w:val="en-US"/>
        </w:rPr>
        <w:t>(see</w:t>
      </w:r>
      <w:r w:rsidR="00C36EF8" w:rsidRPr="00C36EF8">
        <w:rPr>
          <w:lang w:val="en-US"/>
        </w:rPr>
        <w:t xml:space="preserve"> </w:t>
      </w:r>
      <w:proofErr w:type="spellStart"/>
      <w:r w:rsidR="00C36EF8" w:rsidRPr="00C36EF8">
        <w:rPr>
          <w:lang w:val="en-US"/>
        </w:rPr>
        <w:t>Bessembinder</w:t>
      </w:r>
      <w:proofErr w:type="spellEnd"/>
      <w:r w:rsidR="00C36EF8" w:rsidRPr="00C36EF8">
        <w:rPr>
          <w:lang w:val="en-US"/>
        </w:rPr>
        <w:t xml:space="preserve"> and Kaufman</w:t>
      </w:r>
      <w:r w:rsidR="00C7697D">
        <w:rPr>
          <w:lang w:val="en-US"/>
        </w:rPr>
        <w:t xml:space="preserve"> </w:t>
      </w:r>
      <w:r w:rsidR="00C36EF8" w:rsidRPr="00C36EF8">
        <w:rPr>
          <w:lang w:val="en-US"/>
        </w:rPr>
        <w:t>1997</w:t>
      </w:r>
      <w:r w:rsidR="00C0615A" w:rsidRPr="00C0615A">
        <w:rPr>
          <w:lang w:val="en-US"/>
        </w:rPr>
        <w:t>)</w:t>
      </w:r>
      <w:r w:rsidR="00C7697D">
        <w:rPr>
          <w:lang w:val="en-US"/>
        </w:rPr>
        <w:t>;</w:t>
      </w:r>
      <w:r w:rsidR="00C36EF8" w:rsidRPr="00C36EF8">
        <w:rPr>
          <w:lang w:val="en-US"/>
        </w:rPr>
        <w:t xml:space="preserve"> and (2) the approach of Lin, Sanger and Booth (1995</w:t>
      </w:r>
      <w:r w:rsidR="00C7697D">
        <w:rPr>
          <w:lang w:val="en-US"/>
        </w:rPr>
        <w:t>) (</w:t>
      </w:r>
      <w:r w:rsidR="00C36EF8" w:rsidRPr="00C36EF8">
        <w:rPr>
          <w:lang w:val="en-US"/>
        </w:rPr>
        <w:t>hereafter</w:t>
      </w:r>
      <w:r w:rsidR="00C7697D">
        <w:rPr>
          <w:lang w:val="en-US"/>
        </w:rPr>
        <w:t xml:space="preserve">, </w:t>
      </w:r>
      <w:r w:rsidR="00C0615A" w:rsidRPr="00C0615A">
        <w:rPr>
          <w:lang w:val="en-US"/>
        </w:rPr>
        <w:t>LSB</w:t>
      </w:r>
      <w:r w:rsidR="00C36EF8" w:rsidRPr="00C36EF8">
        <w:rPr>
          <w:lang w:val="en-US"/>
        </w:rPr>
        <w:t>).</w:t>
      </w:r>
      <w:r w:rsidR="00C36EF8" w:rsidRPr="00C36EF8">
        <w:rPr>
          <w:rStyle w:val="Appelnotedebasdep"/>
          <w:lang w:val="en-US"/>
        </w:rPr>
        <w:footnoteReference w:id="18"/>
      </w:r>
      <w:r w:rsidR="00C36EF8" w:rsidRPr="00C36EF8">
        <w:rPr>
          <w:lang w:val="en-US"/>
        </w:rPr>
        <w:t xml:space="preserve">  An increase </w:t>
      </w:r>
      <w:r w:rsidR="009C29C2">
        <w:rPr>
          <w:lang w:val="en-US"/>
        </w:rPr>
        <w:t>in</w:t>
      </w:r>
      <w:r w:rsidR="00C36EF8" w:rsidRPr="00C36EF8">
        <w:rPr>
          <w:lang w:val="en-US"/>
        </w:rPr>
        <w:t xml:space="preserve"> the permanent price impact and the LSB adverse</w:t>
      </w:r>
      <w:r w:rsidR="003F1C25">
        <w:rPr>
          <w:lang w:val="en-US"/>
        </w:rPr>
        <w:t xml:space="preserve"> </w:t>
      </w:r>
      <w:r w:rsidR="00C36EF8" w:rsidRPr="00C36EF8">
        <w:rPr>
          <w:lang w:val="en-US"/>
        </w:rPr>
        <w:t>selection component for the CAC 40 stocks</w:t>
      </w:r>
      <w:r w:rsidR="009C29C2">
        <w:rPr>
          <w:lang w:val="en-US"/>
        </w:rPr>
        <w:t>,</w:t>
      </w:r>
      <w:r w:rsidR="00C36EF8" w:rsidRPr="00C36EF8">
        <w:rPr>
          <w:lang w:val="en-US"/>
        </w:rPr>
        <w:t xml:space="preserve"> in comparison with the control stocks</w:t>
      </w:r>
      <w:r w:rsidR="009C29C2">
        <w:rPr>
          <w:lang w:val="en-US"/>
        </w:rPr>
        <w:t>,</w:t>
      </w:r>
      <w:r w:rsidR="00C36EF8" w:rsidRPr="00C36EF8">
        <w:rPr>
          <w:lang w:val="en-US"/>
        </w:rPr>
        <w:t xml:space="preserve"> would support H3.</w:t>
      </w:r>
    </w:p>
    <w:p w:rsidR="00FE5D7B" w:rsidRDefault="00C36EF8">
      <w:pPr>
        <w:rPr>
          <w:lang w:val="en-US"/>
        </w:rPr>
      </w:pPr>
      <w:r w:rsidRPr="00C36EF8">
        <w:rPr>
          <w:lang w:val="en-US"/>
        </w:rPr>
        <w:t xml:space="preserve">Using </w:t>
      </w:r>
      <w:r w:rsidR="0038579A">
        <w:rPr>
          <w:lang w:val="en-US"/>
        </w:rPr>
        <w:t xml:space="preserve">the </w:t>
      </w:r>
      <w:r w:rsidRPr="00C36EF8">
        <w:rPr>
          <w:lang w:val="en-US"/>
        </w:rPr>
        <w:t>notations introduced</w:t>
      </w:r>
      <w:r w:rsidR="0038579A">
        <w:rPr>
          <w:lang w:val="en-US"/>
        </w:rPr>
        <w:t xml:space="preserve"> above</w:t>
      </w:r>
      <w:r w:rsidRPr="00C36EF8">
        <w:rPr>
          <w:lang w:val="en-US"/>
        </w:rPr>
        <w:t xml:space="preserve">, the </w:t>
      </w:r>
      <w:r w:rsidR="0038579A">
        <w:rPr>
          <w:lang w:val="en-US"/>
        </w:rPr>
        <w:t>pro</w:t>
      </w:r>
      <w:r w:rsidR="00C0615A" w:rsidRPr="00C0615A">
        <w:rPr>
          <w:lang w:val="en-US"/>
        </w:rPr>
        <w:t>portion</w:t>
      </w:r>
      <w:r w:rsidRPr="00C36EF8">
        <w:rPr>
          <w:lang w:val="en-US"/>
        </w:rPr>
        <w:t xml:space="preserve"> of asymmetric information </w:t>
      </w:r>
      <w:r w:rsidR="0038579A">
        <w:rPr>
          <w:lang w:val="en-US"/>
        </w:rPr>
        <w:t>wa</w:t>
      </w:r>
      <w:r w:rsidR="00C0615A" w:rsidRPr="00C0615A">
        <w:rPr>
          <w:lang w:val="en-US"/>
        </w:rPr>
        <w:t>s</w:t>
      </w:r>
      <w:r w:rsidRPr="00C36EF8">
        <w:rPr>
          <w:lang w:val="en-US"/>
        </w:rPr>
        <w:t xml:space="preserve"> measured by the </w:t>
      </w:r>
      <w:r w:rsidR="004E68AA" w:rsidRPr="00E723C2">
        <w:rPr>
          <w:lang w:val="en-US"/>
        </w:rPr>
        <w:t xml:space="preserve">average price impact </w:t>
      </w:r>
      <w:r w:rsidR="002A4EFA">
        <w:rPr>
          <w:lang w:val="en-US"/>
        </w:rPr>
        <w:t>at</w:t>
      </w:r>
      <w:r w:rsidR="0038579A">
        <w:rPr>
          <w:lang w:val="en-US"/>
        </w:rPr>
        <w:t xml:space="preserve"> an </w:t>
      </w:r>
      <w:r w:rsidR="00C0615A" w:rsidRPr="00C0615A">
        <w:rPr>
          <w:i/>
          <w:lang w:val="en-US"/>
        </w:rPr>
        <w:t>x</w:t>
      </w:r>
      <w:r w:rsidR="00C0615A" w:rsidRPr="00C0615A">
        <w:rPr>
          <w:lang w:val="en-US"/>
        </w:rPr>
        <w:t xml:space="preserve">-minute interval, calculated for stock </w:t>
      </w:r>
      <w:r w:rsidR="00C0615A" w:rsidRPr="00C0615A">
        <w:rPr>
          <w:i/>
          <w:lang w:val="en-US"/>
        </w:rPr>
        <w:t>i</w:t>
      </w:r>
      <w:r w:rsidR="00C0615A" w:rsidRPr="00C0615A">
        <w:rPr>
          <w:lang w:val="en-US"/>
        </w:rPr>
        <w:t>:</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4E68AA">
            <w:pPr>
              <w:ind w:firstLine="0"/>
              <w:jc w:val="center"/>
              <w:rPr>
                <w:lang w:val="en-US"/>
              </w:rPr>
            </w:pPr>
            <w:r w:rsidRPr="00E723C2">
              <w:rPr>
                <w:position w:val="-32"/>
                <w:lang w:val="en-US"/>
              </w:rPr>
              <w:object w:dxaOrig="4060" w:dyaOrig="740">
                <v:shape id="_x0000_i1047" type="#_x0000_t75" style="width:202.5pt;height:36.75pt" o:ole="">
                  <v:imagedata r:id="rId57" o:title=""/>
                </v:shape>
                <o:OLEObject Type="Embed" ProgID="Equation.DSMT4" ShapeID="_x0000_i1047" DrawAspect="Content" ObjectID="_1396445700" r:id="rId58"/>
              </w:object>
            </w:r>
            <w:r w:rsidR="00C36EF8" w:rsidRPr="00C36EF8">
              <w:rPr>
                <w:lang w:val="en-US"/>
              </w:rPr>
              <w:t>,</w:t>
            </w:r>
          </w:p>
        </w:tc>
        <w:tc>
          <w:tcPr>
            <w:tcW w:w="1082" w:type="dxa"/>
            <w:vAlign w:val="center"/>
          </w:tcPr>
          <w:p w:rsidR="00FE5D7B" w:rsidRDefault="004E68AA">
            <w:pPr>
              <w:ind w:firstLine="0"/>
              <w:jc w:val="right"/>
              <w:rPr>
                <w:lang w:val="en-US"/>
              </w:rPr>
            </w:pPr>
            <w:r w:rsidRPr="00E723C2">
              <w:rPr>
                <w:lang w:val="en-US"/>
              </w:rPr>
              <w:t>(7)</w:t>
            </w:r>
          </w:p>
        </w:tc>
      </w:tr>
    </w:tbl>
    <w:p w:rsidR="00FE5D7B" w:rsidRDefault="004E68AA">
      <w:pPr>
        <w:ind w:firstLine="0"/>
        <w:rPr>
          <w:lang w:val="en-US"/>
        </w:rPr>
      </w:pPr>
      <w:r w:rsidRPr="00E723C2">
        <w:rPr>
          <w:lang w:val="en-US"/>
        </w:rPr>
        <w:t>As there is no unanimous choice of the benchmark price to be used after a transaction, we measure</w:t>
      </w:r>
      <w:r w:rsidR="0038579A">
        <w:rPr>
          <w:lang w:val="en-US"/>
        </w:rPr>
        <w:t>d</w:t>
      </w:r>
      <w:r w:rsidRPr="00E723C2">
        <w:rPr>
          <w:lang w:val="en-US"/>
        </w:rPr>
        <w:t xml:space="preserve"> the price imp</w:t>
      </w:r>
      <w:r w:rsidR="0038579A">
        <w:rPr>
          <w:lang w:val="en-US"/>
        </w:rPr>
        <w:t>act</w:t>
      </w:r>
      <w:r w:rsidRPr="00E723C2">
        <w:rPr>
          <w:lang w:val="en-US"/>
        </w:rPr>
        <w:t xml:space="preserve"> at three time horizon</w:t>
      </w:r>
      <w:r w:rsidR="0038579A">
        <w:rPr>
          <w:lang w:val="en-US"/>
        </w:rPr>
        <w:t>s</w:t>
      </w:r>
      <w:r w:rsidRPr="00E723C2">
        <w:rPr>
          <w:lang w:val="en-US"/>
        </w:rPr>
        <w:t xml:space="preserve">: 5, 15 and 30 minutes.  The corresponding non-informational cost </w:t>
      </w:r>
      <w:r w:rsidR="0038579A">
        <w:rPr>
          <w:lang w:val="en-US"/>
        </w:rPr>
        <w:t>wa</w:t>
      </w:r>
      <w:r w:rsidRPr="00E723C2">
        <w:rPr>
          <w:lang w:val="en-US"/>
        </w:rPr>
        <w:t xml:space="preserve">s measured by the realized spread </w:t>
      </w:r>
      <w:r w:rsidR="002A4EFA">
        <w:rPr>
          <w:lang w:val="en-US"/>
        </w:rPr>
        <w:t>at</w:t>
      </w:r>
      <w:r w:rsidR="0038579A">
        <w:rPr>
          <w:lang w:val="en-US"/>
        </w:rPr>
        <w:t xml:space="preserve"> an </w:t>
      </w:r>
      <w:r w:rsidR="00C0615A" w:rsidRPr="00C0615A">
        <w:rPr>
          <w:i/>
          <w:lang w:val="en-US"/>
        </w:rPr>
        <w:t>x</w:t>
      </w:r>
      <w:r w:rsidR="00C0615A" w:rsidRPr="00C0615A">
        <w:rPr>
          <w:lang w:val="en-US"/>
        </w:rPr>
        <w:t xml:space="preserve">-minute interval, defined for stock </w:t>
      </w:r>
      <w:proofErr w:type="spellStart"/>
      <w:r w:rsidR="00C0615A" w:rsidRPr="00C0615A">
        <w:rPr>
          <w:i/>
          <w:lang w:val="en-US"/>
        </w:rPr>
        <w:t>i</w:t>
      </w:r>
      <w:proofErr w:type="spellEnd"/>
      <w:r w:rsidR="00C0615A" w:rsidRPr="00C0615A">
        <w:rPr>
          <w:lang w:val="en-US"/>
        </w:rPr>
        <w:t xml:space="preserve"> as:</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4E68AA">
            <w:pPr>
              <w:ind w:firstLine="0"/>
              <w:jc w:val="center"/>
              <w:rPr>
                <w:lang w:val="en-US"/>
              </w:rPr>
            </w:pPr>
            <w:r w:rsidRPr="00E723C2">
              <w:rPr>
                <w:position w:val="-32"/>
                <w:lang w:val="en-US"/>
              </w:rPr>
              <w:object w:dxaOrig="3820" w:dyaOrig="740">
                <v:shape id="_x0000_i1048" type="#_x0000_t75" style="width:190.5pt;height:36.75pt" o:ole="">
                  <v:imagedata r:id="rId59" o:title=""/>
                </v:shape>
                <o:OLEObject Type="Embed" ProgID="Equation.DSMT4" ShapeID="_x0000_i1048" DrawAspect="Content" ObjectID="_1396445701" r:id="rId60"/>
              </w:object>
            </w:r>
            <w:r w:rsidR="00C36EF8" w:rsidRPr="00C36EF8">
              <w:rPr>
                <w:lang w:val="en-US"/>
              </w:rPr>
              <w:t>.</w:t>
            </w:r>
          </w:p>
        </w:tc>
        <w:tc>
          <w:tcPr>
            <w:tcW w:w="1082" w:type="dxa"/>
            <w:vAlign w:val="center"/>
          </w:tcPr>
          <w:p w:rsidR="00FE5D7B" w:rsidRDefault="004E68AA">
            <w:pPr>
              <w:ind w:firstLine="0"/>
              <w:jc w:val="right"/>
              <w:rPr>
                <w:lang w:val="en-US"/>
              </w:rPr>
            </w:pPr>
            <w:r w:rsidRPr="00E723C2">
              <w:rPr>
                <w:lang w:val="en-US"/>
              </w:rPr>
              <w:t>(8)</w:t>
            </w:r>
          </w:p>
        </w:tc>
      </w:tr>
    </w:tbl>
    <w:p w:rsidR="00FE5D7B" w:rsidRDefault="007E2ACD">
      <w:pPr>
        <w:ind w:firstLine="708"/>
        <w:rPr>
          <w:lang w:val="en-US"/>
        </w:rPr>
      </w:pPr>
      <w:r w:rsidRPr="00E723C2">
        <w:rPr>
          <w:lang w:val="en-US"/>
        </w:rPr>
        <w:t>The LSB</w:t>
      </w:r>
      <w:r w:rsidR="0038579A">
        <w:rPr>
          <w:lang w:val="en-US"/>
        </w:rPr>
        <w:t xml:space="preserve"> adverse</w:t>
      </w:r>
      <w:r w:rsidR="003F1C25">
        <w:rPr>
          <w:lang w:val="en-US"/>
        </w:rPr>
        <w:t xml:space="preserve"> </w:t>
      </w:r>
      <w:r w:rsidR="004E68AA" w:rsidRPr="00E723C2">
        <w:rPr>
          <w:lang w:val="en-US"/>
        </w:rPr>
        <w:t xml:space="preserve">selection component </w:t>
      </w:r>
      <w:r w:rsidR="0038579A">
        <w:rPr>
          <w:lang w:val="en-US"/>
        </w:rPr>
        <w:t>wa</w:t>
      </w:r>
      <w:r w:rsidR="004E68AA" w:rsidRPr="00E723C2">
        <w:rPr>
          <w:lang w:val="en-US"/>
        </w:rPr>
        <w:t>s estimated as the sensitivity</w:t>
      </w:r>
      <w:r w:rsidR="0038579A">
        <w:rPr>
          <w:lang w:val="en-US"/>
        </w:rPr>
        <w:t>,</w:t>
      </w:r>
      <w:r w:rsidR="004E68AA" w:rsidRPr="00E723C2">
        <w:rPr>
          <w:lang w:val="en-US"/>
        </w:rPr>
        <w:t xml:space="preserve"> </w:t>
      </w:r>
      <w:r w:rsidR="00C0615A" w:rsidRPr="00C0615A">
        <w:rPr>
          <w:rFonts w:ascii="Symbol" w:hAnsi="Symbol"/>
          <w:i/>
          <w:iCs/>
          <w:lang w:val="en-US"/>
        </w:rPr>
        <w:t></w:t>
      </w:r>
      <w:r w:rsidR="0038579A">
        <w:rPr>
          <w:rFonts w:ascii="Symbol" w:hAnsi="Symbol"/>
          <w:i/>
          <w:iCs/>
          <w:lang w:val="en-US"/>
        </w:rPr>
        <w:t></w:t>
      </w:r>
      <w:r w:rsidR="00C0615A" w:rsidRPr="00C0615A">
        <w:rPr>
          <w:lang w:val="en-US"/>
        </w:rPr>
        <w:t xml:space="preserve"> of mid-price revisions to trade directions</w:t>
      </w:r>
      <w:r w:rsidR="0038579A">
        <w:rPr>
          <w:lang w:val="en-US"/>
        </w:rPr>
        <w:t xml:space="preserve">, using </w:t>
      </w:r>
      <w:r w:rsidR="00C0615A" w:rsidRPr="00C0615A">
        <w:rPr>
          <w:lang w:val="en-US"/>
        </w:rPr>
        <w:t xml:space="preserve">the following regression model for each stock </w:t>
      </w:r>
      <w:r w:rsidR="00C0615A" w:rsidRPr="00C0615A">
        <w:rPr>
          <w:i/>
          <w:iCs/>
          <w:lang w:val="en-US"/>
        </w:rPr>
        <w:t>i</w:t>
      </w:r>
      <w:r w:rsidR="00C0615A" w:rsidRPr="00C0615A">
        <w:rPr>
          <w:lang w:val="en-US"/>
        </w:rPr>
        <w:t>:</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B64860">
            <w:pPr>
              <w:spacing w:before="0"/>
              <w:ind w:firstLine="0"/>
              <w:jc w:val="center"/>
              <w:rPr>
                <w:lang w:val="en-US"/>
              </w:rPr>
            </w:pPr>
            <w:r w:rsidRPr="00E723C2">
              <w:rPr>
                <w:position w:val="-14"/>
                <w:lang w:val="en-US"/>
              </w:rPr>
              <w:object w:dxaOrig="4140" w:dyaOrig="380">
                <v:shape id="_x0000_i1049" type="#_x0000_t75" style="width:207pt;height:18.75pt" o:ole="">
                  <v:imagedata r:id="rId61" o:title=""/>
                </v:shape>
                <o:OLEObject Type="Embed" ProgID="Equation.3" ShapeID="_x0000_i1049" DrawAspect="Content" ObjectID="_1396445702" r:id="rId62"/>
              </w:object>
            </w:r>
            <w:r w:rsidR="0061591C" w:rsidRPr="00E723C2">
              <w:rPr>
                <w:lang w:val="en-US"/>
              </w:rPr>
              <w:t>.</w:t>
            </w:r>
          </w:p>
        </w:tc>
        <w:tc>
          <w:tcPr>
            <w:tcW w:w="1082" w:type="dxa"/>
            <w:vAlign w:val="center"/>
          </w:tcPr>
          <w:p w:rsidR="00FE5D7B" w:rsidRDefault="00C0615A">
            <w:pPr>
              <w:spacing w:before="0"/>
              <w:ind w:firstLine="0"/>
              <w:jc w:val="right"/>
              <w:rPr>
                <w:lang w:val="en-US"/>
              </w:rPr>
            </w:pPr>
            <w:r w:rsidRPr="00C0615A">
              <w:rPr>
                <w:lang w:val="en-US"/>
              </w:rPr>
              <w:t>(9)</w:t>
            </w:r>
          </w:p>
        </w:tc>
      </w:tr>
    </w:tbl>
    <w:p w:rsidR="00FE5D7B" w:rsidRDefault="00A64F06">
      <w:pPr>
        <w:spacing w:before="0"/>
        <w:ind w:firstLine="0"/>
        <w:rPr>
          <w:lang w:val="en-US"/>
        </w:rPr>
      </w:pPr>
      <w:r w:rsidRPr="00E723C2">
        <w:rPr>
          <w:lang w:val="en-US"/>
        </w:rPr>
        <w:t>We use</w:t>
      </w:r>
      <w:r w:rsidR="0038579A">
        <w:rPr>
          <w:lang w:val="en-US"/>
        </w:rPr>
        <w:t>d</w:t>
      </w:r>
      <w:r w:rsidRPr="00E723C2">
        <w:rPr>
          <w:lang w:val="en-US"/>
        </w:rPr>
        <w:t xml:space="preserve"> the same estimation procedure as in </w:t>
      </w:r>
      <w:r w:rsidR="00C36EF8" w:rsidRPr="00C36EF8">
        <w:rPr>
          <w:lang w:val="en-US"/>
        </w:rPr>
        <w:t xml:space="preserve">Lin, Sanger and </w:t>
      </w:r>
      <w:r w:rsidR="00C0615A" w:rsidRPr="00C0615A">
        <w:rPr>
          <w:lang w:val="en-US"/>
        </w:rPr>
        <w:t>Booth</w:t>
      </w:r>
      <w:r w:rsidR="0038579A">
        <w:rPr>
          <w:lang w:val="en-US"/>
        </w:rPr>
        <w:t>’s</w:t>
      </w:r>
      <w:r w:rsidR="00C36EF8" w:rsidRPr="00C36EF8">
        <w:rPr>
          <w:lang w:val="en-US"/>
        </w:rPr>
        <w:t xml:space="preserve"> (1995</w:t>
      </w:r>
      <w:r w:rsidR="00C0615A" w:rsidRPr="00C0615A">
        <w:rPr>
          <w:lang w:val="en-US"/>
        </w:rPr>
        <w:t>)</w:t>
      </w:r>
      <w:r w:rsidR="0038579A">
        <w:rPr>
          <w:lang w:val="en-US"/>
        </w:rPr>
        <w:t xml:space="preserve"> </w:t>
      </w:r>
      <w:r w:rsidR="0038579A" w:rsidRPr="00E723C2">
        <w:rPr>
          <w:lang w:val="en-US"/>
        </w:rPr>
        <w:t xml:space="preserve">original paper </w:t>
      </w:r>
      <w:r w:rsidR="0038579A">
        <w:rPr>
          <w:lang w:val="en-US"/>
        </w:rPr>
        <w:t>(</w:t>
      </w:r>
      <w:r w:rsidR="00C36EF8" w:rsidRPr="00C36EF8">
        <w:rPr>
          <w:lang w:val="en-US"/>
        </w:rPr>
        <w:t xml:space="preserve">i.e. we </w:t>
      </w:r>
      <w:r w:rsidR="0038579A">
        <w:rPr>
          <w:lang w:val="en-US"/>
        </w:rPr>
        <w:t>ran R</w:t>
      </w:r>
      <w:r w:rsidR="00C0615A" w:rsidRPr="00C0615A">
        <w:rPr>
          <w:lang w:val="en-US"/>
        </w:rPr>
        <w:t>egression</w:t>
      </w:r>
      <w:r w:rsidR="00C36EF8" w:rsidRPr="00C36EF8">
        <w:rPr>
          <w:lang w:val="en-US"/>
        </w:rPr>
        <w:t xml:space="preserve"> (9) using the log prices</w:t>
      </w:r>
      <w:r w:rsidR="0038579A">
        <w:rPr>
          <w:lang w:val="en-US"/>
        </w:rPr>
        <w:t>)</w:t>
      </w:r>
      <w:r w:rsidR="00C0615A" w:rsidRPr="00C0615A">
        <w:rPr>
          <w:lang w:val="en-US"/>
        </w:rPr>
        <w:t>;</w:t>
      </w:r>
      <w:r w:rsidR="00C36EF8" w:rsidRPr="00C36EF8">
        <w:rPr>
          <w:lang w:val="en-US"/>
        </w:rPr>
        <w:t xml:space="preserve"> </w:t>
      </w:r>
      <w:r w:rsidR="002B0568" w:rsidRPr="00E723C2">
        <w:rPr>
          <w:position w:val="-14"/>
          <w:lang w:val="en-US"/>
        </w:rPr>
        <w:object w:dxaOrig="840" w:dyaOrig="380">
          <v:shape id="_x0000_i1050" type="#_x0000_t75" style="width:42pt;height:18.75pt" o:ole="">
            <v:imagedata r:id="rId63" o:title=""/>
          </v:shape>
          <o:OLEObject Type="Embed" ProgID="Equation.3" ShapeID="_x0000_i1050" DrawAspect="Content" ObjectID="_1396445703" r:id="rId64"/>
        </w:object>
      </w:r>
      <w:r w:rsidR="00C36EF8" w:rsidRPr="00C36EF8">
        <w:rPr>
          <w:lang w:val="en-US"/>
        </w:rPr>
        <w:t xml:space="preserve"> is the mid</w:t>
      </w:r>
      <w:r w:rsidR="0038579A">
        <w:rPr>
          <w:lang w:val="en-US"/>
        </w:rPr>
        <w:t>-</w:t>
      </w:r>
      <w:r w:rsidR="00C36EF8" w:rsidRPr="00C36EF8">
        <w:rPr>
          <w:lang w:val="en-US"/>
        </w:rPr>
        <w:t>price valid at the (</w:t>
      </w:r>
      <w:r w:rsidR="00C36EF8" w:rsidRPr="00C36EF8">
        <w:rPr>
          <w:i/>
          <w:lang w:val="en-US"/>
        </w:rPr>
        <w:t>s</w:t>
      </w:r>
      <w:r w:rsidR="00C36EF8" w:rsidRPr="00C36EF8">
        <w:rPr>
          <w:lang w:val="en-US"/>
        </w:rPr>
        <w:t>+1</w:t>
      </w:r>
      <w:proofErr w:type="gramStart"/>
      <w:r w:rsidR="00C36EF8" w:rsidRPr="00C36EF8">
        <w:rPr>
          <w:lang w:val="en-US"/>
        </w:rPr>
        <w:t>)</w:t>
      </w:r>
      <w:proofErr w:type="spellStart"/>
      <w:r w:rsidR="00C36EF8" w:rsidRPr="00C36EF8">
        <w:rPr>
          <w:vertAlign w:val="superscript"/>
          <w:lang w:val="en-US"/>
        </w:rPr>
        <w:t>th</w:t>
      </w:r>
      <w:proofErr w:type="spellEnd"/>
      <w:proofErr w:type="gramEnd"/>
      <w:r w:rsidR="00C36EF8" w:rsidRPr="00C36EF8">
        <w:rPr>
          <w:vertAlign w:val="superscript"/>
          <w:lang w:val="en-US"/>
        </w:rPr>
        <w:t xml:space="preserve"> </w:t>
      </w:r>
      <w:r w:rsidR="00C36EF8" w:rsidRPr="00C36EF8">
        <w:rPr>
          <w:lang w:val="en-US"/>
        </w:rPr>
        <w:t>transaction.</w:t>
      </w:r>
      <w:r w:rsidR="002B0568" w:rsidRPr="00E723C2">
        <w:rPr>
          <w:lang w:val="en-US"/>
        </w:rPr>
        <w:t xml:space="preserve">  </w:t>
      </w:r>
      <w:r w:rsidR="0038579A">
        <w:rPr>
          <w:lang w:val="en-US"/>
        </w:rPr>
        <w:t>Adverse</w:t>
      </w:r>
      <w:r w:rsidR="003F1C25">
        <w:rPr>
          <w:lang w:val="en-US"/>
        </w:rPr>
        <w:t xml:space="preserve"> </w:t>
      </w:r>
      <w:r w:rsidR="0038579A">
        <w:rPr>
          <w:lang w:val="en-US"/>
        </w:rPr>
        <w:t>selection costs we</w:t>
      </w:r>
      <w:r w:rsidR="004E68AA" w:rsidRPr="00E723C2">
        <w:rPr>
          <w:lang w:val="en-US"/>
        </w:rPr>
        <w:t>re then estimated as a part o</w:t>
      </w:r>
      <w:r w:rsidR="00C0615A" w:rsidRPr="00C0615A">
        <w:rPr>
          <w:lang w:val="en-US"/>
        </w:rPr>
        <w:t xml:space="preserve">f the spread by multiplying </w:t>
      </w:r>
      <w:r w:rsidR="004E68AA" w:rsidRPr="00E723C2">
        <w:rPr>
          <w:position w:val="-12"/>
          <w:lang w:val="en-US"/>
        </w:rPr>
        <w:object w:dxaOrig="300" w:dyaOrig="380">
          <v:shape id="_x0000_i1051" type="#_x0000_t75" style="width:14.25pt;height:18.75pt" o:ole="">
            <v:imagedata r:id="rId65" o:title=""/>
          </v:shape>
          <o:OLEObject Type="Embed" ProgID="Equation.DSMT4" ShapeID="_x0000_i1051" DrawAspect="Content" ObjectID="_1396445704" r:id="rId66"/>
        </w:object>
      </w:r>
      <w:r w:rsidR="004E68AA" w:rsidRPr="00E723C2">
        <w:rPr>
          <w:lang w:val="en-US"/>
        </w:rPr>
        <w:t xml:space="preserve"> </w:t>
      </w:r>
      <w:r w:rsidR="0038579A">
        <w:rPr>
          <w:lang w:val="en-US"/>
        </w:rPr>
        <w:t xml:space="preserve">by </w:t>
      </w:r>
      <w:r w:rsidR="004E68AA" w:rsidRPr="00E723C2">
        <w:rPr>
          <w:lang w:val="en-US"/>
        </w:rPr>
        <w:t xml:space="preserve">the average effective spread of stock </w:t>
      </w:r>
      <w:proofErr w:type="spellStart"/>
      <w:r w:rsidR="00C0615A" w:rsidRPr="00C0615A">
        <w:rPr>
          <w:i/>
          <w:lang w:val="en-US"/>
        </w:rPr>
        <w:t>i</w:t>
      </w:r>
      <w:proofErr w:type="spellEnd"/>
      <w:r w:rsidR="00C0615A" w:rsidRPr="00C0615A">
        <w:rPr>
          <w:lang w:val="en-US"/>
        </w:rPr>
        <w:t xml:space="preserve">, </w:t>
      </w:r>
      <w:proofErr w:type="spellStart"/>
      <w:proofErr w:type="gramStart"/>
      <w:r w:rsidR="00C0615A" w:rsidRPr="00C0615A">
        <w:rPr>
          <w:i/>
          <w:lang w:val="en-US"/>
        </w:rPr>
        <w:t>ES</w:t>
      </w:r>
      <w:r w:rsidR="00687845">
        <w:rPr>
          <w:i/>
          <w:vertAlign w:val="subscript"/>
          <w:lang w:val="en-US"/>
        </w:rPr>
        <w:t>i</w:t>
      </w:r>
      <w:proofErr w:type="spellEnd"/>
      <w:r w:rsidR="00687845">
        <w:rPr>
          <w:i/>
          <w:vertAlign w:val="subscript"/>
          <w:lang w:val="en-US"/>
        </w:rPr>
        <w:t xml:space="preserve"> </w:t>
      </w:r>
      <w:r w:rsidR="00C0615A" w:rsidRPr="00C0615A">
        <w:rPr>
          <w:lang w:val="en-US"/>
        </w:rPr>
        <w:t>,</w:t>
      </w:r>
      <w:proofErr w:type="gramEnd"/>
      <w:r w:rsidR="00C0615A" w:rsidRPr="00C0615A">
        <w:rPr>
          <w:lang w:val="en-US"/>
        </w:rPr>
        <w:t xml:space="preserve"> </w:t>
      </w:r>
      <w:r w:rsidR="0038579A">
        <w:rPr>
          <w:lang w:val="en-US"/>
        </w:rPr>
        <w:t xml:space="preserve">as </w:t>
      </w:r>
      <w:r w:rsidR="00C0615A" w:rsidRPr="00C0615A">
        <w:rPr>
          <w:lang w:val="en-US"/>
        </w:rPr>
        <w:t xml:space="preserve">defined in Equation (3).  The extent of order persistence </w:t>
      </w:r>
      <w:r w:rsidR="00C0615A" w:rsidRPr="00C0615A">
        <w:rPr>
          <w:i/>
          <w:lang w:val="en-US"/>
        </w:rPr>
        <w:t>θ</w:t>
      </w:r>
      <w:r w:rsidR="0038579A">
        <w:rPr>
          <w:lang w:val="en-US"/>
        </w:rPr>
        <w:t xml:space="preserve"> wa</w:t>
      </w:r>
      <w:r w:rsidR="00C0615A" w:rsidRPr="00C0615A">
        <w:rPr>
          <w:lang w:val="en-US"/>
        </w:rPr>
        <w:t>s captured t</w:t>
      </w:r>
      <w:r w:rsidR="0038579A">
        <w:rPr>
          <w:lang w:val="en-US"/>
        </w:rPr>
        <w:t>h</w:t>
      </w:r>
      <w:r w:rsidR="00C0615A" w:rsidRPr="00C0615A">
        <w:rPr>
          <w:lang w:val="en-US"/>
        </w:rPr>
        <w:t>rough the following regression run for each stock:</w:t>
      </w:r>
    </w:p>
    <w:tbl>
      <w:tblPr>
        <w:tblW w:w="9290" w:type="dxa"/>
        <w:tblLook w:val="01E0" w:firstRow="1" w:lastRow="1" w:firstColumn="1" w:lastColumn="1" w:noHBand="0" w:noVBand="0"/>
      </w:tblPr>
      <w:tblGrid>
        <w:gridCol w:w="8208"/>
        <w:gridCol w:w="1082"/>
      </w:tblGrid>
      <w:tr w:rsidR="004E68AA" w:rsidRPr="00E723C2" w:rsidTr="009B0703">
        <w:tc>
          <w:tcPr>
            <w:tcW w:w="8208" w:type="dxa"/>
          </w:tcPr>
          <w:p w:rsidR="00FE5D7B" w:rsidRDefault="002B0568">
            <w:pPr>
              <w:spacing w:before="0"/>
              <w:ind w:firstLine="0"/>
              <w:jc w:val="center"/>
              <w:rPr>
                <w:lang w:val="en-US"/>
              </w:rPr>
            </w:pPr>
            <w:r w:rsidRPr="00E723C2">
              <w:rPr>
                <w:position w:val="-14"/>
                <w:lang w:val="en-US"/>
              </w:rPr>
              <w:object w:dxaOrig="4099" w:dyaOrig="380">
                <v:shape id="_x0000_i1052" type="#_x0000_t75" style="width:204.75pt;height:18.75pt" o:ole="">
                  <v:imagedata r:id="rId67" o:title=""/>
                </v:shape>
                <o:OLEObject Type="Embed" ProgID="Equation.3" ShapeID="_x0000_i1052" DrawAspect="Content" ObjectID="_1396445705" r:id="rId68"/>
              </w:object>
            </w:r>
            <w:r w:rsidR="004E68AA" w:rsidRPr="00E723C2">
              <w:rPr>
                <w:lang w:val="en-US"/>
              </w:rPr>
              <w:t>,</w:t>
            </w:r>
          </w:p>
        </w:tc>
        <w:tc>
          <w:tcPr>
            <w:tcW w:w="1082" w:type="dxa"/>
            <w:vAlign w:val="center"/>
          </w:tcPr>
          <w:p w:rsidR="00F426D0" w:rsidRDefault="00C0615A">
            <w:pPr>
              <w:spacing w:before="0"/>
              <w:ind w:firstLine="0"/>
              <w:jc w:val="right"/>
              <w:rPr>
                <w:lang w:val="en-US"/>
              </w:rPr>
            </w:pPr>
            <w:r w:rsidRPr="00C0615A">
              <w:rPr>
                <w:lang w:val="en-US"/>
              </w:rPr>
              <w:t>(10)</w:t>
            </w:r>
          </w:p>
        </w:tc>
      </w:tr>
    </w:tbl>
    <w:p w:rsidR="00FE5D7B" w:rsidRDefault="004E68AA">
      <w:pPr>
        <w:spacing w:before="0"/>
        <w:ind w:firstLine="0"/>
        <w:rPr>
          <w:lang w:val="en-US"/>
        </w:rPr>
      </w:pPr>
      <w:proofErr w:type="gramStart"/>
      <w:r w:rsidRPr="00E723C2">
        <w:rPr>
          <w:lang w:val="en-US"/>
        </w:rPr>
        <w:t>where</w:t>
      </w:r>
      <w:proofErr w:type="gramEnd"/>
      <w:r w:rsidRPr="00E723C2">
        <w:rPr>
          <w:lang w:val="en-US"/>
        </w:rPr>
        <w:t xml:space="preserve"> the disturbance terms </w:t>
      </w:r>
      <w:r w:rsidRPr="00E723C2">
        <w:rPr>
          <w:i/>
          <w:lang w:val="en-US"/>
        </w:rPr>
        <w:t>e</w:t>
      </w:r>
      <w:r w:rsidR="00C0615A" w:rsidRPr="00C0615A">
        <w:rPr>
          <w:lang w:val="en-US"/>
        </w:rPr>
        <w:t xml:space="preserve"> and </w:t>
      </w:r>
      <w:r w:rsidR="00C0615A" w:rsidRPr="00C0615A">
        <w:rPr>
          <w:i/>
          <w:lang w:val="en-US"/>
        </w:rPr>
        <w:t>η</w:t>
      </w:r>
      <w:r w:rsidR="00C0615A" w:rsidRPr="00C0615A">
        <w:rPr>
          <w:lang w:val="en-US"/>
        </w:rPr>
        <w:t xml:space="preserve"> are uncorrelated. The expected profit as a fraction of the effective spread when submitting an order </w:t>
      </w:r>
      <w:proofErr w:type="gramStart"/>
      <w:r w:rsidR="00C0615A" w:rsidRPr="00C0615A">
        <w:rPr>
          <w:lang w:val="en-US"/>
        </w:rPr>
        <w:t xml:space="preserve">is </w:t>
      </w:r>
      <w:proofErr w:type="gramEnd"/>
      <w:r w:rsidRPr="00E723C2">
        <w:rPr>
          <w:position w:val="-12"/>
          <w:lang w:val="en-US"/>
        </w:rPr>
        <w:object w:dxaOrig="1460" w:dyaOrig="360">
          <v:shape id="_x0000_i1053" type="#_x0000_t75" style="width:72.75pt;height:18.75pt" o:ole="">
            <v:imagedata r:id="rId69" o:title=""/>
          </v:shape>
          <o:OLEObject Type="Embed" ProgID="Equation.3" ShapeID="_x0000_i1053" DrawAspect="Content" ObjectID="_1396445706" r:id="rId70"/>
        </w:object>
      </w:r>
      <w:r w:rsidRPr="00E723C2">
        <w:rPr>
          <w:lang w:val="en-US"/>
        </w:rPr>
        <w:t xml:space="preserve">.  </w:t>
      </w:r>
      <w:r w:rsidR="00DD39DC">
        <w:rPr>
          <w:lang w:val="en-US"/>
        </w:rPr>
        <w:t>M</w:t>
      </w:r>
      <w:r w:rsidRPr="00E723C2">
        <w:rPr>
          <w:lang w:val="en-US"/>
        </w:rPr>
        <w:t xml:space="preserve">ultiplying </w:t>
      </w:r>
      <w:r w:rsidRPr="00E723C2">
        <w:rPr>
          <w:position w:val="-12"/>
          <w:lang w:val="en-US"/>
        </w:rPr>
        <w:object w:dxaOrig="279" w:dyaOrig="380">
          <v:shape id="_x0000_i1054" type="#_x0000_t75" style="width:14.25pt;height:18.75pt" o:ole="">
            <v:imagedata r:id="rId71" o:title=""/>
          </v:shape>
          <o:OLEObject Type="Embed" ProgID="Equation.DSMT4" ShapeID="_x0000_i1054" DrawAspect="Content" ObjectID="_1396445707" r:id="rId72"/>
        </w:object>
      </w:r>
      <w:r w:rsidRPr="00E723C2">
        <w:rPr>
          <w:lang w:val="en-US"/>
        </w:rPr>
        <w:t xml:space="preserve"> </w:t>
      </w:r>
      <w:r w:rsidR="0038579A">
        <w:rPr>
          <w:lang w:val="en-US"/>
        </w:rPr>
        <w:t xml:space="preserve">by </w:t>
      </w:r>
      <w:r w:rsidRPr="00E723C2">
        <w:rPr>
          <w:lang w:val="en-US"/>
        </w:rPr>
        <w:t xml:space="preserve">the average effective spread </w:t>
      </w:r>
      <w:proofErr w:type="spellStart"/>
      <w:r w:rsidR="00C0615A" w:rsidRPr="00C0615A">
        <w:rPr>
          <w:i/>
          <w:lang w:val="en-US"/>
        </w:rPr>
        <w:t>ES</w:t>
      </w:r>
      <w:r w:rsidR="00687845">
        <w:rPr>
          <w:i/>
          <w:vertAlign w:val="subscript"/>
          <w:lang w:val="en-US"/>
        </w:rPr>
        <w:t>i</w:t>
      </w:r>
      <w:proofErr w:type="spellEnd"/>
      <w:r w:rsidR="00DD39DC">
        <w:rPr>
          <w:lang w:val="en-US"/>
        </w:rPr>
        <w:t xml:space="preserve"> provides the part of the spread reflecting order processing costs.</w:t>
      </w:r>
    </w:p>
    <w:p w:rsidR="00FE5D7B" w:rsidRDefault="00C0615A">
      <w:pPr>
        <w:rPr>
          <w:lang w:val="en-US"/>
        </w:rPr>
      </w:pPr>
      <w:r w:rsidRPr="00C0615A">
        <w:rPr>
          <w:lang w:val="en-US"/>
        </w:rPr>
        <w:t xml:space="preserve">The results </w:t>
      </w:r>
      <w:r w:rsidR="00634161">
        <w:rPr>
          <w:lang w:val="en-US"/>
        </w:rPr>
        <w:t xml:space="preserve">of the paired </w:t>
      </w:r>
      <w:r w:rsidR="00634161" w:rsidRPr="00C41698">
        <w:rPr>
          <w:i/>
          <w:lang w:val="en-US"/>
        </w:rPr>
        <w:t>t</w:t>
      </w:r>
      <w:r w:rsidR="00634161">
        <w:rPr>
          <w:lang w:val="en-US"/>
        </w:rPr>
        <w:t xml:space="preserve">-tests </w:t>
      </w:r>
      <w:r w:rsidRPr="00C0615A">
        <w:rPr>
          <w:lang w:val="en-US"/>
        </w:rPr>
        <w:t xml:space="preserve">reported in Table 2 indicate an improvement in liquidity at the best-limit level, with a significant reduction in </w:t>
      </w:r>
      <w:r w:rsidR="00521C1A">
        <w:rPr>
          <w:lang w:val="en-US"/>
        </w:rPr>
        <w:t>average</w:t>
      </w:r>
      <w:r w:rsidRPr="00C0615A">
        <w:rPr>
          <w:lang w:val="en-US"/>
        </w:rPr>
        <w:t xml:space="preserve"> quoted spreads and effective spreads, and </w:t>
      </w:r>
      <w:r w:rsidR="00634161">
        <w:rPr>
          <w:lang w:val="en-US"/>
        </w:rPr>
        <w:t>a</w:t>
      </w:r>
      <w:r w:rsidRPr="00C0615A">
        <w:rPr>
          <w:lang w:val="en-US"/>
        </w:rPr>
        <w:t xml:space="preserve"> significant </w:t>
      </w:r>
      <w:r w:rsidR="00D93644">
        <w:rPr>
          <w:lang w:val="en-US"/>
        </w:rPr>
        <w:t>increase</w:t>
      </w:r>
      <w:r w:rsidR="00D93644" w:rsidRPr="00C0615A">
        <w:rPr>
          <w:lang w:val="en-US"/>
        </w:rPr>
        <w:t xml:space="preserve"> </w:t>
      </w:r>
      <w:r w:rsidRPr="00C0615A">
        <w:rPr>
          <w:lang w:val="en-US"/>
        </w:rPr>
        <w:t xml:space="preserve">in </w:t>
      </w:r>
      <w:r w:rsidR="007D5277">
        <w:rPr>
          <w:lang w:val="en-US"/>
        </w:rPr>
        <w:t xml:space="preserve">the </w:t>
      </w:r>
      <w:r w:rsidRPr="00C0615A">
        <w:rPr>
          <w:lang w:val="en-US"/>
        </w:rPr>
        <w:t xml:space="preserve">best-limit depth for the CAC 40 stock </w:t>
      </w:r>
      <w:r w:rsidR="00C26032">
        <w:rPr>
          <w:lang w:val="en-US"/>
        </w:rPr>
        <w:t>sample</w:t>
      </w:r>
      <w:r w:rsidRPr="00C0615A">
        <w:rPr>
          <w:lang w:val="en-US"/>
        </w:rPr>
        <w:t xml:space="preserve">.  </w:t>
      </w:r>
      <w:r w:rsidR="007D5277">
        <w:rPr>
          <w:lang w:val="en-US"/>
        </w:rPr>
        <w:t xml:space="preserve">The </w:t>
      </w:r>
      <w:r w:rsidR="00D93644">
        <w:rPr>
          <w:lang w:val="en-US"/>
        </w:rPr>
        <w:t xml:space="preserve">variations of those measures are not significant for </w:t>
      </w:r>
      <w:r w:rsidR="007D5277">
        <w:rPr>
          <w:lang w:val="en-US"/>
        </w:rPr>
        <w:t xml:space="preserve">the </w:t>
      </w:r>
      <w:r w:rsidRPr="00C0615A">
        <w:rPr>
          <w:lang w:val="en-US"/>
        </w:rPr>
        <w:t xml:space="preserve">control </w:t>
      </w:r>
      <w:r w:rsidR="00C26032">
        <w:rPr>
          <w:lang w:val="en-US"/>
        </w:rPr>
        <w:t>sample</w:t>
      </w:r>
      <w:r w:rsidR="007D5277">
        <w:rPr>
          <w:lang w:val="en-US"/>
        </w:rPr>
        <w:t>.  The</w:t>
      </w:r>
      <w:r w:rsidRPr="00C0615A">
        <w:rPr>
          <w:lang w:val="en-US"/>
        </w:rPr>
        <w:t xml:space="preserve"> reduction in spreads for the CAC 40 stocks cannot be attributed to an increase in the daily number of trades.  Only the n</w:t>
      </w:r>
      <w:r w:rsidR="002407BE">
        <w:rPr>
          <w:lang w:val="en-US"/>
        </w:rPr>
        <w:t>umber of traded shares increased</w:t>
      </w:r>
      <w:r w:rsidRPr="00C0615A">
        <w:rPr>
          <w:lang w:val="en-US"/>
        </w:rPr>
        <w:t xml:space="preserve"> significantly </w:t>
      </w:r>
      <w:r w:rsidR="00634161">
        <w:rPr>
          <w:lang w:val="en-US"/>
        </w:rPr>
        <w:t xml:space="preserve">in level and in percentage </w:t>
      </w:r>
      <w:r w:rsidRPr="00C0615A">
        <w:rPr>
          <w:lang w:val="en-US"/>
        </w:rPr>
        <w:t xml:space="preserve">for the </w:t>
      </w:r>
      <w:r w:rsidR="00D93644">
        <w:rPr>
          <w:lang w:val="en-US"/>
        </w:rPr>
        <w:t>index</w:t>
      </w:r>
      <w:r w:rsidRPr="00C0615A">
        <w:rPr>
          <w:lang w:val="en-US"/>
        </w:rPr>
        <w:t xml:space="preserve"> stocks after the ETF inception.  </w:t>
      </w:r>
      <w:r w:rsidR="00214B86">
        <w:rPr>
          <w:lang w:val="en-US"/>
        </w:rPr>
        <w:t xml:space="preserve">The </w:t>
      </w:r>
      <w:r w:rsidR="00D93644">
        <w:rPr>
          <w:lang w:val="en-US"/>
        </w:rPr>
        <w:t>difference-in-</w:t>
      </w:r>
      <w:r w:rsidR="00214B86">
        <w:rPr>
          <w:lang w:val="en-US"/>
        </w:rPr>
        <w:t xml:space="preserve">differences tests on the percentage variations show a significant reduction in spreads and an increase in the number of trades and traded shares for the CAC 40 sample stocks, relative to the control sample stocks.  </w:t>
      </w:r>
      <w:r w:rsidR="002407BE">
        <w:rPr>
          <w:lang w:val="en-US"/>
        </w:rPr>
        <w:lastRenderedPageBreak/>
        <w:t xml:space="preserve">There was </w:t>
      </w:r>
      <w:r w:rsidRPr="00C0615A">
        <w:rPr>
          <w:lang w:val="en-US"/>
        </w:rPr>
        <w:t xml:space="preserve">an opposite liquidity effect at </w:t>
      </w:r>
      <w:r w:rsidR="002407BE">
        <w:rPr>
          <w:lang w:val="en-US"/>
        </w:rPr>
        <w:t xml:space="preserve">the </w:t>
      </w:r>
      <w:r w:rsidRPr="00C0615A">
        <w:rPr>
          <w:lang w:val="en-US"/>
        </w:rPr>
        <w:t>upper limit</w:t>
      </w:r>
      <w:r w:rsidR="00D93644">
        <w:rPr>
          <w:lang w:val="en-US"/>
        </w:rPr>
        <w:t>s</w:t>
      </w:r>
      <w:r w:rsidRPr="00C0615A">
        <w:rPr>
          <w:lang w:val="en-US"/>
        </w:rPr>
        <w:t>, for both the CAC</w:t>
      </w:r>
      <w:r w:rsidR="002407BE">
        <w:rPr>
          <w:lang w:val="en-US"/>
        </w:rPr>
        <w:t xml:space="preserve"> </w:t>
      </w:r>
      <w:r w:rsidRPr="00C0615A">
        <w:rPr>
          <w:lang w:val="en-US"/>
        </w:rPr>
        <w:t xml:space="preserve">40 and the control </w:t>
      </w:r>
      <w:r w:rsidR="00C26032">
        <w:rPr>
          <w:lang w:val="en-US"/>
        </w:rPr>
        <w:t>sample</w:t>
      </w:r>
      <w:r w:rsidR="002407BE">
        <w:rPr>
          <w:lang w:val="en-US"/>
        </w:rPr>
        <w:t>s</w:t>
      </w:r>
      <w:r w:rsidR="00F47536">
        <w:rPr>
          <w:lang w:val="en-US"/>
        </w:rPr>
        <w:t>: a</w:t>
      </w:r>
      <w:r w:rsidRPr="00C0615A">
        <w:rPr>
          <w:lang w:val="en-US"/>
        </w:rPr>
        <w:t>djusted block spreads widen</w:t>
      </w:r>
      <w:r w:rsidR="002407BE">
        <w:rPr>
          <w:lang w:val="en-US"/>
        </w:rPr>
        <w:t>ed</w:t>
      </w:r>
      <w:r w:rsidRPr="00C0615A">
        <w:rPr>
          <w:lang w:val="en-US"/>
        </w:rPr>
        <w:t xml:space="preserve"> significantly in the post-ETF period, meaning that the cost </w:t>
      </w:r>
      <w:r w:rsidR="002407BE">
        <w:rPr>
          <w:lang w:val="en-US"/>
        </w:rPr>
        <w:t xml:space="preserve">of </w:t>
      </w:r>
      <w:r w:rsidR="00D93644">
        <w:rPr>
          <w:lang w:val="en-US"/>
        </w:rPr>
        <w:t xml:space="preserve">immediacy </w:t>
      </w:r>
      <w:proofErr w:type="gramStart"/>
      <w:r w:rsidR="00D93644">
        <w:rPr>
          <w:lang w:val="en-US"/>
        </w:rPr>
        <w:t xml:space="preserve">on </w:t>
      </w:r>
      <w:r w:rsidR="00D93644" w:rsidRPr="00C0615A">
        <w:rPr>
          <w:lang w:val="en-US"/>
        </w:rPr>
        <w:t xml:space="preserve"> </w:t>
      </w:r>
      <w:r w:rsidRPr="00C0615A">
        <w:rPr>
          <w:lang w:val="en-US"/>
        </w:rPr>
        <w:t>large</w:t>
      </w:r>
      <w:proofErr w:type="gramEnd"/>
      <w:r w:rsidRPr="00C0615A">
        <w:rPr>
          <w:lang w:val="en-US"/>
        </w:rPr>
        <w:t xml:space="preserve"> </w:t>
      </w:r>
      <w:r w:rsidR="00D93644">
        <w:rPr>
          <w:lang w:val="en-US"/>
        </w:rPr>
        <w:t>trades</w:t>
      </w:r>
      <w:r w:rsidR="00D93644" w:rsidRPr="00C0615A">
        <w:rPr>
          <w:lang w:val="en-US"/>
        </w:rPr>
        <w:t xml:space="preserve"> </w:t>
      </w:r>
      <w:r w:rsidRPr="00C0615A">
        <w:rPr>
          <w:lang w:val="en-US"/>
        </w:rPr>
        <w:t xml:space="preserve">increased for all stocks.  The post-ETF increase </w:t>
      </w:r>
      <w:r w:rsidR="002407BE">
        <w:rPr>
          <w:lang w:val="en-US"/>
        </w:rPr>
        <w:t xml:space="preserve">in </w:t>
      </w:r>
      <w:r w:rsidRPr="00C0615A">
        <w:rPr>
          <w:lang w:val="en-US"/>
        </w:rPr>
        <w:t xml:space="preserve">the mean adjusted block spread </w:t>
      </w:r>
      <w:r w:rsidR="002407BE">
        <w:rPr>
          <w:lang w:val="en-US"/>
        </w:rPr>
        <w:t xml:space="preserve">as a </w:t>
      </w:r>
      <w:r w:rsidRPr="00C0615A">
        <w:rPr>
          <w:lang w:val="en-US"/>
        </w:rPr>
        <w:t xml:space="preserve">percentage of the mid price </w:t>
      </w:r>
      <w:r w:rsidR="002407BE">
        <w:rPr>
          <w:lang w:val="en-US"/>
        </w:rPr>
        <w:t xml:space="preserve">was larger </w:t>
      </w:r>
      <w:r w:rsidRPr="00C0615A">
        <w:rPr>
          <w:lang w:val="en-US"/>
        </w:rPr>
        <w:t>for the control stocks.  However, the difference-in-difference</w:t>
      </w:r>
      <w:r w:rsidR="002407BE">
        <w:rPr>
          <w:lang w:val="en-US"/>
        </w:rPr>
        <w:t>s</w:t>
      </w:r>
      <w:r w:rsidRPr="00C0615A">
        <w:rPr>
          <w:lang w:val="en-US"/>
        </w:rPr>
        <w:t xml:space="preserve"> test </w:t>
      </w:r>
      <w:r w:rsidR="00D93644">
        <w:rPr>
          <w:lang w:val="en-US"/>
        </w:rPr>
        <w:t xml:space="preserve">on percentage variations </w:t>
      </w:r>
      <w:r w:rsidR="002407BE">
        <w:rPr>
          <w:lang w:val="en-US"/>
        </w:rPr>
        <w:t xml:space="preserve">shows </w:t>
      </w:r>
      <w:r w:rsidRPr="00C0615A">
        <w:rPr>
          <w:lang w:val="en-US"/>
        </w:rPr>
        <w:t>that this increase</w:t>
      </w:r>
      <w:r w:rsidR="00D93644">
        <w:rPr>
          <w:lang w:val="en-US"/>
        </w:rPr>
        <w:t xml:space="preserve"> </w:t>
      </w:r>
      <w:r w:rsidR="002407BE">
        <w:rPr>
          <w:lang w:val="en-US"/>
        </w:rPr>
        <w:t>wa</w:t>
      </w:r>
      <w:r w:rsidRPr="00C0615A">
        <w:rPr>
          <w:lang w:val="en-US"/>
        </w:rPr>
        <w:t>s significantly higher for the CAC 40 stocks.</w:t>
      </w:r>
    </w:p>
    <w:p w:rsidR="00FE5D7B" w:rsidRDefault="00C0615A">
      <w:pPr>
        <w:pStyle w:val="Inserttable"/>
      </w:pPr>
      <w:r w:rsidRPr="00C0615A">
        <w:t>[Insert Table 2</w:t>
      </w:r>
      <w:r w:rsidR="00E16D81">
        <w:t xml:space="preserve"> about here</w:t>
      </w:r>
      <w:r w:rsidRPr="00C0615A">
        <w:t>]</w:t>
      </w:r>
    </w:p>
    <w:p w:rsidR="00FE5D7B" w:rsidRDefault="00C0615A">
      <w:pPr>
        <w:spacing w:before="0"/>
        <w:ind w:firstLine="708"/>
        <w:rPr>
          <w:lang w:val="en-US"/>
        </w:rPr>
      </w:pPr>
      <w:r w:rsidRPr="00C0615A">
        <w:rPr>
          <w:lang w:val="en-US"/>
        </w:rPr>
        <w:t xml:space="preserve">Comparative results for the relative order imbalance and the spread components are </w:t>
      </w:r>
      <w:r w:rsidR="00E16D81">
        <w:rPr>
          <w:lang w:val="en-US"/>
        </w:rPr>
        <w:t xml:space="preserve">presented in Table 3. </w:t>
      </w:r>
      <w:r w:rsidRPr="00C0615A">
        <w:rPr>
          <w:lang w:val="en-US"/>
        </w:rPr>
        <w:t xml:space="preserve">The relative order imbalance and the </w:t>
      </w:r>
      <w:r w:rsidR="00214B86">
        <w:rPr>
          <w:lang w:val="en-US"/>
        </w:rPr>
        <w:t>price impact at various time intervals</w:t>
      </w:r>
      <w:r w:rsidRPr="00C0615A">
        <w:rPr>
          <w:lang w:val="en-US"/>
        </w:rPr>
        <w:t xml:space="preserve"> g</w:t>
      </w:r>
      <w:r w:rsidR="004B359D">
        <w:rPr>
          <w:lang w:val="en-US"/>
        </w:rPr>
        <w:t>ive convergent results: adverse</w:t>
      </w:r>
      <w:r w:rsidR="003F1C25">
        <w:rPr>
          <w:lang w:val="en-US"/>
        </w:rPr>
        <w:t xml:space="preserve"> </w:t>
      </w:r>
      <w:r w:rsidRPr="00C0615A">
        <w:rPr>
          <w:lang w:val="en-US"/>
        </w:rPr>
        <w:t xml:space="preserve">selection costs </w:t>
      </w:r>
      <w:r w:rsidR="004B359D">
        <w:rPr>
          <w:lang w:val="en-US"/>
        </w:rPr>
        <w:t xml:space="preserve">did </w:t>
      </w:r>
      <w:r w:rsidRPr="00C0615A">
        <w:rPr>
          <w:lang w:val="en-US"/>
        </w:rPr>
        <w:t xml:space="preserve">not vary significantly </w:t>
      </w:r>
      <w:r w:rsidR="004B359D">
        <w:rPr>
          <w:lang w:val="en-US"/>
        </w:rPr>
        <w:t xml:space="preserve">before and </w:t>
      </w:r>
      <w:r w:rsidRPr="00C0615A">
        <w:rPr>
          <w:lang w:val="en-US"/>
        </w:rPr>
        <w:t xml:space="preserve">after the </w:t>
      </w:r>
      <w:r w:rsidR="002C1140">
        <w:rPr>
          <w:lang w:val="en-US"/>
        </w:rPr>
        <w:t>inception</w:t>
      </w:r>
      <w:r w:rsidR="004B359D">
        <w:rPr>
          <w:lang w:val="en-US"/>
        </w:rPr>
        <w:t xml:space="preserve"> of the </w:t>
      </w:r>
      <w:r w:rsidRPr="00C0615A">
        <w:rPr>
          <w:lang w:val="en-US"/>
        </w:rPr>
        <w:t xml:space="preserve">ETF, showing that information asymmetry in individual stocks </w:t>
      </w:r>
      <w:r w:rsidR="004B359D">
        <w:rPr>
          <w:lang w:val="en-US"/>
        </w:rPr>
        <w:t xml:space="preserve">did </w:t>
      </w:r>
      <w:r w:rsidRPr="00C0615A">
        <w:rPr>
          <w:lang w:val="en-US"/>
        </w:rPr>
        <w:t xml:space="preserve">not increase when the basket security </w:t>
      </w:r>
      <w:r w:rsidR="004B359D">
        <w:rPr>
          <w:lang w:val="en-US"/>
        </w:rPr>
        <w:t>wa</w:t>
      </w:r>
      <w:r w:rsidRPr="00C0615A">
        <w:rPr>
          <w:lang w:val="en-US"/>
        </w:rPr>
        <w:t xml:space="preserve">s introduced.  </w:t>
      </w:r>
      <w:r w:rsidR="00214B86">
        <w:rPr>
          <w:lang w:val="en-US"/>
        </w:rPr>
        <w:t xml:space="preserve">The LSB spread decomposition even shows a decrease in the adverse selection component of the spread for the CAC40 sample stocks.  </w:t>
      </w:r>
      <w:r w:rsidR="0011204D">
        <w:rPr>
          <w:lang w:val="en-US"/>
        </w:rPr>
        <w:t>Moreover</w:t>
      </w:r>
      <w:r w:rsidRPr="00C0615A">
        <w:rPr>
          <w:lang w:val="en-US"/>
        </w:rPr>
        <w:t>, the realized spread at vario</w:t>
      </w:r>
      <w:r w:rsidR="004B359D">
        <w:rPr>
          <w:lang w:val="en-US"/>
        </w:rPr>
        <w:t>us time intervals and the order</w:t>
      </w:r>
      <w:r w:rsidR="003F1C25">
        <w:rPr>
          <w:lang w:val="en-US"/>
        </w:rPr>
        <w:t xml:space="preserve"> </w:t>
      </w:r>
      <w:r w:rsidRPr="00C0615A">
        <w:rPr>
          <w:lang w:val="en-US"/>
        </w:rPr>
        <w:t>processing cost significantly diminish</w:t>
      </w:r>
      <w:r w:rsidR="004B359D">
        <w:rPr>
          <w:lang w:val="en-US"/>
        </w:rPr>
        <w:t>ed</w:t>
      </w:r>
      <w:r w:rsidRPr="00C0615A">
        <w:rPr>
          <w:lang w:val="en-US"/>
        </w:rPr>
        <w:t xml:space="preserve"> during the second sub-period for the CAC 40 </w:t>
      </w:r>
      <w:r w:rsidR="00C26032">
        <w:rPr>
          <w:lang w:val="en-US"/>
        </w:rPr>
        <w:t>sample</w:t>
      </w:r>
      <w:r w:rsidR="004B359D">
        <w:rPr>
          <w:lang w:val="en-US"/>
        </w:rPr>
        <w:t xml:space="preserve"> </w:t>
      </w:r>
      <w:r w:rsidR="0011204D">
        <w:rPr>
          <w:lang w:val="en-US"/>
        </w:rPr>
        <w:t>stocks, with no similar effect for the control sample stocks.</w:t>
      </w:r>
    </w:p>
    <w:p w:rsidR="00FE5D7B" w:rsidRDefault="00C0615A">
      <w:pPr>
        <w:pStyle w:val="Inserttable"/>
      </w:pPr>
      <w:r w:rsidRPr="00C0615A">
        <w:t>[Insert Table 3</w:t>
      </w:r>
      <w:r w:rsidR="004B359D">
        <w:t xml:space="preserve"> about here</w:t>
      </w:r>
      <w:r w:rsidRPr="00C0615A">
        <w:t>]</w:t>
      </w:r>
    </w:p>
    <w:p w:rsidR="00FE5D7B" w:rsidRDefault="00C0615A">
      <w:pPr>
        <w:rPr>
          <w:lang w:val="en-US"/>
        </w:rPr>
      </w:pPr>
      <w:r w:rsidRPr="00C0615A">
        <w:rPr>
          <w:lang w:val="en-US"/>
        </w:rPr>
        <w:t>To test H5</w:t>
      </w:r>
      <w:r w:rsidR="00C36EF8" w:rsidRPr="00C36EF8">
        <w:rPr>
          <w:lang w:val="en-US"/>
        </w:rPr>
        <w:t xml:space="preserve">, we </w:t>
      </w:r>
      <w:r w:rsidRPr="00C0615A">
        <w:rPr>
          <w:lang w:val="en-US"/>
        </w:rPr>
        <w:t>compare</w:t>
      </w:r>
      <w:r w:rsidR="00E36261">
        <w:rPr>
          <w:lang w:val="en-US"/>
        </w:rPr>
        <w:t>d the</w:t>
      </w:r>
      <w:r w:rsidRPr="00C0615A">
        <w:rPr>
          <w:lang w:val="en-US"/>
        </w:rPr>
        <w:t xml:space="preserve"> </w:t>
      </w:r>
      <w:r w:rsidR="00C36EF8" w:rsidRPr="00C36EF8">
        <w:rPr>
          <w:lang w:val="en-US"/>
        </w:rPr>
        <w:t xml:space="preserve">variance ratios of </w:t>
      </w:r>
      <w:r w:rsidR="00E36261">
        <w:rPr>
          <w:lang w:val="en-US"/>
        </w:rPr>
        <w:t xml:space="preserve">the </w:t>
      </w:r>
      <w:r w:rsidR="0040338C">
        <w:rPr>
          <w:lang w:val="en-US"/>
        </w:rPr>
        <w:t xml:space="preserve">returns from the </w:t>
      </w:r>
      <w:r w:rsidR="00C36EF8" w:rsidRPr="00C36EF8">
        <w:rPr>
          <w:lang w:val="en-US"/>
        </w:rPr>
        <w:t>CAC 40 and control stocks in the pre-</w:t>
      </w:r>
      <w:r w:rsidR="00E36261">
        <w:rPr>
          <w:lang w:val="en-US"/>
        </w:rPr>
        <w:t xml:space="preserve"> and post </w:t>
      </w:r>
      <w:r w:rsidR="00C36EF8" w:rsidRPr="00C36EF8">
        <w:rPr>
          <w:lang w:val="en-US"/>
        </w:rPr>
        <w:t xml:space="preserve">ETF </w:t>
      </w:r>
      <w:r w:rsidRPr="00C0615A">
        <w:rPr>
          <w:lang w:val="en-US"/>
        </w:rPr>
        <w:t>period</w:t>
      </w:r>
      <w:r w:rsidR="00E36261">
        <w:rPr>
          <w:lang w:val="en-US"/>
        </w:rPr>
        <w:t>s (see Table 4)</w:t>
      </w:r>
      <w:r w:rsidRPr="00C0615A">
        <w:rPr>
          <w:lang w:val="en-US"/>
        </w:rPr>
        <w:t>.</w:t>
      </w:r>
      <w:r w:rsidR="00C36EF8" w:rsidRPr="00C36EF8">
        <w:rPr>
          <w:lang w:val="en-US"/>
        </w:rPr>
        <w:t xml:space="preserve">  We </w:t>
      </w:r>
      <w:r w:rsidRPr="00C0615A">
        <w:rPr>
          <w:lang w:val="en-US"/>
        </w:rPr>
        <w:t>consider</w:t>
      </w:r>
      <w:r w:rsidR="00E36261">
        <w:rPr>
          <w:lang w:val="en-US"/>
        </w:rPr>
        <w:t>ed</w:t>
      </w:r>
      <w:r w:rsidR="00C36EF8" w:rsidRPr="00C36EF8">
        <w:rPr>
          <w:lang w:val="en-US"/>
        </w:rPr>
        <w:t xml:space="preserve"> three variance ratios: the variance of 1-minute returns divided by that of 5-minute returns</w:t>
      </w:r>
      <w:r w:rsidR="00E36261">
        <w:rPr>
          <w:lang w:val="en-US"/>
        </w:rPr>
        <w:t>;</w:t>
      </w:r>
      <w:r w:rsidR="00C36EF8" w:rsidRPr="00C36EF8">
        <w:rPr>
          <w:lang w:val="en-US"/>
        </w:rPr>
        <w:t xml:space="preserve"> the variance of 1-minute returns </w:t>
      </w:r>
      <w:r w:rsidR="00E36261">
        <w:rPr>
          <w:lang w:val="en-US"/>
        </w:rPr>
        <w:t xml:space="preserve">divided by </w:t>
      </w:r>
      <w:r w:rsidR="00C36EF8" w:rsidRPr="00C36EF8">
        <w:rPr>
          <w:lang w:val="en-US"/>
        </w:rPr>
        <w:t>that of 30-minute returns</w:t>
      </w:r>
      <w:r w:rsidR="00E36261">
        <w:rPr>
          <w:lang w:val="en-US"/>
        </w:rPr>
        <w:t>;</w:t>
      </w:r>
      <w:r w:rsidR="00C36EF8" w:rsidRPr="00C36EF8">
        <w:rPr>
          <w:lang w:val="en-US"/>
        </w:rPr>
        <w:t xml:space="preserve"> and the variance of 5-minute returns </w:t>
      </w:r>
      <w:r w:rsidR="00E36261">
        <w:rPr>
          <w:lang w:val="en-US"/>
        </w:rPr>
        <w:t>divided by</w:t>
      </w:r>
      <w:r w:rsidR="00C36EF8" w:rsidRPr="00C36EF8">
        <w:rPr>
          <w:lang w:val="en-US"/>
        </w:rPr>
        <w:t xml:space="preserve"> that of 30-minute returns.  1-minute, 5-minute and 30-minute returns </w:t>
      </w:r>
      <w:r w:rsidR="00E36261">
        <w:rPr>
          <w:lang w:val="en-US"/>
        </w:rPr>
        <w:t>we</w:t>
      </w:r>
      <w:r w:rsidRPr="00C0615A">
        <w:rPr>
          <w:lang w:val="en-US"/>
        </w:rPr>
        <w:t>re</w:t>
      </w:r>
      <w:r w:rsidR="00C36EF8" w:rsidRPr="00C36EF8">
        <w:rPr>
          <w:lang w:val="en-US"/>
        </w:rPr>
        <w:t xml:space="preserve"> computed </w:t>
      </w:r>
      <w:r w:rsidR="00E36261">
        <w:rPr>
          <w:lang w:val="en-US"/>
        </w:rPr>
        <w:t>between</w:t>
      </w:r>
      <w:r w:rsidR="00C36EF8" w:rsidRPr="00C36EF8">
        <w:rPr>
          <w:lang w:val="en-US"/>
        </w:rPr>
        <w:t xml:space="preserve"> 9</w:t>
      </w:r>
      <w:r w:rsidR="00E36261">
        <w:rPr>
          <w:lang w:val="en-US"/>
        </w:rPr>
        <w:t>.</w:t>
      </w:r>
      <w:r w:rsidRPr="00C0615A">
        <w:rPr>
          <w:lang w:val="en-US"/>
        </w:rPr>
        <w:t>15</w:t>
      </w:r>
      <w:r w:rsidR="00E36261">
        <w:rPr>
          <w:lang w:val="en-US"/>
        </w:rPr>
        <w:t xml:space="preserve"> </w:t>
      </w:r>
      <w:r w:rsidRPr="00C0615A">
        <w:rPr>
          <w:lang w:val="en-US"/>
        </w:rPr>
        <w:t>a</w:t>
      </w:r>
      <w:r w:rsidR="00E36261">
        <w:rPr>
          <w:lang w:val="en-US"/>
        </w:rPr>
        <w:t>.</w:t>
      </w:r>
      <w:r w:rsidRPr="00C0615A">
        <w:rPr>
          <w:lang w:val="en-US"/>
        </w:rPr>
        <w:t>m</w:t>
      </w:r>
      <w:r w:rsidR="00E36261">
        <w:rPr>
          <w:lang w:val="en-US"/>
        </w:rPr>
        <w:t>. and</w:t>
      </w:r>
      <w:r w:rsidR="00C36EF8" w:rsidRPr="00C36EF8">
        <w:rPr>
          <w:lang w:val="en-US"/>
        </w:rPr>
        <w:t xml:space="preserve"> 5</w:t>
      </w:r>
      <w:r w:rsidR="00E36261">
        <w:rPr>
          <w:lang w:val="en-US"/>
        </w:rPr>
        <w:t>.</w:t>
      </w:r>
      <w:r w:rsidRPr="00C0615A">
        <w:rPr>
          <w:lang w:val="en-US"/>
        </w:rPr>
        <w:t>15</w:t>
      </w:r>
      <w:r w:rsidR="00E36261">
        <w:rPr>
          <w:lang w:val="en-US"/>
        </w:rPr>
        <w:t xml:space="preserve"> </w:t>
      </w:r>
      <w:r w:rsidRPr="00C0615A">
        <w:rPr>
          <w:lang w:val="en-US"/>
        </w:rPr>
        <w:t>p</w:t>
      </w:r>
      <w:r w:rsidR="00E36261">
        <w:rPr>
          <w:lang w:val="en-US"/>
        </w:rPr>
        <w:t>.</w:t>
      </w:r>
      <w:r w:rsidRPr="00C0615A">
        <w:rPr>
          <w:lang w:val="en-US"/>
        </w:rPr>
        <w:t>m</w:t>
      </w:r>
      <w:r w:rsidR="00C36EF8" w:rsidRPr="00C36EF8">
        <w:rPr>
          <w:lang w:val="en-US"/>
        </w:rPr>
        <w:t xml:space="preserve">.  The temporary price volatility of index stocks </w:t>
      </w:r>
      <w:r w:rsidR="00E36261">
        <w:rPr>
          <w:lang w:val="en-US"/>
        </w:rPr>
        <w:t xml:space="preserve">decreased </w:t>
      </w:r>
      <w:r w:rsidR="00C36EF8" w:rsidRPr="00C36EF8">
        <w:rPr>
          <w:lang w:val="en-US"/>
        </w:rPr>
        <w:t xml:space="preserve">significantly after the </w:t>
      </w:r>
      <w:r w:rsidR="00E36261">
        <w:rPr>
          <w:lang w:val="en-US"/>
        </w:rPr>
        <w:t xml:space="preserve">introduction of the </w:t>
      </w:r>
      <w:r w:rsidR="00C36EF8" w:rsidRPr="00C36EF8">
        <w:rPr>
          <w:lang w:val="en-US"/>
        </w:rPr>
        <w:t xml:space="preserve">ETF when measured </w:t>
      </w:r>
      <w:r w:rsidR="00E36261">
        <w:rPr>
          <w:lang w:val="en-US"/>
        </w:rPr>
        <w:t>over</w:t>
      </w:r>
      <w:r w:rsidR="00C36EF8" w:rsidRPr="00C36EF8">
        <w:rPr>
          <w:lang w:val="en-US"/>
        </w:rPr>
        <w:t xml:space="preserve"> very short horizons </w:t>
      </w:r>
      <w:r w:rsidR="002C3A9D">
        <w:rPr>
          <w:lang w:val="en-US"/>
        </w:rPr>
        <w:t xml:space="preserve">with the </w:t>
      </w:r>
      <w:r w:rsidR="00F3726C" w:rsidRPr="00E723C2">
        <w:rPr>
          <w:lang w:val="en-US"/>
        </w:rPr>
        <w:t>1-minute/5-minute variance ratio</w:t>
      </w:r>
      <w:r w:rsidR="002C3A9D">
        <w:rPr>
          <w:lang w:val="en-US"/>
        </w:rPr>
        <w:t>.  The difference-in-differences approach also shows that the 1-</w:t>
      </w:r>
      <w:r w:rsidR="002C3A9D">
        <w:rPr>
          <w:lang w:val="en-US"/>
        </w:rPr>
        <w:lastRenderedPageBreak/>
        <w:t>minute/30-minute variance ratio decreased more for index stocks than for others at the 10% significance level.</w:t>
      </w:r>
      <w:r w:rsidR="00C36EF8" w:rsidRPr="00C36EF8">
        <w:rPr>
          <w:lang w:val="en-US"/>
        </w:rPr>
        <w:t xml:space="preserve"> </w:t>
      </w:r>
      <w:r w:rsidR="002C3A9D">
        <w:rPr>
          <w:lang w:val="en-US"/>
        </w:rPr>
        <w:t xml:space="preserve"> Yet</w:t>
      </w:r>
      <w:r w:rsidR="002C3A9D" w:rsidRPr="00C36EF8">
        <w:rPr>
          <w:lang w:val="en-US"/>
        </w:rPr>
        <w:t xml:space="preserve"> </w:t>
      </w:r>
      <w:r w:rsidR="002C3A9D">
        <w:rPr>
          <w:lang w:val="en-US"/>
        </w:rPr>
        <w:t>no significant</w:t>
      </w:r>
      <w:r w:rsidR="00C36EF8" w:rsidRPr="00C36EF8">
        <w:rPr>
          <w:lang w:val="en-US"/>
        </w:rPr>
        <w:t xml:space="preserve"> change </w:t>
      </w:r>
      <w:r w:rsidR="002C3A9D">
        <w:rPr>
          <w:lang w:val="en-US"/>
        </w:rPr>
        <w:t>is found for the 5-minute/30-minute ratio</w:t>
      </w:r>
      <w:r w:rsidR="00C36EF8" w:rsidRPr="00C36EF8">
        <w:rPr>
          <w:lang w:val="en-US"/>
        </w:rPr>
        <w:t xml:space="preserve">.  This does not give </w:t>
      </w:r>
      <w:r w:rsidR="002C3A9D">
        <w:rPr>
          <w:lang w:val="en-US"/>
        </w:rPr>
        <w:t>strong</w:t>
      </w:r>
      <w:r w:rsidR="002C3A9D" w:rsidRPr="00C36EF8">
        <w:rPr>
          <w:lang w:val="en-US"/>
        </w:rPr>
        <w:t xml:space="preserve"> </w:t>
      </w:r>
      <w:r w:rsidR="00C36EF8" w:rsidRPr="00C36EF8">
        <w:rPr>
          <w:lang w:val="en-US"/>
        </w:rPr>
        <w:t xml:space="preserve">economic support to </w:t>
      </w:r>
      <w:r w:rsidR="00E36261">
        <w:rPr>
          <w:lang w:val="en-US"/>
        </w:rPr>
        <w:t>the hypothesis that the introduction of the ETF has</w:t>
      </w:r>
      <w:r w:rsidRPr="00C0615A">
        <w:rPr>
          <w:lang w:val="en-US"/>
        </w:rPr>
        <w:t xml:space="preserve"> </w:t>
      </w:r>
      <w:r w:rsidR="00C36EF8" w:rsidRPr="00C36EF8">
        <w:rPr>
          <w:lang w:val="en-US"/>
        </w:rPr>
        <w:t>a price stabilization effect.</w:t>
      </w:r>
    </w:p>
    <w:p w:rsidR="00FE5D7B" w:rsidRDefault="004E68AA">
      <w:pPr>
        <w:pStyle w:val="Inserttable"/>
      </w:pPr>
      <w:r w:rsidRPr="00E723C2">
        <w:t>[Insert Table 4</w:t>
      </w:r>
      <w:r w:rsidR="00E36261">
        <w:t xml:space="preserve"> about here</w:t>
      </w:r>
      <w:r w:rsidRPr="00E723C2">
        <w:t>]</w:t>
      </w:r>
    </w:p>
    <w:p w:rsidR="00FE5D7B" w:rsidRDefault="002C11D5">
      <w:pPr>
        <w:pStyle w:val="Titre3"/>
        <w:rPr>
          <w:lang w:val="en-US"/>
        </w:rPr>
      </w:pPr>
      <w:r w:rsidRPr="00E723C2">
        <w:rPr>
          <w:lang w:val="en-US"/>
        </w:rPr>
        <w:t>4.</w:t>
      </w:r>
      <w:r w:rsidR="00C0615A" w:rsidRPr="00C0615A">
        <w:rPr>
          <w:lang w:val="en-US"/>
        </w:rPr>
        <w:t>3. Multivariate analysis</w:t>
      </w:r>
    </w:p>
    <w:p w:rsidR="00FE5D7B" w:rsidRDefault="00C0615A">
      <w:pPr>
        <w:rPr>
          <w:lang w:val="en-US"/>
        </w:rPr>
      </w:pPr>
      <w:r w:rsidRPr="00C0615A">
        <w:rPr>
          <w:lang w:val="en-US"/>
        </w:rPr>
        <w:t xml:space="preserve">The </w:t>
      </w:r>
      <w:proofErr w:type="spellStart"/>
      <w:r w:rsidRPr="00C0615A">
        <w:rPr>
          <w:lang w:val="en-US"/>
        </w:rPr>
        <w:t>univariate</w:t>
      </w:r>
      <w:proofErr w:type="spellEnd"/>
      <w:r w:rsidRPr="00C0615A">
        <w:rPr>
          <w:lang w:val="en-US"/>
        </w:rPr>
        <w:t xml:space="preserve"> tests conducted on spreads, depth, price impact, and variance ratios </w:t>
      </w:r>
      <w:r w:rsidR="00F33740">
        <w:rPr>
          <w:lang w:val="en-US"/>
        </w:rPr>
        <w:t>we</w:t>
      </w:r>
      <w:r w:rsidRPr="00C0615A">
        <w:rPr>
          <w:lang w:val="en-US"/>
        </w:rPr>
        <w:t xml:space="preserve">re complemented </w:t>
      </w:r>
      <w:r w:rsidR="00F33740">
        <w:rPr>
          <w:lang w:val="en-US"/>
        </w:rPr>
        <w:t xml:space="preserve">by </w:t>
      </w:r>
      <w:r w:rsidRPr="00C0615A">
        <w:rPr>
          <w:lang w:val="en-US"/>
        </w:rPr>
        <w:t>multiple panel regressions that control</w:t>
      </w:r>
      <w:r w:rsidR="00F33740">
        <w:rPr>
          <w:lang w:val="en-US"/>
        </w:rPr>
        <w:t>led</w:t>
      </w:r>
      <w:r w:rsidRPr="00C0615A">
        <w:rPr>
          <w:lang w:val="en-US"/>
        </w:rPr>
        <w:t xml:space="preserve"> for volatility, trading volume, price level, and order imbalance.  We consider</w:t>
      </w:r>
      <w:r w:rsidR="00F33740">
        <w:rPr>
          <w:lang w:val="en-US"/>
        </w:rPr>
        <w:t>ed</w:t>
      </w:r>
      <w:r w:rsidRPr="00C0615A">
        <w:rPr>
          <w:lang w:val="en-US"/>
        </w:rPr>
        <w:t xml:space="preserve"> nine dependent variables: (1) the </w:t>
      </w:r>
      <w:r w:rsidR="00521C1A">
        <w:rPr>
          <w:lang w:val="en-US"/>
        </w:rPr>
        <w:t>time</w:t>
      </w:r>
      <w:r w:rsidRPr="00C0615A">
        <w:rPr>
          <w:lang w:val="en-US"/>
        </w:rPr>
        <w:t xml:space="preserve">-weighted average of the relative quoted spread; (2) the average of the relative effective spread; (3) the average </w:t>
      </w:r>
      <w:r w:rsidR="00521C1A">
        <w:rPr>
          <w:lang w:val="en-US"/>
        </w:rPr>
        <w:t>time</w:t>
      </w:r>
      <w:r w:rsidRPr="00C0615A">
        <w:rPr>
          <w:lang w:val="en-US"/>
        </w:rPr>
        <w:t>-weighted adjusted block spread; (4) the time-weighted mean of the quantities available at the best-limit quotes, measured in euros and taken in logarithm</w:t>
      </w:r>
      <w:r w:rsidR="00F33740">
        <w:rPr>
          <w:lang w:val="en-US"/>
        </w:rPr>
        <w:t>s</w:t>
      </w:r>
      <w:r w:rsidRPr="00C0615A">
        <w:rPr>
          <w:lang w:val="en-US"/>
        </w:rPr>
        <w:t>, referred to as the best-limit depth; (5) the average realized spread over a 5-minute time interval; (6) the average 5-minute price impact; (7) the 1-minute/5-minute variance ratio; (8) the 1-minute/30-minute variance ratio; and (9) the 5-minute/30-minute variance ratio.  We compute</w:t>
      </w:r>
      <w:r w:rsidR="00F33740">
        <w:rPr>
          <w:lang w:val="en-US"/>
        </w:rPr>
        <w:t>d</w:t>
      </w:r>
      <w:r w:rsidRPr="00C0615A">
        <w:rPr>
          <w:lang w:val="en-US"/>
        </w:rPr>
        <w:t xml:space="preserve"> th</w:t>
      </w:r>
      <w:r w:rsidR="00F33740">
        <w:rPr>
          <w:lang w:val="en-US"/>
        </w:rPr>
        <w:t>e</w:t>
      </w:r>
      <w:r w:rsidRPr="00C0615A">
        <w:rPr>
          <w:lang w:val="en-US"/>
        </w:rPr>
        <w:t xml:space="preserve">se variables on a daily basis for the 37 CAC 40 stocks and the </w:t>
      </w:r>
      <w:r w:rsidR="005E0BBD">
        <w:rPr>
          <w:lang w:val="en-US"/>
        </w:rPr>
        <w:t>49</w:t>
      </w:r>
      <w:r w:rsidRPr="00C0615A">
        <w:rPr>
          <w:lang w:val="en-US"/>
        </w:rPr>
        <w:t xml:space="preserve"> stocks </w:t>
      </w:r>
      <w:r w:rsidR="00F33740">
        <w:rPr>
          <w:lang w:val="en-US"/>
        </w:rPr>
        <w:t xml:space="preserve">in </w:t>
      </w:r>
      <w:r w:rsidRPr="00C0615A">
        <w:rPr>
          <w:lang w:val="en-US"/>
        </w:rPr>
        <w:t xml:space="preserve">the control </w:t>
      </w:r>
      <w:r w:rsidR="00C26032">
        <w:rPr>
          <w:lang w:val="en-US"/>
        </w:rPr>
        <w:t>sample</w:t>
      </w:r>
      <w:r w:rsidRPr="00C0615A">
        <w:rPr>
          <w:lang w:val="en-US"/>
        </w:rPr>
        <w:t xml:space="preserve">. We thus have </w:t>
      </w:r>
      <w:r w:rsidR="007D4A5B">
        <w:rPr>
          <w:lang w:val="en-US"/>
        </w:rPr>
        <w:t>8</w:t>
      </w:r>
      <w:r w:rsidR="005E0BBD">
        <w:rPr>
          <w:lang w:val="en-US"/>
        </w:rPr>
        <w:t>6</w:t>
      </w:r>
      <w:r w:rsidRPr="00C0615A">
        <w:rPr>
          <w:lang w:val="en-US"/>
        </w:rPr>
        <w:t xml:space="preserve"> </w:t>
      </w:r>
      <w:r w:rsidR="00DE5191">
        <w:rPr>
          <w:lang w:val="en-US"/>
        </w:rPr>
        <w:t>stocks</w:t>
      </w:r>
      <w:r w:rsidRPr="00C0615A">
        <w:rPr>
          <w:lang w:val="en-US"/>
        </w:rPr>
        <w:t xml:space="preserve"> with 120 daily observations per cross-section.  For regressions of the adjusted block spreads, the number of </w:t>
      </w:r>
      <w:r w:rsidR="00DE5191">
        <w:rPr>
          <w:lang w:val="en-US"/>
        </w:rPr>
        <w:t>stocks</w:t>
      </w:r>
      <w:r w:rsidRPr="00C0615A">
        <w:rPr>
          <w:lang w:val="en-US"/>
        </w:rPr>
        <w:t xml:space="preserve"> </w:t>
      </w:r>
      <w:r w:rsidR="00F33740">
        <w:rPr>
          <w:lang w:val="en-US"/>
        </w:rPr>
        <w:t>wa</w:t>
      </w:r>
      <w:r w:rsidRPr="00C0615A">
        <w:rPr>
          <w:lang w:val="en-US"/>
        </w:rPr>
        <w:t xml:space="preserve">s reduced to </w:t>
      </w:r>
      <w:r w:rsidR="005E1E30" w:rsidRPr="00C0615A">
        <w:rPr>
          <w:lang w:val="en-US"/>
        </w:rPr>
        <w:t>8</w:t>
      </w:r>
      <w:r w:rsidR="005E1E30">
        <w:rPr>
          <w:lang w:val="en-US"/>
        </w:rPr>
        <w:t>1</w:t>
      </w:r>
      <w:r w:rsidR="005E1E30" w:rsidRPr="00C0615A">
        <w:rPr>
          <w:lang w:val="en-US"/>
        </w:rPr>
        <w:t xml:space="preserve"> </w:t>
      </w:r>
      <w:r w:rsidRPr="00C0615A">
        <w:rPr>
          <w:lang w:val="en-US"/>
        </w:rPr>
        <w:t>due to the non</w:t>
      </w:r>
      <w:r w:rsidR="00F33740">
        <w:rPr>
          <w:lang w:val="en-US"/>
        </w:rPr>
        <w:t>-</w:t>
      </w:r>
      <w:r w:rsidRPr="00C0615A">
        <w:rPr>
          <w:lang w:val="en-US"/>
        </w:rPr>
        <w:t xml:space="preserve">availability of this variable for </w:t>
      </w:r>
      <w:r w:rsidR="005E1E30">
        <w:rPr>
          <w:lang w:val="en-US"/>
        </w:rPr>
        <w:t xml:space="preserve">5 </w:t>
      </w:r>
      <w:r w:rsidRPr="00C0615A">
        <w:rPr>
          <w:lang w:val="en-US"/>
        </w:rPr>
        <w:t>of the control stocks.</w:t>
      </w:r>
    </w:p>
    <w:p w:rsidR="00FE5D7B" w:rsidRDefault="00C0615A">
      <w:pPr>
        <w:rPr>
          <w:lang w:val="en-US"/>
        </w:rPr>
      </w:pPr>
      <w:r w:rsidRPr="00C0615A">
        <w:rPr>
          <w:lang w:val="en-US"/>
        </w:rPr>
        <w:t xml:space="preserve">All panel regressions are run with a one-lag autocorrelation term </w:t>
      </w:r>
      <w:r w:rsidR="00C81A7F">
        <w:rPr>
          <w:lang w:val="en-US"/>
        </w:rPr>
        <w:t xml:space="preserve">per stock </w:t>
      </w:r>
      <w:r w:rsidRPr="00C0615A">
        <w:rPr>
          <w:lang w:val="en-US"/>
        </w:rPr>
        <w:t>in the residuals following Parks</w:t>
      </w:r>
      <w:r w:rsidR="00897295">
        <w:rPr>
          <w:lang w:val="en-US"/>
        </w:rPr>
        <w:t>’ (1967)</w:t>
      </w:r>
      <w:r w:rsidRPr="00C0615A">
        <w:rPr>
          <w:lang w:val="en-US"/>
        </w:rPr>
        <w:t xml:space="preserve"> method, except those of variance ratios for which a </w:t>
      </w:r>
      <w:r w:rsidR="00476247">
        <w:rPr>
          <w:lang w:val="en-US"/>
        </w:rPr>
        <w:t>one</w:t>
      </w:r>
      <w:r w:rsidRPr="00C0615A">
        <w:rPr>
          <w:lang w:val="en-US"/>
        </w:rPr>
        <w:t>-</w:t>
      </w:r>
      <w:r w:rsidR="00476247">
        <w:rPr>
          <w:lang w:val="en-US"/>
        </w:rPr>
        <w:lastRenderedPageBreak/>
        <w:t>fixed</w:t>
      </w:r>
      <w:r w:rsidRPr="00C0615A">
        <w:rPr>
          <w:lang w:val="en-US"/>
        </w:rPr>
        <w:t>-effect methodology with no auto-correlation is more appropriate.</w:t>
      </w:r>
      <w:r w:rsidR="001A18B8">
        <w:rPr>
          <w:rStyle w:val="Appelnotedebasdep"/>
          <w:lang w:val="en-US"/>
        </w:rPr>
        <w:footnoteReference w:id="19"/>
      </w:r>
      <w:r w:rsidRPr="00C0615A">
        <w:rPr>
          <w:lang w:val="en-US"/>
        </w:rPr>
        <w:t xml:space="preserve">  For each dependent variable, denoted </w:t>
      </w:r>
      <w:proofErr w:type="spellStart"/>
      <w:r w:rsidRPr="00C0615A">
        <w:rPr>
          <w:i/>
          <w:lang w:val="en-US"/>
        </w:rPr>
        <w:t>DV</w:t>
      </w:r>
      <w:r w:rsidR="00687845">
        <w:rPr>
          <w:i/>
          <w:vertAlign w:val="subscript"/>
          <w:lang w:val="en-US"/>
        </w:rPr>
        <w:t>it</w:t>
      </w:r>
      <w:proofErr w:type="spellEnd"/>
      <w:r w:rsidRPr="00C0615A">
        <w:rPr>
          <w:lang w:val="en-US"/>
        </w:rPr>
        <w:t xml:space="preserve"> on day </w:t>
      </w:r>
      <w:r w:rsidRPr="00C0615A">
        <w:rPr>
          <w:i/>
          <w:lang w:val="en-US"/>
        </w:rPr>
        <w:t>t</w:t>
      </w:r>
      <w:r w:rsidRPr="00C0615A">
        <w:rPr>
          <w:lang w:val="en-US"/>
        </w:rPr>
        <w:t xml:space="preserve"> for stock </w:t>
      </w:r>
      <w:proofErr w:type="spellStart"/>
      <w:r w:rsidRPr="00C0615A">
        <w:rPr>
          <w:i/>
          <w:lang w:val="en-US"/>
        </w:rPr>
        <w:t>i</w:t>
      </w:r>
      <w:proofErr w:type="spellEnd"/>
      <w:r w:rsidRPr="00C0615A">
        <w:rPr>
          <w:lang w:val="en-US"/>
        </w:rPr>
        <w:t>, the regression model is initially designed as follows:</w:t>
      </w:r>
    </w:p>
    <w:tbl>
      <w:tblPr>
        <w:tblW w:w="9290" w:type="dxa"/>
        <w:tblLook w:val="01E0" w:firstRow="1" w:lastRow="1" w:firstColumn="1" w:lastColumn="1" w:noHBand="0" w:noVBand="0"/>
      </w:tblPr>
      <w:tblGrid>
        <w:gridCol w:w="8208"/>
        <w:gridCol w:w="1082"/>
      </w:tblGrid>
      <w:tr w:rsidR="005005DC" w:rsidRPr="00E723C2" w:rsidTr="00C41698">
        <w:tc>
          <w:tcPr>
            <w:tcW w:w="8208" w:type="dxa"/>
          </w:tcPr>
          <w:p w:rsidR="00FE5D7B" w:rsidRDefault="00C81A7F">
            <w:pPr>
              <w:ind w:firstLine="0"/>
              <w:jc w:val="center"/>
              <w:rPr>
                <w:lang w:val="en-US"/>
              </w:rPr>
            </w:pPr>
            <w:r w:rsidRPr="00E723C2">
              <w:rPr>
                <w:position w:val="-32"/>
                <w:lang w:val="en-US"/>
              </w:rPr>
              <w:object w:dxaOrig="4540" w:dyaOrig="760">
                <v:shape id="_x0000_i1055" type="#_x0000_t75" style="width:227.25pt;height:38.25pt" o:ole="">
                  <v:imagedata r:id="rId73" o:title=""/>
                </v:shape>
                <o:OLEObject Type="Embed" ProgID="Equation.3" ShapeID="_x0000_i1055" DrawAspect="Content" ObjectID="_1396445708" r:id="rId74"/>
              </w:object>
            </w:r>
          </w:p>
        </w:tc>
        <w:tc>
          <w:tcPr>
            <w:tcW w:w="1082" w:type="dxa"/>
          </w:tcPr>
          <w:p w:rsidR="00FE5D7B" w:rsidRDefault="005005DC" w:rsidP="00C41698">
            <w:pPr>
              <w:spacing w:before="480"/>
              <w:ind w:firstLine="0"/>
              <w:jc w:val="right"/>
              <w:rPr>
                <w:lang w:val="en-US"/>
              </w:rPr>
            </w:pPr>
            <w:r w:rsidRPr="00E723C2">
              <w:rPr>
                <w:lang w:val="en-US"/>
              </w:rPr>
              <w:t>(</w:t>
            </w:r>
            <w:r w:rsidR="00C0615A" w:rsidRPr="00C0615A">
              <w:rPr>
                <w:lang w:val="en-US"/>
              </w:rPr>
              <w:t>11)</w:t>
            </w:r>
          </w:p>
        </w:tc>
      </w:tr>
    </w:tbl>
    <w:p w:rsidR="0046347F" w:rsidRDefault="00336580">
      <w:pPr>
        <w:spacing w:before="0"/>
        <w:ind w:firstLine="0"/>
        <w:rPr>
          <w:lang w:val="en-US"/>
        </w:rPr>
      </w:pPr>
      <w:r w:rsidRPr="00E723C2">
        <w:rPr>
          <w:lang w:val="en-US"/>
        </w:rPr>
        <w:t>In Equation (</w:t>
      </w:r>
      <w:r w:rsidR="00E84875" w:rsidRPr="00E723C2">
        <w:rPr>
          <w:lang w:val="en-US"/>
        </w:rPr>
        <w:t>11</w:t>
      </w:r>
      <w:r w:rsidR="00C0615A" w:rsidRPr="00C0615A">
        <w:rPr>
          <w:lang w:val="en-US"/>
        </w:rPr>
        <w:t>)</w:t>
      </w:r>
      <w:r w:rsidR="009C20EE">
        <w:rPr>
          <w:lang w:val="en-US"/>
        </w:rPr>
        <w:t xml:space="preserve">: </w:t>
      </w:r>
      <w:r w:rsidR="00C0615A" w:rsidRPr="00C0615A">
        <w:rPr>
          <w:rFonts w:ascii="Symbol" w:hAnsi="Symbol"/>
          <w:i/>
          <w:lang w:val="en-US"/>
        </w:rPr>
        <w:t></w:t>
      </w:r>
      <w:proofErr w:type="spellStart"/>
      <w:r w:rsidR="00687845">
        <w:rPr>
          <w:i/>
          <w:vertAlign w:val="subscript"/>
          <w:lang w:val="en-US"/>
        </w:rPr>
        <w:t>i,t</w:t>
      </w:r>
      <w:proofErr w:type="spellEnd"/>
      <w:r w:rsidR="00C0615A" w:rsidRPr="00C0615A">
        <w:rPr>
          <w:lang w:val="en-US"/>
        </w:rPr>
        <w:t xml:space="preserve"> denotes the price range calculated as the difference between the highest and lowest price</w:t>
      </w:r>
      <w:r w:rsidR="009C20EE">
        <w:rPr>
          <w:lang w:val="en-US"/>
        </w:rPr>
        <w:t xml:space="preserve">, </w:t>
      </w:r>
      <w:r w:rsidR="00C0615A" w:rsidRPr="00C0615A">
        <w:rPr>
          <w:lang w:val="en-US"/>
        </w:rPr>
        <w:t xml:space="preserve">divided by the lowest price during day </w:t>
      </w:r>
      <w:r w:rsidR="00C0615A" w:rsidRPr="00C0615A">
        <w:rPr>
          <w:i/>
          <w:lang w:val="en-US"/>
        </w:rPr>
        <w:t>t</w:t>
      </w:r>
      <w:r w:rsidR="00C0615A" w:rsidRPr="00C0615A">
        <w:rPr>
          <w:lang w:val="en-US"/>
        </w:rPr>
        <w:t xml:space="preserve"> for stock </w:t>
      </w:r>
      <w:proofErr w:type="spellStart"/>
      <w:r w:rsidR="00C0615A" w:rsidRPr="00C0615A">
        <w:rPr>
          <w:i/>
          <w:lang w:val="en-US"/>
        </w:rPr>
        <w:t>i</w:t>
      </w:r>
      <w:proofErr w:type="spellEnd"/>
      <w:r w:rsidR="00C0615A" w:rsidRPr="00C0615A">
        <w:rPr>
          <w:lang w:val="en-US"/>
        </w:rPr>
        <w:t>;</w:t>
      </w:r>
      <w:r w:rsidR="009C20EE">
        <w:rPr>
          <w:lang w:val="en-US"/>
        </w:rPr>
        <w:t xml:space="preserve"> </w:t>
      </w:r>
      <w:proofErr w:type="spellStart"/>
      <w:r w:rsidR="00C0615A" w:rsidRPr="00C0615A">
        <w:rPr>
          <w:lang w:val="en-US"/>
        </w:rPr>
        <w:t>ln</w:t>
      </w:r>
      <w:r w:rsidR="00C0615A" w:rsidRPr="00C0615A">
        <w:rPr>
          <w:i/>
          <w:lang w:val="en-US"/>
        </w:rPr>
        <w:t>V</w:t>
      </w:r>
      <w:r w:rsidR="00687845">
        <w:rPr>
          <w:i/>
          <w:vertAlign w:val="subscript"/>
          <w:lang w:val="en-US"/>
        </w:rPr>
        <w:t>i,t</w:t>
      </w:r>
      <w:proofErr w:type="spellEnd"/>
      <w:r w:rsidR="00C0615A" w:rsidRPr="00C0615A">
        <w:rPr>
          <w:lang w:val="en-US"/>
        </w:rPr>
        <w:t xml:space="preserve"> is the logarithm of the euro volume traded on stock </w:t>
      </w:r>
      <w:proofErr w:type="spellStart"/>
      <w:r w:rsidR="00C0615A" w:rsidRPr="00C0615A">
        <w:rPr>
          <w:i/>
          <w:lang w:val="en-US"/>
        </w:rPr>
        <w:t>i</w:t>
      </w:r>
      <w:proofErr w:type="spellEnd"/>
      <w:r w:rsidR="00C0615A" w:rsidRPr="00C0615A">
        <w:rPr>
          <w:lang w:val="en-US"/>
        </w:rPr>
        <w:t xml:space="preserve"> at date </w:t>
      </w:r>
      <w:r w:rsidR="00C0615A" w:rsidRPr="00C0615A">
        <w:rPr>
          <w:i/>
          <w:lang w:val="en-US"/>
        </w:rPr>
        <w:t>t</w:t>
      </w:r>
      <w:r w:rsidR="00C0615A" w:rsidRPr="00C0615A">
        <w:rPr>
          <w:lang w:val="en-US"/>
        </w:rPr>
        <w:t>;</w:t>
      </w:r>
      <w:r w:rsidR="009C20EE">
        <w:rPr>
          <w:lang w:val="en-US"/>
        </w:rPr>
        <w:t xml:space="preserve"> </w:t>
      </w:r>
      <w:proofErr w:type="spellStart"/>
      <w:r w:rsidR="00C0615A" w:rsidRPr="00C0615A">
        <w:rPr>
          <w:lang w:val="en-US"/>
        </w:rPr>
        <w:t>ln</w:t>
      </w:r>
      <w:r w:rsidR="00C0615A" w:rsidRPr="00C0615A">
        <w:rPr>
          <w:i/>
          <w:lang w:val="en-US"/>
        </w:rPr>
        <w:t>P</w:t>
      </w:r>
      <w:r w:rsidR="00687845">
        <w:rPr>
          <w:i/>
          <w:vertAlign w:val="subscript"/>
          <w:lang w:val="en-US"/>
        </w:rPr>
        <w:t>i,t</w:t>
      </w:r>
      <w:proofErr w:type="spellEnd"/>
      <w:r w:rsidR="00C0615A" w:rsidRPr="00C0615A">
        <w:rPr>
          <w:lang w:val="en-US"/>
        </w:rPr>
        <w:t xml:space="preserve"> is the logarithm of stock </w:t>
      </w:r>
      <w:r w:rsidR="00C0615A" w:rsidRPr="00C0615A">
        <w:rPr>
          <w:i/>
          <w:lang w:val="en-US"/>
        </w:rPr>
        <w:t>i</w:t>
      </w:r>
      <w:r w:rsidR="00C0615A" w:rsidRPr="00C0615A">
        <w:rPr>
          <w:lang w:val="en-US"/>
        </w:rPr>
        <w:t xml:space="preserve">’s open price on day </w:t>
      </w:r>
      <w:r w:rsidR="00C0615A" w:rsidRPr="00C0615A">
        <w:rPr>
          <w:i/>
          <w:lang w:val="en-US"/>
        </w:rPr>
        <w:t>t</w:t>
      </w:r>
      <w:r w:rsidR="00C0615A" w:rsidRPr="00C0615A">
        <w:rPr>
          <w:lang w:val="en-US"/>
        </w:rPr>
        <w:t>;</w:t>
      </w:r>
      <w:r w:rsidR="009C20EE">
        <w:rPr>
          <w:lang w:val="en-US"/>
        </w:rPr>
        <w:t xml:space="preserve"> </w:t>
      </w:r>
      <w:proofErr w:type="spellStart"/>
      <w:r w:rsidR="00C0615A" w:rsidRPr="00C0615A">
        <w:rPr>
          <w:i/>
          <w:lang w:val="en-US"/>
        </w:rPr>
        <w:t>OIB</w:t>
      </w:r>
      <w:r w:rsidR="00687845">
        <w:rPr>
          <w:i/>
          <w:vertAlign w:val="subscript"/>
          <w:lang w:val="en-US"/>
        </w:rPr>
        <w:t>i,t</w:t>
      </w:r>
      <w:proofErr w:type="spellEnd"/>
      <w:r w:rsidR="00C0615A" w:rsidRPr="00C0615A">
        <w:rPr>
          <w:lang w:val="en-US"/>
        </w:rPr>
        <w:t xml:space="preserve"> is the absolute value of the difference between sell trade volumes and buy trade volumes </w:t>
      </w:r>
      <w:r w:rsidR="009C20EE">
        <w:rPr>
          <w:lang w:val="en-US"/>
        </w:rPr>
        <w:t xml:space="preserve">as a proportion of </w:t>
      </w:r>
      <w:r w:rsidR="00C0615A" w:rsidRPr="00C0615A">
        <w:rPr>
          <w:lang w:val="en-US"/>
        </w:rPr>
        <w:t xml:space="preserve">the total trade volume for stock </w:t>
      </w:r>
      <w:proofErr w:type="spellStart"/>
      <w:r w:rsidR="00C0615A" w:rsidRPr="00C0615A">
        <w:rPr>
          <w:i/>
          <w:lang w:val="en-US"/>
        </w:rPr>
        <w:t>i</w:t>
      </w:r>
      <w:proofErr w:type="spellEnd"/>
      <w:r w:rsidR="00C0615A" w:rsidRPr="00C0615A">
        <w:rPr>
          <w:lang w:val="en-US"/>
        </w:rPr>
        <w:t xml:space="preserve"> on day </w:t>
      </w:r>
      <w:r w:rsidR="00C0615A" w:rsidRPr="00C0615A">
        <w:rPr>
          <w:i/>
          <w:lang w:val="en-US"/>
        </w:rPr>
        <w:t>t</w:t>
      </w:r>
      <w:r w:rsidR="00C0615A" w:rsidRPr="00C0615A">
        <w:rPr>
          <w:lang w:val="en-US"/>
        </w:rPr>
        <w:t>;</w:t>
      </w:r>
      <w:r w:rsidR="009C20EE">
        <w:rPr>
          <w:lang w:val="en-US"/>
        </w:rPr>
        <w:t xml:space="preserve"> </w:t>
      </w:r>
      <w:proofErr w:type="spellStart"/>
      <w:r w:rsidR="00C0615A" w:rsidRPr="00C0615A">
        <w:rPr>
          <w:i/>
          <w:lang w:val="en-US"/>
        </w:rPr>
        <w:t>ETF</w:t>
      </w:r>
      <w:r w:rsidR="00687845">
        <w:rPr>
          <w:i/>
          <w:vertAlign w:val="subscript"/>
          <w:lang w:val="en-US"/>
        </w:rPr>
        <w:t>t</w:t>
      </w:r>
      <w:proofErr w:type="spellEnd"/>
      <w:r w:rsidR="00C0615A" w:rsidRPr="00C0615A">
        <w:rPr>
          <w:lang w:val="en-US"/>
        </w:rPr>
        <w:t xml:space="preserve"> is a dummy variable that </w:t>
      </w:r>
      <w:r w:rsidR="009C20EE">
        <w:rPr>
          <w:lang w:val="en-US"/>
        </w:rPr>
        <w:t xml:space="preserve">is set to </w:t>
      </w:r>
      <w:r w:rsidR="00C0615A" w:rsidRPr="00C0615A">
        <w:rPr>
          <w:lang w:val="en-US"/>
        </w:rPr>
        <w:t xml:space="preserve">0 on dates preceding the introduction </w:t>
      </w:r>
      <w:r w:rsidR="009C20EE">
        <w:rPr>
          <w:lang w:val="en-US"/>
        </w:rPr>
        <w:t xml:space="preserve">of the ETF </w:t>
      </w:r>
      <w:r w:rsidR="00C0615A" w:rsidRPr="00C0615A">
        <w:rPr>
          <w:lang w:val="en-US"/>
        </w:rPr>
        <w:t>and 1 on later dates;</w:t>
      </w:r>
      <w:r w:rsidR="009C20EE">
        <w:rPr>
          <w:i/>
          <w:lang w:val="en-US"/>
        </w:rPr>
        <w:t xml:space="preserve"> </w:t>
      </w:r>
      <w:r w:rsidR="00C0615A" w:rsidRPr="00C0615A">
        <w:rPr>
          <w:i/>
          <w:lang w:val="en-US"/>
        </w:rPr>
        <w:t>CAC</w:t>
      </w:r>
      <w:r w:rsidR="00C0615A" w:rsidRPr="00C0615A">
        <w:rPr>
          <w:lang w:val="en-US"/>
        </w:rPr>
        <w:t>40</w:t>
      </w:r>
      <w:r w:rsidR="00687845">
        <w:rPr>
          <w:i/>
          <w:vertAlign w:val="subscript"/>
          <w:lang w:val="en-US"/>
        </w:rPr>
        <w:t>i</w:t>
      </w:r>
      <w:r w:rsidR="00C0615A" w:rsidRPr="00C0615A">
        <w:rPr>
          <w:lang w:val="en-US"/>
        </w:rPr>
        <w:t xml:space="preserve"> is a binary variable that </w:t>
      </w:r>
      <w:r w:rsidR="009C20EE">
        <w:rPr>
          <w:lang w:val="en-US"/>
        </w:rPr>
        <w:t xml:space="preserve">is set to </w:t>
      </w:r>
      <w:r w:rsidR="00C0615A" w:rsidRPr="00C0615A">
        <w:rPr>
          <w:lang w:val="en-US"/>
        </w:rPr>
        <w:t xml:space="preserve">1 if stock </w:t>
      </w:r>
      <w:proofErr w:type="spellStart"/>
      <w:r w:rsidR="00C0615A" w:rsidRPr="00C0615A">
        <w:rPr>
          <w:i/>
          <w:lang w:val="en-US"/>
        </w:rPr>
        <w:t>i</w:t>
      </w:r>
      <w:proofErr w:type="spellEnd"/>
      <w:r w:rsidR="00C0615A" w:rsidRPr="00C0615A">
        <w:rPr>
          <w:lang w:val="en-US"/>
        </w:rPr>
        <w:t xml:space="preserve"> belongs to the CAC 40 index,</w:t>
      </w:r>
      <w:r w:rsidR="009C20EE">
        <w:rPr>
          <w:lang w:val="en-US"/>
        </w:rPr>
        <w:t xml:space="preserve"> and </w:t>
      </w:r>
      <w:r w:rsidR="00C0615A" w:rsidRPr="00C0615A">
        <w:rPr>
          <w:lang w:val="en-US"/>
        </w:rPr>
        <w:t>0 otherwise;</w:t>
      </w:r>
      <w:r w:rsidR="009C20EE">
        <w:rPr>
          <w:lang w:val="en-US"/>
        </w:rPr>
        <w:t xml:space="preserve"> </w:t>
      </w:r>
      <w:proofErr w:type="spellStart"/>
      <w:r w:rsidR="00C0615A" w:rsidRPr="00C0615A">
        <w:rPr>
          <w:i/>
          <w:lang w:val="en-US"/>
        </w:rPr>
        <w:t>w</w:t>
      </w:r>
      <w:r w:rsidR="00687845">
        <w:rPr>
          <w:i/>
          <w:vertAlign w:val="subscript"/>
          <w:lang w:val="en-US"/>
        </w:rPr>
        <w:t>i</w:t>
      </w:r>
      <w:proofErr w:type="spellEnd"/>
      <w:r w:rsidR="00C0615A" w:rsidRPr="00C0615A">
        <w:rPr>
          <w:lang w:val="en-US"/>
        </w:rPr>
        <w:t xml:space="preserve"> is the weight of stock </w:t>
      </w:r>
      <w:proofErr w:type="spellStart"/>
      <w:r w:rsidR="00C0615A" w:rsidRPr="00C0615A">
        <w:rPr>
          <w:i/>
          <w:lang w:val="en-US"/>
        </w:rPr>
        <w:t>i</w:t>
      </w:r>
      <w:proofErr w:type="spellEnd"/>
      <w:r w:rsidR="00C0615A" w:rsidRPr="00C0615A">
        <w:rPr>
          <w:lang w:val="en-US"/>
        </w:rPr>
        <w:t xml:space="preserve"> in the CAC 40 index </w:t>
      </w:r>
      <w:r w:rsidR="007D4A5B">
        <w:rPr>
          <w:lang w:val="en-US"/>
        </w:rPr>
        <w:t xml:space="preserve">expressed as a decimal </w:t>
      </w:r>
      <w:r w:rsidR="00C0615A" w:rsidRPr="00C0615A">
        <w:rPr>
          <w:lang w:val="en-US"/>
        </w:rPr>
        <w:t xml:space="preserve">at the ETF </w:t>
      </w:r>
      <w:r w:rsidR="002C1140">
        <w:rPr>
          <w:lang w:val="en-US"/>
        </w:rPr>
        <w:t>incep</w:t>
      </w:r>
      <w:r w:rsidR="009C20EE">
        <w:rPr>
          <w:lang w:val="en-US"/>
        </w:rPr>
        <w:t xml:space="preserve">tion </w:t>
      </w:r>
      <w:r w:rsidR="00C0615A" w:rsidRPr="00C0615A">
        <w:rPr>
          <w:lang w:val="en-US"/>
        </w:rPr>
        <w:t xml:space="preserve">date when </w:t>
      </w:r>
      <w:proofErr w:type="spellStart"/>
      <w:r w:rsidR="00C0615A" w:rsidRPr="00C0615A">
        <w:rPr>
          <w:i/>
          <w:lang w:val="en-US"/>
        </w:rPr>
        <w:t>i</w:t>
      </w:r>
      <w:proofErr w:type="spellEnd"/>
      <w:r w:rsidR="00C0615A" w:rsidRPr="00C0615A">
        <w:rPr>
          <w:lang w:val="en-US"/>
        </w:rPr>
        <w:t xml:space="preserve"> is a CAC 40 stock, 0 otherwise;</w:t>
      </w:r>
      <w:r w:rsidR="009C20EE">
        <w:rPr>
          <w:lang w:val="en-US"/>
        </w:rPr>
        <w:t xml:space="preserve"> </w:t>
      </w:r>
      <w:r w:rsidR="00E84875" w:rsidRPr="00E723C2">
        <w:rPr>
          <w:position w:val="-14"/>
          <w:lang w:val="en-US"/>
        </w:rPr>
        <w:object w:dxaOrig="1900" w:dyaOrig="380">
          <v:shape id="_x0000_i1056" type="#_x0000_t75" style="width:95.25pt;height:18.75pt" o:ole="">
            <v:imagedata r:id="rId75" o:title=""/>
          </v:shape>
          <o:OLEObject Type="Embed" ProgID="Equation.3" ShapeID="_x0000_i1056" DrawAspect="Content" ObjectID="_1396445709" r:id="rId76"/>
        </w:object>
      </w:r>
      <w:r w:rsidRPr="00E723C2">
        <w:rPr>
          <w:lang w:val="en-US"/>
        </w:rPr>
        <w:t xml:space="preserve"> is an auto-correlated residual term</w:t>
      </w:r>
      <w:r w:rsidR="00F85EB6" w:rsidRPr="00E723C2">
        <w:rPr>
          <w:rStyle w:val="Appelnotedebasdep"/>
          <w:lang w:val="en-US"/>
        </w:rPr>
        <w:footnoteReference w:id="20"/>
      </w:r>
      <w:r w:rsidRPr="00E723C2">
        <w:rPr>
          <w:lang w:val="en-US"/>
        </w:rPr>
        <w:t xml:space="preserve"> in which the </w:t>
      </w:r>
      <w:r w:rsidRPr="00E723C2">
        <w:rPr>
          <w:rFonts w:ascii="Symbol" w:hAnsi="Symbol"/>
          <w:i/>
          <w:lang w:val="en-US"/>
        </w:rPr>
        <w:t></w:t>
      </w:r>
      <w:proofErr w:type="spellStart"/>
      <w:r w:rsidR="00687845">
        <w:rPr>
          <w:i/>
          <w:vertAlign w:val="subscript"/>
          <w:lang w:val="en-US"/>
        </w:rPr>
        <w:t>i</w:t>
      </w:r>
      <w:proofErr w:type="spellEnd"/>
      <w:r w:rsidR="00C0615A" w:rsidRPr="00C0615A">
        <w:rPr>
          <w:lang w:val="en-US"/>
        </w:rPr>
        <w:t xml:space="preserve"> coefficient is fixed per </w:t>
      </w:r>
      <w:r w:rsidR="00DE5191">
        <w:rPr>
          <w:lang w:val="en-US"/>
        </w:rPr>
        <w:t>stock</w:t>
      </w:r>
      <w:r w:rsidR="00C0615A" w:rsidRPr="00C0615A">
        <w:rPr>
          <w:lang w:val="en-US"/>
        </w:rPr>
        <w:t xml:space="preserve"> and </w:t>
      </w:r>
      <w:r w:rsidR="00E84875" w:rsidRPr="00E723C2">
        <w:rPr>
          <w:position w:val="-14"/>
          <w:lang w:val="en-US"/>
        </w:rPr>
        <w:object w:dxaOrig="2420" w:dyaOrig="380">
          <v:shape id="_x0000_i1057" type="#_x0000_t75" style="width:120.75pt;height:18.75pt" o:ole="">
            <v:imagedata r:id="rId77" o:title=""/>
          </v:shape>
          <o:OLEObject Type="Embed" ProgID="Equation.3" ShapeID="_x0000_i1057" DrawAspect="Content" ObjectID="_1396445710" r:id="rId78"/>
        </w:object>
      </w:r>
      <w:r w:rsidRPr="00E723C2">
        <w:rPr>
          <w:lang w:val="en-US"/>
        </w:rPr>
        <w:t>.</w:t>
      </w:r>
      <w:r w:rsidR="00483ACE">
        <w:rPr>
          <w:lang w:val="en-US"/>
        </w:rPr>
        <w:t xml:space="preserve">  The Parks regression method also accounts for </w:t>
      </w:r>
      <w:proofErr w:type="spellStart"/>
      <w:r w:rsidR="00483ACE">
        <w:rPr>
          <w:lang w:val="en-US"/>
        </w:rPr>
        <w:t>heteroscedasticity</w:t>
      </w:r>
      <w:proofErr w:type="spellEnd"/>
      <w:r w:rsidR="00483ACE">
        <w:rPr>
          <w:lang w:val="en-US"/>
        </w:rPr>
        <w:t xml:space="preserve"> (</w:t>
      </w:r>
      <w:r w:rsidR="00E401A4" w:rsidRPr="00483ACE">
        <w:rPr>
          <w:position w:val="-14"/>
          <w:lang w:val="en-US"/>
        </w:rPr>
        <w:object w:dxaOrig="1200" w:dyaOrig="440">
          <v:shape id="_x0000_i1058" type="#_x0000_t75" style="width:60pt;height:21.75pt" o:ole="">
            <v:imagedata r:id="rId79" o:title=""/>
          </v:shape>
          <o:OLEObject Type="Embed" ProgID="Equation.3" ShapeID="_x0000_i1058" DrawAspect="Content" ObjectID="_1396445711" r:id="rId80"/>
        </w:object>
      </w:r>
      <w:r w:rsidR="00483ACE">
        <w:rPr>
          <w:lang w:val="en-US"/>
        </w:rPr>
        <w:t xml:space="preserve">) and contemporaneous correlation </w:t>
      </w:r>
      <w:r w:rsidR="00E401A4">
        <w:rPr>
          <w:lang w:val="en-US"/>
        </w:rPr>
        <w:t>(</w:t>
      </w:r>
      <w:r w:rsidR="00E401A4" w:rsidRPr="00E401A4">
        <w:rPr>
          <w:position w:val="-16"/>
          <w:lang w:val="en-US"/>
        </w:rPr>
        <w:object w:dxaOrig="1540" w:dyaOrig="460">
          <v:shape id="_x0000_i1059" type="#_x0000_t75" style="width:76.5pt;height:22.5pt" o:ole="">
            <v:imagedata r:id="rId81" o:title=""/>
          </v:shape>
          <o:OLEObject Type="Embed" ProgID="Equation.3" ShapeID="_x0000_i1059" DrawAspect="Content" ObjectID="_1396445712" r:id="rId82"/>
        </w:object>
      </w:r>
      <w:r w:rsidR="00E401A4">
        <w:rPr>
          <w:lang w:val="en-US"/>
        </w:rPr>
        <w:t>).</w:t>
      </w:r>
    </w:p>
    <w:p w:rsidR="0046347F" w:rsidRDefault="00503EC0">
      <w:pPr>
        <w:spacing w:before="0"/>
        <w:ind w:firstLine="708"/>
        <w:rPr>
          <w:lang w:val="en-US"/>
        </w:rPr>
      </w:pPr>
      <w:r>
        <w:rPr>
          <w:lang w:val="en-US"/>
        </w:rPr>
        <w:lastRenderedPageBreak/>
        <w:t>Regression model</w:t>
      </w:r>
      <w:r w:rsidR="009C20EE">
        <w:rPr>
          <w:lang w:val="en-US"/>
        </w:rPr>
        <w:t xml:space="preserve"> </w:t>
      </w:r>
      <w:r w:rsidR="00C0615A" w:rsidRPr="00C0615A">
        <w:rPr>
          <w:lang w:val="en-US"/>
        </w:rPr>
        <w:t xml:space="preserve">(11) is then refined by combining each control variable with the </w:t>
      </w:r>
      <w:proofErr w:type="spellStart"/>
      <w:r w:rsidR="00C0615A" w:rsidRPr="00C0615A">
        <w:rPr>
          <w:i/>
          <w:lang w:val="en-US"/>
        </w:rPr>
        <w:t>ETF</w:t>
      </w:r>
      <w:r w:rsidR="00687845">
        <w:rPr>
          <w:i/>
          <w:vertAlign w:val="subscript"/>
          <w:lang w:val="en-US"/>
        </w:rPr>
        <w:t>t</w:t>
      </w:r>
      <w:proofErr w:type="spellEnd"/>
      <w:r w:rsidR="00687845">
        <w:rPr>
          <w:i/>
          <w:vertAlign w:val="subscript"/>
          <w:lang w:val="en-US"/>
        </w:rPr>
        <w:t xml:space="preserve"> </w:t>
      </w:r>
      <w:r w:rsidR="00C36EF8" w:rsidRPr="00C36EF8">
        <w:rPr>
          <w:lang w:val="en-US"/>
        </w:rPr>
        <w:t>binary variable</w:t>
      </w:r>
      <w:r w:rsidR="00E401A4">
        <w:rPr>
          <w:lang w:val="en-US"/>
        </w:rPr>
        <w:t xml:space="preserve">, </w:t>
      </w:r>
      <w:r w:rsidR="00E401A4" w:rsidRPr="00C0615A">
        <w:rPr>
          <w:lang w:val="en-US"/>
        </w:rPr>
        <w:t xml:space="preserve">the </w:t>
      </w:r>
      <w:r w:rsidR="00E401A4">
        <w:rPr>
          <w:i/>
          <w:lang w:val="en-US"/>
        </w:rPr>
        <w:t>CAC</w:t>
      </w:r>
      <w:r w:rsidR="001347DF" w:rsidRPr="001347DF">
        <w:rPr>
          <w:lang w:val="en-US"/>
        </w:rPr>
        <w:t>40</w:t>
      </w:r>
      <w:r w:rsidR="00E401A4">
        <w:rPr>
          <w:i/>
          <w:vertAlign w:val="subscript"/>
          <w:lang w:val="en-US"/>
        </w:rPr>
        <w:t xml:space="preserve">i </w:t>
      </w:r>
      <w:r w:rsidR="00E401A4" w:rsidRPr="00C36EF8">
        <w:rPr>
          <w:lang w:val="en-US"/>
        </w:rPr>
        <w:t>binary variable</w:t>
      </w:r>
      <w:r w:rsidR="00E401A4">
        <w:rPr>
          <w:lang w:val="en-US"/>
        </w:rPr>
        <w:t>,</w:t>
      </w:r>
      <w:r w:rsidR="00C36EF8" w:rsidRPr="00C36EF8">
        <w:rPr>
          <w:lang w:val="en-US"/>
        </w:rPr>
        <w:t xml:space="preserve"> and the </w:t>
      </w:r>
      <w:r w:rsidR="00973716" w:rsidRPr="00E723C2">
        <w:rPr>
          <w:position w:val="-12"/>
          <w:lang w:val="en-US"/>
        </w:rPr>
        <w:object w:dxaOrig="1579" w:dyaOrig="360">
          <v:shape id="_x0000_i1060" type="#_x0000_t75" style="width:78.75pt;height:18.75pt" o:ole="">
            <v:imagedata r:id="rId83" o:title=""/>
          </v:shape>
          <o:OLEObject Type="Embed" ProgID="Equation.3" ShapeID="_x0000_i1060" DrawAspect="Content" ObjectID="_1396445713" r:id="rId84"/>
        </w:object>
      </w:r>
      <w:r w:rsidR="00C36EF8" w:rsidRPr="00C36EF8">
        <w:rPr>
          <w:lang w:val="en-US"/>
        </w:rPr>
        <w:t xml:space="preserve"> dummy product in the following way:</w:t>
      </w:r>
    </w:p>
    <w:tbl>
      <w:tblPr>
        <w:tblW w:w="9290" w:type="dxa"/>
        <w:tblLook w:val="01E0" w:firstRow="1" w:lastRow="1" w:firstColumn="1" w:lastColumn="1" w:noHBand="0" w:noVBand="0"/>
      </w:tblPr>
      <w:tblGrid>
        <w:gridCol w:w="8748"/>
        <w:gridCol w:w="616"/>
      </w:tblGrid>
      <w:tr w:rsidR="00973716" w:rsidRPr="00E723C2" w:rsidTr="00C911A2">
        <w:tc>
          <w:tcPr>
            <w:tcW w:w="8208" w:type="dxa"/>
          </w:tcPr>
          <w:p w:rsidR="00FE5D7B" w:rsidRDefault="003D3304">
            <w:pPr>
              <w:ind w:firstLine="0"/>
              <w:jc w:val="center"/>
              <w:rPr>
                <w:lang w:val="en-US"/>
              </w:rPr>
            </w:pPr>
            <w:r w:rsidRPr="00E723C2">
              <w:rPr>
                <w:position w:val="-92"/>
                <w:lang w:val="en-US"/>
              </w:rPr>
              <w:object w:dxaOrig="8600" w:dyaOrig="1939">
                <v:shape id="_x0000_i1061" type="#_x0000_t75" style="width:426.75pt;height:96.75pt" o:ole="">
                  <v:imagedata r:id="rId85" o:title=""/>
                </v:shape>
                <o:OLEObject Type="Embed" ProgID="Equation.3" ShapeID="_x0000_i1061" DrawAspect="Content" ObjectID="_1396445714" r:id="rId86"/>
              </w:object>
            </w:r>
          </w:p>
        </w:tc>
        <w:tc>
          <w:tcPr>
            <w:tcW w:w="1082" w:type="dxa"/>
            <w:vAlign w:val="bottom"/>
          </w:tcPr>
          <w:p w:rsidR="00F426D0" w:rsidRDefault="00973716">
            <w:pPr>
              <w:ind w:firstLine="0"/>
              <w:jc w:val="right"/>
              <w:rPr>
                <w:lang w:val="en-US"/>
              </w:rPr>
            </w:pPr>
            <w:r w:rsidRPr="00E723C2">
              <w:rPr>
                <w:lang w:val="en-US"/>
              </w:rPr>
              <w:t>(</w:t>
            </w:r>
            <w:r w:rsidR="00C0615A" w:rsidRPr="00C0615A">
              <w:rPr>
                <w:lang w:val="en-US"/>
              </w:rPr>
              <w:t>12)</w:t>
            </w:r>
          </w:p>
        </w:tc>
      </w:tr>
    </w:tbl>
    <w:p w:rsidR="00FE5D7B" w:rsidRDefault="004051CD">
      <w:pPr>
        <w:ind w:firstLine="0"/>
        <w:rPr>
          <w:lang w:val="en-US"/>
        </w:rPr>
      </w:pPr>
      <w:r>
        <w:rPr>
          <w:lang w:val="en-US"/>
        </w:rPr>
        <w:t>Non-zero</w:t>
      </w:r>
      <w:r w:rsidR="00E401A4">
        <w:rPr>
          <w:lang w:val="en-US"/>
        </w:rPr>
        <w:t xml:space="preserve"> </w:t>
      </w:r>
      <w:r w:rsidR="00E401A4" w:rsidRPr="00E723C2">
        <w:rPr>
          <w:i/>
          <w:lang w:val="en-US"/>
        </w:rPr>
        <w:t>b</w:t>
      </w:r>
      <w:r w:rsidR="00E401A4">
        <w:rPr>
          <w:i/>
          <w:vertAlign w:val="subscript"/>
          <w:lang w:val="en-US"/>
        </w:rPr>
        <w:t>2</w:t>
      </w:r>
      <w:r w:rsidR="00E401A4" w:rsidRPr="00C0615A">
        <w:rPr>
          <w:lang w:val="en-US"/>
        </w:rPr>
        <w:t xml:space="preserve">, </w:t>
      </w:r>
      <w:r w:rsidR="00E401A4" w:rsidRPr="00C0615A">
        <w:rPr>
          <w:i/>
          <w:lang w:val="en-US"/>
        </w:rPr>
        <w:t>c</w:t>
      </w:r>
      <w:r w:rsidR="00E401A4">
        <w:rPr>
          <w:i/>
          <w:vertAlign w:val="subscript"/>
          <w:lang w:val="en-US"/>
        </w:rPr>
        <w:t>2</w:t>
      </w:r>
      <w:r w:rsidR="00E401A4" w:rsidRPr="00C0615A">
        <w:rPr>
          <w:lang w:val="en-US"/>
        </w:rPr>
        <w:t xml:space="preserve">, </w:t>
      </w:r>
      <w:r w:rsidR="00E401A4" w:rsidRPr="00C0615A">
        <w:rPr>
          <w:i/>
          <w:lang w:val="en-US"/>
        </w:rPr>
        <w:t>d</w:t>
      </w:r>
      <w:r w:rsidR="00E401A4">
        <w:rPr>
          <w:i/>
          <w:vertAlign w:val="subscript"/>
          <w:lang w:val="en-US"/>
        </w:rPr>
        <w:t>2</w:t>
      </w:r>
      <w:r w:rsidR="00E401A4" w:rsidRPr="00C0615A">
        <w:rPr>
          <w:lang w:val="en-US"/>
        </w:rPr>
        <w:t xml:space="preserve">, and </w:t>
      </w:r>
      <w:r w:rsidR="00E401A4" w:rsidRPr="00C0615A">
        <w:rPr>
          <w:i/>
          <w:lang w:val="en-US"/>
        </w:rPr>
        <w:t>e</w:t>
      </w:r>
      <w:r w:rsidR="00E401A4">
        <w:rPr>
          <w:i/>
          <w:vertAlign w:val="subscript"/>
          <w:lang w:val="en-US"/>
        </w:rPr>
        <w:t>2</w:t>
      </w:r>
      <w:r w:rsidR="00E401A4" w:rsidRPr="00C0615A">
        <w:rPr>
          <w:lang w:val="en-US"/>
        </w:rPr>
        <w:t xml:space="preserve"> </w:t>
      </w:r>
      <w:r>
        <w:rPr>
          <w:lang w:val="en-US"/>
        </w:rPr>
        <w:t xml:space="preserve">coefficients would indicate that the sensitivity of CAC 40 stocks to the controls differs from that of non-index stocks.  </w:t>
      </w:r>
      <w:r w:rsidR="00C911A2" w:rsidRPr="00E723C2">
        <w:rPr>
          <w:lang w:val="en-US"/>
        </w:rPr>
        <w:t xml:space="preserve">Coefficients </w:t>
      </w:r>
      <w:r w:rsidR="00E401A4" w:rsidRPr="00E723C2">
        <w:rPr>
          <w:i/>
          <w:lang w:val="en-US"/>
        </w:rPr>
        <w:t>b</w:t>
      </w:r>
      <w:r w:rsidR="00E401A4">
        <w:rPr>
          <w:i/>
          <w:vertAlign w:val="subscript"/>
          <w:lang w:val="en-US"/>
        </w:rPr>
        <w:t>3</w:t>
      </w:r>
      <w:r w:rsidR="00C0615A" w:rsidRPr="00C0615A">
        <w:rPr>
          <w:lang w:val="en-US"/>
        </w:rPr>
        <w:t xml:space="preserve">, </w:t>
      </w:r>
      <w:r w:rsidR="00E401A4" w:rsidRPr="00C0615A">
        <w:rPr>
          <w:i/>
          <w:lang w:val="en-US"/>
        </w:rPr>
        <w:t>c</w:t>
      </w:r>
      <w:r w:rsidR="00E401A4">
        <w:rPr>
          <w:i/>
          <w:vertAlign w:val="subscript"/>
          <w:lang w:val="en-US"/>
        </w:rPr>
        <w:t>3</w:t>
      </w:r>
      <w:r w:rsidR="00C0615A" w:rsidRPr="00C0615A">
        <w:rPr>
          <w:lang w:val="en-US"/>
        </w:rPr>
        <w:t xml:space="preserve">, </w:t>
      </w:r>
      <w:r w:rsidR="00E401A4" w:rsidRPr="00C0615A">
        <w:rPr>
          <w:i/>
          <w:lang w:val="en-US"/>
        </w:rPr>
        <w:t>d</w:t>
      </w:r>
      <w:r w:rsidR="00E401A4">
        <w:rPr>
          <w:i/>
          <w:vertAlign w:val="subscript"/>
          <w:lang w:val="en-US"/>
        </w:rPr>
        <w:t>3</w:t>
      </w:r>
      <w:r w:rsidR="00C0615A" w:rsidRPr="00C0615A">
        <w:rPr>
          <w:lang w:val="en-US"/>
        </w:rPr>
        <w:t xml:space="preserve">, and </w:t>
      </w:r>
      <w:r w:rsidR="00E401A4" w:rsidRPr="00C0615A">
        <w:rPr>
          <w:i/>
          <w:lang w:val="en-US"/>
        </w:rPr>
        <w:t>e</w:t>
      </w:r>
      <w:r w:rsidR="00E401A4">
        <w:rPr>
          <w:i/>
          <w:vertAlign w:val="subscript"/>
          <w:lang w:val="en-US"/>
        </w:rPr>
        <w:t>3</w:t>
      </w:r>
      <w:r w:rsidR="00E401A4" w:rsidRPr="00C0615A">
        <w:rPr>
          <w:lang w:val="en-US"/>
        </w:rPr>
        <w:t xml:space="preserve"> </w:t>
      </w:r>
      <w:r w:rsidR="00C0615A" w:rsidRPr="00C0615A">
        <w:rPr>
          <w:lang w:val="en-US"/>
        </w:rPr>
        <w:t>test for a potential change in the control</w:t>
      </w:r>
      <w:r w:rsidR="003F1C25">
        <w:rPr>
          <w:lang w:val="en-US"/>
        </w:rPr>
        <w:t xml:space="preserve"> </w:t>
      </w:r>
      <w:r w:rsidR="00C0615A" w:rsidRPr="00C0615A">
        <w:rPr>
          <w:lang w:val="en-US"/>
        </w:rPr>
        <w:t xml:space="preserve">variable coefficients in the post-ETF period for all stocks, while </w:t>
      </w:r>
      <w:r w:rsidR="00E401A4" w:rsidRPr="00C0615A">
        <w:rPr>
          <w:i/>
          <w:lang w:val="en-US"/>
        </w:rPr>
        <w:t>b</w:t>
      </w:r>
      <w:r w:rsidR="00E401A4">
        <w:rPr>
          <w:i/>
          <w:vertAlign w:val="subscript"/>
          <w:lang w:val="en-US"/>
        </w:rPr>
        <w:t>4</w:t>
      </w:r>
      <w:r w:rsidR="00C0615A" w:rsidRPr="00C0615A">
        <w:rPr>
          <w:lang w:val="en-US"/>
        </w:rPr>
        <w:t xml:space="preserve">, </w:t>
      </w:r>
      <w:r w:rsidR="00E401A4" w:rsidRPr="00C0615A">
        <w:rPr>
          <w:i/>
          <w:lang w:val="en-US"/>
        </w:rPr>
        <w:t>c</w:t>
      </w:r>
      <w:r w:rsidR="00E401A4">
        <w:rPr>
          <w:i/>
          <w:vertAlign w:val="subscript"/>
          <w:lang w:val="en-US"/>
        </w:rPr>
        <w:t>4</w:t>
      </w:r>
      <w:r w:rsidR="00C0615A" w:rsidRPr="00C0615A">
        <w:rPr>
          <w:lang w:val="en-US"/>
        </w:rPr>
        <w:t xml:space="preserve">, </w:t>
      </w:r>
      <w:r w:rsidR="00E401A4" w:rsidRPr="00C0615A">
        <w:rPr>
          <w:i/>
          <w:lang w:val="en-US"/>
        </w:rPr>
        <w:t>d</w:t>
      </w:r>
      <w:r w:rsidR="00E401A4">
        <w:rPr>
          <w:i/>
          <w:vertAlign w:val="subscript"/>
          <w:lang w:val="en-US"/>
        </w:rPr>
        <w:t>4</w:t>
      </w:r>
      <w:r w:rsidR="00C0615A" w:rsidRPr="00C0615A">
        <w:rPr>
          <w:lang w:val="en-US"/>
        </w:rPr>
        <w:t xml:space="preserve">, and </w:t>
      </w:r>
      <w:r w:rsidR="00E401A4" w:rsidRPr="00C0615A">
        <w:rPr>
          <w:i/>
          <w:lang w:val="en-US"/>
        </w:rPr>
        <w:t>e</w:t>
      </w:r>
      <w:r w:rsidR="00E401A4">
        <w:rPr>
          <w:i/>
          <w:vertAlign w:val="subscript"/>
          <w:lang w:val="en-US"/>
        </w:rPr>
        <w:t>4</w:t>
      </w:r>
      <w:r w:rsidR="00E401A4" w:rsidRPr="00C0615A">
        <w:rPr>
          <w:lang w:val="en-US"/>
        </w:rPr>
        <w:t xml:space="preserve"> </w:t>
      </w:r>
      <w:r w:rsidR="00C0615A" w:rsidRPr="00C0615A">
        <w:rPr>
          <w:lang w:val="en-US"/>
        </w:rPr>
        <w:t>test whether index stocks under</w:t>
      </w:r>
      <w:r w:rsidR="009C20EE">
        <w:rPr>
          <w:lang w:val="en-US"/>
        </w:rPr>
        <w:t>went</w:t>
      </w:r>
      <w:r w:rsidR="00C0615A" w:rsidRPr="00C0615A">
        <w:rPr>
          <w:lang w:val="en-US"/>
        </w:rPr>
        <w:t xml:space="preserve"> a specific change in these sensitivity coefficients in comparison with control stocks.</w:t>
      </w:r>
    </w:p>
    <w:p w:rsidR="00FE5D7B" w:rsidRDefault="00C0615A">
      <w:pPr>
        <w:rPr>
          <w:lang w:val="en-US"/>
        </w:rPr>
      </w:pPr>
      <w:r w:rsidRPr="00C0615A">
        <w:rPr>
          <w:lang w:val="en-US"/>
        </w:rPr>
        <w:t xml:space="preserve">According to H2a, the total value of </w:t>
      </w:r>
      <w:r w:rsidRPr="00C0615A">
        <w:rPr>
          <w:i/>
          <w:lang w:val="en-US"/>
        </w:rPr>
        <w:t>g</w:t>
      </w:r>
      <w:r w:rsidR="00802A41">
        <w:rPr>
          <w:i/>
          <w:lang w:val="en-US"/>
        </w:rPr>
        <w:t xml:space="preserve"> </w:t>
      </w:r>
      <w:r w:rsidRPr="00C0615A">
        <w:rPr>
          <w:lang w:val="en-US"/>
        </w:rPr>
        <w:t>+</w:t>
      </w:r>
      <w:r w:rsidR="00802A41">
        <w:rPr>
          <w:lang w:val="en-US"/>
        </w:rPr>
        <w:t xml:space="preserve"> </w:t>
      </w:r>
      <w:proofErr w:type="spellStart"/>
      <w:r w:rsidRPr="00C0615A">
        <w:rPr>
          <w:i/>
          <w:lang w:val="en-US"/>
        </w:rPr>
        <w:t>hw</w:t>
      </w:r>
      <w:r w:rsidR="00687845">
        <w:rPr>
          <w:i/>
          <w:vertAlign w:val="subscript"/>
          <w:lang w:val="en-US"/>
        </w:rPr>
        <w:t>i</w:t>
      </w:r>
      <w:proofErr w:type="spellEnd"/>
      <w:r w:rsidRPr="00C0615A">
        <w:rPr>
          <w:lang w:val="en-US"/>
        </w:rPr>
        <w:t xml:space="preserve"> should be significantly positive when </w:t>
      </w:r>
      <w:proofErr w:type="spellStart"/>
      <w:r w:rsidRPr="00C0615A">
        <w:rPr>
          <w:i/>
          <w:lang w:val="en-US"/>
        </w:rPr>
        <w:t>DV</w:t>
      </w:r>
      <w:r w:rsidR="00687845">
        <w:rPr>
          <w:i/>
          <w:vertAlign w:val="subscript"/>
          <w:lang w:val="en-US"/>
        </w:rPr>
        <w:t>it</w:t>
      </w:r>
      <w:proofErr w:type="spellEnd"/>
      <w:r w:rsidRPr="00C0615A">
        <w:rPr>
          <w:lang w:val="en-US"/>
        </w:rPr>
        <w:t xml:space="preserve"> is a spread measure and significantly negative when </w:t>
      </w:r>
      <w:proofErr w:type="spellStart"/>
      <w:r w:rsidRPr="00C0615A">
        <w:rPr>
          <w:i/>
          <w:lang w:val="en-US"/>
        </w:rPr>
        <w:t>DV</w:t>
      </w:r>
      <w:r w:rsidR="00687845">
        <w:rPr>
          <w:i/>
          <w:vertAlign w:val="subscript"/>
          <w:lang w:val="en-US"/>
        </w:rPr>
        <w:t>it</w:t>
      </w:r>
      <w:proofErr w:type="spellEnd"/>
      <w:r w:rsidRPr="00C0615A">
        <w:rPr>
          <w:lang w:val="en-US"/>
        </w:rPr>
        <w:t xml:space="preserve"> is the best-limit depth, whereas H2b predicts </w:t>
      </w:r>
      <w:r w:rsidR="00802A41">
        <w:rPr>
          <w:lang w:val="en-US"/>
        </w:rPr>
        <w:t xml:space="preserve">the </w:t>
      </w:r>
      <w:r w:rsidRPr="00C0615A">
        <w:rPr>
          <w:lang w:val="en-US"/>
        </w:rPr>
        <w:t xml:space="preserve">opposite.  </w:t>
      </w:r>
      <w:r w:rsidR="00802A41">
        <w:rPr>
          <w:lang w:val="en-US"/>
        </w:rPr>
        <w:t>F</w:t>
      </w:r>
      <w:r w:rsidRPr="00C0615A">
        <w:rPr>
          <w:lang w:val="en-US"/>
        </w:rPr>
        <w:t xml:space="preserve">inding a positive value for </w:t>
      </w:r>
      <w:r w:rsidRPr="00C0615A">
        <w:rPr>
          <w:i/>
          <w:lang w:val="en-US"/>
        </w:rPr>
        <w:t>g</w:t>
      </w:r>
      <w:r w:rsidR="00802A41">
        <w:rPr>
          <w:i/>
          <w:lang w:val="en-US"/>
        </w:rPr>
        <w:t xml:space="preserve"> </w:t>
      </w:r>
      <w:r w:rsidRPr="00C0615A">
        <w:rPr>
          <w:i/>
          <w:lang w:val="en-US"/>
        </w:rPr>
        <w:t>+</w:t>
      </w:r>
      <w:r w:rsidR="00802A41">
        <w:rPr>
          <w:i/>
          <w:lang w:val="en-US"/>
        </w:rPr>
        <w:t xml:space="preserve"> </w:t>
      </w:r>
      <w:proofErr w:type="spellStart"/>
      <w:r w:rsidRPr="00C0615A">
        <w:rPr>
          <w:i/>
          <w:lang w:val="en-US"/>
        </w:rPr>
        <w:t>hw</w:t>
      </w:r>
      <w:r w:rsidR="00687845">
        <w:rPr>
          <w:i/>
          <w:vertAlign w:val="subscript"/>
          <w:lang w:val="en-US"/>
        </w:rPr>
        <w:t>i</w:t>
      </w:r>
      <w:proofErr w:type="spellEnd"/>
      <w:r w:rsidRPr="00C0615A">
        <w:rPr>
          <w:lang w:val="en-US"/>
        </w:rPr>
        <w:t xml:space="preserve"> in the regressions of the price impact would support H3.  Finding that these positive values are, in addition, associated with a significantly negative value of </w:t>
      </w:r>
      <w:r w:rsidRPr="00C0615A">
        <w:rPr>
          <w:i/>
          <w:lang w:val="en-US"/>
        </w:rPr>
        <w:t>h</w:t>
      </w:r>
      <w:r w:rsidRPr="00C0615A">
        <w:rPr>
          <w:lang w:val="en-US"/>
        </w:rPr>
        <w:t xml:space="preserve"> would provide evidence for H4.  Regressions of variance ratios test H5: a significantly negative </w:t>
      </w:r>
      <w:r w:rsidRPr="00C0615A">
        <w:rPr>
          <w:i/>
          <w:lang w:val="en-US"/>
        </w:rPr>
        <w:t>g</w:t>
      </w:r>
      <w:r w:rsidRPr="00C0615A">
        <w:rPr>
          <w:lang w:val="en-US"/>
        </w:rPr>
        <w:t xml:space="preserve"> in th</w:t>
      </w:r>
      <w:r w:rsidR="00802A41">
        <w:rPr>
          <w:lang w:val="en-US"/>
        </w:rPr>
        <w:t>e</w:t>
      </w:r>
      <w:r w:rsidRPr="00C0615A">
        <w:rPr>
          <w:lang w:val="en-US"/>
        </w:rPr>
        <w:t xml:space="preserve">se regressions would indicate a price stabilization effect of the ETF introduction for underlying stocks and would support H5.  Finally, the value of </w:t>
      </w:r>
      <w:r w:rsidRPr="00C0615A">
        <w:rPr>
          <w:i/>
          <w:lang w:val="en-US"/>
        </w:rPr>
        <w:t>h</w:t>
      </w:r>
      <w:r w:rsidRPr="00C0615A">
        <w:rPr>
          <w:lang w:val="en-US"/>
        </w:rPr>
        <w:t xml:space="preserve"> coefficients in spread and depth regressions provides a statistical test for H6, which relates to the recognition hypothesis and predicts that the liquidity of small components of the CAC 40 index should improve more than that of large components.  The non</w:t>
      </w:r>
      <w:r w:rsidR="00802A41">
        <w:rPr>
          <w:lang w:val="en-US"/>
        </w:rPr>
        <w:t>-</w:t>
      </w:r>
      <w:r w:rsidRPr="00C0615A">
        <w:rPr>
          <w:lang w:val="en-US"/>
        </w:rPr>
        <w:t xml:space="preserve">rejection of H6 would rely on </w:t>
      </w:r>
      <w:proofErr w:type="gramStart"/>
      <w:r w:rsidR="00802A41">
        <w:rPr>
          <w:lang w:val="en-US"/>
        </w:rPr>
        <w:t xml:space="preserve">both </w:t>
      </w:r>
      <w:r w:rsidR="00952DF0">
        <w:rPr>
          <w:lang w:val="en-US"/>
        </w:rPr>
        <w:t>a</w:t>
      </w:r>
      <w:proofErr w:type="gramEnd"/>
      <w:r w:rsidR="00952DF0">
        <w:rPr>
          <w:lang w:val="en-US"/>
        </w:rPr>
        <w:t xml:space="preserve"> statistically negative </w:t>
      </w:r>
      <w:r w:rsidRPr="00C0615A">
        <w:rPr>
          <w:lang w:val="en-US"/>
        </w:rPr>
        <w:t xml:space="preserve">value of </w:t>
      </w:r>
      <w:r w:rsidR="00574E08" w:rsidRPr="00C0615A">
        <w:rPr>
          <w:i/>
          <w:lang w:val="en-US"/>
        </w:rPr>
        <w:t>g</w:t>
      </w:r>
      <w:r w:rsidR="00574E08">
        <w:rPr>
          <w:i/>
          <w:lang w:val="en-US"/>
        </w:rPr>
        <w:t xml:space="preserve"> </w:t>
      </w:r>
      <w:r w:rsidR="00574E08" w:rsidRPr="00C0615A">
        <w:rPr>
          <w:lang w:val="en-US"/>
        </w:rPr>
        <w:t>+</w:t>
      </w:r>
      <w:r w:rsidR="00574E08">
        <w:rPr>
          <w:lang w:val="en-US"/>
        </w:rPr>
        <w:t xml:space="preserve"> </w:t>
      </w:r>
      <w:proofErr w:type="spellStart"/>
      <w:r w:rsidR="00574E08" w:rsidRPr="00C0615A">
        <w:rPr>
          <w:i/>
          <w:lang w:val="en-US"/>
        </w:rPr>
        <w:t>hw</w:t>
      </w:r>
      <w:r w:rsidR="00574E08">
        <w:rPr>
          <w:i/>
          <w:vertAlign w:val="subscript"/>
          <w:lang w:val="en-US"/>
        </w:rPr>
        <w:t>i</w:t>
      </w:r>
      <w:proofErr w:type="spellEnd"/>
      <w:r w:rsidRPr="00C0615A">
        <w:rPr>
          <w:lang w:val="en-US"/>
        </w:rPr>
        <w:t xml:space="preserve"> </w:t>
      </w:r>
      <w:r w:rsidR="00802A41">
        <w:rPr>
          <w:lang w:val="en-US"/>
        </w:rPr>
        <w:t>plus</w:t>
      </w:r>
      <w:r w:rsidRPr="00C0615A">
        <w:rPr>
          <w:lang w:val="en-US"/>
        </w:rPr>
        <w:t xml:space="preserve"> a statistically positive value of </w:t>
      </w:r>
      <w:r w:rsidRPr="00C0615A">
        <w:rPr>
          <w:i/>
          <w:lang w:val="en-US"/>
        </w:rPr>
        <w:t>h</w:t>
      </w:r>
      <w:r w:rsidRPr="00C0615A">
        <w:rPr>
          <w:lang w:val="en-US"/>
        </w:rPr>
        <w:t xml:space="preserve"> in regressions of spreads</w:t>
      </w:r>
      <w:r w:rsidR="00802A41">
        <w:rPr>
          <w:lang w:val="en-US"/>
        </w:rPr>
        <w:t xml:space="preserve">, and a statistically positive value of </w:t>
      </w:r>
      <w:r w:rsidR="00574E08" w:rsidRPr="00C0615A">
        <w:rPr>
          <w:i/>
          <w:lang w:val="en-US"/>
        </w:rPr>
        <w:t>g</w:t>
      </w:r>
      <w:r w:rsidR="00574E08">
        <w:rPr>
          <w:i/>
          <w:lang w:val="en-US"/>
        </w:rPr>
        <w:t xml:space="preserve"> </w:t>
      </w:r>
      <w:r w:rsidR="00574E08" w:rsidRPr="00C0615A">
        <w:rPr>
          <w:lang w:val="en-US"/>
        </w:rPr>
        <w:t>+</w:t>
      </w:r>
      <w:r w:rsidR="00574E08">
        <w:rPr>
          <w:lang w:val="en-US"/>
        </w:rPr>
        <w:t xml:space="preserve"> </w:t>
      </w:r>
      <w:proofErr w:type="spellStart"/>
      <w:r w:rsidR="00574E08" w:rsidRPr="00C0615A">
        <w:rPr>
          <w:i/>
          <w:lang w:val="en-US"/>
        </w:rPr>
        <w:t>hw</w:t>
      </w:r>
      <w:r w:rsidR="00574E08">
        <w:rPr>
          <w:i/>
          <w:vertAlign w:val="subscript"/>
          <w:lang w:val="en-US"/>
        </w:rPr>
        <w:t>i</w:t>
      </w:r>
      <w:proofErr w:type="spellEnd"/>
      <w:r w:rsidRPr="00C0615A">
        <w:rPr>
          <w:lang w:val="en-US"/>
        </w:rPr>
        <w:t xml:space="preserve"> </w:t>
      </w:r>
      <w:r w:rsidR="00802A41">
        <w:rPr>
          <w:lang w:val="en-US"/>
        </w:rPr>
        <w:t xml:space="preserve">plus a statistically negative value of </w:t>
      </w:r>
      <w:r w:rsidRPr="00C0615A">
        <w:rPr>
          <w:i/>
          <w:lang w:val="en-US"/>
        </w:rPr>
        <w:t>h</w:t>
      </w:r>
      <w:r w:rsidR="00802A41">
        <w:rPr>
          <w:lang w:val="en-US"/>
        </w:rPr>
        <w:t xml:space="preserve"> in regressions of </w:t>
      </w:r>
      <w:r w:rsidRPr="00C0615A">
        <w:rPr>
          <w:lang w:val="en-US"/>
        </w:rPr>
        <w:t>depth.</w:t>
      </w:r>
    </w:p>
    <w:p w:rsidR="00FE5D7B" w:rsidRDefault="00802A41">
      <w:pPr>
        <w:rPr>
          <w:lang w:val="en-US"/>
        </w:rPr>
      </w:pPr>
      <w:r>
        <w:rPr>
          <w:lang w:val="en-US"/>
        </w:rPr>
        <w:lastRenderedPageBreak/>
        <w:t>The r</w:t>
      </w:r>
      <w:r w:rsidR="00C0615A" w:rsidRPr="00C0615A">
        <w:rPr>
          <w:lang w:val="en-US"/>
        </w:rPr>
        <w:t xml:space="preserve">esults </w:t>
      </w:r>
      <w:r>
        <w:rPr>
          <w:lang w:val="en-US"/>
        </w:rPr>
        <w:t xml:space="preserve">of </w:t>
      </w:r>
      <w:r w:rsidR="00952DF0">
        <w:rPr>
          <w:lang w:val="en-US"/>
        </w:rPr>
        <w:t>Regressions</w:t>
      </w:r>
      <w:r>
        <w:rPr>
          <w:lang w:val="en-US"/>
        </w:rPr>
        <w:t xml:space="preserve"> </w:t>
      </w:r>
      <w:r w:rsidR="00C0615A" w:rsidRPr="00C0615A">
        <w:rPr>
          <w:lang w:val="en-US"/>
        </w:rPr>
        <w:t>(11) and (12) are displayed in Table 5</w:t>
      </w:r>
      <w:r w:rsidR="006B2133">
        <w:rPr>
          <w:lang w:val="en-US"/>
        </w:rPr>
        <w:t xml:space="preserve"> for liquidity measures and in Table 6 for variance ratios</w:t>
      </w:r>
      <w:r w:rsidR="00C0615A" w:rsidRPr="00C0615A">
        <w:rPr>
          <w:lang w:val="en-US"/>
        </w:rPr>
        <w:t xml:space="preserve">.  The estimates of </w:t>
      </w:r>
      <w:r w:rsidR="00C0615A" w:rsidRPr="00C0615A">
        <w:rPr>
          <w:i/>
          <w:lang w:val="en-US"/>
        </w:rPr>
        <w:t>g</w:t>
      </w:r>
      <w:r w:rsidR="00C0615A" w:rsidRPr="00C0615A">
        <w:rPr>
          <w:lang w:val="en-US"/>
        </w:rPr>
        <w:t xml:space="preserve"> in the basic panel regressions (</w:t>
      </w:r>
      <w:r>
        <w:rPr>
          <w:lang w:val="en-US"/>
        </w:rPr>
        <w:t xml:space="preserve">Equation </w:t>
      </w:r>
      <w:r w:rsidR="00C0615A" w:rsidRPr="00C0615A">
        <w:rPr>
          <w:lang w:val="en-US"/>
        </w:rPr>
        <w:t xml:space="preserve">11) indicate that </w:t>
      </w:r>
      <w:r>
        <w:rPr>
          <w:lang w:val="en-US"/>
        </w:rPr>
        <w:t xml:space="preserve">the </w:t>
      </w:r>
      <w:r w:rsidR="00C0615A" w:rsidRPr="00C0615A">
        <w:rPr>
          <w:lang w:val="en-US"/>
        </w:rPr>
        <w:t>quoted, effective, realized, and adjusted block spreads of CAC 40 stocks decrease</w:t>
      </w:r>
      <w:r>
        <w:rPr>
          <w:lang w:val="en-US"/>
        </w:rPr>
        <w:t>d,</w:t>
      </w:r>
      <w:r w:rsidR="00C0615A" w:rsidRPr="00C0615A">
        <w:rPr>
          <w:lang w:val="en-US"/>
        </w:rPr>
        <w:t xml:space="preserve"> with a high level of economic and statistical significance</w:t>
      </w:r>
      <w:r>
        <w:rPr>
          <w:lang w:val="en-US"/>
        </w:rPr>
        <w:t>,</w:t>
      </w:r>
      <w:r w:rsidR="00C0615A" w:rsidRPr="00C0615A">
        <w:rPr>
          <w:lang w:val="en-US"/>
        </w:rPr>
        <w:t xml:space="preserve"> in the post-ETF period in comparison with </w:t>
      </w:r>
      <w:r>
        <w:rPr>
          <w:lang w:val="en-US"/>
        </w:rPr>
        <w:t xml:space="preserve">the control </w:t>
      </w:r>
      <w:r w:rsidR="00C26032">
        <w:rPr>
          <w:lang w:val="en-US"/>
        </w:rPr>
        <w:t>sample</w:t>
      </w:r>
      <w:r w:rsidR="00C0615A" w:rsidRPr="00C0615A">
        <w:rPr>
          <w:lang w:val="en-US"/>
        </w:rPr>
        <w:t xml:space="preserve">. </w:t>
      </w:r>
      <w:r>
        <w:rPr>
          <w:lang w:val="en-US"/>
        </w:rPr>
        <w:t>The</w:t>
      </w:r>
      <w:r w:rsidR="00C0615A" w:rsidRPr="00C0615A">
        <w:rPr>
          <w:lang w:val="en-US"/>
        </w:rPr>
        <w:t xml:space="preserve"> </w:t>
      </w:r>
      <w:r w:rsidR="00C0615A" w:rsidRPr="00C0615A">
        <w:rPr>
          <w:i/>
          <w:lang w:val="en-US"/>
        </w:rPr>
        <w:t>h</w:t>
      </w:r>
      <w:r w:rsidR="00C0615A" w:rsidRPr="00C0615A">
        <w:rPr>
          <w:lang w:val="en-US"/>
        </w:rPr>
        <w:t xml:space="preserve"> coefficients </w:t>
      </w:r>
      <w:r w:rsidR="00952DF0">
        <w:rPr>
          <w:lang w:val="en-US"/>
        </w:rPr>
        <w:t>are</w:t>
      </w:r>
      <w:r w:rsidR="00C0615A" w:rsidRPr="00C0615A">
        <w:rPr>
          <w:lang w:val="en-US"/>
        </w:rPr>
        <w:t xml:space="preserve"> significantly positive at the 1% level for the four measures of spread: spreads reduce</w:t>
      </w:r>
      <w:r w:rsidR="00FE1447">
        <w:rPr>
          <w:lang w:val="en-US"/>
        </w:rPr>
        <w:t>d</w:t>
      </w:r>
      <w:r w:rsidR="00C0615A" w:rsidRPr="00C0615A">
        <w:rPr>
          <w:lang w:val="en-US"/>
        </w:rPr>
        <w:t xml:space="preserve"> more for low-weighted index components, </w:t>
      </w:r>
      <w:r w:rsidR="00FE1447">
        <w:rPr>
          <w:lang w:val="en-US"/>
        </w:rPr>
        <w:t xml:space="preserve">although </w:t>
      </w:r>
      <w:r w:rsidR="00C0615A" w:rsidRPr="00C0615A">
        <w:rPr>
          <w:lang w:val="en-US"/>
        </w:rPr>
        <w:t xml:space="preserve">the economic magnitude of this differential effect </w:t>
      </w:r>
      <w:r w:rsidR="00952DF0">
        <w:rPr>
          <w:lang w:val="en-US"/>
        </w:rPr>
        <w:t>is</w:t>
      </w:r>
      <w:r w:rsidR="00C0615A" w:rsidRPr="00C0615A">
        <w:rPr>
          <w:lang w:val="en-US"/>
        </w:rPr>
        <w:t xml:space="preserve"> relatively small.  The total economic impact of the </w:t>
      </w:r>
      <w:r w:rsidR="00FE1447">
        <w:rPr>
          <w:lang w:val="en-US"/>
        </w:rPr>
        <w:t xml:space="preserve">introduction of the </w:t>
      </w:r>
      <w:r w:rsidR="00C0615A" w:rsidRPr="00C0615A">
        <w:rPr>
          <w:lang w:val="en-US"/>
        </w:rPr>
        <w:t xml:space="preserve">ETF on the spreads of a given stock </w:t>
      </w:r>
      <w:proofErr w:type="spellStart"/>
      <w:r w:rsidR="00C0615A" w:rsidRPr="00C0615A">
        <w:rPr>
          <w:i/>
          <w:lang w:val="en-US"/>
        </w:rPr>
        <w:t>i</w:t>
      </w:r>
      <w:proofErr w:type="spellEnd"/>
      <w:r w:rsidR="00C0615A" w:rsidRPr="00C0615A">
        <w:rPr>
          <w:lang w:val="en-US"/>
        </w:rPr>
        <w:t xml:space="preserve"> is represented by </w:t>
      </w:r>
      <w:r w:rsidR="00C0615A" w:rsidRPr="00C0615A">
        <w:rPr>
          <w:i/>
          <w:lang w:val="en-US"/>
        </w:rPr>
        <w:t>g</w:t>
      </w:r>
      <w:r w:rsidR="00F206A4">
        <w:rPr>
          <w:i/>
          <w:lang w:val="en-US"/>
        </w:rPr>
        <w:t xml:space="preserve"> </w:t>
      </w:r>
      <w:r w:rsidR="00C0615A" w:rsidRPr="00C0615A">
        <w:rPr>
          <w:lang w:val="en-US"/>
        </w:rPr>
        <w:t>+</w:t>
      </w:r>
      <w:r w:rsidR="00F206A4">
        <w:rPr>
          <w:lang w:val="en-US"/>
        </w:rPr>
        <w:t xml:space="preserve"> </w:t>
      </w:r>
      <w:proofErr w:type="spellStart"/>
      <w:r w:rsidR="00C0615A" w:rsidRPr="00C0615A">
        <w:rPr>
          <w:i/>
          <w:lang w:val="en-US"/>
        </w:rPr>
        <w:t>hw</w:t>
      </w:r>
      <w:r w:rsidR="00687845">
        <w:rPr>
          <w:i/>
          <w:vertAlign w:val="subscript"/>
          <w:lang w:val="en-US"/>
        </w:rPr>
        <w:t>i</w:t>
      </w:r>
      <w:proofErr w:type="spellEnd"/>
      <w:r w:rsidR="00C36EF8" w:rsidRPr="00C36EF8">
        <w:rPr>
          <w:lang w:val="en-US"/>
        </w:rPr>
        <w:t xml:space="preserve">, with </w:t>
      </w:r>
      <w:proofErr w:type="spellStart"/>
      <w:proofErr w:type="gramStart"/>
      <w:r w:rsidR="00120EA1" w:rsidRPr="00E723C2">
        <w:rPr>
          <w:i/>
          <w:lang w:val="en-US"/>
        </w:rPr>
        <w:t>w</w:t>
      </w:r>
      <w:r w:rsidR="00120EA1" w:rsidRPr="00E723C2">
        <w:rPr>
          <w:i/>
          <w:vertAlign w:val="subscript"/>
          <w:lang w:val="en-US"/>
        </w:rPr>
        <w:t>i</w:t>
      </w:r>
      <w:proofErr w:type="spellEnd"/>
      <w:proofErr w:type="gramEnd"/>
      <w:r w:rsidR="00C36EF8" w:rsidRPr="00C36EF8">
        <w:rPr>
          <w:lang w:val="en-US"/>
        </w:rPr>
        <w:t xml:space="preserve"> ranging from 0.0</w:t>
      </w:r>
      <w:r w:rsidR="007D4A5B">
        <w:rPr>
          <w:lang w:val="en-US"/>
        </w:rPr>
        <w:t>035</w:t>
      </w:r>
      <w:r w:rsidR="005E1E30">
        <w:rPr>
          <w:lang w:val="en-US"/>
        </w:rPr>
        <w:t>2</w:t>
      </w:r>
      <w:r w:rsidR="007D4A5B">
        <w:rPr>
          <w:lang w:val="en-US"/>
        </w:rPr>
        <w:t>6</w:t>
      </w:r>
      <w:r w:rsidR="00C36EF8" w:rsidRPr="00C36EF8">
        <w:rPr>
          <w:lang w:val="en-US"/>
        </w:rPr>
        <w:t xml:space="preserve"> to </w:t>
      </w:r>
      <w:r w:rsidR="007D4A5B">
        <w:rPr>
          <w:lang w:val="en-US"/>
        </w:rPr>
        <w:t>0.09</w:t>
      </w:r>
      <w:r w:rsidR="00C36EF8" w:rsidRPr="00C36EF8">
        <w:rPr>
          <w:lang w:val="en-US"/>
        </w:rPr>
        <w:t xml:space="preserve">4201.  For the quoted spreads, the estimated values of </w:t>
      </w:r>
      <w:r w:rsidR="00C36EF8" w:rsidRPr="00C36EF8">
        <w:rPr>
          <w:i/>
          <w:lang w:val="en-US"/>
        </w:rPr>
        <w:t>g</w:t>
      </w:r>
      <w:r w:rsidR="00C36EF8" w:rsidRPr="00C36EF8">
        <w:rPr>
          <w:lang w:val="en-US"/>
        </w:rPr>
        <w:t xml:space="preserve"> and </w:t>
      </w:r>
      <w:r w:rsidR="00C36EF8" w:rsidRPr="00C36EF8">
        <w:rPr>
          <w:i/>
          <w:lang w:val="en-US"/>
        </w:rPr>
        <w:t>h</w:t>
      </w:r>
      <w:r w:rsidR="00C36EF8" w:rsidRPr="00C36EF8">
        <w:rPr>
          <w:lang w:val="en-US"/>
        </w:rPr>
        <w:t xml:space="preserve"> </w:t>
      </w:r>
      <w:r w:rsidR="00952DF0">
        <w:rPr>
          <w:lang w:val="en-US"/>
        </w:rPr>
        <w:t>are</w:t>
      </w:r>
      <w:r w:rsidR="00C36EF8" w:rsidRPr="00C36EF8">
        <w:rPr>
          <w:lang w:val="en-US"/>
        </w:rPr>
        <w:t xml:space="preserve"> </w:t>
      </w:r>
      <w:r w:rsidR="00C36EF8" w:rsidRPr="00C36EF8">
        <w:rPr>
          <w:rFonts w:ascii="Symbol" w:hAnsi="Symbol"/>
          <w:lang w:val="en-US"/>
        </w:rPr>
        <w:t></w:t>
      </w:r>
      <w:r w:rsidR="00C36EF8" w:rsidRPr="00C36EF8">
        <w:rPr>
          <w:lang w:val="en-US"/>
        </w:rPr>
        <w:t>0.</w:t>
      </w:r>
      <w:r w:rsidR="00A566A3" w:rsidRPr="00C36EF8">
        <w:rPr>
          <w:lang w:val="en-US"/>
        </w:rPr>
        <w:t>0</w:t>
      </w:r>
      <w:r w:rsidR="00A566A3">
        <w:rPr>
          <w:lang w:val="en-US"/>
        </w:rPr>
        <w:t>791</w:t>
      </w:r>
      <w:r w:rsidR="00A566A3" w:rsidRPr="00C36EF8">
        <w:rPr>
          <w:lang w:val="en-US"/>
        </w:rPr>
        <w:t xml:space="preserve"> </w:t>
      </w:r>
      <w:r w:rsidR="00C36EF8" w:rsidRPr="00C36EF8">
        <w:rPr>
          <w:lang w:val="en-US"/>
        </w:rPr>
        <w:t>and 0.</w:t>
      </w:r>
      <w:r w:rsidR="00A566A3" w:rsidRPr="00C36EF8">
        <w:rPr>
          <w:lang w:val="en-US"/>
        </w:rPr>
        <w:t>008</w:t>
      </w:r>
      <w:r w:rsidR="00A566A3">
        <w:rPr>
          <w:lang w:val="en-US"/>
        </w:rPr>
        <w:t xml:space="preserve">8 </w:t>
      </w:r>
      <w:r w:rsidR="00FE1447">
        <w:rPr>
          <w:lang w:val="en-US"/>
        </w:rPr>
        <w:t>respectively</w:t>
      </w:r>
      <w:r w:rsidR="00C36EF8" w:rsidRPr="00C36EF8">
        <w:rPr>
          <w:lang w:val="en-US"/>
        </w:rPr>
        <w:t xml:space="preserve">, which means that the decrease in quoted spread for the smallest CAC 40 component </w:t>
      </w:r>
      <w:r w:rsidR="00FE1447">
        <w:rPr>
          <w:lang w:val="en-US"/>
        </w:rPr>
        <w:t>was</w:t>
      </w:r>
      <w:r w:rsidR="00C36EF8" w:rsidRPr="00C36EF8">
        <w:rPr>
          <w:lang w:val="en-US"/>
        </w:rPr>
        <w:t xml:space="preserve"> </w:t>
      </w:r>
      <w:r w:rsidR="00C36EF8" w:rsidRPr="00C36EF8">
        <w:rPr>
          <w:rFonts w:ascii="Symbol" w:hAnsi="Symbol"/>
          <w:lang w:val="en-US"/>
        </w:rPr>
        <w:t></w:t>
      </w:r>
      <w:r w:rsidR="00C36EF8" w:rsidRPr="00C36EF8">
        <w:rPr>
          <w:lang w:val="en-US"/>
        </w:rPr>
        <w:t>0.</w:t>
      </w:r>
      <w:r w:rsidR="00A566A3" w:rsidRPr="00C36EF8">
        <w:rPr>
          <w:lang w:val="en-US"/>
        </w:rPr>
        <w:t>0</w:t>
      </w:r>
      <w:r w:rsidR="00A566A3">
        <w:rPr>
          <w:lang w:val="en-US"/>
        </w:rPr>
        <w:t>791</w:t>
      </w:r>
      <w:r w:rsidR="007D4A5B">
        <w:rPr>
          <w:lang w:val="en-US"/>
        </w:rPr>
        <w:t>%</w:t>
      </w:r>
      <w:r w:rsidR="00C36EF8" w:rsidRPr="00C36EF8">
        <w:rPr>
          <w:lang w:val="en-US"/>
        </w:rPr>
        <w:t xml:space="preserve"> (</w:t>
      </w:r>
      <w:r w:rsidR="00C36EF8" w:rsidRPr="00C36EF8">
        <w:rPr>
          <w:rFonts w:ascii="Symbol" w:hAnsi="Symbol"/>
          <w:lang w:val="en-US"/>
        </w:rPr>
        <w:t></w:t>
      </w:r>
      <w:r w:rsidR="00C36EF8" w:rsidRPr="00C36EF8">
        <w:rPr>
          <w:lang w:val="en-US"/>
        </w:rPr>
        <w:t>0.</w:t>
      </w:r>
      <w:r w:rsidR="00A566A3" w:rsidRPr="00C36EF8">
        <w:rPr>
          <w:lang w:val="en-US"/>
        </w:rPr>
        <w:t>0</w:t>
      </w:r>
      <w:r w:rsidR="00A566A3">
        <w:rPr>
          <w:lang w:val="en-US"/>
        </w:rPr>
        <w:t>791</w:t>
      </w:r>
      <w:r w:rsidR="00C36EF8" w:rsidRPr="00C36EF8">
        <w:rPr>
          <w:lang w:val="en-US"/>
        </w:rPr>
        <w:t>+0.</w:t>
      </w:r>
      <w:r w:rsidR="00A566A3" w:rsidRPr="00C36EF8">
        <w:rPr>
          <w:lang w:val="en-US"/>
        </w:rPr>
        <w:t>008</w:t>
      </w:r>
      <w:r w:rsidR="00A566A3">
        <w:rPr>
          <w:lang w:val="en-US"/>
        </w:rPr>
        <w:t>8</w:t>
      </w:r>
      <w:r w:rsidR="00C36EF8" w:rsidRPr="00C36EF8">
        <w:rPr>
          <w:lang w:val="en-US"/>
        </w:rPr>
        <w:t>×0.0</w:t>
      </w:r>
      <w:r w:rsidR="007D4A5B">
        <w:rPr>
          <w:lang w:val="en-US"/>
        </w:rPr>
        <w:t>0</w:t>
      </w:r>
      <w:r w:rsidR="00C36EF8" w:rsidRPr="00C36EF8">
        <w:rPr>
          <w:lang w:val="en-US"/>
        </w:rPr>
        <w:t>35</w:t>
      </w:r>
      <w:r w:rsidR="00A566A3">
        <w:rPr>
          <w:lang w:val="en-US"/>
        </w:rPr>
        <w:t>2</w:t>
      </w:r>
      <w:r w:rsidR="00C36EF8" w:rsidRPr="00C36EF8">
        <w:rPr>
          <w:lang w:val="en-US"/>
        </w:rPr>
        <w:t>6</w:t>
      </w:r>
      <w:r w:rsidR="007D4A5B">
        <w:rPr>
          <w:lang w:val="en-US"/>
        </w:rPr>
        <w:t xml:space="preserve"> = -0.</w:t>
      </w:r>
      <w:r w:rsidR="00A566A3">
        <w:rPr>
          <w:lang w:val="en-US"/>
        </w:rPr>
        <w:t>0791</w:t>
      </w:r>
      <w:r w:rsidR="00A566A3" w:rsidRPr="00C0615A">
        <w:rPr>
          <w:lang w:val="en-US"/>
        </w:rPr>
        <w:t xml:space="preserve"> </w:t>
      </w:r>
      <w:r w:rsidR="00FE1447">
        <w:rPr>
          <w:lang w:val="en-US"/>
        </w:rPr>
        <w:t>as a</w:t>
      </w:r>
      <w:r w:rsidR="00C36EF8" w:rsidRPr="00C36EF8">
        <w:rPr>
          <w:lang w:val="en-US"/>
        </w:rPr>
        <w:t xml:space="preserve"> percentage of the mid-quote</w:t>
      </w:r>
      <w:r w:rsidR="00FE1447">
        <w:rPr>
          <w:lang w:val="en-US"/>
        </w:rPr>
        <w:t>)</w:t>
      </w:r>
      <w:r w:rsidR="00C0615A" w:rsidRPr="00C0615A">
        <w:rPr>
          <w:lang w:val="en-US"/>
        </w:rPr>
        <w:t xml:space="preserve"> </w:t>
      </w:r>
      <w:r w:rsidR="00C36EF8" w:rsidRPr="00C36EF8">
        <w:rPr>
          <w:lang w:val="en-US"/>
        </w:rPr>
        <w:t xml:space="preserve">while it </w:t>
      </w:r>
      <w:r w:rsidR="00FE1447">
        <w:rPr>
          <w:lang w:val="en-US"/>
        </w:rPr>
        <w:t>was</w:t>
      </w:r>
      <w:r w:rsidR="00C36EF8" w:rsidRPr="00C36EF8">
        <w:rPr>
          <w:lang w:val="en-US"/>
        </w:rPr>
        <w:t xml:space="preserve"> </w:t>
      </w:r>
      <w:r w:rsidR="00C36EF8" w:rsidRPr="00C36EF8">
        <w:rPr>
          <w:rFonts w:ascii="Symbol" w:hAnsi="Symbol"/>
          <w:lang w:val="en-US"/>
        </w:rPr>
        <w:t></w:t>
      </w:r>
      <w:r w:rsidR="00C36EF8" w:rsidRPr="00C36EF8">
        <w:rPr>
          <w:lang w:val="en-US"/>
        </w:rPr>
        <w:t>0.</w:t>
      </w:r>
      <w:r w:rsidR="00A566A3" w:rsidRPr="00C36EF8">
        <w:rPr>
          <w:lang w:val="en-US"/>
        </w:rPr>
        <w:t>0</w:t>
      </w:r>
      <w:r w:rsidR="00A566A3">
        <w:rPr>
          <w:lang w:val="en-US"/>
        </w:rPr>
        <w:t>783</w:t>
      </w:r>
      <w:r w:rsidR="007D4A5B">
        <w:rPr>
          <w:lang w:val="en-US"/>
        </w:rPr>
        <w:t>%</w:t>
      </w:r>
      <w:r w:rsidR="00952DF0">
        <w:rPr>
          <w:lang w:val="en-US"/>
        </w:rPr>
        <w:t xml:space="preserve"> for the largest component.</w:t>
      </w:r>
      <w:r w:rsidR="007C19E1" w:rsidDel="007C19E1">
        <w:rPr>
          <w:lang w:val="en-US"/>
        </w:rPr>
        <w:t xml:space="preserve"> </w:t>
      </w:r>
      <w:r w:rsidR="007C19E1">
        <w:rPr>
          <w:lang w:val="en-US"/>
        </w:rPr>
        <w:t xml:space="preserve"> </w:t>
      </w:r>
      <w:r w:rsidR="00C36EF8" w:rsidRPr="00C36EF8">
        <w:rPr>
          <w:lang w:val="en-US"/>
        </w:rPr>
        <w:t xml:space="preserve">Similar calculations for other spread measures </w:t>
      </w:r>
      <w:r w:rsidR="00FE1447">
        <w:rPr>
          <w:lang w:val="en-US"/>
        </w:rPr>
        <w:t>indicate</w:t>
      </w:r>
      <w:r w:rsidR="00C36EF8" w:rsidRPr="00C36EF8">
        <w:rPr>
          <w:lang w:val="en-US"/>
        </w:rPr>
        <w:t xml:space="preserve"> that the post-ETF decrease in spread for index stocks range</w:t>
      </w:r>
      <w:r w:rsidR="00952DF0">
        <w:rPr>
          <w:lang w:val="en-US"/>
        </w:rPr>
        <w:t>d</w:t>
      </w:r>
      <w:r w:rsidR="00C36EF8" w:rsidRPr="00C36EF8">
        <w:rPr>
          <w:lang w:val="en-US"/>
        </w:rPr>
        <w:t xml:space="preserve"> from </w:t>
      </w:r>
      <w:r w:rsidR="00C36EF8" w:rsidRPr="00C36EF8">
        <w:rPr>
          <w:rFonts w:ascii="Symbol" w:hAnsi="Symbol"/>
          <w:lang w:val="en-US"/>
        </w:rPr>
        <w:t></w:t>
      </w:r>
      <w:r w:rsidR="00C36EF8" w:rsidRPr="00C36EF8">
        <w:rPr>
          <w:lang w:val="en-US"/>
        </w:rPr>
        <w:t>0.</w:t>
      </w:r>
      <w:r w:rsidR="00A566A3" w:rsidRPr="00C36EF8">
        <w:rPr>
          <w:lang w:val="en-US"/>
        </w:rPr>
        <w:t>0</w:t>
      </w:r>
      <w:r w:rsidR="00A566A3">
        <w:rPr>
          <w:lang w:val="en-US"/>
        </w:rPr>
        <w:t>7</w:t>
      </w:r>
      <w:r w:rsidR="00901CE1">
        <w:rPr>
          <w:lang w:val="en-US"/>
        </w:rPr>
        <w:t>94</w:t>
      </w:r>
      <w:r w:rsidR="00C36EF8" w:rsidRPr="00C36EF8">
        <w:rPr>
          <w:lang w:val="en-US"/>
        </w:rPr>
        <w:t xml:space="preserve">% to </w:t>
      </w:r>
      <w:r w:rsidR="00C36EF8" w:rsidRPr="00C36EF8">
        <w:rPr>
          <w:rFonts w:ascii="Symbol" w:hAnsi="Symbol"/>
          <w:lang w:val="en-US"/>
        </w:rPr>
        <w:t></w:t>
      </w:r>
      <w:r w:rsidR="00C36EF8" w:rsidRPr="00C36EF8">
        <w:rPr>
          <w:lang w:val="en-US"/>
        </w:rPr>
        <w:t>0.</w:t>
      </w:r>
      <w:r w:rsidR="00A566A3" w:rsidRPr="00C36EF8">
        <w:rPr>
          <w:lang w:val="en-US"/>
        </w:rPr>
        <w:t>0</w:t>
      </w:r>
      <w:r w:rsidR="00A566A3">
        <w:rPr>
          <w:lang w:val="en-US"/>
        </w:rPr>
        <w:t>7</w:t>
      </w:r>
      <w:r w:rsidR="00901CE1">
        <w:rPr>
          <w:lang w:val="en-US"/>
        </w:rPr>
        <w:t>81</w:t>
      </w:r>
      <w:r w:rsidR="00C36EF8" w:rsidRPr="00C36EF8">
        <w:rPr>
          <w:lang w:val="en-US"/>
        </w:rPr>
        <w:t xml:space="preserve">% for effective spreads, from </w:t>
      </w:r>
      <w:r w:rsidR="00C36EF8" w:rsidRPr="00C36EF8">
        <w:rPr>
          <w:rFonts w:ascii="Symbol" w:hAnsi="Symbol"/>
          <w:lang w:val="en-US"/>
        </w:rPr>
        <w:t></w:t>
      </w:r>
      <w:r w:rsidR="00C36EF8" w:rsidRPr="00C36EF8">
        <w:rPr>
          <w:lang w:val="en-US"/>
        </w:rPr>
        <w:t>0.</w:t>
      </w:r>
      <w:r w:rsidR="00901CE1" w:rsidRPr="00C36EF8">
        <w:rPr>
          <w:lang w:val="en-US"/>
        </w:rPr>
        <w:t>0</w:t>
      </w:r>
      <w:r w:rsidR="00901CE1">
        <w:rPr>
          <w:lang w:val="en-US"/>
        </w:rPr>
        <w:t>420</w:t>
      </w:r>
      <w:r w:rsidR="00C36EF8" w:rsidRPr="00C36EF8">
        <w:rPr>
          <w:lang w:val="en-US"/>
        </w:rPr>
        <w:t xml:space="preserve">% to </w:t>
      </w:r>
      <w:r w:rsidR="00C36EF8" w:rsidRPr="00C36EF8">
        <w:rPr>
          <w:rFonts w:ascii="Symbol" w:hAnsi="Symbol"/>
          <w:lang w:val="en-US"/>
        </w:rPr>
        <w:t></w:t>
      </w:r>
      <w:r w:rsidR="00C36EF8" w:rsidRPr="00C36EF8">
        <w:rPr>
          <w:lang w:val="en-US"/>
        </w:rPr>
        <w:t>0.</w:t>
      </w:r>
      <w:r w:rsidR="00901CE1" w:rsidRPr="00C36EF8">
        <w:rPr>
          <w:lang w:val="en-US"/>
        </w:rPr>
        <w:t>04</w:t>
      </w:r>
      <w:r w:rsidR="00901CE1">
        <w:rPr>
          <w:lang w:val="en-US"/>
        </w:rPr>
        <w:t>0</w:t>
      </w:r>
      <w:r w:rsidR="00901CE1" w:rsidRPr="00C36EF8">
        <w:rPr>
          <w:lang w:val="en-US"/>
        </w:rPr>
        <w:t>9</w:t>
      </w:r>
      <w:r w:rsidR="00C36EF8" w:rsidRPr="00C36EF8">
        <w:rPr>
          <w:lang w:val="en-US"/>
        </w:rPr>
        <w:t xml:space="preserve">% for realized spreads, and from </w:t>
      </w:r>
      <w:r w:rsidR="00C36EF8" w:rsidRPr="00C36EF8">
        <w:rPr>
          <w:rFonts w:ascii="Symbol" w:hAnsi="Symbol"/>
          <w:lang w:val="en-US"/>
        </w:rPr>
        <w:t></w:t>
      </w:r>
      <w:r w:rsidR="00C36EF8" w:rsidRPr="00C36EF8">
        <w:rPr>
          <w:lang w:val="en-US"/>
        </w:rPr>
        <w:t>0.</w:t>
      </w:r>
      <w:r w:rsidR="00901CE1" w:rsidRPr="00C36EF8">
        <w:rPr>
          <w:lang w:val="en-US"/>
        </w:rPr>
        <w:t>2</w:t>
      </w:r>
      <w:r w:rsidR="00901CE1">
        <w:rPr>
          <w:lang w:val="en-US"/>
        </w:rPr>
        <w:t>103</w:t>
      </w:r>
      <w:r w:rsidR="00C36EF8" w:rsidRPr="00C36EF8">
        <w:rPr>
          <w:lang w:val="en-US"/>
        </w:rPr>
        <w:t xml:space="preserve">% to </w:t>
      </w:r>
      <w:r w:rsidR="00C36EF8" w:rsidRPr="00C36EF8">
        <w:rPr>
          <w:rFonts w:ascii="Symbol" w:hAnsi="Symbol"/>
          <w:lang w:val="en-US"/>
        </w:rPr>
        <w:t></w:t>
      </w:r>
      <w:r w:rsidR="00C36EF8" w:rsidRPr="00C36EF8">
        <w:rPr>
          <w:lang w:val="en-US"/>
        </w:rPr>
        <w:t>0.</w:t>
      </w:r>
      <w:r w:rsidR="00901CE1" w:rsidRPr="00C36EF8">
        <w:rPr>
          <w:lang w:val="en-US"/>
        </w:rPr>
        <w:t>2</w:t>
      </w:r>
      <w:r w:rsidR="00901CE1">
        <w:rPr>
          <w:lang w:val="en-US"/>
        </w:rPr>
        <w:t>093</w:t>
      </w:r>
      <w:r w:rsidR="00C36EF8" w:rsidRPr="00C36EF8">
        <w:rPr>
          <w:lang w:val="en-US"/>
        </w:rPr>
        <w:t xml:space="preserve">% for the adjusted block spread.  </w:t>
      </w:r>
      <w:r w:rsidR="007C19E1">
        <w:rPr>
          <w:lang w:val="en-US"/>
        </w:rPr>
        <w:t>Regarding best-limit depth</w:t>
      </w:r>
      <w:r w:rsidR="00C36EF8" w:rsidRPr="00C36EF8">
        <w:rPr>
          <w:lang w:val="en-US"/>
        </w:rPr>
        <w:t xml:space="preserve">, </w:t>
      </w:r>
      <w:r w:rsidR="007C19E1">
        <w:rPr>
          <w:lang w:val="en-US"/>
        </w:rPr>
        <w:t>it did not change on average for index stocks</w:t>
      </w:r>
      <w:r w:rsidR="00C36EF8" w:rsidRPr="00C36EF8">
        <w:rPr>
          <w:lang w:val="en-US"/>
        </w:rPr>
        <w:t xml:space="preserve"> after the </w:t>
      </w:r>
      <w:r w:rsidR="002C1140">
        <w:rPr>
          <w:lang w:val="en-US"/>
        </w:rPr>
        <w:t>incep</w:t>
      </w:r>
      <w:r w:rsidR="00FE1447">
        <w:rPr>
          <w:lang w:val="en-US"/>
        </w:rPr>
        <w:t xml:space="preserve">tion of the </w:t>
      </w:r>
      <w:r w:rsidR="00C36EF8" w:rsidRPr="00C36EF8">
        <w:rPr>
          <w:lang w:val="en-US"/>
        </w:rPr>
        <w:t xml:space="preserve">ETF, </w:t>
      </w:r>
      <w:r w:rsidR="007C19E1">
        <w:rPr>
          <w:lang w:val="en-US"/>
        </w:rPr>
        <w:t>yet</w:t>
      </w:r>
      <w:r w:rsidR="007C19E1" w:rsidRPr="00C36EF8">
        <w:rPr>
          <w:lang w:val="en-US"/>
        </w:rPr>
        <w:t xml:space="preserve"> </w:t>
      </w:r>
      <w:r w:rsidR="007C19E1">
        <w:rPr>
          <w:lang w:val="en-US"/>
        </w:rPr>
        <w:t xml:space="preserve">the significantly positive value of </w:t>
      </w:r>
      <w:r w:rsidR="007C19E1" w:rsidRPr="00C41698">
        <w:rPr>
          <w:i/>
          <w:lang w:val="en-US"/>
        </w:rPr>
        <w:t>h</w:t>
      </w:r>
      <w:r w:rsidR="007C19E1">
        <w:rPr>
          <w:lang w:val="en-US"/>
        </w:rPr>
        <w:t xml:space="preserve"> </w:t>
      </w:r>
      <w:proofErr w:type="gramStart"/>
      <w:r w:rsidR="007C19E1">
        <w:rPr>
          <w:lang w:val="en-US"/>
        </w:rPr>
        <w:t>indicates</w:t>
      </w:r>
      <w:proofErr w:type="gramEnd"/>
      <w:r w:rsidR="007C19E1">
        <w:rPr>
          <w:lang w:val="en-US"/>
        </w:rPr>
        <w:t xml:space="preserve"> a depth improvement </w:t>
      </w:r>
      <w:r w:rsidR="00C36EF8" w:rsidRPr="00C36EF8">
        <w:rPr>
          <w:lang w:val="en-US"/>
        </w:rPr>
        <w:t>for larger components.</w:t>
      </w:r>
    </w:p>
    <w:p w:rsidR="00FE5D7B" w:rsidRDefault="007F7343">
      <w:pPr>
        <w:pStyle w:val="Inserttable"/>
      </w:pPr>
      <w:r w:rsidRPr="00E723C2">
        <w:t xml:space="preserve">[Insert Table </w:t>
      </w:r>
      <w:r w:rsidR="00E5577B" w:rsidRPr="00E723C2">
        <w:t>5</w:t>
      </w:r>
      <w:r w:rsidR="00FE1447">
        <w:t xml:space="preserve"> about here</w:t>
      </w:r>
      <w:r w:rsidR="00C0615A" w:rsidRPr="00C0615A">
        <w:t>]</w:t>
      </w:r>
    </w:p>
    <w:p w:rsidR="00F80708" w:rsidRDefault="00C0615A">
      <w:pPr>
        <w:rPr>
          <w:lang w:val="en-US"/>
        </w:rPr>
      </w:pPr>
      <w:r w:rsidRPr="00C0615A">
        <w:rPr>
          <w:lang w:val="en-US"/>
        </w:rPr>
        <w:t xml:space="preserve">When coefficient changes across periods are </w:t>
      </w:r>
      <w:r w:rsidR="00FE1447">
        <w:rPr>
          <w:lang w:val="en-US"/>
        </w:rPr>
        <w:t xml:space="preserve">taken into </w:t>
      </w:r>
      <w:r w:rsidRPr="00C0615A">
        <w:rPr>
          <w:lang w:val="en-US"/>
        </w:rPr>
        <w:t>account (</w:t>
      </w:r>
      <w:r w:rsidR="00FE1447">
        <w:rPr>
          <w:lang w:val="en-US"/>
        </w:rPr>
        <w:t xml:space="preserve">Equation </w:t>
      </w:r>
      <w:r w:rsidRPr="00C0615A">
        <w:rPr>
          <w:lang w:val="en-US"/>
        </w:rPr>
        <w:t xml:space="preserve">12), the tightening of index stock spreads </w:t>
      </w:r>
      <w:r w:rsidR="00FE1447">
        <w:rPr>
          <w:lang w:val="en-US"/>
        </w:rPr>
        <w:t xml:space="preserve">is again evident, and has </w:t>
      </w:r>
      <w:r w:rsidRPr="00C0615A">
        <w:rPr>
          <w:lang w:val="en-US"/>
        </w:rPr>
        <w:t>even greater economic significance</w:t>
      </w:r>
      <w:r w:rsidR="00A67EEE">
        <w:rPr>
          <w:lang w:val="en-US"/>
        </w:rPr>
        <w:t>,</w:t>
      </w:r>
      <w:r w:rsidR="00FE1447">
        <w:rPr>
          <w:lang w:val="en-US"/>
        </w:rPr>
        <w:t xml:space="preserve"> </w:t>
      </w:r>
      <w:r w:rsidR="00A67EEE">
        <w:rPr>
          <w:lang w:val="en-US"/>
        </w:rPr>
        <w:t xml:space="preserve">but </w:t>
      </w:r>
      <w:r w:rsidRPr="00C0615A">
        <w:rPr>
          <w:lang w:val="en-US"/>
        </w:rPr>
        <w:t xml:space="preserve">depth is </w:t>
      </w:r>
      <w:r w:rsidR="00A67EEE">
        <w:rPr>
          <w:lang w:val="en-US"/>
        </w:rPr>
        <w:t>found to deteriorate</w:t>
      </w:r>
      <w:r w:rsidRPr="00C0615A">
        <w:rPr>
          <w:lang w:val="en-US"/>
        </w:rPr>
        <w:t xml:space="preserve">.  </w:t>
      </w:r>
      <w:r w:rsidR="00FE1447">
        <w:rPr>
          <w:lang w:val="en-US"/>
        </w:rPr>
        <w:t>L</w:t>
      </w:r>
      <w:r w:rsidRPr="00C0615A">
        <w:rPr>
          <w:lang w:val="en-US"/>
        </w:rPr>
        <w:t xml:space="preserve">ooking at the coefficients of the control variables combined with period and sub-sample dummies in the depth regression, we </w:t>
      </w:r>
      <w:r w:rsidR="00FE1447">
        <w:rPr>
          <w:lang w:val="en-US"/>
        </w:rPr>
        <w:t xml:space="preserve">can see </w:t>
      </w:r>
      <w:r w:rsidRPr="00C0615A">
        <w:rPr>
          <w:lang w:val="en-US"/>
        </w:rPr>
        <w:t>that volatility under</w:t>
      </w:r>
      <w:r w:rsidR="00F80708">
        <w:rPr>
          <w:lang w:val="en-US"/>
        </w:rPr>
        <w:t xml:space="preserve">went </w:t>
      </w:r>
      <w:r w:rsidRPr="00C0615A">
        <w:rPr>
          <w:lang w:val="en-US"/>
        </w:rPr>
        <w:t>the greatest pre/post-ETF coefficient variation</w:t>
      </w:r>
      <w:r w:rsidR="000E0514">
        <w:rPr>
          <w:lang w:val="en-US"/>
        </w:rPr>
        <w:t>, this variation being in opposite directions for CAC and non-CAC stocks</w:t>
      </w:r>
      <w:r w:rsidR="00EC1C39">
        <w:rPr>
          <w:lang w:val="en-US"/>
        </w:rPr>
        <w:t xml:space="preserve">.  </w:t>
      </w:r>
      <w:r w:rsidR="000E0514">
        <w:rPr>
          <w:lang w:val="en-US"/>
        </w:rPr>
        <w:t xml:space="preserve">While </w:t>
      </w:r>
      <w:r w:rsidR="000E0514" w:rsidRPr="00C0615A">
        <w:rPr>
          <w:lang w:val="en-US"/>
        </w:rPr>
        <w:t xml:space="preserve">the sensitivity of depth to </w:t>
      </w:r>
      <w:r w:rsidR="000E0514" w:rsidRPr="00C0615A">
        <w:rPr>
          <w:lang w:val="en-US"/>
        </w:rPr>
        <w:lastRenderedPageBreak/>
        <w:t xml:space="preserve">volatility in absolute terms </w:t>
      </w:r>
      <w:r w:rsidR="000E0514">
        <w:rPr>
          <w:lang w:val="en-US"/>
        </w:rPr>
        <w:t xml:space="preserve">increased </w:t>
      </w:r>
      <w:r w:rsidR="00E15F51">
        <w:rPr>
          <w:lang w:val="en-US"/>
        </w:rPr>
        <w:t xml:space="preserve">for the control sample </w:t>
      </w:r>
      <w:r w:rsidR="000E0514">
        <w:rPr>
          <w:lang w:val="en-US"/>
        </w:rPr>
        <w:t>(</w:t>
      </w:r>
      <w:r w:rsidR="00B60990" w:rsidRPr="00B60990">
        <w:rPr>
          <w:position w:val="-20"/>
          <w:lang w:val="en-US"/>
        </w:rPr>
        <w:object w:dxaOrig="340" w:dyaOrig="520">
          <v:shape id="_x0000_i1062" type="#_x0000_t75" style="width:17.25pt;height:27pt" o:ole="">
            <v:imagedata r:id="rId87" o:title=""/>
          </v:shape>
          <o:OLEObject Type="Embed" ProgID="Equation.3" ShapeID="_x0000_i1062" DrawAspect="Content" ObjectID="_1396445715" r:id="rId88"/>
        </w:object>
      </w:r>
      <w:r w:rsidR="00B60990">
        <w:rPr>
          <w:lang w:val="en-US"/>
        </w:rPr>
        <w:t>=</w:t>
      </w:r>
      <w:r w:rsidR="00A67EEE">
        <w:rPr>
          <w:lang w:val="en-US"/>
        </w:rPr>
        <w:t>2.6954</w:t>
      </w:r>
      <w:r w:rsidR="00B60990">
        <w:rPr>
          <w:lang w:val="en-US"/>
        </w:rPr>
        <w:t xml:space="preserve"> </w:t>
      </w:r>
      <w:r w:rsidR="000E0514">
        <w:rPr>
          <w:lang w:val="en-US"/>
        </w:rPr>
        <w:t xml:space="preserve">in the pre-ETF period vs. </w:t>
      </w:r>
      <w:r w:rsidR="00B60990" w:rsidRPr="00B60990">
        <w:rPr>
          <w:position w:val="-20"/>
          <w:lang w:val="en-US"/>
        </w:rPr>
        <w:object w:dxaOrig="800" w:dyaOrig="520">
          <v:shape id="_x0000_i1063" type="#_x0000_t75" style="width:40.5pt;height:27pt" o:ole="">
            <v:imagedata r:id="rId89" o:title=""/>
          </v:shape>
          <o:OLEObject Type="Embed" ProgID="Equation.3" ShapeID="_x0000_i1063" DrawAspect="Content" ObjectID="_1396445716" r:id="rId90"/>
        </w:object>
      </w:r>
      <w:r w:rsidR="00B60990">
        <w:rPr>
          <w:lang w:val="en-US"/>
        </w:rPr>
        <w:t>=3.</w:t>
      </w:r>
      <w:r w:rsidR="00A67EEE">
        <w:rPr>
          <w:lang w:val="en-US"/>
        </w:rPr>
        <w:t xml:space="preserve">6262 </w:t>
      </w:r>
      <w:r w:rsidR="000E0514">
        <w:rPr>
          <w:lang w:val="en-US"/>
        </w:rPr>
        <w:t xml:space="preserve">in the post-ETF period), it significantly fell for </w:t>
      </w:r>
      <w:r w:rsidR="000E0514" w:rsidRPr="00E723C2">
        <w:rPr>
          <w:lang w:val="en-US"/>
        </w:rPr>
        <w:t>index constituents</w:t>
      </w:r>
      <w:r w:rsidR="000E0514">
        <w:rPr>
          <w:lang w:val="en-US"/>
        </w:rPr>
        <w:t xml:space="preserve"> from</w:t>
      </w:r>
      <w:r w:rsidR="00F80708">
        <w:rPr>
          <w:lang w:val="en-US"/>
        </w:rPr>
        <w:t xml:space="preserve"> </w:t>
      </w:r>
      <w:r w:rsidR="00825FD8" w:rsidRPr="00EC1C39">
        <w:rPr>
          <w:position w:val="-20"/>
          <w:lang w:val="en-US"/>
        </w:rPr>
        <w:object w:dxaOrig="800" w:dyaOrig="520">
          <v:shape id="_x0000_i1064" type="#_x0000_t75" style="width:40.5pt;height:27pt" o:ole="">
            <v:imagedata r:id="rId91" o:title=""/>
          </v:shape>
          <o:OLEObject Type="Embed" ProgID="Equation.3" ShapeID="_x0000_i1064" DrawAspect="Content" ObjectID="_1396445717" r:id="rId92"/>
        </w:object>
      </w:r>
      <w:r w:rsidR="00DC4115" w:rsidRPr="00E723C2">
        <w:rPr>
          <w:lang w:val="en-US"/>
        </w:rPr>
        <w:t>=</w:t>
      </w:r>
      <w:r w:rsidR="00C8776C" w:rsidRPr="00E723C2">
        <w:rPr>
          <w:lang w:val="en-US"/>
        </w:rPr>
        <w:t>3.</w:t>
      </w:r>
      <w:r w:rsidR="00A67EEE">
        <w:rPr>
          <w:lang w:val="en-US"/>
        </w:rPr>
        <w:t>3506</w:t>
      </w:r>
      <w:r w:rsidR="00A67EEE" w:rsidRPr="00C0615A">
        <w:rPr>
          <w:lang w:val="en-US"/>
        </w:rPr>
        <w:t xml:space="preserve"> </w:t>
      </w:r>
      <w:r w:rsidRPr="00C0615A">
        <w:rPr>
          <w:lang w:val="en-US"/>
        </w:rPr>
        <w:t xml:space="preserve">in the pre-ETF period to </w:t>
      </w:r>
      <w:r w:rsidR="00B60990" w:rsidRPr="00B60990">
        <w:rPr>
          <w:position w:val="-20"/>
          <w:lang w:val="en-US"/>
        </w:rPr>
        <w:object w:dxaOrig="1719" w:dyaOrig="520">
          <v:shape id="_x0000_i1065" type="#_x0000_t75" style="width:87pt;height:26.25pt" o:ole="">
            <v:imagedata r:id="rId93" o:title=""/>
          </v:shape>
          <o:OLEObject Type="Embed" ProgID="Equation.3" ShapeID="_x0000_i1065" DrawAspect="Content" ObjectID="_1396445718" r:id="rId94"/>
        </w:object>
      </w:r>
      <w:r w:rsidR="00DC4115" w:rsidRPr="00E723C2">
        <w:rPr>
          <w:lang w:val="en-US"/>
        </w:rPr>
        <w:t>=</w:t>
      </w:r>
      <w:r w:rsidR="00B60990">
        <w:rPr>
          <w:lang w:val="en-US"/>
        </w:rPr>
        <w:t>2.</w:t>
      </w:r>
      <w:r w:rsidR="00A67EEE">
        <w:rPr>
          <w:lang w:val="en-US"/>
        </w:rPr>
        <w:t>7036</w:t>
      </w:r>
      <w:r w:rsidR="00A67EEE" w:rsidRPr="00E723C2">
        <w:rPr>
          <w:lang w:val="en-US"/>
        </w:rPr>
        <w:t xml:space="preserve"> </w:t>
      </w:r>
      <w:r w:rsidR="00C8776C" w:rsidRPr="00E723C2">
        <w:rPr>
          <w:lang w:val="en-US"/>
        </w:rPr>
        <w:t>in the post-ETF period.</w:t>
      </w:r>
      <w:r w:rsidRPr="00C0615A">
        <w:rPr>
          <w:lang w:val="en-US"/>
        </w:rPr>
        <w:t xml:space="preserve">  The </w:t>
      </w:r>
      <w:r w:rsidR="003A5051">
        <w:rPr>
          <w:lang w:val="en-US"/>
        </w:rPr>
        <w:t>non-</w:t>
      </w:r>
      <w:r w:rsidRPr="00C0615A">
        <w:rPr>
          <w:lang w:val="en-US"/>
        </w:rPr>
        <w:t xml:space="preserve">significant </w:t>
      </w:r>
      <w:r w:rsidR="003A5051">
        <w:rPr>
          <w:lang w:val="en-US"/>
        </w:rPr>
        <w:t>de</w:t>
      </w:r>
      <w:r w:rsidR="003A5051" w:rsidRPr="00C0615A">
        <w:rPr>
          <w:lang w:val="en-US"/>
        </w:rPr>
        <w:t xml:space="preserve">crease </w:t>
      </w:r>
      <w:r w:rsidRPr="00C0615A">
        <w:rPr>
          <w:lang w:val="en-US"/>
        </w:rPr>
        <w:t xml:space="preserve">in depth found for CAC 40 stocks in the regression with constant coefficients </w:t>
      </w:r>
      <w:r w:rsidR="00447DE5">
        <w:rPr>
          <w:lang w:val="en-US"/>
        </w:rPr>
        <w:t xml:space="preserve">(Model 11) </w:t>
      </w:r>
      <w:r w:rsidRPr="00C0615A">
        <w:rPr>
          <w:lang w:val="en-US"/>
        </w:rPr>
        <w:t>is thus attributable to the fact that depth is less sensitive to volatility in the post-ETF period: in other words, for the same level of volatility, the market for underlying stocks is deeper in the post-ETF period.</w:t>
      </w:r>
    </w:p>
    <w:p w:rsidR="00FE5D7B" w:rsidRDefault="00C0615A">
      <w:pPr>
        <w:rPr>
          <w:lang w:val="en-US"/>
        </w:rPr>
      </w:pPr>
      <w:r w:rsidRPr="00C0615A">
        <w:rPr>
          <w:lang w:val="en-US"/>
        </w:rPr>
        <w:t>After accounting for this change in sensitivity, index stock depth decrease</w:t>
      </w:r>
      <w:r w:rsidR="00952DF0">
        <w:rPr>
          <w:lang w:val="en-US"/>
        </w:rPr>
        <w:t>d</w:t>
      </w:r>
      <w:r w:rsidRPr="00C0615A">
        <w:rPr>
          <w:lang w:val="en-US"/>
        </w:rPr>
        <w:t xml:space="preserve"> on average following the introduction</w:t>
      </w:r>
      <w:r w:rsidR="00F80708">
        <w:rPr>
          <w:lang w:val="en-US"/>
        </w:rPr>
        <w:t xml:space="preserve"> of the </w:t>
      </w:r>
      <w:r w:rsidR="00F80708" w:rsidRPr="00B37B4B">
        <w:rPr>
          <w:lang w:val="en-US"/>
        </w:rPr>
        <w:t>ETF</w:t>
      </w:r>
      <w:r w:rsidRPr="00C0615A">
        <w:rPr>
          <w:lang w:val="en-US"/>
        </w:rPr>
        <w:t xml:space="preserve">.  Another difference between the two regression models is the sign of </w:t>
      </w:r>
      <w:r w:rsidRPr="00C0615A">
        <w:rPr>
          <w:i/>
          <w:lang w:val="en-US"/>
        </w:rPr>
        <w:t>h</w:t>
      </w:r>
      <w:r w:rsidR="00F80708">
        <w:rPr>
          <w:i/>
          <w:lang w:val="en-US"/>
        </w:rPr>
        <w:t>,</w:t>
      </w:r>
      <w:r w:rsidRPr="00C0615A">
        <w:rPr>
          <w:lang w:val="en-US"/>
        </w:rPr>
        <w:t xml:space="preserve"> which </w:t>
      </w:r>
      <w:r w:rsidR="00952DF0">
        <w:rPr>
          <w:lang w:val="en-US"/>
        </w:rPr>
        <w:t>is</w:t>
      </w:r>
      <w:r w:rsidR="00F80708">
        <w:rPr>
          <w:lang w:val="en-US"/>
        </w:rPr>
        <w:t xml:space="preserve"> </w:t>
      </w:r>
      <w:r w:rsidRPr="00C0615A">
        <w:rPr>
          <w:lang w:val="en-US"/>
        </w:rPr>
        <w:t xml:space="preserve">significantly negative in the regressions of spreads designed according to Equation (12): the spread reductions that </w:t>
      </w:r>
      <w:r w:rsidR="00952DF0">
        <w:rPr>
          <w:lang w:val="en-US"/>
        </w:rPr>
        <w:t>were</w:t>
      </w:r>
      <w:r w:rsidRPr="00C0615A">
        <w:rPr>
          <w:lang w:val="en-US"/>
        </w:rPr>
        <w:t xml:space="preserve"> related to the introduction </w:t>
      </w:r>
      <w:r w:rsidR="00F80708">
        <w:rPr>
          <w:lang w:val="en-US"/>
        </w:rPr>
        <w:t xml:space="preserve">of the </w:t>
      </w:r>
      <w:r w:rsidR="00F80708" w:rsidRPr="00B37B4B">
        <w:rPr>
          <w:lang w:val="en-US"/>
        </w:rPr>
        <w:t xml:space="preserve">ETF </w:t>
      </w:r>
      <w:r w:rsidRPr="00C0615A">
        <w:rPr>
          <w:lang w:val="en-US"/>
        </w:rPr>
        <w:t xml:space="preserve">but unrelated to changes in the sensitivity to control variables </w:t>
      </w:r>
      <w:r w:rsidR="00F80708">
        <w:rPr>
          <w:lang w:val="en-US"/>
        </w:rPr>
        <w:t>we</w:t>
      </w:r>
      <w:r w:rsidRPr="00C0615A">
        <w:rPr>
          <w:lang w:val="en-US"/>
        </w:rPr>
        <w:t>re more pronounced for larger components of the index.</w:t>
      </w:r>
    </w:p>
    <w:p w:rsidR="006B2133" w:rsidRDefault="00C0615A">
      <w:pPr>
        <w:rPr>
          <w:lang w:val="en-US"/>
        </w:rPr>
      </w:pPr>
      <w:r w:rsidRPr="00C0615A">
        <w:rPr>
          <w:lang w:val="en-US"/>
        </w:rPr>
        <w:t>Regressions of the price impact produce</w:t>
      </w:r>
      <w:r w:rsidR="00F80708">
        <w:rPr>
          <w:lang w:val="en-US"/>
        </w:rPr>
        <w:t>d</w:t>
      </w:r>
      <w:r w:rsidRPr="00C0615A">
        <w:rPr>
          <w:lang w:val="en-US"/>
        </w:rPr>
        <w:t xml:space="preserve"> significantly negative values of </w:t>
      </w:r>
      <w:r w:rsidRPr="00C0615A">
        <w:rPr>
          <w:i/>
          <w:lang w:val="en-US"/>
        </w:rPr>
        <w:t>g</w:t>
      </w:r>
      <w:r w:rsidRPr="00C0615A">
        <w:rPr>
          <w:lang w:val="en-US"/>
        </w:rPr>
        <w:t xml:space="preserve"> and negative values of </w:t>
      </w:r>
      <w:r w:rsidRPr="00C0615A">
        <w:rPr>
          <w:i/>
          <w:lang w:val="en-US"/>
        </w:rPr>
        <w:t>g</w:t>
      </w:r>
      <w:r w:rsidR="00F80708">
        <w:rPr>
          <w:i/>
          <w:lang w:val="en-US"/>
        </w:rPr>
        <w:t xml:space="preserve"> </w:t>
      </w:r>
      <w:r w:rsidRPr="00C0615A">
        <w:rPr>
          <w:lang w:val="en-US"/>
        </w:rPr>
        <w:t>+</w:t>
      </w:r>
      <w:r w:rsidR="00F80708">
        <w:rPr>
          <w:lang w:val="en-US"/>
        </w:rPr>
        <w:t xml:space="preserve"> </w:t>
      </w:r>
      <w:proofErr w:type="spellStart"/>
      <w:r w:rsidRPr="00C0615A">
        <w:rPr>
          <w:i/>
          <w:lang w:val="en-US"/>
        </w:rPr>
        <w:t>hw</w:t>
      </w:r>
      <w:r w:rsidR="00687845">
        <w:rPr>
          <w:i/>
          <w:vertAlign w:val="subscript"/>
          <w:lang w:val="en-US"/>
        </w:rPr>
        <w:t>i</w:t>
      </w:r>
      <w:proofErr w:type="spellEnd"/>
      <w:r w:rsidRPr="00C0615A">
        <w:rPr>
          <w:lang w:val="en-US"/>
        </w:rPr>
        <w:t xml:space="preserve"> for all </w:t>
      </w:r>
      <w:r w:rsidR="00F80708">
        <w:rPr>
          <w:lang w:val="en-US"/>
        </w:rPr>
        <w:t xml:space="preserve">components of the </w:t>
      </w:r>
      <w:r w:rsidRPr="00C0615A">
        <w:rPr>
          <w:lang w:val="en-US"/>
        </w:rPr>
        <w:t>CAC 40</w:t>
      </w:r>
      <w:r w:rsidR="00F80708">
        <w:rPr>
          <w:lang w:val="en-US"/>
        </w:rPr>
        <w:t xml:space="preserve">. This </w:t>
      </w:r>
      <w:r w:rsidRPr="00C0615A">
        <w:rPr>
          <w:lang w:val="en-US"/>
        </w:rPr>
        <w:t xml:space="preserve">leads </w:t>
      </w:r>
      <w:r w:rsidR="00F80708">
        <w:rPr>
          <w:lang w:val="en-US"/>
        </w:rPr>
        <w:t xml:space="preserve">us </w:t>
      </w:r>
      <w:r w:rsidRPr="00C0615A">
        <w:rPr>
          <w:lang w:val="en-US"/>
        </w:rPr>
        <w:t>to reject H3 and makes H4 irrelevant.</w:t>
      </w:r>
    </w:p>
    <w:p w:rsidR="006B2133" w:rsidRDefault="00F80708">
      <w:pPr>
        <w:rPr>
          <w:lang w:val="en-US"/>
        </w:rPr>
      </w:pPr>
      <w:r>
        <w:rPr>
          <w:lang w:val="en-US"/>
        </w:rPr>
        <w:t xml:space="preserve">As for </w:t>
      </w:r>
      <w:r w:rsidR="00C41698">
        <w:rPr>
          <w:lang w:val="en-US"/>
        </w:rPr>
        <w:t>variance ratios,</w:t>
      </w:r>
      <w:r w:rsidR="00707F0E">
        <w:rPr>
          <w:lang w:val="en-US"/>
        </w:rPr>
        <w:t xml:space="preserve"> most of </w:t>
      </w:r>
      <w:r w:rsidR="00C0615A" w:rsidRPr="00C0615A">
        <w:rPr>
          <w:lang w:val="en-US"/>
        </w:rPr>
        <w:t xml:space="preserve">the coefficients of the control variables combined with </w:t>
      </w:r>
      <w:proofErr w:type="gramStart"/>
      <w:r w:rsidR="00C0615A" w:rsidRPr="00C0615A">
        <w:rPr>
          <w:lang w:val="en-US"/>
        </w:rPr>
        <w:t>the</w:t>
      </w:r>
      <w:proofErr w:type="gramEnd"/>
      <w:r w:rsidR="00C0615A" w:rsidRPr="00C0615A">
        <w:rPr>
          <w:lang w:val="en-US"/>
        </w:rPr>
        <w:t xml:space="preserve"> ETF and CAC 40 dummies </w:t>
      </w:r>
      <w:r>
        <w:rPr>
          <w:lang w:val="en-US"/>
        </w:rPr>
        <w:t>d</w:t>
      </w:r>
      <w:r w:rsidR="00B37C52">
        <w:rPr>
          <w:lang w:val="en-US"/>
        </w:rPr>
        <w:t>o</w:t>
      </w:r>
      <w:r>
        <w:rPr>
          <w:lang w:val="en-US"/>
        </w:rPr>
        <w:t xml:space="preserve"> </w:t>
      </w:r>
      <w:r w:rsidR="00C0615A" w:rsidRPr="00C0615A">
        <w:rPr>
          <w:lang w:val="en-US"/>
        </w:rPr>
        <w:t>not significantly differ from zero</w:t>
      </w:r>
      <w:r w:rsidR="00707F0E" w:rsidRPr="00707F0E">
        <w:rPr>
          <w:lang w:val="en-US"/>
        </w:rPr>
        <w:t xml:space="preserve"> </w:t>
      </w:r>
      <w:r w:rsidR="00707F0E">
        <w:rPr>
          <w:lang w:val="en-US"/>
        </w:rPr>
        <w:t>in the</w:t>
      </w:r>
      <w:r w:rsidR="00707F0E" w:rsidRPr="00C0615A">
        <w:rPr>
          <w:lang w:val="en-US"/>
        </w:rPr>
        <w:t xml:space="preserve"> extended regressions (</w:t>
      </w:r>
      <w:r w:rsidR="00707F0E">
        <w:rPr>
          <w:lang w:val="en-US"/>
        </w:rPr>
        <w:t xml:space="preserve">Equation </w:t>
      </w:r>
      <w:r w:rsidR="00707F0E" w:rsidRPr="00C0615A">
        <w:rPr>
          <w:lang w:val="en-US"/>
        </w:rPr>
        <w:t>12)</w:t>
      </w:r>
      <w:r w:rsidR="00C0615A" w:rsidRPr="00C0615A">
        <w:rPr>
          <w:lang w:val="en-US"/>
        </w:rPr>
        <w:t xml:space="preserve">.  For that reason, we </w:t>
      </w:r>
      <w:r>
        <w:rPr>
          <w:lang w:val="en-US"/>
        </w:rPr>
        <w:t xml:space="preserve">will restrict ourselves to considering Equation </w:t>
      </w:r>
      <w:r w:rsidR="00C0615A" w:rsidRPr="00C0615A">
        <w:rPr>
          <w:lang w:val="en-US"/>
        </w:rPr>
        <w:t>(11)</w:t>
      </w:r>
      <w:r>
        <w:rPr>
          <w:lang w:val="en-US"/>
        </w:rPr>
        <w:t>, where we</w:t>
      </w:r>
      <w:r w:rsidR="00C0615A" w:rsidRPr="00C0615A">
        <w:rPr>
          <w:lang w:val="en-US"/>
        </w:rPr>
        <w:t xml:space="preserve"> f</w:t>
      </w:r>
      <w:r w:rsidR="00F206A4">
        <w:rPr>
          <w:lang w:val="en-US"/>
        </w:rPr>
        <w:t>oun</w:t>
      </w:r>
      <w:r w:rsidR="00C0615A" w:rsidRPr="00C0615A">
        <w:rPr>
          <w:lang w:val="en-US"/>
        </w:rPr>
        <w:t xml:space="preserve">d results strictly consistent with those of the </w:t>
      </w:r>
      <w:proofErr w:type="spellStart"/>
      <w:r w:rsidR="00C0615A" w:rsidRPr="00C0615A">
        <w:rPr>
          <w:lang w:val="en-US"/>
        </w:rPr>
        <w:t>univariate</w:t>
      </w:r>
      <w:proofErr w:type="spellEnd"/>
      <w:r w:rsidR="00C0615A" w:rsidRPr="00C0615A">
        <w:rPr>
          <w:lang w:val="en-US"/>
        </w:rPr>
        <w:t xml:space="preserve"> tests: </w:t>
      </w:r>
      <w:r w:rsidR="00C0615A" w:rsidRPr="00C0615A">
        <w:rPr>
          <w:i/>
          <w:lang w:val="en-US"/>
        </w:rPr>
        <w:t>g</w:t>
      </w:r>
      <w:r w:rsidR="00C0615A" w:rsidRPr="00C0615A">
        <w:rPr>
          <w:lang w:val="en-US"/>
        </w:rPr>
        <w:t xml:space="preserve"> is significantly negative for the 1-minute/5-minute variance ratio but is not significantly different from zero for other variance ratios.  This leaves us with very weak evidence </w:t>
      </w:r>
      <w:r>
        <w:rPr>
          <w:lang w:val="en-US"/>
        </w:rPr>
        <w:t>for</w:t>
      </w:r>
      <w:r w:rsidR="00C0615A" w:rsidRPr="00C0615A">
        <w:rPr>
          <w:lang w:val="en-US"/>
        </w:rPr>
        <w:t xml:space="preserve"> H5.</w:t>
      </w:r>
    </w:p>
    <w:p w:rsidR="00D94497" w:rsidRDefault="006B2133">
      <w:pPr>
        <w:pStyle w:val="Inserttable"/>
      </w:pPr>
      <w:r w:rsidRPr="00E723C2">
        <w:t xml:space="preserve">[Insert Table </w:t>
      </w:r>
      <w:r>
        <w:t>6 about here</w:t>
      </w:r>
      <w:r w:rsidRPr="00C0615A">
        <w:t>]</w:t>
      </w:r>
    </w:p>
    <w:p w:rsidR="00FE5D7B" w:rsidRDefault="00C0615A">
      <w:pPr>
        <w:pStyle w:val="Titre3"/>
        <w:rPr>
          <w:lang w:val="en-US"/>
        </w:rPr>
      </w:pPr>
      <w:r w:rsidRPr="00C0615A">
        <w:rPr>
          <w:lang w:val="en-US"/>
        </w:rPr>
        <w:lastRenderedPageBreak/>
        <w:t>4.4.</w:t>
      </w:r>
      <w:r w:rsidRPr="00C0615A">
        <w:rPr>
          <w:lang w:val="en-US"/>
        </w:rPr>
        <w:tab/>
        <w:t>Robustness checks</w:t>
      </w:r>
    </w:p>
    <w:p w:rsidR="00FE5D7B" w:rsidRDefault="00C0615A">
      <w:pPr>
        <w:rPr>
          <w:lang w:val="en-US"/>
        </w:rPr>
      </w:pPr>
      <w:r w:rsidRPr="00C0615A">
        <w:rPr>
          <w:lang w:val="en-US"/>
        </w:rPr>
        <w:t>One stock of the CAC 40 sub-sample and three stocks of the control sub-sample were subject to corporate actions during the observation period.  Those events may</w:t>
      </w:r>
      <w:r w:rsidR="00BC4898">
        <w:rPr>
          <w:lang w:val="en-US"/>
        </w:rPr>
        <w:t xml:space="preserve"> have</w:t>
      </w:r>
      <w:r w:rsidRPr="00C0615A">
        <w:rPr>
          <w:lang w:val="en-US"/>
        </w:rPr>
        <w:t xml:space="preserve"> permanently affect</w:t>
      </w:r>
      <w:r w:rsidR="00BC4898">
        <w:rPr>
          <w:lang w:val="en-US"/>
        </w:rPr>
        <w:t>ed</w:t>
      </w:r>
      <w:r w:rsidRPr="00C0615A">
        <w:rPr>
          <w:lang w:val="en-US"/>
        </w:rPr>
        <w:t xml:space="preserve"> the liquidity of the corresponding stocks, even though we applied the appropriate adjustment coefficients in the calculation of liquidity measures.  In order to check that none of our finding</w:t>
      </w:r>
      <w:r w:rsidR="00BC4898">
        <w:rPr>
          <w:lang w:val="en-US"/>
        </w:rPr>
        <w:t>s</w:t>
      </w:r>
      <w:r w:rsidRPr="00C0615A">
        <w:rPr>
          <w:lang w:val="en-US"/>
        </w:rPr>
        <w:t xml:space="preserve"> </w:t>
      </w:r>
      <w:r w:rsidR="00C54A1F">
        <w:rPr>
          <w:lang w:val="en-US"/>
        </w:rPr>
        <w:t>were</w:t>
      </w:r>
      <w:r w:rsidR="00BC4898">
        <w:rPr>
          <w:lang w:val="en-US"/>
        </w:rPr>
        <w:t xml:space="preserve"> </w:t>
      </w:r>
      <w:r w:rsidRPr="00C0615A">
        <w:rPr>
          <w:lang w:val="en-US"/>
        </w:rPr>
        <w:t xml:space="preserve">driven by the impact of these corporate actions, we </w:t>
      </w:r>
      <w:r w:rsidR="00BC4898">
        <w:rPr>
          <w:lang w:val="en-US"/>
        </w:rPr>
        <w:t xml:space="preserve">recalculated </w:t>
      </w:r>
      <w:r w:rsidRPr="00C0615A">
        <w:rPr>
          <w:lang w:val="en-US"/>
        </w:rPr>
        <w:t xml:space="preserve">all </w:t>
      </w:r>
      <w:r w:rsidR="00BC4898">
        <w:rPr>
          <w:lang w:val="en-US"/>
        </w:rPr>
        <w:t xml:space="preserve">the </w:t>
      </w:r>
      <w:proofErr w:type="spellStart"/>
      <w:r w:rsidRPr="00C0615A">
        <w:rPr>
          <w:lang w:val="en-US"/>
        </w:rPr>
        <w:t>univariate</w:t>
      </w:r>
      <w:proofErr w:type="spellEnd"/>
      <w:r w:rsidRPr="00C0615A">
        <w:rPr>
          <w:lang w:val="en-US"/>
        </w:rPr>
        <w:t xml:space="preserve"> and multivariate </w:t>
      </w:r>
      <w:r w:rsidR="00BC4898">
        <w:rPr>
          <w:lang w:val="en-US"/>
        </w:rPr>
        <w:t xml:space="preserve">analyses, </w:t>
      </w:r>
      <w:r w:rsidRPr="00C0615A">
        <w:rPr>
          <w:lang w:val="en-US"/>
        </w:rPr>
        <w:t xml:space="preserve">excluding the four stocks subject to corporate actions.  </w:t>
      </w:r>
      <w:r w:rsidR="00BC4898">
        <w:rPr>
          <w:lang w:val="en-US"/>
        </w:rPr>
        <w:t>The c</w:t>
      </w:r>
      <w:r w:rsidRPr="00C0615A">
        <w:rPr>
          <w:lang w:val="en-US"/>
        </w:rPr>
        <w:t>onclusions remain</w:t>
      </w:r>
      <w:r w:rsidR="00BC4898">
        <w:rPr>
          <w:lang w:val="en-US"/>
        </w:rPr>
        <w:t>ed</w:t>
      </w:r>
      <w:r w:rsidRPr="00C0615A">
        <w:rPr>
          <w:lang w:val="en-US"/>
        </w:rPr>
        <w:t xml:space="preserve"> unchanged.</w:t>
      </w:r>
    </w:p>
    <w:p w:rsidR="00FE5D7B" w:rsidRDefault="00BC4898">
      <w:pPr>
        <w:rPr>
          <w:lang w:val="en-US"/>
        </w:rPr>
      </w:pPr>
      <w:r>
        <w:rPr>
          <w:lang w:val="en-US"/>
        </w:rPr>
        <w:t>In addition</w:t>
      </w:r>
      <w:r w:rsidR="00C0615A" w:rsidRPr="00C0615A">
        <w:rPr>
          <w:lang w:val="en-US"/>
        </w:rPr>
        <w:t xml:space="preserve">, </w:t>
      </w:r>
      <w:r w:rsidR="00C54A1F">
        <w:rPr>
          <w:lang w:val="en-US"/>
        </w:rPr>
        <w:t xml:space="preserve">we replicated </w:t>
      </w:r>
      <w:r w:rsidR="00C0615A" w:rsidRPr="00C0615A">
        <w:rPr>
          <w:lang w:val="en-US"/>
        </w:rPr>
        <w:t>the panel regressions of 5-minute realized spread and price impact for time intervals of 15 minutes and 30 minutes.  The findings are very similar to those obtained at the 5-minute horizon.</w:t>
      </w:r>
    </w:p>
    <w:p w:rsidR="00FE5D7B" w:rsidRDefault="00C0615A">
      <w:pPr>
        <w:pStyle w:val="Titre2"/>
        <w:rPr>
          <w:lang w:val="en-US"/>
        </w:rPr>
      </w:pPr>
      <w:r w:rsidRPr="00C0615A">
        <w:rPr>
          <w:lang w:val="en-US"/>
        </w:rPr>
        <w:t>5.</w:t>
      </w:r>
      <w:r w:rsidRPr="00C0615A">
        <w:rPr>
          <w:lang w:val="en-US"/>
        </w:rPr>
        <w:tab/>
        <w:t>Interpreting the findings and discussing the theoretical hypotheses</w:t>
      </w:r>
    </w:p>
    <w:p w:rsidR="00FE5D7B" w:rsidRDefault="00C0615A">
      <w:pPr>
        <w:rPr>
          <w:lang w:val="en-US"/>
        </w:rPr>
      </w:pPr>
      <w:r w:rsidRPr="00C0615A">
        <w:rPr>
          <w:lang w:val="en-US"/>
        </w:rPr>
        <w:t>Difference-in-difference</w:t>
      </w:r>
      <w:r w:rsidR="003E2D77">
        <w:rPr>
          <w:lang w:val="en-US"/>
        </w:rPr>
        <w:t>s</w:t>
      </w:r>
      <w:r w:rsidRPr="00C0615A">
        <w:rPr>
          <w:lang w:val="en-US"/>
        </w:rPr>
        <w:t xml:space="preserve"> tests on measures of trading volumes produce</w:t>
      </w:r>
      <w:r w:rsidR="003E2D77">
        <w:rPr>
          <w:lang w:val="en-US"/>
        </w:rPr>
        <w:t>d</w:t>
      </w:r>
      <w:r w:rsidRPr="00C0615A">
        <w:rPr>
          <w:lang w:val="en-US"/>
        </w:rPr>
        <w:t xml:space="preserve"> </w:t>
      </w:r>
      <w:r w:rsidR="0011204D">
        <w:rPr>
          <w:lang w:val="en-US"/>
        </w:rPr>
        <w:t xml:space="preserve">strong </w:t>
      </w:r>
      <w:r w:rsidRPr="00C0615A">
        <w:rPr>
          <w:lang w:val="en-US"/>
        </w:rPr>
        <w:t xml:space="preserve">significant results </w:t>
      </w:r>
      <w:r w:rsidR="0011204D">
        <w:rPr>
          <w:lang w:val="en-US"/>
        </w:rPr>
        <w:t>only</w:t>
      </w:r>
      <w:r w:rsidRPr="00C0615A">
        <w:rPr>
          <w:lang w:val="en-US"/>
        </w:rPr>
        <w:t xml:space="preserve"> for the total trading volume</w:t>
      </w:r>
      <w:r w:rsidR="003E2D77">
        <w:rPr>
          <w:lang w:val="en-US"/>
        </w:rPr>
        <w:t>,</w:t>
      </w:r>
      <w:r w:rsidRPr="00C0615A">
        <w:rPr>
          <w:lang w:val="en-US"/>
        </w:rPr>
        <w:t xml:space="preserve"> which significantly increase</w:t>
      </w:r>
      <w:r w:rsidR="003E2D77">
        <w:rPr>
          <w:lang w:val="en-US"/>
        </w:rPr>
        <w:t>d</w:t>
      </w:r>
      <w:r w:rsidRPr="00C0615A">
        <w:rPr>
          <w:lang w:val="en-US"/>
        </w:rPr>
        <w:t xml:space="preserve"> for index stocks at the </w:t>
      </w:r>
      <w:r w:rsidR="0011204D">
        <w:rPr>
          <w:lang w:val="en-US"/>
        </w:rPr>
        <w:t>5</w:t>
      </w:r>
      <w:r w:rsidRPr="00C0615A">
        <w:rPr>
          <w:lang w:val="en-US"/>
        </w:rPr>
        <w:t xml:space="preserve">% threshold.  This allows us to reject H1a and leaves us with very weak evidence in support of H1b.  </w:t>
      </w:r>
      <w:r w:rsidR="003E2D77">
        <w:rPr>
          <w:lang w:val="en-US"/>
        </w:rPr>
        <w:t xml:space="preserve">However with respect to </w:t>
      </w:r>
      <w:r w:rsidRPr="00C0615A">
        <w:rPr>
          <w:lang w:val="en-US"/>
        </w:rPr>
        <w:t>spreads, the difference-in-difference</w:t>
      </w:r>
      <w:r w:rsidR="003E2D77">
        <w:rPr>
          <w:lang w:val="en-US"/>
        </w:rPr>
        <w:t>s</w:t>
      </w:r>
      <w:r w:rsidRPr="00C0615A">
        <w:rPr>
          <w:lang w:val="en-US"/>
        </w:rPr>
        <w:t xml:space="preserve"> approach and the multivariate analysis converge</w:t>
      </w:r>
      <w:r w:rsidR="003E2D77">
        <w:rPr>
          <w:lang w:val="en-US"/>
        </w:rPr>
        <w:t>d</w:t>
      </w:r>
      <w:r w:rsidRPr="00C0615A">
        <w:rPr>
          <w:lang w:val="en-US"/>
        </w:rPr>
        <w:t xml:space="preserve"> to show a very significant tightening of quoted and effective for CAC 40 stocks in the post-ETF period.  Adjusted block spreads of index stocks </w:t>
      </w:r>
      <w:r w:rsidR="003E2D77">
        <w:rPr>
          <w:lang w:val="en-US"/>
        </w:rPr>
        <w:t>we</w:t>
      </w:r>
      <w:r w:rsidRPr="00C0615A">
        <w:rPr>
          <w:lang w:val="en-US"/>
        </w:rPr>
        <w:t>re also found to decrease significantly relative to those of non</w:t>
      </w:r>
      <w:r w:rsidR="003E2D77">
        <w:rPr>
          <w:lang w:val="en-US"/>
        </w:rPr>
        <w:t>-</w:t>
      </w:r>
      <w:r w:rsidRPr="00C0615A">
        <w:rPr>
          <w:lang w:val="en-US"/>
        </w:rPr>
        <w:t>index stocks in the panel regressions,</w:t>
      </w:r>
      <w:r w:rsidR="003E2D77">
        <w:rPr>
          <w:lang w:val="en-US"/>
        </w:rPr>
        <w:t xml:space="preserve"> although this was not </w:t>
      </w:r>
      <w:r w:rsidR="00707F0E">
        <w:rPr>
          <w:lang w:val="en-US"/>
        </w:rPr>
        <w:t xml:space="preserve">as strongly </w:t>
      </w:r>
      <w:r w:rsidR="003E2D77">
        <w:rPr>
          <w:lang w:val="en-US"/>
        </w:rPr>
        <w:t xml:space="preserve">supported by </w:t>
      </w:r>
      <w:r w:rsidRPr="00C0615A">
        <w:rPr>
          <w:lang w:val="en-US"/>
        </w:rPr>
        <w:t xml:space="preserve">the </w:t>
      </w:r>
      <w:proofErr w:type="spellStart"/>
      <w:r w:rsidRPr="00C0615A">
        <w:rPr>
          <w:lang w:val="en-US"/>
        </w:rPr>
        <w:t>univariate</w:t>
      </w:r>
      <w:proofErr w:type="spellEnd"/>
      <w:r w:rsidRPr="00C0615A">
        <w:rPr>
          <w:lang w:val="en-US"/>
        </w:rPr>
        <w:t xml:space="preserve"> tests.  </w:t>
      </w:r>
      <w:r w:rsidR="003E2D77">
        <w:rPr>
          <w:lang w:val="en-US"/>
        </w:rPr>
        <w:t>O</w:t>
      </w:r>
      <w:r w:rsidRPr="00C0615A">
        <w:rPr>
          <w:lang w:val="en-US"/>
        </w:rPr>
        <w:t xml:space="preserve">nly </w:t>
      </w:r>
      <w:r w:rsidR="0011204D">
        <w:rPr>
          <w:lang w:val="en-US"/>
        </w:rPr>
        <w:t xml:space="preserve">the paired </w:t>
      </w:r>
      <w:r w:rsidR="0011204D" w:rsidRPr="00C41698">
        <w:rPr>
          <w:i/>
          <w:lang w:val="en-US"/>
        </w:rPr>
        <w:t>t</w:t>
      </w:r>
      <w:r w:rsidR="0011204D">
        <w:rPr>
          <w:lang w:val="en-US"/>
        </w:rPr>
        <w:t xml:space="preserve">-test </w:t>
      </w:r>
      <w:r w:rsidRPr="00C0615A">
        <w:rPr>
          <w:lang w:val="en-US"/>
        </w:rPr>
        <w:t>identifie</w:t>
      </w:r>
      <w:r w:rsidR="003E2D77">
        <w:rPr>
          <w:lang w:val="en-US"/>
        </w:rPr>
        <w:t xml:space="preserve">d </w:t>
      </w:r>
      <w:r w:rsidRPr="00C0615A">
        <w:rPr>
          <w:lang w:val="en-US"/>
        </w:rPr>
        <w:t>an improvement</w:t>
      </w:r>
      <w:r w:rsidR="003E2D77">
        <w:rPr>
          <w:lang w:val="en-US"/>
        </w:rPr>
        <w:t xml:space="preserve"> in depth</w:t>
      </w:r>
      <w:r w:rsidR="0011204D">
        <w:rPr>
          <w:lang w:val="en-US"/>
        </w:rPr>
        <w:t xml:space="preserve"> for index stocks</w:t>
      </w:r>
      <w:r w:rsidR="00707F0E">
        <w:rPr>
          <w:lang w:val="en-US"/>
        </w:rPr>
        <w:t>.</w:t>
      </w:r>
      <w:r w:rsidRPr="00C0615A">
        <w:rPr>
          <w:lang w:val="en-US"/>
        </w:rPr>
        <w:t xml:space="preserve"> </w:t>
      </w:r>
      <w:r w:rsidR="00707F0E">
        <w:rPr>
          <w:lang w:val="en-US"/>
        </w:rPr>
        <w:t xml:space="preserve"> In the multivariate approach,</w:t>
      </w:r>
      <w:r w:rsidRPr="00C0615A">
        <w:rPr>
          <w:lang w:val="en-US"/>
        </w:rPr>
        <w:t xml:space="preserve"> this </w:t>
      </w:r>
      <w:r w:rsidR="003E2D77">
        <w:rPr>
          <w:lang w:val="en-US"/>
        </w:rPr>
        <w:t>wa</w:t>
      </w:r>
      <w:r w:rsidRPr="00C0615A">
        <w:rPr>
          <w:lang w:val="en-US"/>
        </w:rPr>
        <w:t xml:space="preserve">s shown to be fully </w:t>
      </w:r>
      <w:r w:rsidR="003E2D77">
        <w:rPr>
          <w:lang w:val="en-US"/>
        </w:rPr>
        <w:t xml:space="preserve">explained by </w:t>
      </w:r>
      <w:r w:rsidRPr="00C0615A">
        <w:rPr>
          <w:lang w:val="en-US"/>
        </w:rPr>
        <w:t xml:space="preserve">a decline </w:t>
      </w:r>
      <w:r w:rsidR="003E2D77">
        <w:rPr>
          <w:lang w:val="en-US"/>
        </w:rPr>
        <w:t>i</w:t>
      </w:r>
      <w:r w:rsidRPr="00C0615A">
        <w:rPr>
          <w:lang w:val="en-US"/>
        </w:rPr>
        <w:t xml:space="preserve">n the sensitivity of </w:t>
      </w:r>
      <w:r w:rsidR="003E2D77">
        <w:rPr>
          <w:lang w:val="en-US"/>
        </w:rPr>
        <w:t xml:space="preserve">the </w:t>
      </w:r>
      <w:r w:rsidRPr="00C0615A">
        <w:rPr>
          <w:lang w:val="en-US"/>
        </w:rPr>
        <w:t xml:space="preserve">depth to price volatility after the </w:t>
      </w:r>
      <w:r w:rsidR="003E2D77">
        <w:rPr>
          <w:lang w:val="en-US"/>
        </w:rPr>
        <w:t xml:space="preserve">introduction of the </w:t>
      </w:r>
      <w:r w:rsidRPr="00C0615A">
        <w:rPr>
          <w:lang w:val="en-US"/>
        </w:rPr>
        <w:t xml:space="preserve">ETF.  </w:t>
      </w:r>
      <w:r w:rsidR="003E2D77">
        <w:rPr>
          <w:lang w:val="en-US"/>
        </w:rPr>
        <w:t xml:space="preserve">Taken </w:t>
      </w:r>
      <w:r w:rsidRPr="00C0615A">
        <w:rPr>
          <w:lang w:val="en-US"/>
        </w:rPr>
        <w:t xml:space="preserve">together, these findings </w:t>
      </w:r>
      <w:r w:rsidR="003E2D77">
        <w:rPr>
          <w:lang w:val="en-US"/>
        </w:rPr>
        <w:t xml:space="preserve">provide </w:t>
      </w:r>
      <w:r w:rsidRPr="00C0615A">
        <w:rPr>
          <w:lang w:val="en-US"/>
        </w:rPr>
        <w:t>unambiguous support</w:t>
      </w:r>
      <w:r w:rsidR="003E2D77">
        <w:rPr>
          <w:lang w:val="en-US"/>
        </w:rPr>
        <w:t xml:space="preserve"> for </w:t>
      </w:r>
      <w:r w:rsidRPr="00C0615A">
        <w:rPr>
          <w:lang w:val="en-US"/>
        </w:rPr>
        <w:t xml:space="preserve">H2b and rejection of H2a.  The rejection of H1a and H2a combined </w:t>
      </w:r>
      <w:r w:rsidRPr="00C0615A">
        <w:rPr>
          <w:lang w:val="en-US"/>
        </w:rPr>
        <w:lastRenderedPageBreak/>
        <w:t xml:space="preserve">with the rejection of H3 and H4 resulting from all </w:t>
      </w:r>
      <w:r w:rsidR="003E2D77">
        <w:rPr>
          <w:lang w:val="en-US"/>
        </w:rPr>
        <w:t xml:space="preserve">the </w:t>
      </w:r>
      <w:r w:rsidRPr="00C0615A">
        <w:rPr>
          <w:lang w:val="en-US"/>
        </w:rPr>
        <w:t>test</w:t>
      </w:r>
      <w:r w:rsidR="003E2D77">
        <w:rPr>
          <w:lang w:val="en-US"/>
        </w:rPr>
        <w:t>s</w:t>
      </w:r>
      <w:r w:rsidRPr="00C0615A">
        <w:rPr>
          <w:lang w:val="en-US"/>
        </w:rPr>
        <w:t xml:space="preserve"> conducted on adverse</w:t>
      </w:r>
      <w:r w:rsidR="003F1C25">
        <w:rPr>
          <w:lang w:val="en-US"/>
        </w:rPr>
        <w:t xml:space="preserve"> </w:t>
      </w:r>
      <w:r w:rsidRPr="00C0615A">
        <w:rPr>
          <w:lang w:val="en-US"/>
        </w:rPr>
        <w:t xml:space="preserve">selection measures </w:t>
      </w:r>
      <w:r w:rsidR="009D6C05">
        <w:rPr>
          <w:lang w:val="en-US"/>
        </w:rPr>
        <w:t>clearly rules out</w:t>
      </w:r>
      <w:r w:rsidR="003E2D77">
        <w:rPr>
          <w:lang w:val="en-US"/>
        </w:rPr>
        <w:t xml:space="preserve"> </w:t>
      </w:r>
      <w:r w:rsidRPr="00C0615A">
        <w:rPr>
          <w:lang w:val="en-US"/>
        </w:rPr>
        <w:t>the adverse</w:t>
      </w:r>
      <w:r w:rsidR="003F1C25">
        <w:rPr>
          <w:lang w:val="en-US"/>
        </w:rPr>
        <w:t xml:space="preserve"> </w:t>
      </w:r>
      <w:r w:rsidRPr="00C0615A">
        <w:rPr>
          <w:lang w:val="en-US"/>
        </w:rPr>
        <w:t xml:space="preserve">selection hypothesis </w:t>
      </w:r>
      <w:r w:rsidR="003E2D77">
        <w:rPr>
          <w:lang w:val="en-US"/>
        </w:rPr>
        <w:t>(</w:t>
      </w:r>
      <w:r w:rsidRPr="00C0615A">
        <w:rPr>
          <w:lang w:val="en-US"/>
        </w:rPr>
        <w:t>which predicts a deterioration of index</w:t>
      </w:r>
      <w:r w:rsidR="003E2D77">
        <w:rPr>
          <w:lang w:val="en-US"/>
        </w:rPr>
        <w:t>-</w:t>
      </w:r>
      <w:r w:rsidRPr="00C0615A">
        <w:rPr>
          <w:lang w:val="en-US"/>
        </w:rPr>
        <w:t>stock liquidity following the introduction of an index security</w:t>
      </w:r>
      <w:r w:rsidR="003E2D77">
        <w:rPr>
          <w:lang w:val="en-US"/>
        </w:rPr>
        <w:t>)</w:t>
      </w:r>
      <w:r w:rsidRPr="00C0615A">
        <w:rPr>
          <w:lang w:val="en-US"/>
        </w:rPr>
        <w:t xml:space="preserve">.  </w:t>
      </w:r>
      <w:r w:rsidR="003E2D77">
        <w:rPr>
          <w:lang w:val="en-US"/>
        </w:rPr>
        <w:t>W</w:t>
      </w:r>
      <w:r w:rsidRPr="00C0615A">
        <w:rPr>
          <w:lang w:val="en-US"/>
        </w:rPr>
        <w:t xml:space="preserve">e </w:t>
      </w:r>
      <w:r w:rsidR="003E2D77">
        <w:rPr>
          <w:lang w:val="en-US"/>
        </w:rPr>
        <w:t xml:space="preserve">found </w:t>
      </w:r>
      <w:r w:rsidRPr="00C0615A">
        <w:rPr>
          <w:lang w:val="en-US"/>
        </w:rPr>
        <w:t xml:space="preserve">a very significant </w:t>
      </w:r>
      <w:r w:rsidR="003E2D77">
        <w:rPr>
          <w:lang w:val="en-US"/>
        </w:rPr>
        <w:t xml:space="preserve">improvement in </w:t>
      </w:r>
      <w:r w:rsidRPr="00C0615A">
        <w:rPr>
          <w:lang w:val="en-US"/>
        </w:rPr>
        <w:t>liquidity</w:t>
      </w:r>
      <w:r w:rsidR="003E2D77">
        <w:rPr>
          <w:lang w:val="en-US"/>
        </w:rPr>
        <w:t>,</w:t>
      </w:r>
      <w:r w:rsidRPr="00C0615A">
        <w:rPr>
          <w:lang w:val="en-US"/>
        </w:rPr>
        <w:t xml:space="preserve"> that </w:t>
      </w:r>
      <w:r w:rsidR="003E2D77">
        <w:rPr>
          <w:lang w:val="en-US"/>
        </w:rPr>
        <w:t xml:space="preserve">occurred </w:t>
      </w:r>
      <w:r w:rsidRPr="00C0615A">
        <w:rPr>
          <w:lang w:val="en-US"/>
        </w:rPr>
        <w:t xml:space="preserve">more through the tightening of spreads (strong evidence supporting H2b) than through increased trading volumes (weak evidence supporting H1b), and both the arbitrage and the recognition hypotheses </w:t>
      </w:r>
      <w:r w:rsidR="003E2D77">
        <w:rPr>
          <w:lang w:val="en-US"/>
        </w:rPr>
        <w:t xml:space="preserve">can </w:t>
      </w:r>
      <w:r w:rsidRPr="00C0615A">
        <w:rPr>
          <w:lang w:val="en-US"/>
        </w:rPr>
        <w:t>explain this liquidity effect.</w:t>
      </w:r>
    </w:p>
    <w:p w:rsidR="00FE5D7B" w:rsidRDefault="00C0615A">
      <w:pPr>
        <w:rPr>
          <w:lang w:val="en-US"/>
        </w:rPr>
      </w:pPr>
      <w:r w:rsidRPr="00C0615A">
        <w:rPr>
          <w:lang w:val="en-US"/>
        </w:rPr>
        <w:t>T</w:t>
      </w:r>
      <w:r w:rsidR="003E2D77">
        <w:rPr>
          <w:lang w:val="en-US"/>
        </w:rPr>
        <w:t>he t</w:t>
      </w:r>
      <w:r w:rsidRPr="00C0615A">
        <w:rPr>
          <w:lang w:val="en-US"/>
        </w:rPr>
        <w:t xml:space="preserve">ests of H5 based on variance ratios and </w:t>
      </w:r>
      <w:r w:rsidR="003E2D77">
        <w:rPr>
          <w:lang w:val="en-US"/>
        </w:rPr>
        <w:t xml:space="preserve">those </w:t>
      </w:r>
      <w:r w:rsidRPr="00C0615A">
        <w:rPr>
          <w:lang w:val="en-US"/>
        </w:rPr>
        <w:t xml:space="preserve">of H6 based on the differential effects for low- and heavy-weight index components </w:t>
      </w:r>
      <w:r w:rsidR="003E2D77">
        <w:rPr>
          <w:lang w:val="en-US"/>
        </w:rPr>
        <w:t>we</w:t>
      </w:r>
      <w:r w:rsidRPr="00C0615A">
        <w:rPr>
          <w:lang w:val="en-US"/>
        </w:rPr>
        <w:t xml:space="preserve">re designed to </w:t>
      </w:r>
      <w:r w:rsidR="00707F0E">
        <w:rPr>
          <w:lang w:val="en-US"/>
        </w:rPr>
        <w:t>bring additional evidence on</w:t>
      </w:r>
      <w:r w:rsidRPr="00C0615A">
        <w:rPr>
          <w:lang w:val="en-US"/>
        </w:rPr>
        <w:t xml:space="preserve"> the arbitrage and the recognition hypothes</w:t>
      </w:r>
      <w:r w:rsidR="003E2D77">
        <w:rPr>
          <w:lang w:val="en-US"/>
        </w:rPr>
        <w:t>e</w:t>
      </w:r>
      <w:r w:rsidRPr="00C0615A">
        <w:rPr>
          <w:lang w:val="en-US"/>
        </w:rPr>
        <w:t xml:space="preserve">s.  </w:t>
      </w:r>
      <w:r w:rsidR="003E2D77">
        <w:rPr>
          <w:lang w:val="en-US"/>
        </w:rPr>
        <w:t xml:space="preserve">There is very little </w:t>
      </w:r>
      <w:r w:rsidRPr="00C0615A">
        <w:rPr>
          <w:lang w:val="en-US"/>
        </w:rPr>
        <w:t>evidence of index</w:t>
      </w:r>
      <w:r w:rsidR="003E2D77">
        <w:rPr>
          <w:lang w:val="en-US"/>
        </w:rPr>
        <w:t>-</w:t>
      </w:r>
      <w:r w:rsidRPr="00C0615A">
        <w:rPr>
          <w:lang w:val="en-US"/>
        </w:rPr>
        <w:t xml:space="preserve">stock price stabilization following the introduction of the ETF.  </w:t>
      </w:r>
      <w:r w:rsidR="008449D5">
        <w:rPr>
          <w:lang w:val="en-US"/>
        </w:rPr>
        <w:t>T</w:t>
      </w:r>
      <w:r w:rsidRPr="00C0615A">
        <w:rPr>
          <w:lang w:val="en-US"/>
        </w:rPr>
        <w:t>he analysis of variance ratios provides weak support for H5: short-term price volatility measured by the 1-minute/5-minute variance ratio significantly decrease</w:t>
      </w:r>
      <w:r w:rsidR="003E2D77">
        <w:rPr>
          <w:lang w:val="en-US"/>
        </w:rPr>
        <w:t>d</w:t>
      </w:r>
      <w:r w:rsidRPr="00C0615A">
        <w:rPr>
          <w:lang w:val="en-US"/>
        </w:rPr>
        <w:t xml:space="preserve"> for index stocks relative to control stocks but </w:t>
      </w:r>
      <w:r w:rsidR="008449D5">
        <w:rPr>
          <w:lang w:val="en-US"/>
        </w:rPr>
        <w:t xml:space="preserve">did </w:t>
      </w:r>
      <w:r w:rsidRPr="00C0615A">
        <w:rPr>
          <w:lang w:val="en-US"/>
        </w:rPr>
        <w:t xml:space="preserve">not </w:t>
      </w:r>
      <w:r w:rsidR="008449D5">
        <w:rPr>
          <w:lang w:val="en-US"/>
        </w:rPr>
        <w:t xml:space="preserve">change </w:t>
      </w:r>
      <w:r w:rsidRPr="00C0615A">
        <w:rPr>
          <w:lang w:val="en-US"/>
        </w:rPr>
        <w:t xml:space="preserve">significantly when measured with other ratios.  However, as discussed in Section 3, weak evidence for or the rejection of H5 does not rule out the </w:t>
      </w:r>
      <w:proofErr w:type="spellStart"/>
      <w:r w:rsidRPr="00C0615A">
        <w:rPr>
          <w:lang w:val="en-US"/>
        </w:rPr>
        <w:t>Fremault’s</w:t>
      </w:r>
      <w:proofErr w:type="spellEnd"/>
      <w:r w:rsidRPr="00C0615A">
        <w:rPr>
          <w:lang w:val="en-US"/>
        </w:rPr>
        <w:t xml:space="preserve"> (1991) arbitrage theory.</w:t>
      </w:r>
    </w:p>
    <w:p w:rsidR="00FE5D7B" w:rsidRDefault="008449D5">
      <w:pPr>
        <w:rPr>
          <w:lang w:val="en-US"/>
        </w:rPr>
      </w:pPr>
      <w:r>
        <w:rPr>
          <w:lang w:val="en-US"/>
        </w:rPr>
        <w:t>D</w:t>
      </w:r>
      <w:r w:rsidR="00C0615A" w:rsidRPr="00C0615A">
        <w:rPr>
          <w:lang w:val="en-US"/>
        </w:rPr>
        <w:t xml:space="preserve">ifferential effects for low- and heavy-weight index components </w:t>
      </w:r>
      <w:r>
        <w:rPr>
          <w:lang w:val="en-US"/>
        </w:rPr>
        <w:t xml:space="preserve">(as </w:t>
      </w:r>
      <w:r w:rsidR="00C0615A" w:rsidRPr="00C0615A">
        <w:rPr>
          <w:lang w:val="en-US"/>
        </w:rPr>
        <w:t>predicted by the recognition theory</w:t>
      </w:r>
      <w:r>
        <w:rPr>
          <w:lang w:val="en-US"/>
        </w:rPr>
        <w:t>)</w:t>
      </w:r>
      <w:r w:rsidR="00C0615A" w:rsidRPr="00C0615A">
        <w:rPr>
          <w:lang w:val="en-US"/>
        </w:rPr>
        <w:t xml:space="preserve"> </w:t>
      </w:r>
      <w:r>
        <w:rPr>
          <w:lang w:val="en-US"/>
        </w:rPr>
        <w:t>we</w:t>
      </w:r>
      <w:r w:rsidR="00C0615A" w:rsidRPr="00C0615A">
        <w:rPr>
          <w:lang w:val="en-US"/>
        </w:rPr>
        <w:t xml:space="preserve">re captured through the estimates of coefficients </w:t>
      </w:r>
      <w:r w:rsidR="00C0615A" w:rsidRPr="00C0615A">
        <w:rPr>
          <w:i/>
          <w:lang w:val="en-US"/>
        </w:rPr>
        <w:t>h</w:t>
      </w:r>
      <w:r w:rsidR="00C0615A" w:rsidRPr="00C0615A">
        <w:rPr>
          <w:lang w:val="en-US"/>
        </w:rPr>
        <w:t xml:space="preserve"> in the panel regressions of Table 5.  </w:t>
      </w:r>
      <w:r w:rsidR="0099370D">
        <w:rPr>
          <w:lang w:val="en-US"/>
        </w:rPr>
        <w:t xml:space="preserve">According to the negative estimated values of </w:t>
      </w:r>
      <w:r w:rsidR="003C0F19" w:rsidRPr="003C0F19">
        <w:rPr>
          <w:i/>
          <w:lang w:val="en-US"/>
        </w:rPr>
        <w:t>h</w:t>
      </w:r>
      <w:r w:rsidR="0099370D">
        <w:rPr>
          <w:lang w:val="en-US"/>
        </w:rPr>
        <w:t xml:space="preserve"> in</w:t>
      </w:r>
      <w:r w:rsidR="00D14DE7">
        <w:rPr>
          <w:lang w:val="en-US"/>
        </w:rPr>
        <w:t xml:space="preserve"> the extended </w:t>
      </w:r>
      <w:r w:rsidR="0099370D">
        <w:rPr>
          <w:lang w:val="en-US"/>
        </w:rPr>
        <w:t>regressions</w:t>
      </w:r>
      <w:r w:rsidR="00D14DE7">
        <w:rPr>
          <w:lang w:val="en-US"/>
        </w:rPr>
        <w:t xml:space="preserve"> (Model 12)</w:t>
      </w:r>
      <w:r w:rsidR="0099370D">
        <w:rPr>
          <w:lang w:val="en-US"/>
        </w:rPr>
        <w:t xml:space="preserve"> of spread measures,</w:t>
      </w:r>
      <w:r w:rsidR="00D14DE7">
        <w:rPr>
          <w:lang w:val="en-US"/>
        </w:rPr>
        <w:t xml:space="preserve"> </w:t>
      </w:r>
      <w:r w:rsidR="0099370D">
        <w:rPr>
          <w:lang w:val="en-US"/>
        </w:rPr>
        <w:t xml:space="preserve">the liquidity improvement </w:t>
      </w:r>
      <w:r w:rsidR="00D14DE7">
        <w:rPr>
          <w:lang w:val="en-US"/>
        </w:rPr>
        <w:t xml:space="preserve">following the ETF inception </w:t>
      </w:r>
      <w:r w:rsidR="0099370D">
        <w:rPr>
          <w:lang w:val="en-US"/>
        </w:rPr>
        <w:t>would have been</w:t>
      </w:r>
      <w:r w:rsidR="00D14DE7">
        <w:rPr>
          <w:lang w:val="en-US"/>
        </w:rPr>
        <w:t xml:space="preserve"> greater for larger index components</w:t>
      </w:r>
      <w:r w:rsidR="0099370D">
        <w:rPr>
          <w:lang w:val="en-US"/>
        </w:rPr>
        <w:t xml:space="preserve"> so that</w:t>
      </w:r>
      <w:r w:rsidR="00D14DE7">
        <w:rPr>
          <w:lang w:val="en-US"/>
        </w:rPr>
        <w:t xml:space="preserve"> the recognition hypothesis (H6)</w:t>
      </w:r>
      <w:r w:rsidR="0099370D">
        <w:rPr>
          <w:lang w:val="en-US"/>
        </w:rPr>
        <w:t xml:space="preserve"> would be rejected</w:t>
      </w:r>
      <w:r w:rsidR="00D14DE7">
        <w:rPr>
          <w:lang w:val="en-US"/>
        </w:rPr>
        <w:t>.</w:t>
      </w:r>
      <w:r w:rsidR="00C0615A" w:rsidRPr="00C0615A">
        <w:rPr>
          <w:lang w:val="en-US"/>
        </w:rPr>
        <w:t xml:space="preserve">  </w:t>
      </w:r>
      <w:r w:rsidR="00D14DE7">
        <w:rPr>
          <w:lang w:val="en-US"/>
        </w:rPr>
        <w:t>We check this finding by</w:t>
      </w:r>
      <w:r w:rsidR="00C0615A" w:rsidRPr="00C0615A">
        <w:rPr>
          <w:lang w:val="en-US"/>
        </w:rPr>
        <w:t xml:space="preserve"> build</w:t>
      </w:r>
      <w:r w:rsidR="00D14DE7">
        <w:rPr>
          <w:lang w:val="en-US"/>
        </w:rPr>
        <w:t>ing</w:t>
      </w:r>
      <w:r w:rsidR="00C0615A" w:rsidRPr="00C0615A">
        <w:rPr>
          <w:lang w:val="en-US"/>
        </w:rPr>
        <w:t xml:space="preserve"> another test of H6 based on the relation between liquidity variations around the ETF introduction date for a given stock </w:t>
      </w:r>
      <w:proofErr w:type="spellStart"/>
      <w:r w:rsidR="00C0615A" w:rsidRPr="00C0615A">
        <w:rPr>
          <w:i/>
          <w:lang w:val="en-US"/>
        </w:rPr>
        <w:t>i</w:t>
      </w:r>
      <w:proofErr w:type="spellEnd"/>
      <w:r w:rsidR="00C0615A" w:rsidRPr="00C0615A">
        <w:rPr>
          <w:lang w:val="en-US"/>
        </w:rPr>
        <w:t xml:space="preserve"> of the index and its weight in the index</w:t>
      </w:r>
      <w:r w:rsidR="00C0615A" w:rsidRPr="00C0615A">
        <w:rPr>
          <w:i/>
          <w:lang w:val="en-US"/>
        </w:rPr>
        <w:t xml:space="preserve"> </w:t>
      </w:r>
      <w:proofErr w:type="spellStart"/>
      <w:r w:rsidR="00C0615A" w:rsidRPr="00C0615A">
        <w:rPr>
          <w:i/>
          <w:lang w:val="en-US"/>
        </w:rPr>
        <w:t>w</w:t>
      </w:r>
      <w:r w:rsidR="00687845">
        <w:rPr>
          <w:i/>
          <w:vertAlign w:val="subscript"/>
          <w:lang w:val="en-US"/>
        </w:rPr>
        <w:t>i</w:t>
      </w:r>
      <w:proofErr w:type="spellEnd"/>
      <w:r w:rsidR="00C0615A" w:rsidRPr="00C0615A">
        <w:rPr>
          <w:lang w:val="en-US"/>
        </w:rPr>
        <w:t xml:space="preserve"> at the time of the </w:t>
      </w:r>
      <w:r w:rsidR="002C1140">
        <w:rPr>
          <w:lang w:val="en-US"/>
        </w:rPr>
        <w:t>incep</w:t>
      </w:r>
      <w:r>
        <w:rPr>
          <w:lang w:val="en-US"/>
        </w:rPr>
        <w:t xml:space="preserve">tion of the </w:t>
      </w:r>
      <w:r w:rsidR="00C0615A" w:rsidRPr="00C0615A">
        <w:rPr>
          <w:lang w:val="en-US"/>
        </w:rPr>
        <w:t xml:space="preserve">ETF, and we </w:t>
      </w:r>
      <w:r>
        <w:rPr>
          <w:lang w:val="en-US"/>
        </w:rPr>
        <w:t xml:space="preserve">ran </w:t>
      </w:r>
      <w:r w:rsidR="00C0615A" w:rsidRPr="00C0615A">
        <w:rPr>
          <w:lang w:val="en-US"/>
        </w:rPr>
        <w:t>the following cross-sectional OLS regression on the CAC 40 stock sample:</w:t>
      </w:r>
    </w:p>
    <w:tbl>
      <w:tblPr>
        <w:tblW w:w="9290" w:type="dxa"/>
        <w:tblLook w:val="01E0" w:firstRow="1" w:lastRow="1" w:firstColumn="1" w:lastColumn="1" w:noHBand="0" w:noVBand="0"/>
      </w:tblPr>
      <w:tblGrid>
        <w:gridCol w:w="8208"/>
        <w:gridCol w:w="1082"/>
      </w:tblGrid>
      <w:tr w:rsidR="0027445F" w:rsidRPr="00E723C2" w:rsidTr="00495372">
        <w:tc>
          <w:tcPr>
            <w:tcW w:w="8208" w:type="dxa"/>
          </w:tcPr>
          <w:p w:rsidR="00FE5D7B" w:rsidRDefault="008761E3">
            <w:pPr>
              <w:ind w:firstLine="0"/>
              <w:jc w:val="center"/>
              <w:rPr>
                <w:lang w:val="en-US"/>
              </w:rPr>
            </w:pPr>
            <w:r w:rsidRPr="00E723C2">
              <w:rPr>
                <w:position w:val="-12"/>
                <w:lang w:val="en-US"/>
              </w:rPr>
              <w:object w:dxaOrig="4040" w:dyaOrig="360">
                <v:shape id="_x0000_i1066" type="#_x0000_t75" style="width:201.75pt;height:18.75pt" o:ole="">
                  <v:imagedata r:id="rId95" o:title=""/>
                </v:shape>
                <o:OLEObject Type="Embed" ProgID="Equation.3" ShapeID="_x0000_i1066" DrawAspect="Content" ObjectID="_1396445719" r:id="rId96"/>
              </w:object>
            </w:r>
          </w:p>
        </w:tc>
        <w:tc>
          <w:tcPr>
            <w:tcW w:w="1082" w:type="dxa"/>
            <w:vAlign w:val="bottom"/>
          </w:tcPr>
          <w:p w:rsidR="00FE5D7B" w:rsidRDefault="0027445F">
            <w:pPr>
              <w:ind w:firstLine="0"/>
              <w:jc w:val="right"/>
              <w:rPr>
                <w:lang w:val="en-US"/>
              </w:rPr>
            </w:pPr>
            <w:r w:rsidRPr="00E723C2">
              <w:rPr>
                <w:lang w:val="en-US"/>
              </w:rPr>
              <w:t>(13)</w:t>
            </w:r>
          </w:p>
        </w:tc>
      </w:tr>
    </w:tbl>
    <w:p w:rsidR="00FE5D7B" w:rsidRDefault="0027445F">
      <w:pPr>
        <w:ind w:firstLine="0"/>
        <w:rPr>
          <w:lang w:val="en-US"/>
        </w:rPr>
      </w:pPr>
      <w:r w:rsidRPr="00E723C2">
        <w:rPr>
          <w:rFonts w:ascii="Symbol" w:hAnsi="Symbol"/>
          <w:i/>
          <w:lang w:val="en-US"/>
        </w:rPr>
        <w:t></w:t>
      </w:r>
      <w:proofErr w:type="spellStart"/>
      <w:r w:rsidRPr="00E723C2">
        <w:rPr>
          <w:i/>
          <w:lang w:val="en-US"/>
        </w:rPr>
        <w:t>DV</w:t>
      </w:r>
      <w:r w:rsidR="00687845">
        <w:rPr>
          <w:i/>
          <w:vertAlign w:val="subscript"/>
          <w:lang w:val="en-US"/>
        </w:rPr>
        <w:t>i</w:t>
      </w:r>
      <w:proofErr w:type="spellEnd"/>
      <w:r w:rsidR="00C0615A" w:rsidRPr="00C0615A">
        <w:rPr>
          <w:lang w:val="en-US"/>
        </w:rPr>
        <w:t xml:space="preserve"> is the pre-/post-ETF relative variation in a given liquidity measure for stock </w:t>
      </w:r>
      <w:proofErr w:type="spellStart"/>
      <w:r w:rsidR="00C0615A" w:rsidRPr="00C0615A">
        <w:rPr>
          <w:i/>
          <w:lang w:val="en-US"/>
        </w:rPr>
        <w:t>i</w:t>
      </w:r>
      <w:proofErr w:type="spellEnd"/>
      <w:r w:rsidR="008449D5">
        <w:rPr>
          <w:lang w:val="en-US"/>
        </w:rPr>
        <w:t xml:space="preserve">. Measures of </w:t>
      </w:r>
      <w:r w:rsidR="00C0615A" w:rsidRPr="00C0615A">
        <w:rPr>
          <w:lang w:val="en-US"/>
        </w:rPr>
        <w:t xml:space="preserve">liquidity </w:t>
      </w:r>
      <w:r w:rsidR="008449D5">
        <w:rPr>
          <w:lang w:val="en-US"/>
        </w:rPr>
        <w:t xml:space="preserve">are </w:t>
      </w:r>
      <w:r w:rsidR="00C0615A" w:rsidRPr="00C0615A">
        <w:rPr>
          <w:lang w:val="en-US"/>
        </w:rPr>
        <w:t>the average quoted spread, the average effective spread, the 5-minute realized spread, the best-limit depth, and the adjusted block spread.</w:t>
      </w:r>
      <w:r w:rsidR="008449D5">
        <w:rPr>
          <w:lang w:val="en-US"/>
        </w:rPr>
        <w:t xml:space="preserve"> </w:t>
      </w:r>
      <w:r w:rsidR="00C0615A" w:rsidRPr="00C0615A">
        <w:rPr>
          <w:lang w:val="en-US"/>
        </w:rPr>
        <w:t xml:space="preserve">The pre-/post-ETF relative variations </w:t>
      </w:r>
      <w:r w:rsidR="008449D5">
        <w:rPr>
          <w:lang w:val="en-US"/>
        </w:rPr>
        <w:t>in</w:t>
      </w:r>
      <w:r w:rsidR="00C0615A" w:rsidRPr="00C0615A">
        <w:rPr>
          <w:lang w:val="en-US"/>
        </w:rPr>
        <w:t xml:space="preserve"> the average price range (</w:t>
      </w:r>
      <w:r w:rsidR="006D0D8A" w:rsidRPr="00E723C2">
        <w:rPr>
          <w:position w:val="-12"/>
          <w:lang w:val="en-US"/>
        </w:rPr>
        <w:object w:dxaOrig="460" w:dyaOrig="360">
          <v:shape id="_x0000_i1067" type="#_x0000_t75" style="width:23.25pt;height:18.75pt" o:ole="">
            <v:imagedata r:id="rId97" o:title=""/>
          </v:shape>
          <o:OLEObject Type="Embed" ProgID="Equation.3" ShapeID="_x0000_i1067" DrawAspect="Content" ObjectID="_1396445720" r:id="rId98"/>
        </w:object>
      </w:r>
      <w:r w:rsidR="001121B9" w:rsidRPr="00E723C2">
        <w:rPr>
          <w:lang w:val="en-US"/>
        </w:rPr>
        <w:t>) a</w:t>
      </w:r>
      <w:r w:rsidR="007911A8" w:rsidRPr="00E723C2">
        <w:rPr>
          <w:lang w:val="en-US"/>
        </w:rPr>
        <w:t xml:space="preserve">nd </w:t>
      </w:r>
      <w:r w:rsidR="00C0615A" w:rsidRPr="00C0615A">
        <w:rPr>
          <w:lang w:val="en-US"/>
        </w:rPr>
        <w:t xml:space="preserve">the trading volume in number of shares </w:t>
      </w:r>
      <w:r w:rsidR="008449D5">
        <w:rPr>
          <w:lang w:val="en-US"/>
        </w:rPr>
        <w:t xml:space="preserve">         </w:t>
      </w:r>
      <w:r w:rsidR="00C0615A" w:rsidRPr="00C0615A">
        <w:rPr>
          <w:lang w:val="en-US"/>
        </w:rPr>
        <w:t>(</w:t>
      </w:r>
      <w:r w:rsidR="008761E3" w:rsidRPr="00E723C2">
        <w:rPr>
          <w:position w:val="-12"/>
          <w:lang w:val="en-US"/>
        </w:rPr>
        <w:object w:dxaOrig="460" w:dyaOrig="360">
          <v:shape id="_x0000_i1068" type="#_x0000_t75" style="width:23.25pt;height:18.75pt" o:ole="">
            <v:imagedata r:id="rId99" o:title=""/>
          </v:shape>
          <o:OLEObject Type="Embed" ProgID="Equation.3" ShapeID="_x0000_i1068" DrawAspect="Content" ObjectID="_1396445721" r:id="rId100"/>
        </w:object>
      </w:r>
      <w:r w:rsidR="001121B9" w:rsidRPr="00E723C2">
        <w:rPr>
          <w:lang w:val="en-US"/>
        </w:rPr>
        <w:t xml:space="preserve">) </w:t>
      </w:r>
      <w:r w:rsidR="006D0D8A" w:rsidRPr="00E723C2">
        <w:rPr>
          <w:lang w:val="en-US"/>
        </w:rPr>
        <w:t xml:space="preserve">are taken as control variables.  </w:t>
      </w:r>
      <w:r w:rsidR="008761E3" w:rsidRPr="00E723C2">
        <w:rPr>
          <w:position w:val="-12"/>
          <w:lang w:val="en-US"/>
        </w:rPr>
        <w:object w:dxaOrig="460" w:dyaOrig="360">
          <v:shape id="_x0000_i1069" type="#_x0000_t75" style="width:23.25pt;height:18.75pt" o:ole="">
            <v:imagedata r:id="rId99" o:title=""/>
          </v:shape>
          <o:OLEObject Type="Embed" ProgID="Equation.3" ShapeID="_x0000_i1069" DrawAspect="Content" ObjectID="_1396445722" r:id="rId101"/>
        </w:object>
      </w:r>
      <w:r w:rsidR="00D14DE7" w:rsidRPr="00E723C2">
        <w:rPr>
          <w:lang w:val="en-US"/>
        </w:rPr>
        <w:t xml:space="preserve"> </w:t>
      </w:r>
      <w:proofErr w:type="gramStart"/>
      <w:r w:rsidR="008449D5">
        <w:rPr>
          <w:lang w:val="en-US"/>
        </w:rPr>
        <w:t>wa</w:t>
      </w:r>
      <w:r w:rsidR="006D0D8A" w:rsidRPr="00E723C2">
        <w:rPr>
          <w:lang w:val="en-US"/>
        </w:rPr>
        <w:t>s</w:t>
      </w:r>
      <w:proofErr w:type="gramEnd"/>
      <w:r w:rsidR="006D0D8A" w:rsidRPr="00E723C2">
        <w:rPr>
          <w:lang w:val="en-US"/>
        </w:rPr>
        <w:t xml:space="preserve"> also regressed on </w:t>
      </w:r>
      <w:proofErr w:type="spellStart"/>
      <w:r w:rsidR="006D0D8A" w:rsidRPr="00E723C2">
        <w:rPr>
          <w:i/>
          <w:lang w:val="en-US"/>
        </w:rPr>
        <w:t>w</w:t>
      </w:r>
      <w:r w:rsidR="00687845">
        <w:rPr>
          <w:i/>
          <w:vertAlign w:val="subscript"/>
          <w:lang w:val="en-US"/>
        </w:rPr>
        <w:t>i</w:t>
      </w:r>
      <w:proofErr w:type="spellEnd"/>
      <w:r w:rsidR="00C0615A" w:rsidRPr="00C0615A">
        <w:rPr>
          <w:lang w:val="en-US"/>
        </w:rPr>
        <w:t xml:space="preserve">, but </w:t>
      </w:r>
      <w:r w:rsidR="008449D5">
        <w:rPr>
          <w:lang w:val="en-US"/>
        </w:rPr>
        <w:t xml:space="preserve">the </w:t>
      </w:r>
      <w:r w:rsidR="00C0615A" w:rsidRPr="00C0615A">
        <w:rPr>
          <w:lang w:val="en-US"/>
        </w:rPr>
        <w:t xml:space="preserve">control variables </w:t>
      </w:r>
      <w:r w:rsidR="008449D5">
        <w:rPr>
          <w:lang w:val="en-US"/>
        </w:rPr>
        <w:t>we</w:t>
      </w:r>
      <w:r w:rsidR="00C0615A" w:rsidRPr="00C0615A">
        <w:rPr>
          <w:lang w:val="en-US"/>
        </w:rPr>
        <w:t xml:space="preserve">re omitted in that case.  Table </w:t>
      </w:r>
      <w:r w:rsidR="00CF48CA">
        <w:rPr>
          <w:lang w:val="en-US"/>
        </w:rPr>
        <w:t>7</w:t>
      </w:r>
      <w:r w:rsidR="00CF48CA" w:rsidRPr="00C0615A">
        <w:rPr>
          <w:lang w:val="en-US"/>
        </w:rPr>
        <w:t xml:space="preserve"> </w:t>
      </w:r>
      <w:r w:rsidR="008449D5">
        <w:rPr>
          <w:lang w:val="en-US"/>
        </w:rPr>
        <w:t xml:space="preserve">shows </w:t>
      </w:r>
      <w:r w:rsidR="00C0615A" w:rsidRPr="00C0615A">
        <w:rPr>
          <w:lang w:val="en-US"/>
        </w:rPr>
        <w:t xml:space="preserve">the results.  The </w:t>
      </w:r>
      <w:r w:rsidR="00C0615A" w:rsidRPr="00C0615A">
        <w:rPr>
          <w:rFonts w:ascii="Symbol" w:hAnsi="Symbol"/>
          <w:i/>
          <w:lang w:val="en-US"/>
        </w:rPr>
        <w:t></w:t>
      </w:r>
      <w:r w:rsidR="00687845">
        <w:rPr>
          <w:i/>
          <w:vertAlign w:val="subscript"/>
          <w:lang w:val="en-US"/>
        </w:rPr>
        <w:t>3</w:t>
      </w:r>
      <w:r w:rsidR="00C0615A" w:rsidRPr="00C0615A">
        <w:rPr>
          <w:lang w:val="en-US"/>
        </w:rPr>
        <w:t xml:space="preserve"> coefficient d</w:t>
      </w:r>
      <w:r w:rsidR="009D6C05">
        <w:rPr>
          <w:lang w:val="en-US"/>
        </w:rPr>
        <w:t>oes</w:t>
      </w:r>
      <w:r w:rsidR="00C0615A" w:rsidRPr="00C0615A">
        <w:rPr>
          <w:lang w:val="en-US"/>
        </w:rPr>
        <w:t xml:space="preserve"> not significantly differ from zero in any of the regressions.  </w:t>
      </w:r>
      <w:r w:rsidR="008449D5">
        <w:rPr>
          <w:lang w:val="en-US"/>
        </w:rPr>
        <w:t>T</w:t>
      </w:r>
      <w:r w:rsidR="00C0615A" w:rsidRPr="00C0615A">
        <w:rPr>
          <w:lang w:val="en-US"/>
        </w:rPr>
        <w:t>his finding</w:t>
      </w:r>
      <w:r w:rsidR="008449D5">
        <w:rPr>
          <w:lang w:val="en-US"/>
        </w:rPr>
        <w:t>,</w:t>
      </w:r>
      <w:r w:rsidR="00C0615A" w:rsidRPr="00C0615A">
        <w:rPr>
          <w:lang w:val="en-US"/>
        </w:rPr>
        <w:t xml:space="preserve"> </w:t>
      </w:r>
      <w:r w:rsidR="008449D5">
        <w:rPr>
          <w:lang w:val="en-US"/>
        </w:rPr>
        <w:t xml:space="preserve">together with </w:t>
      </w:r>
      <w:r w:rsidR="00C0615A" w:rsidRPr="00C0615A">
        <w:rPr>
          <w:lang w:val="en-US"/>
        </w:rPr>
        <w:t xml:space="preserve">the inconclusive results of the panel regressions </w:t>
      </w:r>
      <w:r w:rsidR="008449D5">
        <w:rPr>
          <w:lang w:val="en-US"/>
        </w:rPr>
        <w:t xml:space="preserve">for </w:t>
      </w:r>
      <w:r w:rsidR="00C0615A" w:rsidRPr="00C0615A">
        <w:rPr>
          <w:lang w:val="en-US"/>
        </w:rPr>
        <w:t xml:space="preserve">coefficients </w:t>
      </w:r>
      <w:r w:rsidR="00C0615A" w:rsidRPr="00C0615A">
        <w:rPr>
          <w:i/>
          <w:lang w:val="en-US"/>
        </w:rPr>
        <w:t>h</w:t>
      </w:r>
      <w:r w:rsidR="008449D5">
        <w:rPr>
          <w:i/>
          <w:lang w:val="en-US"/>
        </w:rPr>
        <w:t>,</w:t>
      </w:r>
      <w:r w:rsidR="00C0615A" w:rsidRPr="00C0615A">
        <w:rPr>
          <w:lang w:val="en-US"/>
        </w:rPr>
        <w:t xml:space="preserve"> leads us to conclude that the spread decrease </w:t>
      </w:r>
      <w:r w:rsidR="008449D5">
        <w:rPr>
          <w:lang w:val="en-US"/>
        </w:rPr>
        <w:t xml:space="preserve">which occurred </w:t>
      </w:r>
      <w:r w:rsidR="00C0615A" w:rsidRPr="00C0615A">
        <w:rPr>
          <w:lang w:val="en-US"/>
        </w:rPr>
        <w:t xml:space="preserve">for CAC 40 stocks after the </w:t>
      </w:r>
      <w:r w:rsidR="002C1140">
        <w:rPr>
          <w:lang w:val="en-US"/>
        </w:rPr>
        <w:t>incep</w:t>
      </w:r>
      <w:r w:rsidR="008449D5">
        <w:rPr>
          <w:lang w:val="en-US"/>
        </w:rPr>
        <w:t xml:space="preserve">tion of the </w:t>
      </w:r>
      <w:proofErr w:type="spellStart"/>
      <w:r w:rsidR="00C0615A" w:rsidRPr="00C0615A">
        <w:rPr>
          <w:lang w:val="en-US"/>
        </w:rPr>
        <w:t>Lyxor</w:t>
      </w:r>
      <w:proofErr w:type="spellEnd"/>
      <w:r w:rsidR="00C0615A" w:rsidRPr="00C0615A">
        <w:rPr>
          <w:lang w:val="en-US"/>
        </w:rPr>
        <w:t xml:space="preserve"> CAC 40 ETF cannot be explained by a recognition effect.</w:t>
      </w:r>
    </w:p>
    <w:p w:rsidR="00FE5D7B" w:rsidRDefault="00C0615A">
      <w:pPr>
        <w:pStyle w:val="Inserttable"/>
      </w:pPr>
      <w:r w:rsidRPr="00C0615A">
        <w:t xml:space="preserve">[Insert Table </w:t>
      </w:r>
      <w:r w:rsidR="00CF48CA">
        <w:t xml:space="preserve">7 </w:t>
      </w:r>
      <w:r w:rsidR="008449D5">
        <w:t>about here</w:t>
      </w:r>
      <w:r w:rsidRPr="00C0615A">
        <w:t>]</w:t>
      </w:r>
    </w:p>
    <w:p w:rsidR="00FE5D7B" w:rsidRDefault="00C0615A">
      <w:pPr>
        <w:suppressAutoHyphens/>
        <w:rPr>
          <w:lang w:val="en-US"/>
        </w:rPr>
      </w:pPr>
      <w:r w:rsidRPr="00C0615A">
        <w:rPr>
          <w:lang w:val="en-US"/>
        </w:rPr>
        <w:t xml:space="preserve">In contrast, </w:t>
      </w:r>
      <w:r w:rsidR="00484B21">
        <w:rPr>
          <w:lang w:val="en-US"/>
        </w:rPr>
        <w:t xml:space="preserve">the </w:t>
      </w:r>
      <w:r w:rsidRPr="00C0615A">
        <w:rPr>
          <w:lang w:val="en-US"/>
        </w:rPr>
        <w:t>strong evidence of spread reduction f</w:t>
      </w:r>
      <w:bookmarkStart w:id="1" w:name="begin"/>
      <w:bookmarkEnd w:id="1"/>
      <w:r w:rsidRPr="00C0615A">
        <w:rPr>
          <w:lang w:val="en-US"/>
        </w:rPr>
        <w:t>or ETF underlying stocks is fairly consistent with the risk</w:t>
      </w:r>
      <w:r w:rsidR="003F1C25">
        <w:rPr>
          <w:lang w:val="en-US"/>
        </w:rPr>
        <w:t xml:space="preserve"> </w:t>
      </w:r>
      <w:r w:rsidRPr="00C0615A">
        <w:rPr>
          <w:lang w:val="en-US"/>
        </w:rPr>
        <w:t xml:space="preserve">sharing benefits of cross-market arbitrage modeled by </w:t>
      </w:r>
      <w:proofErr w:type="spellStart"/>
      <w:r w:rsidRPr="00C0615A">
        <w:rPr>
          <w:lang w:val="en-US"/>
        </w:rPr>
        <w:t>Fremault</w:t>
      </w:r>
      <w:proofErr w:type="spellEnd"/>
      <w:r w:rsidRPr="00C0615A">
        <w:rPr>
          <w:lang w:val="en-US"/>
        </w:rPr>
        <w:t xml:space="preserve"> (1991).  This interpretation is reinforced by the fact that the order</w:t>
      </w:r>
      <w:r w:rsidR="003F1C25">
        <w:rPr>
          <w:lang w:val="en-US"/>
        </w:rPr>
        <w:t xml:space="preserve"> </w:t>
      </w:r>
      <w:r w:rsidRPr="00C0615A">
        <w:rPr>
          <w:lang w:val="en-US"/>
        </w:rPr>
        <w:t>processing cost component of index</w:t>
      </w:r>
      <w:r w:rsidR="00484B21">
        <w:rPr>
          <w:lang w:val="en-US"/>
        </w:rPr>
        <w:t>-</w:t>
      </w:r>
      <w:r w:rsidRPr="00C0615A">
        <w:rPr>
          <w:lang w:val="en-US"/>
        </w:rPr>
        <w:t>stock spreads decrease</w:t>
      </w:r>
      <w:r w:rsidR="00484B21">
        <w:rPr>
          <w:lang w:val="en-US"/>
        </w:rPr>
        <w:t>d</w:t>
      </w:r>
      <w:r w:rsidRPr="00C0615A">
        <w:rPr>
          <w:lang w:val="en-US"/>
        </w:rPr>
        <w:t xml:space="preserve"> much more than their adverse selection costs</w:t>
      </w:r>
      <w:r w:rsidR="00F3485F">
        <w:rPr>
          <w:lang w:val="en-US"/>
        </w:rPr>
        <w:t xml:space="preserve">, as shown by the paired </w:t>
      </w:r>
      <w:r w:rsidR="00F3485F" w:rsidRPr="00C41698">
        <w:rPr>
          <w:i/>
          <w:lang w:val="en-US"/>
        </w:rPr>
        <w:t>t</w:t>
      </w:r>
      <w:r w:rsidR="00F3485F">
        <w:rPr>
          <w:lang w:val="en-US"/>
        </w:rPr>
        <w:t>-test</w:t>
      </w:r>
      <w:r w:rsidRPr="00C0615A">
        <w:rPr>
          <w:lang w:val="en-US"/>
        </w:rPr>
        <w:t xml:space="preserve">.  </w:t>
      </w:r>
      <w:r w:rsidR="00F3485F">
        <w:rPr>
          <w:lang w:val="en-US"/>
        </w:rPr>
        <w:t>The</w:t>
      </w:r>
      <w:r w:rsidRPr="00C0615A">
        <w:rPr>
          <w:lang w:val="en-US"/>
        </w:rPr>
        <w:t xml:space="preserve"> findings of the tests displayed in Table 3 indicate </w:t>
      </w:r>
      <w:r w:rsidR="00603AC7">
        <w:rPr>
          <w:lang w:val="en-US"/>
        </w:rPr>
        <w:t xml:space="preserve">that </w:t>
      </w:r>
      <w:r w:rsidRPr="00C0615A">
        <w:rPr>
          <w:lang w:val="en-US"/>
        </w:rPr>
        <w:t>the average</w:t>
      </w:r>
      <w:r w:rsidR="003F1C25">
        <w:rPr>
          <w:lang w:val="en-US"/>
        </w:rPr>
        <w:t xml:space="preserve"> </w:t>
      </w:r>
      <w:r w:rsidRPr="00C0615A">
        <w:rPr>
          <w:lang w:val="en-US"/>
        </w:rPr>
        <w:t>price impacts do not significantly decrease for index stocks relative to non</w:t>
      </w:r>
      <w:r w:rsidR="00484B21">
        <w:rPr>
          <w:lang w:val="en-US"/>
        </w:rPr>
        <w:t>-</w:t>
      </w:r>
      <w:r w:rsidRPr="00C0615A">
        <w:rPr>
          <w:lang w:val="en-US"/>
        </w:rPr>
        <w:t>index stocks</w:t>
      </w:r>
      <w:r w:rsidR="009D6C05">
        <w:rPr>
          <w:lang w:val="en-US"/>
        </w:rPr>
        <w:t>,</w:t>
      </w:r>
      <w:r w:rsidR="000C0225">
        <w:rPr>
          <w:lang w:val="en-US"/>
        </w:rPr>
        <w:t xml:space="preserve"> </w:t>
      </w:r>
      <w:r w:rsidR="009D6C05">
        <w:rPr>
          <w:lang w:val="en-US"/>
        </w:rPr>
        <w:t>while</w:t>
      </w:r>
      <w:r w:rsidR="000C0225">
        <w:rPr>
          <w:lang w:val="en-US"/>
        </w:rPr>
        <w:t xml:space="preserve"> </w:t>
      </w:r>
      <w:r w:rsidRPr="00C0615A">
        <w:rPr>
          <w:lang w:val="en-US"/>
        </w:rPr>
        <w:t xml:space="preserve">the realized spreads tighten significantly at the 1% threshold.  </w:t>
      </w:r>
      <w:r w:rsidR="00603AC7">
        <w:rPr>
          <w:lang w:val="en-US"/>
        </w:rPr>
        <w:t xml:space="preserve">They also show that the decrease in the LSB order processing cost for CAC 40 stocks relative to that of other stocks was much more significant than the decrease in the LSB adverse selection costs.  </w:t>
      </w:r>
      <w:r w:rsidR="00F3485F">
        <w:rPr>
          <w:lang w:val="en-US"/>
        </w:rPr>
        <w:t>Then</w:t>
      </w:r>
      <w:r w:rsidRPr="00C0615A">
        <w:rPr>
          <w:lang w:val="en-US"/>
        </w:rPr>
        <w:t xml:space="preserve">, comparing the estimates of the single-regime regressions of effective spreads, realized spreads, and price impacts (cf. Table 5) </w:t>
      </w:r>
      <w:r w:rsidR="000C0225">
        <w:rPr>
          <w:lang w:val="en-US"/>
        </w:rPr>
        <w:t xml:space="preserve">indicates </w:t>
      </w:r>
      <w:r w:rsidRPr="00C0615A">
        <w:rPr>
          <w:lang w:val="en-US"/>
        </w:rPr>
        <w:t xml:space="preserve">that the post-ETF decrease in the effective spread of index stocks is much more </w:t>
      </w:r>
      <w:r w:rsidR="000C0225">
        <w:rPr>
          <w:lang w:val="en-US"/>
        </w:rPr>
        <w:t xml:space="preserve">attributable </w:t>
      </w:r>
      <w:r w:rsidRPr="00C0615A">
        <w:rPr>
          <w:lang w:val="en-US"/>
        </w:rPr>
        <w:t xml:space="preserve">to the ETF-related reduction </w:t>
      </w:r>
      <w:r w:rsidR="000C0225">
        <w:rPr>
          <w:lang w:val="en-US"/>
        </w:rPr>
        <w:t xml:space="preserve">in </w:t>
      </w:r>
      <w:r w:rsidRPr="00C0615A">
        <w:rPr>
          <w:lang w:val="en-US"/>
        </w:rPr>
        <w:t>the realized spread</w:t>
      </w:r>
      <w:r w:rsidR="000C0225">
        <w:rPr>
          <w:lang w:val="en-US"/>
        </w:rPr>
        <w:t>,</w:t>
      </w:r>
      <w:r w:rsidRPr="00C0615A">
        <w:rPr>
          <w:lang w:val="en-US"/>
        </w:rPr>
        <w:t xml:space="preserve"> than to </w:t>
      </w:r>
      <w:r w:rsidR="000C0225">
        <w:rPr>
          <w:lang w:val="en-US"/>
        </w:rPr>
        <w:lastRenderedPageBreak/>
        <w:t xml:space="preserve">the </w:t>
      </w:r>
      <w:r w:rsidRPr="00C0615A">
        <w:rPr>
          <w:lang w:val="en-US"/>
        </w:rPr>
        <w:t xml:space="preserve">5-minute price impacts.  Let us consider a theoretical index stock with a weight in the index of 1/40.  The post-ETF decrease in its effective spread is estimated to </w:t>
      </w:r>
      <w:r w:rsidR="000C0225">
        <w:rPr>
          <w:lang w:val="en-US"/>
        </w:rPr>
        <w:t xml:space="preserve">be </w:t>
      </w:r>
      <w:r w:rsidRPr="00C0615A">
        <w:rPr>
          <w:rFonts w:ascii="Symbol" w:hAnsi="Symbol"/>
          <w:lang w:val="en-US"/>
        </w:rPr>
        <w:t></w:t>
      </w:r>
      <w:r w:rsidRPr="00C0615A">
        <w:rPr>
          <w:lang w:val="en-US"/>
        </w:rPr>
        <w:t>0.</w:t>
      </w:r>
      <w:r w:rsidR="00FD0445" w:rsidRPr="00C0615A">
        <w:rPr>
          <w:lang w:val="en-US"/>
        </w:rPr>
        <w:t>0</w:t>
      </w:r>
      <w:r w:rsidR="00FD0445">
        <w:rPr>
          <w:lang w:val="en-US"/>
        </w:rPr>
        <w:t>791</w:t>
      </w:r>
      <w:r w:rsidR="00FD0445" w:rsidRPr="00C0615A">
        <w:rPr>
          <w:lang w:val="en-US"/>
        </w:rPr>
        <w:t xml:space="preserve"> </w:t>
      </w:r>
      <w:r w:rsidRPr="00C0615A">
        <w:rPr>
          <w:lang w:val="en-US"/>
        </w:rPr>
        <w:t>(</w:t>
      </w:r>
      <w:r w:rsidRPr="00C0615A">
        <w:rPr>
          <w:rFonts w:ascii="Symbol" w:hAnsi="Symbol"/>
          <w:lang w:val="en-US"/>
        </w:rPr>
        <w:t></w:t>
      </w:r>
      <w:r w:rsidRPr="00C0615A">
        <w:rPr>
          <w:lang w:val="en-US"/>
        </w:rPr>
        <w:t>0.</w:t>
      </w:r>
      <w:r w:rsidR="00FD0445" w:rsidRPr="00C0615A">
        <w:rPr>
          <w:lang w:val="en-US"/>
        </w:rPr>
        <w:t>0</w:t>
      </w:r>
      <w:r w:rsidR="00FD0445">
        <w:rPr>
          <w:lang w:val="en-US"/>
        </w:rPr>
        <w:t>794</w:t>
      </w:r>
      <w:r w:rsidRPr="00C0615A">
        <w:rPr>
          <w:lang w:val="en-US"/>
        </w:rPr>
        <w:t>+0.</w:t>
      </w:r>
      <w:r w:rsidR="00FD0445" w:rsidRPr="00C0615A">
        <w:rPr>
          <w:lang w:val="en-US"/>
        </w:rPr>
        <w:t>01</w:t>
      </w:r>
      <w:r w:rsidR="00FD0445">
        <w:rPr>
          <w:lang w:val="en-US"/>
        </w:rPr>
        <w:t>35</w:t>
      </w:r>
      <w:r w:rsidRPr="00C0615A">
        <w:rPr>
          <w:lang w:val="en-US"/>
        </w:rPr>
        <w:t xml:space="preserve">/40) </w:t>
      </w:r>
      <w:r w:rsidR="000C0225">
        <w:rPr>
          <w:lang w:val="en-US"/>
        </w:rPr>
        <w:t xml:space="preserve">as a </w:t>
      </w:r>
      <w:r w:rsidRPr="00C0615A">
        <w:rPr>
          <w:lang w:val="en-US"/>
        </w:rPr>
        <w:t xml:space="preserve">percentage of the mid-quote.  The major part of this decrease </w:t>
      </w:r>
      <w:r w:rsidR="000C0225">
        <w:rPr>
          <w:lang w:val="en-US"/>
        </w:rPr>
        <w:t xml:space="preserve">is due </w:t>
      </w:r>
      <w:r w:rsidRPr="00C0615A">
        <w:rPr>
          <w:lang w:val="en-US"/>
        </w:rPr>
        <w:t xml:space="preserve">to the decrease </w:t>
      </w:r>
      <w:r w:rsidR="000C0225">
        <w:rPr>
          <w:lang w:val="en-US"/>
        </w:rPr>
        <w:t xml:space="preserve">in </w:t>
      </w:r>
      <w:r w:rsidRPr="00C0615A">
        <w:rPr>
          <w:lang w:val="en-US"/>
        </w:rPr>
        <w:t>its realized spread</w:t>
      </w:r>
      <w:r w:rsidR="000C0225">
        <w:rPr>
          <w:lang w:val="en-US"/>
        </w:rPr>
        <w:t>,</w:t>
      </w:r>
      <w:r w:rsidRPr="00C0615A">
        <w:rPr>
          <w:lang w:val="en-US"/>
        </w:rPr>
        <w:t xml:space="preserve"> which is estimated to </w:t>
      </w:r>
      <w:r w:rsidR="000C0225">
        <w:rPr>
          <w:lang w:val="en-US"/>
        </w:rPr>
        <w:t xml:space="preserve">be </w:t>
      </w:r>
      <w:r w:rsidRPr="00C0615A">
        <w:rPr>
          <w:rFonts w:ascii="Symbol" w:hAnsi="Symbol"/>
          <w:lang w:val="en-US"/>
        </w:rPr>
        <w:t></w:t>
      </w:r>
      <w:r w:rsidRPr="00C0615A">
        <w:rPr>
          <w:lang w:val="en-US"/>
        </w:rPr>
        <w:t>0.</w:t>
      </w:r>
      <w:r w:rsidR="00FD0445" w:rsidRPr="00C0615A">
        <w:rPr>
          <w:lang w:val="en-US"/>
        </w:rPr>
        <w:t>04</w:t>
      </w:r>
      <w:r w:rsidR="00FD0445">
        <w:rPr>
          <w:lang w:val="en-US"/>
        </w:rPr>
        <w:t>1</w:t>
      </w:r>
      <w:r w:rsidR="00FD0445" w:rsidRPr="00C0615A">
        <w:rPr>
          <w:lang w:val="en-US"/>
        </w:rPr>
        <w:t>7</w:t>
      </w:r>
      <w:r w:rsidRPr="00C0615A">
        <w:rPr>
          <w:lang w:val="en-US"/>
        </w:rPr>
        <w:t xml:space="preserve">, while only </w:t>
      </w:r>
      <w:r w:rsidRPr="00C0615A">
        <w:rPr>
          <w:rFonts w:ascii="Symbol" w:hAnsi="Symbol"/>
          <w:lang w:val="en-US"/>
        </w:rPr>
        <w:t></w:t>
      </w:r>
      <w:r w:rsidRPr="00C0615A">
        <w:rPr>
          <w:lang w:val="en-US"/>
        </w:rPr>
        <w:t>0.</w:t>
      </w:r>
      <w:r w:rsidR="00FD0445" w:rsidRPr="00C0615A">
        <w:rPr>
          <w:lang w:val="en-US"/>
        </w:rPr>
        <w:t>0</w:t>
      </w:r>
      <w:r w:rsidR="00FD0445">
        <w:rPr>
          <w:lang w:val="en-US"/>
        </w:rPr>
        <w:t>203</w:t>
      </w:r>
      <w:r w:rsidR="00FD0445" w:rsidRPr="00C0615A">
        <w:rPr>
          <w:lang w:val="en-US"/>
        </w:rPr>
        <w:t xml:space="preserve"> </w:t>
      </w:r>
      <w:r w:rsidRPr="00C0615A">
        <w:rPr>
          <w:lang w:val="en-US"/>
        </w:rPr>
        <w:t>can be attributed to the decrease of its price impact.  The rest is explained by other factors, in particular the changes in the control</w:t>
      </w:r>
      <w:r w:rsidR="003F1C25">
        <w:rPr>
          <w:lang w:val="en-US"/>
        </w:rPr>
        <w:t xml:space="preserve"> </w:t>
      </w:r>
      <w:r w:rsidRPr="00C0615A">
        <w:rPr>
          <w:lang w:val="en-US"/>
        </w:rPr>
        <w:t>variable coefficient in the post-ETF period.  This phenomenon is even more striking when the estimates of extended regressions</w:t>
      </w:r>
      <w:r w:rsidR="000C0225">
        <w:rPr>
          <w:lang w:val="en-US"/>
        </w:rPr>
        <w:t xml:space="preserve"> are considered.</w:t>
      </w:r>
    </w:p>
    <w:p w:rsidR="00FE5D7B" w:rsidRDefault="00C0615A">
      <w:pPr>
        <w:rPr>
          <w:lang w:val="en-US"/>
        </w:rPr>
      </w:pPr>
      <w:r w:rsidRPr="00C0615A">
        <w:rPr>
          <w:lang w:val="en-US"/>
        </w:rPr>
        <w:t xml:space="preserve">In addition, the extended regressions of spreads show that </w:t>
      </w:r>
      <w:r w:rsidR="000C0225">
        <w:rPr>
          <w:lang w:val="en-US"/>
        </w:rPr>
        <w:t xml:space="preserve">the </w:t>
      </w:r>
      <w:r w:rsidRPr="00C0615A">
        <w:rPr>
          <w:lang w:val="en-US"/>
        </w:rPr>
        <w:t>CAC</w:t>
      </w:r>
      <w:r w:rsidR="000C0225">
        <w:rPr>
          <w:lang w:val="en-US"/>
        </w:rPr>
        <w:t xml:space="preserve"> </w:t>
      </w:r>
      <w:r w:rsidRPr="00C0615A">
        <w:rPr>
          <w:lang w:val="en-US"/>
        </w:rPr>
        <w:t>40 stock spreads are less sensitive to price volatility and order imbalance in the post-ETF period – the only exception being the sensitivity of adjusted block spreads to order imbalance.  In summary: (1) spreads are less sensitive to factors creating inventory costs (price volatility and order imbalances); (2) the order</w:t>
      </w:r>
      <w:r w:rsidR="003F1C25">
        <w:rPr>
          <w:lang w:val="en-US"/>
        </w:rPr>
        <w:t xml:space="preserve"> </w:t>
      </w:r>
      <w:r w:rsidRPr="00C0615A">
        <w:rPr>
          <w:lang w:val="en-US"/>
        </w:rPr>
        <w:t>processing and order</w:t>
      </w:r>
      <w:r w:rsidR="003F1C25">
        <w:rPr>
          <w:lang w:val="en-US"/>
        </w:rPr>
        <w:t xml:space="preserve"> </w:t>
      </w:r>
      <w:r w:rsidRPr="00C0615A">
        <w:rPr>
          <w:lang w:val="en-US"/>
        </w:rPr>
        <w:t>imbalance costs of index stocks reduce more than their adverse</w:t>
      </w:r>
      <w:r w:rsidR="003F1C25">
        <w:rPr>
          <w:lang w:val="en-US"/>
        </w:rPr>
        <w:t xml:space="preserve"> </w:t>
      </w:r>
      <w:r w:rsidRPr="00C0615A">
        <w:rPr>
          <w:lang w:val="en-US"/>
        </w:rPr>
        <w:t>selection costs.  We therefore conclude that the opening of the ETF market contributes to improv</w:t>
      </w:r>
      <w:r w:rsidR="000C0225">
        <w:rPr>
          <w:lang w:val="en-US"/>
        </w:rPr>
        <w:t>ing</w:t>
      </w:r>
      <w:r w:rsidRPr="00C0615A">
        <w:rPr>
          <w:lang w:val="en-US"/>
        </w:rPr>
        <w:t xml:space="preserve"> the liquidity of underlying securities by means of positive risk</w:t>
      </w:r>
      <w:r w:rsidR="003F1C25">
        <w:rPr>
          <w:lang w:val="en-US"/>
        </w:rPr>
        <w:t xml:space="preserve"> </w:t>
      </w:r>
      <w:r w:rsidRPr="00C0615A">
        <w:rPr>
          <w:lang w:val="en-US"/>
        </w:rPr>
        <w:t>sharing effects because it plays the role of a new liquidity pool which helps reduce order imbalances incurred by index traders.</w:t>
      </w:r>
    </w:p>
    <w:p w:rsidR="00FE5D7B" w:rsidRDefault="00C0615A">
      <w:pPr>
        <w:pStyle w:val="Titre2"/>
        <w:rPr>
          <w:lang w:val="en-US"/>
        </w:rPr>
      </w:pPr>
      <w:r w:rsidRPr="00C0615A">
        <w:rPr>
          <w:lang w:val="en-US"/>
        </w:rPr>
        <w:t>6.</w:t>
      </w:r>
      <w:r w:rsidRPr="00C0615A">
        <w:rPr>
          <w:lang w:val="en-US"/>
        </w:rPr>
        <w:tab/>
        <w:t>Conclusion</w:t>
      </w:r>
    </w:p>
    <w:p w:rsidR="00FE5D7B" w:rsidRDefault="00C0615A">
      <w:pPr>
        <w:rPr>
          <w:lang w:val="en-US"/>
        </w:rPr>
      </w:pPr>
      <w:r w:rsidRPr="00C0615A">
        <w:rPr>
          <w:lang w:val="en-US"/>
        </w:rPr>
        <w:t>Using detailed data from the French stock market, we test</w:t>
      </w:r>
      <w:r w:rsidR="00F449DF">
        <w:rPr>
          <w:lang w:val="en-US"/>
        </w:rPr>
        <w:t>ed</w:t>
      </w:r>
      <w:r w:rsidRPr="00C0615A">
        <w:rPr>
          <w:lang w:val="en-US"/>
        </w:rPr>
        <w:t xml:space="preserve"> the impact of the introduction of the first ETF replicating the CAC 40 index on the liquidity of the underlying securities.  </w:t>
      </w:r>
      <w:r w:rsidR="00F449DF">
        <w:rPr>
          <w:lang w:val="en-US"/>
        </w:rPr>
        <w:t>By a</w:t>
      </w:r>
      <w:r w:rsidRPr="00C0615A">
        <w:rPr>
          <w:lang w:val="en-US"/>
        </w:rPr>
        <w:t>nalyzing ETF and index stocks order</w:t>
      </w:r>
      <w:r w:rsidR="003F1C25">
        <w:rPr>
          <w:lang w:val="en-US"/>
        </w:rPr>
        <w:t xml:space="preserve"> </w:t>
      </w:r>
      <w:r w:rsidRPr="00C0615A">
        <w:rPr>
          <w:lang w:val="en-US"/>
        </w:rPr>
        <w:t xml:space="preserve">book data over one month, we </w:t>
      </w:r>
      <w:r w:rsidR="00F449DF">
        <w:rPr>
          <w:lang w:val="en-US"/>
        </w:rPr>
        <w:t xml:space="preserve">showed </w:t>
      </w:r>
      <w:r w:rsidRPr="00C0615A">
        <w:rPr>
          <w:lang w:val="en-US"/>
        </w:rPr>
        <w:t>that trading the ETF is less costly than trading the index in the market for index components, and that ETF LPs are substantially responsible for this relative advantage.  More importantly, using high</w:t>
      </w:r>
      <w:r w:rsidR="00F449DF">
        <w:rPr>
          <w:lang w:val="en-US"/>
        </w:rPr>
        <w:t>-</w:t>
      </w:r>
      <w:r w:rsidRPr="00C0615A">
        <w:rPr>
          <w:lang w:val="en-US"/>
        </w:rPr>
        <w:t xml:space="preserve">frequency data for </w:t>
      </w:r>
      <w:r w:rsidR="00F449DF">
        <w:rPr>
          <w:lang w:val="en-US"/>
        </w:rPr>
        <w:t xml:space="preserve">a </w:t>
      </w:r>
      <w:r w:rsidR="00C26032">
        <w:rPr>
          <w:lang w:val="en-US"/>
        </w:rPr>
        <w:t>sample</w:t>
      </w:r>
      <w:r w:rsidR="00F449DF">
        <w:rPr>
          <w:lang w:val="en-US"/>
        </w:rPr>
        <w:t xml:space="preserve"> of </w:t>
      </w:r>
      <w:r w:rsidRPr="00C0615A">
        <w:rPr>
          <w:lang w:val="en-US"/>
        </w:rPr>
        <w:t>index stock</w:t>
      </w:r>
      <w:r w:rsidR="00F449DF" w:rsidRPr="003F1C25">
        <w:rPr>
          <w:lang w:val="en-US"/>
        </w:rPr>
        <w:t>s</w:t>
      </w:r>
      <w:r w:rsidRPr="00C0615A">
        <w:rPr>
          <w:lang w:val="en-US"/>
        </w:rPr>
        <w:t xml:space="preserve"> and for a control </w:t>
      </w:r>
      <w:r w:rsidR="00C26032">
        <w:rPr>
          <w:lang w:val="en-US"/>
        </w:rPr>
        <w:t>sample</w:t>
      </w:r>
      <w:r w:rsidR="00F449DF">
        <w:rPr>
          <w:lang w:val="en-US"/>
        </w:rPr>
        <w:t xml:space="preserve"> of stocks </w:t>
      </w:r>
      <w:r w:rsidRPr="00C0615A">
        <w:rPr>
          <w:lang w:val="en-US"/>
        </w:rPr>
        <w:t xml:space="preserve">over </w:t>
      </w:r>
      <w:r w:rsidR="00F449DF">
        <w:rPr>
          <w:lang w:val="en-US"/>
        </w:rPr>
        <w:t xml:space="preserve">the </w:t>
      </w:r>
      <w:r w:rsidRPr="00C0615A">
        <w:rPr>
          <w:lang w:val="en-US"/>
        </w:rPr>
        <w:t xml:space="preserve">six months surrounding the </w:t>
      </w:r>
      <w:r w:rsidR="00F449DF">
        <w:rPr>
          <w:lang w:val="en-US"/>
        </w:rPr>
        <w:t xml:space="preserve">date on which the </w:t>
      </w:r>
      <w:r w:rsidRPr="00C0615A">
        <w:rPr>
          <w:lang w:val="en-US"/>
        </w:rPr>
        <w:t xml:space="preserve">ETF </w:t>
      </w:r>
      <w:r w:rsidR="00F449DF">
        <w:rPr>
          <w:lang w:val="en-US"/>
        </w:rPr>
        <w:t>was introduced</w:t>
      </w:r>
      <w:r w:rsidRPr="00C0615A">
        <w:rPr>
          <w:lang w:val="en-US"/>
        </w:rPr>
        <w:t>, we examine</w:t>
      </w:r>
      <w:r w:rsidR="00F449DF">
        <w:rPr>
          <w:lang w:val="en-US"/>
        </w:rPr>
        <w:t>d</w:t>
      </w:r>
      <w:r w:rsidRPr="00C0615A">
        <w:rPr>
          <w:lang w:val="en-US"/>
        </w:rPr>
        <w:t xml:space="preserve"> the </w:t>
      </w:r>
      <w:r w:rsidRPr="00C0615A">
        <w:rPr>
          <w:lang w:val="en-US"/>
        </w:rPr>
        <w:lastRenderedPageBreak/>
        <w:t>change in the liquidity of the underlying stocks through a difference-in-difference</w:t>
      </w:r>
      <w:r w:rsidR="00F449DF">
        <w:rPr>
          <w:lang w:val="en-US"/>
        </w:rPr>
        <w:t>s</w:t>
      </w:r>
      <w:r w:rsidRPr="00C0615A">
        <w:rPr>
          <w:lang w:val="en-US"/>
        </w:rPr>
        <w:t xml:space="preserve"> approach and a multivariate panel approach</w:t>
      </w:r>
      <w:r w:rsidR="00F449DF">
        <w:rPr>
          <w:lang w:val="en-US"/>
        </w:rPr>
        <w:t xml:space="preserve">. We explored the theories that could possibly </w:t>
      </w:r>
      <w:r w:rsidRPr="00C0615A">
        <w:rPr>
          <w:lang w:val="en-US"/>
        </w:rPr>
        <w:t>explain this change.</w:t>
      </w:r>
    </w:p>
    <w:p w:rsidR="00FE5D7B" w:rsidRDefault="00C0615A">
      <w:pPr>
        <w:rPr>
          <w:lang w:val="en-US"/>
        </w:rPr>
      </w:pPr>
      <w:r w:rsidRPr="00C0615A">
        <w:rPr>
          <w:lang w:val="en-US"/>
        </w:rPr>
        <w:t xml:space="preserve">Consistent with the findings of </w:t>
      </w:r>
      <w:proofErr w:type="spellStart"/>
      <w:r w:rsidRPr="00C0615A">
        <w:rPr>
          <w:lang w:val="en-US"/>
        </w:rPr>
        <w:t>Hegde</w:t>
      </w:r>
      <w:proofErr w:type="spellEnd"/>
      <w:r w:rsidRPr="00C0615A">
        <w:rPr>
          <w:lang w:val="en-US"/>
        </w:rPr>
        <w:t xml:space="preserve"> and McDermott (2004) and Richie and Madura (2007), and </w:t>
      </w:r>
      <w:r w:rsidR="00F449DF">
        <w:rPr>
          <w:lang w:val="en-US"/>
        </w:rPr>
        <w:t xml:space="preserve">unlike </w:t>
      </w:r>
      <w:r w:rsidRPr="00C0615A">
        <w:rPr>
          <w:lang w:val="en-US"/>
        </w:rPr>
        <w:t xml:space="preserve">those of Van Ness, Van Ness, and </w:t>
      </w:r>
      <w:proofErr w:type="spellStart"/>
      <w:r w:rsidRPr="00C0615A">
        <w:rPr>
          <w:lang w:val="en-US"/>
        </w:rPr>
        <w:t>Warr</w:t>
      </w:r>
      <w:proofErr w:type="spellEnd"/>
      <w:r w:rsidRPr="00C0615A">
        <w:rPr>
          <w:lang w:val="en-US"/>
        </w:rPr>
        <w:t xml:space="preserve"> (2005), we </w:t>
      </w:r>
      <w:r w:rsidR="00377676">
        <w:rPr>
          <w:lang w:val="en-US"/>
        </w:rPr>
        <w:t xml:space="preserve">found </w:t>
      </w:r>
      <w:r w:rsidRPr="00C0615A">
        <w:rPr>
          <w:lang w:val="en-US"/>
        </w:rPr>
        <w:t>that index</w:t>
      </w:r>
      <w:r w:rsidR="00377676">
        <w:rPr>
          <w:lang w:val="en-US"/>
        </w:rPr>
        <w:t>-</w:t>
      </w:r>
      <w:r w:rsidRPr="00C0615A">
        <w:rPr>
          <w:lang w:val="en-US"/>
        </w:rPr>
        <w:t xml:space="preserve">stock spreads tighten </w:t>
      </w:r>
      <w:r w:rsidR="00377676">
        <w:rPr>
          <w:lang w:val="en-US"/>
        </w:rPr>
        <w:t xml:space="preserve">more than non-index stocks </w:t>
      </w:r>
      <w:r w:rsidRPr="00C0615A">
        <w:rPr>
          <w:lang w:val="en-US"/>
        </w:rPr>
        <w:t>after the</w:t>
      </w:r>
      <w:r w:rsidR="00377676">
        <w:rPr>
          <w:lang w:val="en-US"/>
        </w:rPr>
        <w:t xml:space="preserve"> introduction of the </w:t>
      </w:r>
      <w:r w:rsidRPr="00C0615A">
        <w:rPr>
          <w:lang w:val="en-US"/>
        </w:rPr>
        <w:t xml:space="preserve">ETF.  Nevertheless, our conclusions </w:t>
      </w:r>
      <w:r w:rsidR="00377676">
        <w:rPr>
          <w:lang w:val="en-US"/>
        </w:rPr>
        <w:t xml:space="preserve">are not the same as </w:t>
      </w:r>
      <w:proofErr w:type="spellStart"/>
      <w:r w:rsidRPr="00C0615A">
        <w:rPr>
          <w:lang w:val="en-US"/>
        </w:rPr>
        <w:t>Hegde</w:t>
      </w:r>
      <w:proofErr w:type="spellEnd"/>
      <w:r w:rsidRPr="00C0615A">
        <w:rPr>
          <w:lang w:val="en-US"/>
        </w:rPr>
        <w:t xml:space="preserve"> and McDermott</w:t>
      </w:r>
      <w:r w:rsidR="00377676">
        <w:rPr>
          <w:lang w:val="en-US"/>
        </w:rPr>
        <w:t>’</w:t>
      </w:r>
      <w:r w:rsidR="00377676">
        <w:t>s</w:t>
      </w:r>
      <w:r w:rsidRPr="00C0615A">
        <w:rPr>
          <w:lang w:val="en-US"/>
        </w:rPr>
        <w:t xml:space="preserve"> (2004) in that</w:t>
      </w:r>
      <w:r w:rsidR="00377676">
        <w:rPr>
          <w:lang w:val="en-US"/>
        </w:rPr>
        <w:t xml:space="preserve"> we did not find that </w:t>
      </w:r>
      <w:r w:rsidRPr="00C0615A">
        <w:rPr>
          <w:lang w:val="en-US"/>
        </w:rPr>
        <w:t xml:space="preserve">adverse selection </w:t>
      </w:r>
      <w:r w:rsidR="00377676">
        <w:rPr>
          <w:lang w:val="en-US"/>
        </w:rPr>
        <w:t xml:space="preserve">was </w:t>
      </w:r>
      <w:r w:rsidRPr="00C0615A">
        <w:rPr>
          <w:lang w:val="en-US"/>
        </w:rPr>
        <w:t xml:space="preserve">the main factor explaining the liquidity improvement.  </w:t>
      </w:r>
      <w:r w:rsidR="00377676">
        <w:rPr>
          <w:lang w:val="en-US"/>
        </w:rPr>
        <w:t xml:space="preserve">Our conclusions also differ from </w:t>
      </w:r>
      <w:r w:rsidRPr="00C0615A">
        <w:rPr>
          <w:lang w:val="en-US"/>
        </w:rPr>
        <w:t>Richie and Madura</w:t>
      </w:r>
      <w:r w:rsidR="00377676">
        <w:rPr>
          <w:lang w:val="en-US"/>
        </w:rPr>
        <w:t>’s</w:t>
      </w:r>
      <w:r w:rsidRPr="00C0615A">
        <w:rPr>
          <w:lang w:val="en-US"/>
        </w:rPr>
        <w:t xml:space="preserve"> (2007) in that we fail</w:t>
      </w:r>
      <w:r w:rsidR="00377676">
        <w:rPr>
          <w:lang w:val="en-US"/>
        </w:rPr>
        <w:t>ed</w:t>
      </w:r>
      <w:r w:rsidRPr="00C0615A">
        <w:rPr>
          <w:lang w:val="en-US"/>
        </w:rPr>
        <w:t xml:space="preserve"> to </w:t>
      </w:r>
      <w:r w:rsidR="00377676">
        <w:rPr>
          <w:lang w:val="en-US"/>
        </w:rPr>
        <w:t xml:space="preserve">show </w:t>
      </w:r>
      <w:r w:rsidRPr="00C0615A">
        <w:rPr>
          <w:lang w:val="en-US"/>
        </w:rPr>
        <w:t>that Merton’s recognition theory could generate the liquidity gains.  On the contrary, we establish</w:t>
      </w:r>
      <w:r w:rsidR="00377676">
        <w:rPr>
          <w:lang w:val="en-US"/>
        </w:rPr>
        <w:t>ed</w:t>
      </w:r>
      <w:r w:rsidRPr="00C0615A">
        <w:rPr>
          <w:lang w:val="en-US"/>
        </w:rPr>
        <w:t xml:space="preserve"> that </w:t>
      </w:r>
      <w:r w:rsidR="00377676">
        <w:rPr>
          <w:lang w:val="en-US"/>
        </w:rPr>
        <w:t xml:space="preserve">the </w:t>
      </w:r>
      <w:r w:rsidRPr="00C0615A">
        <w:rPr>
          <w:lang w:val="en-US"/>
        </w:rPr>
        <w:t>index</w:t>
      </w:r>
      <w:r w:rsidR="00377676">
        <w:rPr>
          <w:lang w:val="en-US"/>
        </w:rPr>
        <w:t>-</w:t>
      </w:r>
      <w:r w:rsidRPr="00C0615A">
        <w:rPr>
          <w:lang w:val="en-US"/>
        </w:rPr>
        <w:t xml:space="preserve">stock spread reduction is essentially driven by a decrease in the temporary price impact of trades or, in other words, </w:t>
      </w:r>
      <w:r w:rsidR="00377676">
        <w:rPr>
          <w:lang w:val="en-US"/>
        </w:rPr>
        <w:t xml:space="preserve">is </w:t>
      </w:r>
      <w:r w:rsidRPr="00C0615A">
        <w:rPr>
          <w:lang w:val="en-US"/>
        </w:rPr>
        <w:t xml:space="preserve">due to a decrease </w:t>
      </w:r>
      <w:r w:rsidR="00377676">
        <w:rPr>
          <w:lang w:val="en-US"/>
        </w:rPr>
        <w:t>in</w:t>
      </w:r>
      <w:r w:rsidRPr="00C0615A">
        <w:rPr>
          <w:lang w:val="en-US"/>
        </w:rPr>
        <w:t xml:space="preserve"> the order processing and order imbalance cost component of spreads.  Although we d</w:t>
      </w:r>
      <w:r w:rsidR="00377676">
        <w:rPr>
          <w:lang w:val="en-US"/>
        </w:rPr>
        <w:t>id</w:t>
      </w:r>
      <w:r w:rsidRPr="00C0615A">
        <w:rPr>
          <w:lang w:val="en-US"/>
        </w:rPr>
        <w:t xml:space="preserve"> not find strong evidence of price stabilization, we </w:t>
      </w:r>
      <w:r w:rsidR="009D6C05">
        <w:rPr>
          <w:lang w:val="en-US"/>
        </w:rPr>
        <w:t>consider</w:t>
      </w:r>
      <w:r w:rsidR="00377676">
        <w:rPr>
          <w:lang w:val="en-US"/>
        </w:rPr>
        <w:t xml:space="preserve"> </w:t>
      </w:r>
      <w:r w:rsidRPr="00C0615A">
        <w:rPr>
          <w:lang w:val="en-US"/>
        </w:rPr>
        <w:t xml:space="preserve">that our empirical findings are consistent with the arbitrage theory of </w:t>
      </w:r>
      <w:proofErr w:type="spellStart"/>
      <w:r w:rsidRPr="00C0615A">
        <w:rPr>
          <w:lang w:val="en-US"/>
        </w:rPr>
        <w:t>Fremault</w:t>
      </w:r>
      <w:proofErr w:type="spellEnd"/>
      <w:r w:rsidRPr="00C0615A">
        <w:rPr>
          <w:lang w:val="en-US"/>
        </w:rPr>
        <w:t xml:space="preserve"> (1991) according to which increased arbitrage trading between individual stock markets and index security markets adds risk</w:t>
      </w:r>
      <w:r w:rsidR="003F1C25">
        <w:rPr>
          <w:lang w:val="en-US"/>
        </w:rPr>
        <w:t xml:space="preserve"> </w:t>
      </w:r>
      <w:r w:rsidRPr="00C0615A">
        <w:rPr>
          <w:lang w:val="en-US"/>
        </w:rPr>
        <w:t xml:space="preserve">bearing capacity to markets and provides buying and selling support </w:t>
      </w:r>
      <w:r w:rsidR="00377676">
        <w:rPr>
          <w:lang w:val="en-US"/>
        </w:rPr>
        <w:t xml:space="preserve">to </w:t>
      </w:r>
      <w:r w:rsidRPr="00C0615A">
        <w:rPr>
          <w:lang w:val="en-US"/>
        </w:rPr>
        <w:t>order imbalances.</w:t>
      </w:r>
    </w:p>
    <w:p w:rsidR="00FE5D7B" w:rsidRDefault="00FE5D7B">
      <w:pPr>
        <w:spacing w:before="0"/>
        <w:ind w:right="72"/>
        <w:rPr>
          <w:sz w:val="18"/>
          <w:szCs w:val="18"/>
          <w:lang w:val="en-US"/>
        </w:rPr>
      </w:pPr>
    </w:p>
    <w:p w:rsidR="00FE5D7B" w:rsidRDefault="00FE5D7B" w:rsidP="00E2523F">
      <w:pPr>
        <w:rPr>
          <w:lang w:val="en-US"/>
        </w:rPr>
        <w:sectPr w:rsidR="00FE5D7B" w:rsidSect="001071FF">
          <w:footerReference w:type="default" r:id="rId102"/>
          <w:pgSz w:w="11906" w:h="16838"/>
          <w:pgMar w:top="1417" w:right="1417" w:bottom="1417" w:left="1417" w:header="567" w:footer="567" w:gutter="0"/>
          <w:pgNumType w:start="1"/>
          <w:cols w:space="708"/>
          <w:docGrid w:linePitch="360"/>
        </w:sectPr>
      </w:pPr>
    </w:p>
    <w:p w:rsidR="00FE5D7B" w:rsidRDefault="00C0615A">
      <w:pPr>
        <w:pStyle w:val="Titre2"/>
        <w:spacing w:before="120"/>
        <w:rPr>
          <w:lang w:val="en-US"/>
        </w:rPr>
      </w:pPr>
      <w:r w:rsidRPr="00C0615A">
        <w:rPr>
          <w:lang w:val="en-US"/>
        </w:rPr>
        <w:lastRenderedPageBreak/>
        <w:t>Acknowledgements</w:t>
      </w:r>
    </w:p>
    <w:p w:rsidR="00FE5D7B" w:rsidRDefault="00C36EF8">
      <w:pPr>
        <w:rPr>
          <w:lang w:val="en-US"/>
        </w:rPr>
      </w:pPr>
      <w:r w:rsidRPr="00C36EF8">
        <w:rPr>
          <w:lang w:val="en-US"/>
        </w:rPr>
        <w:t xml:space="preserve">We </w:t>
      </w:r>
      <w:r w:rsidR="00D918C1">
        <w:rPr>
          <w:lang w:val="en-US"/>
        </w:rPr>
        <w:t>would like to thank</w:t>
      </w:r>
      <w:r w:rsidRPr="00C36EF8">
        <w:rPr>
          <w:lang w:val="en-US"/>
        </w:rPr>
        <w:t xml:space="preserve"> the </w:t>
      </w:r>
      <w:proofErr w:type="spellStart"/>
      <w:r w:rsidRPr="00C36EF8">
        <w:rPr>
          <w:lang w:val="en-US"/>
        </w:rPr>
        <w:t>Europlace</w:t>
      </w:r>
      <w:proofErr w:type="spellEnd"/>
      <w:r w:rsidRPr="00C36EF8">
        <w:rPr>
          <w:lang w:val="en-US"/>
        </w:rPr>
        <w:t xml:space="preserve"> Institute of Finance (EIF) and the FNRS (</w:t>
      </w:r>
      <w:proofErr w:type="spellStart"/>
      <w:r w:rsidRPr="00C36EF8">
        <w:rPr>
          <w:i/>
          <w:lang w:val="en-US"/>
        </w:rPr>
        <w:t>Fonds</w:t>
      </w:r>
      <w:proofErr w:type="spellEnd"/>
      <w:r w:rsidRPr="00C36EF8">
        <w:rPr>
          <w:i/>
          <w:lang w:val="en-US"/>
        </w:rPr>
        <w:t xml:space="preserve"> de la </w:t>
      </w:r>
      <w:proofErr w:type="spellStart"/>
      <w:r w:rsidRPr="00C36EF8">
        <w:rPr>
          <w:i/>
          <w:lang w:val="en-US"/>
        </w:rPr>
        <w:t>Recherche</w:t>
      </w:r>
      <w:proofErr w:type="spellEnd"/>
      <w:r w:rsidRPr="00C36EF8">
        <w:rPr>
          <w:i/>
          <w:lang w:val="en-US"/>
        </w:rPr>
        <w:t xml:space="preserve"> </w:t>
      </w:r>
      <w:proofErr w:type="spellStart"/>
      <w:r w:rsidRPr="00C36EF8">
        <w:rPr>
          <w:i/>
          <w:lang w:val="en-US"/>
        </w:rPr>
        <w:t>Scientifique</w:t>
      </w:r>
      <w:proofErr w:type="spellEnd"/>
      <w:r w:rsidRPr="00C36EF8">
        <w:rPr>
          <w:lang w:val="en-US"/>
        </w:rPr>
        <w:t xml:space="preserve">, Belgium) for funding this research.  We are grateful to Franco </w:t>
      </w:r>
      <w:proofErr w:type="spellStart"/>
      <w:r w:rsidRPr="00C36EF8">
        <w:rPr>
          <w:lang w:val="en-US"/>
        </w:rPr>
        <w:t>Calamini</w:t>
      </w:r>
      <w:proofErr w:type="spellEnd"/>
      <w:r w:rsidRPr="00C36EF8">
        <w:rPr>
          <w:lang w:val="en-US"/>
        </w:rPr>
        <w:t xml:space="preserve">, Laurence Copeland, Catherine </w:t>
      </w:r>
      <w:proofErr w:type="spellStart"/>
      <w:r w:rsidRPr="00C36EF8">
        <w:rPr>
          <w:lang w:val="en-US"/>
        </w:rPr>
        <w:t>D’Hondt</w:t>
      </w:r>
      <w:proofErr w:type="spellEnd"/>
      <w:r w:rsidRPr="00C36EF8">
        <w:rPr>
          <w:lang w:val="en-US"/>
        </w:rPr>
        <w:t xml:space="preserve">, Terry </w:t>
      </w:r>
      <w:proofErr w:type="spellStart"/>
      <w:r w:rsidRPr="00C36EF8">
        <w:rPr>
          <w:lang w:val="en-US"/>
        </w:rPr>
        <w:t>Hendershott</w:t>
      </w:r>
      <w:proofErr w:type="spellEnd"/>
      <w:r w:rsidRPr="00C36EF8">
        <w:rPr>
          <w:lang w:val="en-US"/>
        </w:rPr>
        <w:t xml:space="preserve">, Christine Jiang, Bill </w:t>
      </w:r>
      <w:proofErr w:type="spellStart"/>
      <w:r w:rsidRPr="00C36EF8">
        <w:rPr>
          <w:lang w:val="en-US"/>
        </w:rPr>
        <w:t>Megginson</w:t>
      </w:r>
      <w:proofErr w:type="spellEnd"/>
      <w:r w:rsidRPr="00C36EF8">
        <w:rPr>
          <w:lang w:val="en-US"/>
        </w:rPr>
        <w:t xml:space="preserve">, </w:t>
      </w:r>
      <w:proofErr w:type="spellStart"/>
      <w:r w:rsidRPr="00C36EF8">
        <w:rPr>
          <w:lang w:val="en-US"/>
        </w:rPr>
        <w:t>Olena</w:t>
      </w:r>
      <w:proofErr w:type="spellEnd"/>
      <w:r w:rsidRPr="00C36EF8">
        <w:rPr>
          <w:lang w:val="en-US"/>
        </w:rPr>
        <w:t xml:space="preserve"> </w:t>
      </w:r>
      <w:proofErr w:type="spellStart"/>
      <w:r w:rsidRPr="00C36EF8">
        <w:rPr>
          <w:lang w:val="en-US"/>
        </w:rPr>
        <w:t>Voloshyna</w:t>
      </w:r>
      <w:proofErr w:type="spellEnd"/>
      <w:r w:rsidRPr="00C36EF8">
        <w:rPr>
          <w:lang w:val="en-US"/>
        </w:rPr>
        <w:t xml:space="preserve">, and participants at the Centre for Operations Research and Econometrics (CORE) seminar, the 2008 AFFI conference in Lille, the 2008 AFBC conference in Sydney, and the 2009 FMA annual meeting in Reno, for helpful comments and information. We </w:t>
      </w:r>
      <w:r w:rsidR="00D918C1">
        <w:rPr>
          <w:lang w:val="en-US"/>
        </w:rPr>
        <w:t xml:space="preserve">would </w:t>
      </w:r>
      <w:r w:rsidRPr="00C36EF8">
        <w:rPr>
          <w:lang w:val="en-US"/>
        </w:rPr>
        <w:t>also</w:t>
      </w:r>
      <w:r w:rsidR="00C0615A" w:rsidRPr="00C0615A">
        <w:rPr>
          <w:lang w:val="en-US"/>
        </w:rPr>
        <w:t xml:space="preserve"> </w:t>
      </w:r>
      <w:r w:rsidR="00D918C1">
        <w:rPr>
          <w:lang w:val="en-US"/>
        </w:rPr>
        <w:t>like to</w:t>
      </w:r>
      <w:r w:rsidRPr="00C36EF8">
        <w:rPr>
          <w:lang w:val="en-US"/>
        </w:rPr>
        <w:t xml:space="preserve"> thank Emmanuelle </w:t>
      </w:r>
      <w:proofErr w:type="spellStart"/>
      <w:r w:rsidRPr="00C36EF8">
        <w:rPr>
          <w:lang w:val="en-US"/>
        </w:rPr>
        <w:t>Choukroun</w:t>
      </w:r>
      <w:proofErr w:type="spellEnd"/>
      <w:r w:rsidRPr="00C36EF8">
        <w:rPr>
          <w:lang w:val="en-US"/>
        </w:rPr>
        <w:t xml:space="preserve">, global ETF developer at </w:t>
      </w:r>
      <w:proofErr w:type="spellStart"/>
      <w:r w:rsidRPr="00C36EF8">
        <w:rPr>
          <w:lang w:val="en-US"/>
        </w:rPr>
        <w:t>Lyxor</w:t>
      </w:r>
      <w:proofErr w:type="spellEnd"/>
      <w:r w:rsidRPr="00C36EF8">
        <w:rPr>
          <w:lang w:val="en-US"/>
        </w:rPr>
        <w:t xml:space="preserve"> Finance</w:t>
      </w:r>
      <w:r w:rsidR="00D918C1">
        <w:rPr>
          <w:lang w:val="en-US"/>
        </w:rPr>
        <w:t>,</w:t>
      </w:r>
      <w:r w:rsidRPr="00C36EF8">
        <w:rPr>
          <w:lang w:val="en-US"/>
        </w:rPr>
        <w:t xml:space="preserve"> Eric </w:t>
      </w:r>
      <w:proofErr w:type="spellStart"/>
      <w:r w:rsidRPr="00C36EF8">
        <w:rPr>
          <w:lang w:val="en-US"/>
        </w:rPr>
        <w:t>Cordelle</w:t>
      </w:r>
      <w:proofErr w:type="spellEnd"/>
      <w:r w:rsidRPr="00C36EF8">
        <w:rPr>
          <w:lang w:val="en-US"/>
        </w:rPr>
        <w:t xml:space="preserve">, liquidity provider on the </w:t>
      </w:r>
      <w:proofErr w:type="spellStart"/>
      <w:r w:rsidRPr="00C36EF8">
        <w:rPr>
          <w:lang w:val="en-US"/>
        </w:rPr>
        <w:t>Lyxor</w:t>
      </w:r>
      <w:proofErr w:type="spellEnd"/>
      <w:r w:rsidRPr="00C36EF8">
        <w:rPr>
          <w:lang w:val="en-US"/>
        </w:rPr>
        <w:t xml:space="preserve"> CAC 40 ETF at </w:t>
      </w:r>
      <w:proofErr w:type="spellStart"/>
      <w:r w:rsidRPr="00C36EF8">
        <w:rPr>
          <w:lang w:val="en-US"/>
        </w:rPr>
        <w:t>Société</w:t>
      </w:r>
      <w:proofErr w:type="spellEnd"/>
      <w:r w:rsidRPr="00C36EF8">
        <w:rPr>
          <w:lang w:val="en-US"/>
        </w:rPr>
        <w:t xml:space="preserve"> </w:t>
      </w:r>
      <w:proofErr w:type="spellStart"/>
      <w:r w:rsidRPr="00C36EF8">
        <w:rPr>
          <w:lang w:val="en-US"/>
        </w:rPr>
        <w:t>Générale</w:t>
      </w:r>
      <w:proofErr w:type="spellEnd"/>
      <w:r w:rsidR="00D918C1">
        <w:rPr>
          <w:lang w:val="en-US"/>
        </w:rPr>
        <w:t>,</w:t>
      </w:r>
      <w:r w:rsidRPr="00C36EF8">
        <w:rPr>
          <w:lang w:val="en-US"/>
        </w:rPr>
        <w:t xml:space="preserve"> and Alain Dubois, CEO of </w:t>
      </w:r>
      <w:proofErr w:type="spellStart"/>
      <w:r w:rsidRPr="00C36EF8">
        <w:rPr>
          <w:lang w:val="en-US"/>
        </w:rPr>
        <w:t>Lyxor</w:t>
      </w:r>
      <w:proofErr w:type="spellEnd"/>
      <w:r w:rsidRPr="00C36EF8">
        <w:rPr>
          <w:lang w:val="en-US"/>
        </w:rPr>
        <w:t xml:space="preserve"> Asset Management, for providing us with useful information on the working of the </w:t>
      </w:r>
      <w:proofErr w:type="spellStart"/>
      <w:r w:rsidRPr="00C36EF8">
        <w:rPr>
          <w:lang w:val="en-US"/>
        </w:rPr>
        <w:t>Lyxor</w:t>
      </w:r>
      <w:proofErr w:type="spellEnd"/>
      <w:r w:rsidRPr="00C36EF8">
        <w:rPr>
          <w:lang w:val="en-US"/>
        </w:rPr>
        <w:t xml:space="preserve"> CAC 40 and its market.  Part of this work was done when Carole Gresse was a visiting professor at </w:t>
      </w:r>
      <w:r w:rsidR="00F85DBE">
        <w:rPr>
          <w:lang w:val="en-US"/>
        </w:rPr>
        <w:t>UCL</w:t>
      </w:r>
      <w:r w:rsidRPr="00C36EF8">
        <w:rPr>
          <w:lang w:val="en-US"/>
        </w:rPr>
        <w:t>.</w:t>
      </w:r>
    </w:p>
    <w:p w:rsidR="00FE5D7B" w:rsidRDefault="00FE5D7B">
      <w:pPr>
        <w:rPr>
          <w:lang w:val="en-US"/>
        </w:rPr>
      </w:pPr>
    </w:p>
    <w:p w:rsidR="00FE5D7B" w:rsidRDefault="00FE5D7B" w:rsidP="00E2523F">
      <w:pPr>
        <w:rPr>
          <w:lang w:val="en-US"/>
        </w:rPr>
        <w:sectPr w:rsidR="00FE5D7B" w:rsidSect="00165EDA">
          <w:footerReference w:type="even" r:id="rId103"/>
          <w:footerReference w:type="default" r:id="rId104"/>
          <w:pgSz w:w="11906" w:h="16838"/>
          <w:pgMar w:top="1417" w:right="1417" w:bottom="1417" w:left="1417" w:header="708" w:footer="708" w:gutter="0"/>
          <w:cols w:space="708"/>
          <w:docGrid w:linePitch="360"/>
        </w:sectPr>
      </w:pPr>
    </w:p>
    <w:p w:rsidR="00FE5D7B" w:rsidRDefault="00C0615A">
      <w:pPr>
        <w:pStyle w:val="Titre2"/>
        <w:spacing w:before="120"/>
        <w:rPr>
          <w:lang w:val="en-US"/>
        </w:rPr>
      </w:pPr>
      <w:bookmarkStart w:id="2" w:name="refs"/>
      <w:bookmarkEnd w:id="2"/>
      <w:r w:rsidRPr="00C0615A">
        <w:rPr>
          <w:lang w:val="en-US"/>
        </w:rPr>
        <w:lastRenderedPageBreak/>
        <w:t>References</w:t>
      </w:r>
    </w:p>
    <w:p w:rsidR="00FE5D7B" w:rsidRDefault="00C36EF8">
      <w:pPr>
        <w:pStyle w:val="Reference"/>
        <w:rPr>
          <w:lang w:val="en-US"/>
        </w:rPr>
      </w:pPr>
      <w:proofErr w:type="spellStart"/>
      <w:r w:rsidRPr="00C36EF8">
        <w:rPr>
          <w:lang w:val="en-US"/>
        </w:rPr>
        <w:t>Admati</w:t>
      </w:r>
      <w:proofErr w:type="spellEnd"/>
      <w:r w:rsidRPr="00C36EF8">
        <w:rPr>
          <w:lang w:val="en-US"/>
        </w:rPr>
        <w:t xml:space="preserve"> AR, </w:t>
      </w:r>
      <w:proofErr w:type="spellStart"/>
      <w:r w:rsidRPr="00C36EF8">
        <w:rPr>
          <w:lang w:val="en-US"/>
        </w:rPr>
        <w:t>Pfleiderer</w:t>
      </w:r>
      <w:proofErr w:type="spellEnd"/>
      <w:r w:rsidRPr="00C36EF8">
        <w:rPr>
          <w:lang w:val="en-US"/>
        </w:rPr>
        <w:t xml:space="preserve"> P (1988)</w:t>
      </w:r>
      <w:r w:rsidRPr="00C36EF8">
        <w:rPr>
          <w:b/>
          <w:lang w:val="en-US"/>
        </w:rPr>
        <w:t xml:space="preserve"> </w:t>
      </w:r>
      <w:proofErr w:type="gramStart"/>
      <w:r w:rsidRPr="00C36EF8">
        <w:rPr>
          <w:rStyle w:val="lev"/>
          <w:b w:val="0"/>
          <w:lang w:val="en-US"/>
        </w:rPr>
        <w:t>A</w:t>
      </w:r>
      <w:proofErr w:type="gramEnd"/>
      <w:r w:rsidRPr="00C36EF8">
        <w:rPr>
          <w:rStyle w:val="lev"/>
          <w:b w:val="0"/>
          <w:lang w:val="en-US"/>
        </w:rPr>
        <w:t xml:space="preserve"> theory of intraday patterns: Volume and price variability</w:t>
      </w:r>
      <w:r w:rsidRPr="00C36EF8">
        <w:rPr>
          <w:lang w:val="en-US"/>
        </w:rPr>
        <w:t xml:space="preserve">. </w:t>
      </w:r>
      <w:r w:rsidRPr="00C36EF8">
        <w:rPr>
          <w:rStyle w:val="Accentuation"/>
          <w:i w:val="0"/>
          <w:lang w:val="en-US"/>
        </w:rPr>
        <w:t>Review of Financial Studies</w:t>
      </w:r>
      <w:r w:rsidRPr="00C36EF8">
        <w:rPr>
          <w:lang w:val="en-US"/>
        </w:rPr>
        <w:t xml:space="preserve"> 1:</w:t>
      </w:r>
      <w:r w:rsidR="00B75137">
        <w:rPr>
          <w:lang w:val="en-US"/>
        </w:rPr>
        <w:t xml:space="preserve"> </w:t>
      </w:r>
      <w:r w:rsidRPr="00C36EF8">
        <w:rPr>
          <w:lang w:val="en-US"/>
        </w:rPr>
        <w:t>3-40.</w:t>
      </w:r>
    </w:p>
    <w:p w:rsidR="00FE5D7B" w:rsidRDefault="00BC3C75">
      <w:pPr>
        <w:pStyle w:val="Reference"/>
        <w:rPr>
          <w:lang w:val="en-US"/>
        </w:rPr>
      </w:pPr>
      <w:proofErr w:type="spellStart"/>
      <w:r w:rsidRPr="00E723C2">
        <w:rPr>
          <w:lang w:val="en-US"/>
        </w:rPr>
        <w:t>A</w:t>
      </w:r>
      <w:r w:rsidR="00A61ABB" w:rsidRPr="00E723C2">
        <w:rPr>
          <w:lang w:val="en-US"/>
        </w:rPr>
        <w:t>kt</w:t>
      </w:r>
      <w:r w:rsidRPr="00E723C2">
        <w:rPr>
          <w:lang w:val="en-US"/>
        </w:rPr>
        <w:t>as</w:t>
      </w:r>
      <w:proofErr w:type="spellEnd"/>
      <w:r w:rsidRPr="00E723C2">
        <w:rPr>
          <w:lang w:val="en-US"/>
        </w:rPr>
        <w:t xml:space="preserve"> N, de </w:t>
      </w:r>
      <w:proofErr w:type="spellStart"/>
      <w:r w:rsidRPr="00E723C2">
        <w:rPr>
          <w:lang w:val="en-US"/>
        </w:rPr>
        <w:t>Bodt</w:t>
      </w:r>
      <w:proofErr w:type="spellEnd"/>
      <w:r w:rsidRPr="00E723C2">
        <w:rPr>
          <w:lang w:val="en-US"/>
        </w:rPr>
        <w:t xml:space="preserve"> E, </w:t>
      </w:r>
      <w:proofErr w:type="spellStart"/>
      <w:r w:rsidRPr="00E723C2">
        <w:rPr>
          <w:lang w:val="en-US"/>
        </w:rPr>
        <w:t>Declerck</w:t>
      </w:r>
      <w:proofErr w:type="spellEnd"/>
      <w:r w:rsidRPr="00E723C2">
        <w:rPr>
          <w:lang w:val="en-US"/>
        </w:rPr>
        <w:t xml:space="preserve"> F, Van </w:t>
      </w:r>
      <w:proofErr w:type="spellStart"/>
      <w:r w:rsidRPr="00E723C2">
        <w:rPr>
          <w:lang w:val="en-US"/>
        </w:rPr>
        <w:t>Oppens</w:t>
      </w:r>
      <w:proofErr w:type="spellEnd"/>
      <w:r w:rsidRPr="00E723C2">
        <w:rPr>
          <w:lang w:val="en-US"/>
        </w:rPr>
        <w:t xml:space="preserve"> H (2007) The PIN anomaly around M&amp;A announcements. Journal of Financial Markets 10: 169-191.</w:t>
      </w:r>
    </w:p>
    <w:p w:rsidR="00FE5D7B" w:rsidRDefault="00C36EF8">
      <w:pPr>
        <w:pStyle w:val="Reference"/>
        <w:rPr>
          <w:lang w:val="en-US"/>
        </w:rPr>
      </w:pPr>
      <w:r w:rsidRPr="00C36EF8">
        <w:rPr>
          <w:lang w:val="en-US"/>
        </w:rPr>
        <w:t xml:space="preserve">Barber BM, </w:t>
      </w:r>
      <w:proofErr w:type="spellStart"/>
      <w:r w:rsidRPr="00C36EF8">
        <w:rPr>
          <w:lang w:val="en-US"/>
        </w:rPr>
        <w:t>Odean</w:t>
      </w:r>
      <w:proofErr w:type="spellEnd"/>
      <w:r w:rsidRPr="00C36EF8">
        <w:rPr>
          <w:lang w:val="en-US"/>
        </w:rPr>
        <w:t xml:space="preserve"> T (2008) </w:t>
      </w:r>
      <w:proofErr w:type="gramStart"/>
      <w:r w:rsidRPr="00C36EF8">
        <w:rPr>
          <w:lang w:val="en-US"/>
        </w:rPr>
        <w:t>All</w:t>
      </w:r>
      <w:proofErr w:type="gramEnd"/>
      <w:r w:rsidRPr="00C36EF8">
        <w:rPr>
          <w:lang w:val="en-US"/>
        </w:rPr>
        <w:t xml:space="preserve"> that glitters: The effect of attention and news on the buying behavior of individual and institutional investors. Review of Financial Studies 21: 785-818.</w:t>
      </w:r>
    </w:p>
    <w:p w:rsidR="00FE5D7B" w:rsidRDefault="00C36EF8">
      <w:pPr>
        <w:pStyle w:val="Reference"/>
        <w:rPr>
          <w:lang w:val="en-US"/>
        </w:rPr>
      </w:pPr>
      <w:proofErr w:type="spellStart"/>
      <w:r w:rsidRPr="00C36EF8">
        <w:rPr>
          <w:lang w:val="en-US"/>
        </w:rPr>
        <w:t>Beneish</w:t>
      </w:r>
      <w:proofErr w:type="spellEnd"/>
      <w:r w:rsidRPr="00C36EF8">
        <w:rPr>
          <w:lang w:val="en-US"/>
        </w:rPr>
        <w:t xml:space="preserve"> MD, Whaley RE (1996) </w:t>
      </w:r>
      <w:proofErr w:type="gramStart"/>
      <w:r w:rsidRPr="00C36EF8">
        <w:rPr>
          <w:lang w:val="en-US"/>
        </w:rPr>
        <w:t>An</w:t>
      </w:r>
      <w:proofErr w:type="gramEnd"/>
      <w:r w:rsidRPr="00C36EF8">
        <w:rPr>
          <w:lang w:val="en-US"/>
        </w:rPr>
        <w:t xml:space="preserve"> anatomy of the “S&amp;P 500 game”: The effects of changing the rules. Journal of Finance 51: 1909–1930.</w:t>
      </w:r>
    </w:p>
    <w:p w:rsidR="00FE5D7B" w:rsidRDefault="00C36EF8">
      <w:pPr>
        <w:pStyle w:val="Reference"/>
        <w:rPr>
          <w:lang w:val="en-US"/>
        </w:rPr>
      </w:pPr>
      <w:proofErr w:type="spellStart"/>
      <w:r w:rsidRPr="00C36EF8">
        <w:rPr>
          <w:lang w:val="en-US"/>
        </w:rPr>
        <w:t>Bessembinder</w:t>
      </w:r>
      <w:proofErr w:type="spellEnd"/>
      <w:r w:rsidRPr="00C36EF8">
        <w:rPr>
          <w:lang w:val="en-US"/>
        </w:rPr>
        <w:t xml:space="preserve"> H, Kaufman HM (1997) </w:t>
      </w:r>
      <w:proofErr w:type="gramStart"/>
      <w:r w:rsidR="00BB3700" w:rsidRPr="00E723C2">
        <w:rPr>
          <w:lang w:val="en-US"/>
        </w:rPr>
        <w:t>A</w:t>
      </w:r>
      <w:proofErr w:type="gramEnd"/>
      <w:r w:rsidR="00BB3700" w:rsidRPr="00E723C2">
        <w:rPr>
          <w:lang w:val="en-US"/>
        </w:rPr>
        <w:t xml:space="preserve"> comparison of trade execution costs for NYSE and NASDAQ-listed stocks</w:t>
      </w:r>
      <w:r w:rsidR="008C3FD5" w:rsidRPr="00E723C2">
        <w:rPr>
          <w:lang w:val="en-US"/>
        </w:rPr>
        <w:t>.</w:t>
      </w:r>
      <w:r w:rsidR="00C0615A" w:rsidRPr="00C0615A">
        <w:rPr>
          <w:lang w:val="en-US"/>
        </w:rPr>
        <w:t xml:space="preserve"> Journal of Financial and Quantitative Analysis 32:</w:t>
      </w:r>
      <w:r w:rsidR="00B75137">
        <w:rPr>
          <w:lang w:val="en-US"/>
        </w:rPr>
        <w:t xml:space="preserve"> </w:t>
      </w:r>
      <w:r w:rsidR="00C0615A" w:rsidRPr="00C0615A">
        <w:rPr>
          <w:lang w:val="en-US"/>
        </w:rPr>
        <w:t>287-310.</w:t>
      </w:r>
    </w:p>
    <w:p w:rsidR="00FE5D7B" w:rsidRDefault="00C0615A">
      <w:pPr>
        <w:pStyle w:val="Reference"/>
        <w:rPr>
          <w:lang w:val="en-US"/>
        </w:rPr>
      </w:pPr>
      <w:r w:rsidRPr="00C0615A">
        <w:rPr>
          <w:lang w:val="en-US"/>
        </w:rPr>
        <w:t xml:space="preserve">Chen H, Noronha G, </w:t>
      </w:r>
      <w:proofErr w:type="spellStart"/>
      <w:r w:rsidRPr="00C0615A">
        <w:rPr>
          <w:lang w:val="en-US"/>
        </w:rPr>
        <w:t>Singal</w:t>
      </w:r>
      <w:proofErr w:type="spellEnd"/>
      <w:r w:rsidRPr="00C0615A">
        <w:rPr>
          <w:lang w:val="en-US"/>
        </w:rPr>
        <w:t xml:space="preserve"> V (2004) </w:t>
      </w:r>
      <w:proofErr w:type="gramStart"/>
      <w:r w:rsidRPr="00C0615A">
        <w:rPr>
          <w:lang w:val="en-US"/>
        </w:rPr>
        <w:t>The</w:t>
      </w:r>
      <w:proofErr w:type="gramEnd"/>
      <w:r w:rsidRPr="00C0615A">
        <w:rPr>
          <w:lang w:val="en-US"/>
        </w:rPr>
        <w:t xml:space="preserve"> price response to S&amp;P 500 index additions and deletions: Evidence of asymmetry and a new explanation. Journal of Finance 59: 1901–1930.</w:t>
      </w:r>
    </w:p>
    <w:p w:rsidR="00FE5D7B" w:rsidRDefault="00C0615A">
      <w:pPr>
        <w:pStyle w:val="Reference"/>
        <w:rPr>
          <w:lang w:val="en-US"/>
        </w:rPr>
      </w:pPr>
      <w:proofErr w:type="gramStart"/>
      <w:r w:rsidRPr="00C0615A">
        <w:rPr>
          <w:lang w:val="en-US"/>
        </w:rPr>
        <w:t xml:space="preserve">Deville L, </w:t>
      </w:r>
      <w:proofErr w:type="spellStart"/>
      <w:r w:rsidRPr="00C0615A">
        <w:rPr>
          <w:lang w:val="en-US"/>
        </w:rPr>
        <w:t>Gresse</w:t>
      </w:r>
      <w:proofErr w:type="spellEnd"/>
      <w:r w:rsidRPr="00C0615A">
        <w:rPr>
          <w:lang w:val="en-US"/>
        </w:rPr>
        <w:t xml:space="preserve"> C, de </w:t>
      </w:r>
      <w:proofErr w:type="spellStart"/>
      <w:r w:rsidRPr="00C0615A">
        <w:rPr>
          <w:lang w:val="en-US"/>
        </w:rPr>
        <w:t>Séverac</w:t>
      </w:r>
      <w:proofErr w:type="spellEnd"/>
      <w:r w:rsidRPr="00C0615A">
        <w:rPr>
          <w:lang w:val="en-US"/>
        </w:rPr>
        <w:t xml:space="preserve"> B (2011) Direct and indirect effects of index ETFs on spot-futures pricing and liquidity: E</w:t>
      </w:r>
      <w:r w:rsidR="00B75137">
        <w:rPr>
          <w:lang w:val="en-US"/>
        </w:rPr>
        <w:t>vidence from the CAC 40 index.</w:t>
      </w:r>
      <w:proofErr w:type="gramEnd"/>
      <w:r w:rsidR="00B75137">
        <w:rPr>
          <w:lang w:val="en-US"/>
        </w:rPr>
        <w:t xml:space="preserve"> </w:t>
      </w:r>
      <w:proofErr w:type="gramStart"/>
      <w:r w:rsidR="00B75137">
        <w:rPr>
          <w:lang w:val="en-US"/>
        </w:rPr>
        <w:t>W</w:t>
      </w:r>
      <w:r w:rsidRPr="00C0615A">
        <w:rPr>
          <w:lang w:val="en-US"/>
        </w:rPr>
        <w:t xml:space="preserve">orking </w:t>
      </w:r>
      <w:r w:rsidR="00B75137">
        <w:rPr>
          <w:lang w:val="en-US"/>
        </w:rPr>
        <w:t>P</w:t>
      </w:r>
      <w:r w:rsidRPr="00C0615A">
        <w:rPr>
          <w:lang w:val="en-US"/>
        </w:rPr>
        <w:t xml:space="preserve">aper, EDHEC, </w:t>
      </w:r>
      <w:proofErr w:type="spellStart"/>
      <w:r w:rsidRPr="00C0615A">
        <w:rPr>
          <w:lang w:val="en-US"/>
        </w:rPr>
        <w:t>Université</w:t>
      </w:r>
      <w:proofErr w:type="spellEnd"/>
      <w:r w:rsidRPr="00C0615A">
        <w:rPr>
          <w:lang w:val="en-US"/>
        </w:rPr>
        <w:t xml:space="preserve"> Paris-Dauphine, and </w:t>
      </w:r>
      <w:proofErr w:type="spellStart"/>
      <w:r w:rsidRPr="00C0615A">
        <w:rPr>
          <w:lang w:val="en-US"/>
        </w:rPr>
        <w:t>Université</w:t>
      </w:r>
      <w:proofErr w:type="spellEnd"/>
      <w:r w:rsidRPr="00C0615A">
        <w:rPr>
          <w:lang w:val="en-US"/>
        </w:rPr>
        <w:t xml:space="preserve"> Paris </w:t>
      </w:r>
      <w:proofErr w:type="spellStart"/>
      <w:r w:rsidRPr="00C0615A">
        <w:rPr>
          <w:lang w:val="en-US"/>
        </w:rPr>
        <w:t>Ouest</w:t>
      </w:r>
      <w:proofErr w:type="spellEnd"/>
      <w:r w:rsidRPr="00C0615A">
        <w:rPr>
          <w:lang w:val="en-US"/>
        </w:rPr>
        <w:t>.</w:t>
      </w:r>
      <w:proofErr w:type="gramEnd"/>
    </w:p>
    <w:p w:rsidR="00FE5D7B" w:rsidRDefault="00C0615A">
      <w:pPr>
        <w:pStyle w:val="Reference"/>
        <w:rPr>
          <w:lang w:val="en-US"/>
        </w:rPr>
      </w:pPr>
      <w:r w:rsidRPr="00C0615A">
        <w:rPr>
          <w:lang w:val="en-US"/>
        </w:rPr>
        <w:t>De Winne R, D’Hondt C (2007) Hide-and-seek in the market: Placing and detecting hidden orders. Review of Finance 11:</w:t>
      </w:r>
      <w:r w:rsidR="00B75137">
        <w:rPr>
          <w:lang w:val="en-US"/>
        </w:rPr>
        <w:t xml:space="preserve"> </w:t>
      </w:r>
      <w:r w:rsidRPr="00C0615A">
        <w:rPr>
          <w:lang w:val="en-US"/>
        </w:rPr>
        <w:t>663-692.</w:t>
      </w:r>
    </w:p>
    <w:p w:rsidR="00FE5D7B" w:rsidRDefault="00C36EF8">
      <w:pPr>
        <w:pStyle w:val="Reference"/>
        <w:rPr>
          <w:lang w:val="en-US"/>
        </w:rPr>
      </w:pPr>
      <w:r w:rsidRPr="00C36EF8">
        <w:rPr>
          <w:lang w:val="en-US"/>
        </w:rPr>
        <w:t xml:space="preserve">Easley D, Kiefer NM, O’Hara M (1996) Cream-skimming or profit-sharing? </w:t>
      </w:r>
      <w:proofErr w:type="gramStart"/>
      <w:r w:rsidRPr="00C36EF8">
        <w:rPr>
          <w:lang w:val="en-US"/>
        </w:rPr>
        <w:t>The curious role of purchased order flow.</w:t>
      </w:r>
      <w:proofErr w:type="gramEnd"/>
      <w:r w:rsidRPr="00C36EF8">
        <w:rPr>
          <w:lang w:val="en-US"/>
        </w:rPr>
        <w:t xml:space="preserve"> Journal of Finance 51:</w:t>
      </w:r>
      <w:r w:rsidR="00B75137">
        <w:rPr>
          <w:lang w:val="en-US"/>
        </w:rPr>
        <w:t xml:space="preserve"> </w:t>
      </w:r>
      <w:r w:rsidRPr="00C36EF8">
        <w:rPr>
          <w:lang w:val="en-US"/>
        </w:rPr>
        <w:t>811-833.</w:t>
      </w:r>
    </w:p>
    <w:p w:rsidR="00FE5D7B" w:rsidRDefault="00C36EF8">
      <w:pPr>
        <w:pStyle w:val="Reference"/>
        <w:rPr>
          <w:lang w:val="en-US"/>
        </w:rPr>
      </w:pPr>
      <w:r w:rsidRPr="00C36EF8">
        <w:rPr>
          <w:lang w:val="en-US"/>
        </w:rPr>
        <w:lastRenderedPageBreak/>
        <w:t xml:space="preserve">Easley D, Kiefer NM, O’Hara M, </w:t>
      </w:r>
      <w:proofErr w:type="spellStart"/>
      <w:r w:rsidRPr="00C36EF8">
        <w:rPr>
          <w:lang w:val="en-US"/>
        </w:rPr>
        <w:t>Paperman</w:t>
      </w:r>
      <w:proofErr w:type="spellEnd"/>
      <w:r w:rsidRPr="00C36EF8">
        <w:rPr>
          <w:lang w:val="en-US"/>
        </w:rPr>
        <w:t xml:space="preserve"> J (1996) Liquidity, information, and infrequently traded stocks. Journal of Finance 51: 1405–1436.</w:t>
      </w:r>
    </w:p>
    <w:p w:rsidR="00FE5D7B" w:rsidRDefault="00B31EF4">
      <w:pPr>
        <w:pStyle w:val="Reference"/>
        <w:rPr>
          <w:lang w:val="en-US"/>
        </w:rPr>
      </w:pPr>
      <w:proofErr w:type="spellStart"/>
      <w:r w:rsidRPr="00E723C2">
        <w:rPr>
          <w:lang w:val="en-US"/>
        </w:rPr>
        <w:t>Fremault</w:t>
      </w:r>
      <w:proofErr w:type="spellEnd"/>
      <w:r w:rsidR="00EB179B" w:rsidRPr="00E723C2">
        <w:rPr>
          <w:lang w:val="en-US"/>
        </w:rPr>
        <w:t xml:space="preserve"> A </w:t>
      </w:r>
      <w:r w:rsidRPr="00E723C2">
        <w:rPr>
          <w:lang w:val="en-US"/>
        </w:rPr>
        <w:t>(1991)</w:t>
      </w:r>
      <w:r w:rsidR="00EB179B" w:rsidRPr="00E723C2">
        <w:rPr>
          <w:lang w:val="en-US"/>
        </w:rPr>
        <w:t xml:space="preserve"> Stock index futures and index arbitrage in a rational expectations model</w:t>
      </w:r>
      <w:r w:rsidR="008C3FD5" w:rsidRPr="00E723C2">
        <w:rPr>
          <w:lang w:val="en-US"/>
        </w:rPr>
        <w:t>.</w:t>
      </w:r>
      <w:r w:rsidR="00C0615A" w:rsidRPr="00C0615A">
        <w:rPr>
          <w:lang w:val="en-US"/>
        </w:rPr>
        <w:t xml:space="preserve"> Journal of Business 64:</w:t>
      </w:r>
      <w:r w:rsidR="0078678F">
        <w:rPr>
          <w:lang w:val="en-US"/>
        </w:rPr>
        <w:t xml:space="preserve"> </w:t>
      </w:r>
      <w:r w:rsidR="00C0615A" w:rsidRPr="00C0615A">
        <w:rPr>
          <w:lang w:val="en-US"/>
        </w:rPr>
        <w:t>523-547.</w:t>
      </w:r>
    </w:p>
    <w:p w:rsidR="00FE5D7B" w:rsidRDefault="0078678F">
      <w:pPr>
        <w:pStyle w:val="Reference"/>
        <w:rPr>
          <w:lang w:val="en-US"/>
        </w:rPr>
      </w:pPr>
      <w:r>
        <w:rPr>
          <w:lang w:val="en-US"/>
        </w:rPr>
        <w:t xml:space="preserve">Gorton GB, </w:t>
      </w:r>
      <w:proofErr w:type="spellStart"/>
      <w:r>
        <w:rPr>
          <w:lang w:val="en-US"/>
        </w:rPr>
        <w:t>Pennacchi</w:t>
      </w:r>
      <w:proofErr w:type="spellEnd"/>
      <w:r>
        <w:rPr>
          <w:lang w:val="en-US"/>
        </w:rPr>
        <w:t xml:space="preserve"> GG</w:t>
      </w:r>
      <w:r w:rsidR="00C0615A" w:rsidRPr="00C0615A">
        <w:rPr>
          <w:lang w:val="en-US"/>
        </w:rPr>
        <w:t xml:space="preserve"> (1993) Security baskets and index-linked securities. Journal of Business 66:</w:t>
      </w:r>
      <w:r>
        <w:rPr>
          <w:lang w:val="en-US"/>
        </w:rPr>
        <w:t xml:space="preserve"> </w:t>
      </w:r>
      <w:r w:rsidR="00C0615A" w:rsidRPr="00C0615A">
        <w:rPr>
          <w:lang w:val="en-US"/>
        </w:rPr>
        <w:t>1-27.</w:t>
      </w:r>
    </w:p>
    <w:p w:rsidR="00FE5D7B" w:rsidRDefault="00C0615A">
      <w:pPr>
        <w:pStyle w:val="Reference"/>
        <w:rPr>
          <w:lang w:val="en-US"/>
        </w:rPr>
      </w:pPr>
      <w:proofErr w:type="spellStart"/>
      <w:proofErr w:type="gramStart"/>
      <w:r w:rsidRPr="00C0615A">
        <w:rPr>
          <w:lang w:val="en-US"/>
        </w:rPr>
        <w:t>Grullon</w:t>
      </w:r>
      <w:proofErr w:type="spellEnd"/>
      <w:r w:rsidRPr="00C0615A">
        <w:rPr>
          <w:lang w:val="en-US"/>
        </w:rPr>
        <w:t xml:space="preserve"> G, </w:t>
      </w:r>
      <w:proofErr w:type="spellStart"/>
      <w:r w:rsidRPr="00C0615A">
        <w:rPr>
          <w:lang w:val="en-US"/>
        </w:rPr>
        <w:t>Kanataas</w:t>
      </w:r>
      <w:proofErr w:type="spellEnd"/>
      <w:r w:rsidRPr="00C0615A">
        <w:rPr>
          <w:lang w:val="en-US"/>
        </w:rPr>
        <w:t xml:space="preserve"> G, Weston JP (2004) Advertising, breadth of ownership, and liquidity.</w:t>
      </w:r>
      <w:proofErr w:type="gramEnd"/>
      <w:r w:rsidRPr="00C0615A">
        <w:rPr>
          <w:lang w:val="en-US"/>
        </w:rPr>
        <w:t xml:space="preserve"> Review of Financial Studies 17:</w:t>
      </w:r>
      <w:r w:rsidR="0078678F">
        <w:rPr>
          <w:lang w:val="en-US"/>
        </w:rPr>
        <w:t xml:space="preserve"> </w:t>
      </w:r>
      <w:r w:rsidRPr="00C0615A">
        <w:rPr>
          <w:lang w:val="en-US"/>
        </w:rPr>
        <w:t>439-461.</w:t>
      </w:r>
    </w:p>
    <w:p w:rsidR="00FE5D7B" w:rsidRDefault="00C36EF8">
      <w:pPr>
        <w:pStyle w:val="Reference"/>
        <w:rPr>
          <w:lang w:val="en-US"/>
        </w:rPr>
      </w:pPr>
      <w:proofErr w:type="spellStart"/>
      <w:r w:rsidRPr="00C36EF8">
        <w:rPr>
          <w:lang w:val="en-US"/>
        </w:rPr>
        <w:t>Hakansson</w:t>
      </w:r>
      <w:proofErr w:type="spellEnd"/>
      <w:r w:rsidRPr="00C36EF8">
        <w:rPr>
          <w:lang w:val="en-US"/>
        </w:rPr>
        <w:t xml:space="preserve"> NH (1982) Changes in the financial market: Welfare and price effects and the basic theorems of value conservation. Journal of Finance 37:</w:t>
      </w:r>
      <w:r w:rsidR="0078678F">
        <w:rPr>
          <w:lang w:val="en-US"/>
        </w:rPr>
        <w:t xml:space="preserve"> </w:t>
      </w:r>
      <w:r w:rsidRPr="00C36EF8">
        <w:rPr>
          <w:lang w:val="en-US"/>
        </w:rPr>
        <w:t>977-1004.</w:t>
      </w:r>
    </w:p>
    <w:p w:rsidR="00FE5D7B" w:rsidRDefault="00F353E0">
      <w:pPr>
        <w:pStyle w:val="Reference"/>
        <w:rPr>
          <w:lang w:val="en-US"/>
        </w:rPr>
      </w:pPr>
      <w:r w:rsidRPr="00E723C2">
        <w:rPr>
          <w:lang w:val="en-US"/>
        </w:rPr>
        <w:t xml:space="preserve">Harris L, </w:t>
      </w:r>
      <w:proofErr w:type="spellStart"/>
      <w:r w:rsidRPr="00E723C2">
        <w:rPr>
          <w:lang w:val="en-US"/>
        </w:rPr>
        <w:t>Gurel</w:t>
      </w:r>
      <w:proofErr w:type="spellEnd"/>
      <w:r w:rsidRPr="00E723C2">
        <w:rPr>
          <w:lang w:val="en-US"/>
        </w:rPr>
        <w:t xml:space="preserve"> E (1986) Price and volume effects associated with changes in the S&amp;P 500: New evidence for t</w:t>
      </w:r>
      <w:r w:rsidR="00C0615A" w:rsidRPr="00C0615A">
        <w:rPr>
          <w:lang w:val="en-US"/>
        </w:rPr>
        <w:t>he existence of price pressures. Journal of Finance 41: 815–830.</w:t>
      </w:r>
    </w:p>
    <w:p w:rsidR="00FE5D7B" w:rsidRDefault="00C0615A">
      <w:pPr>
        <w:pStyle w:val="Reference"/>
        <w:rPr>
          <w:lang w:val="en-US"/>
        </w:rPr>
      </w:pPr>
      <w:proofErr w:type="spellStart"/>
      <w:r w:rsidRPr="00C0615A">
        <w:rPr>
          <w:lang w:val="en-US"/>
        </w:rPr>
        <w:t>Hegde</w:t>
      </w:r>
      <w:proofErr w:type="spellEnd"/>
      <w:r w:rsidRPr="00C0615A">
        <w:rPr>
          <w:lang w:val="en-US"/>
        </w:rPr>
        <w:t xml:space="preserve"> SP, McDermott JB (2003) </w:t>
      </w:r>
      <w:proofErr w:type="gramStart"/>
      <w:r w:rsidRPr="00C0615A">
        <w:rPr>
          <w:lang w:val="en-US"/>
        </w:rPr>
        <w:t>The</w:t>
      </w:r>
      <w:proofErr w:type="gramEnd"/>
      <w:r w:rsidRPr="00C0615A">
        <w:rPr>
          <w:lang w:val="en-US"/>
        </w:rPr>
        <w:t xml:space="preserve"> liquidity effects of revisions to the S&amp;P 500 index: An empirical analysis. Journal of Financial Markets 6: 413–459.</w:t>
      </w:r>
    </w:p>
    <w:p w:rsidR="00FE5D7B" w:rsidRDefault="0078678F">
      <w:pPr>
        <w:pStyle w:val="Reference"/>
        <w:rPr>
          <w:lang w:val="en-US"/>
        </w:rPr>
      </w:pPr>
      <w:proofErr w:type="spellStart"/>
      <w:r>
        <w:rPr>
          <w:lang w:val="en-US"/>
        </w:rPr>
        <w:t>Hegde</w:t>
      </w:r>
      <w:proofErr w:type="spellEnd"/>
      <w:r>
        <w:rPr>
          <w:lang w:val="en-US"/>
        </w:rPr>
        <w:t xml:space="preserve"> SP, McDermott JB (2004) </w:t>
      </w:r>
      <w:proofErr w:type="gramStart"/>
      <w:r w:rsidR="00C0615A" w:rsidRPr="00C0615A">
        <w:rPr>
          <w:lang w:val="en-US"/>
        </w:rPr>
        <w:t>The</w:t>
      </w:r>
      <w:proofErr w:type="gramEnd"/>
      <w:r w:rsidR="00C0615A" w:rsidRPr="00C0615A">
        <w:rPr>
          <w:lang w:val="en-US"/>
        </w:rPr>
        <w:t xml:space="preserve"> market liquidity of DIAMONDS, Q’s, and their underlying stocks. Journal of Banking and Finance 28:</w:t>
      </w:r>
      <w:r>
        <w:rPr>
          <w:lang w:val="en-US"/>
        </w:rPr>
        <w:t xml:space="preserve"> </w:t>
      </w:r>
      <w:r w:rsidR="00C0615A" w:rsidRPr="00C0615A">
        <w:rPr>
          <w:lang w:val="en-US"/>
        </w:rPr>
        <w:t>1043-1067.</w:t>
      </w:r>
    </w:p>
    <w:p w:rsidR="00FE5D7B" w:rsidRDefault="00C36EF8">
      <w:pPr>
        <w:pStyle w:val="Reference"/>
        <w:rPr>
          <w:lang w:val="en-US"/>
        </w:rPr>
      </w:pPr>
      <w:r w:rsidRPr="00C36EF8">
        <w:rPr>
          <w:lang w:val="en-US"/>
        </w:rPr>
        <w:t xml:space="preserve">Huang R, Stoll H (1997) </w:t>
      </w:r>
      <w:proofErr w:type="gramStart"/>
      <w:r w:rsidRPr="00C36EF8">
        <w:rPr>
          <w:lang w:val="en-US"/>
        </w:rPr>
        <w:t>The</w:t>
      </w:r>
      <w:proofErr w:type="gramEnd"/>
      <w:r w:rsidRPr="00C36EF8">
        <w:rPr>
          <w:lang w:val="en-US"/>
        </w:rPr>
        <w:t xml:space="preserve"> components of the bid-ask spread: A general approach. Review of Financial Studies 10:</w:t>
      </w:r>
      <w:r w:rsidR="0078678F">
        <w:rPr>
          <w:lang w:val="en-US"/>
        </w:rPr>
        <w:t xml:space="preserve"> </w:t>
      </w:r>
      <w:r w:rsidRPr="00C36EF8">
        <w:rPr>
          <w:lang w:val="en-US"/>
        </w:rPr>
        <w:t>995-1034.</w:t>
      </w:r>
    </w:p>
    <w:p w:rsidR="00FE5D7B" w:rsidRDefault="00C36EF8">
      <w:pPr>
        <w:pStyle w:val="Reference"/>
        <w:rPr>
          <w:i/>
          <w:lang w:val="en-US"/>
        </w:rPr>
      </w:pPr>
      <w:r w:rsidRPr="00C36EF8">
        <w:rPr>
          <w:lang w:val="en-US"/>
        </w:rPr>
        <w:t xml:space="preserve">Irvine PJ, </w:t>
      </w:r>
      <w:proofErr w:type="spellStart"/>
      <w:r w:rsidRPr="00C36EF8">
        <w:rPr>
          <w:lang w:val="en-US"/>
        </w:rPr>
        <w:t>Benston</w:t>
      </w:r>
      <w:proofErr w:type="spellEnd"/>
      <w:r w:rsidRPr="00C36EF8">
        <w:rPr>
          <w:lang w:val="en-US"/>
        </w:rPr>
        <w:t xml:space="preserve"> GJ, </w:t>
      </w:r>
      <w:proofErr w:type="spellStart"/>
      <w:r w:rsidRPr="00C36EF8">
        <w:rPr>
          <w:lang w:val="en-US"/>
        </w:rPr>
        <w:t>Kandel</w:t>
      </w:r>
      <w:proofErr w:type="spellEnd"/>
      <w:r w:rsidRPr="00C36EF8">
        <w:rPr>
          <w:lang w:val="en-US"/>
        </w:rPr>
        <w:t xml:space="preserve"> E (2000) Liquidity beyond the inside spread: Measuring and using information in the limit order book. </w:t>
      </w:r>
      <w:r w:rsidR="0078678F">
        <w:rPr>
          <w:lang w:val="en-US"/>
        </w:rPr>
        <w:t xml:space="preserve">Available at: </w:t>
      </w:r>
      <w:hyperlink r:id="rId105" w:history="1">
        <w:r w:rsidRPr="00C36EF8">
          <w:rPr>
            <w:lang w:val="en-US"/>
          </w:rPr>
          <w:t>http://ssrn.com/abstract=229959</w:t>
        </w:r>
      </w:hyperlink>
    </w:p>
    <w:p w:rsidR="00FE5D7B" w:rsidRDefault="00330C2A">
      <w:pPr>
        <w:pStyle w:val="Reference"/>
        <w:rPr>
          <w:lang w:val="en-US"/>
        </w:rPr>
      </w:pPr>
      <w:r w:rsidRPr="00E723C2">
        <w:rPr>
          <w:lang w:val="en-US"/>
        </w:rPr>
        <w:t>Kumar</w:t>
      </w:r>
      <w:r w:rsidR="008F2135" w:rsidRPr="00E723C2">
        <w:rPr>
          <w:lang w:val="en-US"/>
        </w:rPr>
        <w:t xml:space="preserve"> R, </w:t>
      </w:r>
      <w:proofErr w:type="spellStart"/>
      <w:r w:rsidR="008F2135" w:rsidRPr="00E723C2">
        <w:rPr>
          <w:lang w:val="en-US"/>
        </w:rPr>
        <w:t>Sarin</w:t>
      </w:r>
      <w:proofErr w:type="spellEnd"/>
      <w:r w:rsidR="008F2135" w:rsidRPr="00E723C2">
        <w:rPr>
          <w:lang w:val="en-US"/>
        </w:rPr>
        <w:t xml:space="preserve"> </w:t>
      </w:r>
      <w:r w:rsidRPr="00E723C2">
        <w:rPr>
          <w:lang w:val="en-US"/>
        </w:rPr>
        <w:t>A,</w:t>
      </w:r>
      <w:r w:rsidR="008F2135" w:rsidRPr="00E723C2">
        <w:rPr>
          <w:lang w:val="en-US"/>
        </w:rPr>
        <w:t xml:space="preserve"> </w:t>
      </w:r>
      <w:proofErr w:type="spellStart"/>
      <w:r w:rsidRPr="00E723C2">
        <w:rPr>
          <w:lang w:val="en-US"/>
        </w:rPr>
        <w:t>Shastri</w:t>
      </w:r>
      <w:proofErr w:type="spellEnd"/>
      <w:r w:rsidRPr="00E723C2">
        <w:rPr>
          <w:lang w:val="en-US"/>
        </w:rPr>
        <w:t xml:space="preserve"> K</w:t>
      </w:r>
      <w:r w:rsidR="00C0615A" w:rsidRPr="00C0615A">
        <w:rPr>
          <w:lang w:val="en-US"/>
        </w:rPr>
        <w:t xml:space="preserve"> (1998) </w:t>
      </w:r>
      <w:proofErr w:type="gramStart"/>
      <w:r w:rsidR="00C0615A" w:rsidRPr="00C0615A">
        <w:rPr>
          <w:lang w:val="en-US"/>
        </w:rPr>
        <w:t>The</w:t>
      </w:r>
      <w:proofErr w:type="gramEnd"/>
      <w:r w:rsidR="00C0615A" w:rsidRPr="00C0615A">
        <w:rPr>
          <w:lang w:val="en-US"/>
        </w:rPr>
        <w:t xml:space="preserve"> impact of options trading on the market quality of the underlying security: An empirical analysis. Journal of Finance 53:</w:t>
      </w:r>
      <w:r w:rsidR="0078678F">
        <w:rPr>
          <w:lang w:val="en-US"/>
        </w:rPr>
        <w:t xml:space="preserve"> </w:t>
      </w:r>
      <w:r w:rsidR="00C0615A" w:rsidRPr="00C0615A">
        <w:rPr>
          <w:lang w:val="en-US"/>
        </w:rPr>
        <w:t>717-732.</w:t>
      </w:r>
    </w:p>
    <w:p w:rsidR="00FE5D7B" w:rsidRDefault="00C36EF8">
      <w:pPr>
        <w:pStyle w:val="Reference"/>
        <w:rPr>
          <w:lang w:val="en-US"/>
        </w:rPr>
      </w:pPr>
      <w:proofErr w:type="spellStart"/>
      <w:r w:rsidRPr="00C36EF8">
        <w:rPr>
          <w:lang w:val="en-US"/>
        </w:rPr>
        <w:lastRenderedPageBreak/>
        <w:t>Kurov</w:t>
      </w:r>
      <w:proofErr w:type="spellEnd"/>
      <w:r w:rsidRPr="00C36EF8">
        <w:rPr>
          <w:lang w:val="en-US"/>
        </w:rPr>
        <w:t xml:space="preserve">, AA, </w:t>
      </w:r>
      <w:proofErr w:type="spellStart"/>
      <w:r w:rsidRPr="00C36EF8">
        <w:rPr>
          <w:lang w:val="en-US"/>
        </w:rPr>
        <w:t>Lasser</w:t>
      </w:r>
      <w:proofErr w:type="spellEnd"/>
      <w:r w:rsidRPr="00C36EF8">
        <w:rPr>
          <w:lang w:val="en-US"/>
        </w:rPr>
        <w:t xml:space="preserve"> DJ (2002) </w:t>
      </w:r>
      <w:proofErr w:type="gramStart"/>
      <w:r w:rsidRPr="00C36EF8">
        <w:rPr>
          <w:lang w:val="en-US"/>
        </w:rPr>
        <w:t>The</w:t>
      </w:r>
      <w:proofErr w:type="gramEnd"/>
      <w:r w:rsidRPr="00C36EF8">
        <w:rPr>
          <w:lang w:val="en-US"/>
        </w:rPr>
        <w:t xml:space="preserve"> effect of the introduction of Cubes on the Nasdaq-100 Index spot-futures pricing relationship. Journal of Futures Markets 22:</w:t>
      </w:r>
      <w:r w:rsidR="0078678F">
        <w:rPr>
          <w:lang w:val="en-US"/>
        </w:rPr>
        <w:t xml:space="preserve"> </w:t>
      </w:r>
      <w:r w:rsidRPr="00C36EF8">
        <w:rPr>
          <w:lang w:val="en-US"/>
        </w:rPr>
        <w:t>197-218.</w:t>
      </w:r>
    </w:p>
    <w:p w:rsidR="00FE5D7B" w:rsidRDefault="00192E70">
      <w:pPr>
        <w:pStyle w:val="Reference"/>
        <w:rPr>
          <w:lang w:val="en-US"/>
        </w:rPr>
      </w:pPr>
      <w:r w:rsidRPr="00E723C2">
        <w:rPr>
          <w:lang w:val="en-US"/>
        </w:rPr>
        <w:t>Lee</w:t>
      </w:r>
      <w:r w:rsidR="003E191D" w:rsidRPr="00E723C2">
        <w:rPr>
          <w:lang w:val="en-US"/>
        </w:rPr>
        <w:t xml:space="preserve"> C</w:t>
      </w:r>
      <w:r w:rsidRPr="00E723C2">
        <w:rPr>
          <w:lang w:val="en-US"/>
        </w:rPr>
        <w:t>MC,</w:t>
      </w:r>
      <w:r w:rsidR="003E191D" w:rsidRPr="00E723C2">
        <w:rPr>
          <w:lang w:val="en-US"/>
        </w:rPr>
        <w:t xml:space="preserve"> Ready</w:t>
      </w:r>
      <w:r w:rsidR="00C0615A" w:rsidRPr="00C0615A">
        <w:rPr>
          <w:lang w:val="en-US"/>
        </w:rPr>
        <w:t xml:space="preserve"> MJ (1991) Inferring trade direction from intraday data. Journal of Finance 46:</w:t>
      </w:r>
      <w:r w:rsidR="0078678F">
        <w:rPr>
          <w:lang w:val="en-US"/>
        </w:rPr>
        <w:t xml:space="preserve"> </w:t>
      </w:r>
      <w:r w:rsidR="00C0615A" w:rsidRPr="00C0615A">
        <w:rPr>
          <w:lang w:val="en-US"/>
        </w:rPr>
        <w:t>733-746.</w:t>
      </w:r>
    </w:p>
    <w:p w:rsidR="00FE5D7B" w:rsidRDefault="00C0615A">
      <w:pPr>
        <w:pStyle w:val="Reference"/>
        <w:rPr>
          <w:lang w:val="en-US"/>
        </w:rPr>
      </w:pPr>
      <w:r w:rsidRPr="00C0615A">
        <w:rPr>
          <w:lang w:val="en-US"/>
        </w:rPr>
        <w:t>Lin J-C, Sanger GC, Booth GG (1995) Trade size and components of the bid-ask spread. Review of Financial Studies 8:</w:t>
      </w:r>
      <w:r w:rsidR="0078678F">
        <w:rPr>
          <w:lang w:val="en-US"/>
        </w:rPr>
        <w:t xml:space="preserve"> </w:t>
      </w:r>
      <w:r w:rsidRPr="00C0615A">
        <w:rPr>
          <w:lang w:val="en-US"/>
        </w:rPr>
        <w:t>1153-1183.</w:t>
      </w:r>
    </w:p>
    <w:p w:rsidR="00FE5D7B" w:rsidRDefault="00C0615A">
      <w:pPr>
        <w:pStyle w:val="Reference"/>
        <w:rPr>
          <w:lang w:val="en-US"/>
        </w:rPr>
      </w:pPr>
      <w:proofErr w:type="gramStart"/>
      <w:r w:rsidRPr="00C0615A">
        <w:rPr>
          <w:lang w:val="en-US"/>
        </w:rPr>
        <w:t>Merton R (1987) A simple model of capital market equilibrium with incomplete information.</w:t>
      </w:r>
      <w:proofErr w:type="gramEnd"/>
      <w:r w:rsidRPr="00C0615A">
        <w:rPr>
          <w:lang w:val="en-US"/>
        </w:rPr>
        <w:t xml:space="preserve"> Journal of Finance 42:</w:t>
      </w:r>
      <w:r w:rsidR="0078678F">
        <w:rPr>
          <w:lang w:val="en-US"/>
        </w:rPr>
        <w:t xml:space="preserve"> </w:t>
      </w:r>
      <w:r w:rsidRPr="00C0615A">
        <w:rPr>
          <w:lang w:val="en-US"/>
        </w:rPr>
        <w:t>483-510.</w:t>
      </w:r>
    </w:p>
    <w:p w:rsidR="00897295" w:rsidRDefault="00897295">
      <w:pPr>
        <w:pStyle w:val="Reference"/>
        <w:rPr>
          <w:lang w:val="en-US"/>
        </w:rPr>
      </w:pPr>
      <w:r>
        <w:rPr>
          <w:lang w:val="en-US"/>
        </w:rPr>
        <w:t xml:space="preserve">Parks RW (1967) </w:t>
      </w:r>
      <w:proofErr w:type="gramStart"/>
      <w:r w:rsidRPr="00897295">
        <w:rPr>
          <w:lang w:val="en-US"/>
        </w:rPr>
        <w:t>Efficient</w:t>
      </w:r>
      <w:proofErr w:type="gramEnd"/>
      <w:r w:rsidRPr="00897295">
        <w:rPr>
          <w:lang w:val="en-US"/>
        </w:rPr>
        <w:t xml:space="preserve"> </w:t>
      </w:r>
      <w:r>
        <w:rPr>
          <w:lang w:val="en-US"/>
        </w:rPr>
        <w:t>e</w:t>
      </w:r>
      <w:r w:rsidRPr="00897295">
        <w:rPr>
          <w:lang w:val="en-US"/>
        </w:rPr>
        <w:t xml:space="preserve">stimation of a </w:t>
      </w:r>
      <w:r>
        <w:rPr>
          <w:lang w:val="en-US"/>
        </w:rPr>
        <w:t>s</w:t>
      </w:r>
      <w:r w:rsidRPr="00897295">
        <w:rPr>
          <w:lang w:val="en-US"/>
        </w:rPr>
        <w:t xml:space="preserve">ystem of </w:t>
      </w:r>
      <w:r>
        <w:rPr>
          <w:lang w:val="en-US"/>
        </w:rPr>
        <w:t>r</w:t>
      </w:r>
      <w:r w:rsidRPr="00897295">
        <w:rPr>
          <w:lang w:val="en-US"/>
        </w:rPr>
        <w:t xml:space="preserve">egression </w:t>
      </w:r>
      <w:r>
        <w:rPr>
          <w:lang w:val="en-US"/>
        </w:rPr>
        <w:t>e</w:t>
      </w:r>
      <w:r w:rsidRPr="00897295">
        <w:rPr>
          <w:lang w:val="en-US"/>
        </w:rPr>
        <w:t xml:space="preserve">quations </w:t>
      </w:r>
      <w:r>
        <w:rPr>
          <w:lang w:val="en-US"/>
        </w:rPr>
        <w:t>w</w:t>
      </w:r>
      <w:r w:rsidRPr="00897295">
        <w:rPr>
          <w:lang w:val="en-US"/>
        </w:rPr>
        <w:t xml:space="preserve">hen </w:t>
      </w:r>
      <w:r>
        <w:rPr>
          <w:lang w:val="en-US"/>
        </w:rPr>
        <w:t>d</w:t>
      </w:r>
      <w:r w:rsidRPr="00897295">
        <w:rPr>
          <w:lang w:val="en-US"/>
        </w:rPr>
        <w:t xml:space="preserve">isturbances </w:t>
      </w:r>
      <w:r>
        <w:rPr>
          <w:lang w:val="en-US"/>
        </w:rPr>
        <w:t>a</w:t>
      </w:r>
      <w:r w:rsidRPr="00897295">
        <w:rPr>
          <w:lang w:val="en-US"/>
        </w:rPr>
        <w:t xml:space="preserve">re </w:t>
      </w:r>
      <w:r>
        <w:rPr>
          <w:lang w:val="en-US"/>
        </w:rPr>
        <w:t>b</w:t>
      </w:r>
      <w:r w:rsidRPr="00897295">
        <w:rPr>
          <w:lang w:val="en-US"/>
        </w:rPr>
        <w:t xml:space="preserve">oth </w:t>
      </w:r>
      <w:r>
        <w:rPr>
          <w:lang w:val="en-US"/>
        </w:rPr>
        <w:t>s</w:t>
      </w:r>
      <w:r w:rsidRPr="00897295">
        <w:rPr>
          <w:lang w:val="en-US"/>
        </w:rPr>
        <w:t xml:space="preserve">erially and </w:t>
      </w:r>
      <w:r>
        <w:rPr>
          <w:lang w:val="en-US"/>
        </w:rPr>
        <w:t>c</w:t>
      </w:r>
      <w:r w:rsidRPr="00897295">
        <w:rPr>
          <w:lang w:val="en-US"/>
        </w:rPr>
        <w:t xml:space="preserve">ontemporaneously </w:t>
      </w:r>
      <w:r>
        <w:rPr>
          <w:lang w:val="en-US"/>
        </w:rPr>
        <w:t>c</w:t>
      </w:r>
      <w:r w:rsidR="00CB26CB">
        <w:rPr>
          <w:lang w:val="en-US"/>
        </w:rPr>
        <w:t xml:space="preserve">orrelated. </w:t>
      </w:r>
      <w:r w:rsidRPr="00897295">
        <w:rPr>
          <w:lang w:val="en-US"/>
        </w:rPr>
        <w:t>Journal of the American Statistical Association 62</w:t>
      </w:r>
      <w:r w:rsidR="00CB26CB">
        <w:rPr>
          <w:lang w:val="en-US"/>
        </w:rPr>
        <w:t>:</w:t>
      </w:r>
      <w:r w:rsidRPr="00897295">
        <w:rPr>
          <w:lang w:val="en-US"/>
        </w:rPr>
        <w:t xml:space="preserve"> 500-509.</w:t>
      </w:r>
    </w:p>
    <w:p w:rsidR="00FE5D7B" w:rsidRDefault="00C0615A">
      <w:pPr>
        <w:pStyle w:val="Reference"/>
        <w:rPr>
          <w:lang w:val="en-US"/>
        </w:rPr>
      </w:pPr>
      <w:proofErr w:type="gramStart"/>
      <w:r w:rsidRPr="00C0615A">
        <w:rPr>
          <w:lang w:val="en-US"/>
        </w:rPr>
        <w:t>Richie N, Madura J (2007) Impact of the QQQ on liquidity and risk of the underlying stocks.</w:t>
      </w:r>
      <w:proofErr w:type="gramEnd"/>
      <w:r w:rsidRPr="00C0615A">
        <w:rPr>
          <w:lang w:val="en-US"/>
        </w:rPr>
        <w:t xml:space="preserve"> Quarterly Review of Economics and Finance 47:</w:t>
      </w:r>
      <w:r w:rsidR="0078678F">
        <w:rPr>
          <w:lang w:val="en-US"/>
        </w:rPr>
        <w:t xml:space="preserve"> </w:t>
      </w:r>
      <w:r w:rsidRPr="00C0615A">
        <w:rPr>
          <w:lang w:val="en-US"/>
        </w:rPr>
        <w:t>411-421.</w:t>
      </w:r>
    </w:p>
    <w:p w:rsidR="00FE5D7B" w:rsidRDefault="00C0615A">
      <w:pPr>
        <w:pStyle w:val="Reference"/>
        <w:rPr>
          <w:lang w:val="en-US"/>
        </w:rPr>
      </w:pPr>
      <w:proofErr w:type="gramStart"/>
      <w:r w:rsidRPr="00C0615A">
        <w:rPr>
          <w:lang w:val="en-US"/>
        </w:rPr>
        <w:t>Ross SA (1976) Options and efficiency.</w:t>
      </w:r>
      <w:proofErr w:type="gramEnd"/>
      <w:r w:rsidRPr="00C0615A">
        <w:rPr>
          <w:lang w:val="en-US"/>
        </w:rPr>
        <w:t xml:space="preserve"> </w:t>
      </w:r>
      <w:r w:rsidR="00C36EF8" w:rsidRPr="00C36EF8">
        <w:rPr>
          <w:lang w:val="en-US"/>
        </w:rPr>
        <w:t>Quarterly Journal of Economics</w:t>
      </w:r>
      <w:r w:rsidRPr="00C0615A">
        <w:rPr>
          <w:lang w:val="en-US"/>
        </w:rPr>
        <w:t xml:space="preserve"> 90:</w:t>
      </w:r>
      <w:r w:rsidR="0078678F">
        <w:rPr>
          <w:lang w:val="en-US"/>
        </w:rPr>
        <w:t xml:space="preserve"> </w:t>
      </w:r>
      <w:r w:rsidRPr="00C0615A">
        <w:rPr>
          <w:lang w:val="en-US"/>
        </w:rPr>
        <w:t>75-89.</w:t>
      </w:r>
    </w:p>
    <w:p w:rsidR="00FE5D7B" w:rsidRDefault="00C0615A">
      <w:pPr>
        <w:pStyle w:val="Reference"/>
        <w:rPr>
          <w:lang w:val="en-US"/>
        </w:rPr>
      </w:pPr>
      <w:proofErr w:type="spellStart"/>
      <w:proofErr w:type="gramStart"/>
      <w:r w:rsidRPr="00C0615A">
        <w:rPr>
          <w:lang w:val="en-US"/>
        </w:rPr>
        <w:t>Subrahmanyam</w:t>
      </w:r>
      <w:proofErr w:type="spellEnd"/>
      <w:r w:rsidRPr="00C0615A">
        <w:rPr>
          <w:lang w:val="en-US"/>
        </w:rPr>
        <w:t xml:space="preserve"> A (1991) A theory of trading in stock index futures.</w:t>
      </w:r>
      <w:proofErr w:type="gramEnd"/>
      <w:r w:rsidRPr="00C0615A">
        <w:rPr>
          <w:lang w:val="en-US"/>
        </w:rPr>
        <w:t xml:space="preserve"> Review of Financial Studies 4:</w:t>
      </w:r>
      <w:r w:rsidR="0078678F">
        <w:rPr>
          <w:lang w:val="en-US"/>
        </w:rPr>
        <w:t xml:space="preserve"> </w:t>
      </w:r>
      <w:r w:rsidRPr="00C0615A">
        <w:rPr>
          <w:lang w:val="en-US"/>
        </w:rPr>
        <w:t>17-51.</w:t>
      </w:r>
    </w:p>
    <w:p w:rsidR="00FE5D7B" w:rsidRDefault="00C0615A">
      <w:pPr>
        <w:pStyle w:val="Reference"/>
        <w:rPr>
          <w:lang w:val="en-US"/>
        </w:rPr>
      </w:pPr>
      <w:r w:rsidRPr="00C0615A">
        <w:rPr>
          <w:lang w:val="en-US"/>
        </w:rPr>
        <w:t xml:space="preserve">Van Ness BF, Van Ness RA, </w:t>
      </w:r>
      <w:proofErr w:type="spellStart"/>
      <w:r w:rsidRPr="00C0615A">
        <w:rPr>
          <w:lang w:val="en-US"/>
        </w:rPr>
        <w:t>Warr</w:t>
      </w:r>
      <w:proofErr w:type="spellEnd"/>
      <w:r w:rsidRPr="00C0615A">
        <w:rPr>
          <w:lang w:val="en-US"/>
        </w:rPr>
        <w:t xml:space="preserve"> RS (2005) </w:t>
      </w:r>
      <w:proofErr w:type="gramStart"/>
      <w:r w:rsidRPr="00C0615A">
        <w:rPr>
          <w:lang w:val="en-US"/>
        </w:rPr>
        <w:t>The</w:t>
      </w:r>
      <w:proofErr w:type="gramEnd"/>
      <w:r w:rsidRPr="00C0615A">
        <w:rPr>
          <w:lang w:val="en-US"/>
        </w:rPr>
        <w:t xml:space="preserve"> impact of the introduction of index securities on the underlying stocks: The case of the Diamonds and the Dow 30. Advances in Quantitative Analysis of Finance and Accounting 2:</w:t>
      </w:r>
      <w:r w:rsidR="0078678F">
        <w:rPr>
          <w:lang w:val="en-US"/>
        </w:rPr>
        <w:t xml:space="preserve"> </w:t>
      </w:r>
      <w:r w:rsidRPr="00C0615A">
        <w:rPr>
          <w:lang w:val="en-US"/>
        </w:rPr>
        <w:t>105-128.</w:t>
      </w:r>
    </w:p>
    <w:p w:rsidR="00FE5D7B" w:rsidRDefault="00FE5D7B" w:rsidP="00E2523F">
      <w:pPr>
        <w:pStyle w:val="Numerotable"/>
        <w:rPr>
          <w:lang w:val="en-US"/>
        </w:rPr>
        <w:sectPr w:rsidR="00FE5D7B" w:rsidSect="00165EDA">
          <w:pgSz w:w="11906" w:h="16838"/>
          <w:pgMar w:top="1417" w:right="1417" w:bottom="1417" w:left="1417" w:header="708" w:footer="708" w:gutter="0"/>
          <w:cols w:space="708"/>
          <w:docGrid w:linePitch="360"/>
        </w:sectPr>
      </w:pPr>
    </w:p>
    <w:p w:rsidR="00FE5D7B" w:rsidRDefault="00C0615A">
      <w:pPr>
        <w:pStyle w:val="Numerotable"/>
        <w:rPr>
          <w:lang w:val="en-US"/>
        </w:rPr>
      </w:pPr>
      <w:r w:rsidRPr="00C0615A">
        <w:rPr>
          <w:lang w:val="en-US"/>
        </w:rPr>
        <w:lastRenderedPageBreak/>
        <w:t>Table 1</w:t>
      </w:r>
    </w:p>
    <w:p w:rsidR="00FE5D7B" w:rsidRDefault="00C0615A">
      <w:pPr>
        <w:pStyle w:val="Titretable"/>
        <w:keepNext w:val="0"/>
        <w:rPr>
          <w:lang w:val="en-US"/>
        </w:rPr>
      </w:pPr>
      <w:r w:rsidRPr="00C0615A">
        <w:rPr>
          <w:lang w:val="en-US"/>
        </w:rPr>
        <w:t xml:space="preserve">Comparing the cost of trading the CAC 40 index </w:t>
      </w:r>
      <w:r w:rsidR="009D6C05">
        <w:rPr>
          <w:lang w:val="en-US"/>
        </w:rPr>
        <w:t>in</w:t>
      </w:r>
      <w:r w:rsidRPr="00C0615A">
        <w:rPr>
          <w:lang w:val="en-US"/>
        </w:rPr>
        <w:t xml:space="preserve"> the stock market and the </w:t>
      </w:r>
      <w:proofErr w:type="spellStart"/>
      <w:r w:rsidRPr="00C0615A">
        <w:rPr>
          <w:lang w:val="en-US"/>
        </w:rPr>
        <w:t>Lyxor</w:t>
      </w:r>
      <w:proofErr w:type="spellEnd"/>
      <w:r w:rsidRPr="00C0615A">
        <w:rPr>
          <w:lang w:val="en-US"/>
        </w:rPr>
        <w:t xml:space="preserve"> CAC 40 market</w:t>
      </w:r>
    </w:p>
    <w:tbl>
      <w:tblPr>
        <w:tblW w:w="9102" w:type="dxa"/>
        <w:tblInd w:w="40" w:type="dxa"/>
        <w:tblLayout w:type="fixed"/>
        <w:tblCellMar>
          <w:left w:w="70" w:type="dxa"/>
          <w:right w:w="70" w:type="dxa"/>
        </w:tblCellMar>
        <w:tblLook w:val="0000" w:firstRow="0" w:lastRow="0" w:firstColumn="0" w:lastColumn="0" w:noHBand="0" w:noVBand="0"/>
      </w:tblPr>
      <w:tblGrid>
        <w:gridCol w:w="2865"/>
        <w:gridCol w:w="1985"/>
        <w:gridCol w:w="1985"/>
        <w:gridCol w:w="2267"/>
      </w:tblGrid>
      <w:tr w:rsidR="009C42CC" w:rsidRPr="00E723C2" w:rsidTr="00D65560">
        <w:trPr>
          <w:trHeight w:val="365"/>
        </w:trPr>
        <w:tc>
          <w:tcPr>
            <w:tcW w:w="2865" w:type="dxa"/>
            <w:tcBorders>
              <w:top w:val="single" w:sz="12" w:space="0" w:color="auto"/>
              <w:bottom w:val="single" w:sz="8" w:space="0" w:color="auto"/>
            </w:tcBorders>
            <w:vAlign w:val="center"/>
          </w:tcPr>
          <w:p w:rsidR="00FE5D7B" w:rsidRDefault="00FE5D7B">
            <w:pPr>
              <w:autoSpaceDE w:val="0"/>
              <w:autoSpaceDN w:val="0"/>
              <w:adjustRightInd w:val="0"/>
              <w:spacing w:before="0" w:line="240" w:lineRule="auto"/>
              <w:ind w:firstLine="0"/>
              <w:jc w:val="center"/>
              <w:rPr>
                <w:rFonts w:ascii="Arial" w:hAnsi="Arial" w:cs="Arial"/>
                <w:color w:val="000000"/>
                <w:sz w:val="20"/>
                <w:szCs w:val="20"/>
                <w:lang w:val="en-US"/>
              </w:rPr>
            </w:pPr>
          </w:p>
        </w:tc>
        <w:tc>
          <w:tcPr>
            <w:tcW w:w="1985" w:type="dxa"/>
            <w:tcBorders>
              <w:top w:val="single" w:sz="12" w:space="0" w:color="auto"/>
              <w:bottom w:val="single" w:sz="8" w:space="0" w:color="auto"/>
            </w:tcBorders>
            <w:vAlign w:val="center"/>
          </w:tcPr>
          <w:p w:rsidR="00FE5D7B" w:rsidRDefault="008A7752">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Basket of i</w:t>
            </w:r>
            <w:r w:rsidR="00C0615A" w:rsidRPr="00C0615A">
              <w:rPr>
                <w:b/>
                <w:bCs/>
                <w:color w:val="000000"/>
                <w:sz w:val="20"/>
                <w:szCs w:val="20"/>
                <w:lang w:val="en-US"/>
              </w:rPr>
              <w:t>ndex stocks</w:t>
            </w:r>
          </w:p>
        </w:tc>
        <w:tc>
          <w:tcPr>
            <w:tcW w:w="1985" w:type="dxa"/>
            <w:tcBorders>
              <w:top w:val="single" w:sz="12" w:space="0" w:color="auto"/>
              <w:bottom w:val="single" w:sz="8" w:space="0" w:color="auto"/>
            </w:tcBorders>
            <w:vAlign w:val="center"/>
          </w:tcPr>
          <w:p w:rsidR="00FE5D7B" w:rsidRDefault="00C0615A">
            <w:pPr>
              <w:autoSpaceDE w:val="0"/>
              <w:autoSpaceDN w:val="0"/>
              <w:adjustRightInd w:val="0"/>
              <w:spacing w:before="0" w:line="240" w:lineRule="auto"/>
              <w:ind w:firstLine="0"/>
              <w:jc w:val="center"/>
              <w:rPr>
                <w:rFonts w:ascii="Arial" w:hAnsi="Arial" w:cs="Arial"/>
                <w:color w:val="000000"/>
                <w:sz w:val="20"/>
                <w:szCs w:val="20"/>
                <w:lang w:val="en-US"/>
              </w:rPr>
            </w:pPr>
            <w:r w:rsidRPr="00C0615A">
              <w:rPr>
                <w:b/>
                <w:bCs/>
                <w:color w:val="000000"/>
                <w:sz w:val="20"/>
                <w:szCs w:val="20"/>
                <w:lang w:val="en-US"/>
              </w:rPr>
              <w:t>With LPs</w:t>
            </w:r>
          </w:p>
        </w:tc>
        <w:tc>
          <w:tcPr>
            <w:tcW w:w="2267" w:type="dxa"/>
            <w:tcBorders>
              <w:top w:val="single" w:sz="12" w:space="0" w:color="auto"/>
              <w:bottom w:val="single" w:sz="8" w:space="0" w:color="auto"/>
            </w:tcBorders>
            <w:vAlign w:val="center"/>
          </w:tcPr>
          <w:p w:rsidR="00FE5D7B" w:rsidRDefault="00C0615A">
            <w:pPr>
              <w:autoSpaceDE w:val="0"/>
              <w:autoSpaceDN w:val="0"/>
              <w:adjustRightInd w:val="0"/>
              <w:spacing w:before="0" w:line="240" w:lineRule="auto"/>
              <w:ind w:firstLine="0"/>
              <w:jc w:val="center"/>
              <w:rPr>
                <w:rFonts w:ascii="Arial" w:hAnsi="Arial" w:cs="Arial"/>
                <w:color w:val="000000"/>
                <w:sz w:val="20"/>
                <w:szCs w:val="20"/>
                <w:lang w:val="en-US"/>
              </w:rPr>
            </w:pPr>
            <w:r w:rsidRPr="00C0615A">
              <w:rPr>
                <w:b/>
                <w:bCs/>
                <w:color w:val="000000"/>
                <w:sz w:val="20"/>
                <w:szCs w:val="20"/>
                <w:lang w:val="en-US"/>
              </w:rPr>
              <w:t>Without LPs</w:t>
            </w:r>
          </w:p>
        </w:tc>
      </w:tr>
      <w:tr w:rsidR="009C42CC" w:rsidRPr="00E723C2" w:rsidTr="00D65560">
        <w:trPr>
          <w:trHeight w:val="470"/>
        </w:trPr>
        <w:tc>
          <w:tcPr>
            <w:tcW w:w="2865" w:type="dxa"/>
            <w:tcBorders>
              <w:top w:val="single" w:sz="8" w:space="0" w:color="auto"/>
            </w:tcBorders>
            <w:vAlign w:val="center"/>
          </w:tcPr>
          <w:p w:rsidR="00FE5D7B" w:rsidRDefault="009C42CC">
            <w:pPr>
              <w:autoSpaceDE w:val="0"/>
              <w:autoSpaceDN w:val="0"/>
              <w:adjustRightInd w:val="0"/>
              <w:spacing w:before="0" w:line="240" w:lineRule="auto"/>
              <w:ind w:firstLine="0"/>
              <w:jc w:val="left"/>
              <w:rPr>
                <w:color w:val="000000"/>
                <w:sz w:val="20"/>
                <w:szCs w:val="20"/>
                <w:lang w:val="en-US"/>
              </w:rPr>
            </w:pPr>
            <w:r w:rsidRPr="00E723C2">
              <w:rPr>
                <w:b/>
                <w:bCs/>
                <w:color w:val="000000"/>
                <w:sz w:val="20"/>
                <w:szCs w:val="20"/>
                <w:lang w:val="en-US"/>
              </w:rPr>
              <w:t>Relative quoted spread</w:t>
            </w:r>
          </w:p>
        </w:tc>
        <w:tc>
          <w:tcPr>
            <w:tcW w:w="1985" w:type="dxa"/>
            <w:tcBorders>
              <w:top w:val="single" w:sz="8" w:space="0" w:color="auto"/>
            </w:tcBorders>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w:t>
            </w:r>
          </w:p>
        </w:tc>
        <w:tc>
          <w:tcPr>
            <w:tcW w:w="1985" w:type="dxa"/>
            <w:tcBorders>
              <w:top w:val="single" w:sz="8" w:space="0" w:color="auto"/>
            </w:tcBorders>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0.13%</w:t>
            </w:r>
          </w:p>
        </w:tc>
        <w:tc>
          <w:tcPr>
            <w:tcW w:w="2267" w:type="dxa"/>
            <w:tcBorders>
              <w:top w:val="single" w:sz="8" w:space="0" w:color="auto"/>
            </w:tcBorders>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0.62%</w:t>
            </w:r>
          </w:p>
        </w:tc>
      </w:tr>
      <w:tr w:rsidR="009C42CC" w:rsidRPr="00E723C2" w:rsidTr="00D65560">
        <w:trPr>
          <w:trHeight w:val="557"/>
        </w:trPr>
        <w:tc>
          <w:tcPr>
            <w:tcW w:w="2865" w:type="dxa"/>
            <w:vAlign w:val="center"/>
          </w:tcPr>
          <w:p w:rsidR="00FE5D7B" w:rsidRDefault="009C42CC">
            <w:pPr>
              <w:autoSpaceDE w:val="0"/>
              <w:autoSpaceDN w:val="0"/>
              <w:adjustRightInd w:val="0"/>
              <w:spacing w:before="0" w:line="240" w:lineRule="auto"/>
              <w:ind w:firstLine="0"/>
              <w:jc w:val="left"/>
              <w:rPr>
                <w:color w:val="000000"/>
                <w:sz w:val="20"/>
                <w:szCs w:val="20"/>
                <w:lang w:val="en-US"/>
              </w:rPr>
            </w:pPr>
            <w:r w:rsidRPr="00E723C2">
              <w:rPr>
                <w:b/>
                <w:bCs/>
                <w:color w:val="000000"/>
                <w:sz w:val="20"/>
                <w:szCs w:val="20"/>
                <w:lang w:val="en-US"/>
              </w:rPr>
              <w:t>Depth at the best limit</w:t>
            </w:r>
          </w:p>
        </w:tc>
        <w:tc>
          <w:tcPr>
            <w:tcW w:w="1985" w:type="dxa"/>
            <w:vAlign w:val="center"/>
          </w:tcPr>
          <w:p w:rsidR="00FE5D7B" w:rsidRDefault="009C42CC">
            <w:pPr>
              <w:autoSpaceDE w:val="0"/>
              <w:autoSpaceDN w:val="0"/>
              <w:adjustRightInd w:val="0"/>
              <w:spacing w:before="0" w:line="240" w:lineRule="auto"/>
              <w:ind w:firstLine="0"/>
              <w:jc w:val="center"/>
              <w:rPr>
                <w:color w:val="000000"/>
                <w:sz w:val="20"/>
                <w:szCs w:val="20"/>
                <w:lang w:val="en-US"/>
              </w:rPr>
            </w:pPr>
            <w:r w:rsidRPr="00E723C2">
              <w:rPr>
                <w:color w:val="000000"/>
                <w:sz w:val="20"/>
                <w:szCs w:val="20"/>
                <w:lang w:val="en-US"/>
              </w:rPr>
              <w:t>---</w:t>
            </w:r>
          </w:p>
        </w:tc>
        <w:tc>
          <w:tcPr>
            <w:tcW w:w="1985"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45,763</w:t>
            </w:r>
          </w:p>
        </w:tc>
        <w:tc>
          <w:tcPr>
            <w:tcW w:w="2267"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9,540</w:t>
            </w:r>
          </w:p>
        </w:tc>
      </w:tr>
      <w:tr w:rsidR="009C42CC" w:rsidRPr="00E723C2" w:rsidTr="00D65560">
        <w:trPr>
          <w:trHeight w:val="470"/>
        </w:trPr>
        <w:tc>
          <w:tcPr>
            <w:tcW w:w="2865" w:type="dxa"/>
            <w:vAlign w:val="center"/>
          </w:tcPr>
          <w:p w:rsidR="00FE5D7B" w:rsidRDefault="009C42CC">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 xml:space="preserve">Depth at the </w:t>
            </w:r>
            <w:r w:rsidR="008A7752">
              <w:rPr>
                <w:b/>
                <w:bCs/>
                <w:color w:val="000000"/>
                <w:sz w:val="20"/>
                <w:szCs w:val="20"/>
                <w:lang w:val="en-US"/>
              </w:rPr>
              <w:t>five</w:t>
            </w:r>
            <w:r w:rsidRPr="00E723C2">
              <w:rPr>
                <w:b/>
                <w:bCs/>
                <w:color w:val="000000"/>
                <w:sz w:val="20"/>
                <w:szCs w:val="20"/>
                <w:lang w:val="en-US"/>
              </w:rPr>
              <w:t xml:space="preserve"> best limits</w:t>
            </w:r>
          </w:p>
        </w:tc>
        <w:tc>
          <w:tcPr>
            <w:tcW w:w="1985" w:type="dxa"/>
            <w:vAlign w:val="center"/>
          </w:tcPr>
          <w:p w:rsidR="00FE5D7B" w:rsidRDefault="009C42CC">
            <w:pPr>
              <w:autoSpaceDE w:val="0"/>
              <w:autoSpaceDN w:val="0"/>
              <w:adjustRightInd w:val="0"/>
              <w:spacing w:before="0" w:line="240" w:lineRule="auto"/>
              <w:ind w:firstLine="0"/>
              <w:jc w:val="center"/>
              <w:rPr>
                <w:color w:val="000000"/>
                <w:sz w:val="20"/>
                <w:szCs w:val="20"/>
                <w:lang w:val="en-US"/>
              </w:rPr>
            </w:pPr>
            <w:r w:rsidRPr="00E723C2">
              <w:rPr>
                <w:color w:val="000000"/>
                <w:sz w:val="20"/>
                <w:szCs w:val="20"/>
                <w:lang w:val="en-US"/>
              </w:rPr>
              <w:t>---</w:t>
            </w:r>
          </w:p>
        </w:tc>
        <w:tc>
          <w:tcPr>
            <w:tcW w:w="1985"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225,059</w:t>
            </w:r>
          </w:p>
        </w:tc>
        <w:tc>
          <w:tcPr>
            <w:tcW w:w="2267"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23,800</w:t>
            </w:r>
          </w:p>
        </w:tc>
      </w:tr>
      <w:tr w:rsidR="009C42CC" w:rsidRPr="00E723C2" w:rsidTr="00D65560">
        <w:trPr>
          <w:trHeight w:val="470"/>
        </w:trPr>
        <w:tc>
          <w:tcPr>
            <w:tcW w:w="2865" w:type="dxa"/>
            <w:vAlign w:val="center"/>
          </w:tcPr>
          <w:p w:rsidR="00FE5D7B" w:rsidRDefault="009C42CC">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CRT for 5,000 shares in %</w:t>
            </w:r>
          </w:p>
        </w:tc>
        <w:tc>
          <w:tcPr>
            <w:tcW w:w="1985"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0.21%</w:t>
            </w:r>
          </w:p>
        </w:tc>
        <w:tc>
          <w:tcPr>
            <w:tcW w:w="1985"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0.15%</w:t>
            </w:r>
          </w:p>
        </w:tc>
        <w:tc>
          <w:tcPr>
            <w:tcW w:w="2267" w:type="dxa"/>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0.56%</w:t>
            </w:r>
          </w:p>
        </w:tc>
      </w:tr>
      <w:tr w:rsidR="009C42CC" w:rsidRPr="00E723C2" w:rsidTr="00D65560">
        <w:trPr>
          <w:trHeight w:val="470"/>
        </w:trPr>
        <w:tc>
          <w:tcPr>
            <w:tcW w:w="2865" w:type="dxa"/>
            <w:tcBorders>
              <w:bottom w:val="single" w:sz="12" w:space="0" w:color="auto"/>
            </w:tcBorders>
            <w:vAlign w:val="center"/>
          </w:tcPr>
          <w:p w:rsidR="00FE5D7B" w:rsidRDefault="009C42CC">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CRT for 50,000 shares in %</w:t>
            </w:r>
          </w:p>
        </w:tc>
        <w:tc>
          <w:tcPr>
            <w:tcW w:w="1985" w:type="dxa"/>
            <w:tcBorders>
              <w:bottom w:val="single" w:sz="12" w:space="0" w:color="auto"/>
            </w:tcBorders>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0.27%</w:t>
            </w:r>
          </w:p>
        </w:tc>
        <w:tc>
          <w:tcPr>
            <w:tcW w:w="1985" w:type="dxa"/>
            <w:tcBorders>
              <w:bottom w:val="single" w:sz="12" w:space="0" w:color="auto"/>
            </w:tcBorders>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0.21%</w:t>
            </w:r>
          </w:p>
        </w:tc>
        <w:tc>
          <w:tcPr>
            <w:tcW w:w="2267" w:type="dxa"/>
            <w:tcBorders>
              <w:bottom w:val="single" w:sz="12" w:space="0" w:color="auto"/>
            </w:tcBorders>
            <w:vAlign w:val="center"/>
          </w:tcPr>
          <w:p w:rsidR="00FE5D7B" w:rsidRDefault="00C0615A">
            <w:pPr>
              <w:autoSpaceDE w:val="0"/>
              <w:autoSpaceDN w:val="0"/>
              <w:adjustRightInd w:val="0"/>
              <w:spacing w:before="0" w:line="240" w:lineRule="auto"/>
              <w:ind w:firstLine="0"/>
              <w:jc w:val="center"/>
              <w:rPr>
                <w:color w:val="000000"/>
                <w:sz w:val="20"/>
                <w:szCs w:val="20"/>
                <w:lang w:val="en-US"/>
              </w:rPr>
            </w:pPr>
            <w:r w:rsidRPr="00C0615A">
              <w:rPr>
                <w:color w:val="000000"/>
                <w:sz w:val="20"/>
                <w:szCs w:val="20"/>
                <w:lang w:val="en-US"/>
              </w:rPr>
              <w:t>0.80%</w:t>
            </w:r>
          </w:p>
        </w:tc>
      </w:tr>
    </w:tbl>
    <w:p w:rsidR="008A7752" w:rsidRPr="00E723C2" w:rsidRDefault="00687845" w:rsidP="008A7752">
      <w:pPr>
        <w:pStyle w:val="Notetable"/>
        <w:rPr>
          <w:lang w:val="en-US"/>
        </w:rPr>
      </w:pPr>
      <w:r w:rsidRPr="00687845">
        <w:rPr>
          <w:i/>
          <w:lang w:val="en-US"/>
        </w:rPr>
        <w:t>Note:</w:t>
      </w:r>
      <w:r w:rsidR="008A7752">
        <w:rPr>
          <w:lang w:val="en-US"/>
        </w:rPr>
        <w:t xml:space="preserve"> </w:t>
      </w:r>
      <w:r w:rsidR="00C36EF8" w:rsidRPr="00C36EF8">
        <w:rPr>
          <w:lang w:val="en-US"/>
        </w:rPr>
        <w:t xml:space="preserve">This table </w:t>
      </w:r>
      <w:r w:rsidR="008A7752">
        <w:rPr>
          <w:lang w:val="en-US"/>
        </w:rPr>
        <w:t>shows</w:t>
      </w:r>
      <w:r w:rsidR="00C36EF8" w:rsidRPr="00C36EF8">
        <w:rPr>
          <w:lang w:val="en-US"/>
        </w:rPr>
        <w:t xml:space="preserve"> the </w:t>
      </w:r>
      <w:r w:rsidR="00521C1A">
        <w:rPr>
          <w:lang w:val="en-US"/>
        </w:rPr>
        <w:t>time</w:t>
      </w:r>
      <w:r w:rsidR="00C36EF8" w:rsidRPr="00C36EF8">
        <w:rPr>
          <w:lang w:val="en-US"/>
        </w:rPr>
        <w:t>-weighted averages of the relative quoted spread and the quoted depth in</w:t>
      </w:r>
      <w:r w:rsidR="008A7752" w:rsidRPr="00E723C2">
        <w:rPr>
          <w:lang w:val="en-US"/>
        </w:rPr>
        <w:t xml:space="preserve"> </w:t>
      </w:r>
      <w:r w:rsidR="008A7752">
        <w:rPr>
          <w:lang w:val="en-US"/>
        </w:rPr>
        <w:t>the</w:t>
      </w:r>
      <w:r w:rsidR="00C36EF8" w:rsidRPr="00C36EF8">
        <w:rPr>
          <w:lang w:val="en-US"/>
        </w:rPr>
        <w:t xml:space="preserve"> number of shares for the </w:t>
      </w:r>
      <w:proofErr w:type="spellStart"/>
      <w:r w:rsidR="00C36EF8" w:rsidRPr="00C36EF8">
        <w:rPr>
          <w:lang w:val="en-US"/>
        </w:rPr>
        <w:t>Lyxor</w:t>
      </w:r>
      <w:proofErr w:type="spellEnd"/>
      <w:r w:rsidR="00C36EF8" w:rsidRPr="00C36EF8">
        <w:rPr>
          <w:lang w:val="en-US"/>
        </w:rPr>
        <w:t xml:space="preserve"> CAC 40 security, and it compares </w:t>
      </w:r>
      <w:r w:rsidR="008A7752" w:rsidRPr="00E723C2">
        <w:rPr>
          <w:lang w:val="en-US"/>
        </w:rPr>
        <w:t>the cost of a round-trip trade (CRT) in the ETF market with that of a trade of the same size in the underlying stocks market</w:t>
      </w:r>
      <w:r w:rsidR="00C36EF8" w:rsidRPr="00C36EF8">
        <w:rPr>
          <w:lang w:val="en-US"/>
        </w:rPr>
        <w:t xml:space="preserve">.  </w:t>
      </w:r>
      <w:r w:rsidR="008A7752" w:rsidRPr="00E723C2">
        <w:rPr>
          <w:lang w:val="en-US"/>
        </w:rPr>
        <w:t>Depth is measured at the best</w:t>
      </w:r>
      <w:r w:rsidR="008A7752">
        <w:rPr>
          <w:lang w:val="en-US"/>
        </w:rPr>
        <w:t>-</w:t>
      </w:r>
      <w:r w:rsidR="008A7752" w:rsidRPr="00E723C2">
        <w:rPr>
          <w:lang w:val="en-US"/>
        </w:rPr>
        <w:t xml:space="preserve">limit level and at the </w:t>
      </w:r>
      <w:r w:rsidR="008A7752">
        <w:rPr>
          <w:lang w:val="en-US"/>
        </w:rPr>
        <w:t>five</w:t>
      </w:r>
      <w:r w:rsidR="008A7752" w:rsidRPr="00E723C2">
        <w:rPr>
          <w:lang w:val="en-US"/>
        </w:rPr>
        <w:t xml:space="preserve">-best-limit level, and refers to the total of displayed and hidden quantities.  CRTs are computed for the equivalent of 5,000 and 50,000 shares </w:t>
      </w:r>
      <w:r w:rsidR="008A7752">
        <w:rPr>
          <w:lang w:val="en-US"/>
        </w:rPr>
        <w:t xml:space="preserve">on </w:t>
      </w:r>
      <w:r w:rsidR="008A7752" w:rsidRPr="00E723C2">
        <w:rPr>
          <w:lang w:val="en-US"/>
        </w:rPr>
        <w:t xml:space="preserve">the </w:t>
      </w:r>
      <w:proofErr w:type="spellStart"/>
      <w:r w:rsidR="008A7752" w:rsidRPr="00E723C2">
        <w:rPr>
          <w:lang w:val="en-US"/>
        </w:rPr>
        <w:t>Lyxor</w:t>
      </w:r>
      <w:proofErr w:type="spellEnd"/>
      <w:r w:rsidR="008A7752" w:rsidRPr="00E723C2">
        <w:rPr>
          <w:lang w:val="en-US"/>
        </w:rPr>
        <w:t xml:space="preserve"> CAC 40.  </w:t>
      </w:r>
      <w:r w:rsidR="008A7752">
        <w:rPr>
          <w:lang w:val="en-US"/>
        </w:rPr>
        <w:t>The s</w:t>
      </w:r>
      <w:r w:rsidR="008A7752" w:rsidRPr="00E723C2">
        <w:rPr>
          <w:lang w:val="en-US"/>
        </w:rPr>
        <w:t xml:space="preserve">preads, depth, and CRTs </w:t>
      </w:r>
      <w:r w:rsidR="008A7752">
        <w:rPr>
          <w:lang w:val="en-US"/>
        </w:rPr>
        <w:t>of the ETF we</w:t>
      </w:r>
      <w:r w:rsidR="008A7752" w:rsidRPr="00E723C2">
        <w:rPr>
          <w:lang w:val="en-US"/>
        </w:rPr>
        <w:t xml:space="preserve">re computed using all </w:t>
      </w:r>
      <w:r w:rsidR="008A7752">
        <w:rPr>
          <w:lang w:val="en-US"/>
        </w:rPr>
        <w:t xml:space="preserve">the </w:t>
      </w:r>
      <w:r w:rsidR="008A7752" w:rsidRPr="00E723C2">
        <w:rPr>
          <w:lang w:val="en-US"/>
        </w:rPr>
        <w:t>orders waiting in the limit</w:t>
      </w:r>
      <w:r w:rsidR="003F1C25">
        <w:rPr>
          <w:lang w:val="en-US"/>
        </w:rPr>
        <w:t xml:space="preserve"> </w:t>
      </w:r>
      <w:r w:rsidR="008A7752" w:rsidRPr="00E723C2">
        <w:rPr>
          <w:lang w:val="en-US"/>
        </w:rPr>
        <w:t xml:space="preserve">order book, </w:t>
      </w:r>
      <w:r w:rsidR="008A7752">
        <w:rPr>
          <w:lang w:val="en-US"/>
        </w:rPr>
        <w:t xml:space="preserve">both </w:t>
      </w:r>
      <w:r w:rsidR="008A7752" w:rsidRPr="00E723C2">
        <w:rPr>
          <w:lang w:val="en-US"/>
        </w:rPr>
        <w:t xml:space="preserve">including </w:t>
      </w:r>
      <w:r w:rsidR="008A7752">
        <w:rPr>
          <w:lang w:val="en-US"/>
        </w:rPr>
        <w:t xml:space="preserve">(With LPs) and excluding (Without LPs) </w:t>
      </w:r>
      <w:r w:rsidR="008A7752" w:rsidRPr="00E723C2">
        <w:rPr>
          <w:lang w:val="en-US"/>
        </w:rPr>
        <w:t>those placed by LPs.</w:t>
      </w:r>
      <w:r w:rsidR="008A7752">
        <w:rPr>
          <w:lang w:val="en-US"/>
        </w:rPr>
        <w:t xml:space="preserve"> The s</w:t>
      </w:r>
      <w:r w:rsidR="008A7752" w:rsidRPr="00E723C2">
        <w:rPr>
          <w:lang w:val="en-US"/>
        </w:rPr>
        <w:t xml:space="preserve">tatistics are based on </w:t>
      </w:r>
      <w:r w:rsidR="008A7752">
        <w:rPr>
          <w:lang w:val="en-US"/>
        </w:rPr>
        <w:t xml:space="preserve">the </w:t>
      </w:r>
      <w:r w:rsidR="008A7752" w:rsidRPr="00E723C2">
        <w:rPr>
          <w:lang w:val="en-US"/>
        </w:rPr>
        <w:t>detailed order</w:t>
      </w:r>
      <w:r w:rsidR="003F1C25">
        <w:rPr>
          <w:lang w:val="en-US"/>
        </w:rPr>
        <w:t xml:space="preserve"> </w:t>
      </w:r>
      <w:r w:rsidR="008A7752" w:rsidRPr="00E723C2">
        <w:rPr>
          <w:lang w:val="en-US"/>
        </w:rPr>
        <w:t xml:space="preserve">book data </w:t>
      </w:r>
      <w:r w:rsidR="008A7752">
        <w:rPr>
          <w:lang w:val="en-US"/>
        </w:rPr>
        <w:t xml:space="preserve">recorded </w:t>
      </w:r>
      <w:r w:rsidR="008A7752" w:rsidRPr="00E723C2">
        <w:rPr>
          <w:lang w:val="en-US"/>
        </w:rPr>
        <w:t>during October 2002.</w:t>
      </w:r>
    </w:p>
    <w:p w:rsidR="00FE5D7B" w:rsidRDefault="00FE5D7B">
      <w:pPr>
        <w:rPr>
          <w:lang w:val="en-US"/>
        </w:rPr>
      </w:pPr>
    </w:p>
    <w:p w:rsidR="00FE5D7B" w:rsidRDefault="00FE5D7B">
      <w:pPr>
        <w:rPr>
          <w:lang w:val="en-US"/>
        </w:rPr>
      </w:pPr>
    </w:p>
    <w:p w:rsidR="00FE5D7B" w:rsidRDefault="00FE5D7B" w:rsidP="00E2523F">
      <w:pPr>
        <w:pStyle w:val="Numerotable"/>
        <w:rPr>
          <w:rStyle w:val="Numrodepage"/>
          <w:lang w:val="en-US"/>
        </w:rPr>
        <w:sectPr w:rsidR="00FE5D7B" w:rsidSect="000F3BA3">
          <w:pgSz w:w="11906" w:h="16838"/>
          <w:pgMar w:top="1418" w:right="1418" w:bottom="1418" w:left="1418" w:header="709" w:footer="709" w:gutter="0"/>
          <w:cols w:space="708"/>
          <w:docGrid w:linePitch="360"/>
        </w:sectPr>
      </w:pPr>
    </w:p>
    <w:p w:rsidR="00FE5D7B" w:rsidRDefault="00687845">
      <w:pPr>
        <w:pStyle w:val="Numerotable"/>
        <w:rPr>
          <w:rStyle w:val="Numrodepage"/>
          <w:lang w:val="en-US"/>
        </w:rPr>
      </w:pPr>
      <w:r>
        <w:rPr>
          <w:rStyle w:val="Numrodepage"/>
          <w:lang w:val="en-US"/>
        </w:rPr>
        <w:lastRenderedPageBreak/>
        <w:t>Table 2</w:t>
      </w:r>
    </w:p>
    <w:p w:rsidR="00FE5D7B" w:rsidRDefault="00E16D81">
      <w:pPr>
        <w:pStyle w:val="Titretable"/>
        <w:rPr>
          <w:lang w:val="en-US"/>
        </w:rPr>
      </w:pPr>
      <w:r>
        <w:rPr>
          <w:lang w:val="en-US"/>
        </w:rPr>
        <w:t xml:space="preserve">A comparison of liquidity measures before and after the introduction of an </w:t>
      </w:r>
      <w:r w:rsidR="004E51C2">
        <w:rPr>
          <w:lang w:val="en-US"/>
        </w:rPr>
        <w:t>ETF</w:t>
      </w:r>
    </w:p>
    <w:tbl>
      <w:tblPr>
        <w:tblW w:w="10437" w:type="dxa"/>
        <w:tblInd w:w="40" w:type="dxa"/>
        <w:tblLayout w:type="fixed"/>
        <w:tblCellMar>
          <w:left w:w="70" w:type="dxa"/>
          <w:right w:w="70" w:type="dxa"/>
        </w:tblCellMar>
        <w:tblLook w:val="0000" w:firstRow="0" w:lastRow="0" w:firstColumn="0" w:lastColumn="0" w:noHBand="0" w:noVBand="0"/>
      </w:tblPr>
      <w:tblGrid>
        <w:gridCol w:w="3291"/>
        <w:gridCol w:w="1191"/>
        <w:gridCol w:w="1191"/>
        <w:gridCol w:w="1191"/>
        <w:gridCol w:w="1191"/>
        <w:gridCol w:w="1191"/>
        <w:gridCol w:w="1191"/>
      </w:tblGrid>
      <w:tr w:rsidR="0074308C" w:rsidRPr="00E723C2" w:rsidTr="0074308C">
        <w:trPr>
          <w:trHeight w:val="365"/>
        </w:trPr>
        <w:tc>
          <w:tcPr>
            <w:tcW w:w="3291" w:type="dxa"/>
            <w:tcBorders>
              <w:top w:val="single" w:sz="12" w:space="0" w:color="auto"/>
            </w:tcBorders>
          </w:tcPr>
          <w:p w:rsidR="0074308C" w:rsidRDefault="0074308C">
            <w:pPr>
              <w:autoSpaceDE w:val="0"/>
              <w:autoSpaceDN w:val="0"/>
              <w:adjustRightInd w:val="0"/>
              <w:spacing w:before="0" w:line="240" w:lineRule="auto"/>
              <w:ind w:firstLine="0"/>
              <w:jc w:val="right"/>
              <w:rPr>
                <w:rFonts w:ascii="Arial" w:hAnsi="Arial" w:cs="Arial"/>
                <w:b/>
                <w:color w:val="000000"/>
                <w:sz w:val="20"/>
                <w:szCs w:val="20"/>
                <w:lang w:val="en-US"/>
              </w:rPr>
            </w:pPr>
          </w:p>
        </w:tc>
        <w:tc>
          <w:tcPr>
            <w:tcW w:w="2382" w:type="dxa"/>
            <w:gridSpan w:val="2"/>
            <w:tcBorders>
              <w:top w:val="single" w:sz="12" w:space="0" w:color="auto"/>
              <w:bottom w:val="single" w:sz="6" w:space="0" w:color="auto"/>
            </w:tcBorders>
            <w:vAlign w:val="center"/>
          </w:tcPr>
          <w:p w:rsidR="0074308C" w:rsidRDefault="0074308C" w:rsidP="00E8233C">
            <w:pPr>
              <w:autoSpaceDE w:val="0"/>
              <w:autoSpaceDN w:val="0"/>
              <w:adjustRightInd w:val="0"/>
              <w:spacing w:before="0" w:line="240" w:lineRule="auto"/>
              <w:ind w:firstLine="0"/>
              <w:jc w:val="center"/>
              <w:rPr>
                <w:rFonts w:ascii="Arial" w:hAnsi="Arial"/>
                <w:color w:val="000000"/>
                <w:sz w:val="20"/>
                <w:lang w:val="en-US"/>
              </w:rPr>
            </w:pPr>
            <w:r w:rsidRPr="00C0615A">
              <w:rPr>
                <w:b/>
                <w:bCs/>
                <w:color w:val="000000"/>
                <w:sz w:val="20"/>
                <w:szCs w:val="20"/>
                <w:lang w:val="en-US"/>
              </w:rPr>
              <w:t xml:space="preserve">CAC 40 </w:t>
            </w:r>
            <w:r>
              <w:rPr>
                <w:b/>
                <w:bCs/>
                <w:color w:val="000000"/>
                <w:sz w:val="20"/>
                <w:szCs w:val="20"/>
                <w:lang w:val="en-US"/>
              </w:rPr>
              <w:t>sample</w:t>
            </w:r>
            <w:r w:rsidRPr="00C0615A">
              <w:rPr>
                <w:b/>
                <w:bCs/>
                <w:color w:val="000000"/>
                <w:sz w:val="20"/>
                <w:szCs w:val="20"/>
                <w:lang w:val="en-US"/>
              </w:rPr>
              <w:t xml:space="preserve"> </w:t>
            </w:r>
          </w:p>
        </w:tc>
        <w:tc>
          <w:tcPr>
            <w:tcW w:w="2382" w:type="dxa"/>
            <w:gridSpan w:val="2"/>
            <w:tcBorders>
              <w:top w:val="single" w:sz="12" w:space="0" w:color="auto"/>
              <w:bottom w:val="single" w:sz="6" w:space="0" w:color="auto"/>
            </w:tcBorders>
            <w:vAlign w:val="center"/>
          </w:tcPr>
          <w:p w:rsidR="0074308C" w:rsidRDefault="0074308C" w:rsidP="00E8233C">
            <w:pPr>
              <w:autoSpaceDE w:val="0"/>
              <w:autoSpaceDN w:val="0"/>
              <w:adjustRightInd w:val="0"/>
              <w:spacing w:before="0" w:line="240" w:lineRule="auto"/>
              <w:ind w:firstLine="0"/>
              <w:jc w:val="center"/>
              <w:rPr>
                <w:rFonts w:ascii="Arial" w:hAnsi="Arial"/>
                <w:color w:val="000000"/>
                <w:sz w:val="20"/>
                <w:lang w:val="en-US"/>
              </w:rPr>
            </w:pPr>
            <w:r w:rsidRPr="00C0615A">
              <w:rPr>
                <w:b/>
                <w:bCs/>
                <w:color w:val="000000"/>
                <w:sz w:val="20"/>
                <w:szCs w:val="20"/>
                <w:lang w:val="en-US"/>
              </w:rPr>
              <w:t xml:space="preserve">Control </w:t>
            </w:r>
            <w:r>
              <w:rPr>
                <w:b/>
                <w:bCs/>
                <w:color w:val="000000"/>
                <w:sz w:val="20"/>
                <w:szCs w:val="20"/>
                <w:lang w:val="en-US"/>
              </w:rPr>
              <w:t>sample</w:t>
            </w:r>
          </w:p>
        </w:tc>
        <w:tc>
          <w:tcPr>
            <w:tcW w:w="2382" w:type="dxa"/>
            <w:gridSpan w:val="2"/>
            <w:tcBorders>
              <w:top w:val="single" w:sz="12" w:space="0" w:color="auto"/>
              <w:bottom w:val="single" w:sz="6" w:space="0" w:color="auto"/>
            </w:tcBorders>
            <w:vAlign w:val="center"/>
          </w:tcPr>
          <w:p w:rsidR="0074308C" w:rsidRDefault="0074308C">
            <w:pPr>
              <w:autoSpaceDE w:val="0"/>
              <w:autoSpaceDN w:val="0"/>
              <w:adjustRightInd w:val="0"/>
              <w:spacing w:before="0" w:line="240" w:lineRule="auto"/>
              <w:ind w:firstLine="0"/>
              <w:jc w:val="center"/>
              <w:rPr>
                <w:rFonts w:ascii="Arial" w:hAnsi="Arial"/>
                <w:color w:val="000000"/>
                <w:sz w:val="20"/>
                <w:lang w:val="en-US"/>
              </w:rPr>
            </w:pPr>
            <w:r w:rsidRPr="00E723C2">
              <w:rPr>
                <w:b/>
                <w:bCs/>
                <w:color w:val="000000"/>
                <w:sz w:val="20"/>
                <w:szCs w:val="20"/>
                <w:lang w:val="en-US"/>
              </w:rPr>
              <w:t xml:space="preserve">Difference in </w:t>
            </w:r>
            <w:r>
              <w:rPr>
                <w:b/>
                <w:bCs/>
                <w:color w:val="000000"/>
                <w:sz w:val="20"/>
                <w:szCs w:val="20"/>
                <w:lang w:val="en-US"/>
              </w:rPr>
              <w:t>differences</w:t>
            </w:r>
          </w:p>
        </w:tc>
      </w:tr>
      <w:tr w:rsidR="004E51C2" w:rsidRPr="00E723C2" w:rsidTr="00D632E0">
        <w:trPr>
          <w:trHeight w:val="514"/>
        </w:trPr>
        <w:tc>
          <w:tcPr>
            <w:tcW w:w="3291" w:type="dxa"/>
            <w:tcBorders>
              <w:bottom w:val="single" w:sz="12" w:space="0" w:color="auto"/>
            </w:tcBorders>
          </w:tcPr>
          <w:p w:rsidR="004E51C2" w:rsidRDefault="004E51C2">
            <w:pPr>
              <w:autoSpaceDE w:val="0"/>
              <w:autoSpaceDN w:val="0"/>
              <w:adjustRightInd w:val="0"/>
              <w:spacing w:before="0" w:line="240" w:lineRule="auto"/>
              <w:ind w:firstLine="0"/>
              <w:jc w:val="left"/>
              <w:rPr>
                <w:b/>
                <w:bCs/>
                <w:color w:val="000000"/>
                <w:sz w:val="20"/>
                <w:szCs w:val="20"/>
                <w:lang w:val="en-US"/>
              </w:rPr>
            </w:pPr>
          </w:p>
        </w:tc>
        <w:tc>
          <w:tcPr>
            <w:tcW w:w="1191" w:type="dxa"/>
            <w:tcBorders>
              <w:top w:val="single" w:sz="6" w:space="0" w:color="auto"/>
              <w:bottom w:val="single" w:sz="12" w:space="0" w:color="auto"/>
            </w:tcBorders>
          </w:tcPr>
          <w:p w:rsidR="004E51C2" w:rsidRDefault="004E51C2">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91" w:type="dxa"/>
            <w:tcBorders>
              <w:top w:val="single" w:sz="6" w:space="0" w:color="auto"/>
              <w:bottom w:val="single" w:sz="12" w:space="0" w:color="auto"/>
            </w:tcBorders>
            <w:vAlign w:val="center"/>
          </w:tcPr>
          <w:p w:rsidR="004E51C2" w:rsidRDefault="004E51C2">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c>
          <w:tcPr>
            <w:tcW w:w="1191" w:type="dxa"/>
            <w:tcBorders>
              <w:top w:val="single" w:sz="6" w:space="0" w:color="auto"/>
              <w:bottom w:val="single" w:sz="12" w:space="0" w:color="auto"/>
            </w:tcBorders>
          </w:tcPr>
          <w:p w:rsidR="004E51C2" w:rsidRDefault="004E51C2" w:rsidP="00A9580D">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91" w:type="dxa"/>
            <w:tcBorders>
              <w:top w:val="single" w:sz="6" w:space="0" w:color="auto"/>
              <w:bottom w:val="single" w:sz="12" w:space="0" w:color="auto"/>
            </w:tcBorders>
            <w:vAlign w:val="center"/>
          </w:tcPr>
          <w:p w:rsidR="004E51C2" w:rsidRDefault="004E51C2" w:rsidP="00A9580D">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c>
          <w:tcPr>
            <w:tcW w:w="1191" w:type="dxa"/>
            <w:tcBorders>
              <w:top w:val="single" w:sz="6" w:space="0" w:color="auto"/>
              <w:bottom w:val="single" w:sz="12" w:space="0" w:color="auto"/>
            </w:tcBorders>
          </w:tcPr>
          <w:p w:rsidR="004E51C2" w:rsidRDefault="004E51C2" w:rsidP="00A9580D">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91" w:type="dxa"/>
            <w:tcBorders>
              <w:top w:val="single" w:sz="6" w:space="0" w:color="auto"/>
              <w:bottom w:val="single" w:sz="12" w:space="0" w:color="auto"/>
            </w:tcBorders>
            <w:vAlign w:val="center"/>
          </w:tcPr>
          <w:p w:rsidR="004E51C2" w:rsidRDefault="004E51C2" w:rsidP="00A9580D">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r>
      <w:tr w:rsidR="004E51C2" w:rsidRPr="00E723C2" w:rsidTr="00D632E0">
        <w:trPr>
          <w:trHeight w:val="454"/>
        </w:trPr>
        <w:tc>
          <w:tcPr>
            <w:tcW w:w="3291" w:type="dxa"/>
            <w:tcBorders>
              <w:top w:val="single" w:sz="12" w:space="0" w:color="auto"/>
            </w:tcBorders>
            <w:vAlign w:val="bottom"/>
          </w:tcPr>
          <w:p w:rsidR="004E51C2" w:rsidRDefault="004E51C2" w:rsidP="004E51C2">
            <w:pPr>
              <w:autoSpaceDE w:val="0"/>
              <w:autoSpaceDN w:val="0"/>
              <w:adjustRightInd w:val="0"/>
              <w:spacing w:before="0" w:line="240" w:lineRule="auto"/>
              <w:ind w:firstLine="0"/>
              <w:jc w:val="left"/>
              <w:rPr>
                <w:color w:val="000000"/>
                <w:sz w:val="20"/>
                <w:szCs w:val="20"/>
                <w:lang w:val="en-US"/>
              </w:rPr>
            </w:pPr>
            <w:r w:rsidRPr="00E723C2">
              <w:rPr>
                <w:b/>
                <w:bCs/>
                <w:color w:val="000000"/>
                <w:sz w:val="20"/>
                <w:szCs w:val="20"/>
                <w:lang w:val="en-US"/>
              </w:rPr>
              <w:t>Daily trading volume</w:t>
            </w:r>
            <w:r w:rsidR="00D632E0">
              <w:rPr>
                <w:color w:val="000000"/>
                <w:sz w:val="20"/>
                <w:szCs w:val="20"/>
                <w:lang w:val="en-US"/>
              </w:rPr>
              <w:br/>
            </w:r>
            <w:r w:rsidRPr="00E723C2">
              <w:rPr>
                <w:color w:val="000000"/>
                <w:sz w:val="20"/>
                <w:szCs w:val="20"/>
                <w:lang w:val="en-US"/>
              </w:rPr>
              <w:t>(in thousand</w:t>
            </w:r>
            <w:r>
              <w:rPr>
                <w:color w:val="000000"/>
                <w:sz w:val="20"/>
                <w:szCs w:val="20"/>
                <w:lang w:val="en-US"/>
              </w:rPr>
              <w:t xml:space="preserve">s of </w:t>
            </w:r>
            <w:r w:rsidRPr="00E723C2">
              <w:rPr>
                <w:color w:val="000000"/>
                <w:sz w:val="20"/>
                <w:szCs w:val="20"/>
                <w:lang w:val="en-US"/>
              </w:rPr>
              <w:t xml:space="preserve"> euros)</w:t>
            </w:r>
          </w:p>
        </w:tc>
        <w:tc>
          <w:tcPr>
            <w:tcW w:w="1191" w:type="dxa"/>
            <w:tcBorders>
              <w:top w:val="single" w:sz="12" w:space="0" w:color="auto"/>
            </w:tcBorders>
            <w:vAlign w:val="bottom"/>
          </w:tcPr>
          <w:p w:rsidR="004E51C2" w:rsidRDefault="007168AF" w:rsidP="008F2382">
            <w:pPr>
              <w:autoSpaceDE w:val="0"/>
              <w:autoSpaceDN w:val="0"/>
              <w:adjustRightInd w:val="0"/>
              <w:spacing w:before="0" w:line="240" w:lineRule="auto"/>
              <w:ind w:firstLine="0"/>
              <w:jc w:val="center"/>
              <w:rPr>
                <w:color w:val="000000"/>
                <w:sz w:val="20"/>
                <w:lang w:val="en-US"/>
              </w:rPr>
            </w:pPr>
            <w:r>
              <w:rPr>
                <w:color w:val="000000"/>
                <w:sz w:val="20"/>
                <w:lang w:val="en-US"/>
              </w:rPr>
              <w:t>4,368</w:t>
            </w:r>
          </w:p>
        </w:tc>
        <w:tc>
          <w:tcPr>
            <w:tcW w:w="1191" w:type="dxa"/>
            <w:tcBorders>
              <w:top w:val="single" w:sz="12" w:space="0" w:color="auto"/>
            </w:tcBorders>
            <w:vAlign w:val="bottom"/>
          </w:tcPr>
          <w:p w:rsidR="004E51C2" w:rsidRDefault="006178FF" w:rsidP="008F2382">
            <w:pPr>
              <w:autoSpaceDE w:val="0"/>
              <w:autoSpaceDN w:val="0"/>
              <w:adjustRightInd w:val="0"/>
              <w:spacing w:before="0" w:line="240" w:lineRule="auto"/>
              <w:ind w:firstLine="0"/>
              <w:jc w:val="center"/>
              <w:rPr>
                <w:color w:val="000000"/>
                <w:sz w:val="20"/>
                <w:lang w:val="en-US"/>
              </w:rPr>
            </w:pPr>
            <w:r>
              <w:rPr>
                <w:color w:val="000000"/>
                <w:sz w:val="20"/>
                <w:lang w:val="en-US"/>
              </w:rPr>
              <w:t>16.98</w:t>
            </w:r>
            <w:r w:rsidR="00947CE0">
              <w:rPr>
                <w:color w:val="000000"/>
                <w:sz w:val="20"/>
                <w:lang w:val="en-US"/>
              </w:rPr>
              <w:t>**</w:t>
            </w:r>
          </w:p>
        </w:tc>
        <w:tc>
          <w:tcPr>
            <w:tcW w:w="1191" w:type="dxa"/>
            <w:tcBorders>
              <w:top w:val="single" w:sz="12" w:space="0" w:color="auto"/>
            </w:tcBorders>
            <w:vAlign w:val="bottom"/>
          </w:tcPr>
          <w:p w:rsidR="004E51C2" w:rsidRDefault="007168A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5</w:t>
            </w:r>
            <w:r w:rsidR="00253165">
              <w:rPr>
                <w:color w:val="000000"/>
                <w:sz w:val="20"/>
                <w:szCs w:val="20"/>
                <w:lang w:val="en-US"/>
              </w:rPr>
              <w:t>15</w:t>
            </w:r>
          </w:p>
        </w:tc>
        <w:tc>
          <w:tcPr>
            <w:tcW w:w="1191" w:type="dxa"/>
            <w:tcBorders>
              <w:top w:val="single" w:sz="12" w:space="0" w:color="auto"/>
            </w:tcBorders>
            <w:vAlign w:val="bottom"/>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2.5</w:t>
            </w:r>
            <w:r w:rsidR="009C1575">
              <w:rPr>
                <w:color w:val="000000"/>
                <w:sz w:val="20"/>
                <w:szCs w:val="20"/>
                <w:lang w:val="en-US"/>
              </w:rPr>
              <w:t>2</w:t>
            </w:r>
          </w:p>
        </w:tc>
        <w:tc>
          <w:tcPr>
            <w:tcW w:w="1191" w:type="dxa"/>
            <w:tcBorders>
              <w:top w:val="single" w:sz="12" w:space="0" w:color="auto"/>
            </w:tcBorders>
            <w:vAlign w:val="bottom"/>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3,8</w:t>
            </w:r>
            <w:r w:rsidR="00F01FA4">
              <w:rPr>
                <w:color w:val="000000"/>
                <w:sz w:val="20"/>
                <w:szCs w:val="20"/>
                <w:lang w:val="en-US"/>
              </w:rPr>
              <w:t>5</w:t>
            </w:r>
            <w:r>
              <w:rPr>
                <w:color w:val="000000"/>
                <w:sz w:val="20"/>
                <w:szCs w:val="20"/>
                <w:lang w:val="en-US"/>
              </w:rPr>
              <w:t>3</w:t>
            </w:r>
          </w:p>
        </w:tc>
        <w:tc>
          <w:tcPr>
            <w:tcW w:w="1191" w:type="dxa"/>
            <w:tcBorders>
              <w:top w:val="single" w:sz="12" w:space="0" w:color="auto"/>
            </w:tcBorders>
            <w:vAlign w:val="bottom"/>
          </w:tcPr>
          <w:p w:rsidR="004E51C2" w:rsidRDefault="003206D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14.4</w:t>
            </w:r>
            <w:r w:rsidR="00DB301B">
              <w:rPr>
                <w:color w:val="000000"/>
                <w:sz w:val="20"/>
                <w:szCs w:val="20"/>
                <w:lang w:val="en-US"/>
              </w:rPr>
              <w:t>7</w:t>
            </w:r>
          </w:p>
        </w:tc>
      </w:tr>
      <w:tr w:rsidR="004E51C2" w:rsidRPr="00E723C2" w:rsidTr="00D632E0">
        <w:trPr>
          <w:trHeight w:val="454"/>
        </w:trPr>
        <w:tc>
          <w:tcPr>
            <w:tcW w:w="3291" w:type="dxa"/>
          </w:tcPr>
          <w:p w:rsidR="004E51C2" w:rsidRPr="00E723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lang w:val="en-US"/>
              </w:rPr>
            </w:pPr>
            <w:r>
              <w:rPr>
                <w:color w:val="000000"/>
                <w:sz w:val="20"/>
                <w:lang w:val="en-US"/>
              </w:rPr>
              <w:t>(0.2403)</w:t>
            </w:r>
          </w:p>
        </w:tc>
        <w:tc>
          <w:tcPr>
            <w:tcW w:w="1191" w:type="dxa"/>
          </w:tcPr>
          <w:p w:rsidR="004E51C2" w:rsidRDefault="006178FF" w:rsidP="008F2382">
            <w:pPr>
              <w:autoSpaceDE w:val="0"/>
              <w:autoSpaceDN w:val="0"/>
              <w:adjustRightInd w:val="0"/>
              <w:spacing w:before="0" w:line="240" w:lineRule="auto"/>
              <w:ind w:firstLine="0"/>
              <w:jc w:val="center"/>
              <w:rPr>
                <w:color w:val="000000"/>
                <w:sz w:val="20"/>
                <w:lang w:val="en-US"/>
              </w:rPr>
            </w:pPr>
            <w:r>
              <w:rPr>
                <w:color w:val="000000"/>
                <w:sz w:val="20"/>
                <w:lang w:val="en-US"/>
              </w:rPr>
              <w:t>(0.0362)</w:t>
            </w:r>
          </w:p>
        </w:tc>
        <w:tc>
          <w:tcPr>
            <w:tcW w:w="1191" w:type="dxa"/>
          </w:tcPr>
          <w:p w:rsidR="004E51C2" w:rsidRDefault="00D33680"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(0.4</w:t>
            </w:r>
            <w:r w:rsidR="00253165">
              <w:rPr>
                <w:color w:val="000000"/>
                <w:sz w:val="20"/>
                <w:szCs w:val="20"/>
                <w:lang w:val="en-US"/>
              </w:rPr>
              <w:t>54</w:t>
            </w:r>
            <w:r>
              <w:rPr>
                <w:color w:val="000000"/>
                <w:sz w:val="20"/>
                <w:szCs w:val="20"/>
                <w:lang w:val="en-US"/>
              </w:rPr>
              <w:t>2)</w:t>
            </w:r>
          </w:p>
        </w:tc>
        <w:tc>
          <w:tcPr>
            <w:tcW w:w="1191" w:type="dxa"/>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(0.6</w:t>
            </w:r>
            <w:r w:rsidR="009C1575">
              <w:rPr>
                <w:color w:val="000000"/>
                <w:sz w:val="20"/>
                <w:szCs w:val="20"/>
                <w:lang w:val="en-US"/>
              </w:rPr>
              <w:t>773</w:t>
            </w:r>
            <w:r>
              <w:rPr>
                <w:color w:val="000000"/>
                <w:sz w:val="20"/>
                <w:szCs w:val="20"/>
                <w:lang w:val="en-US"/>
              </w:rPr>
              <w:t>)</w:t>
            </w:r>
          </w:p>
        </w:tc>
        <w:tc>
          <w:tcPr>
            <w:tcW w:w="1191" w:type="dxa"/>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(0.30</w:t>
            </w:r>
            <w:r w:rsidR="00F01FA4">
              <w:rPr>
                <w:color w:val="000000"/>
                <w:sz w:val="20"/>
                <w:szCs w:val="20"/>
                <w:lang w:val="en-US"/>
              </w:rPr>
              <w:t>69</w:t>
            </w:r>
            <w:r>
              <w:rPr>
                <w:color w:val="000000"/>
                <w:sz w:val="20"/>
                <w:szCs w:val="20"/>
                <w:lang w:val="en-US"/>
              </w:rPr>
              <w:t>)</w:t>
            </w:r>
          </w:p>
        </w:tc>
        <w:tc>
          <w:tcPr>
            <w:tcW w:w="1191" w:type="dxa"/>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w:t>
            </w:r>
            <w:r w:rsidR="00DB301B">
              <w:rPr>
                <w:color w:val="000000"/>
                <w:sz w:val="20"/>
                <w:szCs w:val="20"/>
                <w:lang w:val="en-US"/>
              </w:rPr>
              <w:t>392</w:t>
            </w:r>
            <w:r>
              <w:rPr>
                <w:color w:val="000000"/>
                <w:sz w:val="20"/>
                <w:szCs w:val="20"/>
                <w:lang w:val="en-US"/>
              </w:rPr>
              <w:t>)</w:t>
            </w:r>
          </w:p>
        </w:tc>
      </w:tr>
      <w:tr w:rsidR="004E51C2" w:rsidRPr="00E723C2" w:rsidTr="00D632E0">
        <w:trPr>
          <w:trHeight w:val="454"/>
        </w:trPr>
        <w:tc>
          <w:tcPr>
            <w:tcW w:w="3291" w:type="dxa"/>
            <w:vAlign w:val="bottom"/>
          </w:tcPr>
          <w:p w:rsidR="004E51C2" w:rsidRDefault="004E51C2" w:rsidP="00D632E0">
            <w:pPr>
              <w:autoSpaceDE w:val="0"/>
              <w:autoSpaceDN w:val="0"/>
              <w:adjustRightInd w:val="0"/>
              <w:spacing w:before="0" w:line="240" w:lineRule="auto"/>
              <w:ind w:firstLine="0"/>
              <w:jc w:val="left"/>
              <w:rPr>
                <w:color w:val="000000"/>
                <w:sz w:val="20"/>
                <w:lang w:val="en-US"/>
              </w:rPr>
            </w:pPr>
            <w:r w:rsidRPr="00E723C2">
              <w:rPr>
                <w:b/>
                <w:bCs/>
                <w:color w:val="000000"/>
                <w:sz w:val="20"/>
                <w:szCs w:val="20"/>
                <w:lang w:val="en-US"/>
              </w:rPr>
              <w:t>Total trading volume</w:t>
            </w:r>
            <w:r w:rsidR="00D632E0">
              <w:rPr>
                <w:color w:val="000000"/>
                <w:sz w:val="20"/>
                <w:szCs w:val="20"/>
                <w:lang w:val="en-US"/>
              </w:rPr>
              <w:br/>
            </w:r>
            <w:r w:rsidRPr="00E723C2">
              <w:rPr>
                <w:color w:val="000000"/>
                <w:sz w:val="20"/>
                <w:szCs w:val="20"/>
                <w:lang w:val="en-US"/>
              </w:rPr>
              <w:t>(in thousands of</w:t>
            </w:r>
            <w:r w:rsidRPr="00C36EF8">
              <w:rPr>
                <w:color w:val="000000"/>
                <w:sz w:val="20"/>
                <w:lang w:val="en-US"/>
              </w:rPr>
              <w:t xml:space="preserve"> shares</w:t>
            </w:r>
            <w:r w:rsidRPr="00E723C2">
              <w:rPr>
                <w:color w:val="000000"/>
                <w:sz w:val="20"/>
                <w:szCs w:val="20"/>
                <w:lang w:val="en-US"/>
              </w:rPr>
              <w:t>)</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17,907</w:t>
            </w:r>
            <w:r w:rsidR="00310C32">
              <w:rPr>
                <w:color w:val="000000"/>
                <w:sz w:val="20"/>
                <w:szCs w:val="20"/>
                <w:lang w:val="en-US"/>
              </w:rPr>
              <w:t>***</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lang w:val="en-US"/>
              </w:rPr>
            </w:pPr>
            <w:r>
              <w:rPr>
                <w:color w:val="000000"/>
                <w:sz w:val="20"/>
                <w:lang w:val="en-US"/>
              </w:rPr>
              <w:t>23.38</w:t>
            </w:r>
            <w:r w:rsidR="00947CE0">
              <w:rPr>
                <w:color w:val="000000"/>
                <w:sz w:val="20"/>
                <w:lang w:val="en-US"/>
              </w:rPr>
              <w:t>***</w:t>
            </w:r>
          </w:p>
        </w:tc>
        <w:tc>
          <w:tcPr>
            <w:tcW w:w="1191" w:type="dxa"/>
            <w:vAlign w:val="bottom"/>
          </w:tcPr>
          <w:p w:rsidR="004E51C2" w:rsidRDefault="007168A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1,0</w:t>
            </w:r>
            <w:r w:rsidR="00253165">
              <w:rPr>
                <w:color w:val="000000"/>
                <w:sz w:val="20"/>
                <w:szCs w:val="20"/>
                <w:lang w:val="en-US"/>
              </w:rPr>
              <w:t>61</w:t>
            </w:r>
          </w:p>
        </w:tc>
        <w:tc>
          <w:tcPr>
            <w:tcW w:w="1191" w:type="dxa"/>
            <w:vAlign w:val="bottom"/>
          </w:tcPr>
          <w:p w:rsidR="004E51C2" w:rsidRDefault="004A342A" w:rsidP="009C1575">
            <w:pPr>
              <w:autoSpaceDE w:val="0"/>
              <w:autoSpaceDN w:val="0"/>
              <w:adjustRightInd w:val="0"/>
              <w:spacing w:before="0" w:line="240" w:lineRule="auto"/>
              <w:ind w:firstLine="0"/>
              <w:jc w:val="center"/>
              <w:rPr>
                <w:color w:val="000000"/>
                <w:sz w:val="20"/>
                <w:lang w:val="en-US"/>
              </w:rPr>
            </w:pPr>
            <w:r>
              <w:rPr>
                <w:color w:val="000000"/>
                <w:sz w:val="20"/>
                <w:lang w:val="en-US"/>
              </w:rPr>
              <w:t>5.</w:t>
            </w:r>
            <w:r w:rsidR="009C1575">
              <w:rPr>
                <w:color w:val="000000"/>
                <w:sz w:val="20"/>
                <w:lang w:val="en-US"/>
              </w:rPr>
              <w:t>45</w:t>
            </w:r>
          </w:p>
        </w:tc>
        <w:tc>
          <w:tcPr>
            <w:tcW w:w="1191" w:type="dxa"/>
            <w:vAlign w:val="bottom"/>
          </w:tcPr>
          <w:p w:rsidR="004E51C2" w:rsidRDefault="00AF6F07" w:rsidP="00F01FA4">
            <w:pPr>
              <w:autoSpaceDE w:val="0"/>
              <w:autoSpaceDN w:val="0"/>
              <w:adjustRightInd w:val="0"/>
              <w:spacing w:before="0" w:line="240" w:lineRule="auto"/>
              <w:ind w:firstLine="0"/>
              <w:jc w:val="center"/>
              <w:rPr>
                <w:color w:val="000000"/>
                <w:sz w:val="20"/>
                <w:lang w:val="en-US"/>
              </w:rPr>
            </w:pPr>
            <w:r>
              <w:rPr>
                <w:color w:val="000000"/>
                <w:sz w:val="20"/>
                <w:lang w:val="en-US"/>
              </w:rPr>
              <w:t>16,8</w:t>
            </w:r>
            <w:r w:rsidR="00F01FA4">
              <w:rPr>
                <w:color w:val="000000"/>
                <w:sz w:val="20"/>
                <w:lang w:val="en-US"/>
              </w:rPr>
              <w:t>46</w:t>
            </w:r>
            <w:r>
              <w:rPr>
                <w:color w:val="000000"/>
                <w:sz w:val="20"/>
                <w:lang w:val="en-US"/>
              </w:rPr>
              <w:t>**</w:t>
            </w:r>
          </w:p>
        </w:tc>
        <w:tc>
          <w:tcPr>
            <w:tcW w:w="1191" w:type="dxa"/>
            <w:vAlign w:val="bottom"/>
          </w:tcPr>
          <w:p w:rsidR="004E51C2" w:rsidRDefault="003206D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w:t>
            </w:r>
            <w:r w:rsidR="00DB301B">
              <w:rPr>
                <w:color w:val="000000"/>
                <w:sz w:val="20"/>
                <w:szCs w:val="20"/>
                <w:lang w:val="en-US"/>
              </w:rPr>
              <w:t>7.92</w:t>
            </w:r>
            <w:r w:rsidR="00414A19">
              <w:rPr>
                <w:color w:val="000000"/>
                <w:sz w:val="20"/>
                <w:szCs w:val="20"/>
                <w:lang w:val="en-US"/>
              </w:rPr>
              <w:t>**</w:t>
            </w:r>
          </w:p>
        </w:tc>
      </w:tr>
      <w:tr w:rsidR="004E51C2" w:rsidRPr="00E723C2" w:rsidTr="00D632E0">
        <w:trPr>
          <w:trHeight w:val="454"/>
        </w:trPr>
        <w:tc>
          <w:tcPr>
            <w:tcW w:w="3291" w:type="dxa"/>
          </w:tcPr>
          <w:p w:rsidR="004E51C2" w:rsidRPr="00E723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(0.0096)</w:t>
            </w:r>
          </w:p>
        </w:tc>
        <w:tc>
          <w:tcPr>
            <w:tcW w:w="1191" w:type="dxa"/>
          </w:tcPr>
          <w:p w:rsidR="004E51C2" w:rsidRDefault="006178FF" w:rsidP="008F2382">
            <w:pPr>
              <w:autoSpaceDE w:val="0"/>
              <w:autoSpaceDN w:val="0"/>
              <w:adjustRightInd w:val="0"/>
              <w:spacing w:before="0" w:line="240" w:lineRule="auto"/>
              <w:ind w:firstLine="0"/>
              <w:jc w:val="center"/>
              <w:rPr>
                <w:color w:val="000000"/>
                <w:sz w:val="20"/>
                <w:lang w:val="en-US"/>
              </w:rPr>
            </w:pPr>
            <w:r>
              <w:rPr>
                <w:color w:val="000000"/>
                <w:sz w:val="20"/>
                <w:lang w:val="en-US"/>
              </w:rPr>
              <w:t>(0.0019)</w:t>
            </w:r>
          </w:p>
        </w:tc>
        <w:tc>
          <w:tcPr>
            <w:tcW w:w="1191" w:type="dxa"/>
          </w:tcPr>
          <w:p w:rsidR="004E51C2" w:rsidRDefault="00D33680"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(0.2327)</w:t>
            </w:r>
          </w:p>
        </w:tc>
        <w:tc>
          <w:tcPr>
            <w:tcW w:w="1191" w:type="dxa"/>
          </w:tcPr>
          <w:p w:rsidR="004E51C2" w:rsidRDefault="004A342A" w:rsidP="009C1575">
            <w:pPr>
              <w:autoSpaceDE w:val="0"/>
              <w:autoSpaceDN w:val="0"/>
              <w:adjustRightInd w:val="0"/>
              <w:spacing w:before="0" w:line="240" w:lineRule="auto"/>
              <w:ind w:firstLine="0"/>
              <w:jc w:val="center"/>
              <w:rPr>
                <w:color w:val="000000"/>
                <w:sz w:val="20"/>
                <w:lang w:val="en-US"/>
              </w:rPr>
            </w:pPr>
            <w:r>
              <w:rPr>
                <w:color w:val="000000"/>
                <w:sz w:val="20"/>
                <w:lang w:val="en-US"/>
              </w:rPr>
              <w:t>(0.29</w:t>
            </w:r>
            <w:r w:rsidR="009C1575">
              <w:rPr>
                <w:color w:val="000000"/>
                <w:sz w:val="20"/>
                <w:lang w:val="en-US"/>
              </w:rPr>
              <w:t>51</w:t>
            </w:r>
            <w:r>
              <w:rPr>
                <w:color w:val="000000"/>
                <w:sz w:val="20"/>
                <w:lang w:val="en-US"/>
              </w:rPr>
              <w:t>)</w:t>
            </w:r>
          </w:p>
        </w:tc>
        <w:tc>
          <w:tcPr>
            <w:tcW w:w="1191" w:type="dxa"/>
          </w:tcPr>
          <w:p w:rsidR="004E51C2" w:rsidRDefault="00AF6F07" w:rsidP="00F01FA4">
            <w:pPr>
              <w:autoSpaceDE w:val="0"/>
              <w:autoSpaceDN w:val="0"/>
              <w:adjustRightInd w:val="0"/>
              <w:spacing w:before="0" w:line="240" w:lineRule="auto"/>
              <w:ind w:firstLine="0"/>
              <w:jc w:val="center"/>
              <w:rPr>
                <w:color w:val="000000"/>
                <w:sz w:val="20"/>
                <w:lang w:val="en-US"/>
              </w:rPr>
            </w:pPr>
            <w:r>
              <w:rPr>
                <w:color w:val="000000"/>
                <w:sz w:val="20"/>
                <w:lang w:val="en-US"/>
              </w:rPr>
              <w:t>(0.01</w:t>
            </w:r>
            <w:r w:rsidR="00F01FA4">
              <w:rPr>
                <w:color w:val="000000"/>
                <w:sz w:val="20"/>
                <w:lang w:val="en-US"/>
              </w:rPr>
              <w:t>50</w:t>
            </w:r>
            <w:r>
              <w:rPr>
                <w:color w:val="000000"/>
                <w:sz w:val="20"/>
                <w:lang w:val="en-US"/>
              </w:rPr>
              <w:t>)</w:t>
            </w:r>
          </w:p>
        </w:tc>
        <w:tc>
          <w:tcPr>
            <w:tcW w:w="1191" w:type="dxa"/>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(0.03</w:t>
            </w:r>
            <w:r w:rsidR="00DB301B">
              <w:rPr>
                <w:color w:val="000000"/>
                <w:sz w:val="20"/>
                <w:szCs w:val="20"/>
                <w:lang w:val="en-US"/>
              </w:rPr>
              <w:t>72</w:t>
            </w:r>
            <w:r>
              <w:rPr>
                <w:color w:val="000000"/>
                <w:sz w:val="20"/>
                <w:szCs w:val="20"/>
                <w:lang w:val="en-US"/>
              </w:rPr>
              <w:t>)</w:t>
            </w:r>
          </w:p>
        </w:tc>
      </w:tr>
      <w:tr w:rsidR="004E51C2" w:rsidRPr="00E723C2" w:rsidTr="00D632E0">
        <w:trPr>
          <w:trHeight w:val="454"/>
        </w:trPr>
        <w:tc>
          <w:tcPr>
            <w:tcW w:w="3291" w:type="dxa"/>
            <w:vAlign w:val="bottom"/>
          </w:tcPr>
          <w:p w:rsidR="004E51C2" w:rsidRDefault="004E51C2" w:rsidP="004E51C2">
            <w:pPr>
              <w:autoSpaceDE w:val="0"/>
              <w:autoSpaceDN w:val="0"/>
              <w:adjustRightInd w:val="0"/>
              <w:spacing w:before="0" w:line="240" w:lineRule="auto"/>
              <w:ind w:firstLine="0"/>
              <w:jc w:val="left"/>
              <w:rPr>
                <w:b/>
                <w:bCs/>
                <w:color w:val="000000"/>
                <w:sz w:val="20"/>
                <w:szCs w:val="20"/>
                <w:lang w:val="en-US"/>
              </w:rPr>
            </w:pPr>
            <w:r w:rsidRPr="00C0615A">
              <w:rPr>
                <w:b/>
                <w:bCs/>
                <w:color w:val="000000"/>
                <w:sz w:val="20"/>
                <w:szCs w:val="20"/>
                <w:lang w:val="en-US"/>
              </w:rPr>
              <w:t>Daily number of trades</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55</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4.16</w:t>
            </w:r>
          </w:p>
        </w:tc>
        <w:tc>
          <w:tcPr>
            <w:tcW w:w="1191" w:type="dxa"/>
            <w:vAlign w:val="bottom"/>
          </w:tcPr>
          <w:p w:rsidR="004E51C2" w:rsidRDefault="007168A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w:t>
            </w:r>
            <w:r w:rsidR="00253165">
              <w:rPr>
                <w:color w:val="000000"/>
                <w:sz w:val="20"/>
                <w:szCs w:val="20"/>
                <w:lang w:val="en-US"/>
              </w:rPr>
              <w:t>3</w:t>
            </w:r>
          </w:p>
        </w:tc>
        <w:tc>
          <w:tcPr>
            <w:tcW w:w="1191" w:type="dxa"/>
            <w:vAlign w:val="bottom"/>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-7.</w:t>
            </w:r>
            <w:r w:rsidR="009C1575">
              <w:rPr>
                <w:color w:val="000000"/>
                <w:sz w:val="20"/>
                <w:szCs w:val="20"/>
                <w:lang w:val="en-US"/>
              </w:rPr>
              <w:t>6</w:t>
            </w:r>
            <w:r>
              <w:rPr>
                <w:color w:val="000000"/>
                <w:sz w:val="20"/>
                <w:szCs w:val="20"/>
                <w:lang w:val="en-US"/>
              </w:rPr>
              <w:t>9</w:t>
            </w:r>
            <w:r w:rsidR="00AF6F07">
              <w:rPr>
                <w:color w:val="000000"/>
                <w:sz w:val="20"/>
                <w:szCs w:val="20"/>
                <w:lang w:val="en-US"/>
              </w:rPr>
              <w:t>**</w:t>
            </w:r>
          </w:p>
        </w:tc>
        <w:tc>
          <w:tcPr>
            <w:tcW w:w="1191" w:type="dxa"/>
            <w:vAlign w:val="bottom"/>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8</w:t>
            </w:r>
            <w:r w:rsidR="00F01FA4">
              <w:rPr>
                <w:color w:val="000000"/>
                <w:sz w:val="20"/>
                <w:szCs w:val="20"/>
                <w:lang w:val="en-US"/>
              </w:rPr>
              <w:t>8</w:t>
            </w:r>
          </w:p>
        </w:tc>
        <w:tc>
          <w:tcPr>
            <w:tcW w:w="1191" w:type="dxa"/>
            <w:vAlign w:val="bottom"/>
          </w:tcPr>
          <w:p w:rsidR="004E51C2" w:rsidRDefault="00DB301B"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11.8</w:t>
            </w:r>
            <w:r w:rsidR="003206D9">
              <w:rPr>
                <w:color w:val="000000"/>
                <w:sz w:val="20"/>
                <w:szCs w:val="20"/>
                <w:lang w:val="en-US"/>
              </w:rPr>
              <w:t>5</w:t>
            </w:r>
            <w:r w:rsidR="00414A19">
              <w:rPr>
                <w:color w:val="000000"/>
                <w:sz w:val="20"/>
                <w:szCs w:val="20"/>
                <w:lang w:val="en-US"/>
              </w:rPr>
              <w:t>**</w:t>
            </w:r>
          </w:p>
        </w:tc>
      </w:tr>
      <w:tr w:rsidR="004E51C2" w:rsidRPr="00E723C2" w:rsidTr="00D632E0">
        <w:trPr>
          <w:trHeight w:val="454"/>
        </w:trPr>
        <w:tc>
          <w:tcPr>
            <w:tcW w:w="3291" w:type="dxa"/>
          </w:tcPr>
          <w:p w:rsidR="004E51C2" w:rsidRPr="00C0615A"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(0.4312)</w:t>
            </w:r>
          </w:p>
        </w:tc>
        <w:tc>
          <w:tcPr>
            <w:tcW w:w="1191" w:type="dxa"/>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(0.1778)</w:t>
            </w:r>
          </w:p>
        </w:tc>
        <w:tc>
          <w:tcPr>
            <w:tcW w:w="1191" w:type="dxa"/>
          </w:tcPr>
          <w:p w:rsidR="004E51C2" w:rsidRDefault="00D33680"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(0.15</w:t>
            </w:r>
            <w:r w:rsidR="00253165">
              <w:rPr>
                <w:color w:val="000000"/>
                <w:sz w:val="20"/>
                <w:szCs w:val="20"/>
                <w:lang w:val="en-US"/>
              </w:rPr>
              <w:t>43</w:t>
            </w:r>
            <w:r>
              <w:rPr>
                <w:color w:val="000000"/>
                <w:sz w:val="20"/>
                <w:szCs w:val="20"/>
                <w:lang w:val="en-US"/>
              </w:rPr>
              <w:t>)</w:t>
            </w:r>
          </w:p>
        </w:tc>
        <w:tc>
          <w:tcPr>
            <w:tcW w:w="1191" w:type="dxa"/>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w:t>
            </w:r>
            <w:r w:rsidR="009C1575">
              <w:rPr>
                <w:color w:val="000000"/>
                <w:sz w:val="20"/>
                <w:szCs w:val="20"/>
                <w:lang w:val="en-US"/>
              </w:rPr>
              <w:t>282</w:t>
            </w:r>
            <w:r>
              <w:rPr>
                <w:color w:val="000000"/>
                <w:sz w:val="20"/>
                <w:szCs w:val="20"/>
                <w:lang w:val="en-US"/>
              </w:rPr>
              <w:t>)</w:t>
            </w:r>
          </w:p>
        </w:tc>
        <w:tc>
          <w:tcPr>
            <w:tcW w:w="1191" w:type="dxa"/>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(0.23</w:t>
            </w:r>
            <w:r w:rsidR="00F01FA4">
              <w:rPr>
                <w:color w:val="000000"/>
                <w:sz w:val="20"/>
                <w:szCs w:val="20"/>
                <w:lang w:val="en-US"/>
              </w:rPr>
              <w:t>50</w:t>
            </w:r>
            <w:r>
              <w:rPr>
                <w:color w:val="000000"/>
                <w:sz w:val="20"/>
                <w:szCs w:val="20"/>
                <w:lang w:val="en-US"/>
              </w:rPr>
              <w:t>)</w:t>
            </w:r>
          </w:p>
        </w:tc>
        <w:tc>
          <w:tcPr>
            <w:tcW w:w="1191" w:type="dxa"/>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w:t>
            </w:r>
            <w:r w:rsidR="00DB301B">
              <w:rPr>
                <w:color w:val="000000"/>
                <w:sz w:val="20"/>
                <w:szCs w:val="20"/>
                <w:lang w:val="en-US"/>
              </w:rPr>
              <w:t>39</w:t>
            </w:r>
            <w:r>
              <w:rPr>
                <w:color w:val="000000"/>
                <w:sz w:val="20"/>
                <w:szCs w:val="20"/>
                <w:lang w:val="en-US"/>
              </w:rPr>
              <w:t>)</w:t>
            </w:r>
          </w:p>
        </w:tc>
      </w:tr>
      <w:tr w:rsidR="004E51C2" w:rsidRPr="00E723C2" w:rsidTr="00D632E0">
        <w:trPr>
          <w:trHeight w:val="454"/>
        </w:trPr>
        <w:tc>
          <w:tcPr>
            <w:tcW w:w="3291" w:type="dxa"/>
            <w:vAlign w:val="bottom"/>
          </w:tcPr>
          <w:p w:rsidR="004E51C2" w:rsidRDefault="004E51C2" w:rsidP="004E51C2">
            <w:pPr>
              <w:autoSpaceDE w:val="0"/>
              <w:autoSpaceDN w:val="0"/>
              <w:adjustRightInd w:val="0"/>
              <w:spacing w:before="0" w:line="240" w:lineRule="auto"/>
              <w:ind w:firstLine="0"/>
              <w:jc w:val="left"/>
              <w:rPr>
                <w:color w:val="000000"/>
                <w:sz w:val="20"/>
                <w:lang w:val="en-US"/>
              </w:rPr>
            </w:pPr>
            <w:r w:rsidRPr="00E723C2">
              <w:rPr>
                <w:b/>
                <w:bCs/>
                <w:color w:val="000000"/>
                <w:sz w:val="20"/>
                <w:szCs w:val="20"/>
                <w:lang w:val="en-US"/>
              </w:rPr>
              <w:t>Average trade size</w:t>
            </w:r>
            <w:r w:rsidRPr="00E723C2">
              <w:rPr>
                <w:color w:val="000000"/>
                <w:sz w:val="20"/>
                <w:szCs w:val="20"/>
                <w:lang w:val="en-US"/>
              </w:rPr>
              <w:t xml:space="preserve"> (in euros)</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3,023</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lang w:val="en-US"/>
              </w:rPr>
            </w:pPr>
            <w:r>
              <w:rPr>
                <w:color w:val="000000"/>
                <w:sz w:val="20"/>
                <w:lang w:val="en-US"/>
              </w:rPr>
              <w:t>10.81</w:t>
            </w:r>
            <w:r w:rsidR="00947CE0">
              <w:rPr>
                <w:color w:val="000000"/>
                <w:sz w:val="20"/>
                <w:lang w:val="en-US"/>
              </w:rPr>
              <w:t>**</w:t>
            </w:r>
          </w:p>
        </w:tc>
        <w:tc>
          <w:tcPr>
            <w:tcW w:w="1191" w:type="dxa"/>
            <w:vAlign w:val="bottom"/>
          </w:tcPr>
          <w:p w:rsidR="004E51C2" w:rsidRDefault="007168A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w:t>
            </w:r>
            <w:r w:rsidR="00253165">
              <w:rPr>
                <w:color w:val="000000"/>
                <w:sz w:val="20"/>
                <w:szCs w:val="20"/>
                <w:lang w:val="en-US"/>
              </w:rPr>
              <w:t>411</w:t>
            </w:r>
            <w:r w:rsidR="00D33680">
              <w:rPr>
                <w:color w:val="000000"/>
                <w:sz w:val="20"/>
                <w:szCs w:val="20"/>
                <w:lang w:val="en-US"/>
              </w:rPr>
              <w:t>**</w:t>
            </w:r>
          </w:p>
        </w:tc>
        <w:tc>
          <w:tcPr>
            <w:tcW w:w="1191" w:type="dxa"/>
            <w:vAlign w:val="bottom"/>
          </w:tcPr>
          <w:p w:rsidR="004E51C2" w:rsidRDefault="004A342A" w:rsidP="009C1575">
            <w:pPr>
              <w:autoSpaceDE w:val="0"/>
              <w:autoSpaceDN w:val="0"/>
              <w:adjustRightInd w:val="0"/>
              <w:spacing w:before="0" w:line="240" w:lineRule="auto"/>
              <w:ind w:firstLine="0"/>
              <w:jc w:val="center"/>
              <w:rPr>
                <w:color w:val="000000"/>
                <w:sz w:val="20"/>
                <w:lang w:val="en-US"/>
              </w:rPr>
            </w:pPr>
            <w:r>
              <w:rPr>
                <w:color w:val="000000"/>
                <w:sz w:val="20"/>
                <w:lang w:val="en-US"/>
              </w:rPr>
              <w:t>10.</w:t>
            </w:r>
            <w:r w:rsidR="009C1575">
              <w:rPr>
                <w:color w:val="000000"/>
                <w:sz w:val="20"/>
                <w:lang w:val="en-US"/>
              </w:rPr>
              <w:t>8</w:t>
            </w:r>
            <w:r>
              <w:rPr>
                <w:color w:val="000000"/>
                <w:sz w:val="20"/>
                <w:lang w:val="en-US"/>
              </w:rPr>
              <w:t>1</w:t>
            </w:r>
            <w:r w:rsidR="00AF6F07">
              <w:rPr>
                <w:color w:val="000000"/>
                <w:sz w:val="20"/>
                <w:lang w:val="en-US"/>
              </w:rPr>
              <w:t>**</w:t>
            </w:r>
          </w:p>
        </w:tc>
        <w:tc>
          <w:tcPr>
            <w:tcW w:w="1191" w:type="dxa"/>
            <w:vAlign w:val="bottom"/>
          </w:tcPr>
          <w:p w:rsidR="004E51C2" w:rsidRDefault="00AF6F07" w:rsidP="00F01FA4">
            <w:pPr>
              <w:autoSpaceDE w:val="0"/>
              <w:autoSpaceDN w:val="0"/>
              <w:adjustRightInd w:val="0"/>
              <w:spacing w:before="0" w:line="240" w:lineRule="auto"/>
              <w:ind w:firstLine="0"/>
              <w:jc w:val="center"/>
              <w:rPr>
                <w:color w:val="000000"/>
                <w:sz w:val="20"/>
                <w:lang w:val="en-US"/>
              </w:rPr>
            </w:pPr>
            <w:r>
              <w:rPr>
                <w:color w:val="000000"/>
                <w:sz w:val="20"/>
                <w:lang w:val="en-US"/>
              </w:rPr>
              <w:t>6</w:t>
            </w:r>
            <w:r w:rsidR="00F01FA4">
              <w:rPr>
                <w:color w:val="000000"/>
                <w:sz w:val="20"/>
                <w:lang w:val="en-US"/>
              </w:rPr>
              <w:t>12</w:t>
            </w:r>
          </w:p>
        </w:tc>
        <w:tc>
          <w:tcPr>
            <w:tcW w:w="1191" w:type="dxa"/>
            <w:vAlign w:val="bottom"/>
          </w:tcPr>
          <w:p w:rsidR="004E51C2" w:rsidRDefault="003206D9"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0.30</w:t>
            </w:r>
          </w:p>
        </w:tc>
      </w:tr>
      <w:tr w:rsidR="004E51C2" w:rsidRPr="00E723C2" w:rsidTr="00D632E0">
        <w:trPr>
          <w:trHeight w:val="454"/>
        </w:trPr>
        <w:tc>
          <w:tcPr>
            <w:tcW w:w="3291" w:type="dxa"/>
          </w:tcPr>
          <w:p w:rsidR="004E51C2" w:rsidRPr="00E723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(0.1118)</w:t>
            </w:r>
          </w:p>
        </w:tc>
        <w:tc>
          <w:tcPr>
            <w:tcW w:w="1191" w:type="dxa"/>
          </w:tcPr>
          <w:p w:rsidR="004E51C2" w:rsidRDefault="006178FF" w:rsidP="008F2382">
            <w:pPr>
              <w:autoSpaceDE w:val="0"/>
              <w:autoSpaceDN w:val="0"/>
              <w:adjustRightInd w:val="0"/>
              <w:spacing w:before="0" w:line="240" w:lineRule="auto"/>
              <w:ind w:firstLine="0"/>
              <w:jc w:val="center"/>
              <w:rPr>
                <w:color w:val="000000"/>
                <w:sz w:val="20"/>
                <w:lang w:val="en-US"/>
              </w:rPr>
            </w:pPr>
            <w:r>
              <w:rPr>
                <w:color w:val="000000"/>
                <w:sz w:val="20"/>
                <w:lang w:val="en-US"/>
              </w:rPr>
              <w:t>(0.0171)</w:t>
            </w:r>
          </w:p>
        </w:tc>
        <w:tc>
          <w:tcPr>
            <w:tcW w:w="1191" w:type="dxa"/>
          </w:tcPr>
          <w:p w:rsidR="004E51C2" w:rsidRDefault="00D33680"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(0.03</w:t>
            </w:r>
            <w:r w:rsidR="00253165">
              <w:rPr>
                <w:color w:val="000000"/>
                <w:sz w:val="20"/>
                <w:szCs w:val="20"/>
                <w:lang w:val="en-US"/>
              </w:rPr>
              <w:t>26</w:t>
            </w:r>
            <w:r>
              <w:rPr>
                <w:color w:val="000000"/>
                <w:sz w:val="20"/>
                <w:szCs w:val="20"/>
                <w:lang w:val="en-US"/>
              </w:rPr>
              <w:t>)</w:t>
            </w:r>
          </w:p>
        </w:tc>
        <w:tc>
          <w:tcPr>
            <w:tcW w:w="1191" w:type="dxa"/>
          </w:tcPr>
          <w:p w:rsidR="004E51C2" w:rsidRDefault="004A342A" w:rsidP="009C1575">
            <w:pPr>
              <w:autoSpaceDE w:val="0"/>
              <w:autoSpaceDN w:val="0"/>
              <w:adjustRightInd w:val="0"/>
              <w:spacing w:before="0" w:line="240" w:lineRule="auto"/>
              <w:ind w:firstLine="0"/>
              <w:jc w:val="center"/>
              <w:rPr>
                <w:color w:val="000000"/>
                <w:sz w:val="20"/>
                <w:lang w:val="en-US"/>
              </w:rPr>
            </w:pPr>
            <w:r>
              <w:rPr>
                <w:color w:val="000000"/>
                <w:sz w:val="20"/>
                <w:lang w:val="en-US"/>
              </w:rPr>
              <w:t>(0.03</w:t>
            </w:r>
            <w:r w:rsidR="009C1575">
              <w:rPr>
                <w:color w:val="000000"/>
                <w:sz w:val="20"/>
                <w:lang w:val="en-US"/>
              </w:rPr>
              <w:t>38</w:t>
            </w:r>
            <w:r>
              <w:rPr>
                <w:color w:val="000000"/>
                <w:sz w:val="20"/>
                <w:lang w:val="en-US"/>
              </w:rPr>
              <w:t>)</w:t>
            </w:r>
          </w:p>
        </w:tc>
        <w:tc>
          <w:tcPr>
            <w:tcW w:w="1191" w:type="dxa"/>
          </w:tcPr>
          <w:p w:rsidR="004E51C2" w:rsidRDefault="00AF6F07" w:rsidP="00F01FA4">
            <w:pPr>
              <w:autoSpaceDE w:val="0"/>
              <w:autoSpaceDN w:val="0"/>
              <w:adjustRightInd w:val="0"/>
              <w:spacing w:before="0" w:line="240" w:lineRule="auto"/>
              <w:ind w:firstLine="0"/>
              <w:jc w:val="center"/>
              <w:rPr>
                <w:color w:val="000000"/>
                <w:sz w:val="20"/>
                <w:lang w:val="en-US"/>
              </w:rPr>
            </w:pPr>
            <w:r>
              <w:rPr>
                <w:color w:val="000000"/>
                <w:sz w:val="20"/>
                <w:lang w:val="en-US"/>
              </w:rPr>
              <w:t>(0.7</w:t>
            </w:r>
            <w:r w:rsidR="00F01FA4">
              <w:rPr>
                <w:color w:val="000000"/>
                <w:sz w:val="20"/>
                <w:lang w:val="en-US"/>
              </w:rPr>
              <w:t>770</w:t>
            </w:r>
            <w:r>
              <w:rPr>
                <w:color w:val="000000"/>
                <w:sz w:val="20"/>
                <w:lang w:val="en-US"/>
              </w:rPr>
              <w:t>)</w:t>
            </w:r>
          </w:p>
        </w:tc>
        <w:tc>
          <w:tcPr>
            <w:tcW w:w="1191" w:type="dxa"/>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(0.9</w:t>
            </w:r>
            <w:r w:rsidR="00DB301B">
              <w:rPr>
                <w:color w:val="000000"/>
                <w:sz w:val="20"/>
                <w:szCs w:val="20"/>
                <w:lang w:val="en-US"/>
              </w:rPr>
              <w:t>999</w:t>
            </w:r>
            <w:r>
              <w:rPr>
                <w:color w:val="000000"/>
                <w:sz w:val="20"/>
                <w:szCs w:val="20"/>
                <w:lang w:val="en-US"/>
              </w:rPr>
              <w:t>)</w:t>
            </w:r>
          </w:p>
        </w:tc>
      </w:tr>
      <w:tr w:rsidR="004E51C2" w:rsidRPr="00E723C2" w:rsidTr="00D632E0">
        <w:trPr>
          <w:trHeight w:val="454"/>
        </w:trPr>
        <w:tc>
          <w:tcPr>
            <w:tcW w:w="3291" w:type="dxa"/>
            <w:vAlign w:val="bottom"/>
          </w:tcPr>
          <w:p w:rsidR="004E51C2" w:rsidRDefault="004E51C2" w:rsidP="004E51C2">
            <w:pPr>
              <w:autoSpaceDE w:val="0"/>
              <w:autoSpaceDN w:val="0"/>
              <w:adjustRightInd w:val="0"/>
              <w:spacing w:before="0" w:line="240" w:lineRule="auto"/>
              <w:ind w:firstLine="0"/>
              <w:jc w:val="left"/>
              <w:rPr>
                <w:color w:val="000000"/>
                <w:sz w:val="20"/>
                <w:szCs w:val="20"/>
                <w:lang w:val="en-US"/>
              </w:rPr>
            </w:pPr>
            <w:r>
              <w:rPr>
                <w:b/>
                <w:bCs/>
                <w:color w:val="000000"/>
                <w:sz w:val="20"/>
                <w:szCs w:val="20"/>
                <w:lang w:val="en-US"/>
              </w:rPr>
              <w:t>Quoted</w:t>
            </w:r>
            <w:r w:rsidRPr="00E723C2">
              <w:rPr>
                <w:b/>
                <w:bCs/>
                <w:color w:val="000000"/>
                <w:sz w:val="20"/>
                <w:szCs w:val="20"/>
                <w:lang w:val="en-US"/>
              </w:rPr>
              <w:t xml:space="preserve"> spread</w:t>
            </w:r>
            <w:r>
              <w:rPr>
                <w:b/>
                <w:bCs/>
                <w:color w:val="000000"/>
                <w:sz w:val="20"/>
                <w:szCs w:val="20"/>
                <w:lang w:val="en-US"/>
              </w:rPr>
              <w:t xml:space="preserve">s </w:t>
            </w:r>
            <w:r w:rsidRPr="00E723C2">
              <w:rPr>
                <w:color w:val="000000"/>
                <w:sz w:val="20"/>
                <w:szCs w:val="20"/>
                <w:lang w:val="en-US"/>
              </w:rPr>
              <w:t>(</w:t>
            </w:r>
            <w:r>
              <w:rPr>
                <w:color w:val="000000"/>
                <w:sz w:val="20"/>
                <w:szCs w:val="20"/>
                <w:lang w:val="en-US"/>
              </w:rPr>
              <w:t xml:space="preserve">as </w:t>
            </w:r>
            <w:r w:rsidRPr="00E723C2">
              <w:rPr>
                <w:color w:val="000000"/>
                <w:sz w:val="20"/>
                <w:szCs w:val="20"/>
                <w:lang w:val="en-US"/>
              </w:rPr>
              <w:t>% of mid-price)</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-0.0222</w:t>
            </w:r>
            <w:r w:rsidR="00310C32">
              <w:rPr>
                <w:color w:val="000000"/>
                <w:sz w:val="20"/>
                <w:szCs w:val="20"/>
                <w:lang w:val="en-US"/>
              </w:rPr>
              <w:t>***</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-8.92</w:t>
            </w:r>
            <w:r w:rsidR="00947CE0">
              <w:rPr>
                <w:color w:val="000000"/>
                <w:sz w:val="20"/>
                <w:szCs w:val="20"/>
                <w:lang w:val="en-US"/>
              </w:rPr>
              <w:t>***</w:t>
            </w:r>
          </w:p>
        </w:tc>
        <w:tc>
          <w:tcPr>
            <w:tcW w:w="1191" w:type="dxa"/>
            <w:vAlign w:val="bottom"/>
          </w:tcPr>
          <w:p w:rsidR="004E51C2" w:rsidRDefault="007168A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0.006</w:t>
            </w:r>
            <w:r w:rsidR="00253165">
              <w:rPr>
                <w:color w:val="000000"/>
                <w:sz w:val="20"/>
                <w:szCs w:val="20"/>
                <w:lang w:val="en-US"/>
              </w:rPr>
              <w:t>5</w:t>
            </w:r>
          </w:p>
        </w:tc>
        <w:tc>
          <w:tcPr>
            <w:tcW w:w="1191" w:type="dxa"/>
            <w:vAlign w:val="bottom"/>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w:t>
            </w:r>
            <w:r w:rsidR="009C1575">
              <w:rPr>
                <w:color w:val="000000"/>
                <w:sz w:val="20"/>
                <w:szCs w:val="20"/>
                <w:lang w:val="en-US"/>
              </w:rPr>
              <w:t>73</w:t>
            </w:r>
          </w:p>
        </w:tc>
        <w:tc>
          <w:tcPr>
            <w:tcW w:w="1191" w:type="dxa"/>
            <w:vAlign w:val="bottom"/>
          </w:tcPr>
          <w:p w:rsidR="004E51C2" w:rsidRDefault="00F01FA4"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-0.0287</w:t>
            </w:r>
            <w:r w:rsidR="00AF6F07">
              <w:rPr>
                <w:color w:val="000000"/>
                <w:sz w:val="20"/>
                <w:szCs w:val="20"/>
                <w:lang w:val="en-US"/>
              </w:rPr>
              <w:t>*</w:t>
            </w:r>
          </w:p>
        </w:tc>
        <w:tc>
          <w:tcPr>
            <w:tcW w:w="1191" w:type="dxa"/>
            <w:vAlign w:val="bottom"/>
          </w:tcPr>
          <w:p w:rsidR="004E51C2" w:rsidRDefault="003206D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-10.</w:t>
            </w:r>
            <w:r w:rsidR="00DB301B">
              <w:rPr>
                <w:color w:val="000000"/>
                <w:sz w:val="20"/>
                <w:szCs w:val="20"/>
                <w:lang w:val="en-US"/>
              </w:rPr>
              <w:t>65</w:t>
            </w:r>
            <w:r w:rsidR="00414A19">
              <w:rPr>
                <w:color w:val="000000"/>
                <w:sz w:val="20"/>
                <w:szCs w:val="20"/>
                <w:lang w:val="en-US"/>
              </w:rPr>
              <w:t>***</w:t>
            </w:r>
          </w:p>
        </w:tc>
      </w:tr>
      <w:tr w:rsidR="004E51C2" w:rsidRPr="00E723C2" w:rsidTr="00D632E0">
        <w:trPr>
          <w:trHeight w:val="454"/>
        </w:trPr>
        <w:tc>
          <w:tcPr>
            <w:tcW w:w="3291" w:type="dxa"/>
          </w:tcPr>
          <w:p w:rsidR="004E51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Pr>
          <w:p w:rsidR="004E51C2" w:rsidRDefault="00D33680"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(0.6</w:t>
            </w:r>
            <w:r w:rsidR="00253165">
              <w:rPr>
                <w:color w:val="000000"/>
                <w:sz w:val="20"/>
                <w:szCs w:val="20"/>
                <w:lang w:val="en-US"/>
              </w:rPr>
              <w:t>478</w:t>
            </w:r>
            <w:r>
              <w:rPr>
                <w:color w:val="000000"/>
                <w:sz w:val="20"/>
                <w:szCs w:val="20"/>
                <w:lang w:val="en-US"/>
              </w:rPr>
              <w:t>)</w:t>
            </w:r>
          </w:p>
        </w:tc>
        <w:tc>
          <w:tcPr>
            <w:tcW w:w="1191" w:type="dxa"/>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(0.5</w:t>
            </w:r>
            <w:r w:rsidR="009C1575">
              <w:rPr>
                <w:color w:val="000000"/>
                <w:sz w:val="20"/>
                <w:szCs w:val="20"/>
                <w:lang w:val="en-US"/>
              </w:rPr>
              <w:t>157</w:t>
            </w:r>
            <w:r>
              <w:rPr>
                <w:color w:val="000000"/>
                <w:sz w:val="20"/>
                <w:szCs w:val="20"/>
                <w:lang w:val="en-US"/>
              </w:rPr>
              <w:t>)</w:t>
            </w:r>
          </w:p>
        </w:tc>
        <w:tc>
          <w:tcPr>
            <w:tcW w:w="1191" w:type="dxa"/>
          </w:tcPr>
          <w:p w:rsidR="004E51C2" w:rsidRDefault="00F01FA4"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(0.0597</w:t>
            </w:r>
            <w:r w:rsidR="00AF6F07">
              <w:rPr>
                <w:color w:val="000000"/>
                <w:sz w:val="20"/>
                <w:szCs w:val="20"/>
                <w:lang w:val="en-US"/>
              </w:rPr>
              <w:t>)</w:t>
            </w:r>
          </w:p>
        </w:tc>
        <w:tc>
          <w:tcPr>
            <w:tcW w:w="1191" w:type="dxa"/>
          </w:tcPr>
          <w:p w:rsidR="004E51C2" w:rsidRDefault="00414A19"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(0.0010)</w:t>
            </w:r>
          </w:p>
        </w:tc>
      </w:tr>
      <w:tr w:rsidR="004E51C2" w:rsidRPr="00E723C2" w:rsidTr="00D632E0">
        <w:trPr>
          <w:trHeight w:val="454"/>
        </w:trPr>
        <w:tc>
          <w:tcPr>
            <w:tcW w:w="3291" w:type="dxa"/>
            <w:vAlign w:val="bottom"/>
          </w:tcPr>
          <w:p w:rsidR="004E51C2" w:rsidRDefault="004E51C2" w:rsidP="004E51C2">
            <w:pPr>
              <w:autoSpaceDE w:val="0"/>
              <w:autoSpaceDN w:val="0"/>
              <w:adjustRightInd w:val="0"/>
              <w:spacing w:before="0" w:line="240" w:lineRule="auto"/>
              <w:ind w:firstLine="0"/>
              <w:jc w:val="left"/>
              <w:rPr>
                <w:color w:val="000000"/>
                <w:sz w:val="20"/>
                <w:szCs w:val="20"/>
                <w:lang w:val="en-US"/>
              </w:rPr>
            </w:pPr>
            <w:r>
              <w:rPr>
                <w:b/>
                <w:bCs/>
                <w:color w:val="000000"/>
                <w:sz w:val="20"/>
                <w:szCs w:val="20"/>
                <w:lang w:val="en-US"/>
              </w:rPr>
              <w:t>E</w:t>
            </w:r>
            <w:r w:rsidRPr="00E723C2">
              <w:rPr>
                <w:b/>
                <w:bCs/>
                <w:color w:val="000000"/>
                <w:sz w:val="20"/>
                <w:szCs w:val="20"/>
                <w:lang w:val="en-US"/>
              </w:rPr>
              <w:t>ffective spread</w:t>
            </w:r>
            <w:r>
              <w:rPr>
                <w:b/>
                <w:bCs/>
                <w:color w:val="000000"/>
                <w:sz w:val="20"/>
                <w:szCs w:val="20"/>
                <w:lang w:val="en-US"/>
              </w:rPr>
              <w:t xml:space="preserve"> </w:t>
            </w:r>
            <w:r w:rsidRPr="00E723C2">
              <w:rPr>
                <w:color w:val="000000"/>
                <w:sz w:val="20"/>
                <w:szCs w:val="20"/>
                <w:lang w:val="en-US"/>
              </w:rPr>
              <w:t>(</w:t>
            </w:r>
            <w:r>
              <w:rPr>
                <w:color w:val="000000"/>
                <w:sz w:val="20"/>
                <w:szCs w:val="20"/>
                <w:lang w:val="en-US"/>
              </w:rPr>
              <w:t xml:space="preserve">as </w:t>
            </w:r>
            <w:r w:rsidRPr="00E723C2">
              <w:rPr>
                <w:color w:val="000000"/>
                <w:sz w:val="20"/>
                <w:szCs w:val="20"/>
                <w:lang w:val="en-US"/>
              </w:rPr>
              <w:t>% of mid-price)</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-0.0256</w:t>
            </w:r>
            <w:r w:rsidR="00310C32">
              <w:rPr>
                <w:color w:val="000000"/>
                <w:sz w:val="20"/>
                <w:szCs w:val="20"/>
                <w:lang w:val="en-US"/>
              </w:rPr>
              <w:t>***</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-10.55</w:t>
            </w:r>
            <w:r w:rsidR="00947CE0">
              <w:rPr>
                <w:color w:val="000000"/>
                <w:sz w:val="20"/>
                <w:szCs w:val="20"/>
                <w:lang w:val="en-US"/>
              </w:rPr>
              <w:t>***</w:t>
            </w:r>
          </w:p>
        </w:tc>
        <w:tc>
          <w:tcPr>
            <w:tcW w:w="1191" w:type="dxa"/>
            <w:vAlign w:val="bottom"/>
          </w:tcPr>
          <w:p w:rsidR="004E51C2" w:rsidRDefault="007168A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-0.002</w:t>
            </w:r>
            <w:r w:rsidR="00253165">
              <w:rPr>
                <w:color w:val="000000"/>
                <w:sz w:val="20"/>
                <w:szCs w:val="20"/>
                <w:lang w:val="en-US"/>
              </w:rPr>
              <w:t>1</w:t>
            </w:r>
          </w:p>
        </w:tc>
        <w:tc>
          <w:tcPr>
            <w:tcW w:w="1191" w:type="dxa"/>
            <w:vAlign w:val="bottom"/>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-0.5</w:t>
            </w:r>
            <w:r w:rsidR="009C1575">
              <w:rPr>
                <w:color w:val="000000"/>
                <w:sz w:val="20"/>
                <w:szCs w:val="20"/>
                <w:lang w:val="en-US"/>
              </w:rPr>
              <w:t>0</w:t>
            </w:r>
          </w:p>
        </w:tc>
        <w:tc>
          <w:tcPr>
            <w:tcW w:w="1191" w:type="dxa"/>
            <w:vAlign w:val="bottom"/>
          </w:tcPr>
          <w:p w:rsidR="004E51C2" w:rsidRDefault="00AF6F0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-0.0234</w:t>
            </w:r>
          </w:p>
        </w:tc>
        <w:tc>
          <w:tcPr>
            <w:tcW w:w="1191" w:type="dxa"/>
            <w:vAlign w:val="bottom"/>
          </w:tcPr>
          <w:p w:rsidR="004E51C2" w:rsidRDefault="003206D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-10.0</w:t>
            </w:r>
            <w:r w:rsidR="00DB301B">
              <w:rPr>
                <w:color w:val="000000"/>
                <w:sz w:val="20"/>
                <w:szCs w:val="20"/>
                <w:lang w:val="en-US"/>
              </w:rPr>
              <w:t>4</w:t>
            </w:r>
            <w:r w:rsidR="00414A19">
              <w:rPr>
                <w:color w:val="000000"/>
                <w:sz w:val="20"/>
                <w:szCs w:val="20"/>
                <w:lang w:val="en-US"/>
              </w:rPr>
              <w:t>***</w:t>
            </w:r>
          </w:p>
        </w:tc>
      </w:tr>
      <w:tr w:rsidR="004E51C2" w:rsidRPr="00E723C2" w:rsidTr="00D632E0">
        <w:trPr>
          <w:trHeight w:val="454"/>
        </w:trPr>
        <w:tc>
          <w:tcPr>
            <w:tcW w:w="3291" w:type="dxa"/>
          </w:tcPr>
          <w:p w:rsidR="004E51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Pr>
          <w:p w:rsidR="004E51C2" w:rsidRDefault="00D33680"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(0.8</w:t>
            </w:r>
            <w:r w:rsidR="00253165">
              <w:rPr>
                <w:color w:val="000000"/>
                <w:sz w:val="20"/>
                <w:szCs w:val="20"/>
                <w:lang w:val="en-US"/>
              </w:rPr>
              <w:t>821</w:t>
            </w:r>
            <w:r>
              <w:rPr>
                <w:color w:val="000000"/>
                <w:sz w:val="20"/>
                <w:szCs w:val="20"/>
                <w:lang w:val="en-US"/>
              </w:rPr>
              <w:t>)</w:t>
            </w:r>
          </w:p>
        </w:tc>
        <w:tc>
          <w:tcPr>
            <w:tcW w:w="1191" w:type="dxa"/>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(0.8</w:t>
            </w:r>
            <w:r w:rsidR="009C1575">
              <w:rPr>
                <w:color w:val="000000"/>
                <w:sz w:val="20"/>
                <w:szCs w:val="20"/>
                <w:lang w:val="en-US"/>
              </w:rPr>
              <w:t>421</w:t>
            </w:r>
            <w:r>
              <w:rPr>
                <w:color w:val="000000"/>
                <w:sz w:val="20"/>
                <w:szCs w:val="20"/>
                <w:lang w:val="en-US"/>
              </w:rPr>
              <w:t>)</w:t>
            </w:r>
          </w:p>
        </w:tc>
        <w:tc>
          <w:tcPr>
            <w:tcW w:w="1191" w:type="dxa"/>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w:t>
            </w:r>
            <w:r w:rsidR="00F01FA4">
              <w:rPr>
                <w:color w:val="000000"/>
                <w:sz w:val="20"/>
                <w:szCs w:val="20"/>
                <w:lang w:val="en-US"/>
              </w:rPr>
              <w:t>244</w:t>
            </w:r>
            <w:r>
              <w:rPr>
                <w:color w:val="000000"/>
                <w:sz w:val="20"/>
                <w:szCs w:val="20"/>
                <w:lang w:val="en-US"/>
              </w:rPr>
              <w:t>)</w:t>
            </w:r>
          </w:p>
        </w:tc>
        <w:tc>
          <w:tcPr>
            <w:tcW w:w="1191" w:type="dxa"/>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(0.001</w:t>
            </w:r>
            <w:r w:rsidR="00DB301B">
              <w:rPr>
                <w:color w:val="000000"/>
                <w:sz w:val="20"/>
                <w:szCs w:val="20"/>
                <w:lang w:val="en-US"/>
              </w:rPr>
              <w:t>4</w:t>
            </w:r>
            <w:r>
              <w:rPr>
                <w:color w:val="000000"/>
                <w:sz w:val="20"/>
                <w:szCs w:val="20"/>
                <w:lang w:val="en-US"/>
              </w:rPr>
              <w:t>)</w:t>
            </w:r>
          </w:p>
        </w:tc>
      </w:tr>
      <w:tr w:rsidR="004E51C2" w:rsidRPr="00E723C2" w:rsidTr="00D632E0">
        <w:trPr>
          <w:trHeight w:val="454"/>
        </w:trPr>
        <w:tc>
          <w:tcPr>
            <w:tcW w:w="3291" w:type="dxa"/>
            <w:vAlign w:val="bottom"/>
          </w:tcPr>
          <w:p w:rsidR="004E51C2" w:rsidRDefault="004E51C2" w:rsidP="004E51C2">
            <w:pPr>
              <w:autoSpaceDE w:val="0"/>
              <w:autoSpaceDN w:val="0"/>
              <w:adjustRightInd w:val="0"/>
              <w:spacing w:before="0" w:line="240" w:lineRule="auto"/>
              <w:ind w:firstLine="0"/>
              <w:jc w:val="left"/>
              <w:rPr>
                <w:color w:val="000000"/>
                <w:sz w:val="20"/>
                <w:szCs w:val="20"/>
                <w:lang w:val="en-US"/>
              </w:rPr>
            </w:pPr>
            <w:r>
              <w:rPr>
                <w:b/>
                <w:bCs/>
                <w:color w:val="000000"/>
                <w:sz w:val="20"/>
                <w:szCs w:val="20"/>
                <w:lang w:val="en-US"/>
              </w:rPr>
              <w:t>Best-limit</w:t>
            </w:r>
            <w:r w:rsidRPr="00E723C2">
              <w:rPr>
                <w:b/>
                <w:bCs/>
                <w:color w:val="000000"/>
                <w:sz w:val="20"/>
                <w:szCs w:val="20"/>
                <w:lang w:val="en-US"/>
              </w:rPr>
              <w:t xml:space="preserve"> depth </w:t>
            </w:r>
            <w:r w:rsidRPr="00E723C2">
              <w:rPr>
                <w:color w:val="000000"/>
                <w:sz w:val="20"/>
                <w:szCs w:val="20"/>
                <w:lang w:val="en-US"/>
              </w:rPr>
              <w:t>(in euros)</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5,382</w:t>
            </w:r>
            <w:r w:rsidR="00310C32">
              <w:rPr>
                <w:color w:val="000000"/>
                <w:sz w:val="20"/>
                <w:szCs w:val="20"/>
                <w:lang w:val="en-US"/>
              </w:rPr>
              <w:t>*</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11.67</w:t>
            </w:r>
            <w:r w:rsidR="00947CE0">
              <w:rPr>
                <w:color w:val="000000"/>
                <w:sz w:val="20"/>
                <w:szCs w:val="20"/>
                <w:lang w:val="en-US"/>
              </w:rPr>
              <w:t>**</w:t>
            </w:r>
          </w:p>
        </w:tc>
        <w:tc>
          <w:tcPr>
            <w:tcW w:w="1191" w:type="dxa"/>
            <w:vAlign w:val="bottom"/>
          </w:tcPr>
          <w:p w:rsidR="004E51C2" w:rsidRDefault="00FF34C6"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7</w:t>
            </w:r>
            <w:r w:rsidR="00253165">
              <w:rPr>
                <w:color w:val="000000"/>
                <w:sz w:val="20"/>
                <w:szCs w:val="20"/>
                <w:lang w:val="en-US"/>
              </w:rPr>
              <w:t>64</w:t>
            </w:r>
          </w:p>
        </w:tc>
        <w:tc>
          <w:tcPr>
            <w:tcW w:w="1191" w:type="dxa"/>
            <w:vAlign w:val="bottom"/>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4.</w:t>
            </w:r>
            <w:r w:rsidR="009C1575">
              <w:rPr>
                <w:color w:val="000000"/>
                <w:sz w:val="20"/>
                <w:szCs w:val="20"/>
                <w:lang w:val="en-US"/>
              </w:rPr>
              <w:t>18</w:t>
            </w:r>
          </w:p>
        </w:tc>
        <w:tc>
          <w:tcPr>
            <w:tcW w:w="1191" w:type="dxa"/>
            <w:vAlign w:val="bottom"/>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4,6</w:t>
            </w:r>
            <w:r w:rsidR="00F01FA4">
              <w:rPr>
                <w:color w:val="000000"/>
                <w:sz w:val="20"/>
                <w:szCs w:val="20"/>
                <w:lang w:val="en-US"/>
              </w:rPr>
              <w:t>18</w:t>
            </w:r>
          </w:p>
        </w:tc>
        <w:tc>
          <w:tcPr>
            <w:tcW w:w="1191" w:type="dxa"/>
            <w:vAlign w:val="bottom"/>
          </w:tcPr>
          <w:p w:rsidR="004E51C2" w:rsidRDefault="003206D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7.4</w:t>
            </w:r>
            <w:r w:rsidR="00DB301B">
              <w:rPr>
                <w:color w:val="000000"/>
                <w:sz w:val="20"/>
                <w:szCs w:val="20"/>
                <w:lang w:val="en-US"/>
              </w:rPr>
              <w:t>9</w:t>
            </w:r>
          </w:p>
        </w:tc>
      </w:tr>
      <w:tr w:rsidR="004E51C2" w:rsidRPr="00E723C2" w:rsidTr="00D632E0">
        <w:trPr>
          <w:trHeight w:val="454"/>
        </w:trPr>
        <w:tc>
          <w:tcPr>
            <w:tcW w:w="3291" w:type="dxa"/>
          </w:tcPr>
          <w:p w:rsidR="004E51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(0.0779)</w:t>
            </w:r>
          </w:p>
        </w:tc>
        <w:tc>
          <w:tcPr>
            <w:tcW w:w="1191" w:type="dxa"/>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(0.0132)</w:t>
            </w:r>
          </w:p>
        </w:tc>
        <w:tc>
          <w:tcPr>
            <w:tcW w:w="1191" w:type="dxa"/>
          </w:tcPr>
          <w:p w:rsidR="004E51C2" w:rsidRDefault="00D33680"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253165">
              <w:rPr>
                <w:color w:val="000000"/>
                <w:sz w:val="20"/>
                <w:szCs w:val="20"/>
                <w:lang w:val="en-US"/>
              </w:rPr>
              <w:t>4045</w:t>
            </w:r>
            <w:r>
              <w:rPr>
                <w:color w:val="000000"/>
                <w:sz w:val="20"/>
                <w:szCs w:val="20"/>
                <w:lang w:val="en-US"/>
              </w:rPr>
              <w:t>)</w:t>
            </w:r>
          </w:p>
        </w:tc>
        <w:tc>
          <w:tcPr>
            <w:tcW w:w="1191" w:type="dxa"/>
          </w:tcPr>
          <w:p w:rsidR="004E51C2" w:rsidRDefault="004A342A" w:rsidP="009C15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w:t>
            </w:r>
            <w:r w:rsidR="009C1575">
              <w:rPr>
                <w:color w:val="000000"/>
                <w:sz w:val="20"/>
                <w:szCs w:val="20"/>
                <w:lang w:val="en-US"/>
              </w:rPr>
              <w:t>953</w:t>
            </w:r>
            <w:r>
              <w:rPr>
                <w:color w:val="000000"/>
                <w:sz w:val="20"/>
                <w:szCs w:val="20"/>
                <w:lang w:val="en-US"/>
              </w:rPr>
              <w:t>)</w:t>
            </w:r>
          </w:p>
        </w:tc>
        <w:tc>
          <w:tcPr>
            <w:tcW w:w="1191" w:type="dxa"/>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(0.14</w:t>
            </w:r>
            <w:r w:rsidR="00F01FA4">
              <w:rPr>
                <w:color w:val="000000"/>
                <w:sz w:val="20"/>
                <w:szCs w:val="20"/>
                <w:lang w:val="en-US"/>
              </w:rPr>
              <w:t>39</w:t>
            </w:r>
            <w:r>
              <w:rPr>
                <w:color w:val="000000"/>
                <w:sz w:val="20"/>
                <w:szCs w:val="20"/>
                <w:lang w:val="en-US"/>
              </w:rPr>
              <w:t>)</w:t>
            </w:r>
          </w:p>
        </w:tc>
        <w:tc>
          <w:tcPr>
            <w:tcW w:w="1191" w:type="dxa"/>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(0.214</w:t>
            </w:r>
            <w:r w:rsidR="00DB301B">
              <w:rPr>
                <w:color w:val="000000"/>
                <w:sz w:val="20"/>
                <w:szCs w:val="20"/>
                <w:lang w:val="en-US"/>
              </w:rPr>
              <w:t>1</w:t>
            </w:r>
            <w:r>
              <w:rPr>
                <w:color w:val="000000"/>
                <w:sz w:val="20"/>
                <w:szCs w:val="20"/>
                <w:lang w:val="en-US"/>
              </w:rPr>
              <w:t>)</w:t>
            </w:r>
          </w:p>
        </w:tc>
      </w:tr>
      <w:tr w:rsidR="004E51C2" w:rsidRPr="00E723C2" w:rsidTr="00D632E0">
        <w:trPr>
          <w:trHeight w:val="454"/>
        </w:trPr>
        <w:tc>
          <w:tcPr>
            <w:tcW w:w="3291" w:type="dxa"/>
            <w:vAlign w:val="bottom"/>
          </w:tcPr>
          <w:p w:rsidR="004E51C2" w:rsidRDefault="004E51C2" w:rsidP="004E51C2">
            <w:pPr>
              <w:autoSpaceDE w:val="0"/>
              <w:autoSpaceDN w:val="0"/>
              <w:adjustRightInd w:val="0"/>
              <w:spacing w:before="0" w:line="240" w:lineRule="auto"/>
              <w:ind w:firstLine="0"/>
              <w:jc w:val="left"/>
              <w:rPr>
                <w:color w:val="000000"/>
                <w:sz w:val="20"/>
                <w:szCs w:val="20"/>
                <w:lang w:val="en-US"/>
              </w:rPr>
            </w:pPr>
            <w:r>
              <w:rPr>
                <w:b/>
                <w:bCs/>
                <w:color w:val="000000"/>
                <w:sz w:val="20"/>
                <w:szCs w:val="20"/>
                <w:lang w:val="en-US"/>
              </w:rPr>
              <w:t>A</w:t>
            </w:r>
            <w:r w:rsidRPr="00E723C2">
              <w:rPr>
                <w:b/>
                <w:bCs/>
                <w:color w:val="000000"/>
                <w:sz w:val="20"/>
                <w:szCs w:val="20"/>
                <w:lang w:val="en-US"/>
              </w:rPr>
              <w:t>djusted block spreads</w:t>
            </w:r>
            <w:r w:rsidRPr="00E723C2">
              <w:rPr>
                <w:b/>
                <w:bCs/>
                <w:color w:val="000000"/>
                <w:sz w:val="20"/>
                <w:szCs w:val="20"/>
                <w:lang w:val="en-US"/>
              </w:rPr>
              <w:br/>
            </w:r>
            <w:r w:rsidRPr="00E723C2">
              <w:rPr>
                <w:color w:val="000000"/>
                <w:sz w:val="20"/>
                <w:szCs w:val="20"/>
                <w:lang w:val="en-US"/>
              </w:rPr>
              <w:t>(</w:t>
            </w:r>
            <w:r>
              <w:rPr>
                <w:color w:val="000000"/>
                <w:sz w:val="20"/>
                <w:szCs w:val="20"/>
                <w:lang w:val="en-US"/>
              </w:rPr>
              <w:t xml:space="preserve">as </w:t>
            </w:r>
            <w:r w:rsidRPr="00E723C2">
              <w:rPr>
                <w:color w:val="000000"/>
                <w:sz w:val="20"/>
                <w:szCs w:val="20"/>
                <w:lang w:val="en-US"/>
              </w:rPr>
              <w:t>% of mid-price)</w:t>
            </w:r>
          </w:p>
        </w:tc>
        <w:tc>
          <w:tcPr>
            <w:tcW w:w="1191" w:type="dxa"/>
            <w:vAlign w:val="bottom"/>
          </w:tcPr>
          <w:p w:rsidR="004E51C2"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0.0687</w:t>
            </w:r>
            <w:r w:rsidR="00310C32">
              <w:rPr>
                <w:color w:val="000000"/>
                <w:sz w:val="20"/>
                <w:szCs w:val="20"/>
                <w:lang w:val="en-US"/>
              </w:rPr>
              <w:t>***</w:t>
            </w:r>
          </w:p>
        </w:tc>
        <w:tc>
          <w:tcPr>
            <w:tcW w:w="1191" w:type="dxa"/>
            <w:vAlign w:val="bottom"/>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66.17</w:t>
            </w:r>
            <w:r w:rsidR="00947CE0">
              <w:rPr>
                <w:color w:val="000000"/>
                <w:sz w:val="20"/>
                <w:szCs w:val="20"/>
                <w:lang w:val="en-US"/>
              </w:rPr>
              <w:t>***</w:t>
            </w:r>
          </w:p>
        </w:tc>
        <w:tc>
          <w:tcPr>
            <w:tcW w:w="1191" w:type="dxa"/>
            <w:vAlign w:val="bottom"/>
          </w:tcPr>
          <w:p w:rsidR="004E51C2" w:rsidRDefault="006178FF" w:rsidP="0025316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0.29</w:t>
            </w:r>
            <w:r w:rsidR="00253165">
              <w:rPr>
                <w:color w:val="000000"/>
                <w:sz w:val="20"/>
                <w:szCs w:val="20"/>
                <w:lang w:val="en-US"/>
              </w:rPr>
              <w:t>62</w:t>
            </w:r>
            <w:r w:rsidR="00B50870">
              <w:rPr>
                <w:color w:val="000000"/>
                <w:sz w:val="20"/>
                <w:szCs w:val="20"/>
                <w:lang w:val="en-US"/>
              </w:rPr>
              <w:t>***</w:t>
            </w:r>
          </w:p>
        </w:tc>
        <w:tc>
          <w:tcPr>
            <w:tcW w:w="1191" w:type="dxa"/>
            <w:vAlign w:val="bottom"/>
          </w:tcPr>
          <w:p w:rsidR="004E51C2" w:rsidRDefault="009C1575"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49.74</w:t>
            </w:r>
            <w:r w:rsidR="00AF6F07">
              <w:rPr>
                <w:color w:val="000000"/>
                <w:sz w:val="20"/>
                <w:szCs w:val="20"/>
                <w:lang w:val="en-US"/>
              </w:rPr>
              <w:t>***</w:t>
            </w:r>
          </w:p>
        </w:tc>
        <w:tc>
          <w:tcPr>
            <w:tcW w:w="1191" w:type="dxa"/>
            <w:vAlign w:val="bottom"/>
          </w:tcPr>
          <w:p w:rsidR="004E51C2" w:rsidRDefault="00AF6F07" w:rsidP="00F01FA4">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w:t>
            </w:r>
            <w:r w:rsidR="00F01FA4">
              <w:rPr>
                <w:color w:val="000000"/>
                <w:sz w:val="20"/>
                <w:szCs w:val="20"/>
                <w:lang w:val="en-US"/>
              </w:rPr>
              <w:t>275</w:t>
            </w:r>
            <w:r>
              <w:rPr>
                <w:color w:val="000000"/>
                <w:sz w:val="20"/>
                <w:szCs w:val="20"/>
                <w:lang w:val="en-US"/>
              </w:rPr>
              <w:t>***</w:t>
            </w:r>
          </w:p>
        </w:tc>
        <w:tc>
          <w:tcPr>
            <w:tcW w:w="1191" w:type="dxa"/>
            <w:vAlign w:val="bottom"/>
          </w:tcPr>
          <w:p w:rsidR="004E51C2" w:rsidRDefault="00DB301B"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16.42</w:t>
            </w:r>
            <w:r w:rsidR="00414A19">
              <w:rPr>
                <w:color w:val="000000"/>
                <w:sz w:val="20"/>
                <w:szCs w:val="20"/>
                <w:lang w:val="en-US"/>
              </w:rPr>
              <w:t>**</w:t>
            </w:r>
          </w:p>
        </w:tc>
      </w:tr>
      <w:tr w:rsidR="004E51C2" w:rsidRPr="00E723C2" w:rsidTr="00D632E0">
        <w:trPr>
          <w:trHeight w:val="454"/>
        </w:trPr>
        <w:tc>
          <w:tcPr>
            <w:tcW w:w="3291" w:type="dxa"/>
            <w:tcBorders>
              <w:bottom w:val="single" w:sz="12" w:space="0" w:color="auto"/>
            </w:tcBorders>
          </w:tcPr>
          <w:p w:rsidR="004E51C2" w:rsidRDefault="004E51C2" w:rsidP="004E51C2">
            <w:pPr>
              <w:autoSpaceDE w:val="0"/>
              <w:autoSpaceDN w:val="0"/>
              <w:adjustRightInd w:val="0"/>
              <w:spacing w:before="0" w:line="240" w:lineRule="auto"/>
              <w:ind w:firstLine="0"/>
              <w:jc w:val="left"/>
              <w:rPr>
                <w:b/>
                <w:bCs/>
                <w:color w:val="000000"/>
                <w:sz w:val="20"/>
                <w:szCs w:val="20"/>
                <w:lang w:val="en-US"/>
              </w:rPr>
            </w:pPr>
          </w:p>
        </w:tc>
        <w:tc>
          <w:tcPr>
            <w:tcW w:w="1191" w:type="dxa"/>
            <w:tcBorders>
              <w:bottom w:val="single" w:sz="12" w:space="0" w:color="auto"/>
            </w:tcBorders>
          </w:tcPr>
          <w:p w:rsidR="004E51C2" w:rsidRDefault="00FF34C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Borders>
              <w:bottom w:val="single" w:sz="12" w:space="0" w:color="auto"/>
            </w:tcBorders>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Borders>
              <w:bottom w:val="single" w:sz="12" w:space="0" w:color="auto"/>
            </w:tcBorders>
          </w:tcPr>
          <w:p w:rsidR="004E51C2" w:rsidRDefault="006178F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Borders>
              <w:bottom w:val="single" w:sz="12" w:space="0" w:color="auto"/>
            </w:tcBorders>
          </w:tcPr>
          <w:p w:rsidR="004E51C2" w:rsidRDefault="004A342A"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Borders>
              <w:bottom w:val="single" w:sz="12" w:space="0" w:color="auto"/>
            </w:tcBorders>
          </w:tcPr>
          <w:p w:rsidR="004E51C2" w:rsidRDefault="00AF6F0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91" w:type="dxa"/>
            <w:tcBorders>
              <w:bottom w:val="single" w:sz="12" w:space="0" w:color="auto"/>
            </w:tcBorders>
          </w:tcPr>
          <w:p w:rsidR="004E51C2" w:rsidRDefault="00414A19" w:rsidP="00DB301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w:t>
            </w:r>
            <w:r w:rsidR="00DB301B">
              <w:rPr>
                <w:color w:val="000000"/>
                <w:sz w:val="20"/>
                <w:szCs w:val="20"/>
                <w:lang w:val="en-US"/>
              </w:rPr>
              <w:t>304</w:t>
            </w:r>
            <w:r>
              <w:rPr>
                <w:color w:val="000000"/>
                <w:sz w:val="20"/>
                <w:szCs w:val="20"/>
                <w:lang w:val="en-US"/>
              </w:rPr>
              <w:t>)</w:t>
            </w:r>
          </w:p>
        </w:tc>
      </w:tr>
    </w:tbl>
    <w:p w:rsidR="00FE5D7B" w:rsidRPr="00C41698" w:rsidRDefault="00E16D81" w:rsidP="00C41698">
      <w:pPr>
        <w:pStyle w:val="Notetable"/>
        <w:ind w:right="-144"/>
        <w:rPr>
          <w:lang w:val="en-US"/>
        </w:rPr>
      </w:pPr>
      <w:r w:rsidRPr="00E16D81">
        <w:rPr>
          <w:i/>
          <w:lang w:val="en-US"/>
        </w:rPr>
        <w:t>Note:</w:t>
      </w:r>
      <w:r>
        <w:rPr>
          <w:lang w:val="en-US"/>
        </w:rPr>
        <w:t xml:space="preserve"> </w:t>
      </w:r>
      <w:r w:rsidR="00C36EF8" w:rsidRPr="00C36EF8">
        <w:rPr>
          <w:lang w:val="en-US"/>
        </w:rPr>
        <w:t xml:space="preserve">For each liquidity variable, the </w:t>
      </w:r>
      <w:r w:rsidR="00A31E17">
        <w:rPr>
          <w:lang w:val="en-US"/>
        </w:rPr>
        <w:t xml:space="preserve">absolute </w:t>
      </w:r>
      <w:r w:rsidR="00C36EF8" w:rsidRPr="00C36EF8">
        <w:rPr>
          <w:lang w:val="en-US"/>
        </w:rPr>
        <w:t xml:space="preserve">mean </w:t>
      </w:r>
      <w:r w:rsidR="009D6C05">
        <w:rPr>
          <w:lang w:val="en-US"/>
        </w:rPr>
        <w:t>variation</w:t>
      </w:r>
      <w:r w:rsidR="00A31E17">
        <w:rPr>
          <w:lang w:val="en-US"/>
        </w:rPr>
        <w:t xml:space="preserve"> and the percentage mean variation are computed</w:t>
      </w:r>
      <w:r w:rsidR="00C36EF8" w:rsidRPr="00C36EF8">
        <w:rPr>
          <w:lang w:val="en-US"/>
        </w:rPr>
        <w:t xml:space="preserve"> for the CAC 40 </w:t>
      </w:r>
      <w:r>
        <w:rPr>
          <w:lang w:val="en-US"/>
        </w:rPr>
        <w:t>and</w:t>
      </w:r>
      <w:r w:rsidR="00C36EF8" w:rsidRPr="00C36EF8">
        <w:rPr>
          <w:lang w:val="en-US"/>
        </w:rPr>
        <w:t xml:space="preserve"> the control </w:t>
      </w:r>
      <w:r w:rsidR="00E8233C">
        <w:rPr>
          <w:lang w:val="en-US"/>
        </w:rPr>
        <w:t>samples</w:t>
      </w:r>
      <w:r w:rsidR="00C36EF8" w:rsidRPr="00C36EF8">
        <w:rPr>
          <w:lang w:val="en-US"/>
        </w:rPr>
        <w:t xml:space="preserve"> </w:t>
      </w:r>
      <w:r w:rsidR="00A31E17">
        <w:rPr>
          <w:lang w:val="en-US"/>
        </w:rPr>
        <w:t xml:space="preserve">as </w:t>
      </w:r>
      <w:r w:rsidR="00C36EF8" w:rsidRPr="00C36EF8">
        <w:rPr>
          <w:lang w:val="en-US"/>
        </w:rPr>
        <w:t xml:space="preserve">the equally-weighted cross-sectional mean </w:t>
      </w:r>
      <w:r w:rsidR="009D6C05">
        <w:rPr>
          <w:lang w:val="en-US"/>
        </w:rPr>
        <w:t xml:space="preserve">difference between the two </w:t>
      </w:r>
      <w:r w:rsidR="00C36EF8" w:rsidRPr="00C36EF8">
        <w:rPr>
          <w:lang w:val="en-US"/>
        </w:rPr>
        <w:t>60-</w:t>
      </w:r>
      <w:r w:rsidR="00D90961">
        <w:rPr>
          <w:lang w:val="en-US"/>
        </w:rPr>
        <w:t>trading-d</w:t>
      </w:r>
      <w:r w:rsidR="00C0615A" w:rsidRPr="00C0615A">
        <w:rPr>
          <w:lang w:val="en-US"/>
        </w:rPr>
        <w:t>ay</w:t>
      </w:r>
      <w:r w:rsidR="00C36EF8" w:rsidRPr="00C36EF8">
        <w:rPr>
          <w:lang w:val="en-US"/>
        </w:rPr>
        <w:t xml:space="preserve"> period</w:t>
      </w:r>
      <w:r w:rsidR="00D90961">
        <w:rPr>
          <w:lang w:val="en-US"/>
        </w:rPr>
        <w:t>s</w:t>
      </w:r>
      <w:r w:rsidR="00C36EF8" w:rsidRPr="00C36EF8">
        <w:rPr>
          <w:lang w:val="en-US"/>
        </w:rPr>
        <w:t xml:space="preserve"> surrounding the ETF inception on January 22, 2001.  The statistical test is a paired </w:t>
      </w:r>
      <w:r w:rsidR="00C36EF8" w:rsidRPr="00D90961">
        <w:rPr>
          <w:i/>
          <w:lang w:val="en-US"/>
        </w:rPr>
        <w:t>t</w:t>
      </w:r>
      <w:r w:rsidR="00C36EF8" w:rsidRPr="00C36EF8">
        <w:rPr>
          <w:lang w:val="en-US"/>
        </w:rPr>
        <w:t xml:space="preserve">-test on the mean difference. </w:t>
      </w:r>
      <w:r w:rsidR="00A31E17">
        <w:rPr>
          <w:lang w:val="en-US"/>
        </w:rPr>
        <w:t xml:space="preserve">The </w:t>
      </w:r>
      <w:r w:rsidR="00A31E17" w:rsidRPr="00A31E17">
        <w:rPr>
          <w:i/>
          <w:lang w:val="en-US"/>
        </w:rPr>
        <w:t>p</w:t>
      </w:r>
      <w:r w:rsidR="00A31E17">
        <w:rPr>
          <w:lang w:val="en-US"/>
        </w:rPr>
        <w:t xml:space="preserve">-values are reported in the table under parenthesis.  </w:t>
      </w:r>
      <w:r w:rsidR="00C36EF8" w:rsidRPr="00C36EF8">
        <w:rPr>
          <w:lang w:val="en-US"/>
        </w:rPr>
        <w:t>For the difference-in-</w:t>
      </w:r>
      <w:r w:rsidR="00C0615A" w:rsidRPr="00C0615A">
        <w:rPr>
          <w:lang w:val="en-US"/>
        </w:rPr>
        <w:t>difference</w:t>
      </w:r>
      <w:r>
        <w:rPr>
          <w:lang w:val="en-US"/>
        </w:rPr>
        <w:t>s</w:t>
      </w:r>
      <w:r w:rsidR="00C36EF8" w:rsidRPr="00C36EF8">
        <w:rPr>
          <w:lang w:val="en-US"/>
        </w:rPr>
        <w:t xml:space="preserve"> approach, the test is an independent group </w:t>
      </w:r>
      <w:r w:rsidR="00D90961" w:rsidRPr="00D90961">
        <w:rPr>
          <w:i/>
          <w:lang w:val="en-US"/>
        </w:rPr>
        <w:t>t</w:t>
      </w:r>
      <w:r w:rsidR="00C36EF8" w:rsidRPr="00C36EF8">
        <w:rPr>
          <w:lang w:val="en-US"/>
        </w:rPr>
        <w:t xml:space="preserve">-test on the cross-sectional mean difference between </w:t>
      </w:r>
      <w:r w:rsidR="00C0615A" w:rsidRPr="00C0615A">
        <w:rPr>
          <w:lang w:val="en-US"/>
        </w:rPr>
        <w:t>CAC</w:t>
      </w:r>
      <w:r>
        <w:rPr>
          <w:lang w:val="en-US"/>
        </w:rPr>
        <w:t xml:space="preserve"> </w:t>
      </w:r>
      <w:r w:rsidR="00C0615A" w:rsidRPr="00C0615A">
        <w:rPr>
          <w:lang w:val="en-US"/>
        </w:rPr>
        <w:t>40</w:t>
      </w:r>
      <w:r w:rsidR="00C36EF8" w:rsidRPr="00C36EF8">
        <w:rPr>
          <w:lang w:val="en-US"/>
        </w:rPr>
        <w:t xml:space="preserve"> and control stocks, based on </w:t>
      </w:r>
      <w:r w:rsidR="00A31E17">
        <w:rPr>
          <w:lang w:val="en-US"/>
        </w:rPr>
        <w:t xml:space="preserve">the absolute variation and </w:t>
      </w:r>
      <w:r w:rsidR="00C36EF8" w:rsidRPr="00C36EF8">
        <w:rPr>
          <w:lang w:val="en-US"/>
        </w:rPr>
        <w:t xml:space="preserve">the percentage </w:t>
      </w:r>
      <w:r w:rsidR="00A31E17">
        <w:rPr>
          <w:lang w:val="en-US"/>
        </w:rPr>
        <w:t>variation</w:t>
      </w:r>
      <w:r w:rsidR="00C36EF8" w:rsidRPr="00C36EF8">
        <w:rPr>
          <w:lang w:val="en-US"/>
        </w:rPr>
        <w:t xml:space="preserve"> between the two 60-day periods. The sizes of the CAC 40 and control </w:t>
      </w:r>
      <w:r w:rsidR="00E8233C">
        <w:rPr>
          <w:lang w:val="en-US"/>
        </w:rPr>
        <w:t>sample</w:t>
      </w:r>
      <w:r>
        <w:rPr>
          <w:lang w:val="en-US"/>
        </w:rPr>
        <w:t>s</w:t>
      </w:r>
      <w:r w:rsidR="00C36EF8" w:rsidRPr="00C36EF8">
        <w:rPr>
          <w:lang w:val="en-US"/>
        </w:rPr>
        <w:t xml:space="preserve"> are 37 and </w:t>
      </w:r>
      <w:r w:rsidR="00A31E17">
        <w:rPr>
          <w:lang w:val="en-US"/>
        </w:rPr>
        <w:t>49</w:t>
      </w:r>
      <w:r w:rsidR="00C36EF8" w:rsidRPr="00C36EF8">
        <w:rPr>
          <w:lang w:val="en-US"/>
        </w:rPr>
        <w:t xml:space="preserve"> respectively</w:t>
      </w:r>
      <w:r w:rsidR="00C0615A" w:rsidRPr="00C0615A">
        <w:rPr>
          <w:lang w:val="en-US"/>
        </w:rPr>
        <w:t xml:space="preserve">, with the exception that </w:t>
      </w:r>
      <w:r>
        <w:rPr>
          <w:lang w:val="en-US"/>
        </w:rPr>
        <w:t xml:space="preserve">the </w:t>
      </w:r>
      <w:r w:rsidR="00C0615A" w:rsidRPr="00C0615A">
        <w:rPr>
          <w:lang w:val="en-US"/>
        </w:rPr>
        <w:t xml:space="preserve">block spreads </w:t>
      </w:r>
      <w:r>
        <w:rPr>
          <w:lang w:val="en-US"/>
        </w:rPr>
        <w:t>we</w:t>
      </w:r>
      <w:r w:rsidR="00C0615A" w:rsidRPr="00C0615A">
        <w:rPr>
          <w:lang w:val="en-US"/>
        </w:rPr>
        <w:t xml:space="preserve">re </w:t>
      </w:r>
      <w:r>
        <w:rPr>
          <w:lang w:val="en-US"/>
        </w:rPr>
        <w:t xml:space="preserve">only </w:t>
      </w:r>
      <w:r w:rsidR="00C0615A" w:rsidRPr="00C0615A">
        <w:rPr>
          <w:lang w:val="en-US"/>
        </w:rPr>
        <w:t>available for 4</w:t>
      </w:r>
      <w:r w:rsidR="00A31E17">
        <w:rPr>
          <w:lang w:val="en-US"/>
        </w:rPr>
        <w:t>4</w:t>
      </w:r>
      <w:r w:rsidR="00C0615A" w:rsidRPr="00C0615A">
        <w:rPr>
          <w:lang w:val="en-US"/>
        </w:rPr>
        <w:t xml:space="preserve"> stocks </w:t>
      </w:r>
      <w:r>
        <w:rPr>
          <w:lang w:val="en-US"/>
        </w:rPr>
        <w:t xml:space="preserve">in </w:t>
      </w:r>
      <w:r w:rsidR="00C0615A" w:rsidRPr="00C0615A">
        <w:rPr>
          <w:lang w:val="en-US"/>
        </w:rPr>
        <w:t xml:space="preserve">the control </w:t>
      </w:r>
      <w:r w:rsidR="00E8233C">
        <w:rPr>
          <w:lang w:val="en-US"/>
        </w:rPr>
        <w:t>sample</w:t>
      </w:r>
      <w:r w:rsidR="00C0615A" w:rsidRPr="00C0615A">
        <w:rPr>
          <w:lang w:val="en-US"/>
        </w:rPr>
        <w:t xml:space="preserve">. </w:t>
      </w:r>
      <w:r>
        <w:rPr>
          <w:lang w:val="en-US"/>
        </w:rPr>
        <w:t>One, two and three asterisks (</w:t>
      </w:r>
      <w:r w:rsidR="00C0615A" w:rsidRPr="00C0615A">
        <w:rPr>
          <w:lang w:val="en-US"/>
        </w:rPr>
        <w:t>*,</w:t>
      </w:r>
      <w:r>
        <w:rPr>
          <w:lang w:val="en-US"/>
        </w:rPr>
        <w:t xml:space="preserve"> </w:t>
      </w:r>
      <w:r w:rsidR="00C0615A" w:rsidRPr="00C0615A">
        <w:rPr>
          <w:lang w:val="en-US"/>
        </w:rPr>
        <w:t>**,</w:t>
      </w:r>
      <w:r>
        <w:rPr>
          <w:lang w:val="en-US"/>
        </w:rPr>
        <w:t xml:space="preserve"> and </w:t>
      </w:r>
      <w:r w:rsidR="00C0615A" w:rsidRPr="00C0615A">
        <w:rPr>
          <w:lang w:val="en-US"/>
        </w:rPr>
        <w:t>***</w:t>
      </w:r>
      <w:r>
        <w:rPr>
          <w:lang w:val="en-US"/>
        </w:rPr>
        <w:t>)</w:t>
      </w:r>
      <w:r w:rsidR="00C36EF8" w:rsidRPr="00C36EF8">
        <w:rPr>
          <w:lang w:val="en-US"/>
        </w:rPr>
        <w:t xml:space="preserve"> indicate statistical significance at the 10%, 5%, and 1% levels, respectively.</w:t>
      </w:r>
    </w:p>
    <w:p w:rsidR="00D11634" w:rsidRDefault="00D11634">
      <w:pPr>
        <w:spacing w:before="0" w:line="240" w:lineRule="auto"/>
        <w:ind w:firstLine="0"/>
        <w:jc w:val="left"/>
        <w:rPr>
          <w:szCs w:val="20"/>
          <w:lang w:val="en-US"/>
        </w:rPr>
      </w:pPr>
      <w:r>
        <w:rPr>
          <w:lang w:val="en-US"/>
        </w:rPr>
        <w:br w:type="page"/>
      </w:r>
    </w:p>
    <w:p w:rsidR="00FE5D7B" w:rsidRDefault="004E68AA">
      <w:pPr>
        <w:pStyle w:val="Numerotable"/>
        <w:rPr>
          <w:lang w:val="en-US"/>
        </w:rPr>
      </w:pPr>
      <w:r w:rsidRPr="00E723C2">
        <w:rPr>
          <w:lang w:val="en-US"/>
        </w:rPr>
        <w:lastRenderedPageBreak/>
        <w:t>Table 3</w:t>
      </w:r>
    </w:p>
    <w:p w:rsidR="00FE5D7B" w:rsidRDefault="00D11634" w:rsidP="0074308C">
      <w:pPr>
        <w:pStyle w:val="Titretable"/>
        <w:ind w:right="565"/>
        <w:rPr>
          <w:lang w:val="en-US"/>
        </w:rPr>
      </w:pPr>
      <w:r>
        <w:rPr>
          <w:lang w:val="en-US"/>
        </w:rPr>
        <w:t xml:space="preserve">A comparison of </w:t>
      </w:r>
      <w:r w:rsidR="00687845">
        <w:rPr>
          <w:lang w:val="en-US"/>
        </w:rPr>
        <w:t xml:space="preserve">order imbalance and spread components </w:t>
      </w:r>
      <w:r>
        <w:rPr>
          <w:lang w:val="en-US"/>
        </w:rPr>
        <w:t>before and after the introduction of the ETF</w:t>
      </w:r>
    </w:p>
    <w:tbl>
      <w:tblPr>
        <w:tblW w:w="9671" w:type="dxa"/>
        <w:tblInd w:w="40" w:type="dxa"/>
        <w:tblLayout w:type="fixed"/>
        <w:tblCellMar>
          <w:left w:w="70" w:type="dxa"/>
          <w:right w:w="70" w:type="dxa"/>
        </w:tblCellMar>
        <w:tblLook w:val="0000" w:firstRow="0" w:lastRow="0" w:firstColumn="0" w:lastColumn="0" w:noHBand="0" w:noVBand="0"/>
      </w:tblPr>
      <w:tblGrid>
        <w:gridCol w:w="2724"/>
        <w:gridCol w:w="1276"/>
        <w:gridCol w:w="1135"/>
        <w:gridCol w:w="1134"/>
        <w:gridCol w:w="1134"/>
        <w:gridCol w:w="1134"/>
        <w:gridCol w:w="1134"/>
      </w:tblGrid>
      <w:tr w:rsidR="0074308C" w:rsidRPr="00E723C2" w:rsidTr="0074308C">
        <w:trPr>
          <w:trHeight w:val="362"/>
        </w:trPr>
        <w:tc>
          <w:tcPr>
            <w:tcW w:w="2724" w:type="dxa"/>
            <w:tcBorders>
              <w:top w:val="single" w:sz="12" w:space="0" w:color="auto"/>
            </w:tcBorders>
            <w:vAlign w:val="center"/>
          </w:tcPr>
          <w:p w:rsidR="0074308C" w:rsidRDefault="0074308C">
            <w:pPr>
              <w:autoSpaceDE w:val="0"/>
              <w:autoSpaceDN w:val="0"/>
              <w:adjustRightInd w:val="0"/>
              <w:spacing w:before="0" w:line="240" w:lineRule="auto"/>
              <w:ind w:firstLine="0"/>
              <w:jc w:val="right"/>
              <w:rPr>
                <w:rFonts w:ascii="Arial" w:hAnsi="Arial" w:cs="Arial"/>
                <w:color w:val="000000"/>
                <w:sz w:val="20"/>
                <w:szCs w:val="20"/>
                <w:lang w:val="en-US"/>
              </w:rPr>
            </w:pPr>
          </w:p>
        </w:tc>
        <w:tc>
          <w:tcPr>
            <w:tcW w:w="2411" w:type="dxa"/>
            <w:gridSpan w:val="2"/>
            <w:tcBorders>
              <w:top w:val="single" w:sz="12" w:space="0" w:color="auto"/>
              <w:bottom w:val="single" w:sz="6" w:space="0" w:color="auto"/>
            </w:tcBorders>
            <w:vAlign w:val="center"/>
          </w:tcPr>
          <w:p w:rsidR="0074308C" w:rsidRDefault="0074308C" w:rsidP="00E8233C">
            <w:pPr>
              <w:autoSpaceDE w:val="0"/>
              <w:autoSpaceDN w:val="0"/>
              <w:adjustRightInd w:val="0"/>
              <w:spacing w:before="0" w:line="240" w:lineRule="auto"/>
              <w:ind w:firstLine="0"/>
              <w:jc w:val="center"/>
              <w:rPr>
                <w:rFonts w:ascii="Arial" w:hAnsi="Arial"/>
                <w:color w:val="000000"/>
                <w:sz w:val="20"/>
                <w:lang w:val="en-US"/>
              </w:rPr>
            </w:pPr>
            <w:r w:rsidRPr="00C36EF8">
              <w:rPr>
                <w:b/>
                <w:color w:val="000000"/>
                <w:sz w:val="20"/>
                <w:lang w:val="en-US"/>
              </w:rPr>
              <w:t xml:space="preserve">CAC 40 </w:t>
            </w:r>
            <w:r>
              <w:rPr>
                <w:b/>
                <w:bCs/>
                <w:color w:val="000000"/>
                <w:sz w:val="20"/>
                <w:szCs w:val="20"/>
                <w:lang w:val="en-US"/>
              </w:rPr>
              <w:t>sample</w:t>
            </w:r>
            <w:r w:rsidRPr="00687845">
              <w:rPr>
                <w:b/>
                <w:bCs/>
                <w:color w:val="000000"/>
                <w:sz w:val="20"/>
                <w:szCs w:val="20"/>
                <w:lang w:val="en-US"/>
              </w:rPr>
              <w:t xml:space="preserve"> </w:t>
            </w:r>
          </w:p>
        </w:tc>
        <w:tc>
          <w:tcPr>
            <w:tcW w:w="2268" w:type="dxa"/>
            <w:gridSpan w:val="2"/>
            <w:tcBorders>
              <w:top w:val="single" w:sz="12" w:space="0" w:color="auto"/>
              <w:bottom w:val="single" w:sz="6" w:space="0" w:color="auto"/>
            </w:tcBorders>
            <w:vAlign w:val="center"/>
          </w:tcPr>
          <w:p w:rsidR="0074308C" w:rsidRDefault="0074308C" w:rsidP="00E8233C">
            <w:pPr>
              <w:autoSpaceDE w:val="0"/>
              <w:autoSpaceDN w:val="0"/>
              <w:adjustRightInd w:val="0"/>
              <w:spacing w:before="0" w:line="240" w:lineRule="auto"/>
              <w:ind w:firstLine="0"/>
              <w:jc w:val="center"/>
              <w:rPr>
                <w:rFonts w:ascii="Arial" w:hAnsi="Arial"/>
                <w:color w:val="000000"/>
                <w:sz w:val="20"/>
                <w:lang w:val="en-US"/>
              </w:rPr>
            </w:pPr>
            <w:r w:rsidRPr="00C36EF8">
              <w:rPr>
                <w:b/>
                <w:color w:val="000000"/>
                <w:sz w:val="20"/>
                <w:lang w:val="en-US"/>
              </w:rPr>
              <w:t xml:space="preserve">Control </w:t>
            </w:r>
            <w:r>
              <w:rPr>
                <w:b/>
                <w:bCs/>
                <w:color w:val="000000"/>
                <w:sz w:val="20"/>
                <w:szCs w:val="20"/>
                <w:lang w:val="en-US"/>
              </w:rPr>
              <w:t>sample</w:t>
            </w:r>
          </w:p>
        </w:tc>
        <w:tc>
          <w:tcPr>
            <w:tcW w:w="2268" w:type="dxa"/>
            <w:gridSpan w:val="2"/>
            <w:tcBorders>
              <w:top w:val="single" w:sz="12" w:space="0" w:color="auto"/>
              <w:bottom w:val="single" w:sz="6" w:space="0" w:color="auto"/>
            </w:tcBorders>
            <w:vAlign w:val="center"/>
          </w:tcPr>
          <w:p w:rsidR="0074308C" w:rsidRDefault="0074308C" w:rsidP="006C0678">
            <w:pPr>
              <w:autoSpaceDE w:val="0"/>
              <w:autoSpaceDN w:val="0"/>
              <w:adjustRightInd w:val="0"/>
              <w:spacing w:before="0" w:line="240" w:lineRule="auto"/>
              <w:ind w:firstLine="0"/>
              <w:jc w:val="center"/>
              <w:rPr>
                <w:rFonts w:ascii="Arial" w:hAnsi="Arial" w:cs="Arial"/>
                <w:color w:val="000000"/>
                <w:sz w:val="20"/>
                <w:szCs w:val="20"/>
                <w:lang w:val="en-US"/>
              </w:rPr>
            </w:pPr>
            <w:r w:rsidRPr="00E723C2">
              <w:rPr>
                <w:b/>
                <w:bCs/>
                <w:color w:val="000000"/>
                <w:sz w:val="20"/>
                <w:szCs w:val="20"/>
                <w:lang w:val="en-US"/>
              </w:rPr>
              <w:t xml:space="preserve">Difference in </w:t>
            </w:r>
            <w:r>
              <w:rPr>
                <w:b/>
                <w:bCs/>
                <w:color w:val="000000"/>
                <w:sz w:val="20"/>
                <w:szCs w:val="20"/>
                <w:lang w:val="en-US"/>
              </w:rPr>
              <w:t>differences</w:t>
            </w:r>
          </w:p>
        </w:tc>
      </w:tr>
      <w:tr w:rsidR="003E2111" w:rsidRPr="00E723C2" w:rsidTr="0074308C">
        <w:trPr>
          <w:trHeight w:val="523"/>
        </w:trPr>
        <w:tc>
          <w:tcPr>
            <w:tcW w:w="2724" w:type="dxa"/>
            <w:tcBorders>
              <w:bottom w:val="single" w:sz="12" w:space="0" w:color="auto"/>
            </w:tcBorders>
            <w:vAlign w:val="center"/>
          </w:tcPr>
          <w:p w:rsidR="003E2111" w:rsidRDefault="003E2111">
            <w:pPr>
              <w:autoSpaceDE w:val="0"/>
              <w:autoSpaceDN w:val="0"/>
              <w:adjustRightInd w:val="0"/>
              <w:spacing w:before="0" w:line="240" w:lineRule="auto"/>
              <w:ind w:firstLine="0"/>
              <w:jc w:val="left"/>
              <w:rPr>
                <w:b/>
                <w:bCs/>
                <w:color w:val="000000"/>
                <w:sz w:val="20"/>
                <w:szCs w:val="20"/>
                <w:lang w:val="en-US"/>
              </w:rPr>
            </w:pPr>
          </w:p>
        </w:tc>
        <w:tc>
          <w:tcPr>
            <w:tcW w:w="1276" w:type="dxa"/>
            <w:tcBorders>
              <w:top w:val="single" w:sz="6" w:space="0" w:color="auto"/>
              <w:bottom w:val="single" w:sz="12" w:space="0" w:color="auto"/>
            </w:tcBorders>
          </w:tcPr>
          <w:p w:rsidR="003E2111" w:rsidRDefault="003E2111"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35" w:type="dxa"/>
            <w:tcBorders>
              <w:top w:val="single" w:sz="6" w:space="0" w:color="auto"/>
              <w:bottom w:val="single" w:sz="12" w:space="0" w:color="auto"/>
            </w:tcBorders>
            <w:vAlign w:val="center"/>
          </w:tcPr>
          <w:p w:rsidR="003E2111" w:rsidRDefault="003E2111"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c>
          <w:tcPr>
            <w:tcW w:w="1134" w:type="dxa"/>
            <w:tcBorders>
              <w:top w:val="single" w:sz="6" w:space="0" w:color="auto"/>
              <w:bottom w:val="single" w:sz="12" w:space="0" w:color="auto"/>
            </w:tcBorders>
          </w:tcPr>
          <w:p w:rsidR="003E2111" w:rsidRDefault="003E2111"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34" w:type="dxa"/>
            <w:tcBorders>
              <w:top w:val="single" w:sz="6" w:space="0" w:color="auto"/>
              <w:bottom w:val="single" w:sz="12" w:space="0" w:color="auto"/>
            </w:tcBorders>
            <w:vAlign w:val="center"/>
          </w:tcPr>
          <w:p w:rsidR="003E2111" w:rsidRDefault="003E2111"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c>
          <w:tcPr>
            <w:tcW w:w="1134" w:type="dxa"/>
            <w:tcBorders>
              <w:top w:val="single" w:sz="6" w:space="0" w:color="auto"/>
              <w:bottom w:val="single" w:sz="12" w:space="0" w:color="auto"/>
            </w:tcBorders>
          </w:tcPr>
          <w:p w:rsidR="003E2111" w:rsidRDefault="003E2111"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34" w:type="dxa"/>
            <w:tcBorders>
              <w:top w:val="single" w:sz="6" w:space="0" w:color="auto"/>
              <w:bottom w:val="single" w:sz="12" w:space="0" w:color="auto"/>
            </w:tcBorders>
            <w:vAlign w:val="center"/>
          </w:tcPr>
          <w:p w:rsidR="003E2111" w:rsidRDefault="003E2111"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r>
      <w:tr w:rsidR="003E2111" w:rsidRPr="00E723C2" w:rsidTr="0074308C">
        <w:trPr>
          <w:trHeight w:val="397"/>
        </w:trPr>
        <w:tc>
          <w:tcPr>
            <w:tcW w:w="2724" w:type="dxa"/>
            <w:vAlign w:val="bottom"/>
          </w:tcPr>
          <w:p w:rsidR="003E2111" w:rsidRPr="00C911FA" w:rsidRDefault="003E2111" w:rsidP="003E2111">
            <w:pPr>
              <w:autoSpaceDE w:val="0"/>
              <w:autoSpaceDN w:val="0"/>
              <w:adjustRightInd w:val="0"/>
              <w:spacing w:before="0" w:line="240" w:lineRule="auto"/>
              <w:ind w:firstLine="0"/>
              <w:jc w:val="left"/>
              <w:rPr>
                <w:b/>
                <w:bCs/>
                <w:color w:val="000000"/>
                <w:sz w:val="20"/>
                <w:szCs w:val="20"/>
              </w:rPr>
            </w:pPr>
            <w:r w:rsidRPr="00E723C2">
              <w:rPr>
                <w:b/>
                <w:bCs/>
                <w:color w:val="000000"/>
                <w:sz w:val="20"/>
                <w:szCs w:val="20"/>
                <w:lang w:val="en-US"/>
              </w:rPr>
              <w:t>Average order imbalance</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lang w:val="en-US"/>
              </w:rPr>
            </w:pPr>
            <w:r>
              <w:rPr>
                <w:color w:val="000000"/>
                <w:sz w:val="20"/>
                <w:lang w:val="en-US"/>
              </w:rPr>
              <w:t>-1.6821</w:t>
            </w:r>
            <w:r w:rsidR="007168AF">
              <w:rPr>
                <w:color w:val="000000"/>
                <w:sz w:val="20"/>
                <w:lang w:val="en-US"/>
              </w:rPr>
              <w:t>*</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lang w:val="en-US"/>
              </w:rPr>
            </w:pPr>
            <w:r>
              <w:rPr>
                <w:color w:val="000000"/>
                <w:sz w:val="20"/>
                <w:lang w:val="en-US"/>
              </w:rPr>
              <w:t>161.71*</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lang w:val="en-US"/>
              </w:rPr>
            </w:pPr>
            <w:r>
              <w:rPr>
                <w:color w:val="000000"/>
                <w:sz w:val="20"/>
                <w:lang w:val="en-US"/>
              </w:rPr>
              <w:t>0.</w:t>
            </w:r>
            <w:r w:rsidR="001056BE">
              <w:rPr>
                <w:color w:val="000000"/>
                <w:sz w:val="20"/>
                <w:lang w:val="en-US"/>
              </w:rPr>
              <w:t>8843</w:t>
            </w:r>
          </w:p>
        </w:tc>
        <w:tc>
          <w:tcPr>
            <w:tcW w:w="1134" w:type="dxa"/>
            <w:vAlign w:val="bottom"/>
          </w:tcPr>
          <w:p w:rsidR="003E2111" w:rsidRDefault="00A40977" w:rsidP="008F2382">
            <w:pPr>
              <w:autoSpaceDE w:val="0"/>
              <w:autoSpaceDN w:val="0"/>
              <w:adjustRightInd w:val="0"/>
              <w:spacing w:before="0" w:line="240" w:lineRule="auto"/>
              <w:ind w:firstLine="0"/>
              <w:jc w:val="center"/>
              <w:rPr>
                <w:color w:val="000000"/>
                <w:sz w:val="20"/>
                <w:lang w:val="en-US"/>
              </w:rPr>
            </w:pPr>
            <w:r>
              <w:rPr>
                <w:color w:val="000000"/>
                <w:sz w:val="20"/>
                <w:lang w:val="en-US"/>
              </w:rPr>
              <w:t>239.99</w:t>
            </w:r>
            <w:r w:rsidR="000C0341">
              <w:rPr>
                <w:color w:val="000000"/>
                <w:sz w:val="20"/>
                <w:lang w:val="en-US"/>
              </w:rPr>
              <w:t>**</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lang w:val="en-US"/>
              </w:rPr>
            </w:pPr>
            <w:r>
              <w:rPr>
                <w:color w:val="000000"/>
                <w:sz w:val="20"/>
                <w:lang w:val="en-US"/>
              </w:rPr>
              <w:t>-2.</w:t>
            </w:r>
            <w:r w:rsidR="001F5175">
              <w:rPr>
                <w:color w:val="000000"/>
                <w:sz w:val="20"/>
                <w:lang w:val="en-US"/>
              </w:rPr>
              <w:t>5665</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lang w:val="en-US"/>
              </w:rPr>
            </w:pPr>
            <w:r>
              <w:rPr>
                <w:color w:val="000000"/>
                <w:sz w:val="20"/>
                <w:lang w:val="en-US"/>
              </w:rPr>
              <w:t>-</w:t>
            </w:r>
            <w:r w:rsidR="00D47EF7">
              <w:rPr>
                <w:color w:val="000000"/>
                <w:sz w:val="20"/>
                <w:lang w:val="en-US"/>
              </w:rPr>
              <w:t>78.27</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216F31" w:rsidP="008F2382">
            <w:pPr>
              <w:autoSpaceDE w:val="0"/>
              <w:autoSpaceDN w:val="0"/>
              <w:adjustRightInd w:val="0"/>
              <w:spacing w:before="0" w:line="240" w:lineRule="auto"/>
              <w:ind w:firstLine="0"/>
              <w:jc w:val="center"/>
              <w:rPr>
                <w:color w:val="000000"/>
                <w:sz w:val="20"/>
                <w:lang w:val="en-US"/>
              </w:rPr>
            </w:pPr>
            <w:r>
              <w:rPr>
                <w:color w:val="000000"/>
                <w:sz w:val="20"/>
                <w:lang w:val="en-US"/>
              </w:rPr>
              <w:t>(0.0824)</w:t>
            </w:r>
          </w:p>
        </w:tc>
        <w:tc>
          <w:tcPr>
            <w:tcW w:w="1135" w:type="dxa"/>
          </w:tcPr>
          <w:p w:rsidR="003E2111" w:rsidRDefault="007142FC" w:rsidP="008F2382">
            <w:pPr>
              <w:autoSpaceDE w:val="0"/>
              <w:autoSpaceDN w:val="0"/>
              <w:adjustRightInd w:val="0"/>
              <w:spacing w:before="0" w:line="240" w:lineRule="auto"/>
              <w:ind w:firstLine="0"/>
              <w:jc w:val="center"/>
              <w:rPr>
                <w:color w:val="000000"/>
                <w:sz w:val="20"/>
                <w:lang w:val="en-US"/>
              </w:rPr>
            </w:pPr>
            <w:r>
              <w:rPr>
                <w:color w:val="000000"/>
                <w:sz w:val="20"/>
                <w:lang w:val="en-US"/>
              </w:rPr>
              <w:t>(0.0533)</w:t>
            </w:r>
          </w:p>
        </w:tc>
        <w:tc>
          <w:tcPr>
            <w:tcW w:w="1134" w:type="dxa"/>
          </w:tcPr>
          <w:p w:rsidR="003E2111" w:rsidRDefault="007168AF" w:rsidP="001056BE">
            <w:pPr>
              <w:autoSpaceDE w:val="0"/>
              <w:autoSpaceDN w:val="0"/>
              <w:adjustRightInd w:val="0"/>
              <w:spacing w:before="0" w:line="240" w:lineRule="auto"/>
              <w:ind w:firstLine="0"/>
              <w:jc w:val="center"/>
              <w:rPr>
                <w:color w:val="000000"/>
                <w:sz w:val="20"/>
                <w:lang w:val="en-US"/>
              </w:rPr>
            </w:pPr>
            <w:r>
              <w:rPr>
                <w:color w:val="000000"/>
                <w:sz w:val="20"/>
                <w:lang w:val="en-US"/>
              </w:rPr>
              <w:t>(0.5</w:t>
            </w:r>
            <w:r w:rsidR="001056BE">
              <w:rPr>
                <w:color w:val="000000"/>
                <w:sz w:val="20"/>
                <w:lang w:val="en-US"/>
              </w:rPr>
              <w:t>477</w:t>
            </w:r>
            <w:r>
              <w:rPr>
                <w:color w:val="000000"/>
                <w:sz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lang w:val="en-US"/>
              </w:rPr>
            </w:pPr>
            <w:r>
              <w:rPr>
                <w:color w:val="000000"/>
                <w:sz w:val="20"/>
                <w:lang w:val="en-US"/>
              </w:rPr>
              <w:t>(0.01</w:t>
            </w:r>
            <w:r w:rsidR="00A40977">
              <w:rPr>
                <w:color w:val="000000"/>
                <w:sz w:val="20"/>
                <w:lang w:val="en-US"/>
              </w:rPr>
              <w:t>94</w:t>
            </w:r>
            <w:r>
              <w:rPr>
                <w:color w:val="000000"/>
                <w:sz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lang w:val="en-US"/>
              </w:rPr>
            </w:pPr>
            <w:r>
              <w:rPr>
                <w:color w:val="000000"/>
                <w:sz w:val="20"/>
                <w:lang w:val="en-US"/>
              </w:rPr>
              <w:t>(0.1</w:t>
            </w:r>
            <w:r w:rsidR="001F5175">
              <w:rPr>
                <w:color w:val="000000"/>
                <w:sz w:val="20"/>
                <w:lang w:val="en-US"/>
              </w:rPr>
              <w:t>437</w:t>
            </w:r>
            <w:r>
              <w:rPr>
                <w:color w:val="000000"/>
                <w:sz w:val="20"/>
                <w:lang w:val="en-US"/>
              </w:rPr>
              <w:t>)</w:t>
            </w:r>
          </w:p>
        </w:tc>
        <w:tc>
          <w:tcPr>
            <w:tcW w:w="1134" w:type="dxa"/>
          </w:tcPr>
          <w:p w:rsidR="003E2111" w:rsidRDefault="00EF4676" w:rsidP="00D47EF7">
            <w:pPr>
              <w:autoSpaceDE w:val="0"/>
              <w:autoSpaceDN w:val="0"/>
              <w:adjustRightInd w:val="0"/>
              <w:spacing w:before="0" w:line="240" w:lineRule="auto"/>
              <w:ind w:firstLine="0"/>
              <w:jc w:val="center"/>
              <w:rPr>
                <w:color w:val="000000"/>
                <w:sz w:val="20"/>
                <w:lang w:val="en-US"/>
              </w:rPr>
            </w:pPr>
            <w:r>
              <w:rPr>
                <w:color w:val="000000"/>
                <w:sz w:val="20"/>
                <w:lang w:val="en-US"/>
              </w:rPr>
              <w:t>(0.5</w:t>
            </w:r>
            <w:r w:rsidR="00D47EF7">
              <w:rPr>
                <w:color w:val="000000"/>
                <w:sz w:val="20"/>
                <w:lang w:val="en-US"/>
              </w:rPr>
              <w:t>426</w:t>
            </w:r>
            <w:r>
              <w:rPr>
                <w:color w:val="000000"/>
                <w:sz w:val="20"/>
                <w:lang w:val="en-US"/>
              </w:rPr>
              <w:t>)</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color w:val="000000"/>
                <w:sz w:val="20"/>
                <w:lang w:val="en-US"/>
              </w:rPr>
            </w:pPr>
            <w:r w:rsidRPr="00E723C2">
              <w:rPr>
                <w:b/>
                <w:bCs/>
                <w:color w:val="000000"/>
                <w:sz w:val="20"/>
                <w:szCs w:val="20"/>
                <w:lang w:val="en-US"/>
              </w:rPr>
              <w:t>5-min price impact</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lang w:val="en-US"/>
              </w:rPr>
            </w:pPr>
            <w:r>
              <w:rPr>
                <w:color w:val="000000"/>
                <w:sz w:val="20"/>
                <w:lang w:val="en-US"/>
              </w:rPr>
              <w:t>-0.0010</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lang w:val="en-US"/>
              </w:rPr>
            </w:pPr>
            <w:r>
              <w:rPr>
                <w:color w:val="000000"/>
                <w:sz w:val="20"/>
                <w:lang w:val="en-US"/>
              </w:rPr>
              <w:t>0.78</w:t>
            </w:r>
          </w:p>
        </w:tc>
        <w:tc>
          <w:tcPr>
            <w:tcW w:w="1134" w:type="dxa"/>
            <w:vAlign w:val="bottom"/>
          </w:tcPr>
          <w:p w:rsidR="003E2111" w:rsidRDefault="007168AF" w:rsidP="008F2382">
            <w:pPr>
              <w:autoSpaceDE w:val="0"/>
              <w:autoSpaceDN w:val="0"/>
              <w:adjustRightInd w:val="0"/>
              <w:spacing w:before="0" w:line="240" w:lineRule="auto"/>
              <w:ind w:firstLine="0"/>
              <w:jc w:val="center"/>
              <w:rPr>
                <w:color w:val="000000"/>
                <w:sz w:val="20"/>
                <w:lang w:val="en-US"/>
              </w:rPr>
            </w:pPr>
            <w:r>
              <w:rPr>
                <w:color w:val="000000"/>
                <w:sz w:val="20"/>
                <w:lang w:val="en-US"/>
              </w:rPr>
              <w:t>0.0076</w:t>
            </w:r>
          </w:p>
        </w:tc>
        <w:tc>
          <w:tcPr>
            <w:tcW w:w="1134" w:type="dxa"/>
            <w:vAlign w:val="bottom"/>
          </w:tcPr>
          <w:p w:rsidR="003E2111" w:rsidRDefault="00A40977" w:rsidP="008F2382">
            <w:pPr>
              <w:autoSpaceDE w:val="0"/>
              <w:autoSpaceDN w:val="0"/>
              <w:adjustRightInd w:val="0"/>
              <w:spacing w:before="0" w:line="240" w:lineRule="auto"/>
              <w:ind w:firstLine="0"/>
              <w:jc w:val="center"/>
              <w:rPr>
                <w:color w:val="000000"/>
                <w:sz w:val="20"/>
                <w:lang w:val="en-US"/>
              </w:rPr>
            </w:pPr>
            <w:r>
              <w:rPr>
                <w:color w:val="000000"/>
                <w:sz w:val="20"/>
                <w:lang w:val="en-US"/>
              </w:rPr>
              <w:t>1.92</w:t>
            </w:r>
          </w:p>
        </w:tc>
        <w:tc>
          <w:tcPr>
            <w:tcW w:w="1134" w:type="dxa"/>
            <w:vAlign w:val="bottom"/>
          </w:tcPr>
          <w:p w:rsidR="003E2111" w:rsidRDefault="00F0635A" w:rsidP="008F2382">
            <w:pPr>
              <w:autoSpaceDE w:val="0"/>
              <w:autoSpaceDN w:val="0"/>
              <w:adjustRightInd w:val="0"/>
              <w:spacing w:before="0" w:line="240" w:lineRule="auto"/>
              <w:ind w:firstLine="0"/>
              <w:jc w:val="center"/>
              <w:rPr>
                <w:color w:val="000000"/>
                <w:sz w:val="20"/>
                <w:lang w:val="en-US"/>
              </w:rPr>
            </w:pPr>
            <w:r>
              <w:rPr>
                <w:color w:val="000000"/>
                <w:sz w:val="20"/>
                <w:lang w:val="en-US"/>
              </w:rPr>
              <w:t>-0.0086</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lang w:val="en-US"/>
              </w:rPr>
            </w:pPr>
            <w:r>
              <w:rPr>
                <w:color w:val="000000"/>
                <w:sz w:val="20"/>
                <w:lang w:val="en-US"/>
              </w:rPr>
              <w:t>-1.</w:t>
            </w:r>
            <w:r w:rsidR="00D47EF7">
              <w:rPr>
                <w:color w:val="000000"/>
                <w:sz w:val="20"/>
                <w:lang w:val="en-US"/>
              </w:rPr>
              <w:t>14</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216F31" w:rsidP="008F2382">
            <w:pPr>
              <w:autoSpaceDE w:val="0"/>
              <w:autoSpaceDN w:val="0"/>
              <w:adjustRightInd w:val="0"/>
              <w:spacing w:before="0" w:line="240" w:lineRule="auto"/>
              <w:ind w:firstLine="0"/>
              <w:jc w:val="center"/>
              <w:rPr>
                <w:color w:val="000000"/>
                <w:sz w:val="20"/>
                <w:lang w:val="en-US"/>
              </w:rPr>
            </w:pPr>
            <w:r>
              <w:rPr>
                <w:color w:val="000000"/>
                <w:sz w:val="20"/>
                <w:lang w:val="en-US"/>
              </w:rPr>
              <w:t>(0.7612)</w:t>
            </w:r>
          </w:p>
        </w:tc>
        <w:tc>
          <w:tcPr>
            <w:tcW w:w="1135" w:type="dxa"/>
          </w:tcPr>
          <w:p w:rsidR="003E2111" w:rsidRDefault="007142FC" w:rsidP="008F2382">
            <w:pPr>
              <w:autoSpaceDE w:val="0"/>
              <w:autoSpaceDN w:val="0"/>
              <w:adjustRightInd w:val="0"/>
              <w:spacing w:before="0" w:line="240" w:lineRule="auto"/>
              <w:ind w:firstLine="0"/>
              <w:jc w:val="center"/>
              <w:rPr>
                <w:color w:val="000000"/>
                <w:sz w:val="20"/>
                <w:lang w:val="en-US"/>
              </w:rPr>
            </w:pPr>
            <w:r>
              <w:rPr>
                <w:color w:val="000000"/>
                <w:sz w:val="20"/>
                <w:lang w:val="en-US"/>
              </w:rPr>
              <w:t>(0.7569)</w:t>
            </w:r>
          </w:p>
        </w:tc>
        <w:tc>
          <w:tcPr>
            <w:tcW w:w="1134" w:type="dxa"/>
          </w:tcPr>
          <w:p w:rsidR="003E2111" w:rsidRDefault="007168AF" w:rsidP="001056BE">
            <w:pPr>
              <w:autoSpaceDE w:val="0"/>
              <w:autoSpaceDN w:val="0"/>
              <w:adjustRightInd w:val="0"/>
              <w:spacing w:before="0" w:line="240" w:lineRule="auto"/>
              <w:ind w:firstLine="0"/>
              <w:jc w:val="center"/>
              <w:rPr>
                <w:color w:val="000000"/>
                <w:sz w:val="20"/>
                <w:lang w:val="en-US"/>
              </w:rPr>
            </w:pPr>
            <w:r>
              <w:rPr>
                <w:color w:val="000000"/>
                <w:sz w:val="20"/>
                <w:lang w:val="en-US"/>
              </w:rPr>
              <w:t>(0.3</w:t>
            </w:r>
            <w:r w:rsidR="001056BE">
              <w:rPr>
                <w:color w:val="000000"/>
                <w:sz w:val="20"/>
                <w:lang w:val="en-US"/>
              </w:rPr>
              <w:t>748</w:t>
            </w:r>
            <w:r>
              <w:rPr>
                <w:color w:val="000000"/>
                <w:sz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lang w:val="en-US"/>
              </w:rPr>
            </w:pPr>
            <w:r>
              <w:rPr>
                <w:color w:val="000000"/>
                <w:sz w:val="20"/>
                <w:lang w:val="en-US"/>
              </w:rPr>
              <w:t>(0.5</w:t>
            </w:r>
            <w:r w:rsidR="00A40977">
              <w:rPr>
                <w:color w:val="000000"/>
                <w:sz w:val="20"/>
                <w:lang w:val="en-US"/>
              </w:rPr>
              <w:t>572</w:t>
            </w:r>
            <w:r>
              <w:rPr>
                <w:color w:val="000000"/>
                <w:sz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lang w:val="en-US"/>
              </w:rPr>
            </w:pPr>
            <w:r>
              <w:rPr>
                <w:color w:val="000000"/>
                <w:sz w:val="20"/>
                <w:lang w:val="en-US"/>
              </w:rPr>
              <w:t>(0.3</w:t>
            </w:r>
            <w:r w:rsidR="001F5175">
              <w:rPr>
                <w:color w:val="000000"/>
                <w:sz w:val="20"/>
                <w:lang w:val="en-US"/>
              </w:rPr>
              <w:t>477</w:t>
            </w:r>
            <w:r>
              <w:rPr>
                <w:color w:val="000000"/>
                <w:sz w:val="20"/>
                <w:lang w:val="en-US"/>
              </w:rPr>
              <w:t>)</w:t>
            </w:r>
          </w:p>
        </w:tc>
        <w:tc>
          <w:tcPr>
            <w:tcW w:w="1134" w:type="dxa"/>
          </w:tcPr>
          <w:p w:rsidR="003E2111" w:rsidRDefault="00EF4676" w:rsidP="00D47EF7">
            <w:pPr>
              <w:autoSpaceDE w:val="0"/>
              <w:autoSpaceDN w:val="0"/>
              <w:adjustRightInd w:val="0"/>
              <w:spacing w:before="0" w:line="240" w:lineRule="auto"/>
              <w:ind w:firstLine="0"/>
              <w:jc w:val="center"/>
              <w:rPr>
                <w:color w:val="000000"/>
                <w:sz w:val="20"/>
                <w:lang w:val="en-US"/>
              </w:rPr>
            </w:pPr>
            <w:r>
              <w:rPr>
                <w:color w:val="000000"/>
                <w:sz w:val="20"/>
                <w:lang w:val="en-US"/>
              </w:rPr>
              <w:t>(0.7</w:t>
            </w:r>
            <w:r w:rsidR="00D47EF7">
              <w:rPr>
                <w:color w:val="000000"/>
                <w:sz w:val="20"/>
                <w:lang w:val="en-US"/>
              </w:rPr>
              <w:t>827</w:t>
            </w:r>
            <w:r>
              <w:rPr>
                <w:color w:val="000000"/>
                <w:sz w:val="20"/>
                <w:lang w:val="en-US"/>
              </w:rPr>
              <w:t>)</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5-min realized spread</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-0.0267</w:t>
            </w:r>
            <w:r w:rsidR="007168AF">
              <w:rPr>
                <w:color w:val="000000"/>
                <w:sz w:val="20"/>
                <w:szCs w:val="20"/>
                <w:lang w:val="en-US"/>
              </w:rPr>
              <w:t>***</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-26.23</w:t>
            </w:r>
            <w:r w:rsidR="00507D23">
              <w:rPr>
                <w:color w:val="000000"/>
                <w:sz w:val="20"/>
                <w:szCs w:val="20"/>
                <w:lang w:val="en-US"/>
              </w:rPr>
              <w:t>***</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w:t>
            </w:r>
            <w:r w:rsidR="001056BE">
              <w:rPr>
                <w:color w:val="000000"/>
                <w:sz w:val="20"/>
                <w:szCs w:val="20"/>
                <w:lang w:val="en-US"/>
              </w:rPr>
              <w:t>09</w:t>
            </w:r>
          </w:p>
        </w:tc>
        <w:tc>
          <w:tcPr>
            <w:tcW w:w="1134" w:type="dxa"/>
            <w:vAlign w:val="bottom"/>
          </w:tcPr>
          <w:p w:rsidR="003E2111" w:rsidRDefault="00507D23"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00A40977">
              <w:rPr>
                <w:color w:val="000000"/>
                <w:sz w:val="20"/>
                <w:szCs w:val="20"/>
                <w:lang w:val="en-US"/>
              </w:rPr>
              <w:t>3.94</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-0.015</w:t>
            </w:r>
            <w:r w:rsidR="001F5175">
              <w:rPr>
                <w:color w:val="000000"/>
                <w:sz w:val="20"/>
                <w:szCs w:val="20"/>
                <w:lang w:val="en-US"/>
              </w:rPr>
              <w:t>8</w:t>
            </w:r>
            <w:r>
              <w:rPr>
                <w:color w:val="000000"/>
                <w:sz w:val="20"/>
                <w:szCs w:val="20"/>
                <w:lang w:val="en-US"/>
              </w:rPr>
              <w:t>*</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-22.</w:t>
            </w:r>
            <w:r w:rsidR="00D47EF7">
              <w:rPr>
                <w:color w:val="000000"/>
                <w:sz w:val="20"/>
                <w:szCs w:val="20"/>
                <w:lang w:val="en-US"/>
              </w:rPr>
              <w:t>30</w:t>
            </w:r>
            <w:r w:rsidR="00A95BDE">
              <w:rPr>
                <w:color w:val="000000"/>
                <w:sz w:val="20"/>
                <w:szCs w:val="20"/>
                <w:lang w:val="en-US"/>
              </w:rPr>
              <w:t>***</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216F31"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5" w:type="dxa"/>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4" w:type="dxa"/>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1056BE">
              <w:rPr>
                <w:color w:val="000000"/>
                <w:sz w:val="20"/>
                <w:szCs w:val="20"/>
                <w:lang w:val="en-US"/>
              </w:rPr>
              <w:t>2173</w:t>
            </w:r>
            <w:r>
              <w:rPr>
                <w:color w:val="000000"/>
                <w:sz w:val="20"/>
                <w:szCs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A40977">
              <w:rPr>
                <w:color w:val="000000"/>
                <w:sz w:val="20"/>
                <w:szCs w:val="20"/>
                <w:lang w:val="en-US"/>
              </w:rPr>
              <w:t>2309</w:t>
            </w:r>
            <w:r>
              <w:rPr>
                <w:color w:val="000000"/>
                <w:sz w:val="20"/>
                <w:szCs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(0.09</w:t>
            </w:r>
            <w:r w:rsidR="001F5175">
              <w:rPr>
                <w:color w:val="000000"/>
                <w:sz w:val="20"/>
                <w:szCs w:val="20"/>
                <w:lang w:val="en-US"/>
              </w:rPr>
              <w:t>33</w:t>
            </w:r>
            <w:r>
              <w:rPr>
                <w:color w:val="000000"/>
                <w:sz w:val="20"/>
                <w:szCs w:val="20"/>
                <w:lang w:val="en-US"/>
              </w:rPr>
              <w:t>)</w:t>
            </w:r>
          </w:p>
        </w:tc>
        <w:tc>
          <w:tcPr>
            <w:tcW w:w="1134" w:type="dxa"/>
          </w:tcPr>
          <w:p w:rsidR="003E2111" w:rsidRDefault="00EF467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color w:val="000000"/>
                <w:sz w:val="20"/>
                <w:szCs w:val="20"/>
                <w:lang w:val="en-US"/>
              </w:rPr>
            </w:pPr>
            <w:r w:rsidRPr="00E723C2">
              <w:rPr>
                <w:b/>
                <w:bCs/>
                <w:color w:val="000000"/>
                <w:sz w:val="20"/>
                <w:szCs w:val="20"/>
                <w:lang w:val="en-US"/>
              </w:rPr>
              <w:t>15-min price impact</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-0.0007</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1.43</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w:t>
            </w:r>
            <w:r w:rsidR="001056BE">
              <w:rPr>
                <w:color w:val="000000"/>
                <w:sz w:val="20"/>
                <w:szCs w:val="20"/>
                <w:lang w:val="en-US"/>
              </w:rPr>
              <w:t>90</w:t>
            </w:r>
          </w:p>
        </w:tc>
        <w:tc>
          <w:tcPr>
            <w:tcW w:w="1134" w:type="dxa"/>
            <w:vAlign w:val="bottom"/>
          </w:tcPr>
          <w:p w:rsidR="003E2111" w:rsidRDefault="00507D23"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2.0</w:t>
            </w:r>
            <w:r w:rsidR="00A40977">
              <w:rPr>
                <w:color w:val="000000"/>
                <w:sz w:val="20"/>
                <w:szCs w:val="20"/>
                <w:lang w:val="en-US"/>
              </w:rPr>
              <w:t>3</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-0.009</w:t>
            </w:r>
            <w:r w:rsidR="001F5175">
              <w:rPr>
                <w:color w:val="000000"/>
                <w:sz w:val="20"/>
                <w:szCs w:val="20"/>
                <w:lang w:val="en-US"/>
              </w:rPr>
              <w:t>7</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-0.6</w:t>
            </w:r>
            <w:r w:rsidR="00D47EF7">
              <w:rPr>
                <w:color w:val="000000"/>
                <w:sz w:val="20"/>
                <w:szCs w:val="20"/>
                <w:lang w:val="en-US"/>
              </w:rPr>
              <w:t>0</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216F31"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(0.8366)</w:t>
            </w:r>
          </w:p>
        </w:tc>
        <w:tc>
          <w:tcPr>
            <w:tcW w:w="1135" w:type="dxa"/>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(0.6307)</w:t>
            </w:r>
          </w:p>
        </w:tc>
        <w:tc>
          <w:tcPr>
            <w:tcW w:w="1134" w:type="dxa"/>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(0.3</w:t>
            </w:r>
            <w:r w:rsidR="001056BE">
              <w:rPr>
                <w:color w:val="000000"/>
                <w:sz w:val="20"/>
                <w:szCs w:val="20"/>
                <w:lang w:val="en-US"/>
              </w:rPr>
              <w:t>236</w:t>
            </w:r>
            <w:r>
              <w:rPr>
                <w:color w:val="000000"/>
                <w:sz w:val="20"/>
                <w:szCs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(0.5</w:t>
            </w:r>
            <w:r w:rsidR="00A40977">
              <w:rPr>
                <w:color w:val="000000"/>
                <w:sz w:val="20"/>
                <w:szCs w:val="20"/>
                <w:lang w:val="en-US"/>
              </w:rPr>
              <w:t>208</w:t>
            </w:r>
            <w:r>
              <w:rPr>
                <w:color w:val="000000"/>
                <w:sz w:val="20"/>
                <w:szCs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(0.31</w:t>
            </w:r>
            <w:r w:rsidR="001F5175">
              <w:rPr>
                <w:color w:val="000000"/>
                <w:sz w:val="20"/>
                <w:szCs w:val="20"/>
                <w:lang w:val="en-US"/>
              </w:rPr>
              <w:t>85</w:t>
            </w:r>
            <w:r>
              <w:rPr>
                <w:color w:val="000000"/>
                <w:sz w:val="20"/>
                <w:szCs w:val="20"/>
                <w:lang w:val="en-US"/>
              </w:rPr>
              <w:t>)</w:t>
            </w:r>
          </w:p>
        </w:tc>
        <w:tc>
          <w:tcPr>
            <w:tcW w:w="1134" w:type="dxa"/>
          </w:tcPr>
          <w:p w:rsidR="003E2111" w:rsidRDefault="00EF4676"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(0.8</w:t>
            </w:r>
            <w:r w:rsidR="00D47EF7">
              <w:rPr>
                <w:color w:val="000000"/>
                <w:sz w:val="20"/>
                <w:szCs w:val="20"/>
                <w:lang w:val="en-US"/>
              </w:rPr>
              <w:t>927</w:t>
            </w:r>
            <w:r>
              <w:rPr>
                <w:color w:val="000000"/>
                <w:sz w:val="20"/>
                <w:szCs w:val="20"/>
                <w:lang w:val="en-US"/>
              </w:rPr>
              <w:t>)</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15-min realized spread</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-0.0270</w:t>
            </w:r>
            <w:r w:rsidR="007168AF">
              <w:rPr>
                <w:color w:val="000000"/>
                <w:sz w:val="20"/>
                <w:szCs w:val="20"/>
                <w:lang w:val="en-US"/>
              </w:rPr>
              <w:t>***</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-25.51</w:t>
            </w:r>
            <w:r w:rsidR="00507D23">
              <w:rPr>
                <w:color w:val="000000"/>
                <w:sz w:val="20"/>
                <w:szCs w:val="20"/>
                <w:lang w:val="en-US"/>
              </w:rPr>
              <w:t>***</w:t>
            </w:r>
          </w:p>
        </w:tc>
        <w:tc>
          <w:tcPr>
            <w:tcW w:w="1134" w:type="dxa"/>
            <w:vAlign w:val="bottom"/>
          </w:tcPr>
          <w:p w:rsidR="003E2111" w:rsidRDefault="007168AF"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-0.012</w:t>
            </w:r>
            <w:r w:rsidR="001056BE">
              <w:rPr>
                <w:color w:val="000000"/>
                <w:sz w:val="20"/>
                <w:szCs w:val="20"/>
                <w:lang w:val="en-US"/>
              </w:rPr>
              <w:t>3</w:t>
            </w:r>
          </w:p>
        </w:tc>
        <w:tc>
          <w:tcPr>
            <w:tcW w:w="1134" w:type="dxa"/>
            <w:vAlign w:val="bottom"/>
          </w:tcPr>
          <w:p w:rsidR="003E2111" w:rsidRDefault="00507D23"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00A40977">
              <w:rPr>
                <w:color w:val="000000"/>
                <w:sz w:val="20"/>
                <w:szCs w:val="20"/>
                <w:lang w:val="en-US"/>
              </w:rPr>
              <w:t>3.80</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-0.014</w:t>
            </w:r>
            <w:r w:rsidR="001F5175">
              <w:rPr>
                <w:color w:val="000000"/>
                <w:sz w:val="20"/>
                <w:szCs w:val="20"/>
                <w:lang w:val="en-US"/>
              </w:rPr>
              <w:t>6</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-21.</w:t>
            </w:r>
            <w:r w:rsidR="00D47EF7">
              <w:rPr>
                <w:color w:val="000000"/>
                <w:sz w:val="20"/>
                <w:szCs w:val="20"/>
                <w:lang w:val="en-US"/>
              </w:rPr>
              <w:t>75</w:t>
            </w:r>
            <w:r w:rsidR="00A95BDE">
              <w:rPr>
                <w:color w:val="000000"/>
                <w:sz w:val="20"/>
                <w:szCs w:val="20"/>
                <w:lang w:val="en-US"/>
              </w:rPr>
              <w:t>***</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216F31"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5" w:type="dxa"/>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4" w:type="dxa"/>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w:t>
            </w:r>
            <w:r w:rsidR="001056BE">
              <w:rPr>
                <w:color w:val="000000"/>
                <w:sz w:val="20"/>
                <w:szCs w:val="20"/>
                <w:lang w:val="en-US"/>
              </w:rPr>
              <w:t>454</w:t>
            </w:r>
            <w:r>
              <w:rPr>
                <w:color w:val="000000"/>
                <w:sz w:val="20"/>
                <w:szCs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w:t>
            </w:r>
            <w:r w:rsidR="00A40977">
              <w:rPr>
                <w:color w:val="000000"/>
                <w:sz w:val="20"/>
                <w:szCs w:val="20"/>
                <w:lang w:val="en-US"/>
              </w:rPr>
              <w:t>988</w:t>
            </w:r>
            <w:r>
              <w:rPr>
                <w:color w:val="000000"/>
                <w:sz w:val="20"/>
                <w:szCs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(0.11</w:t>
            </w:r>
            <w:r w:rsidR="001F5175">
              <w:rPr>
                <w:color w:val="000000"/>
                <w:sz w:val="20"/>
                <w:szCs w:val="20"/>
                <w:lang w:val="en-US"/>
              </w:rPr>
              <w:t>4</w:t>
            </w:r>
            <w:r>
              <w:rPr>
                <w:color w:val="000000"/>
                <w:sz w:val="20"/>
                <w:szCs w:val="20"/>
                <w:lang w:val="en-US"/>
              </w:rPr>
              <w:t>1)</w:t>
            </w:r>
          </w:p>
        </w:tc>
        <w:tc>
          <w:tcPr>
            <w:tcW w:w="1134" w:type="dxa"/>
          </w:tcPr>
          <w:p w:rsidR="003E2111" w:rsidRDefault="00EF467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color w:val="000000"/>
                <w:sz w:val="20"/>
                <w:szCs w:val="20"/>
                <w:lang w:val="en-US"/>
              </w:rPr>
            </w:pPr>
            <w:r w:rsidRPr="00E723C2">
              <w:rPr>
                <w:b/>
                <w:bCs/>
                <w:color w:val="000000"/>
                <w:sz w:val="20"/>
                <w:szCs w:val="20"/>
                <w:lang w:val="en-US"/>
              </w:rPr>
              <w:t>30-min price impact</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-0.0007</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3.02</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0.018</w:t>
            </w:r>
            <w:r w:rsidR="001056BE">
              <w:rPr>
                <w:color w:val="000000"/>
                <w:sz w:val="20"/>
                <w:szCs w:val="20"/>
                <w:lang w:val="en-US"/>
              </w:rPr>
              <w:t>1</w:t>
            </w:r>
          </w:p>
        </w:tc>
        <w:tc>
          <w:tcPr>
            <w:tcW w:w="1134" w:type="dxa"/>
            <w:vAlign w:val="bottom"/>
          </w:tcPr>
          <w:p w:rsidR="003E2111" w:rsidRDefault="00507D23"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5.9</w:t>
            </w:r>
            <w:r w:rsidR="00A40977">
              <w:rPr>
                <w:color w:val="000000"/>
                <w:sz w:val="20"/>
                <w:szCs w:val="20"/>
                <w:lang w:val="en-US"/>
              </w:rPr>
              <w:t>0</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-0.017</w:t>
            </w:r>
            <w:r w:rsidR="001F5175">
              <w:rPr>
                <w:color w:val="000000"/>
                <w:sz w:val="20"/>
                <w:szCs w:val="20"/>
                <w:lang w:val="en-US"/>
              </w:rPr>
              <w:t>5</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w:t>
            </w:r>
            <w:r w:rsidR="00D47EF7">
              <w:rPr>
                <w:color w:val="000000"/>
                <w:sz w:val="20"/>
                <w:szCs w:val="20"/>
                <w:lang w:val="en-US"/>
              </w:rPr>
              <w:t>89</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AE6F5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(0.8852)</w:t>
            </w:r>
          </w:p>
        </w:tc>
        <w:tc>
          <w:tcPr>
            <w:tcW w:w="1135" w:type="dxa"/>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(0.4423)</w:t>
            </w:r>
          </w:p>
        </w:tc>
        <w:tc>
          <w:tcPr>
            <w:tcW w:w="1134" w:type="dxa"/>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1056BE">
              <w:rPr>
                <w:color w:val="000000"/>
                <w:sz w:val="20"/>
                <w:szCs w:val="20"/>
                <w:lang w:val="en-US"/>
              </w:rPr>
              <w:t>1016</w:t>
            </w:r>
            <w:r>
              <w:rPr>
                <w:color w:val="000000"/>
                <w:sz w:val="20"/>
                <w:szCs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w:t>
            </w:r>
            <w:r w:rsidR="00A40977">
              <w:rPr>
                <w:color w:val="000000"/>
                <w:sz w:val="20"/>
                <w:szCs w:val="20"/>
                <w:lang w:val="en-US"/>
              </w:rPr>
              <w:t>221</w:t>
            </w:r>
            <w:r>
              <w:rPr>
                <w:color w:val="000000"/>
                <w:sz w:val="20"/>
                <w:szCs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w:t>
            </w:r>
            <w:r w:rsidR="001F5175">
              <w:rPr>
                <w:color w:val="000000"/>
                <w:sz w:val="20"/>
                <w:szCs w:val="20"/>
                <w:lang w:val="en-US"/>
              </w:rPr>
              <w:t>411</w:t>
            </w:r>
            <w:r>
              <w:rPr>
                <w:color w:val="000000"/>
                <w:sz w:val="20"/>
                <w:szCs w:val="20"/>
                <w:lang w:val="en-US"/>
              </w:rPr>
              <w:t>)</w:t>
            </w:r>
          </w:p>
        </w:tc>
        <w:tc>
          <w:tcPr>
            <w:tcW w:w="1134" w:type="dxa"/>
          </w:tcPr>
          <w:p w:rsidR="003E2111" w:rsidRDefault="00EF4676"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(0.5</w:t>
            </w:r>
            <w:r w:rsidR="00D47EF7">
              <w:rPr>
                <w:color w:val="000000"/>
                <w:sz w:val="20"/>
                <w:szCs w:val="20"/>
                <w:lang w:val="en-US"/>
              </w:rPr>
              <w:t>999</w:t>
            </w:r>
            <w:r>
              <w:rPr>
                <w:color w:val="000000"/>
                <w:sz w:val="20"/>
                <w:szCs w:val="20"/>
                <w:lang w:val="en-US"/>
              </w:rPr>
              <w:t>)</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30-min realized spread</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-0.0283</w:t>
            </w:r>
            <w:r w:rsidR="007168AF">
              <w:rPr>
                <w:color w:val="000000"/>
                <w:sz w:val="20"/>
                <w:szCs w:val="20"/>
                <w:lang w:val="en-US"/>
              </w:rPr>
              <w:t>***</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-25.92</w:t>
            </w:r>
            <w:r w:rsidR="00507D23">
              <w:rPr>
                <w:color w:val="000000"/>
                <w:sz w:val="20"/>
                <w:szCs w:val="20"/>
                <w:lang w:val="en-US"/>
              </w:rPr>
              <w:t>***</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-0.021</w:t>
            </w:r>
            <w:r w:rsidR="001056BE">
              <w:rPr>
                <w:color w:val="000000"/>
                <w:sz w:val="20"/>
                <w:szCs w:val="20"/>
                <w:lang w:val="en-US"/>
              </w:rPr>
              <w:t>4</w:t>
            </w:r>
            <w:r>
              <w:rPr>
                <w:color w:val="000000"/>
                <w:sz w:val="20"/>
                <w:szCs w:val="20"/>
                <w:lang w:val="en-US"/>
              </w:rPr>
              <w:t>**</w:t>
            </w:r>
          </w:p>
        </w:tc>
        <w:tc>
          <w:tcPr>
            <w:tcW w:w="1134" w:type="dxa"/>
            <w:vAlign w:val="bottom"/>
          </w:tcPr>
          <w:p w:rsidR="003E2111" w:rsidRDefault="00507D23"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w:t>
            </w:r>
            <w:r w:rsidR="00A40977">
              <w:rPr>
                <w:color w:val="000000"/>
                <w:sz w:val="20"/>
                <w:szCs w:val="20"/>
                <w:lang w:val="en-US"/>
              </w:rPr>
              <w:t>54</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-0.006</w:t>
            </w:r>
            <w:r w:rsidR="001F5175">
              <w:rPr>
                <w:color w:val="000000"/>
                <w:sz w:val="20"/>
                <w:szCs w:val="20"/>
                <w:lang w:val="en-US"/>
              </w:rPr>
              <w:t>9</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-22.</w:t>
            </w:r>
            <w:r w:rsidR="00D47EF7">
              <w:rPr>
                <w:color w:val="000000"/>
                <w:sz w:val="20"/>
                <w:szCs w:val="20"/>
                <w:lang w:val="en-US"/>
              </w:rPr>
              <w:t>38</w:t>
            </w:r>
            <w:r w:rsidR="00A95BDE">
              <w:rPr>
                <w:color w:val="000000"/>
                <w:sz w:val="20"/>
                <w:szCs w:val="20"/>
                <w:lang w:val="en-US"/>
              </w:rPr>
              <w:t>***</w:t>
            </w:r>
          </w:p>
        </w:tc>
      </w:tr>
      <w:tr w:rsidR="003E2111" w:rsidRPr="00E723C2" w:rsidTr="0074308C">
        <w:trPr>
          <w:trHeight w:val="397"/>
        </w:trPr>
        <w:tc>
          <w:tcPr>
            <w:tcW w:w="2724" w:type="dxa"/>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AE6F5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5" w:type="dxa"/>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4" w:type="dxa"/>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w:t>
            </w:r>
            <w:r w:rsidR="001056BE">
              <w:rPr>
                <w:color w:val="000000"/>
                <w:sz w:val="20"/>
                <w:szCs w:val="20"/>
                <w:lang w:val="en-US"/>
              </w:rPr>
              <w:t>68</w:t>
            </w:r>
            <w:r>
              <w:rPr>
                <w:color w:val="000000"/>
                <w:sz w:val="20"/>
                <w:szCs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A40977">
              <w:rPr>
                <w:color w:val="000000"/>
                <w:sz w:val="20"/>
                <w:szCs w:val="20"/>
                <w:lang w:val="en-US"/>
              </w:rPr>
              <w:t>2988</w:t>
            </w:r>
            <w:r>
              <w:rPr>
                <w:color w:val="000000"/>
                <w:sz w:val="20"/>
                <w:szCs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(0.4</w:t>
            </w:r>
            <w:r w:rsidR="001F5175">
              <w:rPr>
                <w:color w:val="000000"/>
                <w:sz w:val="20"/>
                <w:szCs w:val="20"/>
                <w:lang w:val="en-US"/>
              </w:rPr>
              <w:t>833</w:t>
            </w:r>
            <w:r>
              <w:rPr>
                <w:color w:val="000000"/>
                <w:sz w:val="20"/>
                <w:szCs w:val="20"/>
                <w:lang w:val="en-US"/>
              </w:rPr>
              <w:t>)</w:t>
            </w:r>
          </w:p>
        </w:tc>
        <w:tc>
          <w:tcPr>
            <w:tcW w:w="1134" w:type="dxa"/>
          </w:tcPr>
          <w:p w:rsidR="003E2111" w:rsidRDefault="00EF4676"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(0.000</w:t>
            </w:r>
            <w:r w:rsidR="00D47EF7">
              <w:rPr>
                <w:color w:val="000000"/>
                <w:sz w:val="20"/>
                <w:szCs w:val="20"/>
                <w:lang w:val="en-US"/>
              </w:rPr>
              <w:t>4</w:t>
            </w:r>
            <w:r>
              <w:rPr>
                <w:color w:val="000000"/>
                <w:sz w:val="20"/>
                <w:szCs w:val="20"/>
                <w:lang w:val="en-US"/>
              </w:rPr>
              <w:t>)</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b/>
                <w:bCs/>
                <w:color w:val="000000"/>
                <w:sz w:val="20"/>
                <w:szCs w:val="20"/>
                <w:lang w:val="en-US"/>
              </w:rPr>
            </w:pPr>
            <w:r w:rsidRPr="00C0615A">
              <w:rPr>
                <w:b/>
                <w:bCs/>
                <w:color w:val="000000"/>
                <w:sz w:val="20"/>
                <w:szCs w:val="20"/>
                <w:lang w:val="en-US"/>
              </w:rPr>
              <w:t>LSB adverse selection cost</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-0.0035</w:t>
            </w:r>
            <w:r w:rsidR="007168AF">
              <w:rPr>
                <w:color w:val="000000"/>
                <w:sz w:val="20"/>
                <w:szCs w:val="20"/>
                <w:lang w:val="en-US"/>
              </w:rPr>
              <w:t>**</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-6.03</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0.003</w:t>
            </w:r>
            <w:r w:rsidR="001056BE">
              <w:rPr>
                <w:color w:val="000000"/>
                <w:sz w:val="20"/>
                <w:szCs w:val="20"/>
                <w:lang w:val="en-US"/>
              </w:rPr>
              <w:t>5</w:t>
            </w:r>
          </w:p>
        </w:tc>
        <w:tc>
          <w:tcPr>
            <w:tcW w:w="1134" w:type="dxa"/>
            <w:vAlign w:val="bottom"/>
          </w:tcPr>
          <w:p w:rsidR="003E2111" w:rsidRDefault="00507D23"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15.</w:t>
            </w:r>
            <w:r w:rsidR="00A40977">
              <w:rPr>
                <w:color w:val="000000"/>
                <w:sz w:val="20"/>
                <w:szCs w:val="20"/>
                <w:lang w:val="en-US"/>
              </w:rPr>
              <w:t>51</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-0.007</w:t>
            </w:r>
            <w:r w:rsidR="001F5175">
              <w:rPr>
                <w:color w:val="000000"/>
                <w:sz w:val="20"/>
                <w:szCs w:val="20"/>
                <w:lang w:val="en-US"/>
              </w:rPr>
              <w:t>0</w:t>
            </w:r>
            <w:r>
              <w:rPr>
                <w:color w:val="000000"/>
                <w:sz w:val="20"/>
                <w:szCs w:val="20"/>
                <w:lang w:val="en-US"/>
              </w:rPr>
              <w:t>*</w:t>
            </w:r>
          </w:p>
        </w:tc>
        <w:tc>
          <w:tcPr>
            <w:tcW w:w="1134" w:type="dxa"/>
            <w:vAlign w:val="bottom"/>
          </w:tcPr>
          <w:p w:rsidR="003E2111" w:rsidRDefault="00A628B0"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-21.</w:t>
            </w:r>
            <w:r w:rsidR="00D47EF7">
              <w:rPr>
                <w:color w:val="000000"/>
                <w:sz w:val="20"/>
                <w:szCs w:val="20"/>
                <w:lang w:val="en-US"/>
              </w:rPr>
              <w:t>54</w:t>
            </w:r>
            <w:r w:rsidR="00A95BDE">
              <w:rPr>
                <w:color w:val="000000"/>
                <w:sz w:val="20"/>
                <w:szCs w:val="20"/>
                <w:lang w:val="en-US"/>
              </w:rPr>
              <w:t>**</w:t>
            </w:r>
          </w:p>
        </w:tc>
      </w:tr>
      <w:tr w:rsidR="003E2111" w:rsidRPr="00E723C2" w:rsidTr="0074308C">
        <w:trPr>
          <w:trHeight w:val="397"/>
        </w:trPr>
        <w:tc>
          <w:tcPr>
            <w:tcW w:w="2724" w:type="dxa"/>
          </w:tcPr>
          <w:p w:rsidR="003E2111" w:rsidRPr="00C0615A"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Pr>
          <w:p w:rsidR="003E2111" w:rsidRDefault="00AE6F5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(0.0255)</w:t>
            </w:r>
          </w:p>
        </w:tc>
        <w:tc>
          <w:tcPr>
            <w:tcW w:w="1135" w:type="dxa"/>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(0.1760)</w:t>
            </w:r>
          </w:p>
        </w:tc>
        <w:tc>
          <w:tcPr>
            <w:tcW w:w="1134" w:type="dxa"/>
          </w:tcPr>
          <w:p w:rsidR="003E2111" w:rsidRDefault="001056BE"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(0.3068</w:t>
            </w:r>
            <w:r w:rsidR="007168AF">
              <w:rPr>
                <w:color w:val="000000"/>
                <w:sz w:val="20"/>
                <w:szCs w:val="20"/>
                <w:lang w:val="en-US"/>
              </w:rPr>
              <w:t>)</w:t>
            </w:r>
          </w:p>
        </w:tc>
        <w:tc>
          <w:tcPr>
            <w:tcW w:w="1134" w:type="dxa"/>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w:t>
            </w:r>
            <w:r w:rsidR="00A40977">
              <w:rPr>
                <w:color w:val="000000"/>
                <w:sz w:val="20"/>
                <w:szCs w:val="20"/>
                <w:lang w:val="en-US"/>
              </w:rPr>
              <w:t>222</w:t>
            </w:r>
            <w:r>
              <w:rPr>
                <w:color w:val="000000"/>
                <w:sz w:val="20"/>
                <w:szCs w:val="20"/>
                <w:lang w:val="en-US"/>
              </w:rPr>
              <w:t>)</w:t>
            </w:r>
          </w:p>
        </w:tc>
        <w:tc>
          <w:tcPr>
            <w:tcW w:w="1134" w:type="dxa"/>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w:t>
            </w:r>
            <w:r w:rsidR="001F5175">
              <w:rPr>
                <w:color w:val="000000"/>
                <w:sz w:val="20"/>
                <w:szCs w:val="20"/>
                <w:lang w:val="en-US"/>
              </w:rPr>
              <w:t>629</w:t>
            </w:r>
            <w:r>
              <w:rPr>
                <w:color w:val="000000"/>
                <w:sz w:val="20"/>
                <w:szCs w:val="20"/>
                <w:lang w:val="en-US"/>
              </w:rPr>
              <w:t>)</w:t>
            </w:r>
          </w:p>
        </w:tc>
        <w:tc>
          <w:tcPr>
            <w:tcW w:w="1134" w:type="dxa"/>
          </w:tcPr>
          <w:p w:rsidR="003E2111" w:rsidRDefault="00EF4676" w:rsidP="00D47EF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(0.04</w:t>
            </w:r>
            <w:r w:rsidR="00D47EF7">
              <w:rPr>
                <w:color w:val="000000"/>
                <w:sz w:val="20"/>
                <w:szCs w:val="20"/>
                <w:lang w:val="en-US"/>
              </w:rPr>
              <w:t>99</w:t>
            </w:r>
            <w:r>
              <w:rPr>
                <w:color w:val="000000"/>
                <w:sz w:val="20"/>
                <w:szCs w:val="20"/>
                <w:lang w:val="en-US"/>
              </w:rPr>
              <w:t>)</w:t>
            </w:r>
          </w:p>
        </w:tc>
      </w:tr>
      <w:tr w:rsidR="003E2111" w:rsidRPr="00E723C2" w:rsidTr="0074308C">
        <w:trPr>
          <w:trHeight w:val="397"/>
        </w:trPr>
        <w:tc>
          <w:tcPr>
            <w:tcW w:w="2724" w:type="dxa"/>
            <w:vAlign w:val="bottom"/>
          </w:tcPr>
          <w:p w:rsidR="003E2111" w:rsidRDefault="003E2111" w:rsidP="003E2111">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LSB order processing cost</w:t>
            </w:r>
          </w:p>
        </w:tc>
        <w:tc>
          <w:tcPr>
            <w:tcW w:w="1276" w:type="dxa"/>
            <w:vAlign w:val="bottom"/>
          </w:tcPr>
          <w:p w:rsidR="003E2111" w:rsidRDefault="00130CE7"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-0.0144</w:t>
            </w:r>
            <w:r w:rsidR="007168AF">
              <w:rPr>
                <w:color w:val="000000"/>
                <w:sz w:val="20"/>
                <w:szCs w:val="20"/>
                <w:lang w:val="en-US"/>
              </w:rPr>
              <w:t>***</w:t>
            </w:r>
          </w:p>
        </w:tc>
        <w:tc>
          <w:tcPr>
            <w:tcW w:w="1135" w:type="dxa"/>
            <w:vAlign w:val="bottom"/>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-16.72</w:t>
            </w:r>
            <w:r w:rsidR="00507D23">
              <w:rPr>
                <w:color w:val="000000"/>
                <w:sz w:val="20"/>
                <w:szCs w:val="20"/>
                <w:lang w:val="en-US"/>
              </w:rPr>
              <w:t>***</w:t>
            </w:r>
          </w:p>
        </w:tc>
        <w:tc>
          <w:tcPr>
            <w:tcW w:w="1134" w:type="dxa"/>
            <w:vAlign w:val="bottom"/>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-0.002</w:t>
            </w:r>
            <w:r w:rsidR="001056BE">
              <w:rPr>
                <w:color w:val="000000"/>
                <w:sz w:val="20"/>
                <w:szCs w:val="20"/>
                <w:lang w:val="en-US"/>
              </w:rPr>
              <w:t>1</w:t>
            </w:r>
          </w:p>
        </w:tc>
        <w:tc>
          <w:tcPr>
            <w:tcW w:w="1134" w:type="dxa"/>
            <w:vAlign w:val="bottom"/>
          </w:tcPr>
          <w:p w:rsidR="003E2111" w:rsidRDefault="00507D23"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1.69</w:t>
            </w:r>
          </w:p>
        </w:tc>
        <w:tc>
          <w:tcPr>
            <w:tcW w:w="1134" w:type="dxa"/>
            <w:vAlign w:val="bottom"/>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-0.012</w:t>
            </w:r>
            <w:r w:rsidR="001F5175">
              <w:rPr>
                <w:color w:val="000000"/>
                <w:sz w:val="20"/>
                <w:szCs w:val="20"/>
                <w:lang w:val="en-US"/>
              </w:rPr>
              <w:t>3</w:t>
            </w:r>
            <w:r>
              <w:rPr>
                <w:color w:val="000000"/>
                <w:sz w:val="20"/>
                <w:szCs w:val="20"/>
                <w:lang w:val="en-US"/>
              </w:rPr>
              <w:t>**</w:t>
            </w:r>
          </w:p>
        </w:tc>
        <w:tc>
          <w:tcPr>
            <w:tcW w:w="1134" w:type="dxa"/>
            <w:vAlign w:val="bottom"/>
          </w:tcPr>
          <w:p w:rsidR="003E2111" w:rsidRDefault="00A628B0"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-18.41</w:t>
            </w:r>
            <w:r w:rsidR="00A95BDE">
              <w:rPr>
                <w:color w:val="000000"/>
                <w:sz w:val="20"/>
                <w:szCs w:val="20"/>
                <w:lang w:val="en-US"/>
              </w:rPr>
              <w:t>***</w:t>
            </w:r>
          </w:p>
        </w:tc>
      </w:tr>
      <w:tr w:rsidR="003E2111" w:rsidRPr="00E723C2" w:rsidTr="0074308C">
        <w:trPr>
          <w:trHeight w:val="397"/>
        </w:trPr>
        <w:tc>
          <w:tcPr>
            <w:tcW w:w="2724" w:type="dxa"/>
            <w:tcBorders>
              <w:bottom w:val="single" w:sz="12" w:space="0" w:color="auto"/>
            </w:tcBorders>
          </w:tcPr>
          <w:p w:rsidR="003E2111" w:rsidRPr="00E723C2" w:rsidRDefault="003E2111" w:rsidP="003E2111">
            <w:pPr>
              <w:autoSpaceDE w:val="0"/>
              <w:autoSpaceDN w:val="0"/>
              <w:adjustRightInd w:val="0"/>
              <w:spacing w:before="0" w:line="240" w:lineRule="auto"/>
              <w:ind w:firstLine="0"/>
              <w:jc w:val="left"/>
              <w:rPr>
                <w:b/>
                <w:bCs/>
                <w:color w:val="000000"/>
                <w:sz w:val="20"/>
                <w:szCs w:val="20"/>
                <w:lang w:val="en-US"/>
              </w:rPr>
            </w:pPr>
          </w:p>
        </w:tc>
        <w:tc>
          <w:tcPr>
            <w:tcW w:w="1276" w:type="dxa"/>
            <w:tcBorders>
              <w:bottom w:val="single" w:sz="12" w:space="0" w:color="auto"/>
            </w:tcBorders>
          </w:tcPr>
          <w:p w:rsidR="003E2111" w:rsidRDefault="00AE6F5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(&lt;0.0001)</w:t>
            </w:r>
          </w:p>
        </w:tc>
        <w:tc>
          <w:tcPr>
            <w:tcW w:w="1135" w:type="dxa"/>
            <w:tcBorders>
              <w:bottom w:val="single" w:sz="12" w:space="0" w:color="auto"/>
            </w:tcBorders>
          </w:tcPr>
          <w:p w:rsidR="003E2111" w:rsidRDefault="007142FC"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(0.0005)</w:t>
            </w:r>
          </w:p>
        </w:tc>
        <w:tc>
          <w:tcPr>
            <w:tcW w:w="1134" w:type="dxa"/>
            <w:tcBorders>
              <w:bottom w:val="single" w:sz="12" w:space="0" w:color="auto"/>
            </w:tcBorders>
          </w:tcPr>
          <w:p w:rsidR="003E2111" w:rsidRDefault="007168AF" w:rsidP="001056BE">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(0.6</w:t>
            </w:r>
            <w:r w:rsidR="001056BE">
              <w:rPr>
                <w:color w:val="000000"/>
                <w:sz w:val="20"/>
                <w:szCs w:val="20"/>
                <w:lang w:val="en-US"/>
              </w:rPr>
              <w:t>563</w:t>
            </w:r>
            <w:r>
              <w:rPr>
                <w:color w:val="000000"/>
                <w:sz w:val="20"/>
                <w:szCs w:val="20"/>
                <w:lang w:val="en-US"/>
              </w:rPr>
              <w:t>)</w:t>
            </w:r>
          </w:p>
        </w:tc>
        <w:tc>
          <w:tcPr>
            <w:tcW w:w="1134" w:type="dxa"/>
            <w:tcBorders>
              <w:bottom w:val="single" w:sz="12" w:space="0" w:color="auto"/>
            </w:tcBorders>
          </w:tcPr>
          <w:p w:rsidR="003E2111" w:rsidRDefault="000C0341" w:rsidP="00A40977">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(0.6</w:t>
            </w:r>
            <w:r w:rsidR="00A40977">
              <w:rPr>
                <w:color w:val="000000"/>
                <w:sz w:val="20"/>
                <w:szCs w:val="20"/>
                <w:lang w:val="en-US"/>
              </w:rPr>
              <w:t>424</w:t>
            </w:r>
            <w:r>
              <w:rPr>
                <w:color w:val="000000"/>
                <w:sz w:val="20"/>
                <w:szCs w:val="20"/>
                <w:lang w:val="en-US"/>
              </w:rPr>
              <w:t>)</w:t>
            </w:r>
          </w:p>
        </w:tc>
        <w:tc>
          <w:tcPr>
            <w:tcW w:w="1134" w:type="dxa"/>
            <w:tcBorders>
              <w:bottom w:val="single" w:sz="12" w:space="0" w:color="auto"/>
            </w:tcBorders>
          </w:tcPr>
          <w:p w:rsidR="003E2111" w:rsidRDefault="00F0635A" w:rsidP="001F5175">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w:t>
            </w:r>
            <w:r w:rsidR="001F5175">
              <w:rPr>
                <w:color w:val="000000"/>
                <w:sz w:val="20"/>
                <w:szCs w:val="20"/>
                <w:lang w:val="en-US"/>
              </w:rPr>
              <w:t>49</w:t>
            </w:r>
            <w:r>
              <w:rPr>
                <w:color w:val="000000"/>
                <w:sz w:val="20"/>
                <w:szCs w:val="20"/>
                <w:lang w:val="en-US"/>
              </w:rPr>
              <w:t>)</w:t>
            </w:r>
          </w:p>
        </w:tc>
        <w:tc>
          <w:tcPr>
            <w:tcW w:w="1134" w:type="dxa"/>
            <w:tcBorders>
              <w:bottom w:val="single" w:sz="12" w:space="0" w:color="auto"/>
            </w:tcBorders>
          </w:tcPr>
          <w:p w:rsidR="003E2111" w:rsidRDefault="00EF4676" w:rsidP="008F2382">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(0.0016)</w:t>
            </w:r>
          </w:p>
        </w:tc>
      </w:tr>
    </w:tbl>
    <w:p w:rsidR="00D11634" w:rsidRDefault="00D11634" w:rsidP="0074308C">
      <w:pPr>
        <w:pStyle w:val="Notetable"/>
        <w:ind w:right="565"/>
        <w:rPr>
          <w:lang w:val="en-US"/>
        </w:rPr>
      </w:pPr>
      <w:r w:rsidRPr="00D11634">
        <w:rPr>
          <w:i/>
          <w:lang w:val="en-US"/>
        </w:rPr>
        <w:t>Note:</w:t>
      </w:r>
      <w:r>
        <w:rPr>
          <w:lang w:val="en-US"/>
        </w:rPr>
        <w:t xml:space="preserve"> </w:t>
      </w:r>
      <w:r w:rsidR="00C0615A" w:rsidRPr="00C0615A">
        <w:rPr>
          <w:lang w:val="en-US"/>
        </w:rPr>
        <w:t>For</w:t>
      </w:r>
      <w:r>
        <w:rPr>
          <w:lang w:val="en-US"/>
        </w:rPr>
        <w:t xml:space="preserve"> the</w:t>
      </w:r>
      <w:r w:rsidR="00C0615A" w:rsidRPr="00C0615A">
        <w:rPr>
          <w:lang w:val="en-US"/>
        </w:rPr>
        <w:t xml:space="preserve"> order imbalance and spread component measures</w:t>
      </w:r>
      <w:proofErr w:type="gramStart"/>
      <w:r w:rsidR="00C0615A" w:rsidRPr="00C0615A">
        <w:rPr>
          <w:lang w:val="en-US"/>
        </w:rPr>
        <w:t xml:space="preserve">, </w:t>
      </w:r>
      <w:r w:rsidR="009B6584" w:rsidRPr="00C36EF8">
        <w:rPr>
          <w:lang w:val="en-US"/>
        </w:rPr>
        <w:t xml:space="preserve"> the</w:t>
      </w:r>
      <w:proofErr w:type="gramEnd"/>
      <w:r w:rsidR="009B6584" w:rsidRPr="00C36EF8">
        <w:rPr>
          <w:lang w:val="en-US"/>
        </w:rPr>
        <w:t xml:space="preserve"> </w:t>
      </w:r>
      <w:r w:rsidR="009B6584">
        <w:rPr>
          <w:lang w:val="en-US"/>
        </w:rPr>
        <w:t xml:space="preserve">absolute </w:t>
      </w:r>
      <w:r w:rsidR="009B6584" w:rsidRPr="00C36EF8">
        <w:rPr>
          <w:lang w:val="en-US"/>
        </w:rPr>
        <w:t xml:space="preserve">mean </w:t>
      </w:r>
      <w:r w:rsidR="009B6584">
        <w:rPr>
          <w:lang w:val="en-US"/>
        </w:rPr>
        <w:t>variation and the percentage mean variation are computed</w:t>
      </w:r>
      <w:r w:rsidR="009B6584" w:rsidRPr="00C36EF8">
        <w:rPr>
          <w:lang w:val="en-US"/>
        </w:rPr>
        <w:t xml:space="preserve"> for the CAC 40 </w:t>
      </w:r>
      <w:r w:rsidR="009B6584">
        <w:rPr>
          <w:lang w:val="en-US"/>
        </w:rPr>
        <w:t>and</w:t>
      </w:r>
      <w:r w:rsidR="009B6584" w:rsidRPr="00C36EF8">
        <w:rPr>
          <w:lang w:val="en-US"/>
        </w:rPr>
        <w:t xml:space="preserve"> the control </w:t>
      </w:r>
      <w:r w:rsidR="009B6584">
        <w:rPr>
          <w:lang w:val="en-US"/>
        </w:rPr>
        <w:t>samples</w:t>
      </w:r>
      <w:r w:rsidR="009B6584" w:rsidRPr="00C36EF8">
        <w:rPr>
          <w:lang w:val="en-US"/>
        </w:rPr>
        <w:t xml:space="preserve"> </w:t>
      </w:r>
      <w:r w:rsidR="009B6584">
        <w:rPr>
          <w:lang w:val="en-US"/>
        </w:rPr>
        <w:t xml:space="preserve">as </w:t>
      </w:r>
      <w:r w:rsidR="009B6584" w:rsidRPr="00C36EF8">
        <w:rPr>
          <w:lang w:val="en-US"/>
        </w:rPr>
        <w:t xml:space="preserve"> the equally-weighted cross-sectional mean </w:t>
      </w:r>
      <w:r w:rsidR="009B6584">
        <w:rPr>
          <w:lang w:val="en-US"/>
        </w:rPr>
        <w:t xml:space="preserve">difference between the two </w:t>
      </w:r>
      <w:r w:rsidR="009B6584" w:rsidRPr="00C36EF8">
        <w:rPr>
          <w:lang w:val="en-US"/>
        </w:rPr>
        <w:t>60-</w:t>
      </w:r>
      <w:r w:rsidR="009B6584">
        <w:rPr>
          <w:lang w:val="en-US"/>
        </w:rPr>
        <w:t>trading-d</w:t>
      </w:r>
      <w:r w:rsidR="009B6584" w:rsidRPr="00C0615A">
        <w:rPr>
          <w:lang w:val="en-US"/>
        </w:rPr>
        <w:t>ay</w:t>
      </w:r>
      <w:r w:rsidR="009B6584" w:rsidRPr="00C36EF8">
        <w:rPr>
          <w:lang w:val="en-US"/>
        </w:rPr>
        <w:t xml:space="preserve"> period</w:t>
      </w:r>
      <w:r w:rsidR="009B6584">
        <w:rPr>
          <w:lang w:val="en-US"/>
        </w:rPr>
        <w:t>s</w:t>
      </w:r>
      <w:r w:rsidR="009B6584" w:rsidRPr="00C36EF8">
        <w:rPr>
          <w:lang w:val="en-US"/>
        </w:rPr>
        <w:t xml:space="preserve"> surrounding the ETF inception on January 22, 2001.  The statistical test is a paired </w:t>
      </w:r>
      <w:r w:rsidR="009B6584" w:rsidRPr="00D90961">
        <w:rPr>
          <w:i/>
          <w:lang w:val="en-US"/>
        </w:rPr>
        <w:t>t</w:t>
      </w:r>
      <w:r w:rsidR="009B6584" w:rsidRPr="00C36EF8">
        <w:rPr>
          <w:lang w:val="en-US"/>
        </w:rPr>
        <w:t xml:space="preserve">-test on the mean difference. </w:t>
      </w:r>
      <w:r w:rsidR="009B6584">
        <w:rPr>
          <w:lang w:val="en-US"/>
        </w:rPr>
        <w:t xml:space="preserve"> </w:t>
      </w:r>
      <w:bookmarkStart w:id="3" w:name="OLE_LINK1"/>
      <w:bookmarkStart w:id="4" w:name="OLE_LINK2"/>
      <w:r w:rsidR="009B6584">
        <w:rPr>
          <w:lang w:val="en-US"/>
        </w:rPr>
        <w:t xml:space="preserve">The </w:t>
      </w:r>
      <w:r w:rsidR="009B6584" w:rsidRPr="00A31E17">
        <w:rPr>
          <w:i/>
          <w:lang w:val="en-US"/>
        </w:rPr>
        <w:t>p</w:t>
      </w:r>
      <w:r w:rsidR="009B6584">
        <w:rPr>
          <w:lang w:val="en-US"/>
        </w:rPr>
        <w:t>-values are reported in the table under parenthesis</w:t>
      </w:r>
      <w:bookmarkEnd w:id="3"/>
      <w:bookmarkEnd w:id="4"/>
      <w:r w:rsidR="009B6584">
        <w:rPr>
          <w:lang w:val="en-US"/>
        </w:rPr>
        <w:t>.</w:t>
      </w:r>
      <w:r w:rsidR="00C0615A" w:rsidRPr="00C0615A">
        <w:rPr>
          <w:lang w:val="en-US"/>
        </w:rPr>
        <w:t xml:space="preserve"> </w:t>
      </w:r>
      <w:r w:rsidR="00B5603C">
        <w:rPr>
          <w:lang w:val="en-US"/>
        </w:rPr>
        <w:t xml:space="preserve"> </w:t>
      </w:r>
      <w:r w:rsidR="004B1964">
        <w:rPr>
          <w:lang w:val="en-US"/>
        </w:rPr>
        <w:t xml:space="preserve">Spread measures are expressed in percentage of the mid-price and the order imbalance is in percentage of total trading volumes.  </w:t>
      </w:r>
      <w:r>
        <w:rPr>
          <w:lang w:val="en-US"/>
        </w:rPr>
        <w:t>A</w:t>
      </w:r>
      <w:r w:rsidR="00C0615A" w:rsidRPr="00C0615A">
        <w:rPr>
          <w:lang w:val="en-US"/>
        </w:rPr>
        <w:t xml:space="preserve">n independent group </w:t>
      </w:r>
      <w:r w:rsidR="00C0615A" w:rsidRPr="00DA34B7">
        <w:rPr>
          <w:i/>
          <w:lang w:val="en-US"/>
        </w:rPr>
        <w:t>t</w:t>
      </w:r>
      <w:r w:rsidR="00C0615A" w:rsidRPr="00C0615A">
        <w:rPr>
          <w:lang w:val="en-US"/>
        </w:rPr>
        <w:t>-test on the cross-sectional mean difference between CAC</w:t>
      </w:r>
      <w:r>
        <w:rPr>
          <w:lang w:val="en-US"/>
        </w:rPr>
        <w:t xml:space="preserve"> </w:t>
      </w:r>
      <w:r w:rsidR="00C0615A" w:rsidRPr="00C0615A">
        <w:rPr>
          <w:lang w:val="en-US"/>
        </w:rPr>
        <w:t xml:space="preserve">40 and control stocks, based on the </w:t>
      </w:r>
      <w:r w:rsidR="009B6584">
        <w:rPr>
          <w:lang w:val="en-US"/>
        </w:rPr>
        <w:t>absolute variation and the percentage variation</w:t>
      </w:r>
      <w:r w:rsidR="00C0615A" w:rsidRPr="00C0615A">
        <w:rPr>
          <w:lang w:val="en-US"/>
        </w:rPr>
        <w:t xml:space="preserve"> between the two 60-day periods</w:t>
      </w:r>
      <w:r>
        <w:rPr>
          <w:lang w:val="en-US"/>
        </w:rPr>
        <w:t xml:space="preserve">, is used for </w:t>
      </w:r>
      <w:r w:rsidR="00C0615A" w:rsidRPr="00C0615A">
        <w:rPr>
          <w:lang w:val="en-US"/>
        </w:rPr>
        <w:t>the difference-in-difference</w:t>
      </w:r>
      <w:r>
        <w:rPr>
          <w:lang w:val="en-US"/>
        </w:rPr>
        <w:t>s</w:t>
      </w:r>
      <w:r w:rsidR="00C0615A" w:rsidRPr="00C0615A">
        <w:rPr>
          <w:lang w:val="en-US"/>
        </w:rPr>
        <w:t xml:space="preserve"> </w:t>
      </w:r>
      <w:r>
        <w:rPr>
          <w:lang w:val="en-US"/>
        </w:rPr>
        <w:t>test</w:t>
      </w:r>
      <w:r w:rsidR="00C0615A" w:rsidRPr="00C0615A">
        <w:rPr>
          <w:lang w:val="en-US"/>
        </w:rPr>
        <w:t xml:space="preserve">. The sizes of the CAC 40 and control </w:t>
      </w:r>
      <w:r w:rsidR="00E8233C">
        <w:rPr>
          <w:lang w:val="en-US"/>
        </w:rPr>
        <w:t>sample</w:t>
      </w:r>
      <w:r>
        <w:rPr>
          <w:lang w:val="en-US"/>
        </w:rPr>
        <w:t xml:space="preserve">s </w:t>
      </w:r>
      <w:r w:rsidR="00C0615A" w:rsidRPr="00C0615A">
        <w:rPr>
          <w:lang w:val="en-US"/>
        </w:rPr>
        <w:t xml:space="preserve">are 37 and </w:t>
      </w:r>
      <w:r w:rsidR="009B6584">
        <w:rPr>
          <w:lang w:val="en-US"/>
        </w:rPr>
        <w:t>49</w:t>
      </w:r>
      <w:r w:rsidR="00C0615A" w:rsidRPr="00C0615A">
        <w:rPr>
          <w:lang w:val="en-US"/>
        </w:rPr>
        <w:t xml:space="preserve"> respectively. </w:t>
      </w:r>
      <w:r>
        <w:rPr>
          <w:lang w:val="en-US"/>
        </w:rPr>
        <w:t>One, two and three asterisks (</w:t>
      </w:r>
      <w:r w:rsidR="00C0615A" w:rsidRPr="00C0615A">
        <w:rPr>
          <w:lang w:val="en-US"/>
        </w:rPr>
        <w:t>*,</w:t>
      </w:r>
      <w:r>
        <w:rPr>
          <w:lang w:val="en-US"/>
        </w:rPr>
        <w:t xml:space="preserve"> </w:t>
      </w:r>
      <w:r w:rsidR="00C0615A" w:rsidRPr="00C0615A">
        <w:rPr>
          <w:lang w:val="en-US"/>
        </w:rPr>
        <w:t>**,</w:t>
      </w:r>
      <w:r>
        <w:rPr>
          <w:lang w:val="en-US"/>
        </w:rPr>
        <w:t xml:space="preserve"> and </w:t>
      </w:r>
      <w:r w:rsidR="00C0615A" w:rsidRPr="00C0615A">
        <w:rPr>
          <w:lang w:val="en-US"/>
        </w:rPr>
        <w:t>***</w:t>
      </w:r>
      <w:r>
        <w:rPr>
          <w:lang w:val="en-US"/>
        </w:rPr>
        <w:t>)</w:t>
      </w:r>
      <w:r w:rsidR="00C0615A" w:rsidRPr="00C0615A">
        <w:rPr>
          <w:lang w:val="en-US"/>
        </w:rPr>
        <w:t xml:space="preserve"> indicate statistical significance at the 10%, 5%, and 1% levels, respectively. </w:t>
      </w:r>
    </w:p>
    <w:p w:rsidR="00FE5D7B" w:rsidRDefault="004E68AA">
      <w:pPr>
        <w:pStyle w:val="Numerotable"/>
        <w:rPr>
          <w:lang w:val="en-US"/>
        </w:rPr>
      </w:pPr>
      <w:r w:rsidRPr="00E723C2">
        <w:rPr>
          <w:lang w:val="en-US"/>
        </w:rPr>
        <w:lastRenderedPageBreak/>
        <w:t>Table 4</w:t>
      </w:r>
    </w:p>
    <w:p w:rsidR="00FE5D7B" w:rsidRDefault="00E36261" w:rsidP="00E47379">
      <w:pPr>
        <w:pStyle w:val="Titretable"/>
        <w:ind w:right="-1278"/>
        <w:rPr>
          <w:lang w:val="en-US"/>
        </w:rPr>
      </w:pPr>
      <w:r>
        <w:rPr>
          <w:lang w:val="en-US"/>
        </w:rPr>
        <w:t xml:space="preserve">A </w:t>
      </w:r>
      <w:r w:rsidR="00687845">
        <w:rPr>
          <w:lang w:val="en-US"/>
        </w:rPr>
        <w:t xml:space="preserve">comparison of </w:t>
      </w:r>
      <w:r>
        <w:rPr>
          <w:lang w:val="en-US"/>
        </w:rPr>
        <w:t xml:space="preserve">the </w:t>
      </w:r>
      <w:r w:rsidR="00687845">
        <w:rPr>
          <w:lang w:val="en-US"/>
        </w:rPr>
        <w:t>variance ratios</w:t>
      </w:r>
      <w:r>
        <w:rPr>
          <w:lang w:val="en-US"/>
        </w:rPr>
        <w:t xml:space="preserve"> </w:t>
      </w:r>
      <w:r w:rsidR="0040338C">
        <w:rPr>
          <w:lang w:val="en-US"/>
        </w:rPr>
        <w:t xml:space="preserve">of the returns </w:t>
      </w:r>
      <w:r>
        <w:rPr>
          <w:lang w:val="en-US"/>
        </w:rPr>
        <w:t>before and after the introduction of the ETF</w:t>
      </w:r>
    </w:p>
    <w:tbl>
      <w:tblPr>
        <w:tblW w:w="10452" w:type="dxa"/>
        <w:tblInd w:w="40" w:type="dxa"/>
        <w:tblLayout w:type="fixed"/>
        <w:tblCellMar>
          <w:left w:w="70" w:type="dxa"/>
          <w:right w:w="70" w:type="dxa"/>
        </w:tblCellMar>
        <w:tblLook w:val="0000" w:firstRow="0" w:lastRow="0" w:firstColumn="0" w:lastColumn="0" w:noHBand="0" w:noVBand="0"/>
      </w:tblPr>
      <w:tblGrid>
        <w:gridCol w:w="3574"/>
        <w:gridCol w:w="1207"/>
        <w:gridCol w:w="1135"/>
        <w:gridCol w:w="1134"/>
        <w:gridCol w:w="1134"/>
        <w:gridCol w:w="1134"/>
        <w:gridCol w:w="1134"/>
      </w:tblGrid>
      <w:tr w:rsidR="0074308C" w:rsidRPr="00E723C2" w:rsidTr="0074308C">
        <w:trPr>
          <w:trHeight w:val="362"/>
        </w:trPr>
        <w:tc>
          <w:tcPr>
            <w:tcW w:w="3574" w:type="dxa"/>
            <w:tcBorders>
              <w:top w:val="single" w:sz="12" w:space="0" w:color="auto"/>
            </w:tcBorders>
            <w:vAlign w:val="center"/>
          </w:tcPr>
          <w:p w:rsidR="0074308C" w:rsidRDefault="0074308C">
            <w:pPr>
              <w:autoSpaceDE w:val="0"/>
              <w:autoSpaceDN w:val="0"/>
              <w:adjustRightInd w:val="0"/>
              <w:spacing w:before="0" w:line="240" w:lineRule="auto"/>
              <w:ind w:firstLine="0"/>
              <w:jc w:val="right"/>
              <w:rPr>
                <w:rFonts w:ascii="Arial" w:hAnsi="Arial" w:cs="Arial"/>
                <w:color w:val="000000"/>
                <w:sz w:val="20"/>
                <w:szCs w:val="20"/>
                <w:lang w:val="en-US"/>
              </w:rPr>
            </w:pPr>
          </w:p>
        </w:tc>
        <w:tc>
          <w:tcPr>
            <w:tcW w:w="2342" w:type="dxa"/>
            <w:gridSpan w:val="2"/>
            <w:tcBorders>
              <w:top w:val="single" w:sz="12" w:space="0" w:color="auto"/>
              <w:bottom w:val="single" w:sz="6" w:space="0" w:color="auto"/>
            </w:tcBorders>
            <w:vAlign w:val="center"/>
          </w:tcPr>
          <w:p w:rsidR="0074308C" w:rsidRDefault="0074308C" w:rsidP="00E8233C">
            <w:pPr>
              <w:autoSpaceDE w:val="0"/>
              <w:autoSpaceDN w:val="0"/>
              <w:adjustRightInd w:val="0"/>
              <w:spacing w:before="0" w:line="240" w:lineRule="auto"/>
              <w:ind w:firstLine="0"/>
              <w:jc w:val="center"/>
              <w:rPr>
                <w:rFonts w:ascii="Arial" w:hAnsi="Arial" w:cs="Arial"/>
                <w:color w:val="000000"/>
                <w:sz w:val="20"/>
                <w:szCs w:val="20"/>
                <w:lang w:val="en-US"/>
              </w:rPr>
            </w:pPr>
            <w:r w:rsidRPr="00687845">
              <w:rPr>
                <w:b/>
                <w:bCs/>
                <w:color w:val="000000"/>
                <w:sz w:val="20"/>
                <w:szCs w:val="20"/>
                <w:lang w:val="en-US"/>
              </w:rPr>
              <w:t xml:space="preserve">CAC 40 </w:t>
            </w:r>
            <w:r>
              <w:rPr>
                <w:b/>
                <w:bCs/>
                <w:color w:val="000000"/>
                <w:sz w:val="20"/>
                <w:szCs w:val="20"/>
                <w:lang w:val="en-US"/>
              </w:rPr>
              <w:t>sample</w:t>
            </w:r>
            <w:r w:rsidRPr="00687845">
              <w:rPr>
                <w:b/>
                <w:bCs/>
                <w:color w:val="000000"/>
                <w:sz w:val="20"/>
                <w:szCs w:val="20"/>
                <w:lang w:val="en-US"/>
              </w:rPr>
              <w:t xml:space="preserve"> </w:t>
            </w:r>
          </w:p>
        </w:tc>
        <w:tc>
          <w:tcPr>
            <w:tcW w:w="2268" w:type="dxa"/>
            <w:gridSpan w:val="2"/>
            <w:tcBorders>
              <w:top w:val="single" w:sz="12" w:space="0" w:color="auto"/>
              <w:bottom w:val="single" w:sz="6" w:space="0" w:color="auto"/>
            </w:tcBorders>
            <w:vAlign w:val="center"/>
          </w:tcPr>
          <w:p w:rsidR="0074308C" w:rsidRDefault="0074308C" w:rsidP="00E8233C">
            <w:pPr>
              <w:autoSpaceDE w:val="0"/>
              <w:autoSpaceDN w:val="0"/>
              <w:adjustRightInd w:val="0"/>
              <w:spacing w:before="0" w:line="240" w:lineRule="auto"/>
              <w:ind w:firstLine="0"/>
              <w:jc w:val="center"/>
              <w:rPr>
                <w:rFonts w:ascii="Arial" w:hAnsi="Arial" w:cs="Arial"/>
                <w:color w:val="000000"/>
                <w:sz w:val="20"/>
                <w:szCs w:val="20"/>
                <w:lang w:val="en-US"/>
              </w:rPr>
            </w:pPr>
            <w:r w:rsidRPr="00687845">
              <w:rPr>
                <w:b/>
                <w:bCs/>
                <w:color w:val="000000"/>
                <w:sz w:val="20"/>
                <w:szCs w:val="20"/>
                <w:lang w:val="en-US"/>
              </w:rPr>
              <w:t xml:space="preserve">Control </w:t>
            </w:r>
            <w:r>
              <w:rPr>
                <w:b/>
                <w:bCs/>
                <w:color w:val="000000"/>
                <w:sz w:val="20"/>
                <w:szCs w:val="20"/>
                <w:lang w:val="en-US"/>
              </w:rPr>
              <w:t>sample</w:t>
            </w:r>
          </w:p>
        </w:tc>
        <w:tc>
          <w:tcPr>
            <w:tcW w:w="2268" w:type="dxa"/>
            <w:gridSpan w:val="2"/>
            <w:tcBorders>
              <w:top w:val="single" w:sz="12" w:space="0" w:color="auto"/>
              <w:bottom w:val="single" w:sz="6" w:space="0" w:color="auto"/>
            </w:tcBorders>
            <w:vAlign w:val="center"/>
          </w:tcPr>
          <w:p w:rsidR="0074308C" w:rsidRDefault="0074308C" w:rsidP="006C0678">
            <w:pPr>
              <w:autoSpaceDE w:val="0"/>
              <w:autoSpaceDN w:val="0"/>
              <w:adjustRightInd w:val="0"/>
              <w:spacing w:before="0" w:line="240" w:lineRule="auto"/>
              <w:ind w:firstLine="0"/>
              <w:jc w:val="center"/>
              <w:rPr>
                <w:rFonts w:ascii="Arial" w:hAnsi="Arial" w:cs="Arial"/>
                <w:color w:val="000000"/>
                <w:sz w:val="20"/>
                <w:szCs w:val="20"/>
                <w:lang w:val="en-US"/>
              </w:rPr>
            </w:pPr>
            <w:r w:rsidRPr="00E723C2">
              <w:rPr>
                <w:b/>
                <w:bCs/>
                <w:color w:val="000000"/>
                <w:sz w:val="20"/>
                <w:szCs w:val="20"/>
                <w:lang w:val="en-US"/>
              </w:rPr>
              <w:t xml:space="preserve">Difference in </w:t>
            </w:r>
            <w:r>
              <w:rPr>
                <w:b/>
                <w:bCs/>
                <w:color w:val="000000"/>
                <w:sz w:val="20"/>
                <w:szCs w:val="20"/>
                <w:lang w:val="en-US"/>
              </w:rPr>
              <w:t>differences</w:t>
            </w:r>
          </w:p>
        </w:tc>
      </w:tr>
      <w:tr w:rsidR="00B56D64" w:rsidRPr="00E723C2" w:rsidTr="00B56D64">
        <w:trPr>
          <w:trHeight w:val="523"/>
        </w:trPr>
        <w:tc>
          <w:tcPr>
            <w:tcW w:w="3574" w:type="dxa"/>
            <w:tcBorders>
              <w:bottom w:val="single" w:sz="12" w:space="0" w:color="auto"/>
            </w:tcBorders>
            <w:vAlign w:val="center"/>
          </w:tcPr>
          <w:p w:rsidR="00B56D64" w:rsidRDefault="00B56D64">
            <w:pPr>
              <w:autoSpaceDE w:val="0"/>
              <w:autoSpaceDN w:val="0"/>
              <w:adjustRightInd w:val="0"/>
              <w:spacing w:before="0" w:line="240" w:lineRule="auto"/>
              <w:ind w:firstLine="0"/>
              <w:jc w:val="left"/>
              <w:rPr>
                <w:b/>
                <w:bCs/>
                <w:color w:val="000000"/>
                <w:sz w:val="20"/>
                <w:szCs w:val="20"/>
                <w:lang w:val="en-US"/>
              </w:rPr>
            </w:pPr>
          </w:p>
        </w:tc>
        <w:tc>
          <w:tcPr>
            <w:tcW w:w="1207" w:type="dxa"/>
            <w:tcBorders>
              <w:top w:val="single" w:sz="6" w:space="0" w:color="auto"/>
              <w:bottom w:val="single" w:sz="12" w:space="0" w:color="auto"/>
            </w:tcBorders>
          </w:tcPr>
          <w:p w:rsidR="00B56D64" w:rsidRDefault="00B56D64"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35" w:type="dxa"/>
            <w:tcBorders>
              <w:top w:val="single" w:sz="6" w:space="0" w:color="auto"/>
              <w:bottom w:val="single" w:sz="12" w:space="0" w:color="auto"/>
            </w:tcBorders>
            <w:vAlign w:val="center"/>
          </w:tcPr>
          <w:p w:rsidR="00B56D64" w:rsidRDefault="00B56D64"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c>
          <w:tcPr>
            <w:tcW w:w="1134" w:type="dxa"/>
            <w:tcBorders>
              <w:top w:val="single" w:sz="6" w:space="0" w:color="auto"/>
              <w:bottom w:val="single" w:sz="12" w:space="0" w:color="auto"/>
            </w:tcBorders>
          </w:tcPr>
          <w:p w:rsidR="00B56D64" w:rsidRDefault="00B56D64"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34" w:type="dxa"/>
            <w:tcBorders>
              <w:top w:val="single" w:sz="6" w:space="0" w:color="auto"/>
              <w:bottom w:val="single" w:sz="12" w:space="0" w:color="auto"/>
            </w:tcBorders>
            <w:vAlign w:val="center"/>
          </w:tcPr>
          <w:p w:rsidR="00B56D64" w:rsidRDefault="00B56D64"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c>
          <w:tcPr>
            <w:tcW w:w="1134" w:type="dxa"/>
            <w:tcBorders>
              <w:top w:val="single" w:sz="6" w:space="0" w:color="auto"/>
              <w:bottom w:val="single" w:sz="12" w:space="0" w:color="auto"/>
            </w:tcBorders>
          </w:tcPr>
          <w:p w:rsidR="00B56D64" w:rsidRDefault="00B56D64"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Absolute m</w:t>
            </w:r>
            <w:r w:rsidRPr="00E723C2">
              <w:rPr>
                <w:b/>
                <w:bCs/>
                <w:color w:val="000000"/>
                <w:sz w:val="20"/>
                <w:szCs w:val="20"/>
                <w:lang w:val="en-US"/>
              </w:rPr>
              <w:t>ean</w:t>
            </w:r>
            <w:r>
              <w:rPr>
                <w:b/>
                <w:bCs/>
                <w:color w:val="000000"/>
                <w:sz w:val="20"/>
                <w:szCs w:val="20"/>
                <w:lang w:val="en-US"/>
              </w:rPr>
              <w:t xml:space="preserve"> variation</w:t>
            </w:r>
          </w:p>
        </w:tc>
        <w:tc>
          <w:tcPr>
            <w:tcW w:w="1134" w:type="dxa"/>
            <w:tcBorders>
              <w:top w:val="single" w:sz="6" w:space="0" w:color="auto"/>
              <w:bottom w:val="single" w:sz="12" w:space="0" w:color="auto"/>
            </w:tcBorders>
            <w:vAlign w:val="center"/>
          </w:tcPr>
          <w:p w:rsidR="00B56D64" w:rsidRDefault="00B56D64" w:rsidP="007168AF">
            <w:pPr>
              <w:autoSpaceDE w:val="0"/>
              <w:autoSpaceDN w:val="0"/>
              <w:adjustRightInd w:val="0"/>
              <w:spacing w:before="0" w:line="240" w:lineRule="auto"/>
              <w:ind w:firstLine="0"/>
              <w:jc w:val="center"/>
              <w:rPr>
                <w:b/>
                <w:bCs/>
                <w:color w:val="000000"/>
                <w:sz w:val="20"/>
                <w:szCs w:val="20"/>
                <w:lang w:val="en-US"/>
              </w:rPr>
            </w:pPr>
            <w:r>
              <w:rPr>
                <w:b/>
                <w:bCs/>
                <w:color w:val="000000"/>
                <w:sz w:val="20"/>
                <w:szCs w:val="20"/>
                <w:lang w:val="en-US"/>
              </w:rPr>
              <w:t>% mean variation</w:t>
            </w:r>
          </w:p>
        </w:tc>
      </w:tr>
      <w:tr w:rsidR="00B56D64" w:rsidRPr="00E723C2" w:rsidTr="00E47379">
        <w:trPr>
          <w:trHeight w:val="466"/>
        </w:trPr>
        <w:tc>
          <w:tcPr>
            <w:tcW w:w="3574" w:type="dxa"/>
            <w:vAlign w:val="bottom"/>
          </w:tcPr>
          <w:p w:rsidR="00B56D64" w:rsidRDefault="00B56D64" w:rsidP="00E47379">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1-minute to 5-minute variance ratios</w:t>
            </w:r>
          </w:p>
        </w:tc>
        <w:tc>
          <w:tcPr>
            <w:tcW w:w="1207" w:type="dxa"/>
            <w:vAlign w:val="bottom"/>
          </w:tcPr>
          <w:p w:rsidR="00B56D64" w:rsidRDefault="00B56D64"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Pr="00C0615A">
              <w:rPr>
                <w:color w:val="000000"/>
                <w:sz w:val="20"/>
                <w:szCs w:val="20"/>
                <w:lang w:val="en-US"/>
              </w:rPr>
              <w:t>0.0090**</w:t>
            </w:r>
            <w:r w:rsidR="008F2382">
              <w:rPr>
                <w:color w:val="000000"/>
                <w:sz w:val="20"/>
                <w:szCs w:val="20"/>
                <w:lang w:val="en-US"/>
              </w:rPr>
              <w:t>*</w:t>
            </w:r>
          </w:p>
        </w:tc>
        <w:tc>
          <w:tcPr>
            <w:tcW w:w="1135" w:type="dxa"/>
            <w:vAlign w:val="bottom"/>
          </w:tcPr>
          <w:p w:rsidR="00B56D64" w:rsidRDefault="00404273"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-3.53**</w:t>
            </w:r>
          </w:p>
        </w:tc>
        <w:tc>
          <w:tcPr>
            <w:tcW w:w="1134" w:type="dxa"/>
            <w:vAlign w:val="bottom"/>
          </w:tcPr>
          <w:p w:rsidR="00B56D64" w:rsidRDefault="00130CE7"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w:t>
            </w:r>
            <w:r w:rsidR="00FA69CB">
              <w:rPr>
                <w:color w:val="000000"/>
                <w:sz w:val="20"/>
                <w:szCs w:val="20"/>
                <w:lang w:val="en-US"/>
              </w:rPr>
              <w:t>33</w:t>
            </w:r>
          </w:p>
        </w:tc>
        <w:tc>
          <w:tcPr>
            <w:tcW w:w="1134" w:type="dxa"/>
            <w:vAlign w:val="bottom"/>
          </w:tcPr>
          <w:p w:rsidR="00B56D64"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1.</w:t>
            </w:r>
            <w:r w:rsidR="00FA69CB">
              <w:rPr>
                <w:color w:val="000000"/>
                <w:sz w:val="20"/>
                <w:szCs w:val="20"/>
                <w:lang w:val="en-US"/>
              </w:rPr>
              <w:t>51</w:t>
            </w:r>
          </w:p>
        </w:tc>
        <w:tc>
          <w:tcPr>
            <w:tcW w:w="1134" w:type="dxa"/>
            <w:vAlign w:val="bottom"/>
          </w:tcPr>
          <w:p w:rsidR="00B56D64"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w:t>
            </w:r>
            <w:r w:rsidR="00FA69CB">
              <w:rPr>
                <w:color w:val="000000"/>
                <w:sz w:val="20"/>
                <w:szCs w:val="20"/>
                <w:lang w:val="en-US"/>
              </w:rPr>
              <w:t>23</w:t>
            </w:r>
            <w:r>
              <w:rPr>
                <w:color w:val="000000"/>
                <w:sz w:val="20"/>
                <w:szCs w:val="20"/>
                <w:lang w:val="en-US"/>
              </w:rPr>
              <w:t>**</w:t>
            </w:r>
          </w:p>
        </w:tc>
        <w:tc>
          <w:tcPr>
            <w:tcW w:w="1134" w:type="dxa"/>
            <w:vAlign w:val="bottom"/>
          </w:tcPr>
          <w:p w:rsidR="00B56D64"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00FA69CB">
              <w:rPr>
                <w:color w:val="000000"/>
                <w:sz w:val="20"/>
                <w:szCs w:val="20"/>
                <w:lang w:val="en-US"/>
              </w:rPr>
              <w:t>5.04</w:t>
            </w:r>
            <w:r>
              <w:rPr>
                <w:color w:val="000000"/>
                <w:sz w:val="20"/>
                <w:szCs w:val="20"/>
                <w:lang w:val="en-US"/>
              </w:rPr>
              <w:t>**</w:t>
            </w:r>
          </w:p>
        </w:tc>
      </w:tr>
      <w:tr w:rsidR="00E47379" w:rsidRPr="00E723C2" w:rsidTr="00E47379">
        <w:trPr>
          <w:trHeight w:val="466"/>
        </w:trPr>
        <w:tc>
          <w:tcPr>
            <w:tcW w:w="3574" w:type="dxa"/>
          </w:tcPr>
          <w:p w:rsidR="00E47379" w:rsidRPr="00E723C2" w:rsidRDefault="00E47379" w:rsidP="00E47379">
            <w:pPr>
              <w:autoSpaceDE w:val="0"/>
              <w:autoSpaceDN w:val="0"/>
              <w:adjustRightInd w:val="0"/>
              <w:spacing w:before="0" w:line="240" w:lineRule="auto"/>
              <w:ind w:firstLine="0"/>
              <w:jc w:val="left"/>
              <w:rPr>
                <w:b/>
                <w:bCs/>
                <w:color w:val="000000"/>
                <w:sz w:val="20"/>
                <w:szCs w:val="20"/>
                <w:lang w:val="en-US"/>
              </w:rPr>
            </w:pPr>
          </w:p>
        </w:tc>
        <w:tc>
          <w:tcPr>
            <w:tcW w:w="1207" w:type="dxa"/>
          </w:tcPr>
          <w:p w:rsidR="00E47379" w:rsidRDefault="00E47379"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Pr="00C0615A">
              <w:rPr>
                <w:color w:val="000000"/>
                <w:sz w:val="20"/>
                <w:szCs w:val="20"/>
                <w:lang w:val="en-US"/>
              </w:rPr>
              <w:t>0.0089</w:t>
            </w:r>
            <w:r>
              <w:rPr>
                <w:color w:val="000000"/>
                <w:sz w:val="20"/>
                <w:szCs w:val="20"/>
                <w:lang w:val="en-US"/>
              </w:rPr>
              <w:t>)</w:t>
            </w:r>
          </w:p>
        </w:tc>
        <w:tc>
          <w:tcPr>
            <w:tcW w:w="1135" w:type="dxa"/>
          </w:tcPr>
          <w:p w:rsidR="00E47379" w:rsidRPr="00C0615A" w:rsidRDefault="00404273"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(0.0161)</w:t>
            </w:r>
          </w:p>
        </w:tc>
        <w:tc>
          <w:tcPr>
            <w:tcW w:w="1134" w:type="dxa"/>
          </w:tcPr>
          <w:p w:rsidR="00E47379" w:rsidRPr="00C0615A" w:rsidRDefault="00130CE7"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FA69CB">
              <w:rPr>
                <w:color w:val="000000"/>
                <w:sz w:val="20"/>
                <w:szCs w:val="20"/>
                <w:lang w:val="en-US"/>
              </w:rPr>
              <w:t>3829</w:t>
            </w:r>
            <w:r>
              <w:rPr>
                <w:color w:val="000000"/>
                <w:sz w:val="20"/>
                <w:szCs w:val="20"/>
                <w:lang w:val="en-US"/>
              </w:rPr>
              <w:t>)</w:t>
            </w:r>
          </w:p>
        </w:tc>
        <w:tc>
          <w:tcPr>
            <w:tcW w:w="1134" w:type="dxa"/>
          </w:tcPr>
          <w:p w:rsidR="00E47379" w:rsidRPr="00C0615A"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(0.3</w:t>
            </w:r>
            <w:r w:rsidR="00FA69CB">
              <w:rPr>
                <w:color w:val="000000"/>
                <w:sz w:val="20"/>
                <w:szCs w:val="20"/>
                <w:lang w:val="en-US"/>
              </w:rPr>
              <w:t>464</w:t>
            </w:r>
            <w:r>
              <w:rPr>
                <w:color w:val="000000"/>
                <w:sz w:val="20"/>
                <w:szCs w:val="20"/>
                <w:lang w:val="en-US"/>
              </w:rPr>
              <w:t>)</w:t>
            </w:r>
          </w:p>
        </w:tc>
        <w:tc>
          <w:tcPr>
            <w:tcW w:w="1134" w:type="dxa"/>
          </w:tcPr>
          <w:p w:rsidR="00E47379"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(0.01</w:t>
            </w:r>
            <w:r w:rsidR="00FA69CB">
              <w:rPr>
                <w:color w:val="000000"/>
                <w:sz w:val="20"/>
                <w:szCs w:val="20"/>
                <w:lang w:val="en-US"/>
              </w:rPr>
              <w:t>99</w:t>
            </w:r>
            <w:r>
              <w:rPr>
                <w:color w:val="000000"/>
                <w:sz w:val="20"/>
                <w:szCs w:val="20"/>
                <w:lang w:val="en-US"/>
              </w:rPr>
              <w:t>)</w:t>
            </w:r>
          </w:p>
        </w:tc>
        <w:tc>
          <w:tcPr>
            <w:tcW w:w="1134" w:type="dxa"/>
          </w:tcPr>
          <w:p w:rsidR="00E47379" w:rsidRPr="00C0615A"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(0.02</w:t>
            </w:r>
            <w:r w:rsidR="00FA69CB">
              <w:rPr>
                <w:color w:val="000000"/>
                <w:sz w:val="20"/>
                <w:szCs w:val="20"/>
                <w:lang w:val="en-US"/>
              </w:rPr>
              <w:t>42</w:t>
            </w:r>
            <w:r>
              <w:rPr>
                <w:color w:val="000000"/>
                <w:sz w:val="20"/>
                <w:szCs w:val="20"/>
                <w:lang w:val="en-US"/>
              </w:rPr>
              <w:t>)</w:t>
            </w:r>
          </w:p>
        </w:tc>
      </w:tr>
      <w:tr w:rsidR="00B56D64" w:rsidRPr="00E723C2" w:rsidTr="00E47379">
        <w:trPr>
          <w:trHeight w:val="466"/>
        </w:trPr>
        <w:tc>
          <w:tcPr>
            <w:tcW w:w="3574" w:type="dxa"/>
            <w:vAlign w:val="bottom"/>
          </w:tcPr>
          <w:p w:rsidR="00B56D64" w:rsidRDefault="00B56D64" w:rsidP="00E47379">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1-minute to 30-minute variance ratios</w:t>
            </w:r>
          </w:p>
        </w:tc>
        <w:tc>
          <w:tcPr>
            <w:tcW w:w="1207" w:type="dxa"/>
            <w:vAlign w:val="bottom"/>
          </w:tcPr>
          <w:p w:rsidR="00B56D64" w:rsidRDefault="00B56D64"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Pr="00C0615A">
              <w:rPr>
                <w:color w:val="000000"/>
                <w:sz w:val="20"/>
                <w:szCs w:val="20"/>
                <w:lang w:val="en-US"/>
              </w:rPr>
              <w:t>0.0020*</w:t>
            </w:r>
            <w:r w:rsidR="008F2382">
              <w:rPr>
                <w:color w:val="000000"/>
                <w:sz w:val="20"/>
                <w:szCs w:val="20"/>
                <w:lang w:val="en-US"/>
              </w:rPr>
              <w:t>*</w:t>
            </w:r>
          </w:p>
        </w:tc>
        <w:tc>
          <w:tcPr>
            <w:tcW w:w="1135" w:type="dxa"/>
            <w:vAlign w:val="bottom"/>
          </w:tcPr>
          <w:p w:rsidR="00B56D64" w:rsidRDefault="00404273"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-3.77</w:t>
            </w:r>
          </w:p>
        </w:tc>
        <w:tc>
          <w:tcPr>
            <w:tcW w:w="1134" w:type="dxa"/>
            <w:vAlign w:val="bottom"/>
          </w:tcPr>
          <w:p w:rsidR="00B56D64" w:rsidRDefault="00130CE7"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0.000</w:t>
            </w:r>
            <w:r w:rsidR="00FA69CB">
              <w:rPr>
                <w:color w:val="000000"/>
                <w:sz w:val="20"/>
                <w:szCs w:val="20"/>
                <w:lang w:val="en-US"/>
              </w:rPr>
              <w:t>9</w:t>
            </w:r>
          </w:p>
        </w:tc>
        <w:tc>
          <w:tcPr>
            <w:tcW w:w="1134" w:type="dxa"/>
            <w:vAlign w:val="bottom"/>
          </w:tcPr>
          <w:p w:rsidR="00B56D64" w:rsidRDefault="00FA69CB"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3.13</w:t>
            </w:r>
          </w:p>
        </w:tc>
        <w:tc>
          <w:tcPr>
            <w:tcW w:w="1134" w:type="dxa"/>
            <w:vAlign w:val="bottom"/>
          </w:tcPr>
          <w:p w:rsidR="00B56D64"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-0.002</w:t>
            </w:r>
            <w:r w:rsidR="00FA69CB">
              <w:rPr>
                <w:color w:val="000000"/>
                <w:sz w:val="20"/>
                <w:szCs w:val="20"/>
                <w:lang w:val="en-US"/>
              </w:rPr>
              <w:t>9</w:t>
            </w:r>
            <w:r>
              <w:rPr>
                <w:color w:val="000000"/>
                <w:sz w:val="20"/>
                <w:szCs w:val="20"/>
                <w:lang w:val="en-US"/>
              </w:rPr>
              <w:t>*</w:t>
            </w:r>
          </w:p>
        </w:tc>
        <w:tc>
          <w:tcPr>
            <w:tcW w:w="1134" w:type="dxa"/>
            <w:vAlign w:val="bottom"/>
          </w:tcPr>
          <w:p w:rsidR="00B56D64"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-6.</w:t>
            </w:r>
            <w:r w:rsidR="00FA69CB">
              <w:rPr>
                <w:color w:val="000000"/>
                <w:sz w:val="20"/>
                <w:szCs w:val="20"/>
                <w:lang w:val="en-US"/>
              </w:rPr>
              <w:t>90</w:t>
            </w:r>
            <w:r>
              <w:rPr>
                <w:color w:val="000000"/>
                <w:sz w:val="20"/>
                <w:szCs w:val="20"/>
                <w:lang w:val="en-US"/>
              </w:rPr>
              <w:t>*</w:t>
            </w:r>
          </w:p>
        </w:tc>
      </w:tr>
      <w:tr w:rsidR="00E47379" w:rsidRPr="00E723C2" w:rsidTr="00E47379">
        <w:trPr>
          <w:trHeight w:val="466"/>
        </w:trPr>
        <w:tc>
          <w:tcPr>
            <w:tcW w:w="3574" w:type="dxa"/>
          </w:tcPr>
          <w:p w:rsidR="00E47379" w:rsidRPr="00E723C2" w:rsidRDefault="00E47379" w:rsidP="00E47379">
            <w:pPr>
              <w:autoSpaceDE w:val="0"/>
              <w:autoSpaceDN w:val="0"/>
              <w:adjustRightInd w:val="0"/>
              <w:spacing w:before="0" w:line="240" w:lineRule="auto"/>
              <w:ind w:firstLine="0"/>
              <w:jc w:val="left"/>
              <w:rPr>
                <w:b/>
                <w:bCs/>
                <w:color w:val="000000"/>
                <w:sz w:val="20"/>
                <w:szCs w:val="20"/>
                <w:lang w:val="en-US"/>
              </w:rPr>
            </w:pPr>
          </w:p>
        </w:tc>
        <w:tc>
          <w:tcPr>
            <w:tcW w:w="1207" w:type="dxa"/>
          </w:tcPr>
          <w:p w:rsidR="00E47379" w:rsidRDefault="00E47379"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w:t>
            </w:r>
            <w:r w:rsidRPr="00C0615A">
              <w:rPr>
                <w:color w:val="000000"/>
                <w:sz w:val="20"/>
                <w:szCs w:val="20"/>
                <w:lang w:val="en-US"/>
              </w:rPr>
              <w:t>0.0471</w:t>
            </w:r>
            <w:r>
              <w:rPr>
                <w:color w:val="000000"/>
                <w:sz w:val="20"/>
                <w:szCs w:val="20"/>
                <w:lang w:val="en-US"/>
              </w:rPr>
              <w:t>)</w:t>
            </w:r>
          </w:p>
        </w:tc>
        <w:tc>
          <w:tcPr>
            <w:tcW w:w="1135" w:type="dxa"/>
          </w:tcPr>
          <w:p w:rsidR="00E47379" w:rsidRPr="00C0615A" w:rsidRDefault="00404273" w:rsidP="00E47379">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(0.1084)</w:t>
            </w:r>
          </w:p>
        </w:tc>
        <w:tc>
          <w:tcPr>
            <w:tcW w:w="1134" w:type="dxa"/>
          </w:tcPr>
          <w:p w:rsidR="00E47379" w:rsidRDefault="00130CE7"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w:t>
            </w:r>
            <w:r w:rsidR="00FA69CB">
              <w:rPr>
                <w:color w:val="000000"/>
                <w:sz w:val="20"/>
                <w:szCs w:val="20"/>
                <w:lang w:val="en-US"/>
              </w:rPr>
              <w:t>4667</w:t>
            </w:r>
            <w:r>
              <w:rPr>
                <w:color w:val="000000"/>
                <w:sz w:val="20"/>
                <w:szCs w:val="20"/>
                <w:lang w:val="en-US"/>
              </w:rPr>
              <w:t>)</w:t>
            </w:r>
          </w:p>
        </w:tc>
        <w:tc>
          <w:tcPr>
            <w:tcW w:w="1134" w:type="dxa"/>
          </w:tcPr>
          <w:p w:rsidR="00E47379" w:rsidRPr="00C0615A"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(0.2</w:t>
            </w:r>
            <w:r w:rsidR="00FA69CB">
              <w:rPr>
                <w:color w:val="000000"/>
                <w:sz w:val="20"/>
                <w:szCs w:val="20"/>
                <w:lang w:val="en-US"/>
              </w:rPr>
              <w:t>600</w:t>
            </w:r>
            <w:r>
              <w:rPr>
                <w:color w:val="000000"/>
                <w:sz w:val="20"/>
                <w:szCs w:val="20"/>
                <w:lang w:val="en-US"/>
              </w:rPr>
              <w:t>)</w:t>
            </w:r>
          </w:p>
        </w:tc>
        <w:tc>
          <w:tcPr>
            <w:tcW w:w="1134" w:type="dxa"/>
          </w:tcPr>
          <w:p w:rsidR="00E47379"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w:t>
            </w:r>
            <w:r w:rsidR="00FA69CB">
              <w:rPr>
                <w:color w:val="000000"/>
                <w:sz w:val="20"/>
                <w:szCs w:val="20"/>
                <w:lang w:val="en-US"/>
              </w:rPr>
              <w:t>661</w:t>
            </w:r>
            <w:r>
              <w:rPr>
                <w:color w:val="000000"/>
                <w:sz w:val="20"/>
                <w:szCs w:val="20"/>
                <w:lang w:val="en-US"/>
              </w:rPr>
              <w:t>)</w:t>
            </w:r>
          </w:p>
        </w:tc>
        <w:tc>
          <w:tcPr>
            <w:tcW w:w="1134" w:type="dxa"/>
          </w:tcPr>
          <w:p w:rsidR="00E47379" w:rsidRPr="00C0615A" w:rsidRDefault="00590EA0" w:rsidP="00FA69CB">
            <w:pPr>
              <w:autoSpaceDE w:val="0"/>
              <w:autoSpaceDN w:val="0"/>
              <w:adjustRightInd w:val="0"/>
              <w:spacing w:before="0" w:line="240" w:lineRule="auto"/>
              <w:ind w:firstLine="0"/>
              <w:jc w:val="center"/>
              <w:rPr>
                <w:color w:val="000000"/>
                <w:sz w:val="20"/>
                <w:szCs w:val="20"/>
                <w:lang w:val="en-US"/>
              </w:rPr>
            </w:pPr>
            <w:r>
              <w:rPr>
                <w:color w:val="000000"/>
                <w:sz w:val="20"/>
                <w:szCs w:val="20"/>
                <w:lang w:val="en-US"/>
              </w:rPr>
              <w:t>(0.0</w:t>
            </w:r>
            <w:r w:rsidR="00FA69CB">
              <w:rPr>
                <w:color w:val="000000"/>
                <w:sz w:val="20"/>
                <w:szCs w:val="20"/>
                <w:lang w:val="en-US"/>
              </w:rPr>
              <w:t>571</w:t>
            </w:r>
            <w:r>
              <w:rPr>
                <w:color w:val="000000"/>
                <w:sz w:val="20"/>
                <w:szCs w:val="20"/>
                <w:lang w:val="en-US"/>
              </w:rPr>
              <w:t>)</w:t>
            </w:r>
          </w:p>
        </w:tc>
      </w:tr>
      <w:tr w:rsidR="00B56D64" w:rsidRPr="00E723C2" w:rsidTr="00E47379">
        <w:trPr>
          <w:trHeight w:val="466"/>
        </w:trPr>
        <w:tc>
          <w:tcPr>
            <w:tcW w:w="3574" w:type="dxa"/>
            <w:vAlign w:val="bottom"/>
          </w:tcPr>
          <w:p w:rsidR="00B56D64" w:rsidRDefault="00B56D64" w:rsidP="00E47379">
            <w:pPr>
              <w:autoSpaceDE w:val="0"/>
              <w:autoSpaceDN w:val="0"/>
              <w:adjustRightInd w:val="0"/>
              <w:spacing w:before="0" w:line="240" w:lineRule="auto"/>
              <w:ind w:firstLine="0"/>
              <w:jc w:val="left"/>
              <w:rPr>
                <w:b/>
                <w:bCs/>
                <w:color w:val="000000"/>
                <w:sz w:val="20"/>
                <w:szCs w:val="20"/>
                <w:lang w:val="en-US"/>
              </w:rPr>
            </w:pPr>
            <w:r w:rsidRPr="00E723C2">
              <w:rPr>
                <w:b/>
                <w:bCs/>
                <w:color w:val="000000"/>
                <w:sz w:val="20"/>
                <w:szCs w:val="20"/>
                <w:lang w:val="en-US"/>
              </w:rPr>
              <w:t>5-minute to 30-minute variance ratios</w:t>
            </w:r>
          </w:p>
        </w:tc>
        <w:tc>
          <w:tcPr>
            <w:tcW w:w="1207" w:type="dxa"/>
            <w:vAlign w:val="bottom"/>
          </w:tcPr>
          <w:p w:rsidR="00B56D64" w:rsidRDefault="00B56D64" w:rsidP="00E47379">
            <w:pPr>
              <w:autoSpaceDE w:val="0"/>
              <w:autoSpaceDN w:val="0"/>
              <w:adjustRightInd w:val="0"/>
              <w:spacing w:before="0" w:line="240" w:lineRule="auto"/>
              <w:ind w:firstLine="0"/>
              <w:jc w:val="center"/>
              <w:rPr>
                <w:bCs/>
                <w:color w:val="000000"/>
                <w:sz w:val="20"/>
                <w:szCs w:val="20"/>
                <w:lang w:val="en-US"/>
              </w:rPr>
            </w:pPr>
            <w:r>
              <w:rPr>
                <w:bCs/>
                <w:color w:val="000000"/>
                <w:sz w:val="20"/>
                <w:szCs w:val="20"/>
                <w:lang w:val="en-US"/>
              </w:rPr>
              <w:t>–0.0015</w:t>
            </w:r>
          </w:p>
        </w:tc>
        <w:tc>
          <w:tcPr>
            <w:tcW w:w="1135" w:type="dxa"/>
            <w:vAlign w:val="bottom"/>
          </w:tcPr>
          <w:p w:rsidR="00B56D64" w:rsidRDefault="00404273" w:rsidP="00E47379">
            <w:pPr>
              <w:autoSpaceDE w:val="0"/>
              <w:autoSpaceDN w:val="0"/>
              <w:adjustRightInd w:val="0"/>
              <w:spacing w:before="0" w:line="240" w:lineRule="auto"/>
              <w:ind w:firstLine="0"/>
              <w:jc w:val="center"/>
              <w:rPr>
                <w:bCs/>
                <w:iCs/>
                <w:color w:val="000000"/>
                <w:sz w:val="20"/>
                <w:szCs w:val="20"/>
                <w:lang w:val="en-US"/>
              </w:rPr>
            </w:pPr>
            <w:r>
              <w:rPr>
                <w:bCs/>
                <w:iCs/>
                <w:color w:val="000000"/>
                <w:sz w:val="20"/>
                <w:szCs w:val="20"/>
                <w:lang w:val="en-US"/>
              </w:rPr>
              <w:t>-0.55</w:t>
            </w:r>
          </w:p>
        </w:tc>
        <w:tc>
          <w:tcPr>
            <w:tcW w:w="1134" w:type="dxa"/>
            <w:vAlign w:val="bottom"/>
          </w:tcPr>
          <w:p w:rsidR="00B56D64" w:rsidRDefault="00130CE7" w:rsidP="00FA69CB">
            <w:pPr>
              <w:autoSpaceDE w:val="0"/>
              <w:autoSpaceDN w:val="0"/>
              <w:adjustRightInd w:val="0"/>
              <w:spacing w:before="0" w:line="240" w:lineRule="auto"/>
              <w:ind w:firstLine="0"/>
              <w:jc w:val="center"/>
              <w:rPr>
                <w:bCs/>
                <w:color w:val="000000"/>
                <w:sz w:val="20"/>
                <w:szCs w:val="20"/>
                <w:lang w:val="en-US"/>
              </w:rPr>
            </w:pPr>
            <w:r>
              <w:rPr>
                <w:bCs/>
                <w:color w:val="000000"/>
                <w:sz w:val="20"/>
                <w:szCs w:val="20"/>
                <w:lang w:val="en-US"/>
              </w:rPr>
              <w:t>0.000</w:t>
            </w:r>
            <w:r w:rsidR="00FA69CB">
              <w:rPr>
                <w:bCs/>
                <w:color w:val="000000"/>
                <w:sz w:val="20"/>
                <w:szCs w:val="20"/>
                <w:lang w:val="en-US"/>
              </w:rPr>
              <w:t>7</w:t>
            </w:r>
          </w:p>
        </w:tc>
        <w:tc>
          <w:tcPr>
            <w:tcW w:w="1134" w:type="dxa"/>
            <w:vAlign w:val="bottom"/>
          </w:tcPr>
          <w:p w:rsidR="00B56D64" w:rsidRDefault="00590EA0" w:rsidP="00FA69CB">
            <w:pPr>
              <w:autoSpaceDE w:val="0"/>
              <w:autoSpaceDN w:val="0"/>
              <w:adjustRightInd w:val="0"/>
              <w:spacing w:before="0" w:line="240" w:lineRule="auto"/>
              <w:ind w:firstLine="0"/>
              <w:jc w:val="center"/>
              <w:rPr>
                <w:bCs/>
                <w:iCs/>
                <w:color w:val="000000"/>
                <w:sz w:val="20"/>
                <w:szCs w:val="20"/>
                <w:lang w:val="en-US"/>
              </w:rPr>
            </w:pPr>
            <w:r>
              <w:rPr>
                <w:bCs/>
                <w:iCs/>
                <w:color w:val="000000"/>
                <w:sz w:val="20"/>
                <w:szCs w:val="20"/>
                <w:lang w:val="en-US"/>
              </w:rPr>
              <w:t>1.</w:t>
            </w:r>
            <w:r w:rsidR="00FA69CB">
              <w:rPr>
                <w:bCs/>
                <w:iCs/>
                <w:color w:val="000000"/>
                <w:sz w:val="20"/>
                <w:szCs w:val="20"/>
                <w:lang w:val="en-US"/>
              </w:rPr>
              <w:t>12</w:t>
            </w:r>
          </w:p>
        </w:tc>
        <w:tc>
          <w:tcPr>
            <w:tcW w:w="1134" w:type="dxa"/>
            <w:vAlign w:val="bottom"/>
          </w:tcPr>
          <w:p w:rsidR="00B56D64" w:rsidRDefault="00590EA0" w:rsidP="00FA69CB">
            <w:pPr>
              <w:autoSpaceDE w:val="0"/>
              <w:autoSpaceDN w:val="0"/>
              <w:adjustRightInd w:val="0"/>
              <w:spacing w:before="0" w:line="240" w:lineRule="auto"/>
              <w:ind w:firstLine="0"/>
              <w:jc w:val="center"/>
              <w:rPr>
                <w:bCs/>
                <w:color w:val="000000"/>
                <w:sz w:val="20"/>
                <w:szCs w:val="20"/>
                <w:lang w:val="en-US"/>
              </w:rPr>
            </w:pPr>
            <w:r>
              <w:rPr>
                <w:bCs/>
                <w:color w:val="000000"/>
                <w:sz w:val="20"/>
                <w:szCs w:val="20"/>
                <w:lang w:val="en-US"/>
              </w:rPr>
              <w:t>-0.002</w:t>
            </w:r>
            <w:r w:rsidR="00FA69CB">
              <w:rPr>
                <w:bCs/>
                <w:color w:val="000000"/>
                <w:sz w:val="20"/>
                <w:szCs w:val="20"/>
                <w:lang w:val="en-US"/>
              </w:rPr>
              <w:t>3</w:t>
            </w:r>
          </w:p>
        </w:tc>
        <w:tc>
          <w:tcPr>
            <w:tcW w:w="1134" w:type="dxa"/>
            <w:vAlign w:val="bottom"/>
          </w:tcPr>
          <w:p w:rsidR="00B56D64" w:rsidRDefault="00590EA0" w:rsidP="00FA69CB">
            <w:pPr>
              <w:autoSpaceDE w:val="0"/>
              <w:autoSpaceDN w:val="0"/>
              <w:adjustRightInd w:val="0"/>
              <w:spacing w:before="0" w:line="240" w:lineRule="auto"/>
              <w:ind w:firstLine="0"/>
              <w:jc w:val="center"/>
              <w:rPr>
                <w:bCs/>
                <w:iCs/>
                <w:color w:val="000000"/>
                <w:sz w:val="20"/>
                <w:szCs w:val="20"/>
                <w:lang w:val="en-US"/>
              </w:rPr>
            </w:pPr>
            <w:r>
              <w:rPr>
                <w:bCs/>
                <w:iCs/>
                <w:color w:val="000000"/>
                <w:sz w:val="20"/>
                <w:szCs w:val="20"/>
                <w:lang w:val="en-US"/>
              </w:rPr>
              <w:t>-1.</w:t>
            </w:r>
            <w:r w:rsidR="00FA69CB">
              <w:rPr>
                <w:bCs/>
                <w:iCs/>
                <w:color w:val="000000"/>
                <w:sz w:val="20"/>
                <w:szCs w:val="20"/>
                <w:lang w:val="en-US"/>
              </w:rPr>
              <w:t>67</w:t>
            </w:r>
          </w:p>
        </w:tc>
      </w:tr>
      <w:tr w:rsidR="00E47379" w:rsidRPr="00E723C2" w:rsidTr="00E47379">
        <w:trPr>
          <w:trHeight w:val="466"/>
        </w:trPr>
        <w:tc>
          <w:tcPr>
            <w:tcW w:w="3574" w:type="dxa"/>
            <w:tcBorders>
              <w:bottom w:val="single" w:sz="12" w:space="0" w:color="auto"/>
            </w:tcBorders>
          </w:tcPr>
          <w:p w:rsidR="00E47379" w:rsidRPr="00E723C2" w:rsidRDefault="00E47379" w:rsidP="00E47379">
            <w:pPr>
              <w:autoSpaceDE w:val="0"/>
              <w:autoSpaceDN w:val="0"/>
              <w:adjustRightInd w:val="0"/>
              <w:spacing w:before="0" w:line="240" w:lineRule="auto"/>
              <w:ind w:firstLine="0"/>
              <w:jc w:val="left"/>
              <w:rPr>
                <w:b/>
                <w:bCs/>
                <w:color w:val="000000"/>
                <w:sz w:val="20"/>
                <w:szCs w:val="20"/>
                <w:lang w:val="en-US"/>
              </w:rPr>
            </w:pPr>
          </w:p>
        </w:tc>
        <w:tc>
          <w:tcPr>
            <w:tcW w:w="1207" w:type="dxa"/>
            <w:tcBorders>
              <w:bottom w:val="single" w:sz="12" w:space="0" w:color="auto"/>
            </w:tcBorders>
          </w:tcPr>
          <w:p w:rsidR="00E47379" w:rsidRDefault="00E47379" w:rsidP="00E47379">
            <w:pPr>
              <w:autoSpaceDE w:val="0"/>
              <w:autoSpaceDN w:val="0"/>
              <w:adjustRightInd w:val="0"/>
              <w:spacing w:before="0" w:line="240" w:lineRule="auto"/>
              <w:ind w:firstLine="0"/>
              <w:jc w:val="center"/>
              <w:rPr>
                <w:bCs/>
                <w:color w:val="000000"/>
                <w:sz w:val="20"/>
                <w:szCs w:val="20"/>
                <w:lang w:val="en-US"/>
              </w:rPr>
            </w:pPr>
            <w:r>
              <w:rPr>
                <w:bCs/>
                <w:iCs/>
                <w:color w:val="000000"/>
                <w:sz w:val="20"/>
                <w:szCs w:val="20"/>
                <w:lang w:val="en-US"/>
              </w:rPr>
              <w:t>(0.5468)</w:t>
            </w:r>
          </w:p>
        </w:tc>
        <w:tc>
          <w:tcPr>
            <w:tcW w:w="1135" w:type="dxa"/>
            <w:tcBorders>
              <w:bottom w:val="single" w:sz="12" w:space="0" w:color="auto"/>
            </w:tcBorders>
          </w:tcPr>
          <w:p w:rsidR="00E47379" w:rsidRDefault="00404273" w:rsidP="00E47379">
            <w:pPr>
              <w:autoSpaceDE w:val="0"/>
              <w:autoSpaceDN w:val="0"/>
              <w:adjustRightInd w:val="0"/>
              <w:spacing w:before="0" w:line="240" w:lineRule="auto"/>
              <w:ind w:firstLine="0"/>
              <w:jc w:val="center"/>
              <w:rPr>
                <w:bCs/>
                <w:iCs/>
                <w:color w:val="000000"/>
                <w:sz w:val="20"/>
                <w:szCs w:val="20"/>
                <w:lang w:val="en-US"/>
              </w:rPr>
            </w:pPr>
            <w:r>
              <w:rPr>
                <w:bCs/>
                <w:iCs/>
                <w:color w:val="000000"/>
                <w:sz w:val="20"/>
                <w:szCs w:val="20"/>
                <w:lang w:val="en-US"/>
              </w:rPr>
              <w:t>(0.6952)</w:t>
            </w:r>
          </w:p>
        </w:tc>
        <w:tc>
          <w:tcPr>
            <w:tcW w:w="1134" w:type="dxa"/>
            <w:tcBorders>
              <w:bottom w:val="single" w:sz="12" w:space="0" w:color="auto"/>
            </w:tcBorders>
          </w:tcPr>
          <w:p w:rsidR="00E47379" w:rsidRDefault="00130CE7" w:rsidP="00FA69CB">
            <w:pPr>
              <w:autoSpaceDE w:val="0"/>
              <w:autoSpaceDN w:val="0"/>
              <w:adjustRightInd w:val="0"/>
              <w:spacing w:before="0" w:line="240" w:lineRule="auto"/>
              <w:ind w:firstLine="0"/>
              <w:jc w:val="center"/>
              <w:rPr>
                <w:bCs/>
                <w:color w:val="000000"/>
                <w:sz w:val="20"/>
                <w:szCs w:val="20"/>
                <w:lang w:val="en-US"/>
              </w:rPr>
            </w:pPr>
            <w:r>
              <w:rPr>
                <w:bCs/>
                <w:color w:val="000000"/>
                <w:sz w:val="20"/>
                <w:szCs w:val="20"/>
                <w:lang w:val="en-US"/>
              </w:rPr>
              <w:t>(0.8</w:t>
            </w:r>
            <w:r w:rsidR="00FA69CB">
              <w:rPr>
                <w:bCs/>
                <w:color w:val="000000"/>
                <w:sz w:val="20"/>
                <w:szCs w:val="20"/>
                <w:lang w:val="en-US"/>
              </w:rPr>
              <w:t>275</w:t>
            </w:r>
            <w:r>
              <w:rPr>
                <w:bCs/>
                <w:color w:val="000000"/>
                <w:sz w:val="20"/>
                <w:szCs w:val="20"/>
                <w:lang w:val="en-US"/>
              </w:rPr>
              <w:t>)</w:t>
            </w:r>
          </w:p>
        </w:tc>
        <w:tc>
          <w:tcPr>
            <w:tcW w:w="1134" w:type="dxa"/>
            <w:tcBorders>
              <w:bottom w:val="single" w:sz="12" w:space="0" w:color="auto"/>
            </w:tcBorders>
          </w:tcPr>
          <w:p w:rsidR="00E47379" w:rsidRDefault="00590EA0" w:rsidP="00FA69CB">
            <w:pPr>
              <w:autoSpaceDE w:val="0"/>
              <w:autoSpaceDN w:val="0"/>
              <w:adjustRightInd w:val="0"/>
              <w:spacing w:before="0" w:line="240" w:lineRule="auto"/>
              <w:ind w:firstLine="0"/>
              <w:jc w:val="center"/>
              <w:rPr>
                <w:bCs/>
                <w:iCs/>
                <w:color w:val="000000"/>
                <w:sz w:val="20"/>
                <w:szCs w:val="20"/>
                <w:lang w:val="en-US"/>
              </w:rPr>
            </w:pPr>
            <w:r>
              <w:rPr>
                <w:bCs/>
                <w:iCs/>
                <w:color w:val="000000"/>
                <w:sz w:val="20"/>
                <w:szCs w:val="20"/>
                <w:lang w:val="en-US"/>
              </w:rPr>
              <w:t>(0.5</w:t>
            </w:r>
            <w:r w:rsidR="00FA69CB">
              <w:rPr>
                <w:bCs/>
                <w:iCs/>
                <w:color w:val="000000"/>
                <w:sz w:val="20"/>
                <w:szCs w:val="20"/>
                <w:lang w:val="en-US"/>
              </w:rPr>
              <w:t>414</w:t>
            </w:r>
            <w:r>
              <w:rPr>
                <w:bCs/>
                <w:iCs/>
                <w:color w:val="000000"/>
                <w:sz w:val="20"/>
                <w:szCs w:val="20"/>
                <w:lang w:val="en-US"/>
              </w:rPr>
              <w:t>)</w:t>
            </w:r>
          </w:p>
        </w:tc>
        <w:tc>
          <w:tcPr>
            <w:tcW w:w="1134" w:type="dxa"/>
            <w:tcBorders>
              <w:bottom w:val="single" w:sz="12" w:space="0" w:color="auto"/>
            </w:tcBorders>
          </w:tcPr>
          <w:p w:rsidR="00E47379" w:rsidRDefault="00590EA0" w:rsidP="00FA69CB">
            <w:pPr>
              <w:autoSpaceDE w:val="0"/>
              <w:autoSpaceDN w:val="0"/>
              <w:adjustRightInd w:val="0"/>
              <w:spacing w:before="0" w:line="240" w:lineRule="auto"/>
              <w:ind w:firstLine="0"/>
              <w:jc w:val="center"/>
              <w:rPr>
                <w:bCs/>
                <w:color w:val="000000"/>
                <w:sz w:val="20"/>
                <w:szCs w:val="20"/>
                <w:lang w:val="en-US"/>
              </w:rPr>
            </w:pPr>
            <w:r>
              <w:rPr>
                <w:bCs/>
                <w:color w:val="000000"/>
                <w:sz w:val="20"/>
                <w:szCs w:val="20"/>
                <w:lang w:val="en-US"/>
              </w:rPr>
              <w:t>(0.</w:t>
            </w:r>
            <w:r w:rsidR="00FA69CB">
              <w:rPr>
                <w:bCs/>
                <w:color w:val="000000"/>
                <w:sz w:val="20"/>
                <w:szCs w:val="20"/>
                <w:lang w:val="en-US"/>
              </w:rPr>
              <w:t>5905</w:t>
            </w:r>
            <w:r>
              <w:rPr>
                <w:bCs/>
                <w:color w:val="000000"/>
                <w:sz w:val="20"/>
                <w:szCs w:val="20"/>
                <w:lang w:val="en-US"/>
              </w:rPr>
              <w:t>)</w:t>
            </w:r>
          </w:p>
        </w:tc>
        <w:tc>
          <w:tcPr>
            <w:tcW w:w="1134" w:type="dxa"/>
            <w:tcBorders>
              <w:bottom w:val="single" w:sz="12" w:space="0" w:color="auto"/>
            </w:tcBorders>
          </w:tcPr>
          <w:p w:rsidR="00E47379" w:rsidRDefault="00590EA0" w:rsidP="00FA69CB">
            <w:pPr>
              <w:autoSpaceDE w:val="0"/>
              <w:autoSpaceDN w:val="0"/>
              <w:adjustRightInd w:val="0"/>
              <w:spacing w:before="0" w:line="240" w:lineRule="auto"/>
              <w:ind w:firstLine="0"/>
              <w:jc w:val="center"/>
              <w:rPr>
                <w:bCs/>
                <w:iCs/>
                <w:color w:val="000000"/>
                <w:sz w:val="20"/>
                <w:szCs w:val="20"/>
                <w:lang w:val="en-US"/>
              </w:rPr>
            </w:pPr>
            <w:r>
              <w:rPr>
                <w:bCs/>
                <w:iCs/>
                <w:color w:val="000000"/>
                <w:sz w:val="20"/>
                <w:szCs w:val="20"/>
                <w:lang w:val="en-US"/>
              </w:rPr>
              <w:t>(0.4</w:t>
            </w:r>
            <w:r w:rsidR="00FA69CB">
              <w:rPr>
                <w:bCs/>
                <w:iCs/>
                <w:color w:val="000000"/>
                <w:sz w:val="20"/>
                <w:szCs w:val="20"/>
                <w:lang w:val="en-US"/>
              </w:rPr>
              <w:t>682</w:t>
            </w:r>
            <w:r>
              <w:rPr>
                <w:bCs/>
                <w:iCs/>
                <w:color w:val="000000"/>
                <w:sz w:val="20"/>
                <w:szCs w:val="20"/>
                <w:lang w:val="en-US"/>
              </w:rPr>
              <w:t>)</w:t>
            </w:r>
          </w:p>
        </w:tc>
      </w:tr>
    </w:tbl>
    <w:p w:rsidR="00E36261" w:rsidRDefault="00E36261" w:rsidP="0074308C">
      <w:pPr>
        <w:pStyle w:val="Notetable"/>
        <w:ind w:right="-144"/>
        <w:rPr>
          <w:lang w:val="en-US"/>
        </w:rPr>
      </w:pPr>
      <w:r w:rsidRPr="00E36261">
        <w:rPr>
          <w:i/>
          <w:lang w:val="en-US"/>
        </w:rPr>
        <w:t>Note:</w:t>
      </w:r>
      <w:r>
        <w:rPr>
          <w:i/>
          <w:lang w:val="en-US"/>
        </w:rPr>
        <w:t xml:space="preserve"> </w:t>
      </w:r>
      <w:r w:rsidR="00C0615A" w:rsidRPr="00C0615A">
        <w:rPr>
          <w:lang w:val="en-US"/>
        </w:rPr>
        <w:t xml:space="preserve">For all the variance ratios reported in this table, </w:t>
      </w:r>
      <w:r w:rsidR="000200CB" w:rsidRPr="00C36EF8">
        <w:rPr>
          <w:lang w:val="en-US"/>
        </w:rPr>
        <w:t xml:space="preserve">the </w:t>
      </w:r>
      <w:r w:rsidR="00851783">
        <w:rPr>
          <w:lang w:val="en-US"/>
        </w:rPr>
        <w:t xml:space="preserve">absolute and percentage </w:t>
      </w:r>
      <w:r w:rsidR="000200CB" w:rsidRPr="00C36EF8">
        <w:rPr>
          <w:lang w:val="en-US"/>
        </w:rPr>
        <w:t xml:space="preserve">mean </w:t>
      </w:r>
      <w:r w:rsidR="000200CB">
        <w:rPr>
          <w:lang w:val="en-US"/>
        </w:rPr>
        <w:t>variation</w:t>
      </w:r>
      <w:r w:rsidR="000200CB" w:rsidRPr="00C36EF8">
        <w:rPr>
          <w:lang w:val="en-US"/>
        </w:rPr>
        <w:t xml:space="preserve"> for the CAC 40 </w:t>
      </w:r>
      <w:r w:rsidR="000200CB">
        <w:rPr>
          <w:lang w:val="en-US"/>
        </w:rPr>
        <w:t>and</w:t>
      </w:r>
      <w:r w:rsidR="000200CB" w:rsidRPr="00C36EF8">
        <w:rPr>
          <w:lang w:val="en-US"/>
        </w:rPr>
        <w:t xml:space="preserve"> the control </w:t>
      </w:r>
      <w:r w:rsidR="000200CB">
        <w:rPr>
          <w:lang w:val="en-US"/>
        </w:rPr>
        <w:t>samples</w:t>
      </w:r>
      <w:r w:rsidR="000200CB" w:rsidRPr="00C36EF8">
        <w:rPr>
          <w:lang w:val="en-US"/>
        </w:rPr>
        <w:t xml:space="preserve"> equals the equally-weighted cross-sectional mean </w:t>
      </w:r>
      <w:r w:rsidR="000200CB">
        <w:rPr>
          <w:lang w:val="en-US"/>
        </w:rPr>
        <w:t xml:space="preserve">difference between the two </w:t>
      </w:r>
      <w:r w:rsidR="000200CB" w:rsidRPr="00C36EF8">
        <w:rPr>
          <w:lang w:val="en-US"/>
        </w:rPr>
        <w:t>60-</w:t>
      </w:r>
      <w:r w:rsidR="000200CB">
        <w:rPr>
          <w:lang w:val="en-US"/>
        </w:rPr>
        <w:t>trading-d</w:t>
      </w:r>
      <w:r w:rsidR="000200CB" w:rsidRPr="00C0615A">
        <w:rPr>
          <w:lang w:val="en-US"/>
        </w:rPr>
        <w:t>ay</w:t>
      </w:r>
      <w:r w:rsidR="000200CB" w:rsidRPr="00C36EF8">
        <w:rPr>
          <w:lang w:val="en-US"/>
        </w:rPr>
        <w:t xml:space="preserve"> period</w:t>
      </w:r>
      <w:r w:rsidR="000200CB">
        <w:rPr>
          <w:lang w:val="en-US"/>
        </w:rPr>
        <w:t>s</w:t>
      </w:r>
      <w:r w:rsidR="000200CB" w:rsidRPr="00C36EF8">
        <w:rPr>
          <w:lang w:val="en-US"/>
        </w:rPr>
        <w:t xml:space="preserve"> surrounding the ETF inception on January 22, 2001</w:t>
      </w:r>
      <w:r w:rsidR="00C0615A" w:rsidRPr="00C0615A">
        <w:rPr>
          <w:lang w:val="en-US"/>
        </w:rPr>
        <w:t xml:space="preserve">.  The statistical test is a paired </w:t>
      </w:r>
      <w:r w:rsidR="00C0615A" w:rsidRPr="00DA34B7">
        <w:rPr>
          <w:i/>
          <w:lang w:val="en-US"/>
        </w:rPr>
        <w:t>t</w:t>
      </w:r>
      <w:r w:rsidR="00C0615A" w:rsidRPr="00C0615A">
        <w:rPr>
          <w:lang w:val="en-US"/>
        </w:rPr>
        <w:t xml:space="preserve">-test on the mean difference. </w:t>
      </w:r>
      <w:r w:rsidR="0088345C">
        <w:rPr>
          <w:lang w:val="en-US"/>
        </w:rPr>
        <w:t xml:space="preserve"> The </w:t>
      </w:r>
      <w:r w:rsidR="0088345C" w:rsidRPr="00A31E17">
        <w:rPr>
          <w:i/>
          <w:lang w:val="en-US"/>
        </w:rPr>
        <w:t>p</w:t>
      </w:r>
      <w:r w:rsidR="0088345C">
        <w:rPr>
          <w:lang w:val="en-US"/>
        </w:rPr>
        <w:t xml:space="preserve">-values are reported in the table under parenthesis.   </w:t>
      </w:r>
      <w:r w:rsidR="0040338C">
        <w:rPr>
          <w:lang w:val="en-US"/>
        </w:rPr>
        <w:t>A</w:t>
      </w:r>
      <w:r w:rsidR="00C0615A" w:rsidRPr="00C0615A">
        <w:rPr>
          <w:lang w:val="en-US"/>
        </w:rPr>
        <w:t xml:space="preserve">n independent group </w:t>
      </w:r>
      <w:r w:rsidR="00C0615A" w:rsidRPr="00DA34B7">
        <w:rPr>
          <w:i/>
          <w:lang w:val="en-US"/>
        </w:rPr>
        <w:t>t</w:t>
      </w:r>
      <w:r w:rsidR="00C0615A" w:rsidRPr="00C0615A">
        <w:rPr>
          <w:lang w:val="en-US"/>
        </w:rPr>
        <w:t>-test on the cross-sectional mean difference between CAC</w:t>
      </w:r>
      <w:r w:rsidR="0040338C">
        <w:rPr>
          <w:lang w:val="en-US"/>
        </w:rPr>
        <w:t xml:space="preserve"> </w:t>
      </w:r>
      <w:r w:rsidR="00C0615A" w:rsidRPr="00C0615A">
        <w:rPr>
          <w:lang w:val="en-US"/>
        </w:rPr>
        <w:t xml:space="preserve">40 and control stocks, based on the </w:t>
      </w:r>
      <w:r w:rsidR="00851783">
        <w:rPr>
          <w:lang w:val="en-US"/>
        </w:rPr>
        <w:t xml:space="preserve">absolute and percentage variations </w:t>
      </w:r>
      <w:r w:rsidR="00C0615A" w:rsidRPr="00C0615A">
        <w:rPr>
          <w:lang w:val="en-US"/>
        </w:rPr>
        <w:t xml:space="preserve">between the two 60-day </w:t>
      </w:r>
      <w:proofErr w:type="gramStart"/>
      <w:r w:rsidR="00C0615A" w:rsidRPr="00C0615A">
        <w:rPr>
          <w:lang w:val="en-US"/>
        </w:rPr>
        <w:t>periods</w:t>
      </w:r>
      <w:r w:rsidR="0040338C">
        <w:rPr>
          <w:lang w:val="en-US"/>
        </w:rPr>
        <w:t>,</w:t>
      </w:r>
      <w:proofErr w:type="gramEnd"/>
      <w:r w:rsidR="0040338C">
        <w:rPr>
          <w:lang w:val="en-US"/>
        </w:rPr>
        <w:t xml:space="preserve"> was used for the </w:t>
      </w:r>
      <w:r w:rsidR="00C0615A" w:rsidRPr="00C0615A">
        <w:rPr>
          <w:lang w:val="en-US"/>
        </w:rPr>
        <w:t>difference-in-difference</w:t>
      </w:r>
      <w:r w:rsidR="0040338C">
        <w:rPr>
          <w:lang w:val="en-US"/>
        </w:rPr>
        <w:t>s</w:t>
      </w:r>
      <w:r w:rsidR="00C0615A" w:rsidRPr="00C0615A">
        <w:rPr>
          <w:lang w:val="en-US"/>
        </w:rPr>
        <w:t xml:space="preserve"> </w:t>
      </w:r>
      <w:r w:rsidR="0040338C">
        <w:rPr>
          <w:lang w:val="en-US"/>
        </w:rPr>
        <w:t>test</w:t>
      </w:r>
      <w:r w:rsidR="00C0615A" w:rsidRPr="00C0615A">
        <w:rPr>
          <w:lang w:val="en-US"/>
        </w:rPr>
        <w:t xml:space="preserve">. The sizes of the CAC 40 and the control </w:t>
      </w:r>
      <w:r w:rsidR="00E8233C">
        <w:rPr>
          <w:lang w:val="en-US"/>
        </w:rPr>
        <w:t>samples</w:t>
      </w:r>
      <w:r w:rsidR="0040338C">
        <w:rPr>
          <w:lang w:val="en-US"/>
        </w:rPr>
        <w:t xml:space="preserve"> we</w:t>
      </w:r>
      <w:r w:rsidR="00C0615A" w:rsidRPr="00C0615A">
        <w:rPr>
          <w:lang w:val="en-US"/>
        </w:rPr>
        <w:t xml:space="preserve">re 37 and </w:t>
      </w:r>
      <w:r w:rsidR="00851783">
        <w:rPr>
          <w:lang w:val="en-US"/>
        </w:rPr>
        <w:t>49</w:t>
      </w:r>
      <w:r w:rsidR="00C0615A" w:rsidRPr="00C0615A">
        <w:rPr>
          <w:lang w:val="en-US"/>
        </w:rPr>
        <w:t xml:space="preserve"> respectively. </w:t>
      </w:r>
      <w:r w:rsidR="0040338C">
        <w:rPr>
          <w:lang w:val="en-US"/>
        </w:rPr>
        <w:t>One, two and three asterisks (</w:t>
      </w:r>
      <w:r w:rsidR="00C0615A" w:rsidRPr="00C0615A">
        <w:rPr>
          <w:lang w:val="en-US"/>
        </w:rPr>
        <w:t>*,</w:t>
      </w:r>
      <w:r w:rsidR="0040338C">
        <w:rPr>
          <w:lang w:val="en-US"/>
        </w:rPr>
        <w:t xml:space="preserve"> </w:t>
      </w:r>
      <w:r w:rsidR="00C0615A" w:rsidRPr="00C0615A">
        <w:rPr>
          <w:lang w:val="en-US"/>
        </w:rPr>
        <w:t>**,</w:t>
      </w:r>
      <w:r w:rsidR="0040338C">
        <w:rPr>
          <w:lang w:val="en-US"/>
        </w:rPr>
        <w:t xml:space="preserve"> and </w:t>
      </w:r>
      <w:r w:rsidR="00C0615A" w:rsidRPr="00C0615A">
        <w:rPr>
          <w:lang w:val="en-US"/>
        </w:rPr>
        <w:t>***</w:t>
      </w:r>
      <w:r w:rsidR="0040338C">
        <w:rPr>
          <w:lang w:val="en-US"/>
        </w:rPr>
        <w:t>)</w:t>
      </w:r>
      <w:r w:rsidR="00C0615A" w:rsidRPr="00C0615A">
        <w:rPr>
          <w:lang w:val="en-US"/>
        </w:rPr>
        <w:t xml:space="preserve"> indicate statistical significance at the 10%, 5%, and 1% levels, respectively. </w:t>
      </w:r>
    </w:p>
    <w:p w:rsidR="0046347F" w:rsidRDefault="0046347F">
      <w:pPr>
        <w:ind w:firstLine="0"/>
        <w:rPr>
          <w:i/>
          <w:lang w:val="en-US"/>
        </w:rPr>
      </w:pPr>
    </w:p>
    <w:p w:rsidR="00FE5D7B" w:rsidRDefault="00FE5D7B">
      <w:pPr>
        <w:spacing w:before="0" w:line="240" w:lineRule="auto"/>
        <w:ind w:firstLine="0"/>
        <w:jc w:val="left"/>
        <w:rPr>
          <w:szCs w:val="20"/>
          <w:lang w:val="en-US"/>
        </w:rPr>
      </w:pPr>
    </w:p>
    <w:p w:rsidR="00FE5D7B" w:rsidRDefault="00FE5D7B" w:rsidP="00E2523F">
      <w:pPr>
        <w:pStyle w:val="Numerotable"/>
        <w:rPr>
          <w:lang w:val="en-US"/>
        </w:rPr>
        <w:sectPr w:rsidR="00FE5D7B" w:rsidSect="0074308C">
          <w:pgSz w:w="11906" w:h="16838"/>
          <w:pgMar w:top="1418" w:right="851" w:bottom="1418" w:left="851" w:header="709" w:footer="709" w:gutter="0"/>
          <w:cols w:space="708"/>
          <w:docGrid w:linePitch="360"/>
        </w:sectPr>
      </w:pPr>
    </w:p>
    <w:p w:rsidR="002921D2" w:rsidRDefault="002921D2" w:rsidP="002921D2">
      <w:pPr>
        <w:pStyle w:val="Numerotable"/>
        <w:rPr>
          <w:lang w:val="en-US"/>
        </w:rPr>
      </w:pPr>
      <w:bookmarkStart w:id="5" w:name="tables"/>
      <w:bookmarkEnd w:id="5"/>
      <w:r>
        <w:rPr>
          <w:lang w:val="en-US"/>
        </w:rPr>
        <w:lastRenderedPageBreak/>
        <w:t>Table 5</w:t>
      </w:r>
    </w:p>
    <w:p w:rsidR="002921D2" w:rsidRDefault="002921D2" w:rsidP="002921D2">
      <w:pPr>
        <w:pStyle w:val="Titretable"/>
        <w:rPr>
          <w:lang w:val="en-US"/>
        </w:rPr>
      </w:pPr>
      <w:r>
        <w:rPr>
          <w:lang w:val="en-US"/>
        </w:rPr>
        <w:t>Panel regressions of liquidity measures</w:t>
      </w:r>
    </w:p>
    <w:tbl>
      <w:tblPr>
        <w:tblW w:w="15381" w:type="dxa"/>
        <w:tblInd w:w="55" w:type="dxa"/>
        <w:tblCellMar>
          <w:left w:w="70" w:type="dxa"/>
          <w:right w:w="70" w:type="dxa"/>
        </w:tblCellMar>
        <w:tblLook w:val="04A0" w:firstRow="1" w:lastRow="0" w:firstColumn="1" w:lastColumn="0" w:noHBand="0" w:noVBand="1"/>
      </w:tblPr>
      <w:tblGrid>
        <w:gridCol w:w="2425"/>
        <w:gridCol w:w="1304"/>
        <w:gridCol w:w="907"/>
        <w:gridCol w:w="1247"/>
        <w:gridCol w:w="907"/>
        <w:gridCol w:w="1247"/>
        <w:gridCol w:w="907"/>
        <w:gridCol w:w="1247"/>
        <w:gridCol w:w="907"/>
        <w:gridCol w:w="1250"/>
        <w:gridCol w:w="907"/>
        <w:gridCol w:w="1219"/>
        <w:gridCol w:w="907"/>
      </w:tblGrid>
      <w:tr w:rsidR="00312369" w:rsidRPr="00990B7D" w:rsidTr="00E307A0">
        <w:trPr>
          <w:trHeight w:val="255"/>
        </w:trPr>
        <w:tc>
          <w:tcPr>
            <w:tcW w:w="2425" w:type="dxa"/>
            <w:tcBorders>
              <w:top w:val="single" w:sz="12" w:space="0" w:color="auto"/>
              <w:left w:val="nil"/>
              <w:bottom w:val="nil"/>
              <w:right w:val="nil"/>
            </w:tcBorders>
            <w:shd w:val="clear" w:color="auto" w:fill="auto"/>
            <w:noWrap/>
            <w:vAlign w:val="center"/>
            <w:hideMark/>
          </w:tcPr>
          <w:p w:rsidR="00312369" w:rsidRPr="00FD786A" w:rsidRDefault="00312369" w:rsidP="002E6636">
            <w:pPr>
              <w:spacing w:beforeLines="20" w:before="48" w:afterLines="20" w:after="48" w:line="240" w:lineRule="auto"/>
              <w:ind w:firstLine="0"/>
              <w:jc w:val="left"/>
              <w:rPr>
                <w:sz w:val="20"/>
                <w:szCs w:val="20"/>
                <w:lang w:val="en-US"/>
              </w:rPr>
            </w:pPr>
          </w:p>
        </w:tc>
        <w:tc>
          <w:tcPr>
            <w:tcW w:w="2211" w:type="dxa"/>
            <w:gridSpan w:val="2"/>
            <w:tcBorders>
              <w:top w:val="single" w:sz="12" w:space="0" w:color="auto"/>
              <w:left w:val="nil"/>
              <w:bottom w:val="single" w:sz="8" w:space="0" w:color="auto"/>
              <w:right w:val="nil"/>
            </w:tcBorders>
            <w:shd w:val="clear" w:color="auto" w:fill="auto"/>
            <w:noWrap/>
            <w:vAlign w:val="center"/>
            <w:hideMark/>
          </w:tcPr>
          <w:p w:rsidR="00312369" w:rsidRPr="00990B7D" w:rsidRDefault="00312369" w:rsidP="002E6636">
            <w:pPr>
              <w:spacing w:beforeLines="20" w:before="48" w:afterLines="20" w:after="48" w:line="240" w:lineRule="auto"/>
              <w:ind w:firstLine="0"/>
              <w:jc w:val="center"/>
              <w:rPr>
                <w:b/>
                <w:sz w:val="20"/>
                <w:szCs w:val="20"/>
                <w:lang w:val="fr-FR"/>
              </w:rPr>
            </w:pPr>
            <w:proofErr w:type="spellStart"/>
            <w:r w:rsidRPr="00990B7D">
              <w:rPr>
                <w:b/>
                <w:sz w:val="20"/>
                <w:szCs w:val="20"/>
                <w:lang w:val="fr-FR"/>
              </w:rPr>
              <w:t>Quoted</w:t>
            </w:r>
            <w:proofErr w:type="spellEnd"/>
            <w:r w:rsidRPr="00990B7D">
              <w:rPr>
                <w:b/>
                <w:sz w:val="20"/>
                <w:szCs w:val="20"/>
                <w:lang w:val="fr-FR"/>
              </w:rPr>
              <w:t xml:space="preserve"> </w:t>
            </w:r>
            <w:proofErr w:type="spellStart"/>
            <w:r w:rsidRPr="00990B7D">
              <w:rPr>
                <w:b/>
                <w:sz w:val="20"/>
                <w:szCs w:val="20"/>
                <w:lang w:val="fr-FR"/>
              </w:rPr>
              <w:t>spread</w:t>
            </w:r>
            <w:proofErr w:type="spellEnd"/>
          </w:p>
        </w:tc>
        <w:tc>
          <w:tcPr>
            <w:tcW w:w="2154" w:type="dxa"/>
            <w:gridSpan w:val="2"/>
            <w:tcBorders>
              <w:top w:val="single" w:sz="12" w:space="0" w:color="auto"/>
              <w:left w:val="nil"/>
              <w:bottom w:val="single" w:sz="8"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fr-FR"/>
              </w:rPr>
            </w:pPr>
            <w:r w:rsidRPr="00990B7D">
              <w:rPr>
                <w:b/>
                <w:sz w:val="20"/>
                <w:szCs w:val="20"/>
                <w:lang w:val="fr-FR"/>
              </w:rPr>
              <w:t xml:space="preserve">Effective </w:t>
            </w:r>
            <w:proofErr w:type="spellStart"/>
            <w:r w:rsidRPr="00990B7D">
              <w:rPr>
                <w:b/>
                <w:sz w:val="20"/>
                <w:szCs w:val="20"/>
                <w:lang w:val="fr-FR"/>
              </w:rPr>
              <w:t>spread</w:t>
            </w:r>
            <w:proofErr w:type="spellEnd"/>
          </w:p>
        </w:tc>
        <w:tc>
          <w:tcPr>
            <w:tcW w:w="2154" w:type="dxa"/>
            <w:gridSpan w:val="2"/>
            <w:tcBorders>
              <w:top w:val="single" w:sz="12" w:space="0" w:color="auto"/>
              <w:left w:val="nil"/>
              <w:bottom w:val="single" w:sz="8"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fr-FR"/>
              </w:rPr>
            </w:pPr>
            <w:r w:rsidRPr="00990B7D">
              <w:rPr>
                <w:b/>
                <w:sz w:val="20"/>
                <w:szCs w:val="20"/>
                <w:lang w:val="fr-FR"/>
              </w:rPr>
              <w:t>Best-</w:t>
            </w:r>
            <w:proofErr w:type="spellStart"/>
            <w:r w:rsidRPr="00990B7D">
              <w:rPr>
                <w:b/>
                <w:sz w:val="20"/>
                <w:szCs w:val="20"/>
                <w:lang w:val="fr-FR"/>
              </w:rPr>
              <w:t>limit</w:t>
            </w:r>
            <w:proofErr w:type="spellEnd"/>
            <w:r w:rsidRPr="00990B7D">
              <w:rPr>
                <w:b/>
                <w:sz w:val="20"/>
                <w:szCs w:val="20"/>
                <w:lang w:val="fr-FR"/>
              </w:rPr>
              <w:t xml:space="preserve"> </w:t>
            </w:r>
            <w:proofErr w:type="spellStart"/>
            <w:r w:rsidRPr="00990B7D">
              <w:rPr>
                <w:b/>
                <w:sz w:val="20"/>
                <w:szCs w:val="20"/>
                <w:lang w:val="fr-FR"/>
              </w:rPr>
              <w:t>depth</w:t>
            </w:r>
            <w:proofErr w:type="spellEnd"/>
          </w:p>
        </w:tc>
        <w:tc>
          <w:tcPr>
            <w:tcW w:w="2154" w:type="dxa"/>
            <w:gridSpan w:val="2"/>
            <w:tcBorders>
              <w:top w:val="single" w:sz="12" w:space="0" w:color="auto"/>
              <w:left w:val="nil"/>
              <w:bottom w:val="single" w:sz="8"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fr-FR"/>
              </w:rPr>
            </w:pPr>
            <w:proofErr w:type="spellStart"/>
            <w:r w:rsidRPr="00990B7D">
              <w:rPr>
                <w:b/>
                <w:sz w:val="20"/>
                <w:szCs w:val="20"/>
                <w:lang w:val="fr-FR"/>
              </w:rPr>
              <w:t>Adjusted</w:t>
            </w:r>
            <w:proofErr w:type="spellEnd"/>
            <w:r w:rsidRPr="00990B7D">
              <w:rPr>
                <w:b/>
                <w:sz w:val="20"/>
                <w:szCs w:val="20"/>
                <w:lang w:val="fr-FR"/>
              </w:rPr>
              <w:t xml:space="preserve"> block </w:t>
            </w:r>
            <w:proofErr w:type="spellStart"/>
            <w:r w:rsidRPr="00990B7D">
              <w:rPr>
                <w:b/>
                <w:sz w:val="20"/>
                <w:szCs w:val="20"/>
                <w:lang w:val="fr-FR"/>
              </w:rPr>
              <w:t>spread</w:t>
            </w:r>
            <w:proofErr w:type="spellEnd"/>
          </w:p>
        </w:tc>
        <w:tc>
          <w:tcPr>
            <w:tcW w:w="2157" w:type="dxa"/>
            <w:gridSpan w:val="2"/>
            <w:tcBorders>
              <w:top w:val="single" w:sz="12" w:space="0" w:color="auto"/>
              <w:left w:val="nil"/>
              <w:bottom w:val="single" w:sz="8"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 xml:space="preserve">5-min. </w:t>
            </w:r>
            <w:r>
              <w:rPr>
                <w:b/>
                <w:sz w:val="20"/>
                <w:szCs w:val="20"/>
                <w:lang w:val="en-US"/>
              </w:rPr>
              <w:t>price impact</w:t>
            </w:r>
          </w:p>
        </w:tc>
        <w:tc>
          <w:tcPr>
            <w:tcW w:w="2126" w:type="dxa"/>
            <w:gridSpan w:val="2"/>
            <w:tcBorders>
              <w:top w:val="single" w:sz="12" w:space="0" w:color="auto"/>
              <w:left w:val="nil"/>
              <w:bottom w:val="single" w:sz="8"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 xml:space="preserve">5-min. </w:t>
            </w:r>
            <w:r>
              <w:rPr>
                <w:b/>
                <w:sz w:val="20"/>
                <w:szCs w:val="20"/>
                <w:lang w:val="en-US"/>
              </w:rPr>
              <w:t>realized spread</w:t>
            </w:r>
          </w:p>
        </w:tc>
      </w:tr>
      <w:tr w:rsidR="00312369" w:rsidRPr="00990B7D" w:rsidTr="00E307A0">
        <w:trPr>
          <w:trHeight w:val="255"/>
        </w:trPr>
        <w:tc>
          <w:tcPr>
            <w:tcW w:w="2425" w:type="dxa"/>
            <w:tcBorders>
              <w:top w:val="nil"/>
              <w:left w:val="nil"/>
              <w:bottom w:val="single" w:sz="12" w:space="0" w:color="auto"/>
              <w:right w:val="nil"/>
            </w:tcBorders>
            <w:shd w:val="clear" w:color="auto" w:fill="auto"/>
            <w:noWrap/>
            <w:vAlign w:val="center"/>
            <w:hideMark/>
          </w:tcPr>
          <w:p w:rsidR="00312369" w:rsidRPr="00990B7D" w:rsidRDefault="00312369" w:rsidP="002E6636">
            <w:pPr>
              <w:spacing w:beforeLines="20" w:before="48" w:afterLines="20" w:after="48" w:line="240" w:lineRule="auto"/>
              <w:ind w:firstLine="0"/>
              <w:jc w:val="left"/>
              <w:rPr>
                <w:sz w:val="20"/>
                <w:szCs w:val="20"/>
                <w:lang w:val="en-US"/>
              </w:rPr>
            </w:pPr>
          </w:p>
        </w:tc>
        <w:tc>
          <w:tcPr>
            <w:tcW w:w="1304" w:type="dxa"/>
            <w:tcBorders>
              <w:top w:val="single" w:sz="8" w:space="0" w:color="auto"/>
              <w:left w:val="nil"/>
              <w:bottom w:val="single" w:sz="12" w:space="0" w:color="auto"/>
              <w:right w:val="nil"/>
            </w:tcBorders>
            <w:shd w:val="clear" w:color="auto" w:fill="auto"/>
            <w:noWrap/>
            <w:vAlign w:val="center"/>
            <w:hideMark/>
          </w:tcPr>
          <w:p w:rsidR="00312369" w:rsidRPr="00990B7D"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Estimate</w:t>
            </w:r>
          </w:p>
        </w:tc>
        <w:tc>
          <w:tcPr>
            <w:tcW w:w="90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i/>
                <w:sz w:val="20"/>
                <w:szCs w:val="20"/>
                <w:lang w:val="en-US"/>
              </w:rPr>
              <w:t>p</w:t>
            </w:r>
            <w:r w:rsidRPr="00990B7D">
              <w:rPr>
                <w:b/>
                <w:sz w:val="20"/>
                <w:szCs w:val="20"/>
                <w:lang w:val="en-US"/>
              </w:rPr>
              <w:t>-value</w:t>
            </w:r>
          </w:p>
        </w:tc>
        <w:tc>
          <w:tcPr>
            <w:tcW w:w="124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Estimate</w:t>
            </w:r>
          </w:p>
        </w:tc>
        <w:tc>
          <w:tcPr>
            <w:tcW w:w="90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i/>
                <w:sz w:val="20"/>
                <w:szCs w:val="20"/>
                <w:lang w:val="en-US"/>
              </w:rPr>
              <w:t>p</w:t>
            </w:r>
            <w:r w:rsidRPr="00990B7D">
              <w:rPr>
                <w:b/>
                <w:sz w:val="20"/>
                <w:szCs w:val="20"/>
                <w:lang w:val="en-US"/>
              </w:rPr>
              <w:t>-value</w:t>
            </w:r>
          </w:p>
        </w:tc>
        <w:tc>
          <w:tcPr>
            <w:tcW w:w="124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Estimate</w:t>
            </w:r>
          </w:p>
        </w:tc>
        <w:tc>
          <w:tcPr>
            <w:tcW w:w="90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i/>
                <w:sz w:val="20"/>
                <w:szCs w:val="20"/>
                <w:lang w:val="en-US"/>
              </w:rPr>
              <w:t>p</w:t>
            </w:r>
            <w:r w:rsidRPr="00990B7D">
              <w:rPr>
                <w:b/>
                <w:sz w:val="20"/>
                <w:szCs w:val="20"/>
                <w:lang w:val="en-US"/>
              </w:rPr>
              <w:t>-value</w:t>
            </w:r>
          </w:p>
        </w:tc>
        <w:tc>
          <w:tcPr>
            <w:tcW w:w="124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Estimate</w:t>
            </w:r>
          </w:p>
        </w:tc>
        <w:tc>
          <w:tcPr>
            <w:tcW w:w="90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i/>
                <w:sz w:val="20"/>
                <w:szCs w:val="20"/>
                <w:lang w:val="en-US"/>
              </w:rPr>
              <w:t>p</w:t>
            </w:r>
            <w:r w:rsidRPr="00990B7D">
              <w:rPr>
                <w:b/>
                <w:sz w:val="20"/>
                <w:szCs w:val="20"/>
                <w:lang w:val="en-US"/>
              </w:rPr>
              <w:t>-value</w:t>
            </w:r>
          </w:p>
        </w:tc>
        <w:tc>
          <w:tcPr>
            <w:tcW w:w="1250"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Estimate</w:t>
            </w:r>
          </w:p>
        </w:tc>
        <w:tc>
          <w:tcPr>
            <w:tcW w:w="90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i/>
                <w:sz w:val="20"/>
                <w:szCs w:val="20"/>
                <w:lang w:val="en-US"/>
              </w:rPr>
              <w:t>p</w:t>
            </w:r>
            <w:r w:rsidRPr="00990B7D">
              <w:rPr>
                <w:b/>
                <w:sz w:val="20"/>
                <w:szCs w:val="20"/>
                <w:lang w:val="en-US"/>
              </w:rPr>
              <w:t>-value</w:t>
            </w:r>
          </w:p>
        </w:tc>
        <w:tc>
          <w:tcPr>
            <w:tcW w:w="1219"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sz w:val="20"/>
                <w:szCs w:val="20"/>
                <w:lang w:val="en-US"/>
              </w:rPr>
              <w:t>Estimate</w:t>
            </w:r>
          </w:p>
        </w:tc>
        <w:tc>
          <w:tcPr>
            <w:tcW w:w="907" w:type="dxa"/>
            <w:tcBorders>
              <w:top w:val="single" w:sz="8" w:space="0" w:color="auto"/>
              <w:left w:val="nil"/>
              <w:bottom w:val="single" w:sz="12" w:space="0" w:color="auto"/>
              <w:right w:val="nil"/>
            </w:tcBorders>
            <w:shd w:val="clear" w:color="auto" w:fill="auto"/>
            <w:noWrap/>
            <w:vAlign w:val="center"/>
            <w:hideMark/>
          </w:tcPr>
          <w:p w:rsidR="00AC3229" w:rsidRDefault="00312369" w:rsidP="002E6636">
            <w:pPr>
              <w:spacing w:beforeLines="20" w:before="48" w:afterLines="20" w:after="48" w:line="240" w:lineRule="auto"/>
              <w:ind w:firstLine="0"/>
              <w:jc w:val="center"/>
              <w:rPr>
                <w:b/>
                <w:sz w:val="20"/>
                <w:szCs w:val="20"/>
                <w:lang w:val="en-US"/>
              </w:rPr>
            </w:pPr>
            <w:r w:rsidRPr="00990B7D">
              <w:rPr>
                <w:b/>
                <w:i/>
                <w:sz w:val="20"/>
                <w:szCs w:val="20"/>
                <w:lang w:val="en-US"/>
              </w:rPr>
              <w:t>p</w:t>
            </w:r>
            <w:r w:rsidRPr="00990B7D">
              <w:rPr>
                <w:b/>
                <w:sz w:val="20"/>
                <w:szCs w:val="20"/>
                <w:lang w:val="en-US"/>
              </w:rPr>
              <w:t>-value</w:t>
            </w:r>
          </w:p>
        </w:tc>
      </w:tr>
      <w:tr w:rsidR="00312369" w:rsidRPr="00990B7D" w:rsidTr="00E307A0">
        <w:trPr>
          <w:trHeight w:val="255"/>
        </w:trPr>
        <w:tc>
          <w:tcPr>
            <w:tcW w:w="2425" w:type="dxa"/>
            <w:tcBorders>
              <w:top w:val="single" w:sz="12" w:space="0" w:color="auto"/>
              <w:left w:val="nil"/>
              <w:bottom w:val="single" w:sz="4" w:space="0" w:color="auto"/>
              <w:right w:val="nil"/>
            </w:tcBorders>
            <w:shd w:val="clear" w:color="auto" w:fill="auto"/>
            <w:noWrap/>
            <w:vAlign w:val="center"/>
            <w:hideMark/>
          </w:tcPr>
          <w:p w:rsidR="00312369" w:rsidRPr="00990B7D" w:rsidRDefault="00312369" w:rsidP="002E6636">
            <w:pPr>
              <w:spacing w:beforeLines="20" w:before="48" w:afterLines="20" w:after="48" w:line="240" w:lineRule="auto"/>
              <w:ind w:firstLine="0"/>
              <w:jc w:val="left"/>
              <w:rPr>
                <w:b/>
                <w:sz w:val="20"/>
                <w:szCs w:val="20"/>
                <w:lang w:val="fr-FR"/>
              </w:rPr>
            </w:pPr>
            <w:r w:rsidRPr="00990B7D">
              <w:rPr>
                <w:b/>
                <w:sz w:val="20"/>
                <w:szCs w:val="20"/>
                <w:lang w:val="en-US"/>
              </w:rPr>
              <w:t xml:space="preserve">Panel A – Basic </w:t>
            </w:r>
            <w:r w:rsidRPr="00990B7D">
              <w:rPr>
                <w:b/>
                <w:sz w:val="20"/>
                <w:szCs w:val="20"/>
                <w:lang w:val="fr-FR"/>
              </w:rPr>
              <w:t>model</w:t>
            </w:r>
          </w:p>
        </w:tc>
        <w:tc>
          <w:tcPr>
            <w:tcW w:w="1304" w:type="dxa"/>
            <w:tcBorders>
              <w:top w:val="single" w:sz="12" w:space="0" w:color="auto"/>
              <w:left w:val="nil"/>
              <w:bottom w:val="single" w:sz="4" w:space="0" w:color="auto"/>
              <w:right w:val="nil"/>
            </w:tcBorders>
            <w:shd w:val="clear" w:color="auto" w:fill="auto"/>
            <w:noWrap/>
            <w:vAlign w:val="center"/>
            <w:hideMark/>
          </w:tcPr>
          <w:p w:rsidR="00312369" w:rsidRPr="00990B7D" w:rsidRDefault="00312369" w:rsidP="002E6636">
            <w:pPr>
              <w:spacing w:beforeLines="20" w:before="48" w:afterLines="20" w:after="48" w:line="240" w:lineRule="auto"/>
              <w:ind w:firstLine="0"/>
              <w:jc w:val="center"/>
              <w:rPr>
                <w:b/>
                <w:sz w:val="20"/>
                <w:szCs w:val="20"/>
                <w:lang w:val="fr-FR"/>
              </w:rPr>
            </w:pPr>
          </w:p>
        </w:tc>
        <w:tc>
          <w:tcPr>
            <w:tcW w:w="90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124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90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124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90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124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90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1250"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90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1219"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c>
          <w:tcPr>
            <w:tcW w:w="907" w:type="dxa"/>
            <w:tcBorders>
              <w:top w:val="single" w:sz="12" w:space="0" w:color="auto"/>
              <w:left w:val="nil"/>
              <w:bottom w:val="single" w:sz="4" w:space="0" w:color="auto"/>
              <w:right w:val="nil"/>
            </w:tcBorders>
            <w:shd w:val="clear" w:color="auto" w:fill="auto"/>
            <w:noWrap/>
            <w:vAlign w:val="center"/>
            <w:hideMark/>
          </w:tcPr>
          <w:p w:rsidR="00AC3229" w:rsidRDefault="00AC3229" w:rsidP="002E6636">
            <w:pPr>
              <w:spacing w:beforeLines="20" w:before="48" w:afterLines="20" w:after="48" w:line="240" w:lineRule="auto"/>
              <w:ind w:firstLine="0"/>
              <w:jc w:val="center"/>
              <w:rPr>
                <w:b/>
                <w:sz w:val="20"/>
                <w:szCs w:val="20"/>
                <w:lang w:val="fr-FR"/>
              </w:rPr>
            </w:pPr>
          </w:p>
        </w:tc>
      </w:tr>
      <w:tr w:rsidR="00CD66CB" w:rsidRPr="00990B7D" w:rsidTr="00CD66CB">
        <w:trPr>
          <w:trHeight w:val="255"/>
        </w:trPr>
        <w:tc>
          <w:tcPr>
            <w:tcW w:w="2425" w:type="dxa"/>
            <w:tcBorders>
              <w:top w:val="single" w:sz="4" w:space="0" w:color="auto"/>
              <w:left w:val="nil"/>
              <w:bottom w:val="nil"/>
              <w:right w:val="nil"/>
            </w:tcBorders>
            <w:shd w:val="clear" w:color="auto" w:fill="auto"/>
            <w:noWrap/>
            <w:vAlign w:val="center"/>
            <w:hideMark/>
          </w:tcPr>
          <w:p w:rsidR="00CD66CB" w:rsidRPr="00990B7D" w:rsidRDefault="00CD66CB" w:rsidP="002E6636">
            <w:pPr>
              <w:spacing w:beforeLines="20" w:before="48" w:afterLines="20" w:after="48" w:line="240" w:lineRule="auto"/>
              <w:ind w:firstLine="0"/>
              <w:jc w:val="left"/>
              <w:rPr>
                <w:sz w:val="20"/>
                <w:szCs w:val="20"/>
                <w:lang w:val="fr-FR"/>
              </w:rPr>
            </w:pPr>
            <w:proofErr w:type="spellStart"/>
            <w:r w:rsidRPr="00990B7D">
              <w:rPr>
                <w:sz w:val="20"/>
                <w:szCs w:val="20"/>
                <w:lang w:val="fr-FR"/>
              </w:rPr>
              <w:t>Intercept</w:t>
            </w:r>
            <w:proofErr w:type="spellEnd"/>
          </w:p>
        </w:tc>
        <w:tc>
          <w:tcPr>
            <w:tcW w:w="1304"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0.9315</w:t>
            </w:r>
            <w:r>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0.9823</w:t>
            </w:r>
            <w:r w:rsidR="005D4A8E">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5.6282</w:t>
            </w:r>
            <w:r w:rsidR="005D4A8E">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0.5897</w:t>
            </w:r>
            <w:r w:rsidR="008908C1">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0.3706</w:t>
            </w:r>
            <w:r w:rsidR="008908C1">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0.6917</w:t>
            </w:r>
            <w:r w:rsidR="00352364">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2E6636">
            <w:pPr>
              <w:spacing w:beforeLines="20" w:before="48" w:afterLines="20" w:after="48" w:line="240" w:lineRule="auto"/>
              <w:ind w:firstLine="0"/>
              <w:jc w:val="left"/>
              <w:rPr>
                <w:sz w:val="20"/>
                <w:szCs w:val="20"/>
                <w:lang w:val="fr-FR"/>
              </w:rPr>
            </w:pPr>
            <w:r w:rsidRPr="00990B7D">
              <w:rPr>
                <w:rFonts w:ascii="Symbol" w:hAnsi="Symbol"/>
                <w:i/>
                <w:iCs/>
                <w:sz w:val="20"/>
                <w:szCs w:val="20"/>
                <w:lang w:val="en-US"/>
              </w:rPr>
              <w:t></w:t>
            </w:r>
            <w:r w:rsidRPr="00990B7D">
              <w:rPr>
                <w:i/>
                <w:iCs/>
                <w:sz w:val="20"/>
                <w:szCs w:val="20"/>
                <w:vertAlign w:val="subscript"/>
                <w:lang w:val="en-US"/>
              </w:rPr>
              <w:t>it</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2.6501</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3.8942</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-3.4920</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2.8104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4.0427</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0.0243</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0.2404</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2E6636">
            <w:pPr>
              <w:spacing w:beforeLines="20" w:before="48" w:afterLines="20" w:after="48" w:line="240" w:lineRule="auto"/>
              <w:ind w:firstLine="0"/>
              <w:jc w:val="left"/>
              <w:rPr>
                <w:sz w:val="20"/>
                <w:szCs w:val="20"/>
                <w:lang w:val="fr-FR"/>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-0.0784</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-0.0850</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0.3298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-0.1687</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-0.0409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-0.0505</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2E6636">
            <w:pPr>
              <w:spacing w:beforeLines="20" w:before="48" w:afterLines="20" w:after="48" w:line="240" w:lineRule="auto"/>
              <w:ind w:firstLine="0"/>
              <w:jc w:val="left"/>
              <w:rPr>
                <w:sz w:val="20"/>
                <w:szCs w:val="20"/>
                <w:lang w:val="fr-FR"/>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0.0090</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0.0012</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0.2785</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0.3998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0.2646</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0.0072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-0.0119</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0.0006</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-0.0022</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0.0006</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0.0291</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0.0168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0.0182</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0.0281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0.2770</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0.0181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-0.0072</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0.0264</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-0.0791</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-0.0794</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-0.0001</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0.9918</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-0.2103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-0.0204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-0.0420</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single" w:sz="8" w:space="0" w:color="auto"/>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r w:rsidRPr="00990B7D">
              <w:rPr>
                <w:i/>
                <w:iCs/>
                <w:sz w:val="20"/>
                <w:szCs w:val="20"/>
                <w:lang w:val="en-US"/>
              </w:rPr>
              <w:t>×w</w:t>
            </w:r>
            <w:r w:rsidRPr="00990B7D">
              <w:rPr>
                <w:i/>
                <w:iCs/>
                <w:sz w:val="20"/>
                <w:szCs w:val="20"/>
                <w:vertAlign w:val="subscript"/>
                <w:lang w:val="en-US"/>
              </w:rPr>
              <w:t>i</w:t>
            </w:r>
            <w:proofErr w:type="spellEnd"/>
          </w:p>
        </w:tc>
        <w:tc>
          <w:tcPr>
            <w:tcW w:w="1304"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0.0088</w:t>
            </w:r>
            <w:r w:rsidR="005D4A8E">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0.0135</w:t>
            </w:r>
            <w:r w:rsidR="005D4A8E">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0.0669</w:t>
            </w:r>
            <w:r w:rsidR="005D4A8E">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0.0104</w:t>
            </w:r>
            <w:r w:rsidR="008908C1">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0.0021</w:t>
            </w:r>
            <w:r w:rsidR="008908C1">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0.0112</w:t>
            </w:r>
            <w:r w:rsidR="00352364">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single" w:sz="8" w:space="0" w:color="auto"/>
              <w:left w:val="nil"/>
              <w:bottom w:val="single" w:sz="12" w:space="0" w:color="auto"/>
              <w:right w:val="nil"/>
            </w:tcBorders>
            <w:shd w:val="clear" w:color="auto" w:fill="auto"/>
            <w:noWrap/>
            <w:vAlign w:val="center"/>
            <w:hideMark/>
          </w:tcPr>
          <w:p w:rsidR="00CD66CB" w:rsidRPr="00990B7D" w:rsidRDefault="00CD66CB" w:rsidP="002E6636">
            <w:pPr>
              <w:spacing w:beforeLines="20" w:before="48" w:afterLines="20" w:after="48" w:line="240" w:lineRule="auto"/>
              <w:ind w:firstLine="0"/>
              <w:jc w:val="left"/>
              <w:rPr>
                <w:sz w:val="20"/>
                <w:szCs w:val="20"/>
                <w:lang w:val="fr-FR"/>
              </w:rPr>
            </w:pPr>
            <w:r w:rsidRPr="00990B7D">
              <w:rPr>
                <w:sz w:val="20"/>
                <w:szCs w:val="20"/>
                <w:lang w:val="fr-FR"/>
              </w:rPr>
              <w:t>R-Square</w:t>
            </w:r>
          </w:p>
        </w:tc>
        <w:tc>
          <w:tcPr>
            <w:tcW w:w="1304"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70.93%</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4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77.45%</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4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88.24%</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4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64.38%</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50"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79.30%</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19"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56.63%</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r>
      <w:tr w:rsidR="006C05C8" w:rsidRPr="00990B7D" w:rsidTr="006C05C8">
        <w:trPr>
          <w:trHeight w:val="255"/>
        </w:trPr>
        <w:tc>
          <w:tcPr>
            <w:tcW w:w="2425" w:type="dxa"/>
            <w:tcBorders>
              <w:top w:val="single" w:sz="12" w:space="0" w:color="auto"/>
              <w:left w:val="nil"/>
              <w:bottom w:val="single" w:sz="4" w:space="0" w:color="auto"/>
              <w:right w:val="nil"/>
            </w:tcBorders>
            <w:shd w:val="clear" w:color="auto" w:fill="auto"/>
            <w:noWrap/>
            <w:vAlign w:val="center"/>
            <w:hideMark/>
          </w:tcPr>
          <w:p w:rsidR="006C05C8" w:rsidRPr="00990B7D" w:rsidRDefault="006C05C8" w:rsidP="002E6636">
            <w:pPr>
              <w:spacing w:beforeLines="20" w:before="48" w:afterLines="20" w:after="48" w:line="240" w:lineRule="auto"/>
              <w:ind w:firstLine="0"/>
              <w:jc w:val="left"/>
              <w:rPr>
                <w:b/>
                <w:sz w:val="20"/>
                <w:szCs w:val="20"/>
                <w:lang w:val="fr-FR"/>
              </w:rPr>
            </w:pPr>
            <w:r w:rsidRPr="00990B7D">
              <w:rPr>
                <w:b/>
                <w:sz w:val="20"/>
                <w:szCs w:val="20"/>
                <w:lang w:val="fr-FR"/>
              </w:rPr>
              <w:t>Panel B – Extended model</w:t>
            </w:r>
          </w:p>
        </w:tc>
        <w:tc>
          <w:tcPr>
            <w:tcW w:w="1304"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90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124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90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124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90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124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90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1250"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90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1219"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c>
          <w:tcPr>
            <w:tcW w:w="907" w:type="dxa"/>
            <w:tcBorders>
              <w:top w:val="single" w:sz="12" w:space="0" w:color="auto"/>
              <w:left w:val="nil"/>
              <w:bottom w:val="single" w:sz="4" w:space="0" w:color="auto"/>
              <w:right w:val="nil"/>
            </w:tcBorders>
            <w:shd w:val="clear" w:color="auto" w:fill="auto"/>
            <w:noWrap/>
            <w:vAlign w:val="bottom"/>
            <w:hideMark/>
          </w:tcPr>
          <w:p w:rsidR="006C05C8" w:rsidRPr="006C05C8" w:rsidRDefault="006C05C8" w:rsidP="002E6636">
            <w:pPr>
              <w:spacing w:beforeLines="20" w:before="48" w:afterLines="20" w:after="48" w:line="240" w:lineRule="auto"/>
              <w:ind w:firstLine="0"/>
              <w:jc w:val="center"/>
              <w:rPr>
                <w:sz w:val="20"/>
                <w:szCs w:val="20"/>
              </w:rPr>
            </w:pPr>
          </w:p>
        </w:tc>
      </w:tr>
      <w:tr w:rsidR="00CD66CB" w:rsidRPr="00990B7D" w:rsidTr="00CD66CB">
        <w:trPr>
          <w:trHeight w:val="255"/>
        </w:trPr>
        <w:tc>
          <w:tcPr>
            <w:tcW w:w="2425" w:type="dxa"/>
            <w:tcBorders>
              <w:top w:val="single" w:sz="4" w:space="0" w:color="auto"/>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sz w:val="20"/>
                <w:szCs w:val="20"/>
                <w:lang w:val="en-US"/>
              </w:rPr>
            </w:pPr>
            <w:r w:rsidRPr="00990B7D">
              <w:rPr>
                <w:sz w:val="20"/>
                <w:szCs w:val="20"/>
                <w:lang w:val="en-US"/>
              </w:rPr>
              <w:t>Intercept</w:t>
            </w:r>
          </w:p>
        </w:tc>
        <w:tc>
          <w:tcPr>
            <w:tcW w:w="1304"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0.8620</w:t>
            </w:r>
            <w:r w:rsidR="005D4A8E">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0.9117</w:t>
            </w:r>
            <w:r w:rsidR="005D4A8E">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5.8933</w:t>
            </w:r>
            <w:r w:rsidR="008908C1">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0.4949</w:t>
            </w:r>
            <w:r w:rsidR="008908C1">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0.3120</w:t>
            </w:r>
            <w:r w:rsidR="008908C1">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single" w:sz="4" w:space="0" w:color="auto"/>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0.6691</w:t>
            </w:r>
            <w:r w:rsidR="00352364">
              <w:rPr>
                <w:sz w:val="20"/>
                <w:szCs w:val="20"/>
              </w:rPr>
              <w:t>***</w:t>
            </w:r>
          </w:p>
        </w:tc>
        <w:tc>
          <w:tcPr>
            <w:tcW w:w="907" w:type="dxa"/>
            <w:tcBorders>
              <w:top w:val="single" w:sz="4" w:space="0" w:color="auto"/>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rFonts w:ascii="Symbol" w:hAnsi="Symbol"/>
                <w:i/>
                <w:iCs/>
                <w:sz w:val="20"/>
                <w:szCs w:val="20"/>
                <w:lang w:val="en-US"/>
              </w:rPr>
              <w:t></w:t>
            </w:r>
            <w:r w:rsidRPr="00990B7D">
              <w:rPr>
                <w:i/>
                <w:iCs/>
                <w:sz w:val="20"/>
                <w:szCs w:val="20"/>
                <w:vertAlign w:val="subscript"/>
                <w:lang w:val="en-US"/>
              </w:rPr>
              <w:t>it</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2.8200</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4.6395</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-2.6954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3.3678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4.5872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0.0802</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0.1515</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rFonts w:ascii="Symbol" w:hAnsi="Symbol"/>
                <w:i/>
                <w:iCs/>
                <w:sz w:val="20"/>
                <w:szCs w:val="20"/>
                <w:lang w:val="en-US"/>
              </w:rPr>
            </w:pPr>
            <w:r w:rsidRPr="00990B7D">
              <w:rPr>
                <w:rFonts w:ascii="Symbol" w:hAnsi="Symbol"/>
                <w:i/>
                <w:iCs/>
                <w:sz w:val="20"/>
                <w:szCs w:val="20"/>
                <w:lang w:val="en-US"/>
              </w:rPr>
              <w:t></w:t>
            </w:r>
            <w:r w:rsidRPr="00990B7D">
              <w:rPr>
                <w:i/>
                <w:iCs/>
                <w:sz w:val="20"/>
                <w:szCs w:val="20"/>
                <w:vertAlign w:val="subscript"/>
                <w:lang w:val="en-US"/>
              </w:rPr>
              <w:t>it</w:t>
            </w:r>
            <w:r w:rsidRPr="00990B7D">
              <w:rPr>
                <w:i/>
                <w:iCs/>
                <w:sz w:val="20"/>
                <w:szCs w:val="20"/>
                <w:lang w:val="en-US"/>
              </w:rPr>
              <w:t>× 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-1.6855</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-3.0595</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-0.6552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0.0025</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-2.5679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-2.5862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-0.4316</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rFonts w:ascii="Symbol" w:hAnsi="Symbol"/>
                <w:i/>
                <w:iCs/>
                <w:sz w:val="20"/>
                <w:szCs w:val="20"/>
                <w:lang w:val="en-US"/>
              </w:rPr>
              <w:t></w:t>
            </w:r>
            <w:proofErr w:type="spellStart"/>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1.2079</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0.7963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-0.9308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1.2886</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0.6144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0.1644</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0.0449</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rFonts w:ascii="Symbol" w:hAnsi="Symbol"/>
                <w:i/>
                <w:iCs/>
                <w:sz w:val="20"/>
                <w:szCs w:val="20"/>
                <w:lang w:val="en-US"/>
              </w:rPr>
              <w:t></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-1.2279</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-0.8823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1.5778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-1.5053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-0.3708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-0.3680</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sz w:val="20"/>
                <w:szCs w:val="20"/>
                <w:lang w:val="en-US"/>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-0.0747</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-0.0851</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0.2748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-0.1761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-0.0380</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-0.0517</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sz w:val="20"/>
                <w:szCs w:val="20"/>
                <w:lang w:val="en-US"/>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proofErr w:type="spellEnd"/>
            <w:r w:rsidRPr="00990B7D">
              <w:rPr>
                <w:i/>
                <w:iCs/>
                <w:sz w:val="20"/>
                <w:szCs w:val="20"/>
                <w:lang w:val="en-US"/>
              </w:rPr>
              <w:t>× 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0.0199</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0.0290</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0.0600</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0.1160</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0.0147</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0.0132</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-0.0126</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-0.0123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0.0272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-0.0711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-0.0034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0.0317</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-0.0073</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sz w:val="20"/>
                <w:szCs w:val="20"/>
                <w:lang w:val="en-US"/>
              </w:rPr>
              <w:t>ln</w:t>
            </w:r>
            <w:r w:rsidRPr="00990B7D">
              <w:rPr>
                <w:i/>
                <w:iCs/>
                <w:sz w:val="20"/>
                <w:szCs w:val="20"/>
                <w:lang w:val="en-US"/>
              </w:rPr>
              <w:t>V</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0.0333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0.0427</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-0.0361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0.0588</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0.0099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0.0326</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sz w:val="20"/>
                <w:szCs w:val="20"/>
                <w:lang w:val="en-US"/>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0.0258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0.0168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0.4136</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0.3113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0.0129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-0.0027</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0.0993</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sz w:val="20"/>
                <w:szCs w:val="20"/>
                <w:lang w:val="en-US"/>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proofErr w:type="spellEnd"/>
            <w:r w:rsidRPr="00990B7D">
              <w:rPr>
                <w:i/>
                <w:iCs/>
                <w:sz w:val="20"/>
                <w:szCs w:val="20"/>
                <w:lang w:val="en-US"/>
              </w:rPr>
              <w:t>× 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-0.0491</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-0.0526</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-0.0579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-0.2654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-0.0183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-0.0296</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-0.0106</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0.0004</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-0.0142</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-0.0222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0.0092</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0.1284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-0.0071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0.0083</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-0.0118</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sz w:val="20"/>
                <w:szCs w:val="20"/>
                <w:lang w:val="en-US"/>
              </w:rPr>
              <w:lastRenderedPageBreak/>
              <w:t>ln</w:t>
            </w:r>
            <w:r w:rsidRPr="00990B7D">
              <w:rPr>
                <w:i/>
                <w:iCs/>
                <w:sz w:val="20"/>
                <w:szCs w:val="20"/>
                <w:lang w:val="en-US"/>
              </w:rPr>
              <w:t>P</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0.0221</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0.0353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0.0705</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-0.0881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0.0091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0.0007</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0.0310</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0.0004</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0.0008</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-0.0016</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0.0007</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proofErr w:type="spellEnd"/>
            <w:r w:rsidRPr="00990B7D">
              <w:rPr>
                <w:i/>
                <w:iCs/>
                <w:sz w:val="20"/>
                <w:szCs w:val="20"/>
                <w:lang w:val="en-US"/>
              </w:rPr>
              <w:t>× 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0.0000</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0.7646</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-0.0012</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-0.0006</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8908C1" w:rsidRPr="00CD66CB" w:rsidRDefault="00CD66CB" w:rsidP="002E6636">
            <w:pPr>
              <w:spacing w:beforeLines="20" w:before="48" w:afterLines="20" w:after="48" w:line="240" w:lineRule="auto"/>
              <w:ind w:firstLine="0"/>
              <w:jc w:val="center"/>
              <w:rPr>
                <w:sz w:val="20"/>
                <w:szCs w:val="20"/>
              </w:rPr>
            </w:pPr>
            <w:r w:rsidRPr="00CD66CB">
              <w:rPr>
                <w:sz w:val="20"/>
                <w:szCs w:val="20"/>
              </w:rPr>
              <w:t>-0.0001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0.0488</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-0.0003</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0.0005</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0.0001</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0.4087</w:t>
            </w:r>
          </w:p>
        </w:tc>
        <w:tc>
          <w:tcPr>
            <w:tcW w:w="124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0.0000</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0.7583</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-0.0002</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0.3898</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0.0562</w:t>
            </w:r>
          </w:p>
        </w:tc>
        <w:tc>
          <w:tcPr>
            <w:tcW w:w="1250"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0.000</w:t>
            </w:r>
            <w:r w:rsidR="00352364">
              <w:rPr>
                <w:sz w:val="20"/>
                <w:szCs w:val="20"/>
              </w:rPr>
              <w:t>0</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0.7571</w:t>
            </w:r>
          </w:p>
        </w:tc>
        <w:tc>
          <w:tcPr>
            <w:tcW w:w="1219"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0.000</w:t>
            </w:r>
            <w:r w:rsidR="00352364">
              <w:rPr>
                <w:sz w:val="20"/>
                <w:szCs w:val="20"/>
              </w:rPr>
              <w:t>0</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0.8283</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i/>
                <w:iCs/>
                <w:sz w:val="20"/>
                <w:szCs w:val="20"/>
                <w:lang w:val="en-US"/>
              </w:rPr>
              <w:t>OIB</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-0.0003</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0.0021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-0.0004</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0.0025</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0.0002</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0.4646</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0.0009</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-0.0001</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0.1443</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-0.0002</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0.0793</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proofErr w:type="spellEnd"/>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0.1050</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0.1249</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-0.0048</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0.9270</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0.2363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0.0391</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0.0085</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0.0859</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nil"/>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304"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-0.3797</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-0.5467</w:t>
            </w:r>
            <w:r w:rsidR="005D4A8E">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-0.2113</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0.0076</w:t>
            </w:r>
          </w:p>
        </w:tc>
        <w:tc>
          <w:tcPr>
            <w:tcW w:w="1247"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-0.2134</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-0.1145</w:t>
            </w:r>
            <w:r w:rsidR="008908C1">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nil"/>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-0.4583</w:t>
            </w:r>
            <w:r w:rsidR="00352364">
              <w:rPr>
                <w:sz w:val="20"/>
                <w:szCs w:val="20"/>
              </w:rPr>
              <w:t>***</w:t>
            </w:r>
          </w:p>
        </w:tc>
        <w:tc>
          <w:tcPr>
            <w:tcW w:w="907" w:type="dxa"/>
            <w:tcBorders>
              <w:top w:val="nil"/>
              <w:left w:val="nil"/>
              <w:bottom w:val="nil"/>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r>
      <w:tr w:rsidR="00CD66CB" w:rsidRPr="00990B7D" w:rsidTr="00CD66CB">
        <w:trPr>
          <w:trHeight w:val="255"/>
        </w:trPr>
        <w:tc>
          <w:tcPr>
            <w:tcW w:w="2425" w:type="dxa"/>
            <w:tcBorders>
              <w:top w:val="nil"/>
              <w:left w:val="nil"/>
              <w:bottom w:val="single" w:sz="8" w:space="0" w:color="auto"/>
              <w:right w:val="nil"/>
            </w:tcBorders>
            <w:shd w:val="clear" w:color="auto" w:fill="auto"/>
            <w:noWrap/>
            <w:vAlign w:val="center"/>
            <w:hideMark/>
          </w:tcPr>
          <w:p w:rsidR="00CD66CB" w:rsidRPr="00990B7D" w:rsidRDefault="00CD66CB" w:rsidP="00E307A0">
            <w:pPr>
              <w:spacing w:before="20" w:after="20" w:line="240" w:lineRule="auto"/>
              <w:ind w:firstLine="0"/>
              <w:jc w:val="left"/>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r w:rsidRPr="00990B7D">
              <w:rPr>
                <w:i/>
                <w:iCs/>
                <w:sz w:val="20"/>
                <w:szCs w:val="20"/>
                <w:lang w:val="en-US"/>
              </w:rPr>
              <w:t>×w</w:t>
            </w:r>
            <w:r w:rsidRPr="00990B7D">
              <w:rPr>
                <w:i/>
                <w:iCs/>
                <w:sz w:val="20"/>
                <w:szCs w:val="20"/>
                <w:vertAlign w:val="subscript"/>
                <w:lang w:val="en-US"/>
              </w:rPr>
              <w:t>i</w:t>
            </w:r>
            <w:proofErr w:type="spellEnd"/>
          </w:p>
        </w:tc>
        <w:tc>
          <w:tcPr>
            <w:tcW w:w="1304"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-0.0057</w:t>
            </w:r>
            <w:r w:rsidR="005D4A8E">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-0.0066</w:t>
            </w:r>
            <w:r w:rsidR="005D4A8E">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0.0672</w:t>
            </w:r>
            <w:r w:rsidR="008908C1">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4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-0.0052</w:t>
            </w:r>
            <w:r w:rsidR="008908C1">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50"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-0.0035</w:t>
            </w:r>
            <w:r w:rsidR="008908C1">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5D4A8E" w:rsidP="002E6636">
            <w:pPr>
              <w:spacing w:beforeLines="20" w:before="48" w:afterLines="20" w:after="48" w:line="240" w:lineRule="auto"/>
              <w:ind w:firstLine="0"/>
              <w:jc w:val="center"/>
              <w:rPr>
                <w:sz w:val="20"/>
                <w:szCs w:val="20"/>
              </w:rPr>
            </w:pPr>
            <w:r>
              <w:rPr>
                <w:sz w:val="20"/>
                <w:szCs w:val="20"/>
              </w:rPr>
              <w:t>&lt;0.0001</w:t>
            </w:r>
          </w:p>
        </w:tc>
        <w:tc>
          <w:tcPr>
            <w:tcW w:w="1219"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-0.0015</w:t>
            </w:r>
            <w:r w:rsidR="00352364">
              <w:rPr>
                <w:sz w:val="20"/>
                <w:szCs w:val="20"/>
              </w:rPr>
              <w:t>***</w:t>
            </w:r>
          </w:p>
        </w:tc>
        <w:tc>
          <w:tcPr>
            <w:tcW w:w="907" w:type="dxa"/>
            <w:tcBorders>
              <w:top w:val="nil"/>
              <w:left w:val="nil"/>
              <w:bottom w:val="single" w:sz="8"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0.0100</w:t>
            </w:r>
          </w:p>
        </w:tc>
      </w:tr>
      <w:tr w:rsidR="00CD66CB" w:rsidRPr="00990B7D" w:rsidTr="00CD66CB">
        <w:trPr>
          <w:trHeight w:val="255"/>
        </w:trPr>
        <w:tc>
          <w:tcPr>
            <w:tcW w:w="2425" w:type="dxa"/>
            <w:tcBorders>
              <w:top w:val="single" w:sz="8" w:space="0" w:color="auto"/>
              <w:left w:val="nil"/>
              <w:bottom w:val="single" w:sz="12" w:space="0" w:color="auto"/>
              <w:right w:val="nil"/>
            </w:tcBorders>
            <w:shd w:val="clear" w:color="auto" w:fill="auto"/>
            <w:noWrap/>
            <w:vAlign w:val="center"/>
            <w:hideMark/>
          </w:tcPr>
          <w:p w:rsidR="00CD66CB" w:rsidRPr="00990B7D" w:rsidRDefault="00CD66CB" w:rsidP="002E6636">
            <w:pPr>
              <w:spacing w:beforeLines="20" w:before="48" w:afterLines="20" w:after="48" w:line="240" w:lineRule="auto"/>
              <w:ind w:firstLine="0"/>
              <w:jc w:val="left"/>
              <w:rPr>
                <w:sz w:val="20"/>
                <w:szCs w:val="20"/>
                <w:lang w:val="fr-FR"/>
              </w:rPr>
            </w:pPr>
            <w:r w:rsidRPr="00990B7D">
              <w:rPr>
                <w:sz w:val="20"/>
                <w:szCs w:val="20"/>
                <w:lang w:val="fr-FR"/>
              </w:rPr>
              <w:t>R-Square</w:t>
            </w:r>
          </w:p>
        </w:tc>
        <w:tc>
          <w:tcPr>
            <w:tcW w:w="1304"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75.23%</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4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80.51%</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4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91.57%</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4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75.96%</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50"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83.01%</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c>
          <w:tcPr>
            <w:tcW w:w="1219"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r w:rsidRPr="00CD66CB">
              <w:rPr>
                <w:sz w:val="20"/>
                <w:szCs w:val="20"/>
              </w:rPr>
              <w:t>54.39%</w:t>
            </w:r>
          </w:p>
        </w:tc>
        <w:tc>
          <w:tcPr>
            <w:tcW w:w="907" w:type="dxa"/>
            <w:tcBorders>
              <w:top w:val="single" w:sz="8" w:space="0" w:color="auto"/>
              <w:left w:val="nil"/>
              <w:bottom w:val="single" w:sz="12" w:space="0" w:color="auto"/>
              <w:right w:val="nil"/>
            </w:tcBorders>
            <w:shd w:val="clear" w:color="auto" w:fill="auto"/>
            <w:noWrap/>
            <w:vAlign w:val="center"/>
            <w:hideMark/>
          </w:tcPr>
          <w:p w:rsidR="00CD66CB" w:rsidRPr="00CD66CB" w:rsidRDefault="00CD66CB" w:rsidP="002E6636">
            <w:pPr>
              <w:spacing w:beforeLines="20" w:before="48" w:afterLines="20" w:after="48" w:line="240" w:lineRule="auto"/>
              <w:ind w:firstLine="0"/>
              <w:jc w:val="center"/>
              <w:rPr>
                <w:sz w:val="20"/>
                <w:szCs w:val="20"/>
              </w:rPr>
            </w:pPr>
          </w:p>
        </w:tc>
      </w:tr>
    </w:tbl>
    <w:p w:rsidR="00F80708" w:rsidRDefault="002921D2" w:rsidP="00F80708">
      <w:pPr>
        <w:pStyle w:val="Notetable"/>
        <w:ind w:right="-173"/>
        <w:rPr>
          <w:lang w:val="en-US"/>
        </w:rPr>
      </w:pPr>
      <w:r w:rsidRPr="00C0615A">
        <w:rPr>
          <w:i/>
          <w:lang w:val="en-US"/>
        </w:rPr>
        <w:t>Note</w:t>
      </w:r>
      <w:r>
        <w:rPr>
          <w:lang w:val="en-US"/>
        </w:rPr>
        <w:t xml:space="preserve">: </w:t>
      </w:r>
      <w:r w:rsidRPr="00C36EF8">
        <w:rPr>
          <w:lang w:val="en-US"/>
        </w:rPr>
        <w:t xml:space="preserve">This table </w:t>
      </w:r>
      <w:r>
        <w:rPr>
          <w:lang w:val="en-US"/>
        </w:rPr>
        <w:t>shows</w:t>
      </w:r>
      <w:r w:rsidRPr="00C36EF8">
        <w:rPr>
          <w:lang w:val="en-US"/>
        </w:rPr>
        <w:t xml:space="preserve"> the estimates of panel regressions conducted on 120 daily observations for </w:t>
      </w:r>
      <w:r w:rsidR="006C05C8">
        <w:rPr>
          <w:lang w:val="en-US"/>
        </w:rPr>
        <w:t>8</w:t>
      </w:r>
      <w:r w:rsidR="005E0BBD">
        <w:rPr>
          <w:lang w:val="en-US"/>
        </w:rPr>
        <w:t>6</w:t>
      </w:r>
      <w:r w:rsidRPr="00C36EF8">
        <w:rPr>
          <w:lang w:val="en-US"/>
        </w:rPr>
        <w:t xml:space="preserve"> stocks using the Parks method. The dependent variables are the </w:t>
      </w:r>
      <w:r>
        <w:rPr>
          <w:lang w:val="en-US"/>
        </w:rPr>
        <w:t>time</w:t>
      </w:r>
      <w:r w:rsidRPr="00C36EF8">
        <w:rPr>
          <w:lang w:val="en-US"/>
        </w:rPr>
        <w:t xml:space="preserve">-weighted average bid-ask spread, the average effective spread per trade, the </w:t>
      </w:r>
      <w:r>
        <w:rPr>
          <w:lang w:val="en-US"/>
        </w:rPr>
        <w:t>time</w:t>
      </w:r>
      <w:r w:rsidRPr="00C36EF8">
        <w:rPr>
          <w:lang w:val="en-US"/>
        </w:rPr>
        <w:t xml:space="preserve">-weighted average adjusted block spreads, the average 5-minute realized spread, the average 5-minute price impact, and the </w:t>
      </w:r>
      <w:r>
        <w:rPr>
          <w:lang w:val="en-US"/>
        </w:rPr>
        <w:t>time</w:t>
      </w:r>
      <w:r w:rsidRPr="00C36EF8">
        <w:rPr>
          <w:lang w:val="en-US"/>
        </w:rPr>
        <w:t xml:space="preserve">-weighted average best-limit depth measured in euros and taken in </w:t>
      </w:r>
      <w:r w:rsidRPr="00B37B4B">
        <w:rPr>
          <w:lang w:val="en-US"/>
        </w:rPr>
        <w:t>logarithm</w:t>
      </w:r>
      <w:r>
        <w:rPr>
          <w:lang w:val="en-US"/>
        </w:rPr>
        <w:t>s</w:t>
      </w:r>
      <w:r w:rsidRPr="00C36EF8">
        <w:rPr>
          <w:lang w:val="en-US"/>
        </w:rPr>
        <w:t>.</w:t>
      </w:r>
      <w:r w:rsidRPr="00C36EF8">
        <w:rPr>
          <w:rFonts w:ascii="Symbol" w:hAnsi="Symbol"/>
          <w:i/>
          <w:lang w:val="en-US"/>
        </w:rPr>
        <w:t></w:t>
      </w:r>
      <w:r w:rsidRPr="00C36EF8">
        <w:rPr>
          <w:rFonts w:ascii="Symbol" w:hAnsi="Symbol"/>
          <w:i/>
          <w:lang w:val="en-US"/>
        </w:rPr>
        <w:t></w:t>
      </w:r>
      <w:r w:rsidRPr="00C36EF8">
        <w:rPr>
          <w:i/>
          <w:vertAlign w:val="subscript"/>
          <w:lang w:val="en-US"/>
        </w:rPr>
        <w:t>it</w:t>
      </w:r>
      <w:r w:rsidRPr="00C36EF8">
        <w:rPr>
          <w:lang w:val="en-US"/>
        </w:rPr>
        <w:t xml:space="preserve">, </w:t>
      </w:r>
      <w:proofErr w:type="spellStart"/>
      <w:r w:rsidRPr="00C36EF8">
        <w:rPr>
          <w:lang w:val="en-US"/>
        </w:rPr>
        <w:t>ln</w:t>
      </w:r>
      <w:r w:rsidRPr="00C36EF8">
        <w:rPr>
          <w:i/>
          <w:lang w:val="en-US"/>
        </w:rPr>
        <w:t>V</w:t>
      </w:r>
      <w:r w:rsidRPr="00C36EF8">
        <w:rPr>
          <w:i/>
          <w:vertAlign w:val="subscript"/>
          <w:lang w:val="en-US"/>
        </w:rPr>
        <w:t>it</w:t>
      </w:r>
      <w:proofErr w:type="spellEnd"/>
      <w:r w:rsidRPr="00C36EF8">
        <w:rPr>
          <w:lang w:val="en-US"/>
        </w:rPr>
        <w:t xml:space="preserve">, </w:t>
      </w:r>
      <w:proofErr w:type="spellStart"/>
      <w:r w:rsidRPr="00C36EF8">
        <w:rPr>
          <w:lang w:val="en-US"/>
        </w:rPr>
        <w:t>ln</w:t>
      </w:r>
      <w:r w:rsidRPr="00C36EF8">
        <w:rPr>
          <w:i/>
          <w:lang w:val="en-US"/>
        </w:rPr>
        <w:t>P</w:t>
      </w:r>
      <w:r w:rsidRPr="00C36EF8">
        <w:rPr>
          <w:i/>
          <w:vertAlign w:val="subscript"/>
          <w:lang w:val="en-US"/>
        </w:rPr>
        <w:t>it</w:t>
      </w:r>
      <w:proofErr w:type="spellEnd"/>
      <w:r w:rsidRPr="00C36EF8">
        <w:rPr>
          <w:lang w:val="en-US"/>
        </w:rPr>
        <w:t xml:space="preserve">, and </w:t>
      </w:r>
      <w:proofErr w:type="spellStart"/>
      <w:r w:rsidRPr="00C36EF8">
        <w:rPr>
          <w:i/>
          <w:lang w:val="en-US"/>
        </w:rPr>
        <w:t>I</w:t>
      </w:r>
      <w:r w:rsidRPr="00C36EF8">
        <w:rPr>
          <w:i/>
          <w:vertAlign w:val="subscript"/>
          <w:lang w:val="en-US"/>
        </w:rPr>
        <w:t>it</w:t>
      </w:r>
      <w:proofErr w:type="spellEnd"/>
      <w:r w:rsidRPr="00C36EF8">
        <w:rPr>
          <w:lang w:val="en-US"/>
        </w:rPr>
        <w:t xml:space="preserve"> are, respectively, the price range, the euro trading volume in logarithm, the close price in logarithm, and the imbalance between buy and sell traded volumes </w:t>
      </w:r>
      <w:r>
        <w:rPr>
          <w:lang w:val="en-US"/>
        </w:rPr>
        <w:t>as a</w:t>
      </w:r>
      <w:r w:rsidRPr="00C36EF8">
        <w:rPr>
          <w:lang w:val="en-US"/>
        </w:rPr>
        <w:t xml:space="preserve"> percentage of the total traded volume, for stock </w:t>
      </w:r>
      <w:proofErr w:type="spellStart"/>
      <w:r w:rsidRPr="00C36EF8">
        <w:rPr>
          <w:i/>
          <w:lang w:val="en-US"/>
        </w:rPr>
        <w:t>i</w:t>
      </w:r>
      <w:proofErr w:type="spellEnd"/>
      <w:r w:rsidRPr="00C36EF8">
        <w:rPr>
          <w:lang w:val="en-US"/>
        </w:rPr>
        <w:t xml:space="preserve"> on day </w:t>
      </w:r>
      <w:r w:rsidRPr="00C36EF8">
        <w:rPr>
          <w:i/>
          <w:lang w:val="en-US"/>
        </w:rPr>
        <w:t>t</w:t>
      </w:r>
      <w:r w:rsidRPr="00C36EF8">
        <w:rPr>
          <w:lang w:val="en-US"/>
        </w:rPr>
        <w:t xml:space="preserve">. </w:t>
      </w:r>
      <w:proofErr w:type="spellStart"/>
      <w:r w:rsidRPr="00C36EF8">
        <w:rPr>
          <w:i/>
          <w:lang w:val="en-US"/>
        </w:rPr>
        <w:t>ETF</w:t>
      </w:r>
      <w:r w:rsidRPr="00C36EF8">
        <w:rPr>
          <w:i/>
          <w:vertAlign w:val="subscript"/>
          <w:lang w:val="en-US"/>
        </w:rPr>
        <w:t>t</w:t>
      </w:r>
      <w:proofErr w:type="spellEnd"/>
      <w:r w:rsidRPr="00C36EF8">
        <w:rPr>
          <w:lang w:val="en-US"/>
        </w:rPr>
        <w:t xml:space="preserve"> is a variable set to 0 before the introduction </w:t>
      </w:r>
      <w:r>
        <w:rPr>
          <w:lang w:val="en-US"/>
        </w:rPr>
        <w:t xml:space="preserve">of the </w:t>
      </w:r>
      <w:r w:rsidRPr="00B37B4B">
        <w:rPr>
          <w:lang w:val="en-US"/>
        </w:rPr>
        <w:t xml:space="preserve">ETF </w:t>
      </w:r>
      <w:r w:rsidRPr="00C36EF8">
        <w:rPr>
          <w:lang w:val="en-US"/>
        </w:rPr>
        <w:t xml:space="preserve">and to 1 afterwards.  </w:t>
      </w:r>
      <w:r w:rsidRPr="00C36EF8">
        <w:rPr>
          <w:i/>
          <w:lang w:val="en-US"/>
        </w:rPr>
        <w:t>CAC40</w:t>
      </w:r>
      <w:r w:rsidRPr="00C36EF8">
        <w:rPr>
          <w:i/>
          <w:vertAlign w:val="subscript"/>
          <w:lang w:val="en-US"/>
        </w:rPr>
        <w:t>i</w:t>
      </w:r>
      <w:r w:rsidRPr="00C36EF8">
        <w:rPr>
          <w:lang w:val="en-US"/>
        </w:rPr>
        <w:t xml:space="preserve"> is </w:t>
      </w:r>
      <w:r>
        <w:rPr>
          <w:lang w:val="en-US"/>
        </w:rPr>
        <w:t>set</w:t>
      </w:r>
      <w:r w:rsidRPr="00C36EF8">
        <w:rPr>
          <w:lang w:val="en-US"/>
        </w:rPr>
        <w:t xml:space="preserve"> to 1 for CAC 40 stocks, 0 otherwise. </w:t>
      </w:r>
      <w:proofErr w:type="spellStart"/>
      <w:proofErr w:type="gramStart"/>
      <w:r w:rsidRPr="00C36EF8">
        <w:rPr>
          <w:i/>
          <w:lang w:val="en-US"/>
        </w:rPr>
        <w:t>w</w:t>
      </w:r>
      <w:r w:rsidRPr="00C36EF8">
        <w:rPr>
          <w:i/>
          <w:vertAlign w:val="subscript"/>
          <w:lang w:val="en-US"/>
        </w:rPr>
        <w:t>i</w:t>
      </w:r>
      <w:proofErr w:type="spellEnd"/>
      <w:proofErr w:type="gramEnd"/>
      <w:r w:rsidRPr="00C36EF8">
        <w:rPr>
          <w:lang w:val="en-US"/>
        </w:rPr>
        <w:t xml:space="preserve"> is the weight of stock </w:t>
      </w:r>
      <w:proofErr w:type="spellStart"/>
      <w:r w:rsidRPr="00C36EF8">
        <w:rPr>
          <w:i/>
          <w:lang w:val="en-US"/>
        </w:rPr>
        <w:t>i</w:t>
      </w:r>
      <w:proofErr w:type="spellEnd"/>
      <w:r w:rsidRPr="00C36EF8">
        <w:rPr>
          <w:lang w:val="en-US"/>
        </w:rPr>
        <w:t xml:space="preserve"> in the CAC 40 index at the ETF </w:t>
      </w:r>
      <w:r>
        <w:rPr>
          <w:lang w:val="en-US"/>
        </w:rPr>
        <w:t>inception</w:t>
      </w:r>
      <w:r w:rsidRPr="00C36EF8">
        <w:rPr>
          <w:lang w:val="en-US"/>
        </w:rPr>
        <w:t xml:space="preserve"> date and is set to 0 for non-CAC 40 stocks. </w:t>
      </w:r>
      <w:r>
        <w:rPr>
          <w:lang w:val="en-US"/>
        </w:rPr>
        <w:t xml:space="preserve"> One, two and three asterisks (</w:t>
      </w:r>
      <w:r w:rsidRPr="00B37B4B">
        <w:rPr>
          <w:lang w:val="en-US"/>
        </w:rPr>
        <w:t>*,</w:t>
      </w:r>
      <w:r>
        <w:rPr>
          <w:lang w:val="en-US"/>
        </w:rPr>
        <w:t xml:space="preserve"> </w:t>
      </w:r>
      <w:r w:rsidRPr="00B37B4B">
        <w:rPr>
          <w:lang w:val="en-US"/>
        </w:rPr>
        <w:t>**,</w:t>
      </w:r>
      <w:r>
        <w:rPr>
          <w:lang w:val="en-US"/>
        </w:rPr>
        <w:t xml:space="preserve"> and </w:t>
      </w:r>
      <w:r w:rsidRPr="00B37B4B">
        <w:rPr>
          <w:lang w:val="en-US"/>
        </w:rPr>
        <w:t>***</w:t>
      </w:r>
      <w:r>
        <w:rPr>
          <w:lang w:val="en-US"/>
        </w:rPr>
        <w:t>)</w:t>
      </w:r>
      <w:r w:rsidRPr="00C36EF8">
        <w:rPr>
          <w:lang w:val="en-US"/>
        </w:rPr>
        <w:t xml:space="preserve"> indicate statistical significance at the 10%, 5%, and 1% levels, respectively.</w:t>
      </w:r>
    </w:p>
    <w:p w:rsidR="00FE5D7B" w:rsidRDefault="00FE5D7B" w:rsidP="00E2523F">
      <w:pPr>
        <w:rPr>
          <w:lang w:val="en-US"/>
        </w:rPr>
        <w:sectPr w:rsidR="00FE5D7B" w:rsidSect="000B5534">
          <w:pgSz w:w="16838" w:h="11906" w:orient="landscape"/>
          <w:pgMar w:top="851" w:right="851" w:bottom="567" w:left="851" w:header="709" w:footer="709" w:gutter="0"/>
          <w:cols w:space="708"/>
          <w:docGrid w:linePitch="360"/>
        </w:sectPr>
      </w:pPr>
    </w:p>
    <w:p w:rsidR="00026873" w:rsidRDefault="00026873" w:rsidP="00026873">
      <w:pPr>
        <w:pStyle w:val="Numerotable"/>
        <w:rPr>
          <w:lang w:val="en-US"/>
        </w:rPr>
      </w:pPr>
      <w:r>
        <w:rPr>
          <w:lang w:val="en-US"/>
        </w:rPr>
        <w:lastRenderedPageBreak/>
        <w:t>Table 6</w:t>
      </w:r>
    </w:p>
    <w:p w:rsidR="00026873" w:rsidRDefault="00026873" w:rsidP="00026873">
      <w:pPr>
        <w:pStyle w:val="Titretable"/>
        <w:rPr>
          <w:lang w:val="en-US"/>
        </w:rPr>
      </w:pPr>
      <w:r>
        <w:rPr>
          <w:lang w:val="en-US"/>
        </w:rPr>
        <w:t>Panel regressions of variance ratios</w:t>
      </w:r>
    </w:p>
    <w:tbl>
      <w:tblPr>
        <w:tblW w:w="9285" w:type="dxa"/>
        <w:tblInd w:w="55" w:type="dxa"/>
        <w:tblCellMar>
          <w:left w:w="70" w:type="dxa"/>
          <w:right w:w="70" w:type="dxa"/>
        </w:tblCellMar>
        <w:tblLook w:val="04A0" w:firstRow="1" w:lastRow="0" w:firstColumn="1" w:lastColumn="0" w:noHBand="0" w:noVBand="1"/>
      </w:tblPr>
      <w:tblGrid>
        <w:gridCol w:w="2085"/>
        <w:gridCol w:w="1276"/>
        <w:gridCol w:w="1134"/>
        <w:gridCol w:w="1276"/>
        <w:gridCol w:w="1134"/>
        <w:gridCol w:w="1120"/>
        <w:gridCol w:w="1260"/>
      </w:tblGrid>
      <w:tr w:rsidR="00BC3F1E" w:rsidRPr="002B18C5" w:rsidTr="007B262E">
        <w:trPr>
          <w:trHeight w:val="255"/>
        </w:trPr>
        <w:tc>
          <w:tcPr>
            <w:tcW w:w="2085" w:type="dxa"/>
            <w:tcBorders>
              <w:top w:val="single" w:sz="12" w:space="0" w:color="auto"/>
              <w:left w:val="nil"/>
              <w:bottom w:val="nil"/>
              <w:right w:val="nil"/>
            </w:tcBorders>
            <w:shd w:val="clear" w:color="auto" w:fill="auto"/>
            <w:noWrap/>
            <w:vAlign w:val="bottom"/>
            <w:hideMark/>
          </w:tcPr>
          <w:p w:rsidR="00BC3F1E" w:rsidRPr="002B18C5" w:rsidRDefault="00BC3F1E" w:rsidP="00A57A76">
            <w:pPr>
              <w:spacing w:before="20" w:after="20" w:line="240" w:lineRule="auto"/>
              <w:ind w:firstLine="0"/>
              <w:jc w:val="left"/>
              <w:rPr>
                <w:sz w:val="20"/>
                <w:szCs w:val="20"/>
                <w:lang w:val="en-US"/>
              </w:rPr>
            </w:pPr>
          </w:p>
        </w:tc>
        <w:tc>
          <w:tcPr>
            <w:tcW w:w="2410" w:type="dxa"/>
            <w:gridSpan w:val="2"/>
            <w:tcBorders>
              <w:top w:val="single" w:sz="12" w:space="0" w:color="auto"/>
              <w:left w:val="nil"/>
              <w:bottom w:val="single" w:sz="4" w:space="0" w:color="auto"/>
              <w:right w:val="nil"/>
            </w:tcBorders>
            <w:shd w:val="clear" w:color="auto" w:fill="auto"/>
            <w:noWrap/>
            <w:vAlign w:val="center"/>
            <w:hideMark/>
          </w:tcPr>
          <w:p w:rsidR="00BC3F1E" w:rsidRPr="002B18C5" w:rsidRDefault="00BC3F1E" w:rsidP="00A57A76">
            <w:pPr>
              <w:spacing w:before="20" w:after="20" w:line="240" w:lineRule="auto"/>
              <w:ind w:firstLine="0"/>
              <w:jc w:val="center"/>
              <w:rPr>
                <w:b/>
                <w:sz w:val="20"/>
                <w:szCs w:val="20"/>
                <w:lang w:val="en-US"/>
              </w:rPr>
            </w:pPr>
            <w:r>
              <w:rPr>
                <w:b/>
                <w:sz w:val="20"/>
                <w:szCs w:val="20"/>
                <w:lang w:val="en-US"/>
              </w:rPr>
              <w:t>1-min.-to-5-min.</w:t>
            </w:r>
            <w:r>
              <w:rPr>
                <w:b/>
                <w:sz w:val="20"/>
                <w:szCs w:val="20"/>
                <w:lang w:val="en-US"/>
              </w:rPr>
              <w:br/>
            </w:r>
            <w:r w:rsidRPr="002B18C5">
              <w:rPr>
                <w:b/>
                <w:sz w:val="20"/>
                <w:szCs w:val="20"/>
                <w:lang w:val="en-US"/>
              </w:rPr>
              <w:t>variance ratio</w:t>
            </w:r>
          </w:p>
        </w:tc>
        <w:tc>
          <w:tcPr>
            <w:tcW w:w="2410" w:type="dxa"/>
            <w:gridSpan w:val="2"/>
            <w:tcBorders>
              <w:top w:val="single" w:sz="12" w:space="0" w:color="auto"/>
              <w:left w:val="nil"/>
              <w:bottom w:val="single" w:sz="4" w:space="0" w:color="auto"/>
              <w:right w:val="nil"/>
            </w:tcBorders>
            <w:shd w:val="clear" w:color="auto" w:fill="auto"/>
            <w:noWrap/>
            <w:vAlign w:val="center"/>
            <w:hideMark/>
          </w:tcPr>
          <w:p w:rsidR="00BC3F1E" w:rsidRPr="002B18C5" w:rsidRDefault="00BC3F1E" w:rsidP="00A57A76">
            <w:pPr>
              <w:spacing w:before="20" w:after="20" w:line="240" w:lineRule="auto"/>
              <w:ind w:firstLine="0"/>
              <w:jc w:val="center"/>
              <w:rPr>
                <w:b/>
                <w:sz w:val="20"/>
                <w:szCs w:val="20"/>
                <w:lang w:val="en-US"/>
              </w:rPr>
            </w:pPr>
            <w:r w:rsidRPr="002B18C5">
              <w:rPr>
                <w:b/>
                <w:sz w:val="20"/>
                <w:szCs w:val="20"/>
                <w:lang w:val="en-US"/>
              </w:rPr>
              <w:t>1-min.-to-30-min. variance ratio</w:t>
            </w:r>
          </w:p>
        </w:tc>
        <w:tc>
          <w:tcPr>
            <w:tcW w:w="2380" w:type="dxa"/>
            <w:gridSpan w:val="2"/>
            <w:tcBorders>
              <w:top w:val="single" w:sz="12" w:space="0" w:color="auto"/>
              <w:left w:val="nil"/>
              <w:bottom w:val="single" w:sz="4" w:space="0" w:color="auto"/>
              <w:right w:val="nil"/>
            </w:tcBorders>
            <w:vAlign w:val="center"/>
          </w:tcPr>
          <w:p w:rsidR="00BC3F1E" w:rsidRPr="002B18C5" w:rsidRDefault="00BC3F1E" w:rsidP="009425F1">
            <w:pPr>
              <w:spacing w:before="20" w:after="20" w:line="240" w:lineRule="auto"/>
              <w:ind w:firstLine="0"/>
              <w:jc w:val="center"/>
              <w:rPr>
                <w:b/>
                <w:sz w:val="20"/>
                <w:szCs w:val="20"/>
                <w:lang w:val="en-US"/>
              </w:rPr>
            </w:pPr>
            <w:r>
              <w:rPr>
                <w:b/>
                <w:sz w:val="20"/>
                <w:szCs w:val="20"/>
                <w:lang w:val="en-US"/>
              </w:rPr>
              <w:t>5</w:t>
            </w:r>
            <w:r w:rsidRPr="002B18C5">
              <w:rPr>
                <w:b/>
                <w:sz w:val="20"/>
                <w:szCs w:val="20"/>
                <w:lang w:val="en-US"/>
              </w:rPr>
              <w:t>-min.-to-30-min. variance ratio</w:t>
            </w:r>
          </w:p>
        </w:tc>
      </w:tr>
      <w:tr w:rsidR="00BC3F1E" w:rsidRPr="002B18C5" w:rsidTr="00911AED">
        <w:trPr>
          <w:trHeight w:val="255"/>
        </w:trPr>
        <w:tc>
          <w:tcPr>
            <w:tcW w:w="2085" w:type="dxa"/>
            <w:tcBorders>
              <w:top w:val="nil"/>
              <w:left w:val="nil"/>
              <w:bottom w:val="single" w:sz="12" w:space="0" w:color="auto"/>
              <w:right w:val="nil"/>
            </w:tcBorders>
            <w:shd w:val="clear" w:color="auto" w:fill="auto"/>
            <w:noWrap/>
            <w:vAlign w:val="bottom"/>
            <w:hideMark/>
          </w:tcPr>
          <w:p w:rsidR="00BC3F1E" w:rsidRPr="002B18C5" w:rsidRDefault="00BC3F1E" w:rsidP="00A57A76">
            <w:pPr>
              <w:spacing w:before="20" w:after="20" w:line="240" w:lineRule="auto"/>
              <w:ind w:firstLine="0"/>
              <w:jc w:val="left"/>
              <w:rPr>
                <w:sz w:val="20"/>
                <w:szCs w:val="20"/>
                <w:lang w:val="en-US"/>
              </w:rPr>
            </w:pPr>
          </w:p>
        </w:tc>
        <w:tc>
          <w:tcPr>
            <w:tcW w:w="1276" w:type="dxa"/>
            <w:tcBorders>
              <w:top w:val="single" w:sz="4" w:space="0" w:color="auto"/>
              <w:left w:val="nil"/>
              <w:bottom w:val="single" w:sz="12" w:space="0" w:color="auto"/>
              <w:right w:val="nil"/>
            </w:tcBorders>
            <w:shd w:val="clear" w:color="auto" w:fill="auto"/>
            <w:noWrap/>
            <w:vAlign w:val="center"/>
            <w:hideMark/>
          </w:tcPr>
          <w:p w:rsidR="00BC3F1E" w:rsidRPr="00A02B02" w:rsidRDefault="00BC3F1E" w:rsidP="00A57A76">
            <w:pPr>
              <w:spacing w:before="20" w:after="20" w:line="240" w:lineRule="auto"/>
              <w:ind w:firstLine="0"/>
              <w:jc w:val="center"/>
              <w:rPr>
                <w:b/>
                <w:sz w:val="20"/>
                <w:szCs w:val="20"/>
                <w:lang w:val="en-US"/>
              </w:rPr>
            </w:pPr>
            <w:r w:rsidRPr="00A02B02">
              <w:rPr>
                <w:b/>
                <w:sz w:val="20"/>
                <w:szCs w:val="20"/>
                <w:lang w:val="en-US"/>
              </w:rPr>
              <w:t>Estimate</w:t>
            </w:r>
          </w:p>
        </w:tc>
        <w:tc>
          <w:tcPr>
            <w:tcW w:w="1134" w:type="dxa"/>
            <w:tcBorders>
              <w:top w:val="single" w:sz="4" w:space="0" w:color="auto"/>
              <w:left w:val="nil"/>
              <w:bottom w:val="single" w:sz="12" w:space="0" w:color="auto"/>
              <w:right w:val="nil"/>
            </w:tcBorders>
            <w:shd w:val="clear" w:color="auto" w:fill="auto"/>
            <w:noWrap/>
            <w:vAlign w:val="center"/>
            <w:hideMark/>
          </w:tcPr>
          <w:p w:rsidR="00BC3F1E" w:rsidRPr="00A02B02" w:rsidRDefault="00BC3F1E" w:rsidP="00A57A76">
            <w:pPr>
              <w:spacing w:before="20" w:after="20" w:line="240" w:lineRule="auto"/>
              <w:ind w:firstLine="0"/>
              <w:jc w:val="center"/>
              <w:rPr>
                <w:b/>
                <w:sz w:val="20"/>
                <w:szCs w:val="20"/>
                <w:lang w:val="en-US"/>
              </w:rPr>
            </w:pPr>
            <w:r w:rsidRPr="00A02B02">
              <w:rPr>
                <w:b/>
                <w:i/>
                <w:iCs/>
                <w:sz w:val="20"/>
                <w:szCs w:val="20"/>
                <w:lang w:val="en-US"/>
              </w:rPr>
              <w:t>p</w:t>
            </w:r>
            <w:r w:rsidRPr="00A02B02">
              <w:rPr>
                <w:b/>
                <w:sz w:val="20"/>
                <w:szCs w:val="20"/>
                <w:lang w:val="en-US"/>
              </w:rPr>
              <w:t>-value</w:t>
            </w:r>
          </w:p>
        </w:tc>
        <w:tc>
          <w:tcPr>
            <w:tcW w:w="1276" w:type="dxa"/>
            <w:tcBorders>
              <w:top w:val="single" w:sz="4" w:space="0" w:color="auto"/>
              <w:left w:val="nil"/>
              <w:bottom w:val="single" w:sz="12" w:space="0" w:color="auto"/>
              <w:right w:val="nil"/>
            </w:tcBorders>
            <w:shd w:val="clear" w:color="auto" w:fill="auto"/>
            <w:noWrap/>
            <w:vAlign w:val="center"/>
            <w:hideMark/>
          </w:tcPr>
          <w:p w:rsidR="00BC3F1E" w:rsidRPr="00A02B02" w:rsidRDefault="00BC3F1E" w:rsidP="00A57A76">
            <w:pPr>
              <w:spacing w:before="20" w:after="20" w:line="240" w:lineRule="auto"/>
              <w:ind w:firstLine="0"/>
              <w:jc w:val="center"/>
              <w:rPr>
                <w:b/>
                <w:sz w:val="20"/>
                <w:szCs w:val="20"/>
                <w:lang w:val="en-US"/>
              </w:rPr>
            </w:pPr>
            <w:r w:rsidRPr="00A02B02">
              <w:rPr>
                <w:b/>
                <w:sz w:val="20"/>
                <w:szCs w:val="20"/>
                <w:lang w:val="en-US"/>
              </w:rPr>
              <w:t>Estimate</w:t>
            </w:r>
          </w:p>
        </w:tc>
        <w:tc>
          <w:tcPr>
            <w:tcW w:w="1134" w:type="dxa"/>
            <w:tcBorders>
              <w:top w:val="single" w:sz="4" w:space="0" w:color="auto"/>
              <w:left w:val="nil"/>
              <w:bottom w:val="single" w:sz="12" w:space="0" w:color="auto"/>
              <w:right w:val="nil"/>
            </w:tcBorders>
            <w:shd w:val="clear" w:color="auto" w:fill="auto"/>
            <w:noWrap/>
            <w:vAlign w:val="center"/>
            <w:hideMark/>
          </w:tcPr>
          <w:p w:rsidR="00BC3F1E" w:rsidRPr="00A02B02" w:rsidRDefault="00BC3F1E" w:rsidP="00A57A76">
            <w:pPr>
              <w:spacing w:before="20" w:after="20" w:line="240" w:lineRule="auto"/>
              <w:ind w:firstLine="0"/>
              <w:jc w:val="center"/>
              <w:rPr>
                <w:b/>
                <w:sz w:val="20"/>
                <w:szCs w:val="20"/>
                <w:lang w:val="en-US"/>
              </w:rPr>
            </w:pPr>
            <w:r w:rsidRPr="00A02B02">
              <w:rPr>
                <w:b/>
                <w:i/>
                <w:iCs/>
                <w:sz w:val="20"/>
                <w:szCs w:val="20"/>
                <w:lang w:val="en-US"/>
              </w:rPr>
              <w:t>p</w:t>
            </w:r>
            <w:r w:rsidRPr="00A02B02">
              <w:rPr>
                <w:b/>
                <w:sz w:val="20"/>
                <w:szCs w:val="20"/>
                <w:lang w:val="en-US"/>
              </w:rPr>
              <w:t>-value</w:t>
            </w:r>
          </w:p>
        </w:tc>
        <w:tc>
          <w:tcPr>
            <w:tcW w:w="1120" w:type="dxa"/>
            <w:tcBorders>
              <w:top w:val="single" w:sz="4" w:space="0" w:color="auto"/>
              <w:left w:val="nil"/>
              <w:bottom w:val="single" w:sz="12" w:space="0" w:color="auto"/>
              <w:right w:val="nil"/>
            </w:tcBorders>
            <w:vAlign w:val="center"/>
          </w:tcPr>
          <w:p w:rsidR="00BC3F1E" w:rsidRPr="00A02B02" w:rsidRDefault="00BC3F1E" w:rsidP="009425F1">
            <w:pPr>
              <w:spacing w:before="20" w:after="20" w:line="240" w:lineRule="auto"/>
              <w:ind w:firstLine="0"/>
              <w:jc w:val="center"/>
              <w:rPr>
                <w:b/>
                <w:sz w:val="20"/>
                <w:szCs w:val="20"/>
                <w:lang w:val="en-US"/>
              </w:rPr>
            </w:pPr>
            <w:r w:rsidRPr="00A02B02">
              <w:rPr>
                <w:b/>
                <w:sz w:val="20"/>
                <w:szCs w:val="20"/>
                <w:lang w:val="en-US"/>
              </w:rPr>
              <w:t>Estimate</w:t>
            </w:r>
          </w:p>
        </w:tc>
        <w:tc>
          <w:tcPr>
            <w:tcW w:w="1260" w:type="dxa"/>
            <w:tcBorders>
              <w:top w:val="single" w:sz="4" w:space="0" w:color="auto"/>
              <w:left w:val="nil"/>
              <w:bottom w:val="single" w:sz="12" w:space="0" w:color="auto"/>
              <w:right w:val="nil"/>
            </w:tcBorders>
            <w:vAlign w:val="center"/>
          </w:tcPr>
          <w:p w:rsidR="00BC3F1E" w:rsidRPr="00A02B02" w:rsidRDefault="00BC3F1E" w:rsidP="009425F1">
            <w:pPr>
              <w:spacing w:before="20" w:after="20" w:line="240" w:lineRule="auto"/>
              <w:ind w:firstLine="0"/>
              <w:jc w:val="center"/>
              <w:rPr>
                <w:b/>
                <w:sz w:val="20"/>
                <w:szCs w:val="20"/>
                <w:lang w:val="en-US"/>
              </w:rPr>
            </w:pPr>
            <w:r w:rsidRPr="00A02B02">
              <w:rPr>
                <w:b/>
                <w:i/>
                <w:iCs/>
                <w:sz w:val="20"/>
                <w:szCs w:val="20"/>
                <w:lang w:val="en-US"/>
              </w:rPr>
              <w:t>p</w:t>
            </w:r>
            <w:r w:rsidRPr="00A02B02">
              <w:rPr>
                <w:b/>
                <w:sz w:val="20"/>
                <w:szCs w:val="20"/>
                <w:lang w:val="en-US"/>
              </w:rPr>
              <w:t>-value</w:t>
            </w:r>
          </w:p>
        </w:tc>
      </w:tr>
      <w:tr w:rsidR="00BC3F1E" w:rsidRPr="002B18C5" w:rsidTr="00BC3F1E">
        <w:trPr>
          <w:trHeight w:val="255"/>
        </w:trPr>
        <w:tc>
          <w:tcPr>
            <w:tcW w:w="9285" w:type="dxa"/>
            <w:gridSpan w:val="7"/>
            <w:tcBorders>
              <w:top w:val="single" w:sz="12" w:space="0" w:color="auto"/>
              <w:left w:val="nil"/>
              <w:bottom w:val="single" w:sz="4" w:space="0" w:color="auto"/>
              <w:right w:val="nil"/>
            </w:tcBorders>
            <w:shd w:val="clear" w:color="auto" w:fill="auto"/>
            <w:noWrap/>
            <w:vAlign w:val="center"/>
            <w:hideMark/>
          </w:tcPr>
          <w:p w:rsidR="00BC3F1E" w:rsidRPr="00A02B02" w:rsidRDefault="00BC3F1E" w:rsidP="00BC3F1E">
            <w:pPr>
              <w:spacing w:before="20" w:after="20" w:line="240" w:lineRule="auto"/>
              <w:ind w:firstLine="0"/>
              <w:jc w:val="left"/>
              <w:rPr>
                <w:i/>
                <w:iCs/>
                <w:sz w:val="20"/>
                <w:szCs w:val="20"/>
                <w:lang w:val="en-US"/>
              </w:rPr>
            </w:pPr>
            <w:r w:rsidRPr="00990B7D">
              <w:rPr>
                <w:b/>
                <w:sz w:val="20"/>
                <w:szCs w:val="20"/>
                <w:lang w:val="en-US"/>
              </w:rPr>
              <w:t xml:space="preserve">Panel A – Basic </w:t>
            </w:r>
            <w:r w:rsidRPr="00A02B02">
              <w:rPr>
                <w:b/>
                <w:sz w:val="20"/>
                <w:szCs w:val="20"/>
                <w:lang w:val="en-US"/>
              </w:rPr>
              <w:t>model</w:t>
            </w:r>
          </w:p>
        </w:tc>
      </w:tr>
      <w:tr w:rsidR="007472F3" w:rsidRPr="002B18C5" w:rsidTr="007472F3">
        <w:trPr>
          <w:trHeight w:val="255"/>
        </w:trPr>
        <w:tc>
          <w:tcPr>
            <w:tcW w:w="2085" w:type="dxa"/>
            <w:tcBorders>
              <w:top w:val="single" w:sz="4" w:space="0" w:color="auto"/>
              <w:left w:val="nil"/>
              <w:bottom w:val="nil"/>
              <w:right w:val="nil"/>
            </w:tcBorders>
            <w:shd w:val="clear" w:color="auto" w:fill="auto"/>
            <w:noWrap/>
            <w:vAlign w:val="bottom"/>
            <w:hideMark/>
          </w:tcPr>
          <w:p w:rsidR="007472F3" w:rsidRPr="00A02B02" w:rsidRDefault="007472F3" w:rsidP="002E6636">
            <w:pPr>
              <w:spacing w:beforeLines="20" w:before="48" w:afterLines="20" w:after="48" w:line="240" w:lineRule="auto"/>
              <w:ind w:firstLine="0"/>
              <w:jc w:val="left"/>
              <w:rPr>
                <w:sz w:val="20"/>
                <w:szCs w:val="20"/>
                <w:lang w:val="en-US"/>
              </w:rPr>
            </w:pPr>
            <w:r w:rsidRPr="00A02B02">
              <w:rPr>
                <w:sz w:val="20"/>
                <w:szCs w:val="20"/>
                <w:lang w:val="en-US"/>
              </w:rPr>
              <w:t>Intercept</w:t>
            </w:r>
          </w:p>
        </w:tc>
        <w:tc>
          <w:tcPr>
            <w:tcW w:w="1276" w:type="dxa"/>
            <w:tcBorders>
              <w:top w:val="single" w:sz="4" w:space="0" w:color="auto"/>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0.3927</w:t>
            </w:r>
            <w:r>
              <w:rPr>
                <w:sz w:val="20"/>
                <w:szCs w:val="20"/>
              </w:rPr>
              <w:t>***</w:t>
            </w:r>
          </w:p>
        </w:tc>
        <w:tc>
          <w:tcPr>
            <w:tcW w:w="1134" w:type="dxa"/>
            <w:tcBorders>
              <w:top w:val="single" w:sz="4" w:space="0" w:color="auto"/>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276" w:type="dxa"/>
            <w:tcBorders>
              <w:top w:val="single" w:sz="4" w:space="0" w:color="auto"/>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0.1352</w:t>
            </w:r>
            <w:r>
              <w:rPr>
                <w:sz w:val="20"/>
                <w:szCs w:val="20"/>
              </w:rPr>
              <w:t>***</w:t>
            </w:r>
          </w:p>
        </w:tc>
        <w:tc>
          <w:tcPr>
            <w:tcW w:w="1134" w:type="dxa"/>
            <w:tcBorders>
              <w:top w:val="single" w:sz="4" w:space="0" w:color="auto"/>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single" w:sz="4" w:space="0" w:color="auto"/>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0.4097</w:t>
            </w:r>
            <w:r>
              <w:rPr>
                <w:sz w:val="20"/>
                <w:szCs w:val="20"/>
              </w:rPr>
              <w:t>***</w:t>
            </w:r>
          </w:p>
        </w:tc>
        <w:tc>
          <w:tcPr>
            <w:tcW w:w="1260" w:type="dxa"/>
            <w:tcBorders>
              <w:top w:val="single" w:sz="4" w:space="0" w:color="auto"/>
              <w:left w:val="nil"/>
              <w:bottom w:val="nil"/>
              <w:right w:val="nil"/>
            </w:tcBorders>
            <w:vAlign w:val="center"/>
          </w:tcPr>
          <w:p w:rsidR="007472F3" w:rsidRPr="007472F3" w:rsidRDefault="007472F3" w:rsidP="007472F3">
            <w:pPr>
              <w:spacing w:before="0" w:line="240" w:lineRule="auto"/>
              <w:ind w:firstLine="0"/>
              <w:jc w:val="center"/>
              <w:rPr>
                <w:sz w:val="20"/>
                <w:szCs w:val="20"/>
              </w:rPr>
            </w:pPr>
            <w:r>
              <w:rPr>
                <w:sz w:val="20"/>
                <w:szCs w:val="20"/>
              </w:rPr>
              <w:t>&lt;0.0001</w:t>
            </w:r>
          </w:p>
        </w:tc>
      </w:tr>
      <w:tr w:rsidR="007472F3" w:rsidRPr="002B18C5" w:rsidTr="007472F3">
        <w:trPr>
          <w:trHeight w:val="255"/>
        </w:trPr>
        <w:tc>
          <w:tcPr>
            <w:tcW w:w="2085" w:type="dxa"/>
            <w:tcBorders>
              <w:top w:val="nil"/>
              <w:left w:val="nil"/>
              <w:bottom w:val="nil"/>
              <w:right w:val="nil"/>
            </w:tcBorders>
            <w:shd w:val="clear" w:color="auto" w:fill="auto"/>
            <w:noWrap/>
            <w:vAlign w:val="bottom"/>
            <w:hideMark/>
          </w:tcPr>
          <w:p w:rsidR="007472F3" w:rsidRPr="00990B7D" w:rsidRDefault="007472F3" w:rsidP="002E6636">
            <w:pPr>
              <w:spacing w:beforeLines="20" w:before="48" w:afterLines="20" w:after="48" w:line="240" w:lineRule="auto"/>
              <w:ind w:firstLine="0"/>
              <w:jc w:val="left"/>
              <w:rPr>
                <w:sz w:val="20"/>
                <w:szCs w:val="20"/>
                <w:lang w:val="fr-FR"/>
              </w:rPr>
            </w:pPr>
            <w:r w:rsidRPr="00990B7D">
              <w:rPr>
                <w:rFonts w:ascii="Symbol" w:hAnsi="Symbol"/>
                <w:i/>
                <w:iCs/>
                <w:sz w:val="20"/>
                <w:szCs w:val="20"/>
                <w:lang w:val="en-US"/>
              </w:rPr>
              <w:t></w:t>
            </w:r>
            <w:r w:rsidRPr="00990B7D">
              <w:rPr>
                <w:i/>
                <w:iCs/>
                <w:sz w:val="20"/>
                <w:szCs w:val="20"/>
                <w:vertAlign w:val="subscript"/>
                <w:lang w:val="en-US"/>
              </w:rPr>
              <w:t>it</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-0.5712</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-0.3501</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-0.8928</w:t>
            </w:r>
            <w:r>
              <w:rPr>
                <w:sz w:val="20"/>
                <w:szCs w:val="20"/>
              </w:rPr>
              <w:t>***</w:t>
            </w:r>
          </w:p>
        </w:tc>
        <w:tc>
          <w:tcPr>
            <w:tcW w:w="126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Pr>
                <w:sz w:val="20"/>
                <w:szCs w:val="20"/>
              </w:rPr>
              <w:t>&lt;0.0001</w:t>
            </w:r>
          </w:p>
        </w:tc>
      </w:tr>
      <w:tr w:rsidR="007472F3" w:rsidRPr="002B18C5" w:rsidTr="007472F3">
        <w:trPr>
          <w:trHeight w:val="255"/>
        </w:trPr>
        <w:tc>
          <w:tcPr>
            <w:tcW w:w="2085" w:type="dxa"/>
            <w:tcBorders>
              <w:top w:val="nil"/>
              <w:left w:val="nil"/>
              <w:bottom w:val="nil"/>
              <w:right w:val="nil"/>
            </w:tcBorders>
            <w:shd w:val="clear" w:color="auto" w:fill="auto"/>
            <w:noWrap/>
            <w:vAlign w:val="bottom"/>
            <w:hideMark/>
          </w:tcPr>
          <w:p w:rsidR="007472F3" w:rsidRPr="00990B7D" w:rsidRDefault="007472F3" w:rsidP="002E6636">
            <w:pPr>
              <w:spacing w:beforeLines="20" w:before="48" w:afterLines="20" w:after="48" w:line="240" w:lineRule="auto"/>
              <w:ind w:firstLine="0"/>
              <w:jc w:val="left"/>
              <w:rPr>
                <w:sz w:val="20"/>
                <w:szCs w:val="20"/>
                <w:lang w:val="fr-FR"/>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proofErr w:type="spellEnd"/>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-0.0061</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-0.0043</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-0.0105</w:t>
            </w:r>
            <w:r>
              <w:rPr>
                <w:sz w:val="20"/>
                <w:szCs w:val="20"/>
              </w:rPr>
              <w:t>***</w:t>
            </w:r>
          </w:p>
        </w:tc>
        <w:tc>
          <w:tcPr>
            <w:tcW w:w="126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0.0002</w:t>
            </w:r>
          </w:p>
        </w:tc>
      </w:tr>
      <w:tr w:rsidR="007472F3" w:rsidRPr="002B18C5" w:rsidTr="007472F3">
        <w:trPr>
          <w:trHeight w:val="255"/>
        </w:trPr>
        <w:tc>
          <w:tcPr>
            <w:tcW w:w="2085" w:type="dxa"/>
            <w:tcBorders>
              <w:top w:val="nil"/>
              <w:left w:val="nil"/>
              <w:bottom w:val="nil"/>
              <w:right w:val="nil"/>
            </w:tcBorders>
            <w:shd w:val="clear" w:color="auto" w:fill="auto"/>
            <w:noWrap/>
            <w:vAlign w:val="bottom"/>
            <w:hideMark/>
          </w:tcPr>
          <w:p w:rsidR="007472F3" w:rsidRPr="00990B7D" w:rsidRDefault="007472F3" w:rsidP="002E6636">
            <w:pPr>
              <w:spacing w:beforeLines="20" w:before="48" w:afterLines="20" w:after="48" w:line="240" w:lineRule="auto"/>
              <w:ind w:firstLine="0"/>
              <w:jc w:val="left"/>
              <w:rPr>
                <w:sz w:val="20"/>
                <w:szCs w:val="20"/>
                <w:lang w:val="fr-FR"/>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proofErr w:type="spellEnd"/>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-0.0111</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0.0051</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-0.0055</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0.0242</w:t>
            </w:r>
          </w:p>
        </w:tc>
        <w:tc>
          <w:tcPr>
            <w:tcW w:w="112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-0.0131</w:t>
            </w:r>
          </w:p>
        </w:tc>
        <w:tc>
          <w:tcPr>
            <w:tcW w:w="126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0.1563</w:t>
            </w:r>
          </w:p>
        </w:tc>
      </w:tr>
      <w:tr w:rsidR="007472F3" w:rsidRPr="002B18C5" w:rsidTr="007472F3">
        <w:trPr>
          <w:trHeight w:val="255"/>
        </w:trPr>
        <w:tc>
          <w:tcPr>
            <w:tcW w:w="2085" w:type="dxa"/>
            <w:tcBorders>
              <w:top w:val="nil"/>
              <w:left w:val="nil"/>
              <w:bottom w:val="nil"/>
              <w:right w:val="nil"/>
            </w:tcBorders>
            <w:shd w:val="clear" w:color="auto" w:fill="auto"/>
            <w:noWrap/>
            <w:vAlign w:val="bottom"/>
            <w:hideMark/>
          </w:tcPr>
          <w:p w:rsidR="007472F3" w:rsidRPr="00990B7D" w:rsidRDefault="007472F3" w:rsidP="00A57A76">
            <w:pPr>
              <w:spacing w:before="20" w:after="20" w:line="240" w:lineRule="auto"/>
              <w:ind w:firstLine="0"/>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proofErr w:type="spellEnd"/>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0.0002</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0.0001</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0.0004</w:t>
            </w:r>
            <w:r>
              <w:rPr>
                <w:sz w:val="20"/>
                <w:szCs w:val="20"/>
              </w:rPr>
              <w:t>***</w:t>
            </w:r>
          </w:p>
        </w:tc>
        <w:tc>
          <w:tcPr>
            <w:tcW w:w="126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Pr>
                <w:sz w:val="20"/>
                <w:szCs w:val="20"/>
              </w:rPr>
              <w:t>&lt;0.0001</w:t>
            </w:r>
          </w:p>
        </w:tc>
      </w:tr>
      <w:tr w:rsidR="007472F3" w:rsidRPr="002B18C5" w:rsidTr="007472F3">
        <w:trPr>
          <w:trHeight w:val="255"/>
        </w:trPr>
        <w:tc>
          <w:tcPr>
            <w:tcW w:w="2085" w:type="dxa"/>
            <w:tcBorders>
              <w:top w:val="nil"/>
              <w:left w:val="nil"/>
              <w:bottom w:val="nil"/>
              <w:right w:val="nil"/>
            </w:tcBorders>
            <w:shd w:val="clear" w:color="auto" w:fill="auto"/>
            <w:noWrap/>
            <w:vAlign w:val="bottom"/>
            <w:hideMark/>
          </w:tcPr>
          <w:p w:rsidR="007472F3" w:rsidRPr="00990B7D" w:rsidRDefault="007472F3" w:rsidP="00A57A76">
            <w:pPr>
              <w:spacing w:before="20" w:after="20" w:line="240" w:lineRule="auto"/>
              <w:ind w:firstLine="0"/>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proofErr w:type="spellEnd"/>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-0.0004</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0.8350</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-0.0028</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0.0222</w:t>
            </w:r>
          </w:p>
        </w:tc>
        <w:tc>
          <w:tcPr>
            <w:tcW w:w="112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-0.0114</w:t>
            </w:r>
            <w:r>
              <w:rPr>
                <w:sz w:val="20"/>
                <w:szCs w:val="20"/>
              </w:rPr>
              <w:t>**</w:t>
            </w:r>
          </w:p>
        </w:tc>
        <w:tc>
          <w:tcPr>
            <w:tcW w:w="126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0.0131</w:t>
            </w:r>
          </w:p>
        </w:tc>
      </w:tr>
      <w:tr w:rsidR="007472F3" w:rsidRPr="002B18C5" w:rsidTr="007472F3">
        <w:trPr>
          <w:trHeight w:val="255"/>
        </w:trPr>
        <w:tc>
          <w:tcPr>
            <w:tcW w:w="2085" w:type="dxa"/>
            <w:tcBorders>
              <w:top w:val="nil"/>
              <w:left w:val="nil"/>
              <w:bottom w:val="nil"/>
              <w:right w:val="nil"/>
            </w:tcBorders>
            <w:shd w:val="clear" w:color="auto" w:fill="auto"/>
            <w:noWrap/>
            <w:vAlign w:val="bottom"/>
            <w:hideMark/>
          </w:tcPr>
          <w:p w:rsidR="007472F3" w:rsidRPr="00990B7D" w:rsidRDefault="007472F3" w:rsidP="00A57A76">
            <w:pPr>
              <w:spacing w:before="20" w:after="20" w:line="240" w:lineRule="auto"/>
              <w:ind w:firstLine="0"/>
              <w:rPr>
                <w:i/>
                <w:iCs/>
                <w:sz w:val="20"/>
                <w:szCs w:val="20"/>
                <w:lang w:val="en-US"/>
              </w:rPr>
            </w:pP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-0.0109</w:t>
            </w:r>
            <w:r>
              <w:rPr>
                <w:sz w:val="20"/>
                <w:szCs w:val="20"/>
              </w:rPr>
              <w:t>***</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0.0042</w:t>
            </w:r>
          </w:p>
        </w:tc>
        <w:tc>
          <w:tcPr>
            <w:tcW w:w="1276"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-0.0004</w:t>
            </w:r>
          </w:p>
        </w:tc>
        <w:tc>
          <w:tcPr>
            <w:tcW w:w="1134" w:type="dxa"/>
            <w:tcBorders>
              <w:top w:val="nil"/>
              <w:left w:val="nil"/>
              <w:bottom w:val="nil"/>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0.8657</w:t>
            </w:r>
          </w:p>
        </w:tc>
        <w:tc>
          <w:tcPr>
            <w:tcW w:w="112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0.0081</w:t>
            </w:r>
          </w:p>
        </w:tc>
        <w:tc>
          <w:tcPr>
            <w:tcW w:w="1260" w:type="dxa"/>
            <w:tcBorders>
              <w:top w:val="nil"/>
              <w:left w:val="nil"/>
              <w:bottom w:val="nil"/>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0.3592</w:t>
            </w:r>
          </w:p>
        </w:tc>
      </w:tr>
      <w:tr w:rsidR="007472F3" w:rsidRPr="002B18C5" w:rsidTr="007472F3">
        <w:trPr>
          <w:trHeight w:val="255"/>
        </w:trPr>
        <w:tc>
          <w:tcPr>
            <w:tcW w:w="2085" w:type="dxa"/>
            <w:tcBorders>
              <w:top w:val="nil"/>
              <w:left w:val="nil"/>
              <w:bottom w:val="single" w:sz="4" w:space="0" w:color="auto"/>
              <w:right w:val="nil"/>
            </w:tcBorders>
            <w:shd w:val="clear" w:color="auto" w:fill="auto"/>
            <w:noWrap/>
            <w:vAlign w:val="bottom"/>
            <w:hideMark/>
          </w:tcPr>
          <w:p w:rsidR="007472F3" w:rsidRPr="00990B7D" w:rsidRDefault="007472F3" w:rsidP="00A57A76">
            <w:pPr>
              <w:spacing w:before="20" w:after="20" w:line="240" w:lineRule="auto"/>
              <w:ind w:firstLine="0"/>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r w:rsidRPr="00990B7D">
              <w:rPr>
                <w:i/>
                <w:iCs/>
                <w:sz w:val="20"/>
                <w:szCs w:val="20"/>
                <w:lang w:val="en-US"/>
              </w:rPr>
              <w:t>×w</w:t>
            </w:r>
            <w:r w:rsidRPr="00990B7D">
              <w:rPr>
                <w:i/>
                <w:iCs/>
                <w:sz w:val="20"/>
                <w:szCs w:val="20"/>
                <w:vertAlign w:val="subscript"/>
                <w:lang w:val="en-US"/>
              </w:rPr>
              <w:t>i</w:t>
            </w:r>
            <w:proofErr w:type="spellEnd"/>
          </w:p>
        </w:tc>
        <w:tc>
          <w:tcPr>
            <w:tcW w:w="1276" w:type="dxa"/>
            <w:tcBorders>
              <w:top w:val="nil"/>
              <w:left w:val="nil"/>
              <w:bottom w:val="single" w:sz="4"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0.0020</w:t>
            </w:r>
            <w:r>
              <w:rPr>
                <w:sz w:val="20"/>
                <w:szCs w:val="20"/>
              </w:rPr>
              <w:t>**</w:t>
            </w:r>
          </w:p>
        </w:tc>
        <w:tc>
          <w:tcPr>
            <w:tcW w:w="1134" w:type="dxa"/>
            <w:tcBorders>
              <w:top w:val="nil"/>
              <w:left w:val="nil"/>
              <w:bottom w:val="single" w:sz="4"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0.0375</w:t>
            </w:r>
          </w:p>
        </w:tc>
        <w:tc>
          <w:tcPr>
            <w:tcW w:w="1276" w:type="dxa"/>
            <w:tcBorders>
              <w:top w:val="nil"/>
              <w:left w:val="nil"/>
              <w:bottom w:val="single" w:sz="4"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0.0005</w:t>
            </w:r>
          </w:p>
        </w:tc>
        <w:tc>
          <w:tcPr>
            <w:tcW w:w="1134" w:type="dxa"/>
            <w:tcBorders>
              <w:top w:val="nil"/>
              <w:left w:val="nil"/>
              <w:bottom w:val="single" w:sz="4"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0.4434</w:t>
            </w:r>
          </w:p>
        </w:tc>
        <w:tc>
          <w:tcPr>
            <w:tcW w:w="1120" w:type="dxa"/>
            <w:tcBorders>
              <w:top w:val="nil"/>
              <w:left w:val="nil"/>
              <w:bottom w:val="single" w:sz="4" w:space="0" w:color="auto"/>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0.0000</w:t>
            </w:r>
          </w:p>
        </w:tc>
        <w:tc>
          <w:tcPr>
            <w:tcW w:w="1260" w:type="dxa"/>
            <w:tcBorders>
              <w:top w:val="nil"/>
              <w:left w:val="nil"/>
              <w:bottom w:val="single" w:sz="4" w:space="0" w:color="auto"/>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0.9899</w:t>
            </w:r>
          </w:p>
        </w:tc>
      </w:tr>
      <w:tr w:rsidR="007472F3" w:rsidRPr="002B18C5" w:rsidTr="007472F3">
        <w:trPr>
          <w:trHeight w:val="255"/>
        </w:trPr>
        <w:tc>
          <w:tcPr>
            <w:tcW w:w="2085" w:type="dxa"/>
            <w:tcBorders>
              <w:top w:val="single" w:sz="4" w:space="0" w:color="auto"/>
              <w:left w:val="nil"/>
              <w:bottom w:val="single" w:sz="12" w:space="0" w:color="auto"/>
              <w:right w:val="nil"/>
            </w:tcBorders>
            <w:shd w:val="clear" w:color="auto" w:fill="auto"/>
            <w:noWrap/>
            <w:vAlign w:val="bottom"/>
            <w:hideMark/>
          </w:tcPr>
          <w:p w:rsidR="007472F3" w:rsidRPr="00990B7D" w:rsidRDefault="007472F3" w:rsidP="002E6636">
            <w:pPr>
              <w:spacing w:beforeLines="20" w:before="48" w:afterLines="20" w:after="48" w:line="240" w:lineRule="auto"/>
              <w:ind w:firstLine="0"/>
              <w:jc w:val="left"/>
              <w:rPr>
                <w:sz w:val="20"/>
                <w:szCs w:val="20"/>
                <w:lang w:val="fr-FR"/>
              </w:rPr>
            </w:pPr>
            <w:r w:rsidRPr="00990B7D">
              <w:rPr>
                <w:sz w:val="20"/>
                <w:szCs w:val="20"/>
                <w:lang w:val="fr-FR"/>
              </w:rPr>
              <w:t>R-Square</w:t>
            </w:r>
          </w:p>
        </w:tc>
        <w:tc>
          <w:tcPr>
            <w:tcW w:w="1276" w:type="dxa"/>
            <w:tcBorders>
              <w:top w:val="single" w:sz="4" w:space="0" w:color="auto"/>
              <w:left w:val="nil"/>
              <w:bottom w:val="single" w:sz="12"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13.68%</w:t>
            </w:r>
          </w:p>
        </w:tc>
        <w:tc>
          <w:tcPr>
            <w:tcW w:w="1134" w:type="dxa"/>
            <w:tcBorders>
              <w:top w:val="single" w:sz="4" w:space="0" w:color="auto"/>
              <w:left w:val="nil"/>
              <w:bottom w:val="single" w:sz="12"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p>
        </w:tc>
        <w:tc>
          <w:tcPr>
            <w:tcW w:w="1276" w:type="dxa"/>
            <w:tcBorders>
              <w:top w:val="single" w:sz="4" w:space="0" w:color="auto"/>
              <w:left w:val="nil"/>
              <w:bottom w:val="single" w:sz="12"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r w:rsidRPr="00194542">
              <w:rPr>
                <w:sz w:val="20"/>
                <w:szCs w:val="20"/>
              </w:rPr>
              <w:t>9.67%</w:t>
            </w:r>
          </w:p>
        </w:tc>
        <w:tc>
          <w:tcPr>
            <w:tcW w:w="1134" w:type="dxa"/>
            <w:tcBorders>
              <w:top w:val="single" w:sz="4" w:space="0" w:color="auto"/>
              <w:left w:val="nil"/>
              <w:bottom w:val="single" w:sz="12" w:space="0" w:color="auto"/>
              <w:right w:val="nil"/>
            </w:tcBorders>
            <w:shd w:val="clear" w:color="auto" w:fill="auto"/>
            <w:noWrap/>
            <w:vAlign w:val="center"/>
            <w:hideMark/>
          </w:tcPr>
          <w:p w:rsidR="007472F3" w:rsidRPr="00194542" w:rsidRDefault="007472F3" w:rsidP="002E6636">
            <w:pPr>
              <w:spacing w:beforeLines="20" w:before="48" w:afterLines="20" w:after="48" w:line="240" w:lineRule="auto"/>
              <w:ind w:firstLine="0"/>
              <w:jc w:val="center"/>
              <w:rPr>
                <w:sz w:val="20"/>
                <w:szCs w:val="20"/>
              </w:rPr>
            </w:pPr>
          </w:p>
        </w:tc>
        <w:tc>
          <w:tcPr>
            <w:tcW w:w="1120" w:type="dxa"/>
            <w:tcBorders>
              <w:top w:val="single" w:sz="4" w:space="0" w:color="auto"/>
              <w:left w:val="nil"/>
              <w:bottom w:val="single" w:sz="12" w:space="0" w:color="auto"/>
              <w:right w:val="nil"/>
            </w:tcBorders>
            <w:vAlign w:val="center"/>
          </w:tcPr>
          <w:p w:rsidR="007472F3" w:rsidRPr="007472F3" w:rsidRDefault="007472F3" w:rsidP="007472F3">
            <w:pPr>
              <w:spacing w:before="0" w:line="240" w:lineRule="auto"/>
              <w:ind w:firstLine="0"/>
              <w:jc w:val="center"/>
              <w:rPr>
                <w:sz w:val="20"/>
                <w:szCs w:val="20"/>
              </w:rPr>
            </w:pPr>
            <w:r w:rsidRPr="007472F3">
              <w:rPr>
                <w:sz w:val="20"/>
                <w:szCs w:val="20"/>
              </w:rPr>
              <w:t>4.40%</w:t>
            </w:r>
          </w:p>
        </w:tc>
        <w:tc>
          <w:tcPr>
            <w:tcW w:w="1260" w:type="dxa"/>
            <w:tcBorders>
              <w:top w:val="single" w:sz="4" w:space="0" w:color="auto"/>
              <w:left w:val="nil"/>
              <w:bottom w:val="single" w:sz="12" w:space="0" w:color="auto"/>
              <w:right w:val="nil"/>
            </w:tcBorders>
            <w:vAlign w:val="center"/>
          </w:tcPr>
          <w:p w:rsidR="007472F3" w:rsidRPr="007472F3" w:rsidRDefault="007472F3" w:rsidP="007472F3">
            <w:pPr>
              <w:spacing w:before="0" w:line="240" w:lineRule="auto"/>
              <w:ind w:firstLine="0"/>
              <w:jc w:val="center"/>
              <w:rPr>
                <w:sz w:val="20"/>
                <w:szCs w:val="20"/>
              </w:rPr>
            </w:pPr>
          </w:p>
        </w:tc>
      </w:tr>
      <w:tr w:rsidR="00BC3F1E" w:rsidRPr="002B18C5" w:rsidTr="00BC3F1E">
        <w:trPr>
          <w:trHeight w:val="255"/>
        </w:trPr>
        <w:tc>
          <w:tcPr>
            <w:tcW w:w="9285" w:type="dxa"/>
            <w:gridSpan w:val="7"/>
            <w:tcBorders>
              <w:top w:val="single" w:sz="12" w:space="0" w:color="auto"/>
              <w:left w:val="nil"/>
              <w:bottom w:val="single" w:sz="4" w:space="0" w:color="auto"/>
              <w:right w:val="nil"/>
            </w:tcBorders>
            <w:shd w:val="clear" w:color="auto" w:fill="auto"/>
            <w:noWrap/>
            <w:vAlign w:val="center"/>
            <w:hideMark/>
          </w:tcPr>
          <w:p w:rsidR="00BC3F1E" w:rsidRPr="00194542" w:rsidRDefault="00BC3F1E" w:rsidP="00BC3F1E">
            <w:pPr>
              <w:spacing w:beforeLines="20" w:before="48" w:afterLines="20" w:after="48" w:line="240" w:lineRule="auto"/>
              <w:ind w:firstLine="0"/>
              <w:jc w:val="left"/>
              <w:rPr>
                <w:sz w:val="20"/>
                <w:szCs w:val="20"/>
              </w:rPr>
            </w:pPr>
            <w:r w:rsidRPr="00990B7D">
              <w:rPr>
                <w:b/>
                <w:sz w:val="20"/>
                <w:szCs w:val="20"/>
                <w:lang w:val="fr-FR"/>
              </w:rPr>
              <w:t>Panel B – Extended model</w:t>
            </w:r>
          </w:p>
        </w:tc>
      </w:tr>
      <w:tr w:rsidR="00BC4572" w:rsidRPr="002B18C5" w:rsidTr="00BC4572">
        <w:trPr>
          <w:trHeight w:val="255"/>
        </w:trPr>
        <w:tc>
          <w:tcPr>
            <w:tcW w:w="2085" w:type="dxa"/>
            <w:tcBorders>
              <w:top w:val="single" w:sz="4" w:space="0" w:color="auto"/>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sz w:val="20"/>
                <w:szCs w:val="20"/>
                <w:lang w:val="en-US"/>
              </w:rPr>
            </w:pPr>
            <w:r w:rsidRPr="00990B7D">
              <w:rPr>
                <w:sz w:val="20"/>
                <w:szCs w:val="20"/>
                <w:lang w:val="en-US"/>
              </w:rPr>
              <w:t>Intercept</w:t>
            </w:r>
          </w:p>
        </w:tc>
        <w:tc>
          <w:tcPr>
            <w:tcW w:w="1276" w:type="dxa"/>
            <w:tcBorders>
              <w:top w:val="single" w:sz="4" w:space="0" w:color="auto"/>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0.3659</w:t>
            </w:r>
            <w:r>
              <w:rPr>
                <w:sz w:val="20"/>
                <w:szCs w:val="20"/>
              </w:rPr>
              <w:t>***</w:t>
            </w:r>
          </w:p>
        </w:tc>
        <w:tc>
          <w:tcPr>
            <w:tcW w:w="1134" w:type="dxa"/>
            <w:tcBorders>
              <w:top w:val="single" w:sz="4" w:space="0" w:color="auto"/>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&lt;0.0001</w:t>
            </w:r>
          </w:p>
        </w:tc>
        <w:tc>
          <w:tcPr>
            <w:tcW w:w="1276" w:type="dxa"/>
            <w:tcBorders>
              <w:top w:val="single" w:sz="4" w:space="0" w:color="auto"/>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0.1281</w:t>
            </w:r>
            <w:r>
              <w:rPr>
                <w:sz w:val="20"/>
                <w:szCs w:val="20"/>
              </w:rPr>
              <w:t>***</w:t>
            </w:r>
          </w:p>
        </w:tc>
        <w:tc>
          <w:tcPr>
            <w:tcW w:w="1134" w:type="dxa"/>
            <w:tcBorders>
              <w:top w:val="single" w:sz="4" w:space="0" w:color="auto"/>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single" w:sz="4" w:space="0" w:color="auto"/>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0.4134</w:t>
            </w:r>
            <w:r>
              <w:rPr>
                <w:sz w:val="20"/>
                <w:szCs w:val="20"/>
              </w:rPr>
              <w:t>***</w:t>
            </w:r>
          </w:p>
        </w:tc>
        <w:tc>
          <w:tcPr>
            <w:tcW w:w="1260" w:type="dxa"/>
            <w:tcBorders>
              <w:top w:val="single" w:sz="4" w:space="0" w:color="auto"/>
              <w:left w:val="nil"/>
              <w:bottom w:val="nil"/>
              <w:right w:val="nil"/>
            </w:tcBorders>
            <w:vAlign w:val="center"/>
          </w:tcPr>
          <w:p w:rsidR="00BC4572" w:rsidRPr="00BC4572" w:rsidRDefault="00BC4572" w:rsidP="00BC4572">
            <w:pPr>
              <w:spacing w:before="0" w:line="240" w:lineRule="auto"/>
              <w:ind w:firstLine="0"/>
              <w:jc w:val="center"/>
              <w:rPr>
                <w:sz w:val="20"/>
                <w:szCs w:val="20"/>
              </w:rPr>
            </w:pPr>
            <w:r>
              <w:rPr>
                <w:sz w:val="20"/>
                <w:szCs w:val="20"/>
              </w:rPr>
              <w:t>&lt;0.0001</w:t>
            </w:r>
          </w:p>
        </w:tc>
      </w:tr>
      <w:tr w:rsidR="00BC4572" w:rsidRPr="002B18C5" w:rsidTr="00BC4572">
        <w:trPr>
          <w:trHeight w:val="80"/>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i/>
                <w:iCs/>
                <w:sz w:val="20"/>
                <w:szCs w:val="20"/>
                <w:lang w:val="en-US"/>
              </w:rPr>
            </w:pPr>
            <w:r w:rsidRPr="00990B7D">
              <w:rPr>
                <w:rFonts w:ascii="Symbol" w:hAnsi="Symbol"/>
                <w:i/>
                <w:iCs/>
                <w:sz w:val="20"/>
                <w:szCs w:val="20"/>
                <w:lang w:val="en-US"/>
              </w:rPr>
              <w:t></w:t>
            </w:r>
            <w:r w:rsidRPr="00990B7D">
              <w:rPr>
                <w:i/>
                <w:iCs/>
                <w:sz w:val="20"/>
                <w:szCs w:val="20"/>
                <w:vertAlign w:val="subscript"/>
                <w:lang w:val="en-US"/>
              </w:rPr>
              <w:t>it</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-0.4782</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&lt;0.0001</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-0.2839</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-0.6605</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Pr>
                <w:sz w:val="20"/>
                <w:szCs w:val="20"/>
              </w:rPr>
              <w:t>&lt;0.0001</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rFonts w:ascii="Symbol" w:hAnsi="Symbol"/>
                <w:i/>
                <w:iCs/>
                <w:sz w:val="20"/>
                <w:szCs w:val="20"/>
                <w:lang w:val="en-US"/>
              </w:rPr>
            </w:pPr>
            <w:r w:rsidRPr="00990B7D">
              <w:rPr>
                <w:rFonts w:ascii="Symbol" w:hAnsi="Symbol"/>
                <w:i/>
                <w:iCs/>
                <w:sz w:val="20"/>
                <w:szCs w:val="20"/>
                <w:lang w:val="en-US"/>
              </w:rPr>
              <w:t></w:t>
            </w:r>
            <w:r w:rsidRPr="00990B7D">
              <w:rPr>
                <w:i/>
                <w:iCs/>
                <w:sz w:val="20"/>
                <w:szCs w:val="20"/>
                <w:vertAlign w:val="subscript"/>
                <w:lang w:val="en-US"/>
              </w:rPr>
              <w:t>it</w:t>
            </w:r>
            <w:r w:rsidRPr="00990B7D">
              <w:rPr>
                <w:i/>
                <w:iCs/>
                <w:sz w:val="20"/>
                <w:szCs w:val="20"/>
                <w:lang w:val="en-US"/>
              </w:rPr>
              <w:t>× 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-0.1150</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0.3257</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-0.1187</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0.0984</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-0.5067</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0.0622</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r w:rsidRPr="00990B7D">
              <w:rPr>
                <w:rFonts w:ascii="Symbol" w:hAnsi="Symbol"/>
                <w:i/>
                <w:iCs/>
                <w:sz w:val="20"/>
                <w:szCs w:val="20"/>
                <w:lang w:val="en-US"/>
              </w:rPr>
              <w:t></w:t>
            </w:r>
            <w:proofErr w:type="spellStart"/>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-0.0255</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0.7510</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-0.0688</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0.1634</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-0.2832</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0.1295</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r w:rsidRPr="00990B7D">
              <w:rPr>
                <w:rFonts w:ascii="Symbol" w:hAnsi="Symbol"/>
                <w:i/>
                <w:iCs/>
                <w:sz w:val="20"/>
                <w:szCs w:val="20"/>
                <w:lang w:val="en-US"/>
              </w:rPr>
              <w:t></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-0.2683</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0.0881</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0.0209</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0.8287</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0.3394</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0.3529</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sz w:val="20"/>
                <w:szCs w:val="20"/>
                <w:lang w:val="en-US"/>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-0.0040</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0.0167</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-0.0047</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&lt;0.0001</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-0.0150</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0.0001</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sz w:val="20"/>
                <w:szCs w:val="20"/>
                <w:lang w:val="en-US"/>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proofErr w:type="spellEnd"/>
            <w:r w:rsidRPr="00990B7D">
              <w:rPr>
                <w:i/>
                <w:iCs/>
                <w:sz w:val="20"/>
                <w:szCs w:val="20"/>
                <w:lang w:val="en-US"/>
              </w:rPr>
              <w:t>× 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-0.0107</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0.0016</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0.0011</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0.5918</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0.0170</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0.0301</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proofErr w:type="spellStart"/>
            <w:r w:rsidRPr="00990B7D">
              <w:rPr>
                <w:sz w:val="20"/>
                <w:szCs w:val="20"/>
                <w:lang w:val="en-US"/>
              </w:rPr>
              <w:t>ln</w:t>
            </w:r>
            <w:r w:rsidRPr="00990B7D">
              <w:rPr>
                <w:i/>
                <w:iCs/>
                <w:sz w:val="20"/>
                <w:szCs w:val="20"/>
                <w:lang w:val="en-US"/>
              </w:rPr>
              <w:t>V</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0.0001</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0.9645</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0.0008</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0.4102</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0.0040</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0.2994</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r w:rsidRPr="00990B7D">
              <w:rPr>
                <w:sz w:val="20"/>
                <w:szCs w:val="20"/>
                <w:lang w:val="en-US"/>
              </w:rPr>
              <w:t>ln</w:t>
            </w:r>
            <w:r w:rsidRPr="00990B7D">
              <w:rPr>
                <w:i/>
                <w:iCs/>
                <w:sz w:val="20"/>
                <w:szCs w:val="20"/>
                <w:lang w:val="en-US"/>
              </w:rPr>
              <w:t>V</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0.0037</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0.3627</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-0.0026</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0.2879</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-0.0163</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0.0830</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sz w:val="20"/>
                <w:szCs w:val="20"/>
                <w:lang w:val="en-US"/>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-0.0110</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0.0166</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-0.0036</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0.2032</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-0.0062</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0.5636</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sz w:val="20"/>
                <w:szCs w:val="20"/>
                <w:lang w:val="en-US"/>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proofErr w:type="spellEnd"/>
            <w:r w:rsidRPr="00990B7D">
              <w:rPr>
                <w:i/>
                <w:iCs/>
                <w:sz w:val="20"/>
                <w:szCs w:val="20"/>
                <w:lang w:val="en-US"/>
              </w:rPr>
              <w:t>× 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-0.0014</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0.8947</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-0.0083</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0.1931</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-0.0311</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0.1976</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proofErr w:type="spellStart"/>
            <w:r w:rsidRPr="00990B7D">
              <w:rPr>
                <w:sz w:val="20"/>
                <w:szCs w:val="20"/>
                <w:lang w:val="en-US"/>
              </w:rPr>
              <w:t>ln</w:t>
            </w:r>
            <w:r w:rsidRPr="00990B7D">
              <w:rPr>
                <w:i/>
                <w:iCs/>
                <w:sz w:val="20"/>
                <w:szCs w:val="20"/>
                <w:lang w:val="en-US"/>
              </w:rPr>
              <w:t>P</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0.0020</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0.3952</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0.0000</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0.9736</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-0.0013</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0.8169</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r w:rsidRPr="00990B7D">
              <w:rPr>
                <w:sz w:val="20"/>
                <w:szCs w:val="20"/>
                <w:lang w:val="en-US"/>
              </w:rPr>
              <w:t>ln</w:t>
            </w:r>
            <w:r w:rsidRPr="00990B7D">
              <w:rPr>
                <w:i/>
                <w:iCs/>
                <w:sz w:val="20"/>
                <w:szCs w:val="20"/>
                <w:lang w:val="en-US"/>
              </w:rPr>
              <w:t>P</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-0.0099</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0.0296</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-0.0030</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0.2855</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-0.0029</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0.7839</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0.0002</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0.0002</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0.0001</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0.0004</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0.0004</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0.0184</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proofErr w:type="spellEnd"/>
            <w:r w:rsidRPr="00990B7D">
              <w:rPr>
                <w:i/>
                <w:iCs/>
                <w:sz w:val="20"/>
                <w:szCs w:val="20"/>
                <w:lang w:val="en-US"/>
              </w:rPr>
              <w:t>× 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0.0003</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0.0231</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0.0000</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0.6025</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-0.0001</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0.7857</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proofErr w:type="spellStart"/>
            <w:r w:rsidRPr="00990B7D">
              <w:rPr>
                <w:i/>
                <w:iCs/>
                <w:sz w:val="20"/>
                <w:szCs w:val="20"/>
                <w:lang w:val="en-US"/>
              </w:rPr>
              <w:t>OIB</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-0.0002</w:t>
            </w:r>
            <w:r>
              <w:rPr>
                <w:sz w:val="20"/>
                <w:szCs w:val="20"/>
              </w:rPr>
              <w:t>**</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0.0372</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Pr>
                <w:sz w:val="20"/>
                <w:szCs w:val="20"/>
              </w:rPr>
              <w:t>0.0000</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0.9561</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0.0002</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0.4746</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jc w:val="left"/>
              <w:rPr>
                <w:i/>
                <w:iCs/>
                <w:sz w:val="20"/>
                <w:szCs w:val="20"/>
                <w:lang w:val="en-US"/>
              </w:rPr>
            </w:pPr>
            <w:r w:rsidRPr="00990B7D">
              <w:rPr>
                <w:i/>
                <w:iCs/>
                <w:sz w:val="20"/>
                <w:szCs w:val="20"/>
                <w:lang w:val="en-US"/>
              </w:rPr>
              <w:t>OIB</w:t>
            </w:r>
            <w:r w:rsidRPr="00990B7D">
              <w:rPr>
                <w:i/>
                <w:iCs/>
                <w:sz w:val="20"/>
                <w:szCs w:val="20"/>
                <w:vertAlign w:val="subscript"/>
                <w:lang w:val="en-US"/>
              </w:rPr>
              <w:t>it</w:t>
            </w: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-0.0002</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0.2417</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-0.0001</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0.3717</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-0.0002</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0.6264</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proofErr w:type="spellEnd"/>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-0.0021</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0.8911</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-0.0066</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0.4800</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-0.0308</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0.3816</w:t>
            </w:r>
          </w:p>
        </w:tc>
      </w:tr>
      <w:tr w:rsidR="00BC4572" w:rsidRPr="002B18C5" w:rsidTr="00BC4572">
        <w:trPr>
          <w:trHeight w:val="255"/>
        </w:trPr>
        <w:tc>
          <w:tcPr>
            <w:tcW w:w="2085" w:type="dxa"/>
            <w:tcBorders>
              <w:top w:val="nil"/>
              <w:left w:val="nil"/>
              <w:bottom w:val="nil"/>
              <w:right w:val="nil"/>
            </w:tcBorders>
            <w:shd w:val="clear" w:color="auto" w:fill="auto"/>
            <w:noWrap/>
            <w:vAlign w:val="bottom"/>
            <w:hideMark/>
          </w:tcPr>
          <w:p w:rsidR="00BC4572" w:rsidRPr="00990B7D" w:rsidRDefault="00BC4572" w:rsidP="00A57A76">
            <w:pPr>
              <w:spacing w:before="20" w:after="20" w:line="240" w:lineRule="auto"/>
              <w:ind w:firstLine="0"/>
              <w:rPr>
                <w:i/>
                <w:iCs/>
                <w:sz w:val="20"/>
                <w:szCs w:val="20"/>
                <w:lang w:val="en-US"/>
              </w:rPr>
            </w:pPr>
            <w:r w:rsidRPr="00990B7D">
              <w:rPr>
                <w:i/>
                <w:iCs/>
                <w:sz w:val="20"/>
                <w:szCs w:val="20"/>
                <w:lang w:val="en-US"/>
              </w:rPr>
              <w:t>ETF</w:t>
            </w:r>
            <w:r w:rsidRPr="00990B7D">
              <w:rPr>
                <w:i/>
                <w:iCs/>
                <w:sz w:val="20"/>
                <w:szCs w:val="20"/>
                <w:vertAlign w:val="subscript"/>
                <w:lang w:val="en-US"/>
              </w:rPr>
              <w:t>t</w:t>
            </w:r>
            <w:r w:rsidRPr="00990B7D">
              <w:rPr>
                <w:i/>
                <w:iCs/>
                <w:sz w:val="20"/>
                <w:szCs w:val="20"/>
                <w:lang w:val="en-US"/>
              </w:rPr>
              <w:t>×CAC40</w:t>
            </w:r>
            <w:r w:rsidRPr="00990B7D">
              <w:rPr>
                <w:i/>
                <w:iCs/>
                <w:sz w:val="20"/>
                <w:szCs w:val="20"/>
                <w:vertAlign w:val="subscript"/>
                <w:lang w:val="en-US"/>
              </w:rPr>
              <w:t>i</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0.0071</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0.8577</w:t>
            </w:r>
          </w:p>
        </w:tc>
        <w:tc>
          <w:tcPr>
            <w:tcW w:w="1276"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0.0375</w:t>
            </w:r>
          </w:p>
        </w:tc>
        <w:tc>
          <w:tcPr>
            <w:tcW w:w="1134" w:type="dxa"/>
            <w:tcBorders>
              <w:top w:val="nil"/>
              <w:left w:val="nil"/>
              <w:bottom w:val="nil"/>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0.1215</w:t>
            </w:r>
          </w:p>
        </w:tc>
        <w:tc>
          <w:tcPr>
            <w:tcW w:w="112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0.1648</w:t>
            </w:r>
            <w:r>
              <w:rPr>
                <w:sz w:val="20"/>
                <w:szCs w:val="20"/>
              </w:rPr>
              <w:t>*</w:t>
            </w:r>
          </w:p>
        </w:tc>
        <w:tc>
          <w:tcPr>
            <w:tcW w:w="1260" w:type="dxa"/>
            <w:tcBorders>
              <w:top w:val="nil"/>
              <w:left w:val="nil"/>
              <w:bottom w:val="nil"/>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0.0721</w:t>
            </w:r>
          </w:p>
        </w:tc>
      </w:tr>
      <w:tr w:rsidR="00BC4572" w:rsidRPr="002B18C5" w:rsidTr="00BC4572">
        <w:trPr>
          <w:trHeight w:val="255"/>
        </w:trPr>
        <w:tc>
          <w:tcPr>
            <w:tcW w:w="2085" w:type="dxa"/>
            <w:tcBorders>
              <w:top w:val="nil"/>
              <w:left w:val="nil"/>
              <w:bottom w:val="single" w:sz="4" w:space="0" w:color="auto"/>
              <w:right w:val="nil"/>
            </w:tcBorders>
            <w:shd w:val="clear" w:color="auto" w:fill="auto"/>
            <w:noWrap/>
            <w:vAlign w:val="bottom"/>
            <w:hideMark/>
          </w:tcPr>
          <w:p w:rsidR="00BC4572" w:rsidRPr="00990B7D" w:rsidRDefault="00BC4572" w:rsidP="00A57A76">
            <w:pPr>
              <w:spacing w:before="20" w:after="20" w:line="240" w:lineRule="auto"/>
              <w:ind w:firstLine="0"/>
              <w:rPr>
                <w:i/>
                <w:iCs/>
                <w:sz w:val="20"/>
                <w:szCs w:val="20"/>
                <w:lang w:val="en-US"/>
              </w:rPr>
            </w:pPr>
            <w:proofErr w:type="spellStart"/>
            <w:r w:rsidRPr="00990B7D">
              <w:rPr>
                <w:i/>
                <w:iCs/>
                <w:sz w:val="20"/>
                <w:szCs w:val="20"/>
                <w:lang w:val="en-US"/>
              </w:rPr>
              <w:t>ETF</w:t>
            </w:r>
            <w:r w:rsidRPr="00990B7D">
              <w:rPr>
                <w:i/>
                <w:iCs/>
                <w:sz w:val="20"/>
                <w:szCs w:val="20"/>
                <w:vertAlign w:val="subscript"/>
                <w:lang w:val="en-US"/>
              </w:rPr>
              <w:t>t</w:t>
            </w:r>
            <w:r w:rsidRPr="00990B7D">
              <w:rPr>
                <w:i/>
                <w:iCs/>
                <w:sz w:val="20"/>
                <w:szCs w:val="20"/>
                <w:lang w:val="en-US"/>
              </w:rPr>
              <w:t>×w</w:t>
            </w:r>
            <w:r w:rsidRPr="00990B7D">
              <w:rPr>
                <w:i/>
                <w:iCs/>
                <w:sz w:val="20"/>
                <w:szCs w:val="20"/>
                <w:vertAlign w:val="subscript"/>
                <w:lang w:val="en-US"/>
              </w:rPr>
              <w:t>i</w:t>
            </w:r>
            <w:proofErr w:type="spellEnd"/>
          </w:p>
        </w:tc>
        <w:tc>
          <w:tcPr>
            <w:tcW w:w="1276" w:type="dxa"/>
            <w:tcBorders>
              <w:top w:val="nil"/>
              <w:left w:val="nil"/>
              <w:bottom w:val="single" w:sz="4"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0.0004</w:t>
            </w:r>
          </w:p>
        </w:tc>
        <w:tc>
          <w:tcPr>
            <w:tcW w:w="1134" w:type="dxa"/>
            <w:tcBorders>
              <w:top w:val="nil"/>
              <w:left w:val="nil"/>
              <w:bottom w:val="single" w:sz="4"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0.8067</w:t>
            </w:r>
          </w:p>
        </w:tc>
        <w:tc>
          <w:tcPr>
            <w:tcW w:w="1276" w:type="dxa"/>
            <w:tcBorders>
              <w:top w:val="nil"/>
              <w:left w:val="nil"/>
              <w:bottom w:val="single" w:sz="4"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0.0010</w:t>
            </w:r>
          </w:p>
        </w:tc>
        <w:tc>
          <w:tcPr>
            <w:tcW w:w="1134" w:type="dxa"/>
            <w:tcBorders>
              <w:top w:val="nil"/>
              <w:left w:val="nil"/>
              <w:bottom w:val="single" w:sz="4"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0.3399</w:t>
            </w:r>
          </w:p>
        </w:tc>
        <w:tc>
          <w:tcPr>
            <w:tcW w:w="1120" w:type="dxa"/>
            <w:tcBorders>
              <w:top w:val="nil"/>
              <w:left w:val="nil"/>
              <w:bottom w:val="single" w:sz="4" w:space="0" w:color="auto"/>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0.0041</w:t>
            </w:r>
          </w:p>
        </w:tc>
        <w:tc>
          <w:tcPr>
            <w:tcW w:w="1260" w:type="dxa"/>
            <w:tcBorders>
              <w:top w:val="nil"/>
              <w:left w:val="nil"/>
              <w:bottom w:val="single" w:sz="4" w:space="0" w:color="auto"/>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0.2784</w:t>
            </w:r>
          </w:p>
        </w:tc>
      </w:tr>
      <w:tr w:rsidR="00BC4572" w:rsidRPr="002B18C5" w:rsidTr="00BC4572">
        <w:trPr>
          <w:trHeight w:val="255"/>
        </w:trPr>
        <w:tc>
          <w:tcPr>
            <w:tcW w:w="2085" w:type="dxa"/>
            <w:tcBorders>
              <w:top w:val="single" w:sz="4" w:space="0" w:color="auto"/>
              <w:left w:val="nil"/>
              <w:bottom w:val="single" w:sz="12" w:space="0" w:color="auto"/>
              <w:right w:val="nil"/>
            </w:tcBorders>
            <w:shd w:val="clear" w:color="auto" w:fill="auto"/>
            <w:noWrap/>
            <w:vAlign w:val="bottom"/>
            <w:hideMark/>
          </w:tcPr>
          <w:p w:rsidR="00BC4572" w:rsidRPr="00990B7D" w:rsidRDefault="00BC4572" w:rsidP="002E6636">
            <w:pPr>
              <w:spacing w:beforeLines="20" w:before="48" w:afterLines="20" w:after="48" w:line="240" w:lineRule="auto"/>
              <w:ind w:firstLine="0"/>
              <w:jc w:val="left"/>
              <w:rPr>
                <w:sz w:val="20"/>
                <w:szCs w:val="20"/>
                <w:lang w:val="fr-FR"/>
              </w:rPr>
            </w:pPr>
            <w:r w:rsidRPr="00990B7D">
              <w:rPr>
                <w:sz w:val="20"/>
                <w:szCs w:val="20"/>
                <w:lang w:val="fr-FR"/>
              </w:rPr>
              <w:t>R-Square</w:t>
            </w:r>
          </w:p>
        </w:tc>
        <w:tc>
          <w:tcPr>
            <w:tcW w:w="1276" w:type="dxa"/>
            <w:tcBorders>
              <w:top w:val="single" w:sz="4" w:space="0" w:color="auto"/>
              <w:left w:val="nil"/>
              <w:bottom w:val="single" w:sz="12"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14.11%</w:t>
            </w:r>
          </w:p>
        </w:tc>
        <w:tc>
          <w:tcPr>
            <w:tcW w:w="1134" w:type="dxa"/>
            <w:tcBorders>
              <w:top w:val="single" w:sz="4" w:space="0" w:color="auto"/>
              <w:left w:val="nil"/>
              <w:bottom w:val="single" w:sz="12"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p>
        </w:tc>
        <w:tc>
          <w:tcPr>
            <w:tcW w:w="1276" w:type="dxa"/>
            <w:tcBorders>
              <w:top w:val="single" w:sz="4" w:space="0" w:color="auto"/>
              <w:left w:val="nil"/>
              <w:bottom w:val="single" w:sz="12"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r w:rsidRPr="00194542">
              <w:rPr>
                <w:sz w:val="20"/>
                <w:szCs w:val="20"/>
              </w:rPr>
              <w:t>9.80%</w:t>
            </w:r>
          </w:p>
        </w:tc>
        <w:tc>
          <w:tcPr>
            <w:tcW w:w="1134" w:type="dxa"/>
            <w:tcBorders>
              <w:top w:val="single" w:sz="4" w:space="0" w:color="auto"/>
              <w:left w:val="nil"/>
              <w:bottom w:val="single" w:sz="12" w:space="0" w:color="auto"/>
              <w:right w:val="nil"/>
            </w:tcBorders>
            <w:shd w:val="clear" w:color="auto" w:fill="auto"/>
            <w:noWrap/>
            <w:vAlign w:val="center"/>
            <w:hideMark/>
          </w:tcPr>
          <w:p w:rsidR="00BC4572" w:rsidRPr="00194542" w:rsidRDefault="00BC4572" w:rsidP="002E6636">
            <w:pPr>
              <w:spacing w:beforeLines="20" w:before="48" w:afterLines="20" w:after="48" w:line="240" w:lineRule="auto"/>
              <w:ind w:firstLine="0"/>
              <w:jc w:val="center"/>
              <w:rPr>
                <w:sz w:val="20"/>
                <w:szCs w:val="20"/>
              </w:rPr>
            </w:pPr>
          </w:p>
        </w:tc>
        <w:tc>
          <w:tcPr>
            <w:tcW w:w="1120" w:type="dxa"/>
            <w:tcBorders>
              <w:top w:val="single" w:sz="4" w:space="0" w:color="auto"/>
              <w:left w:val="nil"/>
              <w:bottom w:val="single" w:sz="12" w:space="0" w:color="auto"/>
              <w:right w:val="nil"/>
            </w:tcBorders>
            <w:vAlign w:val="center"/>
          </w:tcPr>
          <w:p w:rsidR="00BC4572" w:rsidRPr="00BC4572" w:rsidRDefault="00BC4572" w:rsidP="00BC4572">
            <w:pPr>
              <w:spacing w:before="0" w:line="240" w:lineRule="auto"/>
              <w:ind w:firstLine="0"/>
              <w:jc w:val="center"/>
              <w:rPr>
                <w:sz w:val="20"/>
                <w:szCs w:val="20"/>
              </w:rPr>
            </w:pPr>
            <w:r w:rsidRPr="00BC4572">
              <w:rPr>
                <w:sz w:val="20"/>
                <w:szCs w:val="20"/>
              </w:rPr>
              <w:t>4.51%</w:t>
            </w:r>
          </w:p>
        </w:tc>
        <w:tc>
          <w:tcPr>
            <w:tcW w:w="1260" w:type="dxa"/>
            <w:tcBorders>
              <w:top w:val="single" w:sz="4" w:space="0" w:color="auto"/>
              <w:left w:val="nil"/>
              <w:bottom w:val="single" w:sz="12" w:space="0" w:color="auto"/>
              <w:right w:val="nil"/>
            </w:tcBorders>
            <w:vAlign w:val="center"/>
          </w:tcPr>
          <w:p w:rsidR="00BC4572" w:rsidRPr="00BC4572" w:rsidRDefault="00BC4572" w:rsidP="00BC4572">
            <w:pPr>
              <w:spacing w:before="0" w:line="240" w:lineRule="auto"/>
              <w:ind w:firstLine="0"/>
              <w:jc w:val="center"/>
              <w:rPr>
                <w:sz w:val="20"/>
                <w:szCs w:val="20"/>
              </w:rPr>
            </w:pPr>
          </w:p>
        </w:tc>
      </w:tr>
    </w:tbl>
    <w:p w:rsidR="0074308C" w:rsidRDefault="0074308C" w:rsidP="00BC3F1E">
      <w:pPr>
        <w:pStyle w:val="Notetable"/>
        <w:ind w:right="-200"/>
        <w:rPr>
          <w:lang w:val="en-US"/>
        </w:rPr>
      </w:pPr>
      <w:r w:rsidRPr="00C0615A">
        <w:rPr>
          <w:i/>
          <w:lang w:val="en-US"/>
        </w:rPr>
        <w:t>Note</w:t>
      </w:r>
      <w:r>
        <w:rPr>
          <w:lang w:val="en-US"/>
        </w:rPr>
        <w:t xml:space="preserve">: </w:t>
      </w:r>
      <w:r w:rsidRPr="00C36EF8">
        <w:rPr>
          <w:lang w:val="en-US"/>
        </w:rPr>
        <w:t xml:space="preserve">This table </w:t>
      </w:r>
      <w:r>
        <w:rPr>
          <w:lang w:val="en-US"/>
        </w:rPr>
        <w:t>shows</w:t>
      </w:r>
      <w:r w:rsidRPr="00C36EF8">
        <w:rPr>
          <w:lang w:val="en-US"/>
        </w:rPr>
        <w:t xml:space="preserve"> the estimates of panel regressions conducted on 120 daily observations for </w:t>
      </w:r>
      <w:r w:rsidR="005E0BBD">
        <w:rPr>
          <w:lang w:val="en-US"/>
        </w:rPr>
        <w:t>86</w:t>
      </w:r>
      <w:r w:rsidRPr="00C36EF8">
        <w:rPr>
          <w:lang w:val="en-US"/>
        </w:rPr>
        <w:t xml:space="preserve"> stocks </w:t>
      </w:r>
      <w:r w:rsidR="006D1470">
        <w:rPr>
          <w:lang w:val="en-US"/>
        </w:rPr>
        <w:t>and run</w:t>
      </w:r>
      <w:r w:rsidRPr="00C36EF8">
        <w:rPr>
          <w:lang w:val="en-US"/>
        </w:rPr>
        <w:t xml:space="preserve"> with </w:t>
      </w:r>
      <w:r w:rsidR="006D1470">
        <w:rPr>
          <w:lang w:val="en-US"/>
        </w:rPr>
        <w:t xml:space="preserve">a </w:t>
      </w:r>
      <w:r w:rsidR="002E6636">
        <w:rPr>
          <w:lang w:val="en-US"/>
        </w:rPr>
        <w:t xml:space="preserve">stock </w:t>
      </w:r>
      <w:r w:rsidRPr="00C36EF8">
        <w:rPr>
          <w:lang w:val="en-US"/>
        </w:rPr>
        <w:t>fixed effect. The dependent variables are the</w:t>
      </w:r>
      <w:r w:rsidR="00F85DBE" w:rsidRPr="00F85DBE">
        <w:rPr>
          <w:lang w:val="en-US"/>
        </w:rPr>
        <w:t xml:space="preserve"> </w:t>
      </w:r>
      <w:r w:rsidR="00BC4572">
        <w:rPr>
          <w:lang w:val="en-US"/>
        </w:rPr>
        <w:t xml:space="preserve">1-minute/5-minute, </w:t>
      </w:r>
      <w:r w:rsidR="00F85DBE" w:rsidRPr="00C0615A">
        <w:rPr>
          <w:lang w:val="en-US"/>
        </w:rPr>
        <w:t>the 1-minute/</w:t>
      </w:r>
      <w:r w:rsidR="00F85DBE">
        <w:rPr>
          <w:lang w:val="en-US"/>
        </w:rPr>
        <w:t>30</w:t>
      </w:r>
      <w:r w:rsidR="00F85DBE" w:rsidRPr="00C0615A">
        <w:rPr>
          <w:lang w:val="en-US"/>
        </w:rPr>
        <w:t>-minute</w:t>
      </w:r>
      <w:r w:rsidR="00BC4572">
        <w:rPr>
          <w:lang w:val="en-US"/>
        </w:rPr>
        <w:t>, and the 5-minute/30-minute return</w:t>
      </w:r>
      <w:r w:rsidR="00F85DBE">
        <w:rPr>
          <w:lang w:val="en-US"/>
        </w:rPr>
        <w:t xml:space="preserve"> </w:t>
      </w:r>
      <w:r w:rsidR="00F85DBE" w:rsidRPr="00C0615A">
        <w:rPr>
          <w:lang w:val="en-US"/>
        </w:rPr>
        <w:t>variance ratio</w:t>
      </w:r>
      <w:r w:rsidR="00F85DBE">
        <w:rPr>
          <w:lang w:val="en-US"/>
        </w:rPr>
        <w:t>s</w:t>
      </w:r>
      <w:r w:rsidRPr="00C36EF8">
        <w:rPr>
          <w:lang w:val="en-US"/>
        </w:rPr>
        <w:t>.</w:t>
      </w:r>
      <w:r w:rsidRPr="00C36EF8">
        <w:rPr>
          <w:rFonts w:ascii="Symbol" w:hAnsi="Symbol"/>
          <w:i/>
          <w:lang w:val="en-US"/>
        </w:rPr>
        <w:t></w:t>
      </w:r>
      <w:r w:rsidRPr="00C36EF8">
        <w:rPr>
          <w:rFonts w:ascii="Symbol" w:hAnsi="Symbol"/>
          <w:i/>
          <w:lang w:val="en-US"/>
        </w:rPr>
        <w:t></w:t>
      </w:r>
      <w:r w:rsidRPr="00C36EF8">
        <w:rPr>
          <w:i/>
          <w:vertAlign w:val="subscript"/>
          <w:lang w:val="en-US"/>
        </w:rPr>
        <w:t>it</w:t>
      </w:r>
      <w:r w:rsidRPr="00C36EF8">
        <w:rPr>
          <w:lang w:val="en-US"/>
        </w:rPr>
        <w:t xml:space="preserve">, </w:t>
      </w:r>
      <w:proofErr w:type="spellStart"/>
      <w:r w:rsidRPr="00C36EF8">
        <w:rPr>
          <w:lang w:val="en-US"/>
        </w:rPr>
        <w:t>ln</w:t>
      </w:r>
      <w:r w:rsidRPr="00C36EF8">
        <w:rPr>
          <w:i/>
          <w:lang w:val="en-US"/>
        </w:rPr>
        <w:t>V</w:t>
      </w:r>
      <w:r w:rsidRPr="00C36EF8">
        <w:rPr>
          <w:i/>
          <w:vertAlign w:val="subscript"/>
          <w:lang w:val="en-US"/>
        </w:rPr>
        <w:t>it</w:t>
      </w:r>
      <w:proofErr w:type="spellEnd"/>
      <w:r w:rsidRPr="00C36EF8">
        <w:rPr>
          <w:lang w:val="en-US"/>
        </w:rPr>
        <w:t xml:space="preserve">, </w:t>
      </w:r>
      <w:proofErr w:type="spellStart"/>
      <w:r w:rsidRPr="00C36EF8">
        <w:rPr>
          <w:lang w:val="en-US"/>
        </w:rPr>
        <w:t>ln</w:t>
      </w:r>
      <w:r w:rsidRPr="00C36EF8">
        <w:rPr>
          <w:i/>
          <w:lang w:val="en-US"/>
        </w:rPr>
        <w:t>P</w:t>
      </w:r>
      <w:r w:rsidRPr="00C36EF8">
        <w:rPr>
          <w:i/>
          <w:vertAlign w:val="subscript"/>
          <w:lang w:val="en-US"/>
        </w:rPr>
        <w:t>it</w:t>
      </w:r>
      <w:proofErr w:type="spellEnd"/>
      <w:r w:rsidRPr="00C36EF8">
        <w:rPr>
          <w:lang w:val="en-US"/>
        </w:rPr>
        <w:t xml:space="preserve">, and </w:t>
      </w:r>
      <w:proofErr w:type="spellStart"/>
      <w:r w:rsidRPr="00C36EF8">
        <w:rPr>
          <w:i/>
          <w:lang w:val="en-US"/>
        </w:rPr>
        <w:t>I</w:t>
      </w:r>
      <w:r w:rsidRPr="00C36EF8">
        <w:rPr>
          <w:i/>
          <w:vertAlign w:val="subscript"/>
          <w:lang w:val="en-US"/>
        </w:rPr>
        <w:t>it</w:t>
      </w:r>
      <w:proofErr w:type="spellEnd"/>
      <w:r w:rsidRPr="00C36EF8">
        <w:rPr>
          <w:lang w:val="en-US"/>
        </w:rPr>
        <w:t xml:space="preserve"> are, respectively, the price range, the euro trading </w:t>
      </w:r>
      <w:r w:rsidRPr="00C36EF8">
        <w:rPr>
          <w:lang w:val="en-US"/>
        </w:rPr>
        <w:lastRenderedPageBreak/>
        <w:t xml:space="preserve">volume in logarithm, the close price in logarithm, and the imbalance between buy and sell traded volumes </w:t>
      </w:r>
      <w:r>
        <w:rPr>
          <w:lang w:val="en-US"/>
        </w:rPr>
        <w:t>as a</w:t>
      </w:r>
      <w:r w:rsidRPr="00C36EF8">
        <w:rPr>
          <w:lang w:val="en-US"/>
        </w:rPr>
        <w:t xml:space="preserve"> percentage of the total traded volume, for stock </w:t>
      </w:r>
      <w:proofErr w:type="spellStart"/>
      <w:r w:rsidRPr="00C36EF8">
        <w:rPr>
          <w:i/>
          <w:lang w:val="en-US"/>
        </w:rPr>
        <w:t>i</w:t>
      </w:r>
      <w:proofErr w:type="spellEnd"/>
      <w:r w:rsidRPr="00C36EF8">
        <w:rPr>
          <w:lang w:val="en-US"/>
        </w:rPr>
        <w:t xml:space="preserve"> on day </w:t>
      </w:r>
      <w:r w:rsidRPr="00C36EF8">
        <w:rPr>
          <w:i/>
          <w:lang w:val="en-US"/>
        </w:rPr>
        <w:t>t</w:t>
      </w:r>
      <w:r w:rsidRPr="00C36EF8">
        <w:rPr>
          <w:lang w:val="en-US"/>
        </w:rPr>
        <w:t xml:space="preserve">. </w:t>
      </w:r>
      <w:proofErr w:type="spellStart"/>
      <w:r w:rsidRPr="00C36EF8">
        <w:rPr>
          <w:i/>
          <w:lang w:val="en-US"/>
        </w:rPr>
        <w:t>ETF</w:t>
      </w:r>
      <w:r w:rsidRPr="00C36EF8">
        <w:rPr>
          <w:i/>
          <w:vertAlign w:val="subscript"/>
          <w:lang w:val="en-US"/>
        </w:rPr>
        <w:t>t</w:t>
      </w:r>
      <w:proofErr w:type="spellEnd"/>
      <w:r w:rsidRPr="00C36EF8">
        <w:rPr>
          <w:lang w:val="en-US"/>
        </w:rPr>
        <w:t xml:space="preserve"> is a variable set to 0 before the introduction </w:t>
      </w:r>
      <w:r>
        <w:rPr>
          <w:lang w:val="en-US"/>
        </w:rPr>
        <w:t xml:space="preserve">of the </w:t>
      </w:r>
      <w:r w:rsidRPr="00B37B4B">
        <w:rPr>
          <w:lang w:val="en-US"/>
        </w:rPr>
        <w:t xml:space="preserve">ETF </w:t>
      </w:r>
      <w:r w:rsidRPr="00C36EF8">
        <w:rPr>
          <w:lang w:val="en-US"/>
        </w:rPr>
        <w:t xml:space="preserve">and to 1 afterwards.  </w:t>
      </w:r>
      <w:r w:rsidRPr="00C36EF8">
        <w:rPr>
          <w:i/>
          <w:lang w:val="en-US"/>
        </w:rPr>
        <w:t>CAC40</w:t>
      </w:r>
      <w:r w:rsidRPr="00C36EF8">
        <w:rPr>
          <w:i/>
          <w:vertAlign w:val="subscript"/>
          <w:lang w:val="en-US"/>
        </w:rPr>
        <w:t>i</w:t>
      </w:r>
      <w:r w:rsidRPr="00C36EF8">
        <w:rPr>
          <w:lang w:val="en-US"/>
        </w:rPr>
        <w:t xml:space="preserve"> is </w:t>
      </w:r>
      <w:r>
        <w:rPr>
          <w:lang w:val="en-US"/>
        </w:rPr>
        <w:t>set</w:t>
      </w:r>
      <w:r w:rsidRPr="00C36EF8">
        <w:rPr>
          <w:lang w:val="en-US"/>
        </w:rPr>
        <w:t xml:space="preserve"> to 1 for CAC 40 stocks, 0 otherwise. </w:t>
      </w:r>
      <w:proofErr w:type="spellStart"/>
      <w:proofErr w:type="gramStart"/>
      <w:r w:rsidRPr="00C36EF8">
        <w:rPr>
          <w:i/>
          <w:lang w:val="en-US"/>
        </w:rPr>
        <w:t>w</w:t>
      </w:r>
      <w:r w:rsidRPr="00C36EF8">
        <w:rPr>
          <w:i/>
          <w:vertAlign w:val="subscript"/>
          <w:lang w:val="en-US"/>
        </w:rPr>
        <w:t>i</w:t>
      </w:r>
      <w:proofErr w:type="spellEnd"/>
      <w:proofErr w:type="gramEnd"/>
      <w:r w:rsidRPr="00C36EF8">
        <w:rPr>
          <w:lang w:val="en-US"/>
        </w:rPr>
        <w:t xml:space="preserve"> is the weight of stock </w:t>
      </w:r>
      <w:proofErr w:type="spellStart"/>
      <w:r w:rsidRPr="00C36EF8">
        <w:rPr>
          <w:i/>
          <w:lang w:val="en-US"/>
        </w:rPr>
        <w:t>i</w:t>
      </w:r>
      <w:proofErr w:type="spellEnd"/>
      <w:r w:rsidRPr="00C36EF8">
        <w:rPr>
          <w:lang w:val="en-US"/>
        </w:rPr>
        <w:t xml:space="preserve"> in the CAC 40 index at the ETF </w:t>
      </w:r>
      <w:r>
        <w:rPr>
          <w:lang w:val="en-US"/>
        </w:rPr>
        <w:t>inception</w:t>
      </w:r>
      <w:r w:rsidRPr="00C36EF8">
        <w:rPr>
          <w:lang w:val="en-US"/>
        </w:rPr>
        <w:t xml:space="preserve"> date and is set to 0 for non-CAC 40 stocks. </w:t>
      </w:r>
      <w:r>
        <w:rPr>
          <w:lang w:val="en-US"/>
        </w:rPr>
        <w:t xml:space="preserve"> One, two and three asterisks (</w:t>
      </w:r>
      <w:r w:rsidRPr="00B37B4B">
        <w:rPr>
          <w:lang w:val="en-US"/>
        </w:rPr>
        <w:t>*,</w:t>
      </w:r>
      <w:r>
        <w:rPr>
          <w:lang w:val="en-US"/>
        </w:rPr>
        <w:t xml:space="preserve"> </w:t>
      </w:r>
      <w:r w:rsidRPr="00B37B4B">
        <w:rPr>
          <w:lang w:val="en-US"/>
        </w:rPr>
        <w:t>**,</w:t>
      </w:r>
      <w:r>
        <w:rPr>
          <w:lang w:val="en-US"/>
        </w:rPr>
        <w:t xml:space="preserve"> and </w:t>
      </w:r>
      <w:r w:rsidRPr="00B37B4B">
        <w:rPr>
          <w:lang w:val="en-US"/>
        </w:rPr>
        <w:t>***</w:t>
      </w:r>
      <w:r>
        <w:rPr>
          <w:lang w:val="en-US"/>
        </w:rPr>
        <w:t>)</w:t>
      </w:r>
      <w:r w:rsidRPr="00C36EF8">
        <w:rPr>
          <w:lang w:val="en-US"/>
        </w:rPr>
        <w:t xml:space="preserve"> indicate statistical significance at the 10%, 5%, and 1% levels, respectively.</w:t>
      </w:r>
    </w:p>
    <w:p w:rsidR="0011118C" w:rsidRDefault="0011118C">
      <w:pPr>
        <w:spacing w:before="0" w:line="240" w:lineRule="auto"/>
        <w:ind w:firstLine="0"/>
        <w:jc w:val="left"/>
        <w:rPr>
          <w:lang w:val="en-US"/>
        </w:rPr>
      </w:pPr>
    </w:p>
    <w:p w:rsidR="0011118C" w:rsidRDefault="0011118C">
      <w:pPr>
        <w:spacing w:before="0" w:line="240" w:lineRule="auto"/>
        <w:ind w:firstLine="0"/>
        <w:jc w:val="left"/>
        <w:rPr>
          <w:szCs w:val="20"/>
          <w:lang w:val="en-US"/>
        </w:rPr>
      </w:pPr>
      <w:r>
        <w:rPr>
          <w:lang w:val="en-US"/>
        </w:rPr>
        <w:br w:type="page"/>
      </w:r>
    </w:p>
    <w:p w:rsidR="00FE5D7B" w:rsidRDefault="00687845">
      <w:pPr>
        <w:pStyle w:val="Numerotable"/>
        <w:rPr>
          <w:lang w:val="en-US"/>
        </w:rPr>
      </w:pPr>
      <w:r>
        <w:rPr>
          <w:lang w:val="en-US"/>
        </w:rPr>
        <w:lastRenderedPageBreak/>
        <w:t xml:space="preserve">Table </w:t>
      </w:r>
      <w:r w:rsidR="00CF48CA">
        <w:rPr>
          <w:lang w:val="en-US"/>
        </w:rPr>
        <w:t>7</w:t>
      </w:r>
    </w:p>
    <w:p w:rsidR="00FE5D7B" w:rsidRDefault="00687845">
      <w:pPr>
        <w:pStyle w:val="Titretable"/>
        <w:rPr>
          <w:lang w:val="en-US"/>
        </w:rPr>
      </w:pPr>
      <w:r>
        <w:rPr>
          <w:lang w:val="en-US"/>
        </w:rPr>
        <w:t>Cross</w:t>
      </w:r>
      <w:r w:rsidR="001C7A3B">
        <w:rPr>
          <w:lang w:val="en-US"/>
        </w:rPr>
        <w:t>–</w:t>
      </w:r>
      <w:r>
        <w:rPr>
          <w:lang w:val="en-US"/>
        </w:rPr>
        <w:t>sectional regressions of liquidity variations</w:t>
      </w:r>
    </w:p>
    <w:tbl>
      <w:tblPr>
        <w:tblW w:w="8420" w:type="dxa"/>
        <w:tblInd w:w="55" w:type="dxa"/>
        <w:tblCellMar>
          <w:left w:w="70" w:type="dxa"/>
          <w:right w:w="70" w:type="dxa"/>
        </w:tblCellMar>
        <w:tblLook w:val="04A0" w:firstRow="1" w:lastRow="0" w:firstColumn="1" w:lastColumn="0" w:noHBand="0" w:noVBand="1"/>
      </w:tblPr>
      <w:tblGrid>
        <w:gridCol w:w="1840"/>
        <w:gridCol w:w="1320"/>
        <w:gridCol w:w="1480"/>
        <w:gridCol w:w="1260"/>
        <w:gridCol w:w="1260"/>
        <w:gridCol w:w="1260"/>
      </w:tblGrid>
      <w:tr w:rsidR="002A2146" w:rsidRPr="00E723C2" w:rsidTr="00D65560">
        <w:trPr>
          <w:trHeight w:val="369"/>
        </w:trPr>
        <w:tc>
          <w:tcPr>
            <w:tcW w:w="1840" w:type="dxa"/>
            <w:tcBorders>
              <w:top w:val="single" w:sz="12" w:space="0" w:color="auto"/>
              <w:left w:val="nil"/>
              <w:bottom w:val="single" w:sz="8" w:space="0" w:color="auto"/>
              <w:right w:val="nil"/>
            </w:tcBorders>
            <w:shd w:val="clear" w:color="auto" w:fill="auto"/>
            <w:noWrap/>
            <w:vAlign w:val="center"/>
            <w:hideMark/>
          </w:tcPr>
          <w:p w:rsidR="00FE5D7B" w:rsidRDefault="00C0615A">
            <w:pPr>
              <w:spacing w:before="0" w:line="240" w:lineRule="auto"/>
              <w:ind w:firstLine="0"/>
              <w:jc w:val="left"/>
              <w:rPr>
                <w:sz w:val="20"/>
                <w:szCs w:val="20"/>
                <w:lang w:val="en-US"/>
              </w:rPr>
            </w:pPr>
            <w:r w:rsidRPr="00C0615A">
              <w:rPr>
                <w:sz w:val="20"/>
                <w:szCs w:val="20"/>
                <w:lang w:val="en-US"/>
              </w:rPr>
              <w:t>Dependent variable</w:t>
            </w:r>
          </w:p>
        </w:tc>
        <w:tc>
          <w:tcPr>
            <w:tcW w:w="1320" w:type="dxa"/>
            <w:tcBorders>
              <w:top w:val="single" w:sz="12" w:space="0" w:color="auto"/>
              <w:left w:val="nil"/>
              <w:bottom w:val="single" w:sz="8" w:space="0" w:color="auto"/>
              <w:right w:val="nil"/>
            </w:tcBorders>
            <w:shd w:val="clear" w:color="auto" w:fill="auto"/>
            <w:noWrap/>
            <w:vAlign w:val="center"/>
            <w:hideMark/>
          </w:tcPr>
          <w:p w:rsidR="00FE5D7B" w:rsidRDefault="00C0615A">
            <w:pPr>
              <w:spacing w:before="0" w:line="240" w:lineRule="auto"/>
              <w:ind w:firstLine="0"/>
              <w:jc w:val="center"/>
              <w:rPr>
                <w:sz w:val="20"/>
                <w:szCs w:val="20"/>
                <w:lang w:val="en-US"/>
              </w:rPr>
            </w:pPr>
            <w:r w:rsidRPr="00C0615A">
              <w:rPr>
                <w:sz w:val="20"/>
                <w:szCs w:val="20"/>
                <w:lang w:val="en-US"/>
              </w:rPr>
              <w:t>Intercept</w:t>
            </w:r>
          </w:p>
        </w:tc>
        <w:tc>
          <w:tcPr>
            <w:tcW w:w="1480" w:type="dxa"/>
            <w:tcBorders>
              <w:top w:val="single" w:sz="12" w:space="0" w:color="auto"/>
              <w:left w:val="nil"/>
              <w:bottom w:val="single" w:sz="8" w:space="0" w:color="auto"/>
              <w:right w:val="nil"/>
            </w:tcBorders>
            <w:shd w:val="clear" w:color="auto" w:fill="auto"/>
            <w:noWrap/>
            <w:vAlign w:val="center"/>
            <w:hideMark/>
          </w:tcPr>
          <w:p w:rsidR="00FE5D7B" w:rsidRDefault="00C0615A">
            <w:pPr>
              <w:spacing w:before="0" w:line="240" w:lineRule="auto"/>
              <w:ind w:firstLine="0"/>
              <w:jc w:val="center"/>
              <w:rPr>
                <w:sz w:val="20"/>
                <w:szCs w:val="20"/>
                <w:lang w:val="en-US"/>
              </w:rPr>
            </w:pPr>
            <w:r w:rsidRPr="00C0615A">
              <w:rPr>
                <w:rFonts w:ascii="Symbol" w:hAnsi="Symbol"/>
                <w:iCs/>
                <w:sz w:val="20"/>
                <w:szCs w:val="20"/>
                <w:lang w:val="en-US"/>
              </w:rPr>
              <w:t></w:t>
            </w:r>
            <w:r w:rsidRPr="00C0615A">
              <w:rPr>
                <w:rFonts w:ascii="Symbol" w:hAnsi="Symbol"/>
                <w:i/>
                <w:iCs/>
                <w:sz w:val="20"/>
                <w:szCs w:val="20"/>
                <w:lang w:val="en-US"/>
              </w:rPr>
              <w:t></w:t>
            </w:r>
            <w:r w:rsidRPr="00C0615A">
              <w:rPr>
                <w:i/>
                <w:iCs/>
                <w:sz w:val="20"/>
                <w:szCs w:val="20"/>
                <w:vertAlign w:val="subscript"/>
                <w:lang w:val="en-US"/>
              </w:rPr>
              <w:t>i</w:t>
            </w:r>
          </w:p>
        </w:tc>
        <w:tc>
          <w:tcPr>
            <w:tcW w:w="1260" w:type="dxa"/>
            <w:tcBorders>
              <w:top w:val="single" w:sz="12" w:space="0" w:color="auto"/>
              <w:left w:val="nil"/>
              <w:bottom w:val="single" w:sz="8" w:space="0" w:color="auto"/>
              <w:right w:val="nil"/>
            </w:tcBorders>
            <w:vAlign w:val="center"/>
          </w:tcPr>
          <w:p w:rsidR="00FE5D7B" w:rsidRDefault="00C0615A">
            <w:pPr>
              <w:spacing w:before="0" w:line="240" w:lineRule="auto"/>
              <w:ind w:firstLine="0"/>
              <w:jc w:val="center"/>
              <w:rPr>
                <w:sz w:val="20"/>
                <w:szCs w:val="20"/>
                <w:lang w:val="en-US"/>
              </w:rPr>
            </w:pPr>
            <w:r w:rsidRPr="00C0615A">
              <w:rPr>
                <w:rFonts w:ascii="Symbol" w:hAnsi="Symbol"/>
                <w:sz w:val="20"/>
                <w:szCs w:val="20"/>
                <w:lang w:val="en-US"/>
              </w:rPr>
              <w:t></w:t>
            </w:r>
            <w:r w:rsidRPr="00C0615A">
              <w:rPr>
                <w:i/>
                <w:iCs/>
                <w:sz w:val="20"/>
                <w:szCs w:val="20"/>
                <w:lang w:val="en-US"/>
              </w:rPr>
              <w:t>X</w:t>
            </w:r>
            <w:r w:rsidRPr="00C0615A">
              <w:rPr>
                <w:i/>
                <w:iCs/>
                <w:sz w:val="20"/>
                <w:szCs w:val="20"/>
                <w:vertAlign w:val="subscript"/>
                <w:lang w:val="en-US"/>
              </w:rPr>
              <w:t>i</w:t>
            </w:r>
          </w:p>
        </w:tc>
        <w:tc>
          <w:tcPr>
            <w:tcW w:w="1260" w:type="dxa"/>
            <w:tcBorders>
              <w:top w:val="single" w:sz="12" w:space="0" w:color="auto"/>
              <w:left w:val="nil"/>
              <w:bottom w:val="single" w:sz="8" w:space="0" w:color="auto"/>
              <w:right w:val="nil"/>
            </w:tcBorders>
            <w:vAlign w:val="center"/>
          </w:tcPr>
          <w:p w:rsidR="00FE5D7B" w:rsidRDefault="00C0615A">
            <w:pPr>
              <w:spacing w:before="0" w:line="240" w:lineRule="auto"/>
              <w:ind w:firstLine="0"/>
              <w:jc w:val="center"/>
              <w:rPr>
                <w:sz w:val="20"/>
                <w:szCs w:val="20"/>
                <w:lang w:val="en-US"/>
              </w:rPr>
            </w:pPr>
            <w:r w:rsidRPr="00C0615A">
              <w:rPr>
                <w:i/>
                <w:iCs/>
                <w:sz w:val="20"/>
                <w:szCs w:val="20"/>
                <w:lang w:val="en-US"/>
              </w:rPr>
              <w:t>w</w:t>
            </w:r>
            <w:r w:rsidRPr="00C0615A">
              <w:rPr>
                <w:i/>
                <w:iCs/>
                <w:sz w:val="20"/>
                <w:szCs w:val="20"/>
                <w:vertAlign w:val="subscript"/>
                <w:lang w:val="en-US"/>
              </w:rPr>
              <w:t>i</w:t>
            </w:r>
          </w:p>
        </w:tc>
        <w:tc>
          <w:tcPr>
            <w:tcW w:w="1260" w:type="dxa"/>
            <w:tcBorders>
              <w:top w:val="single" w:sz="12" w:space="0" w:color="auto"/>
              <w:left w:val="nil"/>
              <w:bottom w:val="single" w:sz="8" w:space="0" w:color="auto"/>
              <w:right w:val="nil"/>
            </w:tcBorders>
            <w:shd w:val="clear" w:color="auto" w:fill="auto"/>
            <w:noWrap/>
            <w:vAlign w:val="center"/>
            <w:hideMark/>
          </w:tcPr>
          <w:p w:rsidR="00FE5D7B" w:rsidRDefault="00C0615A">
            <w:pPr>
              <w:spacing w:before="0" w:line="240" w:lineRule="auto"/>
              <w:ind w:firstLine="0"/>
              <w:jc w:val="center"/>
              <w:rPr>
                <w:sz w:val="20"/>
                <w:szCs w:val="20"/>
                <w:lang w:val="en-US"/>
              </w:rPr>
            </w:pPr>
            <w:r w:rsidRPr="00C0615A">
              <w:rPr>
                <w:sz w:val="20"/>
                <w:szCs w:val="20"/>
                <w:lang w:val="en-US"/>
              </w:rPr>
              <w:t>Adjusted R²</w:t>
            </w:r>
          </w:p>
        </w:tc>
      </w:tr>
      <w:tr w:rsidR="002A2146" w:rsidRPr="00E723C2" w:rsidTr="00D65560">
        <w:trPr>
          <w:trHeight w:val="369"/>
        </w:trPr>
        <w:tc>
          <w:tcPr>
            <w:tcW w:w="1840" w:type="dxa"/>
            <w:tcBorders>
              <w:top w:val="single" w:sz="8" w:space="0" w:color="auto"/>
              <w:left w:val="nil"/>
              <w:bottom w:val="nil"/>
              <w:right w:val="nil"/>
            </w:tcBorders>
            <w:shd w:val="clear" w:color="auto" w:fill="auto"/>
            <w:noWrap/>
            <w:vAlign w:val="bottom"/>
            <w:hideMark/>
          </w:tcPr>
          <w:p w:rsidR="00FE5D7B" w:rsidRDefault="00C0615A">
            <w:pPr>
              <w:spacing w:before="0" w:line="240" w:lineRule="auto"/>
              <w:ind w:firstLine="0"/>
              <w:rPr>
                <w:sz w:val="20"/>
                <w:szCs w:val="20"/>
                <w:lang w:val="en-US"/>
              </w:rPr>
            </w:pPr>
            <w:r w:rsidRPr="00C0615A">
              <w:rPr>
                <w:rFonts w:ascii="Symbol" w:hAnsi="Symbol"/>
                <w:sz w:val="20"/>
                <w:szCs w:val="20"/>
                <w:lang w:val="en-US"/>
              </w:rPr>
              <w:t></w:t>
            </w:r>
            <w:r w:rsidRPr="00C0615A">
              <w:rPr>
                <w:i/>
                <w:iCs/>
                <w:sz w:val="20"/>
                <w:szCs w:val="20"/>
                <w:lang w:val="en-US"/>
              </w:rPr>
              <w:t>X</w:t>
            </w:r>
            <w:r w:rsidRPr="00C0615A">
              <w:rPr>
                <w:i/>
                <w:iCs/>
                <w:sz w:val="20"/>
                <w:szCs w:val="20"/>
                <w:vertAlign w:val="subscript"/>
                <w:lang w:val="en-US"/>
              </w:rPr>
              <w:t>i</w:t>
            </w:r>
          </w:p>
        </w:tc>
        <w:tc>
          <w:tcPr>
            <w:tcW w:w="1320" w:type="dxa"/>
            <w:tcBorders>
              <w:top w:val="single" w:sz="8" w:space="0" w:color="auto"/>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0.2280**</w:t>
            </w:r>
          </w:p>
        </w:tc>
        <w:tc>
          <w:tcPr>
            <w:tcW w:w="1480" w:type="dxa"/>
            <w:tcBorders>
              <w:top w:val="single" w:sz="8" w:space="0" w:color="auto"/>
              <w:left w:val="nil"/>
              <w:bottom w:val="nil"/>
              <w:right w:val="nil"/>
            </w:tcBorders>
            <w:shd w:val="clear" w:color="auto" w:fill="auto"/>
            <w:noWrap/>
            <w:vAlign w:val="bottom"/>
            <w:hideMark/>
          </w:tcPr>
          <w:p w:rsidR="00FE5D7B" w:rsidRDefault="00FE5D7B">
            <w:pPr>
              <w:spacing w:before="0" w:line="240" w:lineRule="auto"/>
              <w:ind w:firstLine="0"/>
              <w:jc w:val="center"/>
              <w:rPr>
                <w:sz w:val="20"/>
                <w:szCs w:val="20"/>
                <w:lang w:val="en-US"/>
              </w:rPr>
            </w:pPr>
          </w:p>
        </w:tc>
        <w:tc>
          <w:tcPr>
            <w:tcW w:w="1260" w:type="dxa"/>
            <w:tcBorders>
              <w:top w:val="single" w:sz="8" w:space="0" w:color="auto"/>
              <w:left w:val="nil"/>
              <w:bottom w:val="nil"/>
              <w:right w:val="nil"/>
            </w:tcBorders>
            <w:vAlign w:val="bottom"/>
          </w:tcPr>
          <w:p w:rsidR="00FE5D7B" w:rsidRDefault="00FE5D7B">
            <w:pPr>
              <w:spacing w:before="0" w:line="240" w:lineRule="auto"/>
              <w:ind w:firstLine="0"/>
              <w:jc w:val="center"/>
              <w:rPr>
                <w:sz w:val="20"/>
                <w:szCs w:val="20"/>
                <w:lang w:val="en-US"/>
              </w:rPr>
            </w:pPr>
          </w:p>
        </w:tc>
        <w:tc>
          <w:tcPr>
            <w:tcW w:w="1260" w:type="dxa"/>
            <w:tcBorders>
              <w:top w:val="single" w:sz="8" w:space="0" w:color="auto"/>
              <w:left w:val="nil"/>
              <w:bottom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0.2357</w:t>
            </w:r>
          </w:p>
        </w:tc>
        <w:tc>
          <w:tcPr>
            <w:tcW w:w="1260" w:type="dxa"/>
            <w:tcBorders>
              <w:top w:val="single" w:sz="8" w:space="0" w:color="auto"/>
              <w:left w:val="nil"/>
              <w:bottom w:val="nil"/>
              <w:right w:val="nil"/>
            </w:tcBorders>
            <w:shd w:val="clear" w:color="auto" w:fill="auto"/>
            <w:noWrap/>
            <w:vAlign w:val="bottom"/>
            <w:hideMark/>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2.84%</w:t>
            </w:r>
          </w:p>
        </w:tc>
      </w:tr>
      <w:tr w:rsidR="002A2146" w:rsidRPr="00E723C2" w:rsidTr="00D65560">
        <w:trPr>
          <w:trHeight w:val="369"/>
        </w:trPr>
        <w:tc>
          <w:tcPr>
            <w:tcW w:w="184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32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(2.20)</w:t>
            </w:r>
          </w:p>
        </w:tc>
        <w:tc>
          <w:tcPr>
            <w:tcW w:w="148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260" w:type="dxa"/>
            <w:tcBorders>
              <w:top w:val="nil"/>
              <w:left w:val="nil"/>
              <w:bottom w:val="nil"/>
              <w:right w:val="nil"/>
            </w:tcBorders>
          </w:tcPr>
          <w:p w:rsidR="00FE5D7B" w:rsidRDefault="00FE5D7B">
            <w:pPr>
              <w:spacing w:before="0" w:line="240" w:lineRule="auto"/>
              <w:ind w:firstLine="0"/>
              <w:jc w:val="center"/>
              <w:rPr>
                <w:sz w:val="20"/>
                <w:szCs w:val="20"/>
                <w:lang w:val="en-US"/>
              </w:rPr>
            </w:pP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(0.08)</w:t>
            </w:r>
          </w:p>
        </w:tc>
        <w:tc>
          <w:tcPr>
            <w:tcW w:w="126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r>
      <w:tr w:rsidR="002A2146" w:rsidRPr="00E723C2" w:rsidTr="00D65560">
        <w:trPr>
          <w:trHeight w:val="369"/>
        </w:trPr>
        <w:tc>
          <w:tcPr>
            <w:tcW w:w="1840" w:type="dxa"/>
            <w:tcBorders>
              <w:top w:val="nil"/>
              <w:left w:val="nil"/>
              <w:bottom w:val="nil"/>
              <w:right w:val="nil"/>
            </w:tcBorders>
            <w:shd w:val="clear" w:color="auto" w:fill="auto"/>
            <w:noWrap/>
            <w:vAlign w:val="bottom"/>
            <w:hideMark/>
          </w:tcPr>
          <w:p w:rsidR="00FE5D7B" w:rsidRDefault="00C0615A">
            <w:pPr>
              <w:spacing w:before="0" w:line="240" w:lineRule="auto"/>
              <w:ind w:firstLine="0"/>
              <w:rPr>
                <w:sz w:val="20"/>
                <w:szCs w:val="20"/>
                <w:lang w:val="en-US"/>
              </w:rPr>
            </w:pPr>
            <w:r w:rsidRPr="00C0615A">
              <w:rPr>
                <w:rFonts w:ascii="Symbol" w:hAnsi="Symbol"/>
                <w:sz w:val="20"/>
                <w:szCs w:val="20"/>
                <w:lang w:val="en-US"/>
              </w:rPr>
              <w:t></w:t>
            </w:r>
            <w:r w:rsidRPr="00C0615A">
              <w:rPr>
                <w:i/>
                <w:sz w:val="20"/>
                <w:szCs w:val="20"/>
                <w:lang w:val="en-US"/>
              </w:rPr>
              <w:t>DWQS</w:t>
            </w:r>
            <w:r w:rsidRPr="00C0615A">
              <w:rPr>
                <w:i/>
                <w:sz w:val="20"/>
                <w:szCs w:val="20"/>
                <w:vertAlign w:val="subscript"/>
                <w:lang w:val="en-US"/>
              </w:rPr>
              <w:t>i</w:t>
            </w:r>
          </w:p>
        </w:tc>
        <w:tc>
          <w:tcPr>
            <w:tcW w:w="1320" w:type="dxa"/>
            <w:tcBorders>
              <w:top w:val="nil"/>
              <w:left w:val="nil"/>
              <w:bottom w:val="nil"/>
              <w:right w:val="nil"/>
            </w:tcBorders>
            <w:shd w:val="clear" w:color="auto" w:fill="auto"/>
            <w:noWrap/>
            <w:vAlign w:val="bottom"/>
            <w:hideMark/>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0.0796***</w:t>
            </w:r>
          </w:p>
        </w:tc>
        <w:tc>
          <w:tcPr>
            <w:tcW w:w="148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0.3795***</w:t>
            </w:r>
          </w:p>
        </w:tc>
        <w:tc>
          <w:tcPr>
            <w:tcW w:w="1260" w:type="dxa"/>
            <w:tcBorders>
              <w:top w:val="nil"/>
              <w:left w:val="nil"/>
              <w:bottom w:val="nil"/>
              <w:right w:val="nil"/>
            </w:tcBorders>
            <w:vAlign w:val="bottom"/>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0.0824**</w:t>
            </w:r>
          </w:p>
        </w:tc>
        <w:tc>
          <w:tcPr>
            <w:tcW w:w="1260" w:type="dxa"/>
            <w:tcBorders>
              <w:top w:val="nil"/>
              <w:left w:val="nil"/>
              <w:bottom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0.7279</w:t>
            </w:r>
          </w:p>
        </w:tc>
        <w:tc>
          <w:tcPr>
            <w:tcW w:w="126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32.24%</w:t>
            </w:r>
          </w:p>
        </w:tc>
      </w:tr>
      <w:tr w:rsidR="002A2146" w:rsidRPr="00E723C2" w:rsidTr="00D65560">
        <w:trPr>
          <w:trHeight w:val="369"/>
        </w:trPr>
        <w:tc>
          <w:tcPr>
            <w:tcW w:w="184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32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3.71)</w:t>
            </w:r>
          </w:p>
        </w:tc>
        <w:tc>
          <w:tcPr>
            <w:tcW w:w="148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(3.97)</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2.50)</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(1.21)</w:t>
            </w:r>
          </w:p>
        </w:tc>
        <w:tc>
          <w:tcPr>
            <w:tcW w:w="126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r>
      <w:tr w:rsidR="002A2146" w:rsidRPr="00E723C2" w:rsidTr="00D65560">
        <w:trPr>
          <w:trHeight w:val="369"/>
        </w:trPr>
        <w:tc>
          <w:tcPr>
            <w:tcW w:w="1840" w:type="dxa"/>
            <w:tcBorders>
              <w:top w:val="nil"/>
              <w:left w:val="nil"/>
              <w:bottom w:val="nil"/>
              <w:right w:val="nil"/>
            </w:tcBorders>
            <w:shd w:val="clear" w:color="auto" w:fill="auto"/>
            <w:noWrap/>
            <w:vAlign w:val="bottom"/>
            <w:hideMark/>
          </w:tcPr>
          <w:p w:rsidR="00FE5D7B" w:rsidRDefault="00C0615A">
            <w:pPr>
              <w:spacing w:before="0" w:line="240" w:lineRule="auto"/>
              <w:ind w:firstLine="0"/>
              <w:rPr>
                <w:sz w:val="20"/>
                <w:szCs w:val="20"/>
                <w:lang w:val="en-US"/>
              </w:rPr>
            </w:pPr>
            <w:r w:rsidRPr="00C0615A">
              <w:rPr>
                <w:rFonts w:ascii="Symbol" w:hAnsi="Symbol"/>
                <w:sz w:val="20"/>
                <w:szCs w:val="20"/>
                <w:lang w:val="en-US"/>
              </w:rPr>
              <w:t></w:t>
            </w:r>
            <w:r w:rsidRPr="00C0615A">
              <w:rPr>
                <w:i/>
                <w:sz w:val="20"/>
                <w:szCs w:val="20"/>
                <w:lang w:val="en-US"/>
              </w:rPr>
              <w:t>ES</w:t>
            </w:r>
            <w:r w:rsidRPr="00C0615A">
              <w:rPr>
                <w:i/>
                <w:sz w:val="20"/>
                <w:szCs w:val="20"/>
                <w:vertAlign w:val="subscript"/>
                <w:lang w:val="en-US"/>
              </w:rPr>
              <w:t>i</w:t>
            </w:r>
          </w:p>
        </w:tc>
        <w:tc>
          <w:tcPr>
            <w:tcW w:w="1320" w:type="dxa"/>
            <w:tcBorders>
              <w:top w:val="nil"/>
              <w:left w:val="nil"/>
              <w:bottom w:val="nil"/>
              <w:right w:val="nil"/>
            </w:tcBorders>
            <w:shd w:val="clear" w:color="auto" w:fill="auto"/>
            <w:noWrap/>
            <w:vAlign w:val="bottom"/>
            <w:hideMark/>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0.1042***</w:t>
            </w:r>
          </w:p>
        </w:tc>
        <w:tc>
          <w:tcPr>
            <w:tcW w:w="148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0.4782***</w:t>
            </w:r>
          </w:p>
        </w:tc>
        <w:tc>
          <w:tcPr>
            <w:tcW w:w="1260" w:type="dxa"/>
            <w:tcBorders>
              <w:top w:val="nil"/>
              <w:left w:val="nil"/>
              <w:bottom w:val="nil"/>
              <w:right w:val="nil"/>
            </w:tcBorders>
            <w:vAlign w:val="bottom"/>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0.0743**</w:t>
            </w:r>
          </w:p>
        </w:tc>
        <w:tc>
          <w:tcPr>
            <w:tcW w:w="1260" w:type="dxa"/>
            <w:tcBorders>
              <w:top w:val="nil"/>
              <w:left w:val="nil"/>
              <w:bottom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1.0751*</w:t>
            </w:r>
          </w:p>
        </w:tc>
        <w:tc>
          <w:tcPr>
            <w:tcW w:w="126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46.83%</w:t>
            </w:r>
          </w:p>
        </w:tc>
      </w:tr>
      <w:tr w:rsidR="002A2146" w:rsidRPr="00E723C2" w:rsidTr="00D65560">
        <w:trPr>
          <w:trHeight w:val="369"/>
        </w:trPr>
        <w:tc>
          <w:tcPr>
            <w:tcW w:w="184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32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5.32)</w:t>
            </w:r>
          </w:p>
        </w:tc>
        <w:tc>
          <w:tcPr>
            <w:tcW w:w="148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(5.48)</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2.47)</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(1.96)</w:t>
            </w:r>
          </w:p>
        </w:tc>
        <w:tc>
          <w:tcPr>
            <w:tcW w:w="126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r>
      <w:tr w:rsidR="002A2146" w:rsidRPr="00E723C2" w:rsidTr="00D65560">
        <w:trPr>
          <w:trHeight w:val="369"/>
        </w:trPr>
        <w:tc>
          <w:tcPr>
            <w:tcW w:w="1840" w:type="dxa"/>
            <w:tcBorders>
              <w:top w:val="nil"/>
              <w:left w:val="nil"/>
              <w:bottom w:val="nil"/>
              <w:right w:val="nil"/>
            </w:tcBorders>
            <w:shd w:val="clear" w:color="auto" w:fill="auto"/>
            <w:noWrap/>
            <w:vAlign w:val="bottom"/>
            <w:hideMark/>
          </w:tcPr>
          <w:p w:rsidR="00FE5D7B" w:rsidRDefault="00C0615A">
            <w:pPr>
              <w:spacing w:before="0" w:line="240" w:lineRule="auto"/>
              <w:ind w:firstLine="0"/>
              <w:rPr>
                <w:sz w:val="20"/>
                <w:szCs w:val="20"/>
                <w:lang w:val="en-US"/>
              </w:rPr>
            </w:pPr>
            <w:r w:rsidRPr="00C0615A">
              <w:rPr>
                <w:rFonts w:ascii="Symbol" w:hAnsi="Symbol"/>
                <w:sz w:val="20"/>
                <w:szCs w:val="20"/>
                <w:lang w:val="en-US"/>
              </w:rPr>
              <w:t></w:t>
            </w:r>
            <w:r w:rsidRPr="00C0615A">
              <w:rPr>
                <w:i/>
                <w:sz w:val="20"/>
                <w:szCs w:val="20"/>
                <w:lang w:val="en-US"/>
              </w:rPr>
              <w:t>RS</w:t>
            </w:r>
            <w:r w:rsidRPr="00C0615A">
              <w:rPr>
                <w:i/>
                <w:sz w:val="20"/>
                <w:szCs w:val="20"/>
                <w:vertAlign w:val="subscript"/>
                <w:lang w:val="en-US"/>
              </w:rPr>
              <w:t>5min,i</w:t>
            </w:r>
          </w:p>
        </w:tc>
        <w:tc>
          <w:tcPr>
            <w:tcW w:w="1320" w:type="dxa"/>
            <w:tcBorders>
              <w:top w:val="nil"/>
              <w:left w:val="nil"/>
              <w:bottom w:val="nil"/>
              <w:right w:val="nil"/>
            </w:tcBorders>
            <w:shd w:val="clear" w:color="auto" w:fill="auto"/>
            <w:noWrap/>
            <w:vAlign w:val="bottom"/>
            <w:hideMark/>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0.3064***</w:t>
            </w:r>
          </w:p>
        </w:tc>
        <w:tc>
          <w:tcPr>
            <w:tcW w:w="148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0.0418</w:t>
            </w:r>
          </w:p>
        </w:tc>
        <w:tc>
          <w:tcPr>
            <w:tcW w:w="1260" w:type="dxa"/>
            <w:tcBorders>
              <w:top w:val="nil"/>
              <w:left w:val="nil"/>
              <w:bottom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0.0109</w:t>
            </w:r>
          </w:p>
        </w:tc>
        <w:tc>
          <w:tcPr>
            <w:tcW w:w="1260" w:type="dxa"/>
            <w:tcBorders>
              <w:top w:val="nil"/>
              <w:left w:val="nil"/>
              <w:bottom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1.7197</w:t>
            </w:r>
          </w:p>
        </w:tc>
        <w:tc>
          <w:tcPr>
            <w:tcW w:w="1260" w:type="dxa"/>
            <w:tcBorders>
              <w:top w:val="nil"/>
              <w:left w:val="nil"/>
              <w:bottom w:val="nil"/>
              <w:right w:val="nil"/>
            </w:tcBorders>
            <w:shd w:val="clear" w:color="auto" w:fill="auto"/>
            <w:noWrap/>
            <w:vAlign w:val="bottom"/>
            <w:hideMark/>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3.48%%</w:t>
            </w:r>
          </w:p>
        </w:tc>
      </w:tr>
      <w:tr w:rsidR="002A2146" w:rsidRPr="00E723C2" w:rsidTr="00D65560">
        <w:trPr>
          <w:trHeight w:val="369"/>
        </w:trPr>
        <w:tc>
          <w:tcPr>
            <w:tcW w:w="184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32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6.59)</w:t>
            </w:r>
          </w:p>
        </w:tc>
        <w:tc>
          <w:tcPr>
            <w:tcW w:w="148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(0.20)</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(0.15)</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(1.32)</w:t>
            </w:r>
          </w:p>
        </w:tc>
        <w:tc>
          <w:tcPr>
            <w:tcW w:w="126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r>
      <w:tr w:rsidR="002A2146" w:rsidRPr="00E723C2" w:rsidTr="00D65560">
        <w:trPr>
          <w:trHeight w:val="369"/>
        </w:trPr>
        <w:tc>
          <w:tcPr>
            <w:tcW w:w="1840" w:type="dxa"/>
            <w:tcBorders>
              <w:top w:val="nil"/>
              <w:left w:val="nil"/>
              <w:bottom w:val="nil"/>
              <w:right w:val="nil"/>
            </w:tcBorders>
            <w:shd w:val="clear" w:color="auto" w:fill="auto"/>
            <w:noWrap/>
            <w:vAlign w:val="bottom"/>
            <w:hideMark/>
          </w:tcPr>
          <w:p w:rsidR="00FE5D7B" w:rsidRDefault="00C0615A">
            <w:pPr>
              <w:spacing w:before="0" w:line="240" w:lineRule="auto"/>
              <w:ind w:firstLine="0"/>
              <w:rPr>
                <w:sz w:val="20"/>
                <w:szCs w:val="20"/>
                <w:lang w:val="en-US"/>
              </w:rPr>
            </w:pPr>
            <w:r w:rsidRPr="00C0615A">
              <w:rPr>
                <w:rFonts w:ascii="Symbol" w:hAnsi="Symbol"/>
                <w:sz w:val="20"/>
                <w:szCs w:val="20"/>
                <w:lang w:val="en-US"/>
              </w:rPr>
              <w:t></w:t>
            </w:r>
            <w:r w:rsidRPr="00C0615A">
              <w:rPr>
                <w:i/>
                <w:sz w:val="20"/>
                <w:szCs w:val="20"/>
                <w:lang w:val="en-US"/>
              </w:rPr>
              <w:t>D</w:t>
            </w:r>
            <w:r w:rsidRPr="00C0615A">
              <w:rPr>
                <w:i/>
                <w:sz w:val="20"/>
                <w:szCs w:val="20"/>
                <w:vertAlign w:val="subscript"/>
                <w:lang w:val="en-US"/>
              </w:rPr>
              <w:t>i</w:t>
            </w:r>
          </w:p>
        </w:tc>
        <w:tc>
          <w:tcPr>
            <w:tcW w:w="132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0.0829</w:t>
            </w:r>
          </w:p>
        </w:tc>
        <w:tc>
          <w:tcPr>
            <w:tcW w:w="1480" w:type="dxa"/>
            <w:tcBorders>
              <w:top w:val="nil"/>
              <w:left w:val="nil"/>
              <w:bottom w:val="nil"/>
              <w:right w:val="nil"/>
            </w:tcBorders>
            <w:shd w:val="clear" w:color="auto" w:fill="auto"/>
            <w:noWrap/>
            <w:vAlign w:val="bottom"/>
            <w:hideMark/>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0.0929</w:t>
            </w:r>
          </w:p>
        </w:tc>
        <w:tc>
          <w:tcPr>
            <w:tcW w:w="1260" w:type="dxa"/>
            <w:tcBorders>
              <w:top w:val="nil"/>
              <w:left w:val="nil"/>
              <w:bottom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0.3951***</w:t>
            </w:r>
          </w:p>
        </w:tc>
        <w:tc>
          <w:tcPr>
            <w:tcW w:w="1260" w:type="dxa"/>
            <w:tcBorders>
              <w:top w:val="nil"/>
              <w:left w:val="nil"/>
              <w:bottom w:val="nil"/>
              <w:right w:val="nil"/>
            </w:tcBorders>
            <w:vAlign w:val="bottom"/>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2.4612</w:t>
            </w:r>
          </w:p>
        </w:tc>
        <w:tc>
          <w:tcPr>
            <w:tcW w:w="1260" w:type="dxa"/>
            <w:tcBorders>
              <w:top w:val="nil"/>
              <w:left w:val="nil"/>
              <w:bottom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35.63%%</w:t>
            </w:r>
          </w:p>
        </w:tc>
      </w:tr>
      <w:tr w:rsidR="002A2146" w:rsidRPr="00E723C2" w:rsidTr="00D65560">
        <w:trPr>
          <w:trHeight w:val="369"/>
        </w:trPr>
        <w:tc>
          <w:tcPr>
            <w:tcW w:w="184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32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(1.47)</w:t>
            </w:r>
          </w:p>
        </w:tc>
        <w:tc>
          <w:tcPr>
            <w:tcW w:w="1480" w:type="dxa"/>
            <w:tcBorders>
              <w:top w:val="nil"/>
              <w:left w:val="nil"/>
              <w:bottom w:val="nil"/>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0.37)</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(4.55)</w:t>
            </w:r>
          </w:p>
        </w:tc>
        <w:tc>
          <w:tcPr>
            <w:tcW w:w="1260" w:type="dxa"/>
            <w:tcBorders>
              <w:top w:val="nil"/>
              <w:left w:val="nil"/>
              <w:bottom w:val="nil"/>
              <w:right w:val="nil"/>
            </w:tcBorders>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1.56)</w:t>
            </w:r>
          </w:p>
        </w:tc>
        <w:tc>
          <w:tcPr>
            <w:tcW w:w="1260" w:type="dxa"/>
            <w:tcBorders>
              <w:top w:val="nil"/>
              <w:left w:val="nil"/>
              <w:bottom w:val="nil"/>
              <w:right w:val="nil"/>
            </w:tcBorders>
            <w:shd w:val="clear" w:color="auto" w:fill="auto"/>
            <w:noWrap/>
            <w:hideMark/>
          </w:tcPr>
          <w:p w:rsidR="00FE5D7B" w:rsidRDefault="00FE5D7B">
            <w:pPr>
              <w:spacing w:before="0" w:line="240" w:lineRule="auto"/>
              <w:ind w:firstLine="0"/>
              <w:jc w:val="center"/>
              <w:rPr>
                <w:sz w:val="20"/>
                <w:szCs w:val="20"/>
                <w:lang w:val="en-US"/>
              </w:rPr>
            </w:pPr>
          </w:p>
        </w:tc>
      </w:tr>
      <w:tr w:rsidR="002A2146" w:rsidRPr="00E723C2" w:rsidTr="00D65560">
        <w:trPr>
          <w:trHeight w:val="369"/>
        </w:trPr>
        <w:tc>
          <w:tcPr>
            <w:tcW w:w="1840" w:type="dxa"/>
            <w:tcBorders>
              <w:top w:val="nil"/>
              <w:left w:val="nil"/>
              <w:right w:val="nil"/>
            </w:tcBorders>
            <w:shd w:val="clear" w:color="auto" w:fill="auto"/>
            <w:noWrap/>
            <w:vAlign w:val="bottom"/>
            <w:hideMark/>
          </w:tcPr>
          <w:p w:rsidR="00FE5D7B" w:rsidRDefault="00C0615A">
            <w:pPr>
              <w:spacing w:before="0" w:line="240" w:lineRule="auto"/>
              <w:ind w:firstLine="0"/>
              <w:rPr>
                <w:sz w:val="20"/>
                <w:szCs w:val="20"/>
                <w:lang w:val="en-US"/>
              </w:rPr>
            </w:pPr>
            <w:r w:rsidRPr="00C0615A">
              <w:rPr>
                <w:rFonts w:ascii="Symbol" w:hAnsi="Symbol"/>
                <w:sz w:val="20"/>
                <w:szCs w:val="20"/>
                <w:lang w:val="en-US"/>
              </w:rPr>
              <w:t></w:t>
            </w:r>
            <w:r w:rsidRPr="00C0615A">
              <w:rPr>
                <w:i/>
                <w:sz w:val="20"/>
                <w:szCs w:val="20"/>
                <w:lang w:val="en-US"/>
              </w:rPr>
              <w:t>ABS</w:t>
            </w:r>
            <w:r w:rsidRPr="00C0615A">
              <w:rPr>
                <w:i/>
                <w:sz w:val="20"/>
                <w:szCs w:val="20"/>
                <w:vertAlign w:val="subscript"/>
                <w:lang w:val="en-US"/>
              </w:rPr>
              <w:t>i</w:t>
            </w:r>
          </w:p>
        </w:tc>
        <w:tc>
          <w:tcPr>
            <w:tcW w:w="1320" w:type="dxa"/>
            <w:tcBorders>
              <w:top w:val="nil"/>
              <w:left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0.7488***</w:t>
            </w:r>
          </w:p>
        </w:tc>
        <w:tc>
          <w:tcPr>
            <w:tcW w:w="1480" w:type="dxa"/>
            <w:tcBorders>
              <w:top w:val="nil"/>
              <w:left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1.1977***</w:t>
            </w:r>
          </w:p>
        </w:tc>
        <w:tc>
          <w:tcPr>
            <w:tcW w:w="1260" w:type="dxa"/>
            <w:tcBorders>
              <w:top w:val="nil"/>
              <w:left w:val="nil"/>
              <w:right w:val="nil"/>
            </w:tcBorders>
            <w:vAlign w:val="bottom"/>
          </w:tcPr>
          <w:p w:rsidR="00FE5D7B" w:rsidRDefault="001C7A3B">
            <w:pPr>
              <w:spacing w:before="0" w:line="240" w:lineRule="auto"/>
              <w:ind w:firstLine="0"/>
              <w:jc w:val="center"/>
              <w:rPr>
                <w:sz w:val="20"/>
                <w:szCs w:val="20"/>
                <w:lang w:val="en-US"/>
              </w:rPr>
            </w:pPr>
            <w:r>
              <w:rPr>
                <w:sz w:val="20"/>
                <w:szCs w:val="20"/>
                <w:lang w:val="en-US"/>
              </w:rPr>
              <w:t>–</w:t>
            </w:r>
            <w:r w:rsidR="00C0615A" w:rsidRPr="00C0615A">
              <w:rPr>
                <w:sz w:val="20"/>
                <w:szCs w:val="20"/>
                <w:lang w:val="en-US"/>
              </w:rPr>
              <w:t>0.3185**</w:t>
            </w:r>
          </w:p>
        </w:tc>
        <w:tc>
          <w:tcPr>
            <w:tcW w:w="1260" w:type="dxa"/>
            <w:tcBorders>
              <w:top w:val="nil"/>
              <w:left w:val="nil"/>
              <w:right w:val="nil"/>
            </w:tcBorders>
            <w:vAlign w:val="bottom"/>
          </w:tcPr>
          <w:p w:rsidR="00FE5D7B" w:rsidRDefault="00C0615A">
            <w:pPr>
              <w:spacing w:before="0" w:line="240" w:lineRule="auto"/>
              <w:ind w:firstLine="0"/>
              <w:jc w:val="center"/>
              <w:rPr>
                <w:sz w:val="20"/>
                <w:szCs w:val="20"/>
                <w:lang w:val="en-US"/>
              </w:rPr>
            </w:pPr>
            <w:r w:rsidRPr="00C0615A">
              <w:rPr>
                <w:sz w:val="20"/>
                <w:szCs w:val="20"/>
                <w:lang w:val="en-US"/>
              </w:rPr>
              <w:t>0.5438</w:t>
            </w:r>
          </w:p>
        </w:tc>
        <w:tc>
          <w:tcPr>
            <w:tcW w:w="1260" w:type="dxa"/>
            <w:tcBorders>
              <w:top w:val="nil"/>
              <w:left w:val="nil"/>
              <w:right w:val="nil"/>
            </w:tcBorders>
            <w:shd w:val="clear" w:color="auto" w:fill="auto"/>
            <w:noWrap/>
            <w:vAlign w:val="bottom"/>
            <w:hideMark/>
          </w:tcPr>
          <w:p w:rsidR="00FE5D7B" w:rsidRDefault="00C0615A">
            <w:pPr>
              <w:spacing w:before="0" w:line="240" w:lineRule="auto"/>
              <w:ind w:firstLine="0"/>
              <w:jc w:val="center"/>
              <w:rPr>
                <w:sz w:val="20"/>
                <w:szCs w:val="20"/>
                <w:lang w:val="en-US"/>
              </w:rPr>
            </w:pPr>
            <w:r w:rsidRPr="00C0615A">
              <w:rPr>
                <w:sz w:val="20"/>
                <w:szCs w:val="20"/>
                <w:lang w:val="en-US"/>
              </w:rPr>
              <w:t>28.44%</w:t>
            </w:r>
          </w:p>
        </w:tc>
      </w:tr>
      <w:tr w:rsidR="002A2146" w:rsidRPr="00E723C2" w:rsidTr="00D65560">
        <w:trPr>
          <w:trHeight w:val="369"/>
        </w:trPr>
        <w:tc>
          <w:tcPr>
            <w:tcW w:w="1840" w:type="dxa"/>
            <w:tcBorders>
              <w:top w:val="nil"/>
              <w:left w:val="nil"/>
              <w:bottom w:val="single" w:sz="12" w:space="0" w:color="auto"/>
              <w:right w:val="nil"/>
            </w:tcBorders>
            <w:shd w:val="clear" w:color="auto" w:fill="auto"/>
            <w:noWrap/>
            <w:hideMark/>
          </w:tcPr>
          <w:p w:rsidR="00FE5D7B" w:rsidRDefault="00FE5D7B">
            <w:pPr>
              <w:spacing w:before="0" w:line="240" w:lineRule="auto"/>
              <w:ind w:firstLine="0"/>
              <w:jc w:val="center"/>
              <w:rPr>
                <w:sz w:val="20"/>
                <w:szCs w:val="20"/>
                <w:lang w:val="en-US"/>
              </w:rPr>
            </w:pPr>
          </w:p>
        </w:tc>
        <w:tc>
          <w:tcPr>
            <w:tcW w:w="1320" w:type="dxa"/>
            <w:tcBorders>
              <w:top w:val="nil"/>
              <w:left w:val="nil"/>
              <w:bottom w:val="single" w:sz="12" w:space="0" w:color="auto"/>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(9.79)</w:t>
            </w:r>
          </w:p>
        </w:tc>
        <w:tc>
          <w:tcPr>
            <w:tcW w:w="1480" w:type="dxa"/>
            <w:tcBorders>
              <w:top w:val="nil"/>
              <w:left w:val="nil"/>
              <w:bottom w:val="single" w:sz="12" w:space="0" w:color="auto"/>
              <w:right w:val="nil"/>
            </w:tcBorders>
            <w:shd w:val="clear" w:color="auto" w:fill="auto"/>
            <w:noWrap/>
            <w:hideMark/>
          </w:tcPr>
          <w:p w:rsidR="00FE5D7B" w:rsidRDefault="00C0615A">
            <w:pPr>
              <w:spacing w:before="0" w:line="240" w:lineRule="auto"/>
              <w:ind w:firstLine="0"/>
              <w:jc w:val="center"/>
              <w:rPr>
                <w:sz w:val="20"/>
                <w:szCs w:val="20"/>
                <w:lang w:val="en-US"/>
              </w:rPr>
            </w:pPr>
            <w:r w:rsidRPr="00C0615A">
              <w:rPr>
                <w:sz w:val="20"/>
                <w:szCs w:val="20"/>
                <w:lang w:val="en-US"/>
              </w:rPr>
              <w:t>(3.51)</w:t>
            </w:r>
          </w:p>
        </w:tc>
        <w:tc>
          <w:tcPr>
            <w:tcW w:w="1260" w:type="dxa"/>
            <w:tcBorders>
              <w:top w:val="nil"/>
              <w:left w:val="nil"/>
              <w:bottom w:val="single" w:sz="12" w:space="0" w:color="auto"/>
              <w:right w:val="nil"/>
            </w:tcBorders>
          </w:tcPr>
          <w:p w:rsidR="00FE5D7B" w:rsidRDefault="00C0615A">
            <w:pPr>
              <w:spacing w:before="0" w:line="240" w:lineRule="auto"/>
              <w:ind w:firstLine="0"/>
              <w:jc w:val="center"/>
              <w:rPr>
                <w:sz w:val="20"/>
                <w:szCs w:val="20"/>
                <w:lang w:val="en-US"/>
              </w:rPr>
            </w:pPr>
            <w:r w:rsidRPr="00C0615A">
              <w:rPr>
                <w:sz w:val="20"/>
                <w:szCs w:val="20"/>
                <w:lang w:val="en-US"/>
              </w:rPr>
              <w:t>(</w:t>
            </w:r>
            <w:r w:rsidR="001C7A3B">
              <w:rPr>
                <w:sz w:val="20"/>
                <w:szCs w:val="20"/>
                <w:lang w:val="en-US"/>
              </w:rPr>
              <w:t>–</w:t>
            </w:r>
            <w:r w:rsidRPr="00C0615A">
              <w:rPr>
                <w:sz w:val="20"/>
                <w:szCs w:val="20"/>
                <w:lang w:val="en-US"/>
              </w:rPr>
              <w:t>2.71)</w:t>
            </w:r>
          </w:p>
        </w:tc>
        <w:tc>
          <w:tcPr>
            <w:tcW w:w="1260" w:type="dxa"/>
            <w:tcBorders>
              <w:top w:val="nil"/>
              <w:left w:val="nil"/>
              <w:bottom w:val="single" w:sz="12" w:space="0" w:color="auto"/>
              <w:right w:val="nil"/>
            </w:tcBorders>
          </w:tcPr>
          <w:p w:rsidR="00FE5D7B" w:rsidRDefault="00C0615A">
            <w:pPr>
              <w:spacing w:before="0" w:line="240" w:lineRule="auto"/>
              <w:ind w:firstLine="0"/>
              <w:jc w:val="center"/>
              <w:rPr>
                <w:sz w:val="20"/>
                <w:szCs w:val="20"/>
                <w:lang w:val="en-US"/>
              </w:rPr>
            </w:pPr>
            <w:r w:rsidRPr="00C0615A">
              <w:rPr>
                <w:sz w:val="20"/>
                <w:szCs w:val="20"/>
                <w:lang w:val="en-US"/>
              </w:rPr>
              <w:t>(0.25)</w:t>
            </w:r>
          </w:p>
        </w:tc>
        <w:tc>
          <w:tcPr>
            <w:tcW w:w="1260" w:type="dxa"/>
            <w:tcBorders>
              <w:top w:val="nil"/>
              <w:left w:val="nil"/>
              <w:bottom w:val="single" w:sz="12" w:space="0" w:color="auto"/>
              <w:right w:val="nil"/>
            </w:tcBorders>
            <w:shd w:val="clear" w:color="auto" w:fill="auto"/>
            <w:noWrap/>
            <w:hideMark/>
          </w:tcPr>
          <w:p w:rsidR="00FE5D7B" w:rsidRDefault="00FE5D7B">
            <w:pPr>
              <w:spacing w:before="0" w:line="240" w:lineRule="auto"/>
              <w:ind w:firstLine="0"/>
              <w:jc w:val="center"/>
              <w:rPr>
                <w:sz w:val="20"/>
                <w:szCs w:val="20"/>
                <w:lang w:val="en-US"/>
              </w:rPr>
            </w:pPr>
          </w:p>
        </w:tc>
      </w:tr>
    </w:tbl>
    <w:p w:rsidR="008449D5" w:rsidRDefault="00C0615A" w:rsidP="008449D5">
      <w:pPr>
        <w:pStyle w:val="Notetable"/>
        <w:ind w:right="706"/>
        <w:rPr>
          <w:lang w:val="en-US"/>
        </w:rPr>
      </w:pPr>
      <w:r w:rsidRPr="00C0615A">
        <w:rPr>
          <w:i/>
          <w:lang w:val="en-US"/>
        </w:rPr>
        <w:t>Note:</w:t>
      </w:r>
      <w:r w:rsidR="008449D5" w:rsidRPr="008449D5">
        <w:rPr>
          <w:lang w:val="en-US"/>
        </w:rPr>
        <w:t xml:space="preserve"> </w:t>
      </w:r>
      <w:r w:rsidR="00C36EF8" w:rsidRPr="00C36EF8">
        <w:rPr>
          <w:lang w:val="en-US"/>
        </w:rPr>
        <w:t xml:space="preserve">This table displays the estimates of </w:t>
      </w:r>
      <w:r w:rsidR="001C7A3B">
        <w:rPr>
          <w:lang w:val="en-US"/>
        </w:rPr>
        <w:t>the</w:t>
      </w:r>
      <w:r w:rsidR="008449D5" w:rsidRPr="00B37B4B">
        <w:rPr>
          <w:lang w:val="en-US"/>
        </w:rPr>
        <w:t xml:space="preserve"> </w:t>
      </w:r>
      <w:r w:rsidR="00C36EF8" w:rsidRPr="00C36EF8">
        <w:rPr>
          <w:lang w:val="en-US"/>
        </w:rPr>
        <w:t xml:space="preserve">OLS regressions run over the 37-index-stocks </w:t>
      </w:r>
      <w:r w:rsidR="00E8233C">
        <w:rPr>
          <w:lang w:val="en-US"/>
        </w:rPr>
        <w:t>sample</w:t>
      </w:r>
      <w:r w:rsidR="00C36EF8" w:rsidRPr="00C36EF8">
        <w:rPr>
          <w:lang w:val="en-US"/>
        </w:rPr>
        <w:t xml:space="preserve">. The relative variations of liquidity measures around the date </w:t>
      </w:r>
      <w:r w:rsidR="001C7A3B">
        <w:rPr>
          <w:lang w:val="en-US"/>
        </w:rPr>
        <w:t xml:space="preserve">of the introduction of the </w:t>
      </w:r>
      <w:r w:rsidR="008449D5" w:rsidRPr="00B37B4B">
        <w:rPr>
          <w:lang w:val="en-US"/>
        </w:rPr>
        <w:t xml:space="preserve">ETF </w:t>
      </w:r>
      <w:r w:rsidR="00C36EF8" w:rsidRPr="00C36EF8">
        <w:rPr>
          <w:lang w:val="en-US"/>
        </w:rPr>
        <w:t xml:space="preserve">are regressed on weights in the index </w:t>
      </w:r>
      <w:proofErr w:type="gramStart"/>
      <w:r w:rsidR="00C36EF8" w:rsidRPr="00C36EF8">
        <w:rPr>
          <w:i/>
          <w:lang w:val="en-US"/>
        </w:rPr>
        <w:t>w</w:t>
      </w:r>
      <w:r w:rsidR="00C36EF8" w:rsidRPr="00C36EF8">
        <w:rPr>
          <w:i/>
          <w:vertAlign w:val="subscript"/>
          <w:lang w:val="en-US"/>
        </w:rPr>
        <w:t>i</w:t>
      </w:r>
      <w:proofErr w:type="gramEnd"/>
      <w:r w:rsidR="00C36EF8" w:rsidRPr="00C36EF8">
        <w:rPr>
          <w:lang w:val="en-US"/>
        </w:rPr>
        <w:t xml:space="preserve">.  The liquidity measures </w:t>
      </w:r>
      <w:r w:rsidR="001C7A3B">
        <w:rPr>
          <w:lang w:val="en-US"/>
        </w:rPr>
        <w:t xml:space="preserve">used </w:t>
      </w:r>
      <w:r w:rsidR="00C36EF8" w:rsidRPr="00C36EF8">
        <w:rPr>
          <w:lang w:val="en-US"/>
        </w:rPr>
        <w:t>are</w:t>
      </w:r>
      <w:r w:rsidR="001C7A3B">
        <w:rPr>
          <w:lang w:val="en-US"/>
        </w:rPr>
        <w:t>,</w:t>
      </w:r>
      <w:r w:rsidR="00C36EF8" w:rsidRPr="00C36EF8">
        <w:rPr>
          <w:lang w:val="en-US"/>
        </w:rPr>
        <w:t xml:space="preserve"> in turn: the total trading volume in number of shares (</w:t>
      </w:r>
      <w:r w:rsidR="00C36EF8" w:rsidRPr="00C36EF8">
        <w:rPr>
          <w:i/>
          <w:lang w:val="en-US"/>
        </w:rPr>
        <w:t>X</w:t>
      </w:r>
      <w:r w:rsidR="00C36EF8" w:rsidRPr="00C36EF8">
        <w:rPr>
          <w:i/>
          <w:vertAlign w:val="subscript"/>
          <w:lang w:val="en-US"/>
        </w:rPr>
        <w:t>i</w:t>
      </w:r>
      <w:r w:rsidR="00C36EF8" w:rsidRPr="00C36EF8">
        <w:rPr>
          <w:lang w:val="en-US"/>
        </w:rPr>
        <w:t xml:space="preserve">), the </w:t>
      </w:r>
      <w:r w:rsidR="00521C1A">
        <w:rPr>
          <w:lang w:val="en-US"/>
        </w:rPr>
        <w:t>time</w:t>
      </w:r>
      <w:r w:rsidR="00C36EF8" w:rsidRPr="00C36EF8">
        <w:rPr>
          <w:lang w:val="en-US"/>
        </w:rPr>
        <w:t>-weighted average quoted spread (</w:t>
      </w:r>
      <w:r w:rsidR="008449D5" w:rsidRPr="00E723C2">
        <w:rPr>
          <w:i/>
          <w:szCs w:val="20"/>
          <w:lang w:val="en-US"/>
        </w:rPr>
        <w:t>DWQS</w:t>
      </w:r>
      <w:r w:rsidR="008449D5" w:rsidRPr="00E723C2">
        <w:rPr>
          <w:i/>
          <w:szCs w:val="20"/>
          <w:vertAlign w:val="subscript"/>
          <w:lang w:val="en-US"/>
        </w:rPr>
        <w:t>i</w:t>
      </w:r>
      <w:r w:rsidR="00C36EF8" w:rsidRPr="00C36EF8">
        <w:rPr>
          <w:lang w:val="en-US"/>
        </w:rPr>
        <w:t>), the average affective spread (</w:t>
      </w:r>
      <w:r w:rsidR="008449D5" w:rsidRPr="00E723C2">
        <w:rPr>
          <w:i/>
          <w:szCs w:val="20"/>
          <w:lang w:val="en-US"/>
        </w:rPr>
        <w:t>ES</w:t>
      </w:r>
      <w:r w:rsidR="008449D5" w:rsidRPr="00E723C2">
        <w:rPr>
          <w:i/>
          <w:szCs w:val="20"/>
          <w:vertAlign w:val="subscript"/>
          <w:lang w:val="en-US"/>
        </w:rPr>
        <w:t>i</w:t>
      </w:r>
      <w:r w:rsidR="00C36EF8" w:rsidRPr="00C36EF8">
        <w:rPr>
          <w:lang w:val="en-US"/>
        </w:rPr>
        <w:t>), the average 5-minute realized spread (</w:t>
      </w:r>
      <w:r w:rsidR="008449D5" w:rsidRPr="00E723C2">
        <w:rPr>
          <w:i/>
          <w:szCs w:val="20"/>
          <w:lang w:val="en-US"/>
        </w:rPr>
        <w:t>RS</w:t>
      </w:r>
      <w:r w:rsidR="008449D5" w:rsidRPr="00E723C2">
        <w:rPr>
          <w:i/>
          <w:szCs w:val="20"/>
          <w:vertAlign w:val="subscript"/>
          <w:lang w:val="en-US"/>
        </w:rPr>
        <w:t>5min,i</w:t>
      </w:r>
      <w:r w:rsidR="00C36EF8" w:rsidRPr="00C36EF8">
        <w:rPr>
          <w:lang w:val="en-US"/>
        </w:rPr>
        <w:t xml:space="preserve">), the </w:t>
      </w:r>
      <w:r w:rsidR="00521C1A">
        <w:rPr>
          <w:lang w:val="en-US"/>
        </w:rPr>
        <w:t>time</w:t>
      </w:r>
      <w:r w:rsidR="00C36EF8" w:rsidRPr="00C36EF8">
        <w:rPr>
          <w:lang w:val="en-US"/>
        </w:rPr>
        <w:t>-weighted average best-limit depth (</w:t>
      </w:r>
      <w:r w:rsidR="008449D5" w:rsidRPr="00E723C2">
        <w:rPr>
          <w:i/>
          <w:szCs w:val="20"/>
          <w:lang w:val="en-US"/>
        </w:rPr>
        <w:t>D</w:t>
      </w:r>
      <w:r w:rsidR="008449D5" w:rsidRPr="00E723C2">
        <w:rPr>
          <w:i/>
          <w:szCs w:val="20"/>
          <w:vertAlign w:val="subscript"/>
          <w:lang w:val="en-US"/>
        </w:rPr>
        <w:t>i</w:t>
      </w:r>
      <w:r w:rsidR="00C36EF8" w:rsidRPr="00C36EF8">
        <w:rPr>
          <w:lang w:val="en-US"/>
        </w:rPr>
        <w:t xml:space="preserve">), and the </w:t>
      </w:r>
      <w:r w:rsidR="00521C1A">
        <w:rPr>
          <w:lang w:val="en-US"/>
        </w:rPr>
        <w:t>time</w:t>
      </w:r>
      <w:r w:rsidR="00C36EF8" w:rsidRPr="00C36EF8">
        <w:rPr>
          <w:lang w:val="en-US"/>
        </w:rPr>
        <w:t>-weighted average adjusted block spread (</w:t>
      </w:r>
      <w:r w:rsidR="008449D5" w:rsidRPr="00E723C2">
        <w:rPr>
          <w:i/>
          <w:szCs w:val="20"/>
          <w:lang w:val="en-US"/>
        </w:rPr>
        <w:t>ABS</w:t>
      </w:r>
      <w:r w:rsidR="008449D5" w:rsidRPr="00E723C2">
        <w:rPr>
          <w:i/>
          <w:szCs w:val="20"/>
          <w:vertAlign w:val="subscript"/>
          <w:lang w:val="en-US"/>
        </w:rPr>
        <w:t>i</w:t>
      </w:r>
      <w:r w:rsidR="00C36EF8" w:rsidRPr="00C36EF8">
        <w:rPr>
          <w:lang w:val="en-US"/>
        </w:rPr>
        <w:t>).  The variation of the average price range (</w:t>
      </w:r>
      <w:r w:rsidR="00C36EF8" w:rsidRPr="00C36EF8">
        <w:rPr>
          <w:rFonts w:ascii="Symbol" w:hAnsi="Symbol"/>
          <w:lang w:val="en-US"/>
        </w:rPr>
        <w:t></w:t>
      </w:r>
      <w:r w:rsidR="00C36EF8" w:rsidRPr="00C36EF8">
        <w:rPr>
          <w:rFonts w:ascii="Symbol" w:hAnsi="Symbol"/>
          <w:i/>
          <w:lang w:val="en-US"/>
        </w:rPr>
        <w:t></w:t>
      </w:r>
      <w:r w:rsidR="00C36EF8" w:rsidRPr="00C36EF8">
        <w:rPr>
          <w:i/>
          <w:vertAlign w:val="subscript"/>
          <w:lang w:val="en-US"/>
        </w:rPr>
        <w:t>i</w:t>
      </w:r>
      <w:r w:rsidR="00C36EF8" w:rsidRPr="00C36EF8">
        <w:rPr>
          <w:lang w:val="en-US"/>
        </w:rPr>
        <w:t>) and the trading volume variation (</w:t>
      </w:r>
      <w:r w:rsidR="00C36EF8" w:rsidRPr="00C36EF8">
        <w:rPr>
          <w:rFonts w:ascii="Symbol" w:hAnsi="Symbol"/>
          <w:lang w:val="en-US"/>
        </w:rPr>
        <w:t></w:t>
      </w:r>
      <w:r w:rsidR="00C36EF8" w:rsidRPr="00C36EF8">
        <w:rPr>
          <w:i/>
          <w:lang w:val="en-US"/>
        </w:rPr>
        <w:t>X</w:t>
      </w:r>
      <w:r w:rsidR="00C36EF8" w:rsidRPr="00C36EF8">
        <w:rPr>
          <w:i/>
          <w:vertAlign w:val="subscript"/>
          <w:lang w:val="en-US"/>
        </w:rPr>
        <w:t>i</w:t>
      </w:r>
      <w:r w:rsidR="00C36EF8" w:rsidRPr="00C36EF8">
        <w:rPr>
          <w:lang w:val="en-US"/>
        </w:rPr>
        <w:t xml:space="preserve">) serve as control variables.  </w:t>
      </w:r>
      <w:proofErr w:type="gramStart"/>
      <w:r w:rsidR="00C36EF8" w:rsidRPr="00C36EF8">
        <w:rPr>
          <w:i/>
          <w:lang w:val="en-US"/>
        </w:rPr>
        <w:t>t</w:t>
      </w:r>
      <w:r w:rsidR="00C36EF8" w:rsidRPr="00C36EF8">
        <w:rPr>
          <w:lang w:val="en-US"/>
        </w:rPr>
        <w:t>-statistics</w:t>
      </w:r>
      <w:proofErr w:type="gramEnd"/>
      <w:r w:rsidR="00C36EF8" w:rsidRPr="00C36EF8">
        <w:rPr>
          <w:lang w:val="en-US"/>
        </w:rPr>
        <w:t xml:space="preserve"> are in brackets. </w:t>
      </w:r>
      <w:r w:rsidR="001C7A3B">
        <w:rPr>
          <w:lang w:val="en-US"/>
        </w:rPr>
        <w:t>One, two and three asterisks (</w:t>
      </w:r>
      <w:r w:rsidR="001C7A3B" w:rsidRPr="00B37B4B">
        <w:rPr>
          <w:lang w:val="en-US"/>
        </w:rPr>
        <w:t>*,</w:t>
      </w:r>
      <w:r w:rsidR="001C7A3B">
        <w:rPr>
          <w:lang w:val="en-US"/>
        </w:rPr>
        <w:t xml:space="preserve"> </w:t>
      </w:r>
      <w:r w:rsidR="001C7A3B" w:rsidRPr="00B37B4B">
        <w:rPr>
          <w:lang w:val="en-US"/>
        </w:rPr>
        <w:t>**,</w:t>
      </w:r>
      <w:r w:rsidR="001C7A3B">
        <w:rPr>
          <w:lang w:val="en-US"/>
        </w:rPr>
        <w:t xml:space="preserve"> and </w:t>
      </w:r>
      <w:r w:rsidR="001C7A3B" w:rsidRPr="00B37B4B">
        <w:rPr>
          <w:lang w:val="en-US"/>
        </w:rPr>
        <w:t>***</w:t>
      </w:r>
      <w:r w:rsidR="001C7A3B">
        <w:rPr>
          <w:lang w:val="en-US"/>
        </w:rPr>
        <w:t>)</w:t>
      </w:r>
      <w:r w:rsidR="00C36EF8" w:rsidRPr="00C36EF8">
        <w:rPr>
          <w:lang w:val="en-US"/>
        </w:rPr>
        <w:t xml:space="preserve"> indicate statistical significance at the 10%, 5%, and 1% levels, respectively.</w:t>
      </w:r>
    </w:p>
    <w:p w:rsidR="00FE5D7B" w:rsidRPr="008449D5" w:rsidRDefault="00FE5D7B">
      <w:pPr>
        <w:ind w:firstLine="0"/>
        <w:rPr>
          <w:i/>
          <w:lang w:val="en-US"/>
        </w:rPr>
      </w:pPr>
    </w:p>
    <w:sectPr w:rsidR="00FE5D7B" w:rsidRPr="008449D5" w:rsidSect="000F3BA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0B4" w:rsidRDefault="00A700B4">
      <w:r>
        <w:separator/>
      </w:r>
    </w:p>
  </w:endnote>
  <w:endnote w:type="continuationSeparator" w:id="0">
    <w:p w:rsidR="00A700B4" w:rsidRDefault="00A7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36" w:rsidRDefault="002E6636" w:rsidP="0042694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2E6636" w:rsidRDefault="002E6636" w:rsidP="00DE0E5C">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36" w:rsidRDefault="002E6636">
    <w:pPr>
      <w:pStyle w:val="Pieddepage"/>
      <w:jc w:val="right"/>
    </w:pPr>
  </w:p>
  <w:p w:rsidR="002E6636" w:rsidRDefault="002E6636" w:rsidP="00DE0E5C">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36" w:rsidRDefault="002E6636">
    <w:pPr>
      <w:pStyle w:val="Pieddepage"/>
      <w:jc w:val="right"/>
    </w:pPr>
    <w:r>
      <w:fldChar w:fldCharType="begin"/>
    </w:r>
    <w:r>
      <w:instrText xml:space="preserve"> PAGE   \* MERGEFORMAT </w:instrText>
    </w:r>
    <w:r>
      <w:fldChar w:fldCharType="separate"/>
    </w:r>
    <w:r w:rsidR="00C41698">
      <w:rPr>
        <w:noProof/>
      </w:rPr>
      <w:t>25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36" w:rsidRDefault="002E6636" w:rsidP="0053640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2E6636" w:rsidRDefault="002E6636" w:rsidP="00DE0E5C">
    <w:pPr>
      <w:pStyle w:val="Pieddepag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636" w:rsidRDefault="002E6636" w:rsidP="0053640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41698">
      <w:rPr>
        <w:rStyle w:val="Numrodepage"/>
        <w:noProof/>
      </w:rPr>
      <w:t>34</w:t>
    </w:r>
    <w:r>
      <w:rPr>
        <w:rStyle w:val="Numrodepage"/>
      </w:rPr>
      <w:fldChar w:fldCharType="end"/>
    </w:r>
  </w:p>
  <w:p w:rsidR="002E6636" w:rsidRDefault="002E6636" w:rsidP="00DE0E5C">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0B4" w:rsidRDefault="00A700B4">
      <w:r>
        <w:separator/>
      </w:r>
    </w:p>
  </w:footnote>
  <w:footnote w:type="continuationSeparator" w:id="0">
    <w:p w:rsidR="00A700B4" w:rsidRDefault="00A700B4">
      <w:r>
        <w:continuationSeparator/>
      </w:r>
    </w:p>
  </w:footnote>
  <w:footnote w:id="1">
    <w:p w:rsidR="002E6636" w:rsidRPr="00D805B1" w:rsidRDefault="002E6636" w:rsidP="000D566D">
      <w:pPr>
        <w:pStyle w:val="Notedebasdepage"/>
        <w:rPr>
          <w:lang w:val="en-US"/>
        </w:rPr>
      </w:pPr>
      <w:r>
        <w:rPr>
          <w:rStyle w:val="Appelnotedebasdep"/>
        </w:rPr>
        <w:footnoteRef/>
      </w:r>
      <w:r>
        <w:t xml:space="preserve"> </w:t>
      </w:r>
      <w:proofErr w:type="gramStart"/>
      <w:r w:rsidRPr="00D805B1">
        <w:rPr>
          <w:lang w:val="en-US"/>
        </w:rPr>
        <w:t>BlackRock (2011) ETF Landscape Industry Review, Year End 2010, 162p.</w:t>
      </w:r>
      <w:proofErr w:type="gramEnd"/>
    </w:p>
  </w:footnote>
  <w:footnote w:id="2">
    <w:p w:rsidR="002E6636" w:rsidRPr="00D805B1" w:rsidRDefault="002E6636" w:rsidP="000D566D">
      <w:pPr>
        <w:pStyle w:val="Notedebasdepage"/>
      </w:pPr>
      <w:r>
        <w:rPr>
          <w:rStyle w:val="Appelnotedebasdep"/>
        </w:rPr>
        <w:footnoteRef/>
      </w:r>
      <w:r>
        <w:t xml:space="preserve"> </w:t>
      </w:r>
      <w:proofErr w:type="gramStart"/>
      <w:r w:rsidRPr="00D805B1">
        <w:t>EDHEC</w:t>
      </w:r>
      <w:r>
        <w:t xml:space="preserve"> European ETF Survey 2010,</w:t>
      </w:r>
      <w:r w:rsidRPr="00D805B1">
        <w:t xml:space="preserve"> EDHEC-Risk Institute Publication.</w:t>
      </w:r>
      <w:proofErr w:type="gramEnd"/>
    </w:p>
  </w:footnote>
  <w:footnote w:id="3">
    <w:p w:rsidR="002E6636" w:rsidRPr="00B71DDB" w:rsidRDefault="002E6636" w:rsidP="00372830">
      <w:pPr>
        <w:pStyle w:val="Notedebasdepage"/>
      </w:pPr>
      <w:r>
        <w:rPr>
          <w:rStyle w:val="Appelnotedebasdep"/>
        </w:rPr>
        <w:footnoteRef/>
      </w:r>
      <w:r>
        <w:t xml:space="preserve"> </w:t>
      </w:r>
      <w:r>
        <w:rPr>
          <w:lang w:val="en-US"/>
        </w:rPr>
        <w:t>In 2001</w:t>
      </w:r>
      <w:r w:rsidRPr="007934D5">
        <w:rPr>
          <w:lang w:val="en-US"/>
        </w:rPr>
        <w:t>,</w:t>
      </w:r>
      <w:r>
        <w:rPr>
          <w:lang w:val="en-US"/>
        </w:rPr>
        <w:t xml:space="preserve"> the European exchange Euronext</w:t>
      </w:r>
      <w:r w:rsidRPr="007934D5">
        <w:rPr>
          <w:lang w:val="en-US"/>
        </w:rPr>
        <w:t xml:space="preserve"> </w:t>
      </w:r>
      <w:r>
        <w:rPr>
          <w:lang w:val="en-US"/>
        </w:rPr>
        <w:t>comprised</w:t>
      </w:r>
      <w:r w:rsidRPr="007934D5">
        <w:rPr>
          <w:lang w:val="en-US"/>
        </w:rPr>
        <w:t xml:space="preserve"> the former exchanges of </w:t>
      </w:r>
      <w:smartTag w:uri="urn:schemas-microsoft-com:office:smarttags" w:element="City">
        <w:r w:rsidRPr="007934D5">
          <w:rPr>
            <w:lang w:val="en-US"/>
          </w:rPr>
          <w:t>Amsterdam</w:t>
        </w:r>
      </w:smartTag>
      <w:r w:rsidRPr="007934D5">
        <w:rPr>
          <w:lang w:val="en-US"/>
        </w:rPr>
        <w:t xml:space="preserve">, </w:t>
      </w:r>
      <w:smartTag w:uri="urn:schemas-microsoft-com:office:smarttags" w:element="City">
        <w:r w:rsidRPr="007934D5">
          <w:rPr>
            <w:lang w:val="en-US"/>
          </w:rPr>
          <w:t>Brussels</w:t>
        </w:r>
      </w:smartTag>
      <w:r w:rsidRPr="007934D5">
        <w:rPr>
          <w:lang w:val="en-US"/>
        </w:rPr>
        <w:t>,</w:t>
      </w:r>
      <w:r>
        <w:rPr>
          <w:lang w:val="en-US"/>
        </w:rPr>
        <w:t xml:space="preserve"> and </w:t>
      </w:r>
      <w:smartTag w:uri="urn:schemas-microsoft-com:office:smarttags" w:element="place">
        <w:smartTag w:uri="urn:schemas-microsoft-com:office:smarttags" w:element="City">
          <w:r w:rsidRPr="007934D5">
            <w:rPr>
              <w:lang w:val="en-US"/>
            </w:rPr>
            <w:t>Paris</w:t>
          </w:r>
        </w:smartTag>
      </w:smartTag>
      <w:r w:rsidRPr="007934D5">
        <w:rPr>
          <w:lang w:val="en-US"/>
        </w:rPr>
        <w:t>.</w:t>
      </w:r>
      <w:r>
        <w:rPr>
          <w:lang w:val="en-US"/>
        </w:rPr>
        <w:t xml:space="preserve"> It then took over the Portuguese exchanges of Porto and </w:t>
      </w:r>
      <w:smartTag w:uri="urn:schemas-microsoft-com:office:smarttags" w:element="place">
        <w:smartTag w:uri="urn:schemas-microsoft-com:office:smarttags" w:element="City">
          <w:r>
            <w:rPr>
              <w:lang w:val="en-US"/>
            </w:rPr>
            <w:t>Lisbon</w:t>
          </w:r>
        </w:smartTag>
      </w:smartTag>
      <w:r>
        <w:rPr>
          <w:lang w:val="en-US"/>
        </w:rPr>
        <w:t>. More recently, in 2007, it merged with the NYSE and is now a subsidiary of the transatlantic group Nyse-Euronext.</w:t>
      </w:r>
    </w:p>
  </w:footnote>
  <w:footnote w:id="4">
    <w:p w:rsidR="002E6636" w:rsidRPr="00983A7C" w:rsidRDefault="002E6636" w:rsidP="009C42CC">
      <w:pPr>
        <w:pStyle w:val="Notedebasdepage"/>
      </w:pPr>
      <w:r>
        <w:rPr>
          <w:rStyle w:val="Appelnotedebasdep"/>
        </w:rPr>
        <w:footnoteRef/>
      </w:r>
      <w:r>
        <w:t xml:space="preserve"> ETFs were first introduced on the Toronto Stock Exchange in March 1990 with the creation of TIPS (</w:t>
      </w:r>
      <w:r w:rsidRPr="00A44475">
        <w:t xml:space="preserve">Toronto </w:t>
      </w:r>
      <w:r>
        <w:t xml:space="preserve">35 </w:t>
      </w:r>
      <w:r w:rsidRPr="00A44475">
        <w:t xml:space="preserve">Index Participation </w:t>
      </w:r>
      <w:r>
        <w:t>units).</w:t>
      </w:r>
      <w:r w:rsidRPr="004F1285">
        <w:t xml:space="preserve"> </w:t>
      </w:r>
      <w:r>
        <w:t xml:space="preserve"> This was </w:t>
      </w:r>
      <w:r w:rsidRPr="00A44475">
        <w:t xml:space="preserve">followed in 1993 </w:t>
      </w:r>
      <w:r>
        <w:t xml:space="preserve">by the inception of the SPY which replicates the S&amp;P 500 </w:t>
      </w:r>
      <w:r w:rsidRPr="00A44475">
        <w:t>on the A</w:t>
      </w:r>
      <w:r>
        <w:t>MEX</w:t>
      </w:r>
      <w:r w:rsidRPr="00A44475">
        <w:t>.</w:t>
      </w:r>
      <w:r>
        <w:t xml:space="preserve">  Currently, t</w:t>
      </w:r>
      <w:r w:rsidRPr="00A44475">
        <w:t>he three most active ETF</w:t>
      </w:r>
      <w:r>
        <w:t>s</w:t>
      </w:r>
      <w:r w:rsidRPr="00A44475">
        <w:t xml:space="preserve"> are the SPY, </w:t>
      </w:r>
      <w:r>
        <w:t xml:space="preserve">the </w:t>
      </w:r>
      <w:r w:rsidRPr="00A44475">
        <w:t>QQQ</w:t>
      </w:r>
      <w:r>
        <w:t xml:space="preserve"> which replicates the Nasdaq 100,</w:t>
      </w:r>
      <w:r w:rsidRPr="00A44475">
        <w:t xml:space="preserve"> and the DIA</w:t>
      </w:r>
      <w:r>
        <w:t xml:space="preserve"> which tracks the DJIA 30.</w:t>
      </w:r>
    </w:p>
  </w:footnote>
  <w:footnote w:id="5">
    <w:p w:rsidR="002E6636" w:rsidRPr="003E4302" w:rsidRDefault="002E6636" w:rsidP="009C42CC">
      <w:pPr>
        <w:pStyle w:val="Notedebasdepage"/>
      </w:pPr>
      <w:r>
        <w:rPr>
          <w:rStyle w:val="Appelnotedebasdep"/>
        </w:rPr>
        <w:footnoteRef/>
      </w:r>
      <w:r>
        <w:t xml:space="preserve"> At each review date, the companies listed on Euronext Paris are ranked according to their free float capitalization and turnover over the last twelve months.  From the top 100 companies in that ranking, forty are chosen to enter the CAC 40 in order to make it “a relevant benchmark for portfolio management” and “a suitable underlying asset for derivative products.”</w:t>
      </w:r>
    </w:p>
  </w:footnote>
  <w:footnote w:id="6">
    <w:p w:rsidR="002E6636" w:rsidRPr="000F3BA3" w:rsidRDefault="002E6636" w:rsidP="009C42CC">
      <w:pPr>
        <w:pStyle w:val="Notedebasdepage"/>
      </w:pPr>
      <w:r w:rsidRPr="000F3BA3">
        <w:rPr>
          <w:rStyle w:val="Appelnotedebasdep"/>
        </w:rPr>
        <w:footnoteRef/>
      </w:r>
      <w:r w:rsidRPr="000F3BA3">
        <w:t xml:space="preserve"> NYSE Liffe is the global derivatives business of the NYSE Euronext group.</w:t>
      </w:r>
    </w:p>
  </w:footnote>
  <w:footnote w:id="7">
    <w:p w:rsidR="002E6636" w:rsidRDefault="002E6636" w:rsidP="009C42CC">
      <w:pPr>
        <w:pStyle w:val="Notedebasdepage"/>
        <w:rPr>
          <w:lang w:val="en-US"/>
        </w:rPr>
      </w:pPr>
      <w:r w:rsidRPr="000F3BA3">
        <w:rPr>
          <w:rStyle w:val="Appelnotedebasdep"/>
          <w:vertAlign w:val="baseline"/>
        </w:rPr>
        <w:footnoteRef/>
      </w:r>
      <w:r w:rsidRPr="000F3BA3">
        <w:t xml:space="preserve"> UCITS (Undertakings </w:t>
      </w:r>
      <w:r w:rsidRPr="000F3BA3">
        <w:rPr>
          <w:bCs/>
          <w:iCs/>
        </w:rPr>
        <w:t xml:space="preserve">for Collective Investment in Transferable Securities) </w:t>
      </w:r>
      <w:r w:rsidRPr="000F3BA3">
        <w:t>are a set of European Union (EU)</w:t>
      </w:r>
      <w:r w:rsidRPr="000F2A8D">
        <w:t xml:space="preserve"> </w:t>
      </w:r>
      <w:r w:rsidRPr="000F3BA3">
        <w:t xml:space="preserve">directives that aim to allow </w:t>
      </w:r>
      <w:hyperlink r:id="rId1" w:tooltip="Collective investment scheme" w:history="1">
        <w:r w:rsidRPr="000F3BA3">
          <w:t>collective investment schemes</w:t>
        </w:r>
      </w:hyperlink>
      <w:r w:rsidRPr="000F3BA3">
        <w:t xml:space="preserve"> to operate freely throughout the </w:t>
      </w:r>
      <w:r>
        <w:t xml:space="preserve">EU </w:t>
      </w:r>
      <w:r w:rsidRPr="000F2A8D">
        <w:t xml:space="preserve">on the basis of a single authorisation from </w:t>
      </w:r>
      <w:r w:rsidRPr="000F3BA3">
        <w:t xml:space="preserve">one </w:t>
      </w:r>
      <w:hyperlink r:id="rId2" w:tooltip="List of European Union member states" w:history="1">
        <w:r w:rsidRPr="000F3BA3">
          <w:t>member state</w:t>
        </w:r>
      </w:hyperlink>
      <w:r w:rsidRPr="000F2A8D">
        <w:t>.</w:t>
      </w:r>
      <w:r w:rsidRPr="00170564">
        <w:t xml:space="preserve"> </w:t>
      </w:r>
      <w:r w:rsidRPr="000F2A8D">
        <w:rPr>
          <w:bCs/>
          <w:lang w:val="en-US"/>
        </w:rPr>
        <w:t>UCITS rules apply to funds marketed to retail investors.</w:t>
      </w:r>
    </w:p>
  </w:footnote>
  <w:footnote w:id="8">
    <w:p w:rsidR="002E6636" w:rsidRPr="00D805B1" w:rsidRDefault="002E6636" w:rsidP="009C42CC">
      <w:pPr>
        <w:pStyle w:val="Notedebasdepage"/>
      </w:pPr>
      <w:r>
        <w:rPr>
          <w:rStyle w:val="Appelnotedebasdep"/>
        </w:rPr>
        <w:footnoteRef/>
      </w:r>
      <w:r>
        <w:t xml:space="preserve"> See Paul </w:t>
      </w:r>
      <w:r w:rsidRPr="00D805B1">
        <w:t xml:space="preserve">Amery (2008) </w:t>
      </w:r>
      <w:r>
        <w:t>‘</w:t>
      </w:r>
      <w:r w:rsidRPr="00D805B1">
        <w:t xml:space="preserve">More on counterparty </w:t>
      </w:r>
      <w:r>
        <w:t>r</w:t>
      </w:r>
      <w:r w:rsidRPr="00D805B1">
        <w:t>isk (swap-based ETFs)</w:t>
      </w:r>
      <w:r>
        <w:t>’,</w:t>
      </w:r>
      <w:r w:rsidRPr="00D805B1">
        <w:t xml:space="preserve"> www.indexuniverse.eu.</w:t>
      </w:r>
    </w:p>
  </w:footnote>
  <w:footnote w:id="9">
    <w:p w:rsidR="002E6636" w:rsidRPr="00F95047" w:rsidRDefault="002E6636" w:rsidP="009C42CC">
      <w:pPr>
        <w:pStyle w:val="Notedebasdepage"/>
        <w:rPr>
          <w:lang w:val="fr-FR"/>
        </w:rPr>
      </w:pPr>
      <w:r>
        <w:rPr>
          <w:rStyle w:val="Appelnotedebasdep"/>
        </w:rPr>
        <w:footnoteRef/>
      </w:r>
      <w:r w:rsidRPr="00F95047">
        <w:rPr>
          <w:lang w:val="fr-FR"/>
        </w:rPr>
        <w:t xml:space="preserve"> </w:t>
      </w:r>
      <w:r>
        <w:rPr>
          <w:lang w:val="fr-FR"/>
        </w:rPr>
        <w:t xml:space="preserve">See </w:t>
      </w:r>
      <w:r w:rsidRPr="00F95047">
        <w:rPr>
          <w:lang w:val="fr-FR"/>
        </w:rPr>
        <w:t>Lyxor ETF CAC 40 (2010), FCP – Rapport annuel, exercice clos le 30/07/2010.</w:t>
      </w:r>
    </w:p>
  </w:footnote>
  <w:footnote w:id="10">
    <w:p w:rsidR="002E6636" w:rsidRPr="00F9465B" w:rsidRDefault="002E6636">
      <w:pPr>
        <w:pStyle w:val="Notedebasdepage"/>
      </w:pPr>
      <w:r>
        <w:rPr>
          <w:rStyle w:val="Appelnotedebasdep"/>
        </w:rPr>
        <w:footnoteRef/>
      </w:r>
      <w:r>
        <w:t xml:space="preserve"> The tracking error never exceeds 1%.</w:t>
      </w:r>
    </w:p>
  </w:footnote>
  <w:footnote w:id="11">
    <w:p w:rsidR="002E6636" w:rsidRPr="00461594" w:rsidRDefault="002E6636">
      <w:pPr>
        <w:pStyle w:val="Notedebasdepage"/>
      </w:pPr>
      <w:r>
        <w:rPr>
          <w:rStyle w:val="Appelnotedebasdep"/>
        </w:rPr>
        <w:footnoteRef/>
      </w:r>
      <w:r>
        <w:t xml:space="preserve"> While significant, volumes traded in the primary market remain very small in comparison with trading volumes in the secondary market.</w:t>
      </w:r>
    </w:p>
  </w:footnote>
  <w:footnote w:id="12">
    <w:p w:rsidR="002E6636" w:rsidRDefault="002E6636" w:rsidP="009C42CC">
      <w:pPr>
        <w:pStyle w:val="Notedebasdepage"/>
        <w:rPr>
          <w:lang w:val="en-US"/>
        </w:rPr>
      </w:pPr>
      <w:r>
        <w:rPr>
          <w:rStyle w:val="Appelnotedebasdep"/>
        </w:rPr>
        <w:footnoteRef/>
      </w:r>
      <w:r>
        <w:t xml:space="preserve"> </w:t>
      </w:r>
      <w:r w:rsidRPr="000F3BA3">
        <w:t xml:space="preserve">The </w:t>
      </w:r>
      <w:proofErr w:type="spellStart"/>
      <w:r w:rsidRPr="000F3BA3">
        <w:rPr>
          <w:bCs/>
        </w:rPr>
        <w:t>MiFID</w:t>
      </w:r>
      <w:proofErr w:type="spellEnd"/>
      <w:r w:rsidRPr="000F3BA3">
        <w:t xml:space="preserve"> is a European Union law which provides a </w:t>
      </w:r>
      <w:r w:rsidR="00F25FCF" w:rsidRPr="000F3BA3">
        <w:t>harmoni</w:t>
      </w:r>
      <w:r w:rsidR="00F25FCF">
        <w:t>z</w:t>
      </w:r>
      <w:r w:rsidR="00F25FCF" w:rsidRPr="000F3BA3">
        <w:t xml:space="preserve">ed </w:t>
      </w:r>
      <w:r w:rsidRPr="000F3BA3">
        <w:t xml:space="preserve">regulatory regime for investment services across the 30 member states of the </w:t>
      </w:r>
      <w:hyperlink r:id="rId3" w:tooltip="European Economic Area" w:history="1">
        <w:r w:rsidRPr="000F3BA3">
          <w:rPr>
            <w:rStyle w:val="Lienhypertexte"/>
            <w:color w:val="auto"/>
            <w:u w:val="none"/>
          </w:rPr>
          <w:t>European Economic Area</w:t>
        </w:r>
      </w:hyperlink>
      <w:r w:rsidRPr="000F3BA3">
        <w:t xml:space="preserve"> (the 27 Member States of the </w:t>
      </w:r>
      <w:hyperlink r:id="rId4" w:tooltip="European Union" w:history="1">
        <w:r w:rsidRPr="000F3BA3">
          <w:rPr>
            <w:rStyle w:val="Lienhypertexte"/>
            <w:color w:val="auto"/>
            <w:u w:val="none"/>
          </w:rPr>
          <w:t>European Union</w:t>
        </w:r>
      </w:hyperlink>
      <w:r w:rsidRPr="000F3BA3">
        <w:t xml:space="preserve"> plus Iceland, Norway and Liechtenstein). The main objectives of the Directive are to increase competition and consumer protection in investment services. As of November 1 2007, it replaced the Investment Services Directive.</w:t>
      </w:r>
    </w:p>
  </w:footnote>
  <w:footnote w:id="13">
    <w:p w:rsidR="002E6636" w:rsidRPr="005B6582" w:rsidRDefault="002E6636" w:rsidP="009C42CC">
      <w:pPr>
        <w:pStyle w:val="Notedebasdepage"/>
      </w:pPr>
      <w:r>
        <w:rPr>
          <w:rStyle w:val="Appelnotedebasdep"/>
        </w:rPr>
        <w:footnoteRef/>
      </w:r>
      <w:r>
        <w:t xml:space="preserve"> </w:t>
      </w:r>
      <w:r w:rsidRPr="004A7E18">
        <w:rPr>
          <w:lang w:val="en-US"/>
        </w:rPr>
        <w:t>A note describing</w:t>
      </w:r>
      <w:r>
        <w:rPr>
          <w:lang w:val="en-US"/>
        </w:rPr>
        <w:t xml:space="preserve"> </w:t>
      </w:r>
      <w:r w:rsidRPr="004A7E18">
        <w:rPr>
          <w:lang w:val="en-US"/>
        </w:rPr>
        <w:t>the methodology applied to build the limit</w:t>
      </w:r>
      <w:r>
        <w:rPr>
          <w:lang w:val="en-US"/>
        </w:rPr>
        <w:t>-</w:t>
      </w:r>
      <w:r w:rsidRPr="004A7E18">
        <w:rPr>
          <w:lang w:val="en-US"/>
        </w:rPr>
        <w:t>order book from</w:t>
      </w:r>
      <w:r>
        <w:rPr>
          <w:lang w:val="en-US"/>
        </w:rPr>
        <w:t xml:space="preserve"> </w:t>
      </w:r>
      <w:r w:rsidRPr="004A7E18">
        <w:rPr>
          <w:lang w:val="en-US"/>
        </w:rPr>
        <w:t>Euronext order and trade files is available on request.</w:t>
      </w:r>
      <w:r>
        <w:rPr>
          <w:lang w:val="en-US"/>
        </w:rPr>
        <w:t xml:space="preserve">  The analysis performed in this section relies on the availability of such detailed data, which in turn justifies the choice of this particular period.</w:t>
      </w:r>
    </w:p>
  </w:footnote>
  <w:footnote w:id="14">
    <w:p w:rsidR="002E6636" w:rsidRPr="00976D09" w:rsidRDefault="002E6636" w:rsidP="009C42CC">
      <w:pPr>
        <w:pStyle w:val="Notedebasdepage"/>
        <w:rPr>
          <w:lang w:val="en-US"/>
        </w:rPr>
      </w:pPr>
      <w:r>
        <w:rPr>
          <w:rStyle w:val="Appelnotedebasdep"/>
        </w:rPr>
        <w:footnoteRef/>
      </w:r>
      <w:r>
        <w:t xml:space="preserve"> </w:t>
      </w:r>
      <w:r w:rsidRPr="00976D09">
        <w:rPr>
          <w:lang w:val="en-US"/>
        </w:rPr>
        <w:t>On Euronext and Next</w:t>
      </w:r>
      <w:r>
        <w:rPr>
          <w:lang w:val="en-US"/>
        </w:rPr>
        <w:t>T</w:t>
      </w:r>
      <w:r w:rsidRPr="00976D09">
        <w:rPr>
          <w:lang w:val="en-US"/>
        </w:rPr>
        <w:t xml:space="preserve">rack, hidden orders are allowed and undisclosed depth is likely to lower this cost compared with </w:t>
      </w:r>
      <w:r>
        <w:rPr>
          <w:lang w:val="en-US"/>
        </w:rPr>
        <w:t xml:space="preserve">the cost that might be </w:t>
      </w:r>
      <w:r w:rsidRPr="00976D09">
        <w:rPr>
          <w:lang w:val="en-US"/>
        </w:rPr>
        <w:t>expect</w:t>
      </w:r>
      <w:r>
        <w:rPr>
          <w:lang w:val="en-US"/>
        </w:rPr>
        <w:t>ed</w:t>
      </w:r>
      <w:r w:rsidRPr="00976D09">
        <w:rPr>
          <w:lang w:val="en-US"/>
        </w:rPr>
        <w:t xml:space="preserve"> from </w:t>
      </w:r>
      <w:r>
        <w:rPr>
          <w:lang w:val="en-US"/>
        </w:rPr>
        <w:t xml:space="preserve">the </w:t>
      </w:r>
      <w:r w:rsidRPr="00976D09">
        <w:rPr>
          <w:lang w:val="en-US"/>
        </w:rPr>
        <w:t>depth</w:t>
      </w:r>
      <w:r>
        <w:rPr>
          <w:lang w:val="en-US"/>
        </w:rPr>
        <w:t xml:space="preserve"> displayed on the screens.</w:t>
      </w:r>
    </w:p>
  </w:footnote>
  <w:footnote w:id="15">
    <w:p w:rsidR="002E6636" w:rsidRPr="007E17F9" w:rsidRDefault="002E6636" w:rsidP="009C42CC">
      <w:pPr>
        <w:pStyle w:val="Notedebasdepage"/>
      </w:pPr>
      <w:r>
        <w:rPr>
          <w:rStyle w:val="Appelnotedebasdep"/>
        </w:rPr>
        <w:footnoteRef/>
      </w:r>
      <w:r w:rsidRPr="007E17F9">
        <w:t xml:space="preserve"> </w:t>
      </w:r>
      <w:r w:rsidRPr="004E2F9C">
        <w:rPr>
          <w:lang w:val="en-US"/>
        </w:rPr>
        <w:t xml:space="preserve">This </w:t>
      </w:r>
      <w:r>
        <w:rPr>
          <w:lang w:val="en-US"/>
        </w:rPr>
        <w:t>result</w:t>
      </w:r>
      <w:r w:rsidRPr="004E2F9C">
        <w:rPr>
          <w:lang w:val="en-US"/>
        </w:rPr>
        <w:t xml:space="preserve"> is </w:t>
      </w:r>
      <w:r>
        <w:rPr>
          <w:lang w:val="en-US"/>
        </w:rPr>
        <w:t>actually downward biased, since,</w:t>
      </w:r>
      <w:r w:rsidRPr="004E2F9C">
        <w:rPr>
          <w:lang w:val="en-US"/>
        </w:rPr>
        <w:t xml:space="preserve"> </w:t>
      </w:r>
      <w:r>
        <w:rPr>
          <w:lang w:val="en-US"/>
        </w:rPr>
        <w:t>for some</w:t>
      </w:r>
      <w:r w:rsidRPr="004E2F9C">
        <w:rPr>
          <w:lang w:val="en-US"/>
        </w:rPr>
        <w:t xml:space="preserve"> </w:t>
      </w:r>
      <w:r>
        <w:rPr>
          <w:lang w:val="en-US"/>
        </w:rPr>
        <w:t>states of the order book, CRTs</w:t>
      </w:r>
      <w:r w:rsidRPr="004E2F9C">
        <w:rPr>
          <w:lang w:val="en-US"/>
        </w:rPr>
        <w:t xml:space="preserve"> were not computed because the </w:t>
      </w:r>
      <w:r>
        <w:rPr>
          <w:lang w:val="en-US"/>
        </w:rPr>
        <w:t>five</w:t>
      </w:r>
      <w:r w:rsidRPr="004E2F9C">
        <w:rPr>
          <w:lang w:val="en-US"/>
        </w:rPr>
        <w:t xml:space="preserve"> best limits were </w:t>
      </w:r>
      <w:r>
        <w:rPr>
          <w:lang w:val="en-US"/>
        </w:rPr>
        <w:t>in</w:t>
      </w:r>
      <w:r w:rsidRPr="004E2F9C">
        <w:rPr>
          <w:lang w:val="en-US"/>
        </w:rPr>
        <w:t xml:space="preserve">sufficient </w:t>
      </w:r>
      <w:r>
        <w:rPr>
          <w:lang w:val="en-US"/>
        </w:rPr>
        <w:t xml:space="preserve">for </w:t>
      </w:r>
      <w:r w:rsidRPr="004E2F9C">
        <w:rPr>
          <w:lang w:val="en-US"/>
        </w:rPr>
        <w:t>trad</w:t>
      </w:r>
      <w:r>
        <w:rPr>
          <w:lang w:val="en-US"/>
        </w:rPr>
        <w:t>ing</w:t>
      </w:r>
      <w:r w:rsidRPr="004E2F9C">
        <w:rPr>
          <w:lang w:val="en-US"/>
        </w:rPr>
        <w:t xml:space="preserve"> 5</w:t>
      </w:r>
      <w:r>
        <w:rPr>
          <w:lang w:val="en-US"/>
        </w:rPr>
        <w:t>,</w:t>
      </w:r>
      <w:r w:rsidRPr="004E2F9C">
        <w:rPr>
          <w:lang w:val="en-US"/>
        </w:rPr>
        <w:t>000 or 50</w:t>
      </w:r>
      <w:r>
        <w:rPr>
          <w:lang w:val="en-US"/>
        </w:rPr>
        <w:t>,</w:t>
      </w:r>
      <w:r w:rsidRPr="004E2F9C">
        <w:rPr>
          <w:lang w:val="en-US"/>
        </w:rPr>
        <w:t>000 shares.</w:t>
      </w:r>
    </w:p>
  </w:footnote>
  <w:footnote w:id="16">
    <w:p w:rsidR="002E6636" w:rsidRPr="00E307A0" w:rsidRDefault="002E6636">
      <w:pPr>
        <w:pStyle w:val="Notedebasdepage"/>
      </w:pPr>
      <w:r>
        <w:rPr>
          <w:rStyle w:val="Appelnotedebasdep"/>
        </w:rPr>
        <w:footnoteRef/>
      </w:r>
      <w:r>
        <w:t xml:space="preserve"> In </w:t>
      </w:r>
      <w:proofErr w:type="spellStart"/>
      <w:r>
        <w:t>Subrahmanyam’s</w:t>
      </w:r>
      <w:proofErr w:type="spellEnd"/>
      <w:r>
        <w:t xml:space="preserve"> model, it is profitable for informed traders with specific private information to submit orders in the index market because “possessing information about a security is tantamount to possessing noisy information about the basket”.  The greater the weight of the security in the index, the most profitable the specific-information based order in the index market.  For that reason, for large index components, the increase in adverse selection costs due to the diversion of liquidity traders from the security market to the index market may be mitigated by the diversion of a part of the security-specific informed demand to the index market.  As a result, the increase in adverse selection costs is predicted to be more strongly evident for small index components than for large ones.</w:t>
      </w:r>
    </w:p>
  </w:footnote>
  <w:footnote w:id="17">
    <w:p w:rsidR="002E6636" w:rsidRPr="00D96936" w:rsidRDefault="002E6636" w:rsidP="00650AEA">
      <w:pPr>
        <w:pStyle w:val="Notedebasdepage"/>
        <w:rPr>
          <w:lang w:val="en-US"/>
        </w:rPr>
      </w:pPr>
      <w:r>
        <w:rPr>
          <w:rStyle w:val="Appelnotedebasdep"/>
        </w:rPr>
        <w:footnoteRef/>
      </w:r>
      <w:r w:rsidRPr="00D96936">
        <w:rPr>
          <w:lang w:val="en-US"/>
        </w:rPr>
        <w:t xml:space="preserve"> A minimum </w:t>
      </w:r>
      <w:r>
        <w:rPr>
          <w:lang w:val="en-US"/>
        </w:rPr>
        <w:t xml:space="preserve">number </w:t>
      </w:r>
      <w:r w:rsidRPr="00D96936">
        <w:rPr>
          <w:lang w:val="en-US"/>
        </w:rPr>
        <w:t xml:space="preserve">of 50,000 units </w:t>
      </w:r>
      <w:proofErr w:type="gramStart"/>
      <w:r w:rsidRPr="00D96936">
        <w:rPr>
          <w:lang w:val="en-US"/>
        </w:rPr>
        <w:t>is</w:t>
      </w:r>
      <w:proofErr w:type="gramEnd"/>
      <w:r w:rsidRPr="00D96936">
        <w:rPr>
          <w:lang w:val="en-US"/>
        </w:rPr>
        <w:t xml:space="preserve"> required to </w:t>
      </w:r>
      <w:r>
        <w:rPr>
          <w:lang w:val="en-US"/>
        </w:rPr>
        <w:t>create or redeem</w:t>
      </w:r>
      <w:r w:rsidRPr="00D96936">
        <w:rPr>
          <w:lang w:val="en-US"/>
        </w:rPr>
        <w:t xml:space="preserve"> </w:t>
      </w:r>
      <w:r>
        <w:rPr>
          <w:lang w:val="en-US"/>
        </w:rPr>
        <w:t xml:space="preserve">ETF </w:t>
      </w:r>
      <w:r w:rsidRPr="00D96936">
        <w:rPr>
          <w:lang w:val="en-US"/>
        </w:rPr>
        <w:t>share</w:t>
      </w:r>
      <w:r>
        <w:rPr>
          <w:lang w:val="en-US"/>
        </w:rPr>
        <w:t>s</w:t>
      </w:r>
      <w:r w:rsidRPr="00D96936">
        <w:rPr>
          <w:lang w:val="en-US"/>
        </w:rPr>
        <w:t xml:space="preserve">. </w:t>
      </w:r>
      <w:r>
        <w:rPr>
          <w:lang w:val="en-US"/>
        </w:rPr>
        <w:t xml:space="preserve"> Each subscription request is charged €10,000.</w:t>
      </w:r>
    </w:p>
  </w:footnote>
  <w:footnote w:id="18">
    <w:p w:rsidR="002E6636" w:rsidRPr="00BC714A" w:rsidRDefault="002E6636" w:rsidP="004E68AA">
      <w:pPr>
        <w:pStyle w:val="Notedebasdepage"/>
        <w:rPr>
          <w:lang w:val="en-US"/>
        </w:rPr>
      </w:pPr>
      <w:r>
        <w:rPr>
          <w:rStyle w:val="Appelnotedebasdep"/>
        </w:rPr>
        <w:footnoteRef/>
      </w:r>
      <w:r>
        <w:t xml:space="preserve"> Huang and Stoll</w:t>
      </w:r>
      <w:r w:rsidRPr="003F1C25">
        <w:rPr>
          <w:lang w:val="en-US"/>
        </w:rPr>
        <w:t>’s</w:t>
      </w:r>
      <w:r>
        <w:t xml:space="preserve"> (1997) two- and three-factor spread decomposition models were also tested, but we experienced convergence problems for some stocks. Thus an average coefficient across stocks could not be computed.</w:t>
      </w:r>
    </w:p>
  </w:footnote>
  <w:footnote w:id="19">
    <w:p w:rsidR="002E6636" w:rsidRPr="001A18B8" w:rsidRDefault="002E6636">
      <w:pPr>
        <w:pStyle w:val="Notedebasdepage"/>
      </w:pPr>
      <w:r>
        <w:rPr>
          <w:rStyle w:val="Appelnotedebasdep"/>
        </w:rPr>
        <w:footnoteRef/>
      </w:r>
      <w:r>
        <w:t xml:space="preserve"> </w:t>
      </w:r>
      <w:r w:rsidR="00C41698">
        <w:t>First, d</w:t>
      </w:r>
      <w:r>
        <w:t xml:space="preserve">ue to some missing values, the series of variance ratios are unbalanced, so that the Parks method cannot be implemented.  </w:t>
      </w:r>
      <w:r w:rsidR="00C41698">
        <w:t xml:space="preserve">Second, </w:t>
      </w:r>
      <w:r w:rsidR="00C41698">
        <w:t>i</w:t>
      </w:r>
      <w:bookmarkStart w:id="0" w:name="_GoBack"/>
      <w:bookmarkEnd w:id="0"/>
      <w:r>
        <w:t xml:space="preserve">ncluding an auto-correlation term in the regressions of variance ratios is unnecessary as these ratios are not significantly auto-correlated from day to day.  </w:t>
      </w:r>
      <w:r w:rsidR="00C41698">
        <w:t xml:space="preserve">Further, </w:t>
      </w:r>
      <w:proofErr w:type="spellStart"/>
      <w:r w:rsidR="00476247">
        <w:t>Hausman</w:t>
      </w:r>
      <w:proofErr w:type="spellEnd"/>
      <w:r w:rsidR="00476247">
        <w:t xml:space="preserve"> tests lead to reject the random-effects hypothesis.  </w:t>
      </w:r>
      <w:r>
        <w:t xml:space="preserve">For those reasons, we chose to run </w:t>
      </w:r>
      <w:r w:rsidR="00476247">
        <w:t>one-fixed-effect</w:t>
      </w:r>
      <w:r w:rsidR="00C41698">
        <w:t xml:space="preserve"> regressions.</w:t>
      </w:r>
    </w:p>
  </w:footnote>
  <w:footnote w:id="20">
    <w:p w:rsidR="002E6636" w:rsidRPr="00F85EB6" w:rsidRDefault="002E6636">
      <w:pPr>
        <w:pStyle w:val="Notedebasdepage"/>
        <w:rPr>
          <w:lang w:val="en-US"/>
        </w:rPr>
      </w:pPr>
      <w:r>
        <w:rPr>
          <w:rStyle w:val="Appelnotedebasdep"/>
        </w:rPr>
        <w:footnoteRef/>
      </w:r>
      <w:r>
        <w:t xml:space="preserve"> </w:t>
      </w:r>
      <w:r w:rsidRPr="00F85EB6">
        <w:rPr>
          <w:lang w:val="en-US"/>
        </w:rPr>
        <w:t>This term is reduced to a white noise with no auto-correlation in the regressions of variance ratios.</w:t>
      </w:r>
      <w:r>
        <w:rPr>
          <w:lang w:val="en-US"/>
        </w:rPr>
        <w:t xml:space="preserve"> In addition, the variance-ratio regressions include </w:t>
      </w:r>
      <w:r w:rsidR="00476247">
        <w:rPr>
          <w:lang w:val="en-US"/>
        </w:rPr>
        <w:t>a</w:t>
      </w:r>
      <w:r>
        <w:rPr>
          <w:lang w:val="en-US"/>
        </w:rPr>
        <w:t xml:space="preserve"> </w:t>
      </w:r>
      <w:r w:rsidR="00476247">
        <w:rPr>
          <w:lang w:val="en-US"/>
        </w:rPr>
        <w:t>stock fixed effect</w:t>
      </w:r>
      <w:r>
        <w:rPr>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DE3D3A"/>
    <w:lvl w:ilvl="0">
      <w:start w:val="1"/>
      <w:numFmt w:val="decimal"/>
      <w:lvlText w:val="%1."/>
      <w:lvlJc w:val="left"/>
      <w:pPr>
        <w:tabs>
          <w:tab w:val="num" w:pos="1492"/>
        </w:tabs>
        <w:ind w:left="1492" w:hanging="360"/>
      </w:pPr>
    </w:lvl>
  </w:abstractNum>
  <w:abstractNum w:abstractNumId="1">
    <w:nsid w:val="FFFFFF7D"/>
    <w:multiLevelType w:val="singleLevel"/>
    <w:tmpl w:val="F9BC61E6"/>
    <w:lvl w:ilvl="0">
      <w:start w:val="1"/>
      <w:numFmt w:val="decimal"/>
      <w:lvlText w:val="%1."/>
      <w:lvlJc w:val="left"/>
      <w:pPr>
        <w:tabs>
          <w:tab w:val="num" w:pos="1209"/>
        </w:tabs>
        <w:ind w:left="1209" w:hanging="360"/>
      </w:pPr>
    </w:lvl>
  </w:abstractNum>
  <w:abstractNum w:abstractNumId="2">
    <w:nsid w:val="FFFFFF7E"/>
    <w:multiLevelType w:val="singleLevel"/>
    <w:tmpl w:val="0DF4A4FC"/>
    <w:lvl w:ilvl="0">
      <w:start w:val="1"/>
      <w:numFmt w:val="decimal"/>
      <w:lvlText w:val="%1."/>
      <w:lvlJc w:val="left"/>
      <w:pPr>
        <w:tabs>
          <w:tab w:val="num" w:pos="926"/>
        </w:tabs>
        <w:ind w:left="926" w:hanging="360"/>
      </w:pPr>
    </w:lvl>
  </w:abstractNum>
  <w:abstractNum w:abstractNumId="3">
    <w:nsid w:val="FFFFFF7F"/>
    <w:multiLevelType w:val="singleLevel"/>
    <w:tmpl w:val="D5BC2132"/>
    <w:lvl w:ilvl="0">
      <w:start w:val="1"/>
      <w:numFmt w:val="decimal"/>
      <w:lvlText w:val="%1."/>
      <w:lvlJc w:val="left"/>
      <w:pPr>
        <w:tabs>
          <w:tab w:val="num" w:pos="643"/>
        </w:tabs>
        <w:ind w:left="643" w:hanging="360"/>
      </w:pPr>
    </w:lvl>
  </w:abstractNum>
  <w:abstractNum w:abstractNumId="4">
    <w:nsid w:val="FFFFFF80"/>
    <w:multiLevelType w:val="singleLevel"/>
    <w:tmpl w:val="6D7ED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5E1F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76A88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886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7CE68C"/>
    <w:lvl w:ilvl="0">
      <w:start w:val="1"/>
      <w:numFmt w:val="decimal"/>
      <w:lvlText w:val="%1."/>
      <w:lvlJc w:val="left"/>
      <w:pPr>
        <w:tabs>
          <w:tab w:val="num" w:pos="360"/>
        </w:tabs>
        <w:ind w:left="360" w:hanging="360"/>
      </w:pPr>
    </w:lvl>
  </w:abstractNum>
  <w:abstractNum w:abstractNumId="9">
    <w:nsid w:val="FFFFFF89"/>
    <w:multiLevelType w:val="singleLevel"/>
    <w:tmpl w:val="CBA64A34"/>
    <w:lvl w:ilvl="0">
      <w:start w:val="1"/>
      <w:numFmt w:val="bullet"/>
      <w:lvlText w:val=""/>
      <w:lvlJc w:val="left"/>
      <w:pPr>
        <w:tabs>
          <w:tab w:val="num" w:pos="360"/>
        </w:tabs>
        <w:ind w:left="360" w:hanging="360"/>
      </w:pPr>
      <w:rPr>
        <w:rFonts w:ascii="Symbol" w:hAnsi="Symbol" w:hint="default"/>
      </w:rPr>
    </w:lvl>
  </w:abstractNum>
  <w:abstractNum w:abstractNumId="10">
    <w:nsid w:val="07BB5052"/>
    <w:multiLevelType w:val="multilevel"/>
    <w:tmpl w:val="8466D8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012368E"/>
    <w:multiLevelType w:val="hybridMultilevel"/>
    <w:tmpl w:val="89E0FE5C"/>
    <w:lvl w:ilvl="0" w:tplc="77488E06">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654"/>
        </w:tabs>
        <w:ind w:left="654" w:hanging="360"/>
      </w:pPr>
      <w:rPr>
        <w:rFonts w:ascii="Courier New" w:hAnsi="Courier New" w:cs="Courier New" w:hint="default"/>
      </w:rPr>
    </w:lvl>
    <w:lvl w:ilvl="2" w:tplc="040C0005" w:tentative="1">
      <w:start w:val="1"/>
      <w:numFmt w:val="bullet"/>
      <w:lvlText w:val=""/>
      <w:lvlJc w:val="left"/>
      <w:pPr>
        <w:tabs>
          <w:tab w:val="num" w:pos="1374"/>
        </w:tabs>
        <w:ind w:left="1374" w:hanging="360"/>
      </w:pPr>
      <w:rPr>
        <w:rFonts w:ascii="Wingdings" w:hAnsi="Wingdings" w:hint="default"/>
      </w:rPr>
    </w:lvl>
    <w:lvl w:ilvl="3" w:tplc="040C0001" w:tentative="1">
      <w:start w:val="1"/>
      <w:numFmt w:val="bullet"/>
      <w:lvlText w:val=""/>
      <w:lvlJc w:val="left"/>
      <w:pPr>
        <w:tabs>
          <w:tab w:val="num" w:pos="2094"/>
        </w:tabs>
        <w:ind w:left="2094" w:hanging="360"/>
      </w:pPr>
      <w:rPr>
        <w:rFonts w:ascii="Symbol" w:hAnsi="Symbol" w:hint="default"/>
      </w:rPr>
    </w:lvl>
    <w:lvl w:ilvl="4" w:tplc="040C0003" w:tentative="1">
      <w:start w:val="1"/>
      <w:numFmt w:val="bullet"/>
      <w:lvlText w:val="o"/>
      <w:lvlJc w:val="left"/>
      <w:pPr>
        <w:tabs>
          <w:tab w:val="num" w:pos="2814"/>
        </w:tabs>
        <w:ind w:left="2814" w:hanging="360"/>
      </w:pPr>
      <w:rPr>
        <w:rFonts w:ascii="Courier New" w:hAnsi="Courier New" w:cs="Courier New" w:hint="default"/>
      </w:rPr>
    </w:lvl>
    <w:lvl w:ilvl="5" w:tplc="040C0005" w:tentative="1">
      <w:start w:val="1"/>
      <w:numFmt w:val="bullet"/>
      <w:lvlText w:val=""/>
      <w:lvlJc w:val="left"/>
      <w:pPr>
        <w:tabs>
          <w:tab w:val="num" w:pos="3534"/>
        </w:tabs>
        <w:ind w:left="3534" w:hanging="360"/>
      </w:pPr>
      <w:rPr>
        <w:rFonts w:ascii="Wingdings" w:hAnsi="Wingdings" w:hint="default"/>
      </w:rPr>
    </w:lvl>
    <w:lvl w:ilvl="6" w:tplc="040C0001" w:tentative="1">
      <w:start w:val="1"/>
      <w:numFmt w:val="bullet"/>
      <w:lvlText w:val=""/>
      <w:lvlJc w:val="left"/>
      <w:pPr>
        <w:tabs>
          <w:tab w:val="num" w:pos="4254"/>
        </w:tabs>
        <w:ind w:left="4254" w:hanging="360"/>
      </w:pPr>
      <w:rPr>
        <w:rFonts w:ascii="Symbol" w:hAnsi="Symbol" w:hint="default"/>
      </w:rPr>
    </w:lvl>
    <w:lvl w:ilvl="7" w:tplc="040C0003" w:tentative="1">
      <w:start w:val="1"/>
      <w:numFmt w:val="bullet"/>
      <w:lvlText w:val="o"/>
      <w:lvlJc w:val="left"/>
      <w:pPr>
        <w:tabs>
          <w:tab w:val="num" w:pos="4974"/>
        </w:tabs>
        <w:ind w:left="4974" w:hanging="360"/>
      </w:pPr>
      <w:rPr>
        <w:rFonts w:ascii="Courier New" w:hAnsi="Courier New" w:cs="Courier New" w:hint="default"/>
      </w:rPr>
    </w:lvl>
    <w:lvl w:ilvl="8" w:tplc="040C0005" w:tentative="1">
      <w:start w:val="1"/>
      <w:numFmt w:val="bullet"/>
      <w:lvlText w:val=""/>
      <w:lvlJc w:val="left"/>
      <w:pPr>
        <w:tabs>
          <w:tab w:val="num" w:pos="5694"/>
        </w:tabs>
        <w:ind w:left="5694" w:hanging="360"/>
      </w:pPr>
      <w:rPr>
        <w:rFonts w:ascii="Wingdings" w:hAnsi="Wingdings" w:hint="default"/>
      </w:rPr>
    </w:lvl>
  </w:abstractNum>
  <w:abstractNum w:abstractNumId="12">
    <w:nsid w:val="12D520EC"/>
    <w:multiLevelType w:val="hybridMultilevel"/>
    <w:tmpl w:val="8C003C66"/>
    <w:lvl w:ilvl="0" w:tplc="77488E06">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54"/>
        </w:tabs>
        <w:ind w:left="-54" w:hanging="360"/>
      </w:pPr>
      <w:rPr>
        <w:rFonts w:ascii="Courier New" w:hAnsi="Courier New" w:cs="Courier New" w:hint="default"/>
      </w:rPr>
    </w:lvl>
    <w:lvl w:ilvl="2" w:tplc="040C0005" w:tentative="1">
      <w:start w:val="1"/>
      <w:numFmt w:val="bullet"/>
      <w:lvlText w:val=""/>
      <w:lvlJc w:val="left"/>
      <w:pPr>
        <w:tabs>
          <w:tab w:val="num" w:pos="666"/>
        </w:tabs>
        <w:ind w:left="666" w:hanging="360"/>
      </w:pPr>
      <w:rPr>
        <w:rFonts w:ascii="Wingdings" w:hAnsi="Wingdings" w:hint="default"/>
      </w:rPr>
    </w:lvl>
    <w:lvl w:ilvl="3" w:tplc="040C0001" w:tentative="1">
      <w:start w:val="1"/>
      <w:numFmt w:val="bullet"/>
      <w:lvlText w:val=""/>
      <w:lvlJc w:val="left"/>
      <w:pPr>
        <w:tabs>
          <w:tab w:val="num" w:pos="1386"/>
        </w:tabs>
        <w:ind w:left="1386" w:hanging="360"/>
      </w:pPr>
      <w:rPr>
        <w:rFonts w:ascii="Symbol" w:hAnsi="Symbol" w:hint="default"/>
      </w:rPr>
    </w:lvl>
    <w:lvl w:ilvl="4" w:tplc="040C0003" w:tentative="1">
      <w:start w:val="1"/>
      <w:numFmt w:val="bullet"/>
      <w:lvlText w:val="o"/>
      <w:lvlJc w:val="left"/>
      <w:pPr>
        <w:tabs>
          <w:tab w:val="num" w:pos="2106"/>
        </w:tabs>
        <w:ind w:left="2106" w:hanging="360"/>
      </w:pPr>
      <w:rPr>
        <w:rFonts w:ascii="Courier New" w:hAnsi="Courier New" w:cs="Courier New" w:hint="default"/>
      </w:rPr>
    </w:lvl>
    <w:lvl w:ilvl="5" w:tplc="040C0005" w:tentative="1">
      <w:start w:val="1"/>
      <w:numFmt w:val="bullet"/>
      <w:lvlText w:val=""/>
      <w:lvlJc w:val="left"/>
      <w:pPr>
        <w:tabs>
          <w:tab w:val="num" w:pos="2826"/>
        </w:tabs>
        <w:ind w:left="2826" w:hanging="360"/>
      </w:pPr>
      <w:rPr>
        <w:rFonts w:ascii="Wingdings" w:hAnsi="Wingdings" w:hint="default"/>
      </w:rPr>
    </w:lvl>
    <w:lvl w:ilvl="6" w:tplc="040C0001" w:tentative="1">
      <w:start w:val="1"/>
      <w:numFmt w:val="bullet"/>
      <w:lvlText w:val=""/>
      <w:lvlJc w:val="left"/>
      <w:pPr>
        <w:tabs>
          <w:tab w:val="num" w:pos="3546"/>
        </w:tabs>
        <w:ind w:left="3546" w:hanging="360"/>
      </w:pPr>
      <w:rPr>
        <w:rFonts w:ascii="Symbol" w:hAnsi="Symbol" w:hint="default"/>
      </w:rPr>
    </w:lvl>
    <w:lvl w:ilvl="7" w:tplc="040C0003" w:tentative="1">
      <w:start w:val="1"/>
      <w:numFmt w:val="bullet"/>
      <w:lvlText w:val="o"/>
      <w:lvlJc w:val="left"/>
      <w:pPr>
        <w:tabs>
          <w:tab w:val="num" w:pos="4266"/>
        </w:tabs>
        <w:ind w:left="4266" w:hanging="360"/>
      </w:pPr>
      <w:rPr>
        <w:rFonts w:ascii="Courier New" w:hAnsi="Courier New" w:cs="Courier New" w:hint="default"/>
      </w:rPr>
    </w:lvl>
    <w:lvl w:ilvl="8" w:tplc="040C0005" w:tentative="1">
      <w:start w:val="1"/>
      <w:numFmt w:val="bullet"/>
      <w:lvlText w:val=""/>
      <w:lvlJc w:val="left"/>
      <w:pPr>
        <w:tabs>
          <w:tab w:val="num" w:pos="4986"/>
        </w:tabs>
        <w:ind w:left="4986" w:hanging="360"/>
      </w:pPr>
      <w:rPr>
        <w:rFonts w:ascii="Wingdings" w:hAnsi="Wingdings" w:hint="default"/>
      </w:rPr>
    </w:lvl>
  </w:abstractNum>
  <w:abstractNum w:abstractNumId="13">
    <w:nsid w:val="1BF2475F"/>
    <w:multiLevelType w:val="hybridMultilevel"/>
    <w:tmpl w:val="8466D81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26E01F05"/>
    <w:multiLevelType w:val="multilevel"/>
    <w:tmpl w:val="B43626BA"/>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DEE5143"/>
    <w:multiLevelType w:val="hybridMultilevel"/>
    <w:tmpl w:val="A9BE4896"/>
    <w:lvl w:ilvl="0" w:tplc="8BF01C8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2F8072EB"/>
    <w:multiLevelType w:val="hybridMultilevel"/>
    <w:tmpl w:val="C3843DDE"/>
    <w:lvl w:ilvl="0" w:tplc="4EB602B6">
      <w:start w:val="1"/>
      <w:numFmt w:val="bullet"/>
      <w:pStyle w:val="Enum"/>
      <w:lvlText w:val="-"/>
      <w:lvlJc w:val="left"/>
      <w:pPr>
        <w:tabs>
          <w:tab w:val="num" w:pos="1854"/>
        </w:tabs>
        <w:ind w:left="1854"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FD26AF7"/>
    <w:multiLevelType w:val="hybridMultilevel"/>
    <w:tmpl w:val="B7F60C76"/>
    <w:lvl w:ilvl="0" w:tplc="77488E06">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654"/>
        </w:tabs>
        <w:ind w:left="654" w:hanging="360"/>
      </w:pPr>
      <w:rPr>
        <w:rFonts w:ascii="Courier New" w:hAnsi="Courier New" w:cs="Courier New" w:hint="default"/>
      </w:rPr>
    </w:lvl>
    <w:lvl w:ilvl="2" w:tplc="040C0005" w:tentative="1">
      <w:start w:val="1"/>
      <w:numFmt w:val="bullet"/>
      <w:lvlText w:val=""/>
      <w:lvlJc w:val="left"/>
      <w:pPr>
        <w:tabs>
          <w:tab w:val="num" w:pos="1374"/>
        </w:tabs>
        <w:ind w:left="1374" w:hanging="360"/>
      </w:pPr>
      <w:rPr>
        <w:rFonts w:ascii="Wingdings" w:hAnsi="Wingdings" w:hint="default"/>
      </w:rPr>
    </w:lvl>
    <w:lvl w:ilvl="3" w:tplc="040C0001" w:tentative="1">
      <w:start w:val="1"/>
      <w:numFmt w:val="bullet"/>
      <w:lvlText w:val=""/>
      <w:lvlJc w:val="left"/>
      <w:pPr>
        <w:tabs>
          <w:tab w:val="num" w:pos="2094"/>
        </w:tabs>
        <w:ind w:left="2094" w:hanging="360"/>
      </w:pPr>
      <w:rPr>
        <w:rFonts w:ascii="Symbol" w:hAnsi="Symbol" w:hint="default"/>
      </w:rPr>
    </w:lvl>
    <w:lvl w:ilvl="4" w:tplc="040C0003" w:tentative="1">
      <w:start w:val="1"/>
      <w:numFmt w:val="bullet"/>
      <w:lvlText w:val="o"/>
      <w:lvlJc w:val="left"/>
      <w:pPr>
        <w:tabs>
          <w:tab w:val="num" w:pos="2814"/>
        </w:tabs>
        <w:ind w:left="2814" w:hanging="360"/>
      </w:pPr>
      <w:rPr>
        <w:rFonts w:ascii="Courier New" w:hAnsi="Courier New" w:cs="Courier New" w:hint="default"/>
      </w:rPr>
    </w:lvl>
    <w:lvl w:ilvl="5" w:tplc="040C0005" w:tentative="1">
      <w:start w:val="1"/>
      <w:numFmt w:val="bullet"/>
      <w:lvlText w:val=""/>
      <w:lvlJc w:val="left"/>
      <w:pPr>
        <w:tabs>
          <w:tab w:val="num" w:pos="3534"/>
        </w:tabs>
        <w:ind w:left="3534" w:hanging="360"/>
      </w:pPr>
      <w:rPr>
        <w:rFonts w:ascii="Wingdings" w:hAnsi="Wingdings" w:hint="default"/>
      </w:rPr>
    </w:lvl>
    <w:lvl w:ilvl="6" w:tplc="040C0001" w:tentative="1">
      <w:start w:val="1"/>
      <w:numFmt w:val="bullet"/>
      <w:lvlText w:val=""/>
      <w:lvlJc w:val="left"/>
      <w:pPr>
        <w:tabs>
          <w:tab w:val="num" w:pos="4254"/>
        </w:tabs>
        <w:ind w:left="4254" w:hanging="360"/>
      </w:pPr>
      <w:rPr>
        <w:rFonts w:ascii="Symbol" w:hAnsi="Symbol" w:hint="default"/>
      </w:rPr>
    </w:lvl>
    <w:lvl w:ilvl="7" w:tplc="040C0003" w:tentative="1">
      <w:start w:val="1"/>
      <w:numFmt w:val="bullet"/>
      <w:lvlText w:val="o"/>
      <w:lvlJc w:val="left"/>
      <w:pPr>
        <w:tabs>
          <w:tab w:val="num" w:pos="4974"/>
        </w:tabs>
        <w:ind w:left="4974" w:hanging="360"/>
      </w:pPr>
      <w:rPr>
        <w:rFonts w:ascii="Courier New" w:hAnsi="Courier New" w:cs="Courier New" w:hint="default"/>
      </w:rPr>
    </w:lvl>
    <w:lvl w:ilvl="8" w:tplc="040C0005" w:tentative="1">
      <w:start w:val="1"/>
      <w:numFmt w:val="bullet"/>
      <w:lvlText w:val=""/>
      <w:lvlJc w:val="left"/>
      <w:pPr>
        <w:tabs>
          <w:tab w:val="num" w:pos="5694"/>
        </w:tabs>
        <w:ind w:left="5694" w:hanging="360"/>
      </w:pPr>
      <w:rPr>
        <w:rFonts w:ascii="Wingdings" w:hAnsi="Wingdings" w:hint="default"/>
      </w:rPr>
    </w:lvl>
  </w:abstractNum>
  <w:abstractNum w:abstractNumId="18">
    <w:nsid w:val="53F94CCD"/>
    <w:multiLevelType w:val="multilevel"/>
    <w:tmpl w:val="4B6A761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CE6770E"/>
    <w:multiLevelType w:val="hybridMultilevel"/>
    <w:tmpl w:val="116E2E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18"/>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3"/>
  </w:num>
  <w:num w:numId="14">
    <w:abstractNumId w:val="10"/>
  </w:num>
  <w:num w:numId="15">
    <w:abstractNumId w:val="12"/>
  </w:num>
  <w:num w:numId="16">
    <w:abstractNumId w:val="11"/>
  </w:num>
  <w:num w:numId="17">
    <w:abstractNumId w:val="17"/>
  </w:num>
  <w:num w:numId="18">
    <w:abstractNumId w:val="14"/>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045C"/>
    <w:rsid w:val="00000B15"/>
    <w:rsid w:val="00002BDF"/>
    <w:rsid w:val="00003682"/>
    <w:rsid w:val="00004CAE"/>
    <w:rsid w:val="00013D7E"/>
    <w:rsid w:val="000200CB"/>
    <w:rsid w:val="000206F0"/>
    <w:rsid w:val="000222E7"/>
    <w:rsid w:val="00024E5F"/>
    <w:rsid w:val="00026873"/>
    <w:rsid w:val="00027109"/>
    <w:rsid w:val="00035158"/>
    <w:rsid w:val="00035887"/>
    <w:rsid w:val="00035B67"/>
    <w:rsid w:val="000369D1"/>
    <w:rsid w:val="00037A23"/>
    <w:rsid w:val="000470D1"/>
    <w:rsid w:val="000472CB"/>
    <w:rsid w:val="0005143A"/>
    <w:rsid w:val="000528C9"/>
    <w:rsid w:val="00052E1D"/>
    <w:rsid w:val="00055124"/>
    <w:rsid w:val="00055A85"/>
    <w:rsid w:val="00055DAC"/>
    <w:rsid w:val="000574E8"/>
    <w:rsid w:val="00061248"/>
    <w:rsid w:val="00061355"/>
    <w:rsid w:val="000613A2"/>
    <w:rsid w:val="0006323E"/>
    <w:rsid w:val="0006396E"/>
    <w:rsid w:val="00065820"/>
    <w:rsid w:val="00067968"/>
    <w:rsid w:val="00070231"/>
    <w:rsid w:val="000713E6"/>
    <w:rsid w:val="000728FF"/>
    <w:rsid w:val="0007593A"/>
    <w:rsid w:val="00080C05"/>
    <w:rsid w:val="00082F9E"/>
    <w:rsid w:val="00083370"/>
    <w:rsid w:val="00087874"/>
    <w:rsid w:val="00087EA5"/>
    <w:rsid w:val="00090A63"/>
    <w:rsid w:val="000939FA"/>
    <w:rsid w:val="00095CDD"/>
    <w:rsid w:val="000962AF"/>
    <w:rsid w:val="000A248A"/>
    <w:rsid w:val="000A2D98"/>
    <w:rsid w:val="000A2EFF"/>
    <w:rsid w:val="000A580E"/>
    <w:rsid w:val="000A62BC"/>
    <w:rsid w:val="000A64B3"/>
    <w:rsid w:val="000A6F26"/>
    <w:rsid w:val="000A7629"/>
    <w:rsid w:val="000B02FA"/>
    <w:rsid w:val="000B5534"/>
    <w:rsid w:val="000B670D"/>
    <w:rsid w:val="000C0099"/>
    <w:rsid w:val="000C0225"/>
    <w:rsid w:val="000C0341"/>
    <w:rsid w:val="000C035C"/>
    <w:rsid w:val="000C118B"/>
    <w:rsid w:val="000C1F5F"/>
    <w:rsid w:val="000C246D"/>
    <w:rsid w:val="000C37D0"/>
    <w:rsid w:val="000C616F"/>
    <w:rsid w:val="000C7260"/>
    <w:rsid w:val="000D279A"/>
    <w:rsid w:val="000D566D"/>
    <w:rsid w:val="000D5EE0"/>
    <w:rsid w:val="000D634C"/>
    <w:rsid w:val="000D76B0"/>
    <w:rsid w:val="000E0514"/>
    <w:rsid w:val="000E2946"/>
    <w:rsid w:val="000E331C"/>
    <w:rsid w:val="000E4F85"/>
    <w:rsid w:val="000E7066"/>
    <w:rsid w:val="000E743D"/>
    <w:rsid w:val="000F1A44"/>
    <w:rsid w:val="000F22D0"/>
    <w:rsid w:val="000F2A8D"/>
    <w:rsid w:val="000F3BA3"/>
    <w:rsid w:val="000F3F01"/>
    <w:rsid w:val="000F537E"/>
    <w:rsid w:val="000F66D5"/>
    <w:rsid w:val="000F726C"/>
    <w:rsid w:val="0010185C"/>
    <w:rsid w:val="00102C1A"/>
    <w:rsid w:val="00105282"/>
    <w:rsid w:val="001056BE"/>
    <w:rsid w:val="00105F2C"/>
    <w:rsid w:val="0010602F"/>
    <w:rsid w:val="001069C1"/>
    <w:rsid w:val="00106F7B"/>
    <w:rsid w:val="001071FF"/>
    <w:rsid w:val="00107953"/>
    <w:rsid w:val="00107EB4"/>
    <w:rsid w:val="0011118C"/>
    <w:rsid w:val="0011204D"/>
    <w:rsid w:val="001120D4"/>
    <w:rsid w:val="001121B9"/>
    <w:rsid w:val="001170A7"/>
    <w:rsid w:val="00117A60"/>
    <w:rsid w:val="00120EA1"/>
    <w:rsid w:val="0012349A"/>
    <w:rsid w:val="00123F5C"/>
    <w:rsid w:val="00125281"/>
    <w:rsid w:val="00127D4C"/>
    <w:rsid w:val="00130AB1"/>
    <w:rsid w:val="00130CE7"/>
    <w:rsid w:val="00130D80"/>
    <w:rsid w:val="0013170D"/>
    <w:rsid w:val="0013205A"/>
    <w:rsid w:val="00133761"/>
    <w:rsid w:val="001347DF"/>
    <w:rsid w:val="0013550A"/>
    <w:rsid w:val="00136350"/>
    <w:rsid w:val="00137DF1"/>
    <w:rsid w:val="00140D5B"/>
    <w:rsid w:val="00141D86"/>
    <w:rsid w:val="00142660"/>
    <w:rsid w:val="0014402C"/>
    <w:rsid w:val="001440EB"/>
    <w:rsid w:val="00146F4A"/>
    <w:rsid w:val="001515BD"/>
    <w:rsid w:val="00151CF4"/>
    <w:rsid w:val="001542D9"/>
    <w:rsid w:val="001543D3"/>
    <w:rsid w:val="00156CBD"/>
    <w:rsid w:val="0016175A"/>
    <w:rsid w:val="00161A10"/>
    <w:rsid w:val="00161C75"/>
    <w:rsid w:val="00161DD2"/>
    <w:rsid w:val="001634B4"/>
    <w:rsid w:val="001643B9"/>
    <w:rsid w:val="001647B2"/>
    <w:rsid w:val="00164F5A"/>
    <w:rsid w:val="001658E0"/>
    <w:rsid w:val="00165EDA"/>
    <w:rsid w:val="00167CDF"/>
    <w:rsid w:val="00170564"/>
    <w:rsid w:val="001716CC"/>
    <w:rsid w:val="00177357"/>
    <w:rsid w:val="0018242F"/>
    <w:rsid w:val="00183B2C"/>
    <w:rsid w:val="0018410E"/>
    <w:rsid w:val="00185D0D"/>
    <w:rsid w:val="00186ABA"/>
    <w:rsid w:val="001878F4"/>
    <w:rsid w:val="00190152"/>
    <w:rsid w:val="00191BCD"/>
    <w:rsid w:val="00192931"/>
    <w:rsid w:val="00192E70"/>
    <w:rsid w:val="00194542"/>
    <w:rsid w:val="001947CB"/>
    <w:rsid w:val="00194C47"/>
    <w:rsid w:val="00196125"/>
    <w:rsid w:val="001969B8"/>
    <w:rsid w:val="001A1656"/>
    <w:rsid w:val="001A18B8"/>
    <w:rsid w:val="001A235B"/>
    <w:rsid w:val="001A324C"/>
    <w:rsid w:val="001A6A53"/>
    <w:rsid w:val="001A74F4"/>
    <w:rsid w:val="001B0BE6"/>
    <w:rsid w:val="001B2213"/>
    <w:rsid w:val="001B2281"/>
    <w:rsid w:val="001B2722"/>
    <w:rsid w:val="001B3A17"/>
    <w:rsid w:val="001B4AB1"/>
    <w:rsid w:val="001B62BE"/>
    <w:rsid w:val="001B63C6"/>
    <w:rsid w:val="001B71ED"/>
    <w:rsid w:val="001B7990"/>
    <w:rsid w:val="001C200C"/>
    <w:rsid w:val="001C35BB"/>
    <w:rsid w:val="001C5E0E"/>
    <w:rsid w:val="001C7A3B"/>
    <w:rsid w:val="001D08CF"/>
    <w:rsid w:val="001D0A4F"/>
    <w:rsid w:val="001D1016"/>
    <w:rsid w:val="001D11D2"/>
    <w:rsid w:val="001D2A85"/>
    <w:rsid w:val="001D2CD7"/>
    <w:rsid w:val="001D406B"/>
    <w:rsid w:val="001D4780"/>
    <w:rsid w:val="001D510B"/>
    <w:rsid w:val="001E45C4"/>
    <w:rsid w:val="001E47C8"/>
    <w:rsid w:val="001E6888"/>
    <w:rsid w:val="001F15F5"/>
    <w:rsid w:val="001F23F9"/>
    <w:rsid w:val="001F4EBE"/>
    <w:rsid w:val="001F5175"/>
    <w:rsid w:val="001F650B"/>
    <w:rsid w:val="001F78FD"/>
    <w:rsid w:val="001F7AAE"/>
    <w:rsid w:val="00200617"/>
    <w:rsid w:val="0020148D"/>
    <w:rsid w:val="00201BC1"/>
    <w:rsid w:val="00202CF3"/>
    <w:rsid w:val="00203E19"/>
    <w:rsid w:val="0020436B"/>
    <w:rsid w:val="0020652F"/>
    <w:rsid w:val="0020759A"/>
    <w:rsid w:val="00210422"/>
    <w:rsid w:val="0021048B"/>
    <w:rsid w:val="002119B0"/>
    <w:rsid w:val="00213069"/>
    <w:rsid w:val="002141DE"/>
    <w:rsid w:val="00214B86"/>
    <w:rsid w:val="00216975"/>
    <w:rsid w:val="00216F31"/>
    <w:rsid w:val="00217297"/>
    <w:rsid w:val="00221477"/>
    <w:rsid w:val="00222304"/>
    <w:rsid w:val="00223E2D"/>
    <w:rsid w:val="002242D0"/>
    <w:rsid w:val="00227413"/>
    <w:rsid w:val="00230B80"/>
    <w:rsid w:val="00231484"/>
    <w:rsid w:val="002345E6"/>
    <w:rsid w:val="00236CD1"/>
    <w:rsid w:val="0024060D"/>
    <w:rsid w:val="002407BE"/>
    <w:rsid w:val="00241792"/>
    <w:rsid w:val="00241EFA"/>
    <w:rsid w:val="002420D4"/>
    <w:rsid w:val="00244AC5"/>
    <w:rsid w:val="00251593"/>
    <w:rsid w:val="00253136"/>
    <w:rsid w:val="00253165"/>
    <w:rsid w:val="002531B6"/>
    <w:rsid w:val="00253AFC"/>
    <w:rsid w:val="00254CDD"/>
    <w:rsid w:val="002606D5"/>
    <w:rsid w:val="00260B6A"/>
    <w:rsid w:val="00260DBF"/>
    <w:rsid w:val="00260E32"/>
    <w:rsid w:val="0026174F"/>
    <w:rsid w:val="002619C1"/>
    <w:rsid w:val="002623AB"/>
    <w:rsid w:val="00262492"/>
    <w:rsid w:val="00262841"/>
    <w:rsid w:val="002638A0"/>
    <w:rsid w:val="002705F7"/>
    <w:rsid w:val="00273B43"/>
    <w:rsid w:val="0027445F"/>
    <w:rsid w:val="00275489"/>
    <w:rsid w:val="0027630A"/>
    <w:rsid w:val="0028401B"/>
    <w:rsid w:val="00285A3C"/>
    <w:rsid w:val="002921D2"/>
    <w:rsid w:val="00294681"/>
    <w:rsid w:val="002A12B9"/>
    <w:rsid w:val="002A2146"/>
    <w:rsid w:val="002A269B"/>
    <w:rsid w:val="002A420A"/>
    <w:rsid w:val="002A4EFA"/>
    <w:rsid w:val="002A72AA"/>
    <w:rsid w:val="002A7510"/>
    <w:rsid w:val="002B0568"/>
    <w:rsid w:val="002B34B7"/>
    <w:rsid w:val="002B652D"/>
    <w:rsid w:val="002C1140"/>
    <w:rsid w:val="002C11D5"/>
    <w:rsid w:val="002C3A9D"/>
    <w:rsid w:val="002C62DD"/>
    <w:rsid w:val="002D000D"/>
    <w:rsid w:val="002D3CFD"/>
    <w:rsid w:val="002D4EB5"/>
    <w:rsid w:val="002D512F"/>
    <w:rsid w:val="002E1806"/>
    <w:rsid w:val="002E19D3"/>
    <w:rsid w:val="002E24A1"/>
    <w:rsid w:val="002E32C3"/>
    <w:rsid w:val="002E399F"/>
    <w:rsid w:val="002E3E02"/>
    <w:rsid w:val="002E4C6E"/>
    <w:rsid w:val="002E55A3"/>
    <w:rsid w:val="002E6057"/>
    <w:rsid w:val="002E6636"/>
    <w:rsid w:val="002E694B"/>
    <w:rsid w:val="002F0435"/>
    <w:rsid w:val="002F15C6"/>
    <w:rsid w:val="002F2010"/>
    <w:rsid w:val="002F23A0"/>
    <w:rsid w:val="002F6DD7"/>
    <w:rsid w:val="00303660"/>
    <w:rsid w:val="00310C32"/>
    <w:rsid w:val="00311324"/>
    <w:rsid w:val="00312369"/>
    <w:rsid w:val="003142C9"/>
    <w:rsid w:val="00315315"/>
    <w:rsid w:val="003158DE"/>
    <w:rsid w:val="00316F08"/>
    <w:rsid w:val="00317465"/>
    <w:rsid w:val="003204A3"/>
    <w:rsid w:val="003206D9"/>
    <w:rsid w:val="0032075A"/>
    <w:rsid w:val="00321697"/>
    <w:rsid w:val="003241B7"/>
    <w:rsid w:val="00330C2A"/>
    <w:rsid w:val="00330F62"/>
    <w:rsid w:val="00334635"/>
    <w:rsid w:val="00335BCB"/>
    <w:rsid w:val="00336580"/>
    <w:rsid w:val="00337984"/>
    <w:rsid w:val="00344B86"/>
    <w:rsid w:val="00345DB8"/>
    <w:rsid w:val="0034727D"/>
    <w:rsid w:val="00350384"/>
    <w:rsid w:val="003503ED"/>
    <w:rsid w:val="00350C85"/>
    <w:rsid w:val="00350FC7"/>
    <w:rsid w:val="003517AF"/>
    <w:rsid w:val="00351CBC"/>
    <w:rsid w:val="00352364"/>
    <w:rsid w:val="0035435E"/>
    <w:rsid w:val="00361015"/>
    <w:rsid w:val="00364514"/>
    <w:rsid w:val="00365A26"/>
    <w:rsid w:val="003676F0"/>
    <w:rsid w:val="00372830"/>
    <w:rsid w:val="00372836"/>
    <w:rsid w:val="00375095"/>
    <w:rsid w:val="003757CC"/>
    <w:rsid w:val="00377676"/>
    <w:rsid w:val="00377E44"/>
    <w:rsid w:val="003848C4"/>
    <w:rsid w:val="0038511D"/>
    <w:rsid w:val="0038579A"/>
    <w:rsid w:val="00391584"/>
    <w:rsid w:val="003916E4"/>
    <w:rsid w:val="00394E69"/>
    <w:rsid w:val="00396E10"/>
    <w:rsid w:val="00397E0F"/>
    <w:rsid w:val="003A0A74"/>
    <w:rsid w:val="003A2628"/>
    <w:rsid w:val="003A2C5C"/>
    <w:rsid w:val="003A5051"/>
    <w:rsid w:val="003A55E4"/>
    <w:rsid w:val="003A7062"/>
    <w:rsid w:val="003B4DC2"/>
    <w:rsid w:val="003B55CD"/>
    <w:rsid w:val="003B6E50"/>
    <w:rsid w:val="003B6EF1"/>
    <w:rsid w:val="003B7FE2"/>
    <w:rsid w:val="003C0F19"/>
    <w:rsid w:val="003C1F8E"/>
    <w:rsid w:val="003C2C8D"/>
    <w:rsid w:val="003C3039"/>
    <w:rsid w:val="003C73D7"/>
    <w:rsid w:val="003C772B"/>
    <w:rsid w:val="003D20DC"/>
    <w:rsid w:val="003D28C0"/>
    <w:rsid w:val="003D3304"/>
    <w:rsid w:val="003D6C3C"/>
    <w:rsid w:val="003D760B"/>
    <w:rsid w:val="003D7E24"/>
    <w:rsid w:val="003E06FD"/>
    <w:rsid w:val="003E191D"/>
    <w:rsid w:val="003E2111"/>
    <w:rsid w:val="003E21FD"/>
    <w:rsid w:val="003E25BD"/>
    <w:rsid w:val="003E2D77"/>
    <w:rsid w:val="003E3896"/>
    <w:rsid w:val="003E4302"/>
    <w:rsid w:val="003E5DAA"/>
    <w:rsid w:val="003F1C25"/>
    <w:rsid w:val="003F1C45"/>
    <w:rsid w:val="003F6A5C"/>
    <w:rsid w:val="003F7139"/>
    <w:rsid w:val="004000C2"/>
    <w:rsid w:val="004002D3"/>
    <w:rsid w:val="0040040A"/>
    <w:rsid w:val="00400439"/>
    <w:rsid w:val="00400709"/>
    <w:rsid w:val="00402A84"/>
    <w:rsid w:val="0040338C"/>
    <w:rsid w:val="00404273"/>
    <w:rsid w:val="004045D4"/>
    <w:rsid w:val="00404E40"/>
    <w:rsid w:val="004051CD"/>
    <w:rsid w:val="00405F6B"/>
    <w:rsid w:val="004065ED"/>
    <w:rsid w:val="00407B33"/>
    <w:rsid w:val="00407CCE"/>
    <w:rsid w:val="00410C0E"/>
    <w:rsid w:val="00411224"/>
    <w:rsid w:val="00411A26"/>
    <w:rsid w:val="00412292"/>
    <w:rsid w:val="00413225"/>
    <w:rsid w:val="00414A19"/>
    <w:rsid w:val="00420A17"/>
    <w:rsid w:val="0042694D"/>
    <w:rsid w:val="0043150A"/>
    <w:rsid w:val="00431B58"/>
    <w:rsid w:val="00432589"/>
    <w:rsid w:val="0043387E"/>
    <w:rsid w:val="00433DF0"/>
    <w:rsid w:val="004343BF"/>
    <w:rsid w:val="004352DB"/>
    <w:rsid w:val="004368E1"/>
    <w:rsid w:val="004410D6"/>
    <w:rsid w:val="004412FB"/>
    <w:rsid w:val="0044237F"/>
    <w:rsid w:val="004438C2"/>
    <w:rsid w:val="00443E7C"/>
    <w:rsid w:val="0044559A"/>
    <w:rsid w:val="00447DE5"/>
    <w:rsid w:val="004510F4"/>
    <w:rsid w:val="00451B3A"/>
    <w:rsid w:val="00451C56"/>
    <w:rsid w:val="004523D3"/>
    <w:rsid w:val="00455AEF"/>
    <w:rsid w:val="0045617C"/>
    <w:rsid w:val="00461594"/>
    <w:rsid w:val="00462AF9"/>
    <w:rsid w:val="00462B73"/>
    <w:rsid w:val="0046347F"/>
    <w:rsid w:val="00463FB8"/>
    <w:rsid w:val="00464A03"/>
    <w:rsid w:val="0047020D"/>
    <w:rsid w:val="00471942"/>
    <w:rsid w:val="00471DF8"/>
    <w:rsid w:val="00473A53"/>
    <w:rsid w:val="00474717"/>
    <w:rsid w:val="00475BD2"/>
    <w:rsid w:val="00476247"/>
    <w:rsid w:val="00480141"/>
    <w:rsid w:val="004805F9"/>
    <w:rsid w:val="00480B36"/>
    <w:rsid w:val="00480FF6"/>
    <w:rsid w:val="00483ACE"/>
    <w:rsid w:val="00484B21"/>
    <w:rsid w:val="00485C29"/>
    <w:rsid w:val="0048692C"/>
    <w:rsid w:val="00493E1C"/>
    <w:rsid w:val="00493E78"/>
    <w:rsid w:val="00494028"/>
    <w:rsid w:val="004945EE"/>
    <w:rsid w:val="00495372"/>
    <w:rsid w:val="00496449"/>
    <w:rsid w:val="00496CC5"/>
    <w:rsid w:val="004A2012"/>
    <w:rsid w:val="004A2167"/>
    <w:rsid w:val="004A27F2"/>
    <w:rsid w:val="004A342A"/>
    <w:rsid w:val="004A38D6"/>
    <w:rsid w:val="004A3918"/>
    <w:rsid w:val="004A5BCF"/>
    <w:rsid w:val="004A6DA7"/>
    <w:rsid w:val="004A7E18"/>
    <w:rsid w:val="004B1964"/>
    <w:rsid w:val="004B3388"/>
    <w:rsid w:val="004B359D"/>
    <w:rsid w:val="004B4038"/>
    <w:rsid w:val="004B66E0"/>
    <w:rsid w:val="004C098D"/>
    <w:rsid w:val="004C1A6C"/>
    <w:rsid w:val="004C43C0"/>
    <w:rsid w:val="004C6BDB"/>
    <w:rsid w:val="004D0C71"/>
    <w:rsid w:val="004D1438"/>
    <w:rsid w:val="004D19FE"/>
    <w:rsid w:val="004D1BA2"/>
    <w:rsid w:val="004E15DB"/>
    <w:rsid w:val="004E2F9C"/>
    <w:rsid w:val="004E3169"/>
    <w:rsid w:val="004E3D10"/>
    <w:rsid w:val="004E51C2"/>
    <w:rsid w:val="004E68AA"/>
    <w:rsid w:val="004E697A"/>
    <w:rsid w:val="004F045C"/>
    <w:rsid w:val="004F1285"/>
    <w:rsid w:val="004F37FF"/>
    <w:rsid w:val="004F4039"/>
    <w:rsid w:val="004F4DFC"/>
    <w:rsid w:val="005005DC"/>
    <w:rsid w:val="00503B71"/>
    <w:rsid w:val="00503EC0"/>
    <w:rsid w:val="00507D23"/>
    <w:rsid w:val="005117CE"/>
    <w:rsid w:val="005135D4"/>
    <w:rsid w:val="00513630"/>
    <w:rsid w:val="00513A6D"/>
    <w:rsid w:val="00514C64"/>
    <w:rsid w:val="005150A9"/>
    <w:rsid w:val="00515A0D"/>
    <w:rsid w:val="00515D9D"/>
    <w:rsid w:val="00517387"/>
    <w:rsid w:val="00521C1A"/>
    <w:rsid w:val="00521D3F"/>
    <w:rsid w:val="00522BD0"/>
    <w:rsid w:val="00525FDD"/>
    <w:rsid w:val="00526CFB"/>
    <w:rsid w:val="00527FC8"/>
    <w:rsid w:val="005309E4"/>
    <w:rsid w:val="0053163E"/>
    <w:rsid w:val="00531B39"/>
    <w:rsid w:val="00532829"/>
    <w:rsid w:val="0053457F"/>
    <w:rsid w:val="0053519C"/>
    <w:rsid w:val="0053640B"/>
    <w:rsid w:val="00536D70"/>
    <w:rsid w:val="00540A4E"/>
    <w:rsid w:val="0054483E"/>
    <w:rsid w:val="00547F6F"/>
    <w:rsid w:val="00550B96"/>
    <w:rsid w:val="00551D4A"/>
    <w:rsid w:val="00552906"/>
    <w:rsid w:val="00553159"/>
    <w:rsid w:val="0055357C"/>
    <w:rsid w:val="0055687F"/>
    <w:rsid w:val="005570F2"/>
    <w:rsid w:val="00557357"/>
    <w:rsid w:val="005604D4"/>
    <w:rsid w:val="005610C1"/>
    <w:rsid w:val="005622F2"/>
    <w:rsid w:val="00564F1A"/>
    <w:rsid w:val="00566E41"/>
    <w:rsid w:val="00571709"/>
    <w:rsid w:val="00571E35"/>
    <w:rsid w:val="00572BAF"/>
    <w:rsid w:val="00574640"/>
    <w:rsid w:val="00574E08"/>
    <w:rsid w:val="00576073"/>
    <w:rsid w:val="00580023"/>
    <w:rsid w:val="0058105B"/>
    <w:rsid w:val="00582669"/>
    <w:rsid w:val="00583489"/>
    <w:rsid w:val="00584BAA"/>
    <w:rsid w:val="00584E10"/>
    <w:rsid w:val="005850E3"/>
    <w:rsid w:val="00590EA0"/>
    <w:rsid w:val="0059111D"/>
    <w:rsid w:val="00591547"/>
    <w:rsid w:val="00591A61"/>
    <w:rsid w:val="00591F64"/>
    <w:rsid w:val="00594F53"/>
    <w:rsid w:val="005A24E8"/>
    <w:rsid w:val="005A5EEF"/>
    <w:rsid w:val="005B3429"/>
    <w:rsid w:val="005B501B"/>
    <w:rsid w:val="005B6582"/>
    <w:rsid w:val="005B79A5"/>
    <w:rsid w:val="005C0362"/>
    <w:rsid w:val="005C1AA5"/>
    <w:rsid w:val="005C1F0F"/>
    <w:rsid w:val="005C2F2E"/>
    <w:rsid w:val="005C4D14"/>
    <w:rsid w:val="005D03B7"/>
    <w:rsid w:val="005D0B19"/>
    <w:rsid w:val="005D16D9"/>
    <w:rsid w:val="005D1C83"/>
    <w:rsid w:val="005D20DF"/>
    <w:rsid w:val="005D2935"/>
    <w:rsid w:val="005D4A8E"/>
    <w:rsid w:val="005D4B9A"/>
    <w:rsid w:val="005D61E9"/>
    <w:rsid w:val="005D737B"/>
    <w:rsid w:val="005E07E7"/>
    <w:rsid w:val="005E0BBD"/>
    <w:rsid w:val="005E1A15"/>
    <w:rsid w:val="005E1E29"/>
    <w:rsid w:val="005E1E30"/>
    <w:rsid w:val="005E246C"/>
    <w:rsid w:val="005E24B7"/>
    <w:rsid w:val="005E4076"/>
    <w:rsid w:val="00602E27"/>
    <w:rsid w:val="00603AC7"/>
    <w:rsid w:val="0061053D"/>
    <w:rsid w:val="00610E0D"/>
    <w:rsid w:val="0061127F"/>
    <w:rsid w:val="00613C83"/>
    <w:rsid w:val="0061591C"/>
    <w:rsid w:val="0061594D"/>
    <w:rsid w:val="00616FE7"/>
    <w:rsid w:val="006178FF"/>
    <w:rsid w:val="00617A75"/>
    <w:rsid w:val="0062061A"/>
    <w:rsid w:val="00620D59"/>
    <w:rsid w:val="00626F44"/>
    <w:rsid w:val="00633A7B"/>
    <w:rsid w:val="00633AE5"/>
    <w:rsid w:val="00634161"/>
    <w:rsid w:val="006346E4"/>
    <w:rsid w:val="00634B9F"/>
    <w:rsid w:val="00637BAF"/>
    <w:rsid w:val="00640044"/>
    <w:rsid w:val="006405CB"/>
    <w:rsid w:val="0064146D"/>
    <w:rsid w:val="00641BB1"/>
    <w:rsid w:val="0064362C"/>
    <w:rsid w:val="00644BE9"/>
    <w:rsid w:val="00646D71"/>
    <w:rsid w:val="0064758F"/>
    <w:rsid w:val="00650AEA"/>
    <w:rsid w:val="006533E4"/>
    <w:rsid w:val="006557AC"/>
    <w:rsid w:val="0066020B"/>
    <w:rsid w:val="0066050D"/>
    <w:rsid w:val="006610E3"/>
    <w:rsid w:val="006622F9"/>
    <w:rsid w:val="00663195"/>
    <w:rsid w:val="006659A7"/>
    <w:rsid w:val="00667354"/>
    <w:rsid w:val="006716EF"/>
    <w:rsid w:val="00674F0A"/>
    <w:rsid w:val="00675D32"/>
    <w:rsid w:val="0068143C"/>
    <w:rsid w:val="00682A03"/>
    <w:rsid w:val="00687845"/>
    <w:rsid w:val="006910C5"/>
    <w:rsid w:val="006915AC"/>
    <w:rsid w:val="00693026"/>
    <w:rsid w:val="00693431"/>
    <w:rsid w:val="00696A94"/>
    <w:rsid w:val="00697A9B"/>
    <w:rsid w:val="006A07CC"/>
    <w:rsid w:val="006A1D6A"/>
    <w:rsid w:val="006A359D"/>
    <w:rsid w:val="006A4229"/>
    <w:rsid w:val="006A4798"/>
    <w:rsid w:val="006A599F"/>
    <w:rsid w:val="006B184E"/>
    <w:rsid w:val="006B2133"/>
    <w:rsid w:val="006B35AD"/>
    <w:rsid w:val="006B3978"/>
    <w:rsid w:val="006B4A62"/>
    <w:rsid w:val="006B4DEB"/>
    <w:rsid w:val="006B54A5"/>
    <w:rsid w:val="006B5895"/>
    <w:rsid w:val="006B710C"/>
    <w:rsid w:val="006B7F57"/>
    <w:rsid w:val="006C0269"/>
    <w:rsid w:val="006C05C8"/>
    <w:rsid w:val="006C0678"/>
    <w:rsid w:val="006C08F5"/>
    <w:rsid w:val="006C127B"/>
    <w:rsid w:val="006C54C9"/>
    <w:rsid w:val="006C5843"/>
    <w:rsid w:val="006C69D9"/>
    <w:rsid w:val="006D0D8A"/>
    <w:rsid w:val="006D1470"/>
    <w:rsid w:val="006D432B"/>
    <w:rsid w:val="006D4DD3"/>
    <w:rsid w:val="006D56ED"/>
    <w:rsid w:val="006D61A7"/>
    <w:rsid w:val="006D6733"/>
    <w:rsid w:val="006E05EC"/>
    <w:rsid w:val="006E0E22"/>
    <w:rsid w:val="006E1E6F"/>
    <w:rsid w:val="006E21FC"/>
    <w:rsid w:val="006E29A3"/>
    <w:rsid w:val="006E3B50"/>
    <w:rsid w:val="006E6A46"/>
    <w:rsid w:val="006E7B3C"/>
    <w:rsid w:val="006E7F68"/>
    <w:rsid w:val="006F3032"/>
    <w:rsid w:val="006F429E"/>
    <w:rsid w:val="006F4472"/>
    <w:rsid w:val="006F4D74"/>
    <w:rsid w:val="006F7E52"/>
    <w:rsid w:val="00700AE9"/>
    <w:rsid w:val="0070227E"/>
    <w:rsid w:val="0070274A"/>
    <w:rsid w:val="00703B49"/>
    <w:rsid w:val="007050B4"/>
    <w:rsid w:val="00706883"/>
    <w:rsid w:val="00707914"/>
    <w:rsid w:val="00707F0E"/>
    <w:rsid w:val="00710001"/>
    <w:rsid w:val="00712DED"/>
    <w:rsid w:val="007142FC"/>
    <w:rsid w:val="007156BF"/>
    <w:rsid w:val="007168AF"/>
    <w:rsid w:val="007208C2"/>
    <w:rsid w:val="00721CD6"/>
    <w:rsid w:val="007223B4"/>
    <w:rsid w:val="00723D47"/>
    <w:rsid w:val="007242EA"/>
    <w:rsid w:val="007242F4"/>
    <w:rsid w:val="00724741"/>
    <w:rsid w:val="00727889"/>
    <w:rsid w:val="00727CF7"/>
    <w:rsid w:val="007311AC"/>
    <w:rsid w:val="00731DDF"/>
    <w:rsid w:val="00735812"/>
    <w:rsid w:val="00736793"/>
    <w:rsid w:val="00742415"/>
    <w:rsid w:val="0074308C"/>
    <w:rsid w:val="00743522"/>
    <w:rsid w:val="00744759"/>
    <w:rsid w:val="00746DBC"/>
    <w:rsid w:val="007472F3"/>
    <w:rsid w:val="00750091"/>
    <w:rsid w:val="00751D10"/>
    <w:rsid w:val="007521F0"/>
    <w:rsid w:val="00753BDD"/>
    <w:rsid w:val="00753C05"/>
    <w:rsid w:val="0075631B"/>
    <w:rsid w:val="007622F7"/>
    <w:rsid w:val="007624C8"/>
    <w:rsid w:val="00762F4E"/>
    <w:rsid w:val="007638BF"/>
    <w:rsid w:val="00764D11"/>
    <w:rsid w:val="00766076"/>
    <w:rsid w:val="00766BF0"/>
    <w:rsid w:val="00770946"/>
    <w:rsid w:val="00772CCD"/>
    <w:rsid w:val="00775128"/>
    <w:rsid w:val="0077513A"/>
    <w:rsid w:val="00777F0D"/>
    <w:rsid w:val="00780664"/>
    <w:rsid w:val="00781F02"/>
    <w:rsid w:val="007821D4"/>
    <w:rsid w:val="00783733"/>
    <w:rsid w:val="0078678F"/>
    <w:rsid w:val="00790C5A"/>
    <w:rsid w:val="007911A8"/>
    <w:rsid w:val="00791236"/>
    <w:rsid w:val="00791381"/>
    <w:rsid w:val="00792C50"/>
    <w:rsid w:val="007934D5"/>
    <w:rsid w:val="00793F7E"/>
    <w:rsid w:val="00793FF7"/>
    <w:rsid w:val="00794554"/>
    <w:rsid w:val="00795071"/>
    <w:rsid w:val="00797C90"/>
    <w:rsid w:val="007A0F91"/>
    <w:rsid w:val="007A2403"/>
    <w:rsid w:val="007A2AF9"/>
    <w:rsid w:val="007A2BFD"/>
    <w:rsid w:val="007A690C"/>
    <w:rsid w:val="007B1ACD"/>
    <w:rsid w:val="007B2401"/>
    <w:rsid w:val="007B4C04"/>
    <w:rsid w:val="007B5732"/>
    <w:rsid w:val="007B63DC"/>
    <w:rsid w:val="007C19E1"/>
    <w:rsid w:val="007C2731"/>
    <w:rsid w:val="007C34BD"/>
    <w:rsid w:val="007C36B3"/>
    <w:rsid w:val="007C3F32"/>
    <w:rsid w:val="007C6365"/>
    <w:rsid w:val="007C709D"/>
    <w:rsid w:val="007C70DF"/>
    <w:rsid w:val="007C7241"/>
    <w:rsid w:val="007D325E"/>
    <w:rsid w:val="007D3FAE"/>
    <w:rsid w:val="007D45B4"/>
    <w:rsid w:val="007D4A5B"/>
    <w:rsid w:val="007D5277"/>
    <w:rsid w:val="007D59A3"/>
    <w:rsid w:val="007E17F9"/>
    <w:rsid w:val="007E211D"/>
    <w:rsid w:val="007E21C9"/>
    <w:rsid w:val="007E2316"/>
    <w:rsid w:val="007E2577"/>
    <w:rsid w:val="007E2ACD"/>
    <w:rsid w:val="007E307D"/>
    <w:rsid w:val="007E575E"/>
    <w:rsid w:val="007E5BF9"/>
    <w:rsid w:val="007E6353"/>
    <w:rsid w:val="007E6A14"/>
    <w:rsid w:val="007E7B6A"/>
    <w:rsid w:val="007F0A03"/>
    <w:rsid w:val="007F3B95"/>
    <w:rsid w:val="007F54B4"/>
    <w:rsid w:val="007F7343"/>
    <w:rsid w:val="007F7954"/>
    <w:rsid w:val="008022C4"/>
    <w:rsid w:val="008027FD"/>
    <w:rsid w:val="00802A41"/>
    <w:rsid w:val="0080408E"/>
    <w:rsid w:val="0080739D"/>
    <w:rsid w:val="008103E5"/>
    <w:rsid w:val="00820A1A"/>
    <w:rsid w:val="008252D6"/>
    <w:rsid w:val="00825FD8"/>
    <w:rsid w:val="00826ABD"/>
    <w:rsid w:val="00833E98"/>
    <w:rsid w:val="00834587"/>
    <w:rsid w:val="008348EF"/>
    <w:rsid w:val="00835023"/>
    <w:rsid w:val="0083559E"/>
    <w:rsid w:val="00836C9B"/>
    <w:rsid w:val="00840C4C"/>
    <w:rsid w:val="008449D5"/>
    <w:rsid w:val="00844AEB"/>
    <w:rsid w:val="00845772"/>
    <w:rsid w:val="00851783"/>
    <w:rsid w:val="00856E96"/>
    <w:rsid w:val="008570C8"/>
    <w:rsid w:val="00865A16"/>
    <w:rsid w:val="008664F0"/>
    <w:rsid w:val="008709BE"/>
    <w:rsid w:val="00870B51"/>
    <w:rsid w:val="008719FF"/>
    <w:rsid w:val="00876094"/>
    <w:rsid w:val="008761E3"/>
    <w:rsid w:val="008768AC"/>
    <w:rsid w:val="008814FF"/>
    <w:rsid w:val="008818A4"/>
    <w:rsid w:val="0088345C"/>
    <w:rsid w:val="008908C1"/>
    <w:rsid w:val="0089222F"/>
    <w:rsid w:val="008929DB"/>
    <w:rsid w:val="00894259"/>
    <w:rsid w:val="0089479F"/>
    <w:rsid w:val="00895364"/>
    <w:rsid w:val="00897175"/>
    <w:rsid w:val="00897295"/>
    <w:rsid w:val="008A401C"/>
    <w:rsid w:val="008A45EE"/>
    <w:rsid w:val="008A6073"/>
    <w:rsid w:val="008A7752"/>
    <w:rsid w:val="008B01F2"/>
    <w:rsid w:val="008B0562"/>
    <w:rsid w:val="008B076F"/>
    <w:rsid w:val="008B154C"/>
    <w:rsid w:val="008B16C4"/>
    <w:rsid w:val="008B21E9"/>
    <w:rsid w:val="008B688A"/>
    <w:rsid w:val="008B6E6C"/>
    <w:rsid w:val="008B764E"/>
    <w:rsid w:val="008C0CA0"/>
    <w:rsid w:val="008C1BE6"/>
    <w:rsid w:val="008C1C10"/>
    <w:rsid w:val="008C287C"/>
    <w:rsid w:val="008C3FD5"/>
    <w:rsid w:val="008C4566"/>
    <w:rsid w:val="008C4F19"/>
    <w:rsid w:val="008C653F"/>
    <w:rsid w:val="008C67B9"/>
    <w:rsid w:val="008C78E4"/>
    <w:rsid w:val="008C7DE3"/>
    <w:rsid w:val="008D239F"/>
    <w:rsid w:val="008D5223"/>
    <w:rsid w:val="008D7793"/>
    <w:rsid w:val="008D7952"/>
    <w:rsid w:val="008E332E"/>
    <w:rsid w:val="008E5C68"/>
    <w:rsid w:val="008E6ECC"/>
    <w:rsid w:val="008E7854"/>
    <w:rsid w:val="008E799B"/>
    <w:rsid w:val="008F2135"/>
    <w:rsid w:val="008F2382"/>
    <w:rsid w:val="008F30DF"/>
    <w:rsid w:val="008F3C4D"/>
    <w:rsid w:val="008F4606"/>
    <w:rsid w:val="008F55DC"/>
    <w:rsid w:val="008F56EF"/>
    <w:rsid w:val="008F7AE6"/>
    <w:rsid w:val="00901666"/>
    <w:rsid w:val="00901B91"/>
    <w:rsid w:val="00901CE1"/>
    <w:rsid w:val="0090238D"/>
    <w:rsid w:val="00903C2C"/>
    <w:rsid w:val="0091042D"/>
    <w:rsid w:val="00913D0F"/>
    <w:rsid w:val="00914743"/>
    <w:rsid w:val="009154BB"/>
    <w:rsid w:val="00915A5C"/>
    <w:rsid w:val="00916CD8"/>
    <w:rsid w:val="00920891"/>
    <w:rsid w:val="009216BF"/>
    <w:rsid w:val="009225CA"/>
    <w:rsid w:val="009250A6"/>
    <w:rsid w:val="00925184"/>
    <w:rsid w:val="00927308"/>
    <w:rsid w:val="00930057"/>
    <w:rsid w:val="009302A0"/>
    <w:rsid w:val="00931096"/>
    <w:rsid w:val="00931AE4"/>
    <w:rsid w:val="00935C8F"/>
    <w:rsid w:val="00937867"/>
    <w:rsid w:val="0093798E"/>
    <w:rsid w:val="00941AB9"/>
    <w:rsid w:val="00942D41"/>
    <w:rsid w:val="00945A98"/>
    <w:rsid w:val="00945C93"/>
    <w:rsid w:val="00947CE0"/>
    <w:rsid w:val="00947D1C"/>
    <w:rsid w:val="00950D90"/>
    <w:rsid w:val="00952DF0"/>
    <w:rsid w:val="009564D1"/>
    <w:rsid w:val="00956F92"/>
    <w:rsid w:val="0095738F"/>
    <w:rsid w:val="0095765F"/>
    <w:rsid w:val="009622D2"/>
    <w:rsid w:val="009623C0"/>
    <w:rsid w:val="00962FDC"/>
    <w:rsid w:val="00964AB3"/>
    <w:rsid w:val="00965FD3"/>
    <w:rsid w:val="009665E3"/>
    <w:rsid w:val="0096716C"/>
    <w:rsid w:val="00971407"/>
    <w:rsid w:val="00973716"/>
    <w:rsid w:val="00974174"/>
    <w:rsid w:val="00974D71"/>
    <w:rsid w:val="009753A3"/>
    <w:rsid w:val="0098005F"/>
    <w:rsid w:val="00981315"/>
    <w:rsid w:val="00983923"/>
    <w:rsid w:val="00983A7C"/>
    <w:rsid w:val="009853B9"/>
    <w:rsid w:val="00987732"/>
    <w:rsid w:val="00991DFA"/>
    <w:rsid w:val="00993307"/>
    <w:rsid w:val="0099370D"/>
    <w:rsid w:val="0099594D"/>
    <w:rsid w:val="00995C77"/>
    <w:rsid w:val="00996895"/>
    <w:rsid w:val="00996948"/>
    <w:rsid w:val="009A1186"/>
    <w:rsid w:val="009A11D3"/>
    <w:rsid w:val="009A1B42"/>
    <w:rsid w:val="009A49BD"/>
    <w:rsid w:val="009A5253"/>
    <w:rsid w:val="009A666D"/>
    <w:rsid w:val="009A70C4"/>
    <w:rsid w:val="009B0703"/>
    <w:rsid w:val="009B0E65"/>
    <w:rsid w:val="009B39F4"/>
    <w:rsid w:val="009B40E0"/>
    <w:rsid w:val="009B4AAD"/>
    <w:rsid w:val="009B4C47"/>
    <w:rsid w:val="009B4DAB"/>
    <w:rsid w:val="009B6584"/>
    <w:rsid w:val="009B6A8C"/>
    <w:rsid w:val="009C0C6D"/>
    <w:rsid w:val="009C0F09"/>
    <w:rsid w:val="009C1575"/>
    <w:rsid w:val="009C20EE"/>
    <w:rsid w:val="009C29C2"/>
    <w:rsid w:val="009C2E8D"/>
    <w:rsid w:val="009C42CC"/>
    <w:rsid w:val="009C6101"/>
    <w:rsid w:val="009C67DC"/>
    <w:rsid w:val="009C7971"/>
    <w:rsid w:val="009D5A79"/>
    <w:rsid w:val="009D66F8"/>
    <w:rsid w:val="009D6C05"/>
    <w:rsid w:val="009D7FD1"/>
    <w:rsid w:val="009E0C77"/>
    <w:rsid w:val="009E10CA"/>
    <w:rsid w:val="009E1887"/>
    <w:rsid w:val="009E24A7"/>
    <w:rsid w:val="009E2C1A"/>
    <w:rsid w:val="009E486A"/>
    <w:rsid w:val="009E5E55"/>
    <w:rsid w:val="009E7238"/>
    <w:rsid w:val="009E76BF"/>
    <w:rsid w:val="009F0C42"/>
    <w:rsid w:val="009F47D4"/>
    <w:rsid w:val="009F4DE9"/>
    <w:rsid w:val="009F5621"/>
    <w:rsid w:val="009F67C5"/>
    <w:rsid w:val="009F7077"/>
    <w:rsid w:val="00A01133"/>
    <w:rsid w:val="00A02168"/>
    <w:rsid w:val="00A028BB"/>
    <w:rsid w:val="00A049F0"/>
    <w:rsid w:val="00A051D8"/>
    <w:rsid w:val="00A11EEA"/>
    <w:rsid w:val="00A124A7"/>
    <w:rsid w:val="00A150E0"/>
    <w:rsid w:val="00A15E7B"/>
    <w:rsid w:val="00A22E3F"/>
    <w:rsid w:val="00A253B0"/>
    <w:rsid w:val="00A25795"/>
    <w:rsid w:val="00A268A9"/>
    <w:rsid w:val="00A272B9"/>
    <w:rsid w:val="00A30E21"/>
    <w:rsid w:val="00A312FF"/>
    <w:rsid w:val="00A31626"/>
    <w:rsid w:val="00A31E17"/>
    <w:rsid w:val="00A3394F"/>
    <w:rsid w:val="00A40977"/>
    <w:rsid w:val="00A418A4"/>
    <w:rsid w:val="00A423B6"/>
    <w:rsid w:val="00A42B7D"/>
    <w:rsid w:val="00A44475"/>
    <w:rsid w:val="00A4580F"/>
    <w:rsid w:val="00A479BD"/>
    <w:rsid w:val="00A55F9B"/>
    <w:rsid w:val="00A566A3"/>
    <w:rsid w:val="00A57A76"/>
    <w:rsid w:val="00A60399"/>
    <w:rsid w:val="00A60533"/>
    <w:rsid w:val="00A60E65"/>
    <w:rsid w:val="00A6141A"/>
    <w:rsid w:val="00A61ABB"/>
    <w:rsid w:val="00A62331"/>
    <w:rsid w:val="00A628B0"/>
    <w:rsid w:val="00A62E84"/>
    <w:rsid w:val="00A6388F"/>
    <w:rsid w:val="00A64459"/>
    <w:rsid w:val="00A64AD2"/>
    <w:rsid w:val="00A64F06"/>
    <w:rsid w:val="00A65E0D"/>
    <w:rsid w:val="00A65FCD"/>
    <w:rsid w:val="00A66286"/>
    <w:rsid w:val="00A66F5C"/>
    <w:rsid w:val="00A673CA"/>
    <w:rsid w:val="00A67EEE"/>
    <w:rsid w:val="00A700B4"/>
    <w:rsid w:val="00A72EB9"/>
    <w:rsid w:val="00A737B1"/>
    <w:rsid w:val="00A7492C"/>
    <w:rsid w:val="00A75618"/>
    <w:rsid w:val="00A757C8"/>
    <w:rsid w:val="00A76FEB"/>
    <w:rsid w:val="00A7779C"/>
    <w:rsid w:val="00A83A57"/>
    <w:rsid w:val="00A9016B"/>
    <w:rsid w:val="00A90446"/>
    <w:rsid w:val="00A90848"/>
    <w:rsid w:val="00A92DE0"/>
    <w:rsid w:val="00A93044"/>
    <w:rsid w:val="00A94CD8"/>
    <w:rsid w:val="00A9580D"/>
    <w:rsid w:val="00A95BDE"/>
    <w:rsid w:val="00A9611A"/>
    <w:rsid w:val="00A96315"/>
    <w:rsid w:val="00A9675C"/>
    <w:rsid w:val="00AA0003"/>
    <w:rsid w:val="00AA0738"/>
    <w:rsid w:val="00AA0C38"/>
    <w:rsid w:val="00AA6516"/>
    <w:rsid w:val="00AA69D5"/>
    <w:rsid w:val="00AB12CD"/>
    <w:rsid w:val="00AB19BF"/>
    <w:rsid w:val="00AB2E5A"/>
    <w:rsid w:val="00AB3ADC"/>
    <w:rsid w:val="00AB5013"/>
    <w:rsid w:val="00AC0AFD"/>
    <w:rsid w:val="00AC3229"/>
    <w:rsid w:val="00AC4F7A"/>
    <w:rsid w:val="00AC5AA8"/>
    <w:rsid w:val="00AC691A"/>
    <w:rsid w:val="00AD0A6F"/>
    <w:rsid w:val="00AD0D74"/>
    <w:rsid w:val="00AD3602"/>
    <w:rsid w:val="00AD5309"/>
    <w:rsid w:val="00AE0C81"/>
    <w:rsid w:val="00AE3665"/>
    <w:rsid w:val="00AE6F5C"/>
    <w:rsid w:val="00AE7213"/>
    <w:rsid w:val="00AE7D62"/>
    <w:rsid w:val="00AF0406"/>
    <w:rsid w:val="00AF046E"/>
    <w:rsid w:val="00AF2E68"/>
    <w:rsid w:val="00AF6F07"/>
    <w:rsid w:val="00AF7A80"/>
    <w:rsid w:val="00B01056"/>
    <w:rsid w:val="00B01970"/>
    <w:rsid w:val="00B01D68"/>
    <w:rsid w:val="00B04861"/>
    <w:rsid w:val="00B04D46"/>
    <w:rsid w:val="00B054A9"/>
    <w:rsid w:val="00B0698C"/>
    <w:rsid w:val="00B07703"/>
    <w:rsid w:val="00B07D9C"/>
    <w:rsid w:val="00B07DBF"/>
    <w:rsid w:val="00B11381"/>
    <w:rsid w:val="00B11390"/>
    <w:rsid w:val="00B1404C"/>
    <w:rsid w:val="00B15448"/>
    <w:rsid w:val="00B16350"/>
    <w:rsid w:val="00B215B6"/>
    <w:rsid w:val="00B21E31"/>
    <w:rsid w:val="00B23AE2"/>
    <w:rsid w:val="00B23B78"/>
    <w:rsid w:val="00B251B2"/>
    <w:rsid w:val="00B254BF"/>
    <w:rsid w:val="00B2674C"/>
    <w:rsid w:val="00B27DD6"/>
    <w:rsid w:val="00B30A6F"/>
    <w:rsid w:val="00B30D1E"/>
    <w:rsid w:val="00B311C1"/>
    <w:rsid w:val="00B3148E"/>
    <w:rsid w:val="00B31EF4"/>
    <w:rsid w:val="00B323A3"/>
    <w:rsid w:val="00B3430A"/>
    <w:rsid w:val="00B3506F"/>
    <w:rsid w:val="00B3690E"/>
    <w:rsid w:val="00B37B4B"/>
    <w:rsid w:val="00B37C52"/>
    <w:rsid w:val="00B42DFD"/>
    <w:rsid w:val="00B45707"/>
    <w:rsid w:val="00B4768C"/>
    <w:rsid w:val="00B50870"/>
    <w:rsid w:val="00B519F0"/>
    <w:rsid w:val="00B5258F"/>
    <w:rsid w:val="00B5343F"/>
    <w:rsid w:val="00B554F7"/>
    <w:rsid w:val="00B55D9D"/>
    <w:rsid w:val="00B5603C"/>
    <w:rsid w:val="00B56D64"/>
    <w:rsid w:val="00B574E0"/>
    <w:rsid w:val="00B60990"/>
    <w:rsid w:val="00B61B27"/>
    <w:rsid w:val="00B61BFD"/>
    <w:rsid w:val="00B6469D"/>
    <w:rsid w:val="00B64860"/>
    <w:rsid w:val="00B71DDB"/>
    <w:rsid w:val="00B72F2E"/>
    <w:rsid w:val="00B7349E"/>
    <w:rsid w:val="00B73E47"/>
    <w:rsid w:val="00B73F19"/>
    <w:rsid w:val="00B75137"/>
    <w:rsid w:val="00B77D93"/>
    <w:rsid w:val="00B81098"/>
    <w:rsid w:val="00B81D66"/>
    <w:rsid w:val="00B86054"/>
    <w:rsid w:val="00B86445"/>
    <w:rsid w:val="00B91954"/>
    <w:rsid w:val="00B95AEF"/>
    <w:rsid w:val="00B97497"/>
    <w:rsid w:val="00B978F8"/>
    <w:rsid w:val="00B97E7A"/>
    <w:rsid w:val="00BA07E4"/>
    <w:rsid w:val="00BA37C9"/>
    <w:rsid w:val="00BA46B2"/>
    <w:rsid w:val="00BA5451"/>
    <w:rsid w:val="00BA7DAB"/>
    <w:rsid w:val="00BB0B20"/>
    <w:rsid w:val="00BB0D1A"/>
    <w:rsid w:val="00BB171B"/>
    <w:rsid w:val="00BB1930"/>
    <w:rsid w:val="00BB3700"/>
    <w:rsid w:val="00BB3E94"/>
    <w:rsid w:val="00BB4E56"/>
    <w:rsid w:val="00BB63C5"/>
    <w:rsid w:val="00BB788F"/>
    <w:rsid w:val="00BC3C75"/>
    <w:rsid w:val="00BC3F1E"/>
    <w:rsid w:val="00BC4572"/>
    <w:rsid w:val="00BC4898"/>
    <w:rsid w:val="00BC714A"/>
    <w:rsid w:val="00BC71D1"/>
    <w:rsid w:val="00BC76B0"/>
    <w:rsid w:val="00BC7B60"/>
    <w:rsid w:val="00BD0D01"/>
    <w:rsid w:val="00BD1E05"/>
    <w:rsid w:val="00BD2467"/>
    <w:rsid w:val="00BD25B9"/>
    <w:rsid w:val="00BD2D00"/>
    <w:rsid w:val="00BD4D03"/>
    <w:rsid w:val="00BD5E91"/>
    <w:rsid w:val="00BD60C1"/>
    <w:rsid w:val="00BE4899"/>
    <w:rsid w:val="00BE55C5"/>
    <w:rsid w:val="00BE592F"/>
    <w:rsid w:val="00BE76EC"/>
    <w:rsid w:val="00BE776A"/>
    <w:rsid w:val="00BF2D5B"/>
    <w:rsid w:val="00BF3493"/>
    <w:rsid w:val="00BF3F35"/>
    <w:rsid w:val="00BF533C"/>
    <w:rsid w:val="00BF6CBD"/>
    <w:rsid w:val="00BF7732"/>
    <w:rsid w:val="00C00419"/>
    <w:rsid w:val="00C006B5"/>
    <w:rsid w:val="00C01D63"/>
    <w:rsid w:val="00C02DC5"/>
    <w:rsid w:val="00C02E27"/>
    <w:rsid w:val="00C03106"/>
    <w:rsid w:val="00C038A0"/>
    <w:rsid w:val="00C0615A"/>
    <w:rsid w:val="00C079BD"/>
    <w:rsid w:val="00C10181"/>
    <w:rsid w:val="00C10E4F"/>
    <w:rsid w:val="00C1174D"/>
    <w:rsid w:val="00C1206D"/>
    <w:rsid w:val="00C210E3"/>
    <w:rsid w:val="00C2118A"/>
    <w:rsid w:val="00C225E0"/>
    <w:rsid w:val="00C23164"/>
    <w:rsid w:val="00C23753"/>
    <w:rsid w:val="00C25C63"/>
    <w:rsid w:val="00C26032"/>
    <w:rsid w:val="00C3230D"/>
    <w:rsid w:val="00C32D90"/>
    <w:rsid w:val="00C333A2"/>
    <w:rsid w:val="00C35C57"/>
    <w:rsid w:val="00C36D2A"/>
    <w:rsid w:val="00C36EF8"/>
    <w:rsid w:val="00C410B0"/>
    <w:rsid w:val="00C41698"/>
    <w:rsid w:val="00C42F6F"/>
    <w:rsid w:val="00C44978"/>
    <w:rsid w:val="00C45BD1"/>
    <w:rsid w:val="00C471F1"/>
    <w:rsid w:val="00C4785A"/>
    <w:rsid w:val="00C47CE1"/>
    <w:rsid w:val="00C47E04"/>
    <w:rsid w:val="00C500E6"/>
    <w:rsid w:val="00C50A83"/>
    <w:rsid w:val="00C528BF"/>
    <w:rsid w:val="00C54A1F"/>
    <w:rsid w:val="00C551CB"/>
    <w:rsid w:val="00C61AA4"/>
    <w:rsid w:val="00C62E74"/>
    <w:rsid w:val="00C6302C"/>
    <w:rsid w:val="00C65FBA"/>
    <w:rsid w:val="00C66DAA"/>
    <w:rsid w:val="00C70833"/>
    <w:rsid w:val="00C7229C"/>
    <w:rsid w:val="00C73767"/>
    <w:rsid w:val="00C737EB"/>
    <w:rsid w:val="00C74EB5"/>
    <w:rsid w:val="00C75EAB"/>
    <w:rsid w:val="00C7697D"/>
    <w:rsid w:val="00C76D7B"/>
    <w:rsid w:val="00C77BF5"/>
    <w:rsid w:val="00C77F22"/>
    <w:rsid w:val="00C81A7F"/>
    <w:rsid w:val="00C8325B"/>
    <w:rsid w:val="00C83569"/>
    <w:rsid w:val="00C8776C"/>
    <w:rsid w:val="00C90150"/>
    <w:rsid w:val="00C90D08"/>
    <w:rsid w:val="00C910B7"/>
    <w:rsid w:val="00C911A2"/>
    <w:rsid w:val="00C911FA"/>
    <w:rsid w:val="00C919A2"/>
    <w:rsid w:val="00C91E1E"/>
    <w:rsid w:val="00C91F5D"/>
    <w:rsid w:val="00C92AA8"/>
    <w:rsid w:val="00C933CF"/>
    <w:rsid w:val="00CA4324"/>
    <w:rsid w:val="00CA6CDC"/>
    <w:rsid w:val="00CB0144"/>
    <w:rsid w:val="00CB0B77"/>
    <w:rsid w:val="00CB26CB"/>
    <w:rsid w:val="00CB2D6A"/>
    <w:rsid w:val="00CB48DE"/>
    <w:rsid w:val="00CB58E4"/>
    <w:rsid w:val="00CB71E1"/>
    <w:rsid w:val="00CB7C83"/>
    <w:rsid w:val="00CC02D0"/>
    <w:rsid w:val="00CC1101"/>
    <w:rsid w:val="00CC2190"/>
    <w:rsid w:val="00CC2799"/>
    <w:rsid w:val="00CC3A3C"/>
    <w:rsid w:val="00CC4CBD"/>
    <w:rsid w:val="00CC4CC6"/>
    <w:rsid w:val="00CC4CDA"/>
    <w:rsid w:val="00CC508D"/>
    <w:rsid w:val="00CC7365"/>
    <w:rsid w:val="00CD016B"/>
    <w:rsid w:val="00CD1FD3"/>
    <w:rsid w:val="00CD3C5E"/>
    <w:rsid w:val="00CD484D"/>
    <w:rsid w:val="00CD66CB"/>
    <w:rsid w:val="00CD72C4"/>
    <w:rsid w:val="00CD7E8E"/>
    <w:rsid w:val="00CE1DA6"/>
    <w:rsid w:val="00CE5C51"/>
    <w:rsid w:val="00CE5D60"/>
    <w:rsid w:val="00CF14EB"/>
    <w:rsid w:val="00CF222B"/>
    <w:rsid w:val="00CF458C"/>
    <w:rsid w:val="00CF48CA"/>
    <w:rsid w:val="00CF5AE3"/>
    <w:rsid w:val="00CF7E04"/>
    <w:rsid w:val="00D000D3"/>
    <w:rsid w:val="00D0046D"/>
    <w:rsid w:val="00D0246A"/>
    <w:rsid w:val="00D033DE"/>
    <w:rsid w:val="00D0763F"/>
    <w:rsid w:val="00D11634"/>
    <w:rsid w:val="00D122E6"/>
    <w:rsid w:val="00D124D6"/>
    <w:rsid w:val="00D12791"/>
    <w:rsid w:val="00D138E0"/>
    <w:rsid w:val="00D14DE7"/>
    <w:rsid w:val="00D15DC7"/>
    <w:rsid w:val="00D16C3A"/>
    <w:rsid w:val="00D179A7"/>
    <w:rsid w:val="00D2063D"/>
    <w:rsid w:val="00D22A3A"/>
    <w:rsid w:val="00D239E7"/>
    <w:rsid w:val="00D25857"/>
    <w:rsid w:val="00D25BCF"/>
    <w:rsid w:val="00D27F27"/>
    <w:rsid w:val="00D33680"/>
    <w:rsid w:val="00D33E4C"/>
    <w:rsid w:val="00D3635C"/>
    <w:rsid w:val="00D36839"/>
    <w:rsid w:val="00D36E13"/>
    <w:rsid w:val="00D3787F"/>
    <w:rsid w:val="00D40158"/>
    <w:rsid w:val="00D4072C"/>
    <w:rsid w:val="00D421E0"/>
    <w:rsid w:val="00D42BC3"/>
    <w:rsid w:val="00D436E4"/>
    <w:rsid w:val="00D45749"/>
    <w:rsid w:val="00D47135"/>
    <w:rsid w:val="00D47EF7"/>
    <w:rsid w:val="00D51D4B"/>
    <w:rsid w:val="00D52AB1"/>
    <w:rsid w:val="00D52BCB"/>
    <w:rsid w:val="00D5317A"/>
    <w:rsid w:val="00D54A77"/>
    <w:rsid w:val="00D55C7C"/>
    <w:rsid w:val="00D616C1"/>
    <w:rsid w:val="00D62EF3"/>
    <w:rsid w:val="00D632E0"/>
    <w:rsid w:val="00D637FD"/>
    <w:rsid w:val="00D65388"/>
    <w:rsid w:val="00D65560"/>
    <w:rsid w:val="00D70D54"/>
    <w:rsid w:val="00D7413D"/>
    <w:rsid w:val="00D747F3"/>
    <w:rsid w:val="00D74999"/>
    <w:rsid w:val="00D769C8"/>
    <w:rsid w:val="00D805B1"/>
    <w:rsid w:val="00D81A2D"/>
    <w:rsid w:val="00D820BF"/>
    <w:rsid w:val="00D823F6"/>
    <w:rsid w:val="00D83E6B"/>
    <w:rsid w:val="00D87D9A"/>
    <w:rsid w:val="00D90961"/>
    <w:rsid w:val="00D90992"/>
    <w:rsid w:val="00D918C1"/>
    <w:rsid w:val="00D926E9"/>
    <w:rsid w:val="00D93644"/>
    <w:rsid w:val="00D94497"/>
    <w:rsid w:val="00D956B0"/>
    <w:rsid w:val="00D95E78"/>
    <w:rsid w:val="00D96936"/>
    <w:rsid w:val="00D96F6E"/>
    <w:rsid w:val="00DA01EE"/>
    <w:rsid w:val="00DA34B7"/>
    <w:rsid w:val="00DA4297"/>
    <w:rsid w:val="00DA569F"/>
    <w:rsid w:val="00DB0BCF"/>
    <w:rsid w:val="00DB22DA"/>
    <w:rsid w:val="00DB301B"/>
    <w:rsid w:val="00DB5C55"/>
    <w:rsid w:val="00DB65C8"/>
    <w:rsid w:val="00DB68F8"/>
    <w:rsid w:val="00DC1C6A"/>
    <w:rsid w:val="00DC4115"/>
    <w:rsid w:val="00DD1029"/>
    <w:rsid w:val="00DD389A"/>
    <w:rsid w:val="00DD39DC"/>
    <w:rsid w:val="00DD48D3"/>
    <w:rsid w:val="00DD49FB"/>
    <w:rsid w:val="00DD5346"/>
    <w:rsid w:val="00DD649B"/>
    <w:rsid w:val="00DD6967"/>
    <w:rsid w:val="00DD7581"/>
    <w:rsid w:val="00DE0E5C"/>
    <w:rsid w:val="00DE1B88"/>
    <w:rsid w:val="00DE2588"/>
    <w:rsid w:val="00DE318D"/>
    <w:rsid w:val="00DE3828"/>
    <w:rsid w:val="00DE4A80"/>
    <w:rsid w:val="00DE5191"/>
    <w:rsid w:val="00DE5217"/>
    <w:rsid w:val="00DE5D6A"/>
    <w:rsid w:val="00DE7322"/>
    <w:rsid w:val="00DF063D"/>
    <w:rsid w:val="00DF2B30"/>
    <w:rsid w:val="00DF5890"/>
    <w:rsid w:val="00DF5985"/>
    <w:rsid w:val="00DF5C21"/>
    <w:rsid w:val="00DF7CFE"/>
    <w:rsid w:val="00E0255E"/>
    <w:rsid w:val="00E03054"/>
    <w:rsid w:val="00E04536"/>
    <w:rsid w:val="00E05E3C"/>
    <w:rsid w:val="00E148B7"/>
    <w:rsid w:val="00E15F51"/>
    <w:rsid w:val="00E15F79"/>
    <w:rsid w:val="00E165B6"/>
    <w:rsid w:val="00E16D81"/>
    <w:rsid w:val="00E1752D"/>
    <w:rsid w:val="00E17CF5"/>
    <w:rsid w:val="00E22116"/>
    <w:rsid w:val="00E2523F"/>
    <w:rsid w:val="00E25968"/>
    <w:rsid w:val="00E307A0"/>
    <w:rsid w:val="00E31C52"/>
    <w:rsid w:val="00E35421"/>
    <w:rsid w:val="00E358BF"/>
    <w:rsid w:val="00E36261"/>
    <w:rsid w:val="00E37266"/>
    <w:rsid w:val="00E401A4"/>
    <w:rsid w:val="00E40312"/>
    <w:rsid w:val="00E405E9"/>
    <w:rsid w:val="00E40DA5"/>
    <w:rsid w:val="00E4178A"/>
    <w:rsid w:val="00E43580"/>
    <w:rsid w:val="00E43CBF"/>
    <w:rsid w:val="00E47379"/>
    <w:rsid w:val="00E478C0"/>
    <w:rsid w:val="00E50AC4"/>
    <w:rsid w:val="00E50E6E"/>
    <w:rsid w:val="00E52D8C"/>
    <w:rsid w:val="00E531D6"/>
    <w:rsid w:val="00E53958"/>
    <w:rsid w:val="00E53F38"/>
    <w:rsid w:val="00E5577B"/>
    <w:rsid w:val="00E55A6E"/>
    <w:rsid w:val="00E56F6F"/>
    <w:rsid w:val="00E62C32"/>
    <w:rsid w:val="00E62D61"/>
    <w:rsid w:val="00E62F9C"/>
    <w:rsid w:val="00E64879"/>
    <w:rsid w:val="00E65AF4"/>
    <w:rsid w:val="00E67466"/>
    <w:rsid w:val="00E70514"/>
    <w:rsid w:val="00E723C2"/>
    <w:rsid w:val="00E72E48"/>
    <w:rsid w:val="00E771A9"/>
    <w:rsid w:val="00E77885"/>
    <w:rsid w:val="00E8014F"/>
    <w:rsid w:val="00E80C5A"/>
    <w:rsid w:val="00E8233C"/>
    <w:rsid w:val="00E82BE0"/>
    <w:rsid w:val="00E83EF8"/>
    <w:rsid w:val="00E84875"/>
    <w:rsid w:val="00E8552F"/>
    <w:rsid w:val="00E86DE9"/>
    <w:rsid w:val="00E91B13"/>
    <w:rsid w:val="00E92639"/>
    <w:rsid w:val="00E96553"/>
    <w:rsid w:val="00E96DA2"/>
    <w:rsid w:val="00E9777F"/>
    <w:rsid w:val="00EA0468"/>
    <w:rsid w:val="00EA0EEE"/>
    <w:rsid w:val="00EA1A26"/>
    <w:rsid w:val="00EA5A28"/>
    <w:rsid w:val="00EA5CB1"/>
    <w:rsid w:val="00EA7E50"/>
    <w:rsid w:val="00EB0A31"/>
    <w:rsid w:val="00EB179B"/>
    <w:rsid w:val="00EB23B9"/>
    <w:rsid w:val="00EB2C88"/>
    <w:rsid w:val="00EB658C"/>
    <w:rsid w:val="00EC1C38"/>
    <w:rsid w:val="00EC1C39"/>
    <w:rsid w:val="00EC360E"/>
    <w:rsid w:val="00EC4123"/>
    <w:rsid w:val="00EC6A48"/>
    <w:rsid w:val="00ED022D"/>
    <w:rsid w:val="00ED0E34"/>
    <w:rsid w:val="00ED1B13"/>
    <w:rsid w:val="00ED2F95"/>
    <w:rsid w:val="00ED33DF"/>
    <w:rsid w:val="00ED4D0B"/>
    <w:rsid w:val="00ED6AA5"/>
    <w:rsid w:val="00EE1BCC"/>
    <w:rsid w:val="00EE31B8"/>
    <w:rsid w:val="00EE38D5"/>
    <w:rsid w:val="00EE5AE3"/>
    <w:rsid w:val="00EF2792"/>
    <w:rsid w:val="00EF330F"/>
    <w:rsid w:val="00EF4676"/>
    <w:rsid w:val="00EF59A0"/>
    <w:rsid w:val="00EF6736"/>
    <w:rsid w:val="00EF6B83"/>
    <w:rsid w:val="00EF6FC5"/>
    <w:rsid w:val="00EF7100"/>
    <w:rsid w:val="00F00602"/>
    <w:rsid w:val="00F01A47"/>
    <w:rsid w:val="00F01BD6"/>
    <w:rsid w:val="00F01FA4"/>
    <w:rsid w:val="00F01FE8"/>
    <w:rsid w:val="00F020E4"/>
    <w:rsid w:val="00F021E0"/>
    <w:rsid w:val="00F02242"/>
    <w:rsid w:val="00F04149"/>
    <w:rsid w:val="00F059E4"/>
    <w:rsid w:val="00F0635A"/>
    <w:rsid w:val="00F07AB0"/>
    <w:rsid w:val="00F13CF9"/>
    <w:rsid w:val="00F143FE"/>
    <w:rsid w:val="00F165F6"/>
    <w:rsid w:val="00F17A1C"/>
    <w:rsid w:val="00F17FD3"/>
    <w:rsid w:val="00F206A4"/>
    <w:rsid w:val="00F208A6"/>
    <w:rsid w:val="00F20B6C"/>
    <w:rsid w:val="00F24777"/>
    <w:rsid w:val="00F24B29"/>
    <w:rsid w:val="00F24B55"/>
    <w:rsid w:val="00F25FCF"/>
    <w:rsid w:val="00F26621"/>
    <w:rsid w:val="00F27389"/>
    <w:rsid w:val="00F2777C"/>
    <w:rsid w:val="00F30556"/>
    <w:rsid w:val="00F30F9E"/>
    <w:rsid w:val="00F31F8A"/>
    <w:rsid w:val="00F32E9E"/>
    <w:rsid w:val="00F33423"/>
    <w:rsid w:val="00F33740"/>
    <w:rsid w:val="00F347F5"/>
    <w:rsid w:val="00F3485F"/>
    <w:rsid w:val="00F353E0"/>
    <w:rsid w:val="00F36298"/>
    <w:rsid w:val="00F3726C"/>
    <w:rsid w:val="00F37D74"/>
    <w:rsid w:val="00F40026"/>
    <w:rsid w:val="00F4168F"/>
    <w:rsid w:val="00F426D0"/>
    <w:rsid w:val="00F449DF"/>
    <w:rsid w:val="00F45776"/>
    <w:rsid w:val="00F464E2"/>
    <w:rsid w:val="00F47536"/>
    <w:rsid w:val="00F536EC"/>
    <w:rsid w:val="00F54A9B"/>
    <w:rsid w:val="00F55C58"/>
    <w:rsid w:val="00F560A1"/>
    <w:rsid w:val="00F620B0"/>
    <w:rsid w:val="00F620B2"/>
    <w:rsid w:val="00F62177"/>
    <w:rsid w:val="00F62441"/>
    <w:rsid w:val="00F63B24"/>
    <w:rsid w:val="00F6568A"/>
    <w:rsid w:val="00F66E7C"/>
    <w:rsid w:val="00F72DE3"/>
    <w:rsid w:val="00F73EF6"/>
    <w:rsid w:val="00F76035"/>
    <w:rsid w:val="00F76A1B"/>
    <w:rsid w:val="00F76BCE"/>
    <w:rsid w:val="00F770EF"/>
    <w:rsid w:val="00F77411"/>
    <w:rsid w:val="00F80708"/>
    <w:rsid w:val="00F80770"/>
    <w:rsid w:val="00F82BE8"/>
    <w:rsid w:val="00F82D87"/>
    <w:rsid w:val="00F84506"/>
    <w:rsid w:val="00F85DBE"/>
    <w:rsid w:val="00F85EB6"/>
    <w:rsid w:val="00F87328"/>
    <w:rsid w:val="00F90279"/>
    <w:rsid w:val="00F90E78"/>
    <w:rsid w:val="00F9103D"/>
    <w:rsid w:val="00F920B1"/>
    <w:rsid w:val="00F926AE"/>
    <w:rsid w:val="00F94410"/>
    <w:rsid w:val="00F945BD"/>
    <w:rsid w:val="00F9465B"/>
    <w:rsid w:val="00F95047"/>
    <w:rsid w:val="00F9617F"/>
    <w:rsid w:val="00F97667"/>
    <w:rsid w:val="00F97D98"/>
    <w:rsid w:val="00FA41EA"/>
    <w:rsid w:val="00FA56D0"/>
    <w:rsid w:val="00FA6239"/>
    <w:rsid w:val="00FA69CB"/>
    <w:rsid w:val="00FB0A77"/>
    <w:rsid w:val="00FB1AF2"/>
    <w:rsid w:val="00FB1B1A"/>
    <w:rsid w:val="00FB3A1F"/>
    <w:rsid w:val="00FB4BED"/>
    <w:rsid w:val="00FB50D3"/>
    <w:rsid w:val="00FB544A"/>
    <w:rsid w:val="00FB5484"/>
    <w:rsid w:val="00FC0A80"/>
    <w:rsid w:val="00FC0F96"/>
    <w:rsid w:val="00FC130F"/>
    <w:rsid w:val="00FC23A6"/>
    <w:rsid w:val="00FC4CCB"/>
    <w:rsid w:val="00FC4D4D"/>
    <w:rsid w:val="00FC6742"/>
    <w:rsid w:val="00FC7B93"/>
    <w:rsid w:val="00FD0445"/>
    <w:rsid w:val="00FD6C20"/>
    <w:rsid w:val="00FE1447"/>
    <w:rsid w:val="00FE165C"/>
    <w:rsid w:val="00FE1CBD"/>
    <w:rsid w:val="00FE3885"/>
    <w:rsid w:val="00FE3FB4"/>
    <w:rsid w:val="00FE54EA"/>
    <w:rsid w:val="00FE5D7B"/>
    <w:rsid w:val="00FE7CB4"/>
    <w:rsid w:val="00FF1C29"/>
    <w:rsid w:val="00FF34C6"/>
    <w:rsid w:val="00FF5929"/>
    <w:rsid w:val="00FF5AD1"/>
    <w:rsid w:val="00FF6BD6"/>
    <w:rsid w:val="00FF6F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9E7"/>
    <w:pPr>
      <w:spacing w:before="120" w:line="480" w:lineRule="auto"/>
      <w:ind w:firstLine="567"/>
      <w:jc w:val="both"/>
    </w:pPr>
    <w:rPr>
      <w:sz w:val="24"/>
      <w:szCs w:val="24"/>
      <w:lang w:val="en-GB"/>
    </w:rPr>
  </w:style>
  <w:style w:type="paragraph" w:styleId="Titre1">
    <w:name w:val="heading 1"/>
    <w:basedOn w:val="Normal"/>
    <w:next w:val="Normal"/>
    <w:qFormat/>
    <w:rsid w:val="007E21C9"/>
    <w:pPr>
      <w:keepNext/>
      <w:spacing w:before="240" w:after="120"/>
      <w:ind w:firstLine="0"/>
      <w:jc w:val="center"/>
      <w:outlineLvl w:val="0"/>
    </w:pPr>
    <w:rPr>
      <w:rFonts w:cs="Arial"/>
      <w:b/>
      <w:bCs/>
      <w:kern w:val="32"/>
      <w:sz w:val="32"/>
      <w:szCs w:val="32"/>
    </w:rPr>
  </w:style>
  <w:style w:type="paragraph" w:styleId="Titre2">
    <w:name w:val="heading 2"/>
    <w:basedOn w:val="Normal"/>
    <w:next w:val="Normal"/>
    <w:qFormat/>
    <w:rsid w:val="00B3690E"/>
    <w:pPr>
      <w:keepNext/>
      <w:spacing w:before="360" w:after="120"/>
      <w:ind w:left="288" w:hanging="288"/>
      <w:outlineLvl w:val="1"/>
    </w:pPr>
    <w:rPr>
      <w:rFonts w:cs="Arial"/>
      <w:b/>
      <w:bCs/>
      <w:iCs/>
    </w:rPr>
  </w:style>
  <w:style w:type="paragraph" w:styleId="Titre3">
    <w:name w:val="heading 3"/>
    <w:basedOn w:val="Normal"/>
    <w:next w:val="Normal"/>
    <w:qFormat/>
    <w:rsid w:val="00E9777F"/>
    <w:pPr>
      <w:keepNext/>
      <w:spacing w:before="240" w:after="60"/>
      <w:ind w:left="425" w:hanging="425"/>
      <w:outlineLvl w:val="2"/>
    </w:pPr>
    <w:rPr>
      <w:rFonts w:cs="Arial"/>
      <w:bCs/>
      <w:i/>
      <w:szCs w:val="22"/>
    </w:rPr>
  </w:style>
  <w:style w:type="paragraph" w:styleId="Titre4">
    <w:name w:val="heading 4"/>
    <w:basedOn w:val="Normal"/>
    <w:next w:val="Normal"/>
    <w:qFormat/>
    <w:rsid w:val="00E9777F"/>
    <w:pPr>
      <w:keepNext/>
      <w:spacing w:before="240"/>
      <w:ind w:left="540" w:hanging="540"/>
      <w:outlineLvl w:val="3"/>
    </w:pPr>
    <w:rPr>
      <w:bCs/>
      <w:i/>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um">
    <w:name w:val="Enum"/>
    <w:basedOn w:val="Normal"/>
    <w:rsid w:val="004A5BCF"/>
    <w:pPr>
      <w:numPr>
        <w:numId w:val="1"/>
      </w:numPr>
      <w:tabs>
        <w:tab w:val="clear" w:pos="1854"/>
        <w:tab w:val="num" w:pos="1276"/>
      </w:tabs>
      <w:spacing w:before="0"/>
      <w:ind w:left="1276" w:hanging="142"/>
    </w:pPr>
    <w:rPr>
      <w:lang w:val="fr-BE"/>
    </w:rPr>
  </w:style>
  <w:style w:type="paragraph" w:styleId="Textedebulles">
    <w:name w:val="Balloon Text"/>
    <w:basedOn w:val="Normal"/>
    <w:semiHidden/>
    <w:rsid w:val="004A5BCF"/>
    <w:rPr>
      <w:rFonts w:ascii="Tahoma" w:hAnsi="Tahoma" w:cs="Tahoma"/>
      <w:sz w:val="16"/>
      <w:szCs w:val="16"/>
    </w:rPr>
  </w:style>
  <w:style w:type="character" w:styleId="Marquedecommentaire">
    <w:name w:val="annotation reference"/>
    <w:basedOn w:val="Policepardfaut"/>
    <w:semiHidden/>
    <w:rsid w:val="004A5BCF"/>
    <w:rPr>
      <w:sz w:val="16"/>
      <w:szCs w:val="16"/>
    </w:rPr>
  </w:style>
  <w:style w:type="paragraph" w:styleId="Commentaire">
    <w:name w:val="annotation text"/>
    <w:basedOn w:val="Normal"/>
    <w:semiHidden/>
    <w:rsid w:val="004A5BCF"/>
    <w:rPr>
      <w:sz w:val="20"/>
      <w:szCs w:val="20"/>
    </w:rPr>
  </w:style>
  <w:style w:type="paragraph" w:styleId="Objetducommentaire">
    <w:name w:val="annotation subject"/>
    <w:basedOn w:val="Commentaire"/>
    <w:next w:val="Commentaire"/>
    <w:semiHidden/>
    <w:rsid w:val="004A5BCF"/>
    <w:rPr>
      <w:b/>
      <w:bCs/>
    </w:rPr>
  </w:style>
  <w:style w:type="paragraph" w:customStyle="1" w:styleId="Titretable">
    <w:name w:val="Titre table"/>
    <w:basedOn w:val="Normal"/>
    <w:next w:val="Normal"/>
    <w:rsid w:val="007E21C9"/>
    <w:pPr>
      <w:keepNext/>
      <w:spacing w:before="0"/>
      <w:ind w:firstLine="0"/>
    </w:pPr>
    <w:rPr>
      <w:b/>
      <w:szCs w:val="20"/>
    </w:rPr>
  </w:style>
  <w:style w:type="paragraph" w:customStyle="1" w:styleId="Notetable">
    <w:name w:val="Note table"/>
    <w:basedOn w:val="Normal"/>
    <w:next w:val="Normal"/>
    <w:rsid w:val="007E21C9"/>
    <w:pPr>
      <w:spacing w:before="0"/>
      <w:ind w:firstLine="0"/>
    </w:pPr>
    <w:rPr>
      <w:sz w:val="20"/>
      <w:szCs w:val="18"/>
    </w:rPr>
  </w:style>
  <w:style w:type="paragraph" w:styleId="Notedebasdepage">
    <w:name w:val="footnote text"/>
    <w:basedOn w:val="Normal"/>
    <w:semiHidden/>
    <w:rsid w:val="00F95047"/>
    <w:pPr>
      <w:ind w:firstLine="0"/>
    </w:pPr>
    <w:rPr>
      <w:sz w:val="20"/>
      <w:szCs w:val="20"/>
    </w:rPr>
  </w:style>
  <w:style w:type="character" w:styleId="Appelnotedebasdep">
    <w:name w:val="footnote reference"/>
    <w:basedOn w:val="Policepardfaut"/>
    <w:semiHidden/>
    <w:rsid w:val="004A5BCF"/>
    <w:rPr>
      <w:vertAlign w:val="superscript"/>
    </w:rPr>
  </w:style>
  <w:style w:type="table" w:styleId="Grilledutableau">
    <w:name w:val="Table Grid"/>
    <w:basedOn w:val="TableauNormal"/>
    <w:rsid w:val="00052E1D"/>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rsid w:val="001071FF"/>
    <w:pPr>
      <w:tabs>
        <w:tab w:val="center" w:pos="4536"/>
        <w:tab w:val="right" w:pos="9072"/>
      </w:tabs>
      <w:ind w:firstLine="0"/>
    </w:pPr>
  </w:style>
  <w:style w:type="character" w:styleId="Numrodepage">
    <w:name w:val="page number"/>
    <w:basedOn w:val="Policepardfaut"/>
    <w:rsid w:val="00DE0E5C"/>
  </w:style>
  <w:style w:type="paragraph" w:styleId="En-tte">
    <w:name w:val="header"/>
    <w:basedOn w:val="Normal"/>
    <w:rsid w:val="00F347F5"/>
    <w:pPr>
      <w:tabs>
        <w:tab w:val="center" w:pos="4536"/>
        <w:tab w:val="right" w:pos="9072"/>
      </w:tabs>
    </w:pPr>
  </w:style>
  <w:style w:type="paragraph" w:customStyle="1" w:styleId="Numerotable">
    <w:name w:val="Numero table"/>
    <w:basedOn w:val="Normal"/>
    <w:rsid w:val="007E21C9"/>
    <w:pPr>
      <w:ind w:firstLine="0"/>
    </w:pPr>
    <w:rPr>
      <w:szCs w:val="20"/>
    </w:rPr>
  </w:style>
  <w:style w:type="paragraph" w:customStyle="1" w:styleId="Inserttable">
    <w:name w:val="Insert table"/>
    <w:basedOn w:val="Normal"/>
    <w:rsid w:val="007C7241"/>
    <w:pPr>
      <w:spacing w:before="60"/>
      <w:ind w:firstLine="0"/>
      <w:jc w:val="center"/>
    </w:pPr>
    <w:rPr>
      <w:b/>
      <w:lang w:val="en-US"/>
    </w:rPr>
  </w:style>
  <w:style w:type="character" w:styleId="lev">
    <w:name w:val="Strong"/>
    <w:basedOn w:val="Policepardfaut"/>
    <w:qFormat/>
    <w:rsid w:val="007E575E"/>
    <w:rPr>
      <w:b/>
      <w:bCs/>
    </w:rPr>
  </w:style>
  <w:style w:type="character" w:styleId="Accentuation">
    <w:name w:val="Emphasis"/>
    <w:basedOn w:val="Policepardfaut"/>
    <w:qFormat/>
    <w:rsid w:val="007E575E"/>
    <w:rPr>
      <w:i/>
      <w:iCs/>
    </w:rPr>
  </w:style>
  <w:style w:type="character" w:styleId="Lienhypertexte">
    <w:name w:val="Hyperlink"/>
    <w:basedOn w:val="Policepardfaut"/>
    <w:rsid w:val="008C0CA0"/>
    <w:rPr>
      <w:color w:val="666699"/>
      <w:u w:val="single"/>
    </w:rPr>
  </w:style>
  <w:style w:type="character" w:customStyle="1" w:styleId="PieddepageCar">
    <w:name w:val="Pied de page Car"/>
    <w:basedOn w:val="Policepardfaut"/>
    <w:link w:val="Pieddepage"/>
    <w:uiPriority w:val="99"/>
    <w:rsid w:val="001071FF"/>
    <w:rPr>
      <w:sz w:val="24"/>
      <w:szCs w:val="24"/>
      <w:lang w:val="en-GB"/>
    </w:rPr>
  </w:style>
  <w:style w:type="paragraph" w:customStyle="1" w:styleId="Reference">
    <w:name w:val="Reference"/>
    <w:basedOn w:val="Normal"/>
    <w:qFormat/>
    <w:rsid w:val="007E21C9"/>
    <w:pPr>
      <w:ind w:left="418" w:hanging="418"/>
    </w:pPr>
  </w:style>
  <w:style w:type="paragraph" w:styleId="Paragraphedeliste">
    <w:name w:val="List Paragraph"/>
    <w:basedOn w:val="Normal"/>
    <w:uiPriority w:val="34"/>
    <w:qFormat/>
    <w:rsid w:val="002A2146"/>
    <w:pPr>
      <w:spacing w:before="0" w:line="240" w:lineRule="auto"/>
      <w:ind w:left="720" w:firstLine="0"/>
      <w:contextualSpacing/>
      <w:jc w:val="left"/>
    </w:pPr>
    <w:rPr>
      <w:lang w:val="fr-FR"/>
    </w:rPr>
  </w:style>
  <w:style w:type="paragraph" w:styleId="Notedefin">
    <w:name w:val="endnote text"/>
    <w:basedOn w:val="Normal"/>
    <w:link w:val="NotedefinCar"/>
    <w:rsid w:val="00F9465B"/>
    <w:pPr>
      <w:spacing w:before="0" w:line="240" w:lineRule="auto"/>
    </w:pPr>
    <w:rPr>
      <w:sz w:val="20"/>
      <w:szCs w:val="20"/>
    </w:rPr>
  </w:style>
  <w:style w:type="character" w:customStyle="1" w:styleId="NotedefinCar">
    <w:name w:val="Note de fin Car"/>
    <w:basedOn w:val="Policepardfaut"/>
    <w:link w:val="Notedefin"/>
    <w:rsid w:val="00F9465B"/>
    <w:rPr>
      <w:lang w:val="en-GB"/>
    </w:rPr>
  </w:style>
  <w:style w:type="character" w:styleId="Appeldenotedefin">
    <w:name w:val="endnote reference"/>
    <w:basedOn w:val="Policepardfaut"/>
    <w:rsid w:val="00F9465B"/>
    <w:rPr>
      <w:vertAlign w:val="superscript"/>
    </w:rPr>
  </w:style>
  <w:style w:type="paragraph" w:styleId="Rvision">
    <w:name w:val="Revision"/>
    <w:hidden/>
    <w:uiPriority w:val="99"/>
    <w:semiHidden/>
    <w:rsid w:val="002531B6"/>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9E7"/>
    <w:pPr>
      <w:spacing w:before="120" w:line="480" w:lineRule="auto"/>
      <w:ind w:firstLine="567"/>
      <w:jc w:val="both"/>
    </w:pPr>
    <w:rPr>
      <w:sz w:val="24"/>
      <w:szCs w:val="24"/>
      <w:lang w:val="en-GB"/>
    </w:rPr>
  </w:style>
  <w:style w:type="paragraph" w:styleId="Titre1">
    <w:name w:val="heading 1"/>
    <w:basedOn w:val="Normal"/>
    <w:next w:val="Normal"/>
    <w:qFormat/>
    <w:rsid w:val="007E21C9"/>
    <w:pPr>
      <w:keepNext/>
      <w:spacing w:before="240" w:after="120"/>
      <w:ind w:firstLine="0"/>
      <w:jc w:val="center"/>
      <w:outlineLvl w:val="0"/>
    </w:pPr>
    <w:rPr>
      <w:rFonts w:cs="Arial"/>
      <w:b/>
      <w:bCs/>
      <w:kern w:val="32"/>
      <w:sz w:val="32"/>
      <w:szCs w:val="32"/>
    </w:rPr>
  </w:style>
  <w:style w:type="paragraph" w:styleId="Titre2">
    <w:name w:val="heading 2"/>
    <w:basedOn w:val="Normal"/>
    <w:next w:val="Normal"/>
    <w:qFormat/>
    <w:rsid w:val="00B3690E"/>
    <w:pPr>
      <w:keepNext/>
      <w:spacing w:before="360" w:after="120"/>
      <w:ind w:left="288" w:hanging="288"/>
      <w:outlineLvl w:val="1"/>
    </w:pPr>
    <w:rPr>
      <w:rFonts w:cs="Arial"/>
      <w:b/>
      <w:bCs/>
      <w:iCs/>
    </w:rPr>
  </w:style>
  <w:style w:type="paragraph" w:styleId="Titre3">
    <w:name w:val="heading 3"/>
    <w:basedOn w:val="Normal"/>
    <w:next w:val="Normal"/>
    <w:qFormat/>
    <w:rsid w:val="00E9777F"/>
    <w:pPr>
      <w:keepNext/>
      <w:spacing w:before="240" w:after="60"/>
      <w:ind w:left="425" w:hanging="425"/>
      <w:outlineLvl w:val="2"/>
    </w:pPr>
    <w:rPr>
      <w:rFonts w:cs="Arial"/>
      <w:bCs/>
      <w:i/>
      <w:szCs w:val="22"/>
    </w:rPr>
  </w:style>
  <w:style w:type="paragraph" w:styleId="Titre4">
    <w:name w:val="heading 4"/>
    <w:basedOn w:val="Normal"/>
    <w:next w:val="Normal"/>
    <w:qFormat/>
    <w:rsid w:val="00E9777F"/>
    <w:pPr>
      <w:keepNext/>
      <w:spacing w:before="240"/>
      <w:ind w:left="540" w:hanging="540"/>
      <w:outlineLvl w:val="3"/>
    </w:pPr>
    <w:rPr>
      <w:bCs/>
      <w:i/>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um">
    <w:name w:val="Enum"/>
    <w:basedOn w:val="Normal"/>
    <w:rsid w:val="004A5BCF"/>
    <w:pPr>
      <w:numPr>
        <w:numId w:val="1"/>
      </w:numPr>
      <w:tabs>
        <w:tab w:val="clear" w:pos="1854"/>
        <w:tab w:val="num" w:pos="1276"/>
      </w:tabs>
      <w:spacing w:before="0"/>
      <w:ind w:left="1276" w:hanging="142"/>
    </w:pPr>
    <w:rPr>
      <w:lang w:val="fr-BE"/>
    </w:rPr>
  </w:style>
  <w:style w:type="paragraph" w:styleId="Textedebulles">
    <w:name w:val="Balloon Text"/>
    <w:basedOn w:val="Normal"/>
    <w:semiHidden/>
    <w:rsid w:val="004A5BCF"/>
    <w:rPr>
      <w:rFonts w:ascii="Tahoma" w:hAnsi="Tahoma" w:cs="Tahoma"/>
      <w:sz w:val="16"/>
      <w:szCs w:val="16"/>
    </w:rPr>
  </w:style>
  <w:style w:type="character" w:styleId="Marquedecommentaire">
    <w:name w:val="annotation reference"/>
    <w:basedOn w:val="Policepardfaut"/>
    <w:semiHidden/>
    <w:rsid w:val="004A5BCF"/>
    <w:rPr>
      <w:sz w:val="16"/>
      <w:szCs w:val="16"/>
    </w:rPr>
  </w:style>
  <w:style w:type="paragraph" w:styleId="Commentaire">
    <w:name w:val="annotation text"/>
    <w:basedOn w:val="Normal"/>
    <w:semiHidden/>
    <w:rsid w:val="004A5BCF"/>
    <w:rPr>
      <w:sz w:val="20"/>
      <w:szCs w:val="20"/>
    </w:rPr>
  </w:style>
  <w:style w:type="paragraph" w:styleId="Objetducommentaire">
    <w:name w:val="annotation subject"/>
    <w:basedOn w:val="Commentaire"/>
    <w:next w:val="Commentaire"/>
    <w:semiHidden/>
    <w:rsid w:val="004A5BCF"/>
    <w:rPr>
      <w:b/>
      <w:bCs/>
    </w:rPr>
  </w:style>
  <w:style w:type="paragraph" w:customStyle="1" w:styleId="Titretable">
    <w:name w:val="Titre table"/>
    <w:basedOn w:val="Normal"/>
    <w:next w:val="Normal"/>
    <w:rsid w:val="007E21C9"/>
    <w:pPr>
      <w:keepNext/>
      <w:spacing w:before="0"/>
      <w:ind w:firstLine="0"/>
    </w:pPr>
    <w:rPr>
      <w:b/>
      <w:szCs w:val="20"/>
    </w:rPr>
  </w:style>
  <w:style w:type="paragraph" w:customStyle="1" w:styleId="Notetable">
    <w:name w:val="Note table"/>
    <w:basedOn w:val="Normal"/>
    <w:next w:val="Normal"/>
    <w:rsid w:val="007E21C9"/>
    <w:pPr>
      <w:spacing w:before="0"/>
      <w:ind w:firstLine="0"/>
    </w:pPr>
    <w:rPr>
      <w:sz w:val="20"/>
      <w:szCs w:val="18"/>
    </w:rPr>
  </w:style>
  <w:style w:type="paragraph" w:styleId="Notedebasdepage">
    <w:name w:val="footnote text"/>
    <w:basedOn w:val="Normal"/>
    <w:semiHidden/>
    <w:rsid w:val="00F95047"/>
    <w:pPr>
      <w:ind w:firstLine="0"/>
    </w:pPr>
    <w:rPr>
      <w:sz w:val="20"/>
      <w:szCs w:val="20"/>
    </w:rPr>
  </w:style>
  <w:style w:type="character" w:styleId="Appelnotedebasdep">
    <w:name w:val="footnote reference"/>
    <w:basedOn w:val="Policepardfaut"/>
    <w:semiHidden/>
    <w:rsid w:val="004A5BCF"/>
    <w:rPr>
      <w:vertAlign w:val="superscript"/>
    </w:rPr>
  </w:style>
  <w:style w:type="table" w:styleId="Grilledutableau">
    <w:name w:val="Table Grid"/>
    <w:basedOn w:val="TableauNormal"/>
    <w:rsid w:val="00052E1D"/>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rsid w:val="001071FF"/>
    <w:pPr>
      <w:tabs>
        <w:tab w:val="center" w:pos="4536"/>
        <w:tab w:val="right" w:pos="9072"/>
      </w:tabs>
      <w:ind w:firstLine="0"/>
    </w:pPr>
  </w:style>
  <w:style w:type="character" w:styleId="Numrodepage">
    <w:name w:val="page number"/>
    <w:basedOn w:val="Policepardfaut"/>
    <w:rsid w:val="00DE0E5C"/>
  </w:style>
  <w:style w:type="paragraph" w:styleId="En-tte">
    <w:name w:val="header"/>
    <w:basedOn w:val="Normal"/>
    <w:rsid w:val="00F347F5"/>
    <w:pPr>
      <w:tabs>
        <w:tab w:val="center" w:pos="4536"/>
        <w:tab w:val="right" w:pos="9072"/>
      </w:tabs>
    </w:pPr>
  </w:style>
  <w:style w:type="paragraph" w:customStyle="1" w:styleId="Numerotable">
    <w:name w:val="Numero table"/>
    <w:basedOn w:val="Normal"/>
    <w:rsid w:val="007E21C9"/>
    <w:pPr>
      <w:ind w:firstLine="0"/>
    </w:pPr>
    <w:rPr>
      <w:szCs w:val="20"/>
    </w:rPr>
  </w:style>
  <w:style w:type="paragraph" w:customStyle="1" w:styleId="Inserttable">
    <w:name w:val="Insert table"/>
    <w:basedOn w:val="Normal"/>
    <w:rsid w:val="007C7241"/>
    <w:pPr>
      <w:spacing w:before="60"/>
      <w:ind w:firstLine="0"/>
      <w:jc w:val="center"/>
    </w:pPr>
    <w:rPr>
      <w:b/>
      <w:lang w:val="en-US"/>
    </w:rPr>
  </w:style>
  <w:style w:type="character" w:styleId="lev">
    <w:name w:val="Strong"/>
    <w:basedOn w:val="Policepardfaut"/>
    <w:qFormat/>
    <w:rsid w:val="007E575E"/>
    <w:rPr>
      <w:b/>
      <w:bCs/>
    </w:rPr>
  </w:style>
  <w:style w:type="character" w:styleId="Accentuation">
    <w:name w:val="Emphasis"/>
    <w:basedOn w:val="Policepardfaut"/>
    <w:qFormat/>
    <w:rsid w:val="007E575E"/>
    <w:rPr>
      <w:i/>
      <w:iCs/>
    </w:rPr>
  </w:style>
  <w:style w:type="character" w:styleId="Lienhypertexte">
    <w:name w:val="Hyperlink"/>
    <w:basedOn w:val="Policepardfaut"/>
    <w:rsid w:val="008C0CA0"/>
    <w:rPr>
      <w:color w:val="666699"/>
      <w:u w:val="single"/>
    </w:rPr>
  </w:style>
  <w:style w:type="character" w:customStyle="1" w:styleId="PieddepageCar">
    <w:name w:val="Pied de page Car"/>
    <w:basedOn w:val="Policepardfaut"/>
    <w:link w:val="Pieddepage"/>
    <w:uiPriority w:val="99"/>
    <w:rsid w:val="001071FF"/>
    <w:rPr>
      <w:sz w:val="24"/>
      <w:szCs w:val="24"/>
      <w:lang w:val="en-GB"/>
    </w:rPr>
  </w:style>
  <w:style w:type="paragraph" w:customStyle="1" w:styleId="Reference">
    <w:name w:val="Reference"/>
    <w:basedOn w:val="Normal"/>
    <w:qFormat/>
    <w:rsid w:val="007E21C9"/>
    <w:pPr>
      <w:ind w:left="418" w:hanging="418"/>
    </w:pPr>
  </w:style>
  <w:style w:type="paragraph" w:styleId="Paragraphedeliste">
    <w:name w:val="List Paragraph"/>
    <w:basedOn w:val="Normal"/>
    <w:uiPriority w:val="34"/>
    <w:qFormat/>
    <w:rsid w:val="002A2146"/>
    <w:pPr>
      <w:spacing w:before="0" w:line="240" w:lineRule="auto"/>
      <w:ind w:left="720" w:firstLine="0"/>
      <w:contextualSpacing/>
      <w:jc w:val="left"/>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3057">
      <w:bodyDiv w:val="1"/>
      <w:marLeft w:val="0"/>
      <w:marRight w:val="0"/>
      <w:marTop w:val="0"/>
      <w:marBottom w:val="0"/>
      <w:divBdr>
        <w:top w:val="none" w:sz="0" w:space="0" w:color="auto"/>
        <w:left w:val="none" w:sz="0" w:space="0" w:color="auto"/>
        <w:bottom w:val="none" w:sz="0" w:space="0" w:color="auto"/>
        <w:right w:val="none" w:sz="0" w:space="0" w:color="auto"/>
      </w:divBdr>
      <w:divsChild>
        <w:div w:id="1018776875">
          <w:marLeft w:val="0"/>
          <w:marRight w:val="0"/>
          <w:marTop w:val="0"/>
          <w:marBottom w:val="0"/>
          <w:divBdr>
            <w:top w:val="none" w:sz="0" w:space="0" w:color="auto"/>
            <w:left w:val="none" w:sz="0" w:space="0" w:color="auto"/>
            <w:bottom w:val="none" w:sz="0" w:space="0" w:color="auto"/>
            <w:right w:val="none" w:sz="0" w:space="0" w:color="auto"/>
          </w:divBdr>
        </w:div>
      </w:divsChild>
    </w:div>
    <w:div w:id="288124128">
      <w:bodyDiv w:val="1"/>
      <w:marLeft w:val="0"/>
      <w:marRight w:val="0"/>
      <w:marTop w:val="0"/>
      <w:marBottom w:val="0"/>
      <w:divBdr>
        <w:top w:val="none" w:sz="0" w:space="0" w:color="auto"/>
        <w:left w:val="none" w:sz="0" w:space="0" w:color="auto"/>
        <w:bottom w:val="none" w:sz="0" w:space="0" w:color="auto"/>
        <w:right w:val="none" w:sz="0" w:space="0" w:color="auto"/>
      </w:divBdr>
    </w:div>
    <w:div w:id="413161342">
      <w:bodyDiv w:val="1"/>
      <w:marLeft w:val="0"/>
      <w:marRight w:val="0"/>
      <w:marTop w:val="0"/>
      <w:marBottom w:val="0"/>
      <w:divBdr>
        <w:top w:val="none" w:sz="0" w:space="0" w:color="auto"/>
        <w:left w:val="none" w:sz="0" w:space="0" w:color="auto"/>
        <w:bottom w:val="none" w:sz="0" w:space="0" w:color="auto"/>
        <w:right w:val="none" w:sz="0" w:space="0" w:color="auto"/>
      </w:divBdr>
      <w:divsChild>
        <w:div w:id="1144421879">
          <w:marLeft w:val="0"/>
          <w:marRight w:val="0"/>
          <w:marTop w:val="0"/>
          <w:marBottom w:val="0"/>
          <w:divBdr>
            <w:top w:val="none" w:sz="0" w:space="0" w:color="auto"/>
            <w:left w:val="none" w:sz="0" w:space="0" w:color="auto"/>
            <w:bottom w:val="none" w:sz="0" w:space="0" w:color="auto"/>
            <w:right w:val="none" w:sz="0" w:space="0" w:color="auto"/>
          </w:divBdr>
        </w:div>
      </w:divsChild>
    </w:div>
    <w:div w:id="826744567">
      <w:bodyDiv w:val="1"/>
      <w:marLeft w:val="0"/>
      <w:marRight w:val="0"/>
      <w:marTop w:val="0"/>
      <w:marBottom w:val="0"/>
      <w:divBdr>
        <w:top w:val="none" w:sz="0" w:space="0" w:color="auto"/>
        <w:left w:val="none" w:sz="0" w:space="0" w:color="auto"/>
        <w:bottom w:val="none" w:sz="0" w:space="0" w:color="auto"/>
        <w:right w:val="none" w:sz="0" w:space="0" w:color="auto"/>
      </w:divBdr>
      <w:divsChild>
        <w:div w:id="234709173">
          <w:marLeft w:val="0"/>
          <w:marRight w:val="0"/>
          <w:marTop w:val="0"/>
          <w:marBottom w:val="0"/>
          <w:divBdr>
            <w:top w:val="none" w:sz="0" w:space="0" w:color="auto"/>
            <w:left w:val="none" w:sz="0" w:space="0" w:color="auto"/>
            <w:bottom w:val="none" w:sz="0" w:space="0" w:color="auto"/>
            <w:right w:val="none" w:sz="0" w:space="0" w:color="auto"/>
          </w:divBdr>
        </w:div>
      </w:divsChild>
    </w:div>
    <w:div w:id="910847714">
      <w:bodyDiv w:val="1"/>
      <w:marLeft w:val="0"/>
      <w:marRight w:val="0"/>
      <w:marTop w:val="0"/>
      <w:marBottom w:val="0"/>
      <w:divBdr>
        <w:top w:val="none" w:sz="0" w:space="0" w:color="auto"/>
        <w:left w:val="none" w:sz="0" w:space="0" w:color="auto"/>
        <w:bottom w:val="none" w:sz="0" w:space="0" w:color="auto"/>
        <w:right w:val="none" w:sz="0" w:space="0" w:color="auto"/>
      </w:divBdr>
    </w:div>
    <w:div w:id="1157570318">
      <w:bodyDiv w:val="1"/>
      <w:marLeft w:val="0"/>
      <w:marRight w:val="0"/>
      <w:marTop w:val="0"/>
      <w:marBottom w:val="0"/>
      <w:divBdr>
        <w:top w:val="none" w:sz="0" w:space="0" w:color="auto"/>
        <w:left w:val="none" w:sz="0" w:space="0" w:color="auto"/>
        <w:bottom w:val="none" w:sz="0" w:space="0" w:color="auto"/>
        <w:right w:val="none" w:sz="0" w:space="0" w:color="auto"/>
      </w:divBdr>
    </w:div>
    <w:div w:id="1358585181">
      <w:bodyDiv w:val="1"/>
      <w:marLeft w:val="0"/>
      <w:marRight w:val="0"/>
      <w:marTop w:val="0"/>
      <w:marBottom w:val="0"/>
      <w:divBdr>
        <w:top w:val="none" w:sz="0" w:space="0" w:color="auto"/>
        <w:left w:val="none" w:sz="0" w:space="0" w:color="auto"/>
        <w:bottom w:val="none" w:sz="0" w:space="0" w:color="auto"/>
        <w:right w:val="none" w:sz="0" w:space="0" w:color="auto"/>
      </w:divBdr>
    </w:div>
    <w:div w:id="1714425366">
      <w:bodyDiv w:val="1"/>
      <w:marLeft w:val="0"/>
      <w:marRight w:val="0"/>
      <w:marTop w:val="0"/>
      <w:marBottom w:val="0"/>
      <w:divBdr>
        <w:top w:val="none" w:sz="0" w:space="0" w:color="auto"/>
        <w:left w:val="none" w:sz="0" w:space="0" w:color="auto"/>
        <w:bottom w:val="none" w:sz="0" w:space="0" w:color="auto"/>
        <w:right w:val="none" w:sz="0" w:space="0" w:color="auto"/>
      </w:divBdr>
    </w:div>
    <w:div w:id="18040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39.wmf"/><Relationship Id="rId7" Type="http://schemas.openxmlformats.org/officeDocument/2006/relationships/webSettings" Target="webSettings.xml"/><Relationship Id="rId71" Type="http://schemas.openxmlformats.org/officeDocument/2006/relationships/image" Target="media/image30.wmf"/><Relationship Id="rId92" Type="http://schemas.openxmlformats.org/officeDocument/2006/relationships/oleObject" Target="embeddings/oleObject40.bin"/><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9.wmf"/><Relationship Id="rId107" Type="http://schemas.openxmlformats.org/officeDocument/2006/relationships/theme" Target="theme/theme1.xml"/><Relationship Id="rId11" Type="http://schemas.openxmlformats.org/officeDocument/2006/relationships/footer" Target="footer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3.wmf"/><Relationship Id="rId40" Type="http://schemas.openxmlformats.org/officeDocument/2006/relationships/oleObject" Target="embeddings/oleObject14.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34.wmf"/><Relationship Id="rId87" Type="http://schemas.openxmlformats.org/officeDocument/2006/relationships/image" Target="media/image38.wmf"/><Relationship Id="rId102" Type="http://schemas.openxmlformats.org/officeDocument/2006/relationships/footer" Target="footer3.xml"/><Relationship Id="rId5" Type="http://schemas.microsoft.com/office/2007/relationships/stylesWithEffects" Target="stylesWithEffects.xml"/><Relationship Id="rId61" Type="http://schemas.openxmlformats.org/officeDocument/2006/relationships/image" Target="media/image25.wmf"/><Relationship Id="rId82" Type="http://schemas.openxmlformats.org/officeDocument/2006/relationships/oleObject" Target="embeddings/oleObject35.bin"/><Relationship Id="rId90" Type="http://schemas.openxmlformats.org/officeDocument/2006/relationships/oleObject" Target="embeddings/oleObject39.bin"/><Relationship Id="rId95" Type="http://schemas.openxmlformats.org/officeDocument/2006/relationships/image" Target="media/image42.wmf"/><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oleObject" Target="embeddings/oleObject44.bin"/><Relationship Id="rId105" Type="http://schemas.openxmlformats.org/officeDocument/2006/relationships/hyperlink" Target="http://ssrn.com/abstract=229959" TargetMode="External"/><Relationship Id="rId8" Type="http://schemas.openxmlformats.org/officeDocument/2006/relationships/footnotes" Target="footnotes.xml"/><Relationship Id="rId51" Type="http://schemas.openxmlformats.org/officeDocument/2006/relationships/image" Target="media/image20.wmf"/><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37.wmf"/><Relationship Id="rId93" Type="http://schemas.openxmlformats.org/officeDocument/2006/relationships/image" Target="media/image41.wmf"/><Relationship Id="rId98" Type="http://schemas.openxmlformats.org/officeDocument/2006/relationships/oleObject" Target="embeddings/oleObject43.bin"/><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footer" Target="footer4.xm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38.bin"/><Relationship Id="rId91" Type="http://schemas.openxmlformats.org/officeDocument/2006/relationships/image" Target="media/image40.wmf"/><Relationship Id="rId96"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fontTable" Target="fontTable.xml"/><Relationship Id="rId10" Type="http://schemas.openxmlformats.org/officeDocument/2006/relationships/hyperlink" Target="mailto:carole.gresse@dauphine.fr" TargetMode="Externa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3.bin"/><Relationship Id="rId81" Type="http://schemas.openxmlformats.org/officeDocument/2006/relationships/image" Target="media/image35.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4.wmf"/><Relationship Id="rId101" Type="http://schemas.openxmlformats.org/officeDocument/2006/relationships/oleObject" Target="embeddings/oleObject45.bin"/><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image" Target="media/image43.wmf"/><Relationship Id="rId104"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European_Economic_Area" TargetMode="External"/><Relationship Id="rId2" Type="http://schemas.openxmlformats.org/officeDocument/2006/relationships/hyperlink" Target="http://en.wikipedia.org/wiki/List_of_European_Union_member_states" TargetMode="External"/><Relationship Id="rId1" Type="http://schemas.openxmlformats.org/officeDocument/2006/relationships/hyperlink" Target="http://en.wikipedia.org/wiki/Collective_investment_scheme" TargetMode="External"/><Relationship Id="rId4" Type="http://schemas.openxmlformats.org/officeDocument/2006/relationships/hyperlink" Target="http://en.wikipedia.org/wiki/European_Un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068D-A291-4D10-BDB0-5FA73F7A6BFF}">
  <ds:schemaRefs>
    <ds:schemaRef ds:uri="http://schemas.openxmlformats.org/officeDocument/2006/bibliography"/>
  </ds:schemaRefs>
</ds:datastoreItem>
</file>

<file path=customXml/itemProps2.xml><?xml version="1.0" encoding="utf-8"?>
<ds:datastoreItem xmlns:ds="http://schemas.openxmlformats.org/officeDocument/2006/customXml" ds:itemID="{68AE10A3-6C85-4FC3-A703-92022A93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48</Pages>
  <Words>12574</Words>
  <Characters>69159</Characters>
  <Application>Microsoft Office Word</Application>
  <DocSecurity>0</DocSecurity>
  <Lines>576</Lines>
  <Paragraphs>163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L’impact de l’introduction et du développement du CAC40 Master Unit sur la liquidité des actions du CAC40</vt:lpstr>
      <vt:lpstr>L’impact de l’introduction et du développement du CAC40 Master Unit sur la liquidité des actions du CAC40</vt:lpstr>
    </vt:vector>
  </TitlesOfParts>
  <Company>FUCaM</Company>
  <LinksUpToDate>false</LinksUpToDate>
  <CharactersWithSpaces>81570</CharactersWithSpaces>
  <SharedDoc>false</SharedDoc>
  <HLinks>
    <vt:vector size="6" baseType="variant">
      <vt:variant>
        <vt:i4>7929903</vt:i4>
      </vt:variant>
      <vt:variant>
        <vt:i4>87</vt:i4>
      </vt:variant>
      <vt:variant>
        <vt:i4>0</vt:i4>
      </vt:variant>
      <vt:variant>
        <vt:i4>5</vt:i4>
      </vt:variant>
      <vt:variant>
        <vt:lpwstr>http://ssrn.com/abstract=229959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L’impact de l’introduction et du développement du CAC40 Master Unit sur la liquidité des actions du CAC40</dc:title>
  <dc:creator>gresse</dc:creator>
  <cp:lastModifiedBy>Carole</cp:lastModifiedBy>
  <cp:revision>44</cp:revision>
  <cp:lastPrinted>2012-04-12T14:11:00Z</cp:lastPrinted>
  <dcterms:created xsi:type="dcterms:W3CDTF">2012-04-12T13:19:00Z</dcterms:created>
  <dcterms:modified xsi:type="dcterms:W3CDTF">2012-04-20T14:47:00Z</dcterms:modified>
</cp:coreProperties>
</file>