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28F69" w14:textId="4036AB7E" w:rsidR="000A52D9" w:rsidRPr="000A52D9" w:rsidRDefault="0019312E" w:rsidP="000A52D9">
      <w:pPr>
        <w:ind w:firstLine="708"/>
        <w:jc w:val="center"/>
        <w:rPr>
          <w:rFonts w:ascii="Times New Roman" w:hAnsi="Times New Roman" w:cs="Times New Roman"/>
          <w:i/>
        </w:rPr>
      </w:pPr>
      <w:r>
        <w:rPr>
          <w:rFonts w:ascii="Times New Roman" w:hAnsi="Times New Roman" w:cs="Times New Roman"/>
          <w:i/>
        </w:rPr>
        <w:t xml:space="preserve">Structure et conjoncture. </w:t>
      </w:r>
      <w:r w:rsidR="00BC09E8">
        <w:rPr>
          <w:rFonts w:ascii="Times New Roman" w:hAnsi="Times New Roman" w:cs="Times New Roman"/>
          <w:i/>
        </w:rPr>
        <w:t>Une analyse épistémologique</w:t>
      </w:r>
      <w:r w:rsidR="0089626D">
        <w:rPr>
          <w:rFonts w:ascii="Times New Roman" w:hAnsi="Times New Roman" w:cs="Times New Roman"/>
          <w:i/>
        </w:rPr>
        <w:t xml:space="preserve"> et politique</w:t>
      </w:r>
      <w:bookmarkStart w:id="0" w:name="_GoBack"/>
      <w:bookmarkEnd w:id="0"/>
      <w:r w:rsidR="00BC09E8">
        <w:rPr>
          <w:rFonts w:ascii="Times New Roman" w:hAnsi="Times New Roman" w:cs="Times New Roman"/>
          <w:i/>
        </w:rPr>
        <w:t xml:space="preserve"> </w:t>
      </w:r>
      <w:r>
        <w:rPr>
          <w:rFonts w:ascii="Times New Roman" w:hAnsi="Times New Roman" w:cs="Times New Roman"/>
          <w:i/>
        </w:rPr>
        <w:t>de la connaissance linguistique du premier Jakobson</w:t>
      </w:r>
    </w:p>
    <w:p w14:paraId="3F547654" w14:textId="77777777" w:rsidR="000A52D9" w:rsidRDefault="000A52D9" w:rsidP="00C707AB">
      <w:pPr>
        <w:ind w:firstLine="708"/>
        <w:jc w:val="center"/>
        <w:rPr>
          <w:rFonts w:ascii="Times New Roman" w:hAnsi="Times New Roman" w:cs="Times New Roman"/>
        </w:rPr>
      </w:pPr>
    </w:p>
    <w:p w14:paraId="264C3D6C" w14:textId="7889DF6E" w:rsidR="000A52D9" w:rsidRPr="001B2378" w:rsidRDefault="000A52D9" w:rsidP="000A52D9">
      <w:pPr>
        <w:ind w:firstLine="708"/>
        <w:jc w:val="both"/>
        <w:rPr>
          <w:rFonts w:ascii="Times New Roman" w:hAnsi="Times New Roman" w:cs="Times New Roman"/>
        </w:rPr>
      </w:pPr>
      <w:r w:rsidRPr="001B2378">
        <w:rPr>
          <w:rFonts w:ascii="Times New Roman" w:hAnsi="Times New Roman" w:cs="Times New Roman"/>
        </w:rPr>
        <w:t xml:space="preserve">L’objectif de cette intervention est de faire une analyse </w:t>
      </w:r>
      <w:r>
        <w:rPr>
          <w:rFonts w:ascii="Times New Roman" w:hAnsi="Times New Roman" w:cs="Times New Roman"/>
        </w:rPr>
        <w:t>de la singularité du</w:t>
      </w:r>
      <w:r w:rsidRPr="001B2378">
        <w:rPr>
          <w:rFonts w:ascii="Times New Roman" w:hAnsi="Times New Roman" w:cs="Times New Roman"/>
        </w:rPr>
        <w:t xml:space="preserve"> mode d’être du savoir sur la langue propre aux premiers travaux en linguistique structurale russe de Roman Jakobson (1920-1930) dans le rapport problématique que ce savoir linguistique entretient avec les discours </w:t>
      </w:r>
      <w:r>
        <w:rPr>
          <w:rFonts w:ascii="Times New Roman" w:hAnsi="Times New Roman" w:cs="Times New Roman"/>
        </w:rPr>
        <w:t xml:space="preserve">politiques </w:t>
      </w:r>
      <w:r w:rsidRPr="001B2378">
        <w:rPr>
          <w:rFonts w:ascii="Times New Roman" w:hAnsi="Times New Roman" w:cs="Times New Roman"/>
        </w:rPr>
        <w:t xml:space="preserve">d’émancipation </w:t>
      </w:r>
      <w:r w:rsidR="006D22B3">
        <w:rPr>
          <w:rFonts w:ascii="Times New Roman" w:hAnsi="Times New Roman" w:cs="Times New Roman"/>
        </w:rPr>
        <w:t xml:space="preserve">collective </w:t>
      </w:r>
      <w:r w:rsidR="002021A9">
        <w:rPr>
          <w:rFonts w:ascii="Times New Roman" w:hAnsi="Times New Roman" w:cs="Times New Roman"/>
        </w:rPr>
        <w:t>s’inscrivant dans</w:t>
      </w:r>
      <w:r w:rsidRPr="001B2378">
        <w:rPr>
          <w:rFonts w:ascii="Times New Roman" w:hAnsi="Times New Roman" w:cs="Times New Roman"/>
        </w:rPr>
        <w:t xml:space="preserve"> l</w:t>
      </w:r>
      <w:r>
        <w:rPr>
          <w:rFonts w:ascii="Times New Roman" w:hAnsi="Times New Roman" w:cs="Times New Roman"/>
        </w:rPr>
        <w:t>e contexte historique de l</w:t>
      </w:r>
      <w:r w:rsidRPr="001B2378">
        <w:rPr>
          <w:rFonts w:ascii="Times New Roman" w:hAnsi="Times New Roman" w:cs="Times New Roman"/>
        </w:rPr>
        <w:t>a jeune Union Soviétique.</w:t>
      </w:r>
      <w:r w:rsidR="002021A9">
        <w:rPr>
          <w:rFonts w:ascii="Times New Roman" w:hAnsi="Times New Roman" w:cs="Times New Roman"/>
        </w:rPr>
        <w:t xml:space="preserve"> </w:t>
      </w:r>
    </w:p>
    <w:p w14:paraId="55DD27F5" w14:textId="77777777" w:rsidR="000A52D9" w:rsidRPr="001B2378" w:rsidRDefault="000A52D9" w:rsidP="000A52D9">
      <w:pPr>
        <w:ind w:firstLine="708"/>
        <w:jc w:val="both"/>
        <w:rPr>
          <w:rFonts w:ascii="Times New Roman" w:eastAsia="Arial" w:hAnsi="Times New Roman" w:cs="Times New Roman"/>
        </w:rPr>
      </w:pPr>
      <w:r w:rsidRPr="001B2378">
        <w:rPr>
          <w:rFonts w:ascii="Times New Roman" w:eastAsia="Arial" w:hAnsi="Times New Roman" w:cs="Times New Roman"/>
          <w:color w:val="000000"/>
        </w:rPr>
        <w:t>Notre hypothèse directrice est que les conditions pour co</w:t>
      </w:r>
      <w:r>
        <w:rPr>
          <w:rFonts w:ascii="Times New Roman" w:eastAsia="Arial" w:hAnsi="Times New Roman" w:cs="Times New Roman"/>
          <w:color w:val="000000"/>
        </w:rPr>
        <w:t>mprendre la portée épistémologique</w:t>
      </w:r>
      <w:r w:rsidRPr="001B2378">
        <w:rPr>
          <w:rFonts w:ascii="Times New Roman" w:eastAsia="Arial" w:hAnsi="Times New Roman" w:cs="Times New Roman"/>
          <w:color w:val="000000"/>
        </w:rPr>
        <w:t xml:space="preserve"> et politique de la linguistique structurale du premier Jakobson sont doubles : d’un côté, il faut prendre en compte une conception particulière du rapport d’identité de soi à soi constituant l’unité du sujet énonciateur </w:t>
      </w:r>
      <w:r>
        <w:rPr>
          <w:rFonts w:ascii="Times New Roman" w:eastAsia="Arial" w:hAnsi="Times New Roman" w:cs="Times New Roman"/>
          <w:color w:val="000000"/>
        </w:rPr>
        <w:t>(idéalisme)</w:t>
      </w:r>
      <w:r w:rsidRPr="001B2378">
        <w:rPr>
          <w:rFonts w:ascii="Times New Roman" w:eastAsia="Arial" w:hAnsi="Times New Roman" w:cs="Times New Roman"/>
          <w:color w:val="000000"/>
        </w:rPr>
        <w:t>; de l’autre, la connaissance linguistique vise aussi à mettre en relief la langue comme marqueur de la non-identité et de l’hétérogénéité des groupes sociaux dont les intérêts varient en fonction des rapports de pouvoir qui les surdéterminent</w:t>
      </w:r>
      <w:r>
        <w:rPr>
          <w:rFonts w:ascii="Times New Roman" w:eastAsia="Arial" w:hAnsi="Times New Roman" w:cs="Times New Roman"/>
          <w:color w:val="000000"/>
        </w:rPr>
        <w:t xml:space="preserve"> (matérialisme)</w:t>
      </w:r>
      <w:r w:rsidRPr="001B2378">
        <w:rPr>
          <w:rFonts w:ascii="Times New Roman" w:eastAsia="Arial" w:hAnsi="Times New Roman" w:cs="Times New Roman"/>
          <w:color w:val="000000"/>
        </w:rPr>
        <w:t>. La singularité, mais aussi le paradoxe du projet linguistique du jeune Jakobson, réside selon nous dans l’oscillation entre ces deux pôles théoriques. Mais cette oscillation permet aussi de mieux faire voir le rapport que la connaissance de la linguistique structurale russe entretient avec ses conditions sociales et politiques dans la période susmentionnée.</w:t>
      </w:r>
      <w:r w:rsidRPr="001B2378">
        <w:rPr>
          <w:rFonts w:ascii="Times New Roman" w:eastAsia="Arial" w:hAnsi="Times New Roman" w:cs="Times New Roman"/>
        </w:rPr>
        <w:t xml:space="preserve"> </w:t>
      </w:r>
    </w:p>
    <w:p w14:paraId="2052C609" w14:textId="5C4D7ECA" w:rsidR="00924D1D" w:rsidRDefault="000A52D9" w:rsidP="000A52D9">
      <w:pPr>
        <w:ind w:firstLine="708"/>
        <w:jc w:val="both"/>
        <w:rPr>
          <w:rFonts w:ascii="Times New Roman" w:eastAsia="Arial" w:hAnsi="Times New Roman" w:cs="Times New Roman"/>
        </w:rPr>
      </w:pPr>
      <w:r w:rsidRPr="00945721">
        <w:rPr>
          <w:rFonts w:ascii="Times New Roman" w:eastAsia="Arial" w:hAnsi="Times New Roman" w:cs="Times New Roman"/>
        </w:rPr>
        <w:t>En étayant l’hypothèse selon laquelle le mode d’être de la connaissance propre à la</w:t>
      </w:r>
      <w:r>
        <w:rPr>
          <w:rFonts w:eastAsia="Arial" w:cs="Arial"/>
        </w:rPr>
        <w:t xml:space="preserve"> </w:t>
      </w:r>
      <w:r w:rsidRPr="00945721">
        <w:rPr>
          <w:rFonts w:ascii="Times New Roman" w:eastAsia="Arial" w:hAnsi="Times New Roman" w:cs="Times New Roman"/>
        </w:rPr>
        <w:t xml:space="preserve">linguistique structurale du jeune Jakobson est enraciné dans deux perspectives de pensée de prime abord </w:t>
      </w:r>
      <w:r>
        <w:rPr>
          <w:rFonts w:ascii="Times New Roman" w:eastAsia="Arial" w:hAnsi="Times New Roman" w:cs="Times New Roman"/>
        </w:rPr>
        <w:t>opposées, l’une idéaliste et l’autre matérialiste</w:t>
      </w:r>
      <w:r w:rsidRPr="00945721">
        <w:rPr>
          <w:rFonts w:ascii="Times New Roman" w:eastAsia="Arial" w:hAnsi="Times New Roman" w:cs="Times New Roman"/>
        </w:rPr>
        <w:t xml:space="preserve">, notre </w:t>
      </w:r>
      <w:r>
        <w:rPr>
          <w:rFonts w:ascii="Times New Roman" w:eastAsia="Arial" w:hAnsi="Times New Roman" w:cs="Times New Roman"/>
        </w:rPr>
        <w:t>présentation</w:t>
      </w:r>
      <w:r w:rsidRPr="00945721">
        <w:rPr>
          <w:rFonts w:ascii="Times New Roman" w:eastAsia="Arial" w:hAnsi="Times New Roman" w:cs="Times New Roman"/>
        </w:rPr>
        <w:t xml:space="preserve"> </w:t>
      </w:r>
      <w:r>
        <w:rPr>
          <w:rFonts w:ascii="Times New Roman" w:eastAsia="Arial" w:hAnsi="Times New Roman" w:cs="Times New Roman"/>
        </w:rPr>
        <w:t>thématise</w:t>
      </w:r>
      <w:r w:rsidRPr="00945721">
        <w:rPr>
          <w:rFonts w:ascii="Times New Roman" w:eastAsia="Arial" w:hAnsi="Times New Roman" w:cs="Times New Roman"/>
        </w:rPr>
        <w:t xml:space="preserve"> la manière dont l’existence singulière </w:t>
      </w:r>
      <w:r>
        <w:rPr>
          <w:rFonts w:ascii="Times New Roman" w:eastAsia="Arial" w:hAnsi="Times New Roman" w:cs="Times New Roman"/>
        </w:rPr>
        <w:t xml:space="preserve">des langues </w:t>
      </w:r>
      <w:r w:rsidRPr="00945721">
        <w:rPr>
          <w:rFonts w:ascii="Times New Roman" w:eastAsia="Arial" w:hAnsi="Times New Roman" w:cs="Times New Roman"/>
        </w:rPr>
        <w:t xml:space="preserve">échappe à la mentalisation de ce qui lui arrive </w:t>
      </w:r>
      <w:r>
        <w:rPr>
          <w:rFonts w:ascii="Times New Roman" w:eastAsia="Arial" w:hAnsi="Times New Roman" w:cs="Times New Roman"/>
        </w:rPr>
        <w:t>tout en mettant en relief</w:t>
      </w:r>
      <w:r w:rsidRPr="00945721">
        <w:rPr>
          <w:rFonts w:ascii="Times New Roman" w:eastAsia="Arial" w:hAnsi="Times New Roman" w:cs="Times New Roman"/>
        </w:rPr>
        <w:t xml:space="preserve"> la transformation des intérêts collectifs. Il s’agit ainsi d’une </w:t>
      </w:r>
      <w:r>
        <w:rPr>
          <w:rFonts w:ascii="Times New Roman" w:eastAsia="Arial" w:hAnsi="Times New Roman" w:cs="Times New Roman"/>
        </w:rPr>
        <w:t>tentative</w:t>
      </w:r>
      <w:r w:rsidRPr="00945721">
        <w:rPr>
          <w:rFonts w:ascii="Times New Roman" w:eastAsia="Arial" w:hAnsi="Times New Roman" w:cs="Times New Roman"/>
        </w:rPr>
        <w:t xml:space="preserve"> pour reconstruire, avec des o</w:t>
      </w:r>
      <w:r>
        <w:rPr>
          <w:rFonts w:ascii="Times New Roman" w:eastAsia="Arial" w:hAnsi="Times New Roman" w:cs="Times New Roman"/>
        </w:rPr>
        <w:t>utils conceptuels philosophiques, épistémologiques et politiques</w:t>
      </w:r>
      <w:r w:rsidRPr="00945721">
        <w:rPr>
          <w:rFonts w:ascii="Times New Roman" w:eastAsia="Arial" w:hAnsi="Times New Roman" w:cs="Times New Roman"/>
        </w:rPr>
        <w:t xml:space="preserve">, l’histoire du structuralisme russe des années 1920-1930, un mouvement intellectuel resté jusqu’à présent insuffisamment connu et de fait </w:t>
      </w:r>
      <w:r>
        <w:rPr>
          <w:rFonts w:ascii="Times New Roman" w:eastAsia="Arial" w:hAnsi="Times New Roman" w:cs="Times New Roman"/>
        </w:rPr>
        <w:t xml:space="preserve">encore </w:t>
      </w:r>
      <w:r w:rsidRPr="00945721">
        <w:rPr>
          <w:rFonts w:ascii="Times New Roman" w:eastAsia="Arial" w:hAnsi="Times New Roman" w:cs="Times New Roman"/>
        </w:rPr>
        <w:t xml:space="preserve">inaccessible </w:t>
      </w:r>
      <w:r>
        <w:rPr>
          <w:rFonts w:ascii="Times New Roman" w:eastAsia="Arial" w:hAnsi="Times New Roman" w:cs="Times New Roman"/>
        </w:rPr>
        <w:t xml:space="preserve">intégralement </w:t>
      </w:r>
      <w:r w:rsidRPr="00945721">
        <w:rPr>
          <w:rFonts w:ascii="Times New Roman" w:eastAsia="Arial" w:hAnsi="Times New Roman" w:cs="Times New Roman"/>
        </w:rPr>
        <w:t>aux lecteurs philosophes francophones.</w:t>
      </w:r>
    </w:p>
    <w:p w14:paraId="5FA05A5F" w14:textId="77777777" w:rsidR="00396BDE" w:rsidRDefault="00396BDE" w:rsidP="00396BDE">
      <w:pPr>
        <w:jc w:val="both"/>
        <w:rPr>
          <w:rFonts w:ascii="Times New Roman" w:eastAsia="Arial" w:hAnsi="Times New Roman" w:cs="Times New Roman"/>
        </w:rPr>
      </w:pPr>
    </w:p>
    <w:p w14:paraId="45E44849" w14:textId="2A6F08D6" w:rsidR="00396BDE" w:rsidRDefault="00396BDE" w:rsidP="00396BDE">
      <w:pPr>
        <w:jc w:val="both"/>
        <w:rPr>
          <w:rFonts w:ascii="Times New Roman" w:eastAsia="Arial" w:hAnsi="Times New Roman" w:cs="Times New Roman"/>
        </w:rPr>
      </w:pPr>
      <w:r>
        <w:rPr>
          <w:rFonts w:ascii="Times New Roman" w:eastAsia="Arial" w:hAnsi="Times New Roman" w:cs="Times New Roman"/>
        </w:rPr>
        <w:t xml:space="preserve">Oleg Bernaz : Post-doctorant en Philosophie au Centre de Philosophie du Droit (Université catholique de Louvain). </w:t>
      </w:r>
    </w:p>
    <w:p w14:paraId="25B7EA85" w14:textId="77777777" w:rsidR="00396BDE" w:rsidRDefault="00396BDE" w:rsidP="00396BDE">
      <w:pPr>
        <w:jc w:val="both"/>
        <w:rPr>
          <w:rFonts w:ascii="Times New Roman" w:eastAsia="Arial" w:hAnsi="Times New Roman" w:cs="Times New Roman"/>
        </w:rPr>
      </w:pPr>
    </w:p>
    <w:p w14:paraId="61B5E731" w14:textId="37E248C3" w:rsidR="00396BDE" w:rsidRPr="00396BDE" w:rsidRDefault="00396BDE" w:rsidP="00396BDE">
      <w:pPr>
        <w:jc w:val="both"/>
        <w:rPr>
          <w:rFonts w:ascii="Times New Roman" w:eastAsia="Arial" w:hAnsi="Times New Roman" w:cs="Times New Roman"/>
          <w:color w:val="000000"/>
          <w:lang w:val="de-CH"/>
        </w:rPr>
      </w:pPr>
      <w:r>
        <w:rPr>
          <w:rFonts w:ascii="Times New Roman" w:eastAsia="Arial" w:hAnsi="Times New Roman" w:cs="Times New Roman"/>
        </w:rPr>
        <w:t>E-mail : oleg.bernaz</w:t>
      </w:r>
      <w:r>
        <w:rPr>
          <w:rFonts w:ascii="Times New Roman" w:eastAsia="Arial" w:hAnsi="Times New Roman" w:cs="Times New Roman"/>
          <w:lang w:val="de-CH"/>
        </w:rPr>
        <w:t>@uclouvain.be</w:t>
      </w:r>
    </w:p>
    <w:sectPr w:rsidR="00396BDE" w:rsidRPr="00396BDE" w:rsidSect="00075882">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D9"/>
    <w:rsid w:val="00075882"/>
    <w:rsid w:val="000A52D9"/>
    <w:rsid w:val="000F3A1D"/>
    <w:rsid w:val="0019312E"/>
    <w:rsid w:val="002021A9"/>
    <w:rsid w:val="00211D70"/>
    <w:rsid w:val="002953BF"/>
    <w:rsid w:val="00396BDE"/>
    <w:rsid w:val="00541E40"/>
    <w:rsid w:val="00562D78"/>
    <w:rsid w:val="006D22B3"/>
    <w:rsid w:val="0076764A"/>
    <w:rsid w:val="0089626D"/>
    <w:rsid w:val="00994781"/>
    <w:rsid w:val="00AC4920"/>
    <w:rsid w:val="00BC09E8"/>
    <w:rsid w:val="00C707A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094F55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2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367</Words>
  <Characters>2023</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Bernaz Oleg</dc:creator>
  <cp:keywords/>
  <dc:description/>
  <cp:lastModifiedBy>Bernaz Oleg</cp:lastModifiedBy>
  <cp:revision>13</cp:revision>
  <dcterms:created xsi:type="dcterms:W3CDTF">2017-03-14T14:13:00Z</dcterms:created>
  <dcterms:modified xsi:type="dcterms:W3CDTF">2018-01-23T15:21:00Z</dcterms:modified>
</cp:coreProperties>
</file>