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3D50C0" w14:textId="0AF217B1" w:rsidR="009C33AE" w:rsidRPr="000607E8" w:rsidRDefault="00D523F3" w:rsidP="005A638B">
      <w:pPr>
        <w:spacing w:after="0" w:line="360" w:lineRule="auto"/>
        <w:contextualSpacing/>
        <w:jc w:val="center"/>
        <w:rPr>
          <w:rStyle w:val="st"/>
          <w:rFonts w:asciiTheme="majorHAnsi" w:hAnsiTheme="majorHAnsi" w:cs="Times New Roman"/>
          <w:b/>
          <w:sz w:val="32"/>
          <w:szCs w:val="32"/>
        </w:rPr>
      </w:pPr>
      <w:r w:rsidRPr="000607E8">
        <w:rPr>
          <w:rStyle w:val="st"/>
          <w:rFonts w:asciiTheme="majorHAnsi" w:hAnsiTheme="majorHAnsi" w:cs="Times New Roman"/>
          <w:b/>
          <w:sz w:val="32"/>
          <w:szCs w:val="32"/>
        </w:rPr>
        <w:t xml:space="preserve">Dépolitisation et (re)politisation des </w:t>
      </w:r>
      <w:r w:rsidR="000A553A" w:rsidRPr="000607E8">
        <w:rPr>
          <w:rStyle w:val="st"/>
          <w:rFonts w:asciiTheme="majorHAnsi" w:hAnsiTheme="majorHAnsi" w:cs="Times New Roman"/>
          <w:b/>
          <w:sz w:val="32"/>
          <w:szCs w:val="32"/>
        </w:rPr>
        <w:t>enjeux</w:t>
      </w:r>
      <w:r w:rsidRPr="000607E8">
        <w:rPr>
          <w:rStyle w:val="st"/>
          <w:rFonts w:asciiTheme="majorHAnsi" w:hAnsiTheme="majorHAnsi" w:cs="Times New Roman"/>
          <w:b/>
          <w:sz w:val="32"/>
          <w:szCs w:val="32"/>
        </w:rPr>
        <w:t xml:space="preserve"> monétaires en Europe</w:t>
      </w:r>
      <w:r w:rsidR="00CD5819" w:rsidRPr="000607E8">
        <w:rPr>
          <w:rStyle w:val="st"/>
          <w:rFonts w:asciiTheme="majorHAnsi" w:hAnsiTheme="majorHAnsi" w:cs="Times New Roman"/>
          <w:b/>
          <w:sz w:val="32"/>
          <w:szCs w:val="32"/>
        </w:rPr>
        <w:t xml:space="preserve"> </w:t>
      </w:r>
    </w:p>
    <w:p w14:paraId="040FB70A" w14:textId="03F14353" w:rsidR="006506E9" w:rsidRPr="000607E8" w:rsidRDefault="00F45813" w:rsidP="005A638B">
      <w:pPr>
        <w:spacing w:after="0" w:line="360" w:lineRule="auto"/>
        <w:contextualSpacing/>
        <w:jc w:val="center"/>
        <w:rPr>
          <w:rStyle w:val="st"/>
          <w:rFonts w:asciiTheme="majorHAnsi" w:hAnsiTheme="majorHAnsi" w:cs="Times New Roman"/>
          <w:b/>
          <w:sz w:val="28"/>
          <w:szCs w:val="28"/>
        </w:rPr>
      </w:pPr>
      <w:r w:rsidRPr="00950CBA">
        <w:rPr>
          <w:rStyle w:val="st"/>
          <w:rFonts w:asciiTheme="majorHAnsi" w:hAnsiTheme="majorHAnsi" w:cs="Times New Roman"/>
          <w:b/>
          <w:sz w:val="28"/>
          <w:szCs w:val="28"/>
          <w:highlight w:val="yellow"/>
        </w:rPr>
        <w:t>Les politiques d’indépendance</w:t>
      </w:r>
      <w:r w:rsidR="00D523F3" w:rsidRPr="00950CBA">
        <w:rPr>
          <w:rStyle w:val="st"/>
          <w:rFonts w:asciiTheme="majorHAnsi" w:hAnsiTheme="majorHAnsi" w:cs="Times New Roman"/>
          <w:b/>
          <w:sz w:val="28"/>
          <w:szCs w:val="28"/>
          <w:highlight w:val="yellow"/>
        </w:rPr>
        <w:t xml:space="preserve"> d</w:t>
      </w:r>
      <w:r w:rsidR="00285BF8" w:rsidRPr="00950CBA">
        <w:rPr>
          <w:rStyle w:val="st"/>
          <w:rFonts w:asciiTheme="majorHAnsi" w:hAnsiTheme="majorHAnsi" w:cs="Times New Roman"/>
          <w:b/>
          <w:sz w:val="28"/>
          <w:szCs w:val="28"/>
          <w:highlight w:val="yellow"/>
        </w:rPr>
        <w:t xml:space="preserve">e la Banque </w:t>
      </w:r>
      <w:r w:rsidR="00374D49" w:rsidRPr="00950CBA">
        <w:rPr>
          <w:rStyle w:val="st"/>
          <w:rFonts w:asciiTheme="majorHAnsi" w:hAnsiTheme="majorHAnsi" w:cs="Times New Roman"/>
          <w:b/>
          <w:sz w:val="28"/>
          <w:szCs w:val="28"/>
          <w:highlight w:val="yellow"/>
        </w:rPr>
        <w:t>c</w:t>
      </w:r>
      <w:r w:rsidR="00285BF8" w:rsidRPr="00950CBA">
        <w:rPr>
          <w:rStyle w:val="st"/>
          <w:rFonts w:asciiTheme="majorHAnsi" w:hAnsiTheme="majorHAnsi" w:cs="Times New Roman"/>
          <w:b/>
          <w:sz w:val="28"/>
          <w:szCs w:val="28"/>
          <w:highlight w:val="yellow"/>
        </w:rPr>
        <w:t xml:space="preserve">entrale </w:t>
      </w:r>
      <w:r w:rsidR="00374D49" w:rsidRPr="00950CBA">
        <w:rPr>
          <w:rStyle w:val="st"/>
          <w:rFonts w:asciiTheme="majorHAnsi" w:hAnsiTheme="majorHAnsi" w:cs="Times New Roman"/>
          <w:b/>
          <w:sz w:val="28"/>
          <w:szCs w:val="28"/>
          <w:highlight w:val="yellow"/>
        </w:rPr>
        <w:t>e</w:t>
      </w:r>
      <w:r w:rsidR="00285BF8" w:rsidRPr="00950CBA">
        <w:rPr>
          <w:rStyle w:val="st"/>
          <w:rFonts w:asciiTheme="majorHAnsi" w:hAnsiTheme="majorHAnsi" w:cs="Times New Roman"/>
          <w:b/>
          <w:sz w:val="28"/>
          <w:szCs w:val="28"/>
          <w:highlight w:val="yellow"/>
        </w:rPr>
        <w:t>uropéenne</w:t>
      </w:r>
      <w:r w:rsidR="00D523F3" w:rsidRPr="000607E8">
        <w:rPr>
          <w:rStyle w:val="st"/>
          <w:rFonts w:asciiTheme="majorHAnsi" w:hAnsiTheme="majorHAnsi" w:cs="Times New Roman"/>
          <w:b/>
          <w:sz w:val="28"/>
          <w:szCs w:val="28"/>
        </w:rPr>
        <w:t xml:space="preserve"> </w:t>
      </w:r>
    </w:p>
    <w:p w14:paraId="6C2F7CF0" w14:textId="0B254371" w:rsidR="00BD0DA3" w:rsidRPr="004623C6" w:rsidRDefault="00BD0DA3" w:rsidP="005A638B">
      <w:pPr>
        <w:spacing w:after="0" w:line="360" w:lineRule="auto"/>
        <w:contextualSpacing/>
        <w:jc w:val="both"/>
        <w:rPr>
          <w:rFonts w:asciiTheme="majorHAnsi" w:hAnsiTheme="majorHAnsi" w:cs="Times New Roman"/>
          <w:sz w:val="24"/>
          <w:szCs w:val="24"/>
        </w:rPr>
      </w:pPr>
    </w:p>
    <w:p w14:paraId="3F7BBDAA" w14:textId="4E681543" w:rsidR="003D37ED" w:rsidRPr="000607E8" w:rsidRDefault="000607E8" w:rsidP="000607E8">
      <w:pPr>
        <w:spacing w:after="0" w:line="360" w:lineRule="auto"/>
        <w:contextualSpacing/>
        <w:jc w:val="center"/>
        <w:rPr>
          <w:rFonts w:asciiTheme="majorHAnsi" w:hAnsiTheme="majorHAnsi" w:cs="Times New Roman"/>
          <w:b/>
          <w:sz w:val="24"/>
          <w:szCs w:val="24"/>
          <w:lang w:val="fr-FR"/>
        </w:rPr>
      </w:pPr>
      <w:r w:rsidRPr="000607E8">
        <w:rPr>
          <w:rFonts w:asciiTheme="majorHAnsi" w:hAnsiTheme="majorHAnsi" w:cs="Times New Roman"/>
          <w:b/>
          <w:sz w:val="24"/>
          <w:szCs w:val="24"/>
          <w:lang w:val="fr-FR"/>
        </w:rPr>
        <w:t>Clément Fontan</w:t>
      </w:r>
    </w:p>
    <w:p w14:paraId="50790956" w14:textId="77777777" w:rsidR="000607E8" w:rsidRPr="004623C6" w:rsidRDefault="000607E8" w:rsidP="004D155E">
      <w:pPr>
        <w:spacing w:after="0" w:line="360" w:lineRule="auto"/>
        <w:contextualSpacing/>
        <w:jc w:val="both"/>
        <w:rPr>
          <w:rFonts w:asciiTheme="majorHAnsi" w:hAnsiTheme="majorHAnsi" w:cs="Times New Roman"/>
          <w:b/>
          <w:sz w:val="24"/>
          <w:szCs w:val="24"/>
          <w:u w:val="single"/>
          <w:lang w:val="fr-FR"/>
        </w:rPr>
      </w:pPr>
    </w:p>
    <w:p w14:paraId="67E6F98C" w14:textId="535B44EE" w:rsidR="00997282" w:rsidRPr="004623C6" w:rsidRDefault="005A638B" w:rsidP="005452E0">
      <w:pPr>
        <w:spacing w:before="100" w:beforeAutospacing="1" w:after="100" w:afterAutospacing="1"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À</w:t>
      </w:r>
      <w:r w:rsidR="00C73D19" w:rsidRPr="004623C6">
        <w:rPr>
          <w:rFonts w:asciiTheme="majorHAnsi" w:hAnsiTheme="majorHAnsi" w:cs="Times New Roman"/>
          <w:sz w:val="24"/>
          <w:szCs w:val="24"/>
        </w:rPr>
        <w:t xml:space="preserve"> sa création en 1999, l</w:t>
      </w:r>
      <w:r w:rsidR="00883F8C" w:rsidRPr="004623C6">
        <w:rPr>
          <w:rFonts w:asciiTheme="majorHAnsi" w:hAnsiTheme="majorHAnsi" w:cs="Times New Roman"/>
          <w:sz w:val="24"/>
          <w:szCs w:val="24"/>
        </w:rPr>
        <w:t>a B</w:t>
      </w:r>
      <w:r w:rsidR="00094DFF" w:rsidRPr="004623C6">
        <w:rPr>
          <w:rFonts w:asciiTheme="majorHAnsi" w:hAnsiTheme="majorHAnsi" w:cs="Times New Roman"/>
          <w:sz w:val="24"/>
          <w:szCs w:val="24"/>
        </w:rPr>
        <w:t xml:space="preserve">anque centrale </w:t>
      </w:r>
      <w:r w:rsidR="00E63B86" w:rsidRPr="004623C6">
        <w:rPr>
          <w:rFonts w:asciiTheme="majorHAnsi" w:hAnsiTheme="majorHAnsi" w:cs="Times New Roman"/>
          <w:sz w:val="24"/>
          <w:szCs w:val="24"/>
        </w:rPr>
        <w:t>européenne</w:t>
      </w:r>
      <w:r w:rsidR="00094DFF" w:rsidRPr="004623C6">
        <w:rPr>
          <w:rFonts w:asciiTheme="majorHAnsi" w:hAnsiTheme="majorHAnsi" w:cs="Times New Roman"/>
          <w:sz w:val="24"/>
          <w:szCs w:val="24"/>
        </w:rPr>
        <w:t xml:space="preserve"> (BCE)</w:t>
      </w:r>
      <w:r w:rsidR="00883F8C" w:rsidRPr="004623C6">
        <w:rPr>
          <w:rFonts w:asciiTheme="majorHAnsi" w:hAnsiTheme="majorHAnsi" w:cs="Times New Roman"/>
          <w:sz w:val="24"/>
          <w:szCs w:val="24"/>
        </w:rPr>
        <w:t xml:space="preserve"> était une institution relativement méconnue, </w:t>
      </w:r>
      <w:r w:rsidR="00662D4C" w:rsidRPr="004623C6">
        <w:rPr>
          <w:rFonts w:asciiTheme="majorHAnsi" w:hAnsiTheme="majorHAnsi" w:cs="Times New Roman"/>
          <w:sz w:val="24"/>
          <w:szCs w:val="24"/>
        </w:rPr>
        <w:t xml:space="preserve">qui bénéficiait d’un haut niveau d’indépendance envers les autorités politiques </w:t>
      </w:r>
      <w:r w:rsidR="00883F8C" w:rsidRPr="004623C6">
        <w:rPr>
          <w:rFonts w:asciiTheme="majorHAnsi" w:hAnsiTheme="majorHAnsi" w:cs="Times New Roman"/>
          <w:sz w:val="24"/>
          <w:szCs w:val="24"/>
        </w:rPr>
        <w:t xml:space="preserve">afin de garantir la stabilité des </w:t>
      </w:r>
      <w:r w:rsidR="000F1024" w:rsidRPr="004623C6">
        <w:rPr>
          <w:rFonts w:asciiTheme="majorHAnsi" w:hAnsiTheme="majorHAnsi" w:cs="Times New Roman"/>
          <w:sz w:val="24"/>
          <w:szCs w:val="24"/>
        </w:rPr>
        <w:t>prix de la zone euro. Le</w:t>
      </w:r>
      <w:bookmarkStart w:id="0" w:name="_GoBack"/>
      <w:bookmarkEnd w:id="0"/>
      <w:r w:rsidR="000F1024" w:rsidRPr="004623C6">
        <w:rPr>
          <w:rFonts w:asciiTheme="majorHAnsi" w:hAnsiTheme="majorHAnsi" w:cs="Times New Roman"/>
          <w:sz w:val="24"/>
          <w:szCs w:val="24"/>
        </w:rPr>
        <w:t xml:space="preserve"> périmètre d’intervention de la BCE était strictement limité à la formulation de la politique monétaire</w:t>
      </w:r>
      <w:r w:rsidR="002A3691" w:rsidRPr="004623C6">
        <w:rPr>
          <w:rFonts w:asciiTheme="majorHAnsi" w:hAnsiTheme="majorHAnsi" w:cs="Times New Roman"/>
          <w:sz w:val="24"/>
          <w:szCs w:val="24"/>
        </w:rPr>
        <w:t>,</w:t>
      </w:r>
      <w:r w:rsidR="00A66837" w:rsidRPr="004623C6">
        <w:rPr>
          <w:rFonts w:asciiTheme="majorHAnsi" w:hAnsiTheme="majorHAnsi" w:cs="Times New Roman"/>
          <w:sz w:val="24"/>
          <w:szCs w:val="24"/>
        </w:rPr>
        <w:t xml:space="preserve"> </w:t>
      </w:r>
      <w:r w:rsidR="00985F8E" w:rsidRPr="004623C6">
        <w:rPr>
          <w:rFonts w:asciiTheme="majorHAnsi" w:hAnsiTheme="majorHAnsi" w:cs="Times New Roman"/>
          <w:sz w:val="24"/>
          <w:szCs w:val="24"/>
        </w:rPr>
        <w:t xml:space="preserve">alors </w:t>
      </w:r>
      <w:r w:rsidR="00C3148B" w:rsidRPr="004623C6">
        <w:rPr>
          <w:rFonts w:asciiTheme="majorHAnsi" w:hAnsiTheme="majorHAnsi" w:cs="Times New Roman"/>
          <w:sz w:val="24"/>
          <w:szCs w:val="24"/>
        </w:rPr>
        <w:t>perçue</w:t>
      </w:r>
      <w:r w:rsidR="007F0BED" w:rsidRPr="004623C6">
        <w:rPr>
          <w:rFonts w:asciiTheme="majorHAnsi" w:hAnsiTheme="majorHAnsi" w:cs="Times New Roman"/>
          <w:sz w:val="24"/>
          <w:szCs w:val="24"/>
        </w:rPr>
        <w:t xml:space="preserve"> par une grande majorité d’économistes et du personnel politique comme un domaine technique</w:t>
      </w:r>
      <w:r w:rsidR="005717E6" w:rsidRPr="004623C6">
        <w:rPr>
          <w:rFonts w:asciiTheme="majorHAnsi" w:hAnsiTheme="majorHAnsi" w:cs="Times New Roman"/>
          <w:sz w:val="24"/>
          <w:szCs w:val="24"/>
        </w:rPr>
        <w:t xml:space="preserve"> </w:t>
      </w:r>
      <w:r w:rsidR="007F0BED" w:rsidRPr="004623C6">
        <w:rPr>
          <w:rFonts w:asciiTheme="majorHAnsi" w:hAnsiTheme="majorHAnsi" w:cs="Times New Roman"/>
          <w:sz w:val="24"/>
          <w:szCs w:val="24"/>
        </w:rPr>
        <w:t>dont les arcanes ne pouvaient être maitrisée</w:t>
      </w:r>
      <w:r w:rsidR="000A553A" w:rsidRPr="004623C6">
        <w:rPr>
          <w:rFonts w:asciiTheme="majorHAnsi" w:hAnsiTheme="majorHAnsi" w:cs="Times New Roman"/>
          <w:sz w:val="24"/>
          <w:szCs w:val="24"/>
        </w:rPr>
        <w:t>s</w:t>
      </w:r>
      <w:r w:rsidR="007F0BED" w:rsidRPr="004623C6">
        <w:rPr>
          <w:rFonts w:asciiTheme="majorHAnsi" w:hAnsiTheme="majorHAnsi" w:cs="Times New Roman"/>
          <w:sz w:val="24"/>
          <w:szCs w:val="24"/>
        </w:rPr>
        <w:t xml:space="preserve"> qu</w:t>
      </w:r>
      <w:r w:rsidR="005717E6" w:rsidRPr="004623C6">
        <w:rPr>
          <w:rFonts w:asciiTheme="majorHAnsi" w:hAnsiTheme="majorHAnsi" w:cs="Times New Roman"/>
          <w:sz w:val="24"/>
          <w:szCs w:val="24"/>
        </w:rPr>
        <w:t xml:space="preserve">e par des </w:t>
      </w:r>
      <w:r w:rsidR="00D7373C" w:rsidRPr="004623C6">
        <w:rPr>
          <w:rFonts w:asciiTheme="majorHAnsi" w:hAnsiTheme="majorHAnsi" w:cs="Times New Roman"/>
          <w:sz w:val="24"/>
          <w:szCs w:val="24"/>
        </w:rPr>
        <w:t xml:space="preserve">expert∙e∙s </w:t>
      </w:r>
      <w:r w:rsidR="000A3C56" w:rsidRPr="004623C6">
        <w:rPr>
          <w:rFonts w:asciiTheme="majorHAnsi" w:hAnsiTheme="majorHAnsi" w:cs="Times New Roman"/>
          <w:sz w:val="24"/>
          <w:szCs w:val="24"/>
        </w:rPr>
        <w:t>dénué</w:t>
      </w:r>
      <w:r w:rsidR="002A3691" w:rsidRPr="004623C6">
        <w:rPr>
          <w:rFonts w:asciiTheme="majorHAnsi" w:hAnsiTheme="majorHAnsi" w:cs="Times New Roman"/>
          <w:sz w:val="24"/>
          <w:szCs w:val="24"/>
        </w:rPr>
        <w:t>∙e∙</w:t>
      </w:r>
      <w:r w:rsidR="000A3C56" w:rsidRPr="004623C6">
        <w:rPr>
          <w:rFonts w:asciiTheme="majorHAnsi" w:hAnsiTheme="majorHAnsi" w:cs="Times New Roman"/>
          <w:sz w:val="24"/>
          <w:szCs w:val="24"/>
        </w:rPr>
        <w:t>s de motivations politiques</w:t>
      </w:r>
      <w:r w:rsidR="00997282">
        <w:rPr>
          <w:rStyle w:val="Appelnotedebasdep"/>
          <w:rFonts w:asciiTheme="majorHAnsi" w:hAnsiTheme="majorHAnsi" w:cs="Times New Roman"/>
          <w:sz w:val="24"/>
          <w:szCs w:val="24"/>
        </w:rPr>
        <w:footnoteReference w:id="1"/>
      </w:r>
      <w:r w:rsidR="00997282" w:rsidRPr="004623C6">
        <w:rPr>
          <w:rFonts w:asciiTheme="majorHAnsi" w:hAnsiTheme="majorHAnsi" w:cs="Times New Roman"/>
          <w:sz w:val="24"/>
          <w:szCs w:val="24"/>
        </w:rPr>
        <w:t xml:space="preserve">. En parallèle, la manipulation des instruments monétaires était considérée comme neutre sur le moyen et long terme, c’est-à-dire qu’une politique monétaire assurant la stabilité des prix n’était pas censée engendrer de gagnants ou de perdants parmi les différents agents économiques (banques, entreprises, ménages). </w:t>
      </w:r>
      <w:r w:rsidR="00997282" w:rsidRPr="00245CE8">
        <w:rPr>
          <w:rFonts w:asciiTheme="majorHAnsi" w:hAnsiTheme="majorHAnsi" w:cs="Times New Roman"/>
          <w:sz w:val="24"/>
          <w:szCs w:val="24"/>
          <w:highlight w:val="yellow"/>
        </w:rPr>
        <w:t>En somme, comme l’indiquent Bastien François et Antoine Vauchez dans l’introduction de cet ouvrage, l’indépendance de la BCE est adossée à une fiction rationnelle où son expertise sur les questions financières et économiques constitue sa principale source de légitimité.</w:t>
      </w:r>
      <w:r w:rsidR="00997282">
        <w:rPr>
          <w:rFonts w:asciiTheme="majorHAnsi" w:hAnsiTheme="majorHAnsi" w:cs="Times New Roman"/>
          <w:sz w:val="24"/>
          <w:szCs w:val="24"/>
        </w:rPr>
        <w:t xml:space="preserve"> Ainsi, </w:t>
      </w:r>
      <w:r w:rsidR="00997282" w:rsidRPr="004623C6">
        <w:rPr>
          <w:rFonts w:asciiTheme="majorHAnsi" w:hAnsiTheme="majorHAnsi" w:cs="Times New Roman"/>
          <w:sz w:val="24"/>
          <w:szCs w:val="24"/>
        </w:rPr>
        <w:t>le transfert des compétences monétaires des gouvernements européens à une institution isolée des logiques délibératives et gouvernementales a été un des exemples les plus marquants des processus de dépolitisation associés à l’Union européenne (UE)</w:t>
      </w:r>
      <w:r w:rsidR="00997282">
        <w:rPr>
          <w:rStyle w:val="Appelnotedebasdep"/>
          <w:rFonts w:asciiTheme="majorHAnsi" w:hAnsiTheme="majorHAnsi" w:cs="Times New Roman"/>
          <w:sz w:val="24"/>
          <w:szCs w:val="24"/>
        </w:rPr>
        <w:footnoteReference w:id="2"/>
      </w:r>
      <w:r w:rsidR="00997282" w:rsidRPr="004623C6">
        <w:rPr>
          <w:rFonts w:asciiTheme="majorHAnsi" w:hAnsiTheme="majorHAnsi" w:cs="Times New Roman"/>
          <w:sz w:val="24"/>
          <w:szCs w:val="24"/>
        </w:rPr>
        <w:t>.</w:t>
      </w:r>
      <w:r w:rsidR="00997282">
        <w:rPr>
          <w:rFonts w:asciiTheme="majorHAnsi" w:hAnsiTheme="majorHAnsi" w:cs="Times New Roman"/>
          <w:sz w:val="24"/>
          <w:szCs w:val="24"/>
        </w:rPr>
        <w:t xml:space="preserve"> </w:t>
      </w:r>
    </w:p>
    <w:p w14:paraId="0E41AA88" w14:textId="11FA402C" w:rsidR="00997282" w:rsidRPr="004623C6" w:rsidRDefault="00997282" w:rsidP="004D155E">
      <w:pPr>
        <w:spacing w:beforeAutospacing="1" w:afterAutospacing="1" w:line="360" w:lineRule="auto"/>
        <w:contextualSpacing/>
        <w:jc w:val="both"/>
        <w:rPr>
          <w:rFonts w:asciiTheme="majorHAnsi" w:hAnsiTheme="majorHAnsi" w:cs="Times New Roman"/>
          <w:sz w:val="24"/>
          <w:szCs w:val="24"/>
        </w:rPr>
      </w:pPr>
    </w:p>
    <w:p w14:paraId="33641724" w14:textId="7DA87ED4" w:rsidR="00997282" w:rsidRPr="004623C6" w:rsidRDefault="00997282" w:rsidP="005325FC">
      <w:pPr>
        <w:spacing w:before="100" w:beforeAutospacing="1" w:after="100" w:afterAutospacing="1"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 xml:space="preserve">Cependant, depuis le début de la crise financière à l’été 2007, le rôle joué par la BCE au sein du système politique de l’Union économique et monétaire (UEM) a été radicalement modifié. Les </w:t>
      </w:r>
      <w:r w:rsidRPr="004623C6">
        <w:rPr>
          <w:rFonts w:asciiTheme="majorHAnsi" w:hAnsiTheme="majorHAnsi" w:cs="Times New Roman"/>
          <w:sz w:val="24"/>
          <w:szCs w:val="24"/>
        </w:rPr>
        <w:lastRenderedPageBreak/>
        <w:t>mesures monétaires mises en œuvre pour stabiliser un système bancaire européen instable et hypertrophié ont ainsi engendré des conséquences distributives marquées, notamment en renforçant les inégalités de richesses entre les citoyen∙ne∙s européen∙ne∙s</w:t>
      </w:r>
      <w:r>
        <w:rPr>
          <w:rStyle w:val="Appelnotedebasdep"/>
          <w:rFonts w:asciiTheme="majorHAnsi" w:hAnsiTheme="majorHAnsi" w:cs="Times New Roman"/>
          <w:sz w:val="24"/>
          <w:szCs w:val="24"/>
        </w:rPr>
        <w:footnoteReference w:id="3"/>
      </w:r>
      <w:r w:rsidRPr="004623C6">
        <w:rPr>
          <w:rFonts w:asciiTheme="majorHAnsi" w:hAnsiTheme="majorHAnsi" w:cs="Times New Roman"/>
          <w:sz w:val="24"/>
          <w:szCs w:val="24"/>
        </w:rPr>
        <w:t>. De plus, la BCE a influencé la formulation des politiques économiques des pays membres de la zone euro, soit directement par sa participation aux groupes d’expert∙e∙s de la Troïka</w:t>
      </w:r>
      <w:r w:rsidRPr="004623C6">
        <w:rPr>
          <w:rStyle w:val="Appelnotedebasdep"/>
          <w:rFonts w:asciiTheme="majorHAnsi" w:hAnsiTheme="majorHAnsi" w:cs="Times New Roman"/>
          <w:sz w:val="24"/>
          <w:szCs w:val="24"/>
        </w:rPr>
        <w:footnoteReference w:id="4"/>
      </w:r>
      <w:r w:rsidRPr="004623C6">
        <w:rPr>
          <w:rFonts w:asciiTheme="majorHAnsi" w:hAnsiTheme="majorHAnsi" w:cs="Times New Roman"/>
          <w:sz w:val="24"/>
          <w:szCs w:val="24"/>
        </w:rPr>
        <w:t>, soit indirectement en exigeant des réformes en échange de ses interventions monétaires dans les pays en difficulté financière</w:t>
      </w:r>
      <w:r>
        <w:rPr>
          <w:rStyle w:val="Appelnotedebasdep"/>
          <w:rFonts w:asciiTheme="majorHAnsi" w:hAnsiTheme="majorHAnsi" w:cs="Times New Roman"/>
          <w:sz w:val="24"/>
          <w:szCs w:val="24"/>
        </w:rPr>
        <w:footnoteReference w:id="5"/>
      </w:r>
      <w:r>
        <w:rPr>
          <w:rFonts w:asciiTheme="majorHAnsi" w:hAnsiTheme="majorHAnsi" w:cs="Times New Roman"/>
          <w:sz w:val="24"/>
          <w:szCs w:val="24"/>
        </w:rPr>
        <w:t xml:space="preserve">. </w:t>
      </w:r>
      <w:r w:rsidRPr="004623C6">
        <w:rPr>
          <w:rFonts w:asciiTheme="majorHAnsi" w:hAnsiTheme="majorHAnsi" w:cs="Times New Roman"/>
          <w:sz w:val="24"/>
          <w:szCs w:val="24"/>
        </w:rPr>
        <w:t xml:space="preserve">Enfin, elle a étendu ses compétences formelles en devenant l’autorité de supervision finale de l’ensemble du système bancaire européen avec la création de l’Union bancaire. </w:t>
      </w:r>
      <w:r w:rsidRPr="00245CE8">
        <w:rPr>
          <w:rFonts w:asciiTheme="majorHAnsi" w:hAnsiTheme="majorHAnsi" w:cs="Times New Roman"/>
          <w:sz w:val="24"/>
          <w:szCs w:val="24"/>
          <w:highlight w:val="yellow"/>
        </w:rPr>
        <w:t xml:space="preserve">Les analyses existantes sur cet accroissement de compétences et d’influence confirment l’hypothèse, </w:t>
      </w:r>
      <w:r w:rsidRPr="00245CE8">
        <w:rPr>
          <w:rFonts w:asciiTheme="majorHAnsi" w:hAnsiTheme="majorHAnsi" w:cs="Times New Roman"/>
          <w:i/>
          <w:sz w:val="24"/>
          <w:szCs w:val="24"/>
          <w:highlight w:val="yellow"/>
        </w:rPr>
        <w:t>a priori</w:t>
      </w:r>
      <w:r w:rsidRPr="00245CE8">
        <w:rPr>
          <w:rFonts w:asciiTheme="majorHAnsi" w:hAnsiTheme="majorHAnsi" w:cs="Times New Roman"/>
          <w:sz w:val="24"/>
          <w:szCs w:val="24"/>
          <w:highlight w:val="yellow"/>
        </w:rPr>
        <w:t xml:space="preserve"> paradoxale, proposée en introduction de cet ouvrage : la BCE a su utiliser son statut d’indépendance comme un atout pour cadrer les causes de la crise et les réponses politiques à celle-ci</w:t>
      </w:r>
      <w:r w:rsidRPr="00245CE8">
        <w:rPr>
          <w:rStyle w:val="Appelnotedebasdep"/>
          <w:rFonts w:asciiTheme="majorHAnsi" w:hAnsiTheme="majorHAnsi" w:cs="Times New Roman"/>
          <w:sz w:val="24"/>
          <w:szCs w:val="24"/>
          <w:highlight w:val="yellow"/>
        </w:rPr>
        <w:footnoteReference w:id="6"/>
      </w:r>
      <w:r w:rsidRPr="00245CE8">
        <w:rPr>
          <w:rFonts w:asciiTheme="majorHAnsi" w:hAnsiTheme="majorHAnsi" w:cs="Times New Roman"/>
          <w:sz w:val="24"/>
          <w:szCs w:val="24"/>
          <w:highlight w:val="yellow"/>
        </w:rPr>
        <w:t>.</w:t>
      </w:r>
    </w:p>
    <w:p w14:paraId="1A1A793D" w14:textId="77777777" w:rsidR="00997282" w:rsidRPr="004623C6" w:rsidRDefault="00997282" w:rsidP="005A638B">
      <w:pPr>
        <w:spacing w:beforeAutospacing="1" w:afterAutospacing="1" w:line="360" w:lineRule="auto"/>
        <w:contextualSpacing/>
        <w:jc w:val="both"/>
        <w:rPr>
          <w:rFonts w:asciiTheme="majorHAnsi" w:hAnsiTheme="majorHAnsi" w:cs="Times New Roman"/>
          <w:sz w:val="24"/>
          <w:szCs w:val="24"/>
        </w:rPr>
      </w:pPr>
    </w:p>
    <w:p w14:paraId="7E9FD635" w14:textId="2B4D45C1" w:rsidR="00997282" w:rsidRPr="004623C6" w:rsidRDefault="00997282" w:rsidP="00EC36D5">
      <w:pPr>
        <w:spacing w:after="0" w:line="360" w:lineRule="auto"/>
        <w:contextualSpacing/>
        <w:jc w:val="both"/>
        <w:rPr>
          <w:rFonts w:asciiTheme="majorHAnsi" w:hAnsiTheme="majorHAnsi" w:cs="Times New Roman"/>
          <w:sz w:val="24"/>
          <w:szCs w:val="24"/>
          <w:lang w:val="fr-FR"/>
        </w:rPr>
      </w:pPr>
      <w:r>
        <w:rPr>
          <w:rFonts w:asciiTheme="majorHAnsi" w:hAnsiTheme="majorHAnsi" w:cs="Times New Roman"/>
          <w:sz w:val="24"/>
          <w:szCs w:val="24"/>
        </w:rPr>
        <w:t xml:space="preserve">Cette </w:t>
      </w:r>
      <w:r w:rsidRPr="004623C6">
        <w:rPr>
          <w:rFonts w:asciiTheme="majorHAnsi" w:hAnsiTheme="majorHAnsi" w:cs="Times New Roman"/>
          <w:sz w:val="24"/>
          <w:szCs w:val="24"/>
        </w:rPr>
        <w:t xml:space="preserve">extension de pouvoir et les conséquences distributives des mesures de la BCE ont mené à une re-politisation des enjeux monétaires en Europe. </w:t>
      </w:r>
      <w:r w:rsidRPr="004623C6">
        <w:rPr>
          <w:rFonts w:asciiTheme="majorHAnsi" w:hAnsiTheme="majorHAnsi" w:cs="Times New Roman"/>
          <w:sz w:val="24"/>
          <w:szCs w:val="24"/>
          <w:lang w:val="fr-FR"/>
        </w:rPr>
        <w:t>L</w:t>
      </w:r>
      <w:r w:rsidRPr="004623C6">
        <w:rPr>
          <w:rFonts w:asciiTheme="majorHAnsi" w:hAnsiTheme="majorHAnsi" w:cs="Times New Roman"/>
          <w:sz w:val="24"/>
          <w:szCs w:val="24"/>
          <w:lang w:val="fr-BE"/>
        </w:rPr>
        <w:t>’imposition de mesures d’austérité dans les pays périphériques européens et la surveillance de leur mise en œuvre par la Troïka ont entrainé de fortes protestations sociales et politiques dans ces pays et ont ainsi augmenté la visibilité du rôle joué par la BCE dans la définition des politiques économiques européennes</w:t>
      </w:r>
      <w:r>
        <w:rPr>
          <w:rStyle w:val="Appelnotedebasdep"/>
          <w:rFonts w:asciiTheme="majorHAnsi" w:hAnsiTheme="majorHAnsi" w:cs="Times New Roman"/>
          <w:sz w:val="24"/>
          <w:szCs w:val="24"/>
          <w:lang w:val="fr-BE"/>
        </w:rPr>
        <w:footnoteReference w:id="7"/>
      </w:r>
      <w:r w:rsidRPr="004623C6">
        <w:rPr>
          <w:rFonts w:asciiTheme="majorHAnsi" w:hAnsiTheme="majorHAnsi" w:cs="Times New Roman"/>
          <w:sz w:val="24"/>
          <w:szCs w:val="24"/>
          <w:lang w:val="fr-BE"/>
        </w:rPr>
        <w:t xml:space="preserve"> . Ainsi, en mars 2015, une activiste a interrompu une </w:t>
      </w:r>
      <w:r w:rsidRPr="004623C6">
        <w:rPr>
          <w:rFonts w:asciiTheme="majorHAnsi" w:hAnsiTheme="majorHAnsi" w:cs="Times New Roman"/>
          <w:sz w:val="24"/>
          <w:szCs w:val="24"/>
        </w:rPr>
        <w:t>conférence de presse de Mario Draghi,</w:t>
      </w:r>
      <w:r w:rsidRPr="004623C6">
        <w:rPr>
          <w:rFonts w:asciiTheme="majorHAnsi" w:hAnsiTheme="majorHAnsi" w:cs="Times New Roman"/>
          <w:sz w:val="24"/>
          <w:szCs w:val="24"/>
          <w:lang w:val="fr-FR"/>
        </w:rPr>
        <w:t xml:space="preserve"> président de la BCE depuis 2011, </w:t>
      </w:r>
      <w:r w:rsidRPr="004623C6">
        <w:rPr>
          <w:rFonts w:asciiTheme="majorHAnsi" w:hAnsiTheme="majorHAnsi" w:cs="Times New Roman"/>
          <w:sz w:val="24"/>
          <w:szCs w:val="24"/>
        </w:rPr>
        <w:t xml:space="preserve">par un jet de confettis. D’importantes manifestations ont eu lieu lors de l'inauguration de sa </w:t>
      </w:r>
      <w:r w:rsidRPr="004623C6">
        <w:rPr>
          <w:rFonts w:asciiTheme="majorHAnsi" w:hAnsiTheme="majorHAnsi" w:cs="Times New Roman"/>
          <w:sz w:val="24"/>
          <w:szCs w:val="24"/>
        </w:rPr>
        <w:lastRenderedPageBreak/>
        <w:t>nouvelle tour à Francfort en février 2015 et, en juin de la même année, de fortes mobilisations sociales ont eu lieu en Grèce suite à la mise en œuvre d’un montant maximum de retrait aux distributeurs bancaires.</w:t>
      </w:r>
      <w:r w:rsidRPr="004623C6">
        <w:rPr>
          <w:rFonts w:asciiTheme="majorHAnsi" w:hAnsiTheme="majorHAnsi" w:cs="Times New Roman"/>
          <w:sz w:val="24"/>
          <w:szCs w:val="24"/>
          <w:lang w:val="fr-BE"/>
        </w:rPr>
        <w:t xml:space="preserve"> En somme, avant la crise, l’action de la BCE était principalement suivie par les opérateurs et les journaux financiers ; aujourd’hui elle se lit aussi sur les panneaux des manifestant</w:t>
      </w:r>
      <w:r w:rsidRPr="004623C6">
        <w:rPr>
          <w:rFonts w:asciiTheme="majorHAnsi" w:hAnsiTheme="majorHAnsi" w:cs="Times New Roman"/>
          <w:sz w:val="24"/>
          <w:szCs w:val="24"/>
        </w:rPr>
        <w:t>∙e∙s.</w:t>
      </w:r>
    </w:p>
    <w:p w14:paraId="7F59E661" w14:textId="5ABF9D6A" w:rsidR="00997282" w:rsidRPr="004623C6" w:rsidRDefault="00997282" w:rsidP="005A638B">
      <w:pPr>
        <w:spacing w:beforeAutospacing="1" w:afterAutospacing="1" w:line="360" w:lineRule="auto"/>
        <w:contextualSpacing/>
        <w:jc w:val="both"/>
        <w:rPr>
          <w:rFonts w:asciiTheme="majorHAnsi" w:hAnsiTheme="majorHAnsi" w:cs="Times New Roman"/>
          <w:sz w:val="24"/>
          <w:szCs w:val="24"/>
        </w:rPr>
      </w:pPr>
    </w:p>
    <w:p w14:paraId="4795CA41" w14:textId="0BB8EAE2" w:rsidR="00997282" w:rsidRPr="004623C6" w:rsidRDefault="00997282" w:rsidP="009C1A63">
      <w:pPr>
        <w:spacing w:before="100" w:beforeAutospacing="1" w:after="100" w:afterAutospacing="1"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Si la crise est un « test démocratique » pour l’UE</w:t>
      </w:r>
      <w:r>
        <w:rPr>
          <w:rStyle w:val="Appelnotedebasdep"/>
          <w:rFonts w:asciiTheme="majorHAnsi" w:hAnsiTheme="majorHAnsi" w:cs="Times New Roman"/>
          <w:sz w:val="24"/>
          <w:szCs w:val="24"/>
        </w:rPr>
        <w:footnoteReference w:id="8"/>
      </w:r>
      <w:r w:rsidRPr="004623C6">
        <w:rPr>
          <w:rFonts w:asciiTheme="majorHAnsi" w:hAnsiTheme="majorHAnsi" w:cs="Times New Roman"/>
          <w:sz w:val="24"/>
          <w:szCs w:val="24"/>
        </w:rPr>
        <w:t xml:space="preserve">, quelles conséquences devraient découler de la re-politisation des enjeux monétaires? Deux approches théoriques, dont les postulats et la méthodologie sont pourtant opposés, proposent une réponse similaire à cette question.   </w:t>
      </w:r>
    </w:p>
    <w:p w14:paraId="0EAFA448" w14:textId="77777777" w:rsidR="00997282" w:rsidRPr="004623C6" w:rsidRDefault="00997282" w:rsidP="005A638B">
      <w:pPr>
        <w:spacing w:beforeAutospacing="1" w:afterAutospacing="1" w:line="360" w:lineRule="auto"/>
        <w:contextualSpacing/>
        <w:jc w:val="both"/>
        <w:rPr>
          <w:rFonts w:asciiTheme="majorHAnsi" w:hAnsiTheme="majorHAnsi" w:cs="Times New Roman"/>
          <w:sz w:val="24"/>
          <w:szCs w:val="24"/>
        </w:rPr>
      </w:pPr>
    </w:p>
    <w:p w14:paraId="469BBD4D" w14:textId="4F93E51A" w:rsidR="00997282" w:rsidRPr="004623C6" w:rsidRDefault="00997282" w:rsidP="000A7ADD">
      <w:pPr>
        <w:spacing w:beforeAutospacing="1" w:afterAutospacing="1"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D’une part, la crise a montré que les politiques monétaires génèrent des gagnant∙e∙s et des perdant∙e∙s parmi les acteurs économiques.  D’après les approches d’économie politique critique et d’éthique financière</w:t>
      </w:r>
      <w:r w:rsidRPr="004623C6">
        <w:rPr>
          <w:rStyle w:val="Appelnotedebasdep"/>
          <w:rFonts w:asciiTheme="majorHAnsi" w:hAnsiTheme="majorHAnsi" w:cs="Times New Roman"/>
          <w:sz w:val="24"/>
          <w:szCs w:val="24"/>
        </w:rPr>
        <w:footnoteReference w:id="9"/>
      </w:r>
      <w:r w:rsidRPr="004623C6">
        <w:rPr>
          <w:rFonts w:asciiTheme="majorHAnsi" w:hAnsiTheme="majorHAnsi" w:cs="Times New Roman"/>
          <w:sz w:val="24"/>
          <w:szCs w:val="24"/>
        </w:rPr>
        <w:t>, le Conseil des gouverneurs de la BCE</w:t>
      </w:r>
      <w:r w:rsidRPr="004623C6">
        <w:rPr>
          <w:rStyle w:val="Appelnotedebasdep"/>
          <w:rFonts w:asciiTheme="majorHAnsi" w:hAnsiTheme="majorHAnsi" w:cs="Times New Roman"/>
          <w:sz w:val="24"/>
          <w:szCs w:val="24"/>
        </w:rPr>
        <w:footnoteReference w:id="10"/>
      </w:r>
      <w:r w:rsidRPr="004623C6">
        <w:rPr>
          <w:rFonts w:asciiTheme="majorHAnsi" w:hAnsiTheme="majorHAnsi" w:cs="Times New Roman"/>
          <w:sz w:val="24"/>
          <w:szCs w:val="24"/>
        </w:rPr>
        <w:t xml:space="preserve"> ne dispose pas de la légitimité politique nécessaire pour traiter des enjeux distributifs afférant aux politiques monétaires, en particulier non-conventionnelles, et ne devrait pas bénéficier d’un tel degré d’isolation des instances gouvernementales et législatives</w:t>
      </w:r>
      <w:r>
        <w:rPr>
          <w:rStyle w:val="Appelnotedebasdep"/>
          <w:rFonts w:asciiTheme="majorHAnsi" w:hAnsiTheme="majorHAnsi" w:cs="Times New Roman"/>
          <w:sz w:val="24"/>
          <w:szCs w:val="24"/>
        </w:rPr>
        <w:footnoteReference w:id="11"/>
      </w:r>
      <w:r>
        <w:rPr>
          <w:rFonts w:asciiTheme="majorHAnsi" w:hAnsiTheme="majorHAnsi" w:cs="Times New Roman"/>
          <w:sz w:val="24"/>
          <w:szCs w:val="24"/>
        </w:rPr>
        <w:t xml:space="preserve">. </w:t>
      </w:r>
      <w:r w:rsidRPr="004623C6">
        <w:rPr>
          <w:rFonts w:asciiTheme="majorHAnsi" w:hAnsiTheme="majorHAnsi" w:cs="Times New Roman"/>
          <w:sz w:val="24"/>
          <w:szCs w:val="24"/>
        </w:rPr>
        <w:t>En effet, comme indiqué plus haut, la neutralité de la monnaie est un argument central pour l’indépendance des banquiers centraux. Ceux-ci sont d’ailleurs bien conscients que les conséquences distributives « indéniables » de leurs politiques non-conventionnelles ont «  renforcé l’attention gouvernementale » sur leurs activités et peuvent constituer un risque pour leur indépendance</w:t>
      </w:r>
      <w:r>
        <w:rPr>
          <w:rStyle w:val="Appelnotedebasdep"/>
          <w:rFonts w:asciiTheme="majorHAnsi" w:hAnsiTheme="majorHAnsi" w:cs="Times New Roman"/>
          <w:sz w:val="24"/>
          <w:szCs w:val="24"/>
        </w:rPr>
        <w:footnoteReference w:id="12"/>
      </w:r>
      <w:r>
        <w:rPr>
          <w:rFonts w:asciiTheme="majorHAnsi" w:hAnsiTheme="majorHAnsi" w:cs="Times New Roman"/>
          <w:sz w:val="24"/>
          <w:szCs w:val="24"/>
        </w:rPr>
        <w:t>.</w:t>
      </w:r>
    </w:p>
    <w:p w14:paraId="7048B0C0" w14:textId="65ED1651" w:rsidR="00997282" w:rsidRDefault="00997282" w:rsidP="004D155E">
      <w:pPr>
        <w:spacing w:beforeAutospacing="1" w:afterAutospacing="1" w:line="360" w:lineRule="auto"/>
        <w:contextualSpacing/>
        <w:jc w:val="both"/>
        <w:rPr>
          <w:rFonts w:asciiTheme="majorHAnsi" w:hAnsiTheme="majorHAnsi" w:cs="Times New Roman"/>
          <w:sz w:val="24"/>
          <w:szCs w:val="24"/>
        </w:rPr>
      </w:pPr>
    </w:p>
    <w:p w14:paraId="537E162A" w14:textId="77777777" w:rsidR="00997282" w:rsidRPr="004623C6" w:rsidRDefault="00997282" w:rsidP="004D155E">
      <w:pPr>
        <w:spacing w:beforeAutospacing="1" w:afterAutospacing="1" w:line="360" w:lineRule="auto"/>
        <w:contextualSpacing/>
        <w:jc w:val="both"/>
        <w:rPr>
          <w:rFonts w:asciiTheme="majorHAnsi" w:hAnsiTheme="majorHAnsi" w:cs="Times New Roman"/>
          <w:sz w:val="24"/>
          <w:szCs w:val="24"/>
        </w:rPr>
      </w:pPr>
    </w:p>
    <w:p w14:paraId="6DE93E29" w14:textId="573374AE" w:rsidR="00997282" w:rsidRPr="004623C6" w:rsidRDefault="00997282" w:rsidP="004D155E">
      <w:pPr>
        <w:spacing w:beforeAutospacing="1" w:afterAutospacing="1"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lastRenderedPageBreak/>
        <w:t xml:space="preserve">D’autre part, pour des théories inspirées du choix rationnel comme l’approche </w:t>
      </w:r>
      <w:r w:rsidRPr="004623C6">
        <w:rPr>
          <w:rFonts w:asciiTheme="majorHAnsi" w:hAnsiTheme="majorHAnsi" w:cs="Times New Roman"/>
          <w:i/>
          <w:sz w:val="24"/>
          <w:szCs w:val="24"/>
        </w:rPr>
        <w:t>principal-agent</w:t>
      </w:r>
      <w:r w:rsidRPr="004623C6">
        <w:rPr>
          <w:rFonts w:asciiTheme="majorHAnsi" w:hAnsiTheme="majorHAnsi" w:cs="Times New Roman"/>
          <w:sz w:val="24"/>
          <w:szCs w:val="24"/>
        </w:rPr>
        <w:t xml:space="preserve">, l’immixtion de la BCE dans la formulation des politiques économiques des pays de la zone euro et le gain de nouvelles compétences de supervision financière devraient mener à un renforcement des contrôles politiques sur son activité. En effet, plus les pouvoirs délégués à une agence indépendante sont étendus, plus le contrôle politique sur celle-ci doit être élevé, afin d’éviter qu’elle n’échappe au contrôle de son </w:t>
      </w:r>
      <w:r w:rsidRPr="004623C6">
        <w:rPr>
          <w:rFonts w:asciiTheme="majorHAnsi" w:hAnsiTheme="majorHAnsi" w:cs="Times New Roman"/>
          <w:i/>
          <w:sz w:val="24"/>
          <w:szCs w:val="24"/>
        </w:rPr>
        <w:t>principal</w:t>
      </w:r>
      <w:r>
        <w:rPr>
          <w:rStyle w:val="Appelnotedebasdep"/>
          <w:rFonts w:asciiTheme="majorHAnsi" w:hAnsiTheme="majorHAnsi" w:cs="Times New Roman"/>
          <w:i/>
          <w:sz w:val="24"/>
          <w:szCs w:val="24"/>
        </w:rPr>
        <w:footnoteReference w:id="13"/>
      </w:r>
      <w:r w:rsidRPr="004623C6">
        <w:rPr>
          <w:rFonts w:asciiTheme="majorHAnsi" w:hAnsiTheme="majorHAnsi" w:cs="Times New Roman"/>
          <w:sz w:val="24"/>
          <w:szCs w:val="24"/>
        </w:rPr>
        <w:t>. Cette logique d’équilibre entre l’étendue des compétences déléguées à une agence indépendante et le degré de contrôle politique suit celle de l’équilibre des pouvoirs entre les institutions au sein des systèmes démocratiques libéraux (</w:t>
      </w:r>
      <w:r w:rsidRPr="004623C6">
        <w:rPr>
          <w:rFonts w:asciiTheme="majorHAnsi" w:hAnsiTheme="majorHAnsi" w:cs="Times New Roman"/>
          <w:i/>
          <w:sz w:val="24"/>
          <w:szCs w:val="24"/>
        </w:rPr>
        <w:t>checks and balances</w:t>
      </w:r>
      <w:r w:rsidRPr="004623C6">
        <w:rPr>
          <w:rFonts w:asciiTheme="majorHAnsi" w:hAnsiTheme="majorHAnsi" w:cs="Times New Roman"/>
          <w:sz w:val="24"/>
          <w:szCs w:val="24"/>
        </w:rPr>
        <w:t>)</w:t>
      </w:r>
      <w:r>
        <w:rPr>
          <w:rStyle w:val="Appelnotedebasdep"/>
          <w:rFonts w:asciiTheme="majorHAnsi" w:hAnsiTheme="majorHAnsi" w:cs="Times New Roman"/>
          <w:sz w:val="24"/>
          <w:szCs w:val="24"/>
        </w:rPr>
        <w:footnoteReference w:id="14"/>
      </w:r>
      <w:r>
        <w:rPr>
          <w:rFonts w:asciiTheme="majorHAnsi" w:hAnsiTheme="majorHAnsi" w:cs="Times New Roman"/>
          <w:sz w:val="24"/>
          <w:szCs w:val="24"/>
        </w:rPr>
        <w:t>.</w:t>
      </w:r>
    </w:p>
    <w:p w14:paraId="4FF9C945" w14:textId="77777777" w:rsidR="00997282" w:rsidRPr="004623C6" w:rsidRDefault="00997282" w:rsidP="004D155E">
      <w:pPr>
        <w:spacing w:after="0" w:line="360" w:lineRule="auto"/>
        <w:contextualSpacing/>
        <w:jc w:val="both"/>
        <w:rPr>
          <w:rFonts w:asciiTheme="majorHAnsi" w:hAnsiTheme="majorHAnsi" w:cs="Times New Roman"/>
          <w:sz w:val="24"/>
          <w:szCs w:val="24"/>
        </w:rPr>
      </w:pPr>
    </w:p>
    <w:p w14:paraId="66D3D8A6" w14:textId="58D062A5" w:rsidR="00997282" w:rsidRPr="004623C6" w:rsidRDefault="00997282" w:rsidP="004D155E">
      <w:pPr>
        <w:spacing w:after="0"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 xml:space="preserve">Pourtant, même si les autorités politiques gardent des moyens de contrôle sur les activités de la BCE par les auditions et nominations des banquiers centraux et </w:t>
      </w:r>
      <w:r w:rsidRPr="004623C6">
        <w:rPr>
          <w:rFonts w:asciiTheme="majorHAnsi" w:hAnsiTheme="majorHAnsi" w:cs="Times New Roman"/>
          <w:i/>
          <w:sz w:val="24"/>
          <w:szCs w:val="24"/>
        </w:rPr>
        <w:t>via</w:t>
      </w:r>
      <w:r w:rsidRPr="004623C6">
        <w:rPr>
          <w:rFonts w:asciiTheme="majorHAnsi" w:hAnsiTheme="majorHAnsi" w:cs="Times New Roman"/>
          <w:sz w:val="24"/>
          <w:szCs w:val="24"/>
        </w:rPr>
        <w:t xml:space="preserve"> le contrôle en légalité des instruments monétaires, celle-ci a conservé un niveau d’autonomie contrastant fortement avec l’extension du rôle qu’elle joue au sein de la zone euro. Trois enceintes politiques distinctes (gouvernements nationaux, parlements nationaux et parlement européen, cours de justice européenne et cours de justice nationales</w:t>
      </w:r>
      <w:r w:rsidRPr="004623C6">
        <w:rPr>
          <w:rStyle w:val="Appelnotedebasdep"/>
          <w:rFonts w:asciiTheme="majorHAnsi" w:hAnsiTheme="majorHAnsi" w:cs="Times New Roman"/>
          <w:sz w:val="24"/>
          <w:szCs w:val="24"/>
        </w:rPr>
        <w:footnoteReference w:id="15"/>
      </w:r>
      <w:r w:rsidRPr="004623C6">
        <w:rPr>
          <w:rFonts w:asciiTheme="majorHAnsi" w:hAnsiTheme="majorHAnsi" w:cs="Times New Roman"/>
          <w:sz w:val="24"/>
          <w:szCs w:val="24"/>
        </w:rPr>
        <w:t xml:space="preserve">) peuvent exercer une forme de contrôle sur la BCE. </w:t>
      </w:r>
      <w:r w:rsidRPr="004623C6">
        <w:rPr>
          <w:rFonts w:asciiTheme="majorHAnsi" w:hAnsiTheme="majorHAnsi" w:cs="Times New Roman"/>
          <w:sz w:val="24"/>
          <w:szCs w:val="24"/>
          <w:lang w:val="fr-FR"/>
        </w:rPr>
        <w:t>Le but de ce chapitre est d’explorer l’énigme de l’absence de renforcement significatif d</w:t>
      </w:r>
      <w:r w:rsidRPr="004623C6">
        <w:rPr>
          <w:rFonts w:asciiTheme="majorHAnsi" w:hAnsiTheme="majorHAnsi" w:cs="Times New Roman"/>
          <w:sz w:val="24"/>
          <w:szCs w:val="24"/>
        </w:rPr>
        <w:t xml:space="preserve">es contrôles politiques sur les activités de la BCE malgré la re-politisation des enjeux monétaires. </w:t>
      </w:r>
    </w:p>
    <w:p w14:paraId="5BD21DBD"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66E604F" w14:textId="4EDE6816" w:rsidR="00997282" w:rsidRPr="004623C6" w:rsidRDefault="00997282" w:rsidP="00C87E47">
      <w:pPr>
        <w:spacing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La méthodologie de cette recherche exploratoire est qualitative et consiste en une analyse de sources primaires (les auditions des banquiers centraux devant les parlements nationaux et européen et les arrêts des courts de justice nationales et européenne) et secondaires (articles de la presse financière tels que le </w:t>
      </w:r>
      <w:r w:rsidRPr="000607E8">
        <w:rPr>
          <w:rFonts w:asciiTheme="majorHAnsi" w:hAnsiTheme="majorHAnsi" w:cs="Times New Roman"/>
          <w:i/>
          <w:sz w:val="24"/>
          <w:szCs w:val="24"/>
          <w:lang w:val="fr-FR"/>
        </w:rPr>
        <w:t>Financial Times</w:t>
      </w:r>
      <w:r w:rsidRPr="004623C6">
        <w:rPr>
          <w:rFonts w:asciiTheme="majorHAnsi" w:hAnsiTheme="majorHAnsi" w:cs="Times New Roman"/>
          <w:sz w:val="24"/>
          <w:szCs w:val="24"/>
          <w:lang w:val="fr-FR"/>
        </w:rPr>
        <w:t xml:space="preserve">). Elle est complétée par une série d’entretiens effectuée à l’automne 2015 auprès de trois agent∙e∙s des ministères des finances français et néerlandais, incluant ceux∙celles siégeant au Comité économique et financier, le comité préparatoire du Conseil Ecofin. </w:t>
      </w:r>
    </w:p>
    <w:p w14:paraId="4CAA0A5F" w14:textId="77777777" w:rsidR="00997282" w:rsidRPr="004623C6" w:rsidRDefault="00997282" w:rsidP="00C87E47">
      <w:pPr>
        <w:spacing w:line="360" w:lineRule="auto"/>
        <w:contextualSpacing/>
        <w:jc w:val="both"/>
        <w:rPr>
          <w:rFonts w:asciiTheme="majorHAnsi" w:hAnsiTheme="majorHAnsi" w:cs="Times New Roman"/>
          <w:sz w:val="24"/>
          <w:szCs w:val="24"/>
          <w:lang w:val="fr-FR"/>
        </w:rPr>
      </w:pPr>
    </w:p>
    <w:p w14:paraId="26CBCBAE" w14:textId="6350B335"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Ce chapitre est structuré en trois parties : la première partie expose les processus de dépolitisation et de re-politisation du rôle de la BCE, la deuxième partie analyse l’écart entre la re-politisation des questions monétaires et l’autonomie persistante de la BCE depuis la crise et la troisième partie propose des pistes exploratoires à cet écart en analysant le rôle joué par l’expertise, les idées économiques et le pouvoir financier. </w:t>
      </w:r>
    </w:p>
    <w:p w14:paraId="5CA5E14A"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2C0C2B3" w14:textId="70CBAB57" w:rsidR="00997282" w:rsidRPr="000607E8" w:rsidRDefault="00997282">
      <w:pPr>
        <w:spacing w:after="0" w:line="360" w:lineRule="auto"/>
        <w:contextualSpacing/>
        <w:jc w:val="both"/>
        <w:rPr>
          <w:rFonts w:asciiTheme="majorHAnsi" w:hAnsiTheme="majorHAnsi" w:cs="Times New Roman"/>
          <w:b/>
          <w:sz w:val="28"/>
          <w:szCs w:val="28"/>
          <w:lang w:val="fr-FR"/>
        </w:rPr>
      </w:pPr>
      <w:r w:rsidRPr="000607E8">
        <w:rPr>
          <w:rFonts w:asciiTheme="majorHAnsi" w:hAnsiTheme="majorHAnsi" w:cs="Times New Roman"/>
          <w:b/>
          <w:sz w:val="28"/>
          <w:szCs w:val="28"/>
          <w:lang w:val="fr-FR"/>
        </w:rPr>
        <w:t>1. Dépolitisation et re-politisation des enjeux monétaires en Europe</w:t>
      </w:r>
    </w:p>
    <w:p w14:paraId="17FA3FAC" w14:textId="77777777" w:rsidR="00997282" w:rsidRPr="004623C6" w:rsidRDefault="00997282">
      <w:pPr>
        <w:spacing w:after="0" w:line="360" w:lineRule="auto"/>
        <w:contextualSpacing/>
        <w:jc w:val="both"/>
        <w:rPr>
          <w:rFonts w:asciiTheme="majorHAnsi" w:hAnsiTheme="majorHAnsi" w:cs="Times New Roman"/>
          <w:sz w:val="24"/>
          <w:szCs w:val="24"/>
          <w:u w:val="single"/>
          <w:lang w:val="fr-FR"/>
        </w:rPr>
      </w:pPr>
    </w:p>
    <w:p w14:paraId="76695983" w14:textId="3EF66833"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D’un point de vue historique, le modèle institutionnel originel de la BCE est caractérisé par une vision apolitique, étroite et technocratique du rôle qu’une banque centrale doit jouer dans l’économie</w:t>
      </w:r>
      <w:r>
        <w:rPr>
          <w:rStyle w:val="Appelnotedebasdep"/>
          <w:rFonts w:asciiTheme="majorHAnsi" w:hAnsiTheme="majorHAnsi" w:cs="Times New Roman"/>
          <w:sz w:val="24"/>
          <w:szCs w:val="24"/>
          <w:lang w:val="fr-FR"/>
        </w:rPr>
        <w:footnoteReference w:id="16"/>
      </w:r>
      <w:r w:rsidR="00C95CF5">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xml:space="preserve">La crise a mis ce modèle sous tension et a conduit la BCE à adopter des mesures non-conventionnelles dépassant son périmètre d’action initial, la rapprochant du domaine politique. </w:t>
      </w:r>
    </w:p>
    <w:p w14:paraId="429BE0FD"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7113210D" w14:textId="41CE3AD5" w:rsidR="00997282" w:rsidRPr="000607E8" w:rsidRDefault="00997282">
      <w:pPr>
        <w:spacing w:after="0" w:line="360" w:lineRule="auto"/>
        <w:contextualSpacing/>
        <w:jc w:val="both"/>
        <w:rPr>
          <w:rFonts w:asciiTheme="majorHAnsi" w:hAnsiTheme="majorHAnsi" w:cs="Times New Roman"/>
          <w:i/>
          <w:sz w:val="24"/>
          <w:szCs w:val="24"/>
          <w:lang w:val="fr-FR"/>
        </w:rPr>
      </w:pPr>
      <w:r w:rsidRPr="000607E8">
        <w:rPr>
          <w:rFonts w:asciiTheme="majorHAnsi" w:hAnsiTheme="majorHAnsi" w:cs="Times New Roman"/>
          <w:b/>
          <w:i/>
          <w:sz w:val="24"/>
          <w:szCs w:val="24"/>
          <w:lang w:val="fr-FR"/>
        </w:rPr>
        <w:t>La dépolitisation des questions monétaires en Europe</w:t>
      </w:r>
    </w:p>
    <w:p w14:paraId="05E7D315"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250A3499" w14:textId="0B9A22AA"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Le statut institutionnel de la BCE a été négocié entre les différents banquiers centraux et gouvernements de l’UE de la fin des années 1980 à la signature du </w:t>
      </w:r>
      <w:r>
        <w:rPr>
          <w:rFonts w:asciiTheme="majorHAnsi" w:hAnsiTheme="majorHAnsi" w:cs="Times New Roman"/>
          <w:sz w:val="24"/>
          <w:szCs w:val="24"/>
          <w:lang w:val="fr-FR"/>
        </w:rPr>
        <w:t>t</w:t>
      </w:r>
      <w:r w:rsidRPr="004623C6">
        <w:rPr>
          <w:rFonts w:asciiTheme="majorHAnsi" w:hAnsiTheme="majorHAnsi" w:cs="Times New Roman"/>
          <w:sz w:val="24"/>
          <w:szCs w:val="24"/>
          <w:lang w:val="fr-FR"/>
        </w:rPr>
        <w:t xml:space="preserve">raité de Maastricht en 1992. </w:t>
      </w:r>
      <w:r>
        <w:rPr>
          <w:rFonts w:asciiTheme="majorHAnsi" w:hAnsiTheme="majorHAnsi" w:cs="Times New Roman"/>
          <w:sz w:val="24"/>
          <w:szCs w:val="24"/>
          <w:lang w:val="fr-FR"/>
        </w:rPr>
        <w:t>Comme indiqué dans l’introduction de cet ouvrage, c</w:t>
      </w:r>
      <w:r w:rsidRPr="004623C6">
        <w:rPr>
          <w:rFonts w:asciiTheme="majorHAnsi" w:hAnsiTheme="majorHAnsi" w:cs="Times New Roman"/>
          <w:sz w:val="24"/>
          <w:szCs w:val="24"/>
          <w:lang w:val="fr-FR"/>
        </w:rPr>
        <w:t xml:space="preserve">es négociations ont été fortement influencées par le modèle de la Bundesbank, la banque centrale allemande qui était alors dominante en Europe, et celui de la Banque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entrale </w:t>
      </w:r>
      <w:r>
        <w:rPr>
          <w:rFonts w:asciiTheme="majorHAnsi" w:hAnsiTheme="majorHAnsi" w:cs="Times New Roman"/>
          <w:sz w:val="24"/>
          <w:szCs w:val="24"/>
          <w:lang w:val="fr-FR"/>
        </w:rPr>
        <w:t>i</w:t>
      </w:r>
      <w:r w:rsidRPr="004623C6">
        <w:rPr>
          <w:rFonts w:asciiTheme="majorHAnsi" w:hAnsiTheme="majorHAnsi" w:cs="Times New Roman"/>
          <w:sz w:val="24"/>
          <w:szCs w:val="24"/>
          <w:lang w:val="fr-FR"/>
        </w:rPr>
        <w:t>ndépendante (BCI), qui était le paradigme dominant à l’échelle globale</w:t>
      </w:r>
      <w:r>
        <w:rPr>
          <w:rStyle w:val="Appelnotedebasdep"/>
          <w:rFonts w:asciiTheme="majorHAnsi" w:hAnsiTheme="majorHAnsi" w:cs="Times New Roman"/>
          <w:sz w:val="24"/>
          <w:szCs w:val="24"/>
          <w:lang w:val="fr-FR"/>
        </w:rPr>
        <w:footnoteReference w:id="17"/>
      </w:r>
      <w:r w:rsidRPr="004623C6">
        <w:rPr>
          <w:rFonts w:asciiTheme="majorHAnsi" w:hAnsiTheme="majorHAnsi" w:cs="Times New Roman"/>
          <w:sz w:val="24"/>
          <w:szCs w:val="24"/>
          <w:lang w:val="fr-FR"/>
        </w:rPr>
        <w:t xml:space="preserve"> </w:t>
      </w:r>
      <w:r>
        <w:rPr>
          <w:rFonts w:asciiTheme="majorHAnsi" w:hAnsiTheme="majorHAnsi" w:cs="Times New Roman"/>
          <w:sz w:val="24"/>
          <w:szCs w:val="24"/>
          <w:lang w:val="fr-FR"/>
        </w:rPr>
        <w:t>.</w:t>
      </w:r>
    </w:p>
    <w:p w14:paraId="70F88D63"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0835B607" w14:textId="1D631BB3" w:rsidR="00997282" w:rsidRPr="004623C6" w:rsidRDefault="00997282">
      <w:pPr>
        <w:spacing w:after="0" w:line="360" w:lineRule="auto"/>
        <w:contextualSpacing/>
        <w:jc w:val="both"/>
        <w:rPr>
          <w:rFonts w:asciiTheme="majorHAnsi" w:hAnsiTheme="majorHAnsi" w:cs="Times New Roman"/>
          <w:sz w:val="24"/>
          <w:szCs w:val="24"/>
          <w:lang w:val="fr-BE"/>
        </w:rPr>
      </w:pPr>
      <w:r w:rsidRPr="004623C6">
        <w:rPr>
          <w:rFonts w:asciiTheme="majorHAnsi" w:hAnsiTheme="majorHAnsi" w:cs="Times New Roman"/>
          <w:sz w:val="24"/>
          <w:szCs w:val="24"/>
          <w:lang w:val="fr-FR"/>
        </w:rPr>
        <w:lastRenderedPageBreak/>
        <w:t xml:space="preserve">Premièrement, deux concepts théoriques sont au cœur du modèle de la BCI. D’abord, le concept </w:t>
      </w:r>
      <w:r w:rsidRPr="004623C6">
        <w:rPr>
          <w:rFonts w:asciiTheme="majorHAnsi" w:hAnsiTheme="majorHAnsi" w:cs="Times New Roman"/>
          <w:sz w:val="24"/>
          <w:szCs w:val="24"/>
          <w:lang w:val="fr-BE"/>
        </w:rPr>
        <w:t>d’« inconsistance temporelle »</w:t>
      </w:r>
      <w:r>
        <w:rPr>
          <w:rStyle w:val="Appelnotedebasdep"/>
          <w:rFonts w:asciiTheme="majorHAnsi" w:hAnsiTheme="majorHAnsi" w:cs="Times New Roman"/>
          <w:sz w:val="24"/>
          <w:szCs w:val="24"/>
          <w:lang w:val="fr-BE"/>
        </w:rPr>
        <w:footnoteReference w:id="18"/>
      </w:r>
      <w:r w:rsidRPr="004623C6">
        <w:rPr>
          <w:rFonts w:asciiTheme="majorHAnsi" w:hAnsiTheme="majorHAnsi" w:cs="Times New Roman"/>
          <w:sz w:val="24"/>
          <w:szCs w:val="24"/>
          <w:lang w:val="fr-BE"/>
        </w:rPr>
        <w:t xml:space="preserve"> souligne que les banquiers centraux doivent suivre des règles très strictes afin d’être </w:t>
      </w:r>
      <w:r w:rsidRPr="004623C6">
        <w:rPr>
          <w:rFonts w:asciiTheme="majorHAnsi" w:hAnsiTheme="majorHAnsi" w:cs="Times New Roman"/>
          <w:sz w:val="24"/>
          <w:szCs w:val="24"/>
          <w:lang w:val="fr-FR"/>
        </w:rPr>
        <w:t xml:space="preserve">crédibles aux yeux des agents économiques dans leur mission de lutte contre l’inflation. Selon cette approche, ces règles permettent d’assurer aux acteurs financiers que le personnel politique ne cherche pas à manipuler les politiques monétaires à des fins partisanes et, par-là, les convaincraient de ne pas anticiper des niveaux élevés d’inflation. Ce concept a ensuite été complété par </w:t>
      </w:r>
      <w:r w:rsidRPr="004623C6">
        <w:rPr>
          <w:rFonts w:asciiTheme="majorHAnsi" w:hAnsiTheme="majorHAnsi" w:cs="Times New Roman"/>
          <w:sz w:val="24"/>
          <w:szCs w:val="24"/>
          <w:lang w:val="fr-BE"/>
        </w:rPr>
        <w:t xml:space="preserve">Kenneth Rogoff (1985) </w:t>
      </w:r>
      <w:r w:rsidRPr="004623C6">
        <w:rPr>
          <w:rFonts w:asciiTheme="majorHAnsi" w:hAnsiTheme="majorHAnsi" w:cs="Times New Roman"/>
          <w:sz w:val="24"/>
          <w:szCs w:val="24"/>
          <w:lang w:val="fr-FR"/>
        </w:rPr>
        <w:t xml:space="preserve">qui affirme que, </w:t>
      </w:r>
      <w:r w:rsidRPr="004623C6">
        <w:rPr>
          <w:rFonts w:asciiTheme="majorHAnsi" w:hAnsiTheme="majorHAnsi" w:cs="Times New Roman"/>
          <w:sz w:val="24"/>
          <w:szCs w:val="24"/>
          <w:lang w:val="fr-BE"/>
        </w:rPr>
        <w:t xml:space="preserve">plutôt que des règles monétaires strictes, les banquiers centraux doivent garder une marge discrétionnaire afin de pouvoir réagir à des événements inattendus. Cependant, selon cette approche, les dirigeant∙e∙s doivent nommer des banquiers centraux plus « conservateurs », c’est-à-dire aux préférences plus anti-inflationnistes que le reste de la société, ce afin d’assurer la stabilité des prix de manière optimale. Selon cet ensemble théorique, le degré élevé d’isolation des banquiers centraux des autres acteurs politiques et économiques est aussi justifié par la restriction de ses objectifs à </w:t>
      </w:r>
      <w:r w:rsidRPr="004623C6">
        <w:rPr>
          <w:rFonts w:asciiTheme="majorHAnsi" w:hAnsiTheme="majorHAnsi" w:cs="Times New Roman"/>
          <w:sz w:val="24"/>
          <w:szCs w:val="24"/>
          <w:lang w:val="fr-FR"/>
        </w:rPr>
        <w:t>la stabilité des prix, dont les conséquences distributives sont considérées comme « neutres » sur le moyen et long terme</w:t>
      </w:r>
      <w:r>
        <w:rPr>
          <w:rStyle w:val="Appelnotedebasdep"/>
          <w:rFonts w:asciiTheme="majorHAnsi" w:hAnsiTheme="majorHAnsi" w:cs="Times New Roman"/>
          <w:sz w:val="24"/>
          <w:szCs w:val="24"/>
          <w:lang w:val="fr-FR"/>
        </w:rPr>
        <w:footnoteReference w:id="19"/>
      </w:r>
      <w:r>
        <w:rPr>
          <w:rFonts w:asciiTheme="majorHAnsi" w:hAnsiTheme="majorHAnsi" w:cs="Times New Roman"/>
          <w:sz w:val="24"/>
          <w:szCs w:val="24"/>
          <w:lang w:val="fr-FR"/>
        </w:rPr>
        <w:t xml:space="preserve">. </w:t>
      </w:r>
      <w:r w:rsidRPr="004623C6">
        <w:rPr>
          <w:rFonts w:asciiTheme="majorHAnsi" w:hAnsiTheme="majorHAnsi" w:cs="Times New Roman"/>
          <w:color w:val="000000"/>
          <w:sz w:val="24"/>
          <w:szCs w:val="24"/>
          <w:lang w:val="fr-BE"/>
        </w:rPr>
        <w:t>Au final, le paradigme de la BCI soutient qu’une politique monétaire tournée vers la stabilité des prix et formulée par des banquiers centraux indépendants devrait bénéficier à la société dans son ensemble, et non seulement à quelques agents économiques au détriment d’autres. L’efficience et la neutralité allocutive permettent ainsi de légitimer la dépolitisation de la politique monétaire, qui est alors transférée du champ gouvernemental à des technocrates isolés des pressions politiques</w:t>
      </w:r>
      <w:r>
        <w:rPr>
          <w:rStyle w:val="Appelnotedebasdep"/>
          <w:rFonts w:asciiTheme="majorHAnsi" w:hAnsiTheme="majorHAnsi" w:cs="Times New Roman"/>
          <w:color w:val="000000"/>
          <w:sz w:val="24"/>
          <w:szCs w:val="24"/>
          <w:lang w:val="fr-BE"/>
        </w:rPr>
        <w:footnoteReference w:id="20"/>
      </w:r>
      <w:r>
        <w:rPr>
          <w:rFonts w:asciiTheme="majorHAnsi" w:hAnsiTheme="majorHAnsi" w:cs="Times New Roman"/>
          <w:color w:val="000000"/>
          <w:sz w:val="24"/>
          <w:szCs w:val="24"/>
          <w:lang w:val="fr-BE"/>
        </w:rPr>
        <w:t>.</w:t>
      </w:r>
    </w:p>
    <w:p w14:paraId="7E6D09BE" w14:textId="34D1DED5" w:rsidR="00997282" w:rsidRPr="004623C6" w:rsidRDefault="00997282">
      <w:pPr>
        <w:spacing w:after="0" w:line="360" w:lineRule="auto"/>
        <w:contextualSpacing/>
        <w:jc w:val="both"/>
        <w:rPr>
          <w:rFonts w:asciiTheme="majorHAnsi" w:hAnsiTheme="majorHAnsi" w:cs="Times New Roman"/>
          <w:sz w:val="24"/>
          <w:szCs w:val="24"/>
          <w:lang w:val="fr-FR"/>
        </w:rPr>
      </w:pPr>
    </w:p>
    <w:p w14:paraId="725E6778" w14:textId="52EAAB3E" w:rsidR="00997282" w:rsidRPr="004623C6" w:rsidRDefault="00997282" w:rsidP="001305A9">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Deuxièmement, ce modèle théorique est devenu largement partagé parmi les banquiers centraux européens du fait de la position dominante de la </w:t>
      </w:r>
      <w:r w:rsidRPr="00A034EF">
        <w:rPr>
          <w:rFonts w:asciiTheme="majorHAnsi" w:hAnsiTheme="majorHAnsi" w:cs="Times New Roman"/>
          <w:sz w:val="24"/>
          <w:szCs w:val="24"/>
          <w:lang w:val="fr-FR"/>
        </w:rPr>
        <w:t>Bundesbank</w:t>
      </w:r>
      <w:r w:rsidRPr="004623C6">
        <w:rPr>
          <w:rFonts w:asciiTheme="majorHAnsi" w:hAnsiTheme="majorHAnsi" w:cs="Times New Roman"/>
          <w:i/>
          <w:sz w:val="24"/>
          <w:szCs w:val="24"/>
          <w:lang w:val="fr-FR"/>
        </w:rPr>
        <w:t xml:space="preserve"> </w:t>
      </w:r>
      <w:r w:rsidRPr="004623C6">
        <w:rPr>
          <w:rFonts w:asciiTheme="majorHAnsi" w:hAnsiTheme="majorHAnsi" w:cs="Times New Roman"/>
          <w:sz w:val="24"/>
          <w:szCs w:val="24"/>
          <w:lang w:val="fr-FR"/>
        </w:rPr>
        <w:t xml:space="preserve"> depuis l’instauration du mécanisme de change du système monétaire européen en 1979. En effet, dans le but de maintenir la parité avec le </w:t>
      </w:r>
      <w:r>
        <w:rPr>
          <w:rFonts w:asciiTheme="majorHAnsi" w:hAnsiTheme="majorHAnsi" w:cs="Times New Roman"/>
          <w:sz w:val="24"/>
          <w:szCs w:val="24"/>
          <w:lang w:val="fr-FR"/>
        </w:rPr>
        <w:t>d</w:t>
      </w:r>
      <w:r w:rsidRPr="00A034EF">
        <w:rPr>
          <w:rFonts w:asciiTheme="majorHAnsi" w:hAnsiTheme="majorHAnsi" w:cs="Times New Roman"/>
          <w:sz w:val="24"/>
          <w:szCs w:val="24"/>
          <w:lang w:val="fr-FR"/>
        </w:rPr>
        <w:t>eutschemark</w:t>
      </w:r>
      <w:r w:rsidRPr="004623C6">
        <w:rPr>
          <w:rFonts w:asciiTheme="majorHAnsi" w:hAnsiTheme="majorHAnsi" w:cs="Times New Roman"/>
          <w:sz w:val="24"/>
          <w:szCs w:val="24"/>
          <w:lang w:val="fr-FR"/>
        </w:rPr>
        <w:t xml:space="preserve">, les politiques monétaires des autres pays européens devaient être aussi anti-inflationnistes que celles de la </w:t>
      </w:r>
      <w:r w:rsidRPr="00A034EF">
        <w:rPr>
          <w:rFonts w:asciiTheme="majorHAnsi" w:hAnsiTheme="majorHAnsi" w:cs="Times New Roman"/>
          <w:sz w:val="24"/>
          <w:szCs w:val="24"/>
          <w:lang w:val="fr-FR"/>
        </w:rPr>
        <w:t>Bundesbank</w:t>
      </w:r>
      <w:r w:rsidRPr="004623C6">
        <w:rPr>
          <w:rFonts w:asciiTheme="majorHAnsi" w:hAnsiTheme="majorHAnsi" w:cs="Times New Roman"/>
          <w:sz w:val="24"/>
          <w:szCs w:val="24"/>
          <w:lang w:val="fr-FR"/>
        </w:rPr>
        <w:t xml:space="preserve">. La centralité de la </w:t>
      </w:r>
      <w:r w:rsidRPr="00A034EF">
        <w:rPr>
          <w:rFonts w:asciiTheme="majorHAnsi" w:hAnsiTheme="majorHAnsi" w:cs="Times New Roman"/>
          <w:sz w:val="24"/>
          <w:szCs w:val="24"/>
          <w:lang w:val="fr-FR"/>
        </w:rPr>
        <w:t>Bundesbank</w:t>
      </w:r>
      <w:r w:rsidRPr="004623C6">
        <w:rPr>
          <w:rFonts w:asciiTheme="majorHAnsi" w:hAnsiTheme="majorHAnsi" w:cs="Times New Roman"/>
          <w:sz w:val="24"/>
          <w:szCs w:val="24"/>
          <w:lang w:val="fr-FR"/>
        </w:rPr>
        <w:t xml:space="preserve"> dans la fixation des </w:t>
      </w:r>
      <w:r w:rsidRPr="004623C6">
        <w:rPr>
          <w:rFonts w:asciiTheme="majorHAnsi" w:hAnsiTheme="majorHAnsi" w:cs="Times New Roman"/>
          <w:sz w:val="24"/>
          <w:szCs w:val="24"/>
          <w:lang w:val="fr-FR"/>
        </w:rPr>
        <w:lastRenderedPageBreak/>
        <w:t>politiques monétaires européennes lui a permis de bénéficier à la fois d’un pouvoir structurel et d’une autorité morale envers les autres banquiers centraux qui ont alors cherché à émuler son modèle dans leurs propres pays</w:t>
      </w:r>
      <w:r>
        <w:rPr>
          <w:rStyle w:val="Appelnotedebasdep"/>
          <w:rFonts w:asciiTheme="majorHAnsi" w:hAnsiTheme="majorHAnsi" w:cs="Times New Roman"/>
          <w:sz w:val="24"/>
          <w:szCs w:val="24"/>
          <w:lang w:val="fr-FR"/>
        </w:rPr>
        <w:footnoteReference w:id="21"/>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Cette convergence idéelle a ensuite permis aux banquiers centraux de former une communauté épistémique au sein du Comité Delors</w:t>
      </w:r>
      <w:r w:rsidRPr="004623C6">
        <w:rPr>
          <w:rStyle w:val="Appelnotedebasdep"/>
          <w:rFonts w:asciiTheme="majorHAnsi" w:hAnsiTheme="majorHAnsi" w:cs="Times New Roman"/>
          <w:sz w:val="24"/>
          <w:szCs w:val="24"/>
          <w:lang w:val="fr-FR"/>
        </w:rPr>
        <w:footnoteReference w:id="22"/>
      </w:r>
      <w:r w:rsidRPr="004623C6">
        <w:rPr>
          <w:rFonts w:asciiTheme="majorHAnsi" w:hAnsiTheme="majorHAnsi" w:cs="Times New Roman"/>
          <w:sz w:val="24"/>
          <w:szCs w:val="24"/>
          <w:lang w:val="fr-FR"/>
        </w:rPr>
        <w:t>, qui a bénéficié d’un haut niveau d’autonomie dans la définition des statuts de la BCE</w:t>
      </w:r>
      <w:r>
        <w:rPr>
          <w:rStyle w:val="Appelnotedebasdep"/>
          <w:rFonts w:asciiTheme="majorHAnsi" w:hAnsiTheme="majorHAnsi" w:cs="Times New Roman"/>
          <w:sz w:val="24"/>
          <w:szCs w:val="24"/>
          <w:lang w:val="fr-FR"/>
        </w:rPr>
        <w:footnoteReference w:id="23"/>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xml:space="preserve">Par ailleurs, le statut de la BCE a été l’objet d’un marchandage effectué au plus haut niveau entre les dirigeant∙e∙s allemand∙e∙s et leurs partenaires des autres États membres de la future zone euro. En effet, ces dernier∙e∙s voyaient la création de la zone euro comme un moyen de diminuer l’influence allemande en Europe suite à sa réunification. Cependant, les dirigeant∙e∙s allemand∙e∙s ont exigé en retour que la BCE soit façonnée sur le modèle de la </w:t>
      </w:r>
      <w:r w:rsidRPr="00A034EF">
        <w:rPr>
          <w:rFonts w:asciiTheme="majorHAnsi" w:hAnsiTheme="majorHAnsi" w:cs="Times New Roman"/>
          <w:sz w:val="24"/>
          <w:szCs w:val="24"/>
          <w:lang w:val="fr-FR"/>
        </w:rPr>
        <w:t>Bundesbank</w:t>
      </w:r>
      <w:r w:rsidRPr="004623C6">
        <w:rPr>
          <w:rFonts w:asciiTheme="majorHAnsi" w:hAnsiTheme="majorHAnsi" w:cs="Times New Roman"/>
          <w:sz w:val="24"/>
          <w:szCs w:val="24"/>
          <w:lang w:val="fr-FR"/>
        </w:rPr>
        <w:t xml:space="preserve"> afin d’atténuer la dimension symbolique de la perte du </w:t>
      </w:r>
      <w:r>
        <w:rPr>
          <w:rFonts w:asciiTheme="majorHAnsi" w:hAnsiTheme="majorHAnsi" w:cs="Times New Roman"/>
          <w:sz w:val="24"/>
          <w:szCs w:val="24"/>
          <w:lang w:val="fr-FR"/>
        </w:rPr>
        <w:t>d</w:t>
      </w:r>
      <w:r w:rsidRPr="00A034EF">
        <w:rPr>
          <w:rFonts w:asciiTheme="majorHAnsi" w:hAnsiTheme="majorHAnsi" w:cs="Times New Roman"/>
          <w:sz w:val="24"/>
          <w:szCs w:val="24"/>
          <w:lang w:val="fr-FR"/>
        </w:rPr>
        <w:t>eutschemark</w:t>
      </w:r>
      <w:r w:rsidRPr="004623C6">
        <w:rPr>
          <w:rFonts w:asciiTheme="majorHAnsi" w:hAnsiTheme="majorHAnsi" w:cs="Times New Roman"/>
          <w:sz w:val="24"/>
          <w:szCs w:val="24"/>
          <w:lang w:val="fr-FR"/>
        </w:rPr>
        <w:t xml:space="preserve">, considéré comme un pilier du miracle économique allemand des années 1950 </w:t>
      </w:r>
      <w:r>
        <w:rPr>
          <w:rStyle w:val="Appelnotedebasdep"/>
          <w:rFonts w:asciiTheme="majorHAnsi" w:hAnsiTheme="majorHAnsi" w:cs="Times New Roman"/>
          <w:sz w:val="24"/>
          <w:szCs w:val="24"/>
          <w:lang w:val="fr-FR"/>
        </w:rPr>
        <w:footnoteReference w:id="24"/>
      </w:r>
      <w:r>
        <w:rPr>
          <w:rFonts w:asciiTheme="majorHAnsi" w:hAnsiTheme="majorHAnsi" w:cs="Times New Roman"/>
          <w:sz w:val="24"/>
          <w:szCs w:val="24"/>
          <w:lang w:val="fr-FR"/>
        </w:rPr>
        <w:t>.</w:t>
      </w:r>
      <w:r w:rsidRPr="004623C6">
        <w:rPr>
          <w:rFonts w:asciiTheme="majorHAnsi" w:hAnsiTheme="majorHAnsi" w:cs="Times New Roman"/>
          <w:sz w:val="24"/>
          <w:szCs w:val="24"/>
          <w:lang w:val="fr-FR"/>
        </w:rPr>
        <w:t xml:space="preserve"> </w:t>
      </w:r>
    </w:p>
    <w:p w14:paraId="43202D26" w14:textId="4BB446A5" w:rsidR="00997282" w:rsidRPr="004623C6" w:rsidRDefault="00997282" w:rsidP="001305A9">
      <w:pPr>
        <w:spacing w:after="0" w:line="360" w:lineRule="auto"/>
        <w:contextualSpacing/>
        <w:jc w:val="both"/>
        <w:rPr>
          <w:rFonts w:asciiTheme="majorHAnsi" w:hAnsiTheme="majorHAnsi" w:cs="Times New Roman"/>
          <w:sz w:val="24"/>
          <w:szCs w:val="24"/>
          <w:lang w:val="fr-FR"/>
        </w:rPr>
      </w:pPr>
    </w:p>
    <w:p w14:paraId="1DD604C9" w14:textId="27AEC29D" w:rsidR="00997282" w:rsidRPr="004623C6" w:rsidRDefault="00997282" w:rsidP="001305A9">
      <w:pPr>
        <w:spacing w:after="0"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lang w:val="fr-FR"/>
        </w:rPr>
        <w:t>Ces facteurs idéels et stratégiques ont mené à la dépolitisation des politiques monétaires en Europe, c’est-à-dire à une délégation de compétences gouvernementales à une agence indépendante et par-là à une isolation des enjeux monétaires des forces démocratiques délibératives. En effet, à sa création en 1999, la BCE est considérée comme la banque centrale la plus indépendante du monde</w:t>
      </w:r>
      <w:r>
        <w:rPr>
          <w:rStyle w:val="Appelnotedebasdep"/>
          <w:rFonts w:asciiTheme="majorHAnsi" w:hAnsiTheme="majorHAnsi" w:cs="Times New Roman"/>
          <w:sz w:val="24"/>
          <w:szCs w:val="24"/>
          <w:lang w:val="fr-FR"/>
        </w:rPr>
        <w:footnoteReference w:id="25"/>
      </w:r>
      <w:r w:rsidRPr="004623C6">
        <w:rPr>
          <w:rFonts w:asciiTheme="majorHAnsi" w:hAnsiTheme="majorHAnsi" w:cs="Times New Roman"/>
          <w:sz w:val="24"/>
          <w:szCs w:val="24"/>
          <w:lang w:val="fr-FR"/>
        </w:rPr>
        <w:t xml:space="preserve"> et, en comparaison avec leurs homologues des États-Unis et du Royaume-Uni, les dirigeant∙e∙s européen∙ne∙s possèdent peu de leviers pour influencer ses politiques monétaires</w:t>
      </w:r>
      <w:r>
        <w:rPr>
          <w:rStyle w:val="Appelnotedebasdep"/>
          <w:rFonts w:asciiTheme="majorHAnsi" w:hAnsiTheme="majorHAnsi" w:cs="Times New Roman"/>
          <w:sz w:val="24"/>
          <w:szCs w:val="24"/>
          <w:lang w:val="fr-FR"/>
        </w:rPr>
        <w:footnoteReference w:id="26"/>
      </w:r>
      <w:r w:rsidRPr="004623C6">
        <w:rPr>
          <w:rFonts w:asciiTheme="majorHAnsi" w:hAnsiTheme="majorHAnsi" w:cs="Times New Roman"/>
          <w:sz w:val="24"/>
          <w:szCs w:val="24"/>
          <w:lang w:val="fr-FR"/>
        </w:rPr>
        <w:t xml:space="preserve">. En particulier, les divisions économiques et politiques entre les différents pays de la zone euro permettent à la BCE de ne pas être confrontée à un pouvoir politique unifié, ce qui lui confère une forte autonomie </w:t>
      </w:r>
      <w:r>
        <w:rPr>
          <w:rStyle w:val="Appelnotedebasdep"/>
          <w:rFonts w:asciiTheme="majorHAnsi" w:hAnsiTheme="majorHAnsi" w:cs="Times New Roman"/>
          <w:sz w:val="24"/>
          <w:szCs w:val="24"/>
          <w:lang w:val="fr-FR"/>
        </w:rPr>
        <w:footnoteReference w:id="27"/>
      </w:r>
      <w:r>
        <w:rPr>
          <w:rFonts w:asciiTheme="majorHAnsi" w:hAnsiTheme="majorHAnsi" w:cs="Times New Roman"/>
          <w:sz w:val="24"/>
          <w:szCs w:val="24"/>
          <w:lang w:val="fr-FR"/>
        </w:rPr>
        <w:t>.</w:t>
      </w:r>
      <w:r w:rsidRPr="004623C6">
        <w:rPr>
          <w:rFonts w:asciiTheme="majorHAnsi" w:hAnsiTheme="majorHAnsi" w:cs="Times New Roman"/>
          <w:sz w:val="24"/>
          <w:szCs w:val="24"/>
          <w:lang w:val="fr-FR"/>
        </w:rPr>
        <w:t xml:space="preserve"> De plus, l’autonomisation de la BCE et ses stratégies de scientifisation des questions monétaires ont </w:t>
      </w:r>
      <w:r w:rsidRPr="004623C6">
        <w:rPr>
          <w:rFonts w:asciiTheme="majorHAnsi" w:hAnsiTheme="majorHAnsi" w:cs="Times New Roman"/>
          <w:sz w:val="24"/>
          <w:szCs w:val="24"/>
          <w:lang w:val="fr-FR"/>
        </w:rPr>
        <w:lastRenderedPageBreak/>
        <w:t>aussi conduit à un désintérêt progressif envers celles-ci au sein de l’espace public européen</w:t>
      </w:r>
      <w:r>
        <w:rPr>
          <w:rStyle w:val="Appelnotedebasdep"/>
          <w:rFonts w:asciiTheme="majorHAnsi" w:hAnsiTheme="majorHAnsi" w:cs="Times New Roman"/>
          <w:sz w:val="24"/>
          <w:szCs w:val="24"/>
          <w:lang w:val="fr-FR"/>
        </w:rPr>
        <w:footnoteReference w:id="28"/>
      </w:r>
      <w:r w:rsidRPr="004623C6">
        <w:rPr>
          <w:rFonts w:asciiTheme="majorHAnsi" w:hAnsiTheme="majorHAnsi" w:cs="Times New Roman"/>
          <w:sz w:val="24"/>
          <w:szCs w:val="24"/>
          <w:lang w:val="fr-FR"/>
        </w:rPr>
        <w:t xml:space="preserve"> </w:t>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xml:space="preserve">Ainsi, avant la crise, </w:t>
      </w:r>
      <w:r w:rsidRPr="004623C6">
        <w:rPr>
          <w:rFonts w:asciiTheme="majorHAnsi" w:hAnsiTheme="majorHAnsi" w:cs="Times New Roman"/>
          <w:sz w:val="24"/>
          <w:szCs w:val="24"/>
        </w:rPr>
        <w:t>à l’exception de l'Allemagne, les enjeux de stabilité des prix et les annonces de politique monétaire suscitaient moins de débats et occupaient moins de place dans l'espace public que les politiques fiscales ou budgétaires</w:t>
      </w:r>
      <w:r>
        <w:rPr>
          <w:rStyle w:val="Appelnotedebasdep"/>
          <w:rFonts w:asciiTheme="majorHAnsi" w:hAnsiTheme="majorHAnsi" w:cs="Times New Roman"/>
          <w:sz w:val="24"/>
          <w:szCs w:val="24"/>
        </w:rPr>
        <w:footnoteReference w:id="29"/>
      </w:r>
      <w:r w:rsidRPr="004623C6">
        <w:rPr>
          <w:rFonts w:asciiTheme="majorHAnsi" w:hAnsiTheme="majorHAnsi" w:cs="Times New Roman"/>
          <w:sz w:val="24"/>
          <w:szCs w:val="24"/>
        </w:rPr>
        <w:t>. En fait, les perceptions des citoyen∙ne∙s sur la BCE variaient en fonction de l’état de l’économie européenne ou d’autres variables lourdes (comme la date d’adhésion à l’UE)</w:t>
      </w:r>
      <w:r>
        <w:rPr>
          <w:rStyle w:val="Appelnotedebasdep"/>
          <w:rFonts w:asciiTheme="majorHAnsi" w:hAnsiTheme="majorHAnsi" w:cs="Times New Roman"/>
          <w:sz w:val="24"/>
          <w:szCs w:val="24"/>
        </w:rPr>
        <w:footnoteReference w:id="30"/>
      </w:r>
      <w:r w:rsidRPr="004623C6">
        <w:rPr>
          <w:rFonts w:asciiTheme="majorHAnsi" w:hAnsiTheme="majorHAnsi" w:cs="Times New Roman"/>
          <w:sz w:val="24"/>
          <w:szCs w:val="24"/>
        </w:rPr>
        <w:t xml:space="preserve">. Ces éléments exposent une certaine inertie de l'opinion publique envers un sujet perçu comme technique. </w:t>
      </w:r>
    </w:p>
    <w:p w14:paraId="10656D5A" w14:textId="77777777" w:rsidR="00997282" w:rsidRPr="004623C6" w:rsidRDefault="00997282" w:rsidP="001305A9">
      <w:pPr>
        <w:spacing w:after="0" w:line="360" w:lineRule="auto"/>
        <w:contextualSpacing/>
        <w:jc w:val="both"/>
        <w:rPr>
          <w:rFonts w:asciiTheme="majorHAnsi" w:hAnsiTheme="majorHAnsi" w:cs="Times New Roman"/>
          <w:sz w:val="24"/>
          <w:szCs w:val="24"/>
          <w:lang w:val="fr-FR"/>
        </w:rPr>
      </w:pPr>
    </w:p>
    <w:p w14:paraId="000566CC" w14:textId="5FD9FACD" w:rsidR="00997282" w:rsidRPr="004623C6" w:rsidRDefault="00997282" w:rsidP="003D5335">
      <w:pPr>
        <w:spacing w:after="0" w:line="360" w:lineRule="auto"/>
        <w:contextualSpacing/>
        <w:jc w:val="both"/>
        <w:rPr>
          <w:rFonts w:asciiTheme="majorHAnsi" w:hAnsiTheme="majorHAnsi" w:cs="Times New Roman"/>
          <w:i/>
          <w:sz w:val="24"/>
          <w:szCs w:val="24"/>
          <w:lang w:val="fr-FR"/>
        </w:rPr>
      </w:pPr>
      <w:r w:rsidRPr="004623C6">
        <w:rPr>
          <w:rFonts w:asciiTheme="majorHAnsi" w:hAnsiTheme="majorHAnsi" w:cs="Times New Roman"/>
          <w:sz w:val="24"/>
          <w:szCs w:val="24"/>
          <w:lang w:val="fr-FR"/>
        </w:rPr>
        <w:t>Cependant, la dépolitisation des politiques monétaires ne signifie ni un désintérêt de la BCE envers les autres politiques économiques de l’UE, ni l’absence d’enjeux politiques dans la fixation des instruments monétaires. En effet, l’objectif principal de la BCE, la stabilité des prix, n’est pas seulement déterminé par la politique monétaire, mais aussi par un vaste éventail de politiques structurelles et macro-économiques (politiques fiscales et budgétaires, régimes salariaux, régimes de retraite</w:t>
      </w:r>
      <w:r>
        <w:rPr>
          <w:rFonts w:asciiTheme="majorHAnsi" w:hAnsiTheme="majorHAnsi" w:cs="Times New Roman"/>
          <w:sz w:val="24"/>
          <w:szCs w:val="24"/>
          <w:lang w:val="fr-FR"/>
        </w:rPr>
        <w:t>, etc.</w:t>
      </w:r>
      <w:r w:rsidRPr="004623C6">
        <w:rPr>
          <w:rFonts w:asciiTheme="majorHAnsi" w:hAnsiTheme="majorHAnsi" w:cs="Times New Roman"/>
          <w:sz w:val="24"/>
          <w:szCs w:val="24"/>
          <w:lang w:val="fr-FR"/>
        </w:rPr>
        <w:t>). Or, depuis sa création, la BCE a exercé une pression constante sur la mise en œuvre de ces politiques afin de diffuser la culture de la stabilité des prix, d’atteindre plus facilement ses objectifs et, par-là, de protéger son indépendance. De plus, à contre-courant du consensus sur la neutralité de la politique monétaire, certain∙e∙s économistes soulignaient la dimension politique inhérente aux arbitrages complexes de la politique monétaire, tels que ceux existant entre la stabilité des prix et le niveau d’activité économique</w:t>
      </w:r>
      <w:r>
        <w:rPr>
          <w:rStyle w:val="Appelnotedebasdep"/>
          <w:rFonts w:asciiTheme="majorHAnsi" w:hAnsiTheme="majorHAnsi" w:cs="Times New Roman"/>
          <w:sz w:val="24"/>
          <w:szCs w:val="24"/>
          <w:lang w:val="fr-FR"/>
        </w:rPr>
        <w:footnoteReference w:id="31"/>
      </w:r>
      <w:r w:rsidRPr="004623C6">
        <w:rPr>
          <w:rFonts w:asciiTheme="majorHAnsi" w:hAnsiTheme="majorHAnsi" w:cs="Times New Roman"/>
          <w:sz w:val="24"/>
          <w:szCs w:val="24"/>
          <w:lang w:val="fr-FR"/>
        </w:rPr>
        <w:t>. La crise financière de 2007 a finalement donné raison à ces voix critiques, qui avaient été largement ignorées par les tenant∙e∙s du modèle de la BCI.</w:t>
      </w:r>
    </w:p>
    <w:p w14:paraId="2D3658D0" w14:textId="77777777" w:rsidR="00997282" w:rsidRPr="004623C6" w:rsidRDefault="00997282" w:rsidP="003D5335">
      <w:pPr>
        <w:spacing w:after="0" w:line="360" w:lineRule="auto"/>
        <w:contextualSpacing/>
        <w:jc w:val="both"/>
        <w:rPr>
          <w:rFonts w:asciiTheme="majorHAnsi" w:hAnsiTheme="majorHAnsi" w:cs="Times New Roman"/>
          <w:sz w:val="24"/>
          <w:szCs w:val="24"/>
          <w:lang w:val="fr-FR"/>
        </w:rPr>
      </w:pPr>
    </w:p>
    <w:p w14:paraId="18F9F589" w14:textId="6D8001FB" w:rsidR="00997282" w:rsidRPr="00A034EF" w:rsidRDefault="00997282" w:rsidP="004D155E">
      <w:pPr>
        <w:spacing w:after="0" w:line="360" w:lineRule="auto"/>
        <w:contextualSpacing/>
        <w:jc w:val="both"/>
        <w:rPr>
          <w:rFonts w:asciiTheme="majorHAnsi" w:hAnsiTheme="majorHAnsi" w:cs="Times New Roman"/>
          <w:b/>
          <w:i/>
          <w:sz w:val="24"/>
          <w:szCs w:val="24"/>
          <w:lang w:val="fr-FR"/>
        </w:rPr>
      </w:pPr>
      <w:r w:rsidRPr="00A034EF">
        <w:rPr>
          <w:rFonts w:asciiTheme="majorHAnsi" w:hAnsiTheme="majorHAnsi" w:cs="Times New Roman"/>
          <w:b/>
          <w:i/>
          <w:sz w:val="24"/>
          <w:szCs w:val="24"/>
          <w:lang w:val="fr-FR"/>
        </w:rPr>
        <w:lastRenderedPageBreak/>
        <w:t>Le dévoilement du caractère politique des enjeux monétaires depuis la crise</w:t>
      </w:r>
    </w:p>
    <w:p w14:paraId="484D57AB"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5A291F39" w14:textId="252DA3C2" w:rsidR="00997282" w:rsidRPr="004623C6" w:rsidRDefault="00997282" w:rsidP="004D155E">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Quand la crise financière éclata en 2007, les acteurs financiers ne se faisaient plus suffisamment confiance pour se prêter entre eux et les canaux de transmission habituels de la politique monétaire furent rompus. Afin d’éviter une crise de liquidité (et dans les séquences ultérieures de la crise, un effondrement du système financier et de l’activité économique), la BCE, à l’instar des autres banques centrales des pays touchés par cette crise, a étendu ses missions au-delà de la seule stabilité des prix, en devenant prêteur en dernier ressort</w:t>
      </w:r>
      <w:r w:rsidRPr="004623C6">
        <w:rPr>
          <w:rStyle w:val="Appelnotedebasdep"/>
          <w:rFonts w:asciiTheme="majorHAnsi" w:hAnsiTheme="majorHAnsi" w:cs="Times New Roman"/>
          <w:sz w:val="24"/>
          <w:szCs w:val="24"/>
          <w:lang w:val="fr-FR"/>
        </w:rPr>
        <w:footnoteReference w:id="32"/>
      </w:r>
      <w:r w:rsidRPr="004623C6">
        <w:rPr>
          <w:rFonts w:asciiTheme="majorHAnsi" w:hAnsiTheme="majorHAnsi" w:cs="Times New Roman"/>
          <w:sz w:val="24"/>
          <w:szCs w:val="24"/>
          <w:lang w:val="fr-FR"/>
        </w:rPr>
        <w:t xml:space="preserve"> pour les États et les banques de la zone euro</w:t>
      </w:r>
      <w:r>
        <w:rPr>
          <w:rStyle w:val="Appelnotedebasdep"/>
          <w:rFonts w:asciiTheme="majorHAnsi" w:hAnsiTheme="majorHAnsi" w:cs="Times New Roman"/>
          <w:sz w:val="24"/>
          <w:szCs w:val="24"/>
          <w:lang w:val="fr-FR"/>
        </w:rPr>
        <w:footnoteReference w:id="33"/>
      </w:r>
      <w:r w:rsidRPr="004623C6">
        <w:rPr>
          <w:rFonts w:asciiTheme="majorHAnsi" w:hAnsiTheme="majorHAnsi" w:cs="Times New Roman"/>
          <w:sz w:val="24"/>
          <w:szCs w:val="24"/>
          <w:lang w:val="fr-FR"/>
        </w:rPr>
        <w:t>. Avant la crise, la BCE fixait les taux d’intérêt directeurs par des opérations d’</w:t>
      </w:r>
      <w:r w:rsidRPr="004623C6">
        <w:rPr>
          <w:rFonts w:asciiTheme="majorHAnsi" w:hAnsiTheme="majorHAnsi" w:cs="Times New Roman"/>
          <w:i/>
          <w:sz w:val="24"/>
          <w:szCs w:val="24"/>
          <w:lang w:val="fr-FR"/>
        </w:rPr>
        <w:t>open-market</w:t>
      </w:r>
      <w:r w:rsidRPr="00FC7258">
        <w:rPr>
          <w:rStyle w:val="Appelnotedebasdep"/>
          <w:rFonts w:asciiTheme="majorHAnsi" w:hAnsiTheme="majorHAnsi" w:cs="Times New Roman"/>
          <w:sz w:val="24"/>
          <w:szCs w:val="24"/>
          <w:lang w:val="fr-FR"/>
        </w:rPr>
        <w:footnoteReference w:id="34"/>
      </w:r>
      <w:r w:rsidRPr="004623C6">
        <w:rPr>
          <w:rFonts w:asciiTheme="majorHAnsi" w:hAnsiTheme="majorHAnsi" w:cs="Times New Roman"/>
          <w:sz w:val="24"/>
          <w:szCs w:val="24"/>
          <w:lang w:val="fr-FR"/>
        </w:rPr>
        <w:t xml:space="preserve"> limitées en volume et dans le temps ; elles ne présentaient pas de dimension politique particulière et faisaient partie de l’appareillage technique de la politique monétaire. Cependant, depuis 2007, en plus de réduire progressivement ses taux d’intérêt autour de zéro, la BCE a modifié ses instruments monétaires de deux manières, de telle sorte qu’ils engendrent désormais des controverses politiques</w:t>
      </w:r>
      <w:r>
        <w:rPr>
          <w:rStyle w:val="Appelnotedebasdep"/>
          <w:rFonts w:asciiTheme="majorHAnsi" w:hAnsiTheme="majorHAnsi" w:cs="Times New Roman"/>
          <w:sz w:val="24"/>
          <w:szCs w:val="24"/>
          <w:lang w:val="fr-FR"/>
        </w:rPr>
        <w:footnoteReference w:id="35"/>
      </w:r>
      <w:r w:rsidRPr="004623C6">
        <w:rPr>
          <w:rFonts w:asciiTheme="majorHAnsi" w:hAnsiTheme="majorHAnsi" w:cs="Times New Roman"/>
          <w:sz w:val="24"/>
          <w:szCs w:val="24"/>
          <w:lang w:val="fr-FR"/>
        </w:rPr>
        <w:t xml:space="preserve">.  </w:t>
      </w:r>
    </w:p>
    <w:p w14:paraId="769FC152"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586046E2" w14:textId="163CB1AA" w:rsidR="00997282" w:rsidRPr="004623C6" w:rsidRDefault="00997282" w:rsidP="004D155E">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D’abord, la BCE a étendu le volume et la durée de la maturité des offres de liquidités offertes aux banques commerciales, ainsi qu’en acceptant des titres financiers plus risqués en contrepartie de ces liquidités. Ainsi, en mars 2016, la BCE a offert 1693 milliards d’euros (environ 15% du PIB de la zone euro) sur quatre ans à un taux de 0% aux banques qui en faisaient la demande. Ces opérations ont ainsi permis aux banques commerciales de transférer leurs actifs risqués sur les livres de compte de la BCE et d’effectuer des opérations de </w:t>
      </w:r>
      <w:r w:rsidRPr="004623C6">
        <w:rPr>
          <w:rFonts w:asciiTheme="majorHAnsi" w:hAnsiTheme="majorHAnsi" w:cs="Times New Roman"/>
          <w:i/>
          <w:sz w:val="24"/>
          <w:szCs w:val="24"/>
          <w:lang w:val="fr-FR"/>
        </w:rPr>
        <w:t xml:space="preserve">carry-trade </w:t>
      </w:r>
      <w:r w:rsidRPr="004623C6">
        <w:rPr>
          <w:rFonts w:asciiTheme="majorHAnsi" w:hAnsiTheme="majorHAnsi" w:cs="Times New Roman"/>
          <w:sz w:val="24"/>
          <w:szCs w:val="24"/>
          <w:lang w:val="fr-FR"/>
        </w:rPr>
        <w:t>controversées</w:t>
      </w:r>
      <w:r w:rsidRPr="004623C6">
        <w:rPr>
          <w:rStyle w:val="Appelnotedebasdep"/>
          <w:rFonts w:asciiTheme="majorHAnsi" w:hAnsiTheme="majorHAnsi" w:cs="Times New Roman"/>
          <w:sz w:val="24"/>
          <w:szCs w:val="24"/>
          <w:lang w:val="fr-FR"/>
        </w:rPr>
        <w:footnoteReference w:id="36"/>
      </w:r>
      <w:r w:rsidRPr="004623C6">
        <w:rPr>
          <w:rFonts w:asciiTheme="majorHAnsi" w:hAnsiTheme="majorHAnsi" w:cs="Times New Roman"/>
          <w:sz w:val="24"/>
          <w:szCs w:val="24"/>
          <w:lang w:val="fr-FR"/>
        </w:rPr>
        <w:t xml:space="preserve"> . Ensuite, la BCE a </w:t>
      </w:r>
      <w:r w:rsidRPr="004623C6">
        <w:rPr>
          <w:rFonts w:asciiTheme="majorHAnsi" w:hAnsiTheme="majorHAnsi" w:cs="Times New Roman"/>
          <w:sz w:val="24"/>
          <w:szCs w:val="24"/>
          <w:lang w:val="fr-FR"/>
        </w:rPr>
        <w:lastRenderedPageBreak/>
        <w:t>progressivement mis en œuvre de vastes programmes de rachat de titres financiers sur les marchés secondaires</w:t>
      </w:r>
      <w:r w:rsidRPr="004623C6">
        <w:rPr>
          <w:rStyle w:val="Appelnotedebasdep"/>
          <w:rFonts w:asciiTheme="majorHAnsi" w:hAnsiTheme="majorHAnsi" w:cs="Times New Roman"/>
          <w:sz w:val="24"/>
          <w:szCs w:val="24"/>
          <w:lang w:val="fr-FR"/>
        </w:rPr>
        <w:footnoteReference w:id="37"/>
      </w:r>
      <w:r w:rsidRPr="004623C6">
        <w:rPr>
          <w:rFonts w:asciiTheme="majorHAnsi" w:hAnsiTheme="majorHAnsi" w:cs="Times New Roman"/>
          <w:sz w:val="24"/>
          <w:szCs w:val="24"/>
          <w:lang w:val="fr-FR"/>
        </w:rPr>
        <w:t>. À la différence des opérations d’</w:t>
      </w:r>
      <w:r w:rsidRPr="004623C6">
        <w:rPr>
          <w:rFonts w:asciiTheme="majorHAnsi" w:hAnsiTheme="majorHAnsi" w:cs="Times New Roman"/>
          <w:i/>
          <w:sz w:val="24"/>
          <w:szCs w:val="24"/>
          <w:lang w:val="fr-FR"/>
        </w:rPr>
        <w:t>open-market</w:t>
      </w:r>
      <w:r w:rsidRPr="004623C6">
        <w:rPr>
          <w:rFonts w:asciiTheme="majorHAnsi" w:hAnsiTheme="majorHAnsi" w:cs="Times New Roman"/>
          <w:sz w:val="24"/>
          <w:szCs w:val="24"/>
          <w:lang w:val="fr-FR"/>
        </w:rPr>
        <w:t>, la BCE crée de la monnaie électronique pour acheter des titres financiers et agir directement sur leur prix afin de lutter contre les tendances déflationnistes des économies européennes</w:t>
      </w:r>
      <w:r w:rsidRPr="004623C6">
        <w:rPr>
          <w:rStyle w:val="Appelnotedebasdep"/>
          <w:rFonts w:asciiTheme="majorHAnsi" w:hAnsiTheme="majorHAnsi" w:cs="Times New Roman"/>
          <w:sz w:val="24"/>
          <w:szCs w:val="24"/>
          <w:lang w:val="fr-FR"/>
        </w:rPr>
        <w:footnoteReference w:id="38"/>
      </w:r>
      <w:r w:rsidRPr="004623C6">
        <w:rPr>
          <w:rFonts w:asciiTheme="majorHAnsi" w:hAnsiTheme="majorHAnsi" w:cs="Times New Roman"/>
          <w:sz w:val="24"/>
          <w:szCs w:val="24"/>
          <w:lang w:val="fr-FR"/>
        </w:rPr>
        <w:t xml:space="preserve">. </w:t>
      </w:r>
    </w:p>
    <w:p w14:paraId="6EA3C657"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2B5F69E9" w14:textId="673C4BAA"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L’amplitude de ces opérations est reflétée dans l’évolution des balances comptables de la BCE depuis la crise qui équivalai</w:t>
      </w:r>
      <w:r>
        <w:rPr>
          <w:rFonts w:asciiTheme="majorHAnsi" w:hAnsiTheme="majorHAnsi" w:cs="Times New Roman"/>
          <w:sz w:val="24"/>
          <w:szCs w:val="24"/>
          <w:lang w:val="fr-FR"/>
        </w:rPr>
        <w:t>en</w:t>
      </w:r>
      <w:r w:rsidRPr="004623C6">
        <w:rPr>
          <w:rFonts w:asciiTheme="majorHAnsi" w:hAnsiTheme="majorHAnsi" w:cs="Times New Roman"/>
          <w:sz w:val="24"/>
          <w:szCs w:val="24"/>
          <w:lang w:val="fr-FR"/>
        </w:rPr>
        <w:t>t à 10% du PIB de la zone euro en 2007 et qui pèse</w:t>
      </w:r>
      <w:r>
        <w:rPr>
          <w:rFonts w:asciiTheme="majorHAnsi" w:hAnsiTheme="majorHAnsi" w:cs="Times New Roman"/>
          <w:sz w:val="24"/>
          <w:szCs w:val="24"/>
          <w:lang w:val="fr-FR"/>
        </w:rPr>
        <w:t>nt</w:t>
      </w:r>
      <w:r w:rsidRPr="004623C6">
        <w:rPr>
          <w:rFonts w:asciiTheme="majorHAnsi" w:hAnsiTheme="majorHAnsi" w:cs="Times New Roman"/>
          <w:sz w:val="24"/>
          <w:szCs w:val="24"/>
          <w:lang w:val="fr-FR"/>
        </w:rPr>
        <w:t xml:space="preserve"> plus de 40% du PIB de la zone euro en 2018. En d’autres mots, le « poids » des interventions de la BCE sur les marchés financiers a quadruplé depuis la crise. Les banquiers centraux ne contrôlent plus l’économie à distance en jouant sur les taux d’intérêt, ils interviennent maintenant directement et massivement sur les prix financiers. Ce changement de rôle a permis à la BCE d’atteindre ses objectifs à court-terme : aucune institution financière pouvant poser un risque systémique ne s’est écroulée et les tendances déflationnistes de la zone euro ont été mitigées. Cependant, ces mesures ont aussi généré des conséquences inattendues problématiques associant davantage les mesures de la BCE à des choix politiques</w:t>
      </w:r>
      <w:r w:rsidR="00C95CF5">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Plus les bilans comptables de la BCE s’étendent, plus ces conséquences inattendues sont problématiques. Quatre formes peuvent en être distinguées</w:t>
      </w:r>
      <w:r>
        <w:rPr>
          <w:rStyle w:val="Appelnotedebasdep"/>
          <w:rFonts w:asciiTheme="majorHAnsi" w:hAnsiTheme="majorHAnsi" w:cs="Times New Roman"/>
          <w:sz w:val="24"/>
          <w:szCs w:val="24"/>
          <w:lang w:val="fr-FR"/>
        </w:rPr>
        <w:footnoteReference w:id="39"/>
      </w:r>
      <w:r w:rsidRPr="004623C6">
        <w:rPr>
          <w:rFonts w:asciiTheme="majorHAnsi" w:hAnsiTheme="majorHAnsi" w:cs="Times New Roman"/>
          <w:sz w:val="24"/>
          <w:szCs w:val="24"/>
          <w:lang w:val="fr-FR"/>
        </w:rPr>
        <w:t xml:space="preserve">. </w:t>
      </w:r>
    </w:p>
    <w:p w14:paraId="066EE8AA"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7E06D24" w14:textId="4BC03B62"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D’abord, l’offre massive de liquidités de la BCE n’a pas été assortie de contreparties visant à s’assurer que les activités risquées ayant mené à la crise ne soient plus reproduites. En d’autres mots, dans l’exercice de leur rôle de prêteur en dernier ressort, les banques centrales n’ont pas contrôlé l’aléa moral</w:t>
      </w:r>
      <w:r w:rsidRPr="004623C6">
        <w:rPr>
          <w:rStyle w:val="Appelnotedebasdep"/>
          <w:rFonts w:asciiTheme="majorHAnsi" w:hAnsiTheme="majorHAnsi" w:cs="Times New Roman"/>
          <w:sz w:val="24"/>
          <w:szCs w:val="24"/>
          <w:lang w:val="fr-FR"/>
        </w:rPr>
        <w:footnoteReference w:id="40"/>
      </w:r>
      <w:r w:rsidRPr="004623C6">
        <w:rPr>
          <w:rFonts w:asciiTheme="majorHAnsi" w:hAnsiTheme="majorHAnsi" w:cs="Times New Roman"/>
          <w:sz w:val="24"/>
          <w:szCs w:val="24"/>
          <w:lang w:val="fr-FR"/>
        </w:rPr>
        <w:t xml:space="preserve"> qui y est associé. L’excès de liquidité sur les marchés financiers accentue le risque d’apparition de bulles spéculatives et permet aussi le maintien des i</w:t>
      </w:r>
      <w:r>
        <w:rPr>
          <w:rFonts w:asciiTheme="majorHAnsi" w:hAnsiTheme="majorHAnsi" w:cs="Times New Roman"/>
          <w:sz w:val="24"/>
          <w:szCs w:val="24"/>
          <w:lang w:val="fr-FR"/>
        </w:rPr>
        <w:t xml:space="preserve">nstitutions financières </w:t>
      </w:r>
      <w:r>
        <w:rPr>
          <w:rFonts w:asciiTheme="majorHAnsi" w:hAnsiTheme="majorHAnsi" w:cs="Times New Roman"/>
          <w:sz w:val="24"/>
          <w:szCs w:val="24"/>
          <w:lang w:val="fr-FR"/>
        </w:rPr>
        <w:lastRenderedPageBreak/>
        <w:t>« </w:t>
      </w:r>
      <w:r w:rsidRPr="004623C6">
        <w:rPr>
          <w:rFonts w:asciiTheme="majorHAnsi" w:hAnsiTheme="majorHAnsi" w:cs="Times New Roman"/>
          <w:sz w:val="24"/>
          <w:szCs w:val="24"/>
          <w:lang w:val="fr-FR"/>
        </w:rPr>
        <w:t>zombies</w:t>
      </w:r>
      <w:r>
        <w:rPr>
          <w:rFonts w:asciiTheme="majorHAnsi" w:hAnsiTheme="majorHAnsi" w:cs="Times New Roman"/>
          <w:sz w:val="24"/>
          <w:szCs w:val="24"/>
          <w:lang w:val="fr-FR"/>
        </w:rPr>
        <w:t> »</w:t>
      </w:r>
      <w:r w:rsidRPr="004623C6">
        <w:rPr>
          <w:rFonts w:asciiTheme="majorHAnsi" w:hAnsiTheme="majorHAnsi" w:cs="Times New Roman"/>
          <w:sz w:val="24"/>
          <w:szCs w:val="24"/>
          <w:lang w:val="fr-FR"/>
        </w:rPr>
        <w:t xml:space="preserve"> dont les activités financières risquées nuisent à l’économie</w:t>
      </w:r>
      <w:r>
        <w:rPr>
          <w:rStyle w:val="Appelnotedebasdep"/>
          <w:rFonts w:asciiTheme="majorHAnsi" w:hAnsiTheme="majorHAnsi" w:cs="Times New Roman"/>
          <w:sz w:val="24"/>
          <w:szCs w:val="24"/>
          <w:lang w:val="fr-FR"/>
        </w:rPr>
        <w:footnoteReference w:id="41"/>
      </w:r>
      <w:r w:rsidRPr="004623C6">
        <w:rPr>
          <w:rFonts w:asciiTheme="majorHAnsi" w:hAnsiTheme="majorHAnsi" w:cs="Times New Roman"/>
          <w:sz w:val="24"/>
          <w:szCs w:val="24"/>
          <w:lang w:val="fr-FR"/>
        </w:rPr>
        <w:t>. Par ailleurs, les représentant∙e∙s de la pensée ordo-libérale soulignent que les achats de dette souveraine diminuent artificiellement les taux d’intérêt qui y sont associés et permettent ainsi aux gouvernements de retarder la mise en œuvre des réformes nécessaires pour le bon fonctionnement de leur économie.</w:t>
      </w:r>
    </w:p>
    <w:p w14:paraId="27C7DE70"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39AD38CB" w14:textId="449BEBFC"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Ensuite, les mesures non-conventionnelles créent des gagnant∙e∙s et des perdant∙e∙s parmi les acteurs financiers et économiques. Ainsi, les rachats de titre et la politique de taux bas nuisent aux investisseurs « patients » tels que les banques de dépôt ou les fonds de pension qui doivent détenir dans leurs bilans un certain nombre d’actifs financiers sûrs dont la rentabilité a été diminuée. Par ailleurs, le programme de rachat d’obligations d’entreprises mis en œuvre par la BCE depuis juin 2016 favorise les entreprises qui en sont bénéficiaires. En effet, celles-ci payent moins d’intérêt à leurs créanciers tout en pouvant émettre plus de dettes à moindre coût. L’émission d’obligations étant une opération financière technique et coûteuse, seules les grandes entreprises multinationales sont concernées par ces rachats. Parmi celles-ci se trouvent notamment les entreprises liées au secteur du gaz et de l’électricité, des énergies fossiles, de l’industrie automobile et des télécoms</w:t>
      </w:r>
      <w:r>
        <w:rPr>
          <w:rStyle w:val="Appelnotedebasdep"/>
          <w:rFonts w:asciiTheme="majorHAnsi" w:hAnsiTheme="majorHAnsi" w:cs="Times New Roman"/>
          <w:sz w:val="24"/>
          <w:szCs w:val="24"/>
          <w:lang w:val="fr-FR"/>
        </w:rPr>
        <w:footnoteReference w:id="42"/>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Par exemple, le groupe Volkswagen, qui avait dû cesser ses émissions d’obligations suite à la révélation d’un scandale industriel en septembre 2015, a pu retourner sur les marchés grâce à son inclusion dans le programme de la BCE.</w:t>
      </w:r>
    </w:p>
    <w:p w14:paraId="45688FE0"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57644CD4" w14:textId="58C99515"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Enfin, les programmes de rachats de titres de la BCE engendrent des inégalités de richesse, car ils entraînent une hausse des cours boursiers qui bénéficie d’abord aux ménages qui possèdent déjà des titres financiers, soit ceux qui sont déjà les plus privilégiés dans la société</w:t>
      </w:r>
      <w:r>
        <w:rPr>
          <w:rStyle w:val="Appelnotedebasdep"/>
          <w:rFonts w:asciiTheme="majorHAnsi" w:hAnsiTheme="majorHAnsi" w:cs="Times New Roman"/>
          <w:sz w:val="24"/>
          <w:szCs w:val="24"/>
          <w:lang w:val="fr-FR"/>
        </w:rPr>
        <w:footnoteReference w:id="43"/>
      </w:r>
      <w:r w:rsidRPr="004623C6">
        <w:rPr>
          <w:rFonts w:asciiTheme="majorHAnsi" w:hAnsiTheme="majorHAnsi" w:cs="Times New Roman"/>
          <w:sz w:val="24"/>
          <w:szCs w:val="24"/>
          <w:lang w:val="fr-FR"/>
        </w:rPr>
        <w:t>. Au-delà de la distribution entre les classes sociales, ces programmes creusent également les inégalités de richesse entre les sexes, dans la mesure où ils bénéficient davantage aux hommes qu’aux femmes, celles-ci détenant en moyenne moins d’actifs financiers</w:t>
      </w:r>
      <w:r>
        <w:rPr>
          <w:rStyle w:val="Appelnotedebasdep"/>
          <w:rFonts w:asciiTheme="majorHAnsi" w:hAnsiTheme="majorHAnsi" w:cs="Times New Roman"/>
          <w:sz w:val="24"/>
          <w:szCs w:val="24"/>
          <w:lang w:val="fr-FR"/>
        </w:rPr>
        <w:footnoteReference w:id="44"/>
      </w:r>
      <w:r w:rsidRPr="004623C6">
        <w:rPr>
          <w:rFonts w:asciiTheme="majorHAnsi" w:hAnsiTheme="majorHAnsi" w:cs="Times New Roman"/>
          <w:sz w:val="24"/>
          <w:szCs w:val="24"/>
          <w:lang w:val="fr-FR"/>
        </w:rPr>
        <w:t xml:space="preserve">. </w:t>
      </w:r>
    </w:p>
    <w:p w14:paraId="3DE453A8"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7B6A2A6C" w14:textId="79E8BE34"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Au-delà des controverses liées au changement d’instruments monétaires, la BCE a aussi radicalement étendu son influence sur la définition des politiques économiques de l’UE par la conditionnalité de son assistance financière et sa participation aux groupes d’expert∙e∙s de la Troïka envoyés dans les pays en difficulté financière</w:t>
      </w:r>
      <w:r>
        <w:rPr>
          <w:rStyle w:val="Appelnotedebasdep"/>
          <w:rFonts w:asciiTheme="majorHAnsi" w:hAnsiTheme="majorHAnsi" w:cs="Times New Roman"/>
          <w:sz w:val="24"/>
          <w:szCs w:val="24"/>
          <w:lang w:val="fr-FR"/>
        </w:rPr>
        <w:footnoteReference w:id="45"/>
      </w:r>
      <w:r w:rsidRPr="004623C6">
        <w:rPr>
          <w:rFonts w:asciiTheme="majorHAnsi" w:hAnsiTheme="majorHAnsi" w:cs="Times New Roman"/>
          <w:sz w:val="24"/>
          <w:szCs w:val="24"/>
          <w:lang w:val="fr-FR"/>
        </w:rPr>
        <w:t xml:space="preserve">. Les banquiers centraux ont aussi gagné des compétences de supervision financière sur l’ensemble du secteur bancaire de la zone euro. </w:t>
      </w:r>
    </w:p>
    <w:p w14:paraId="32EA5BA2"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3CA2CFE" w14:textId="07C263F9"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En résumé, avant la crise, les politiques menées par la BCE étaient perçues comme apolitiques, car elles consistaient à atteindre un objectif restreint à la stabilité des prix en influençant l’activité économique à distance par la manipulation de taux d’intérêt. Depuis le début de la crise, les activités de la BCE sont marquées par une dimension politique indéniable : ses politiques monétaires ont des conséquences distributives marquées et ses compétences et son influence se sont étendues bien au-delà de ses responsabilités initiales. </w:t>
      </w:r>
    </w:p>
    <w:p w14:paraId="5E2CEFA0"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7CF1C7C7" w14:textId="28A10C15" w:rsidR="00997282" w:rsidRPr="00FC7258" w:rsidRDefault="00997282">
      <w:pPr>
        <w:spacing w:after="0" w:line="360" w:lineRule="auto"/>
        <w:contextualSpacing/>
        <w:jc w:val="both"/>
        <w:rPr>
          <w:rFonts w:asciiTheme="majorHAnsi" w:hAnsiTheme="majorHAnsi" w:cs="Times New Roman"/>
          <w:b/>
          <w:sz w:val="28"/>
          <w:szCs w:val="28"/>
          <w:lang w:val="fr-FR"/>
        </w:rPr>
      </w:pPr>
      <w:r w:rsidRPr="00FC7258">
        <w:rPr>
          <w:rFonts w:asciiTheme="majorHAnsi" w:hAnsiTheme="majorHAnsi" w:cs="Times New Roman"/>
          <w:b/>
          <w:sz w:val="28"/>
          <w:szCs w:val="28"/>
          <w:lang w:val="fr-FR"/>
        </w:rPr>
        <w:t>2. Re-politisation des enjeux monétaires et autonomie persistante de la BCE</w:t>
      </w:r>
    </w:p>
    <w:p w14:paraId="628A2AC1"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9972BEA" w14:textId="515BC08C"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Cette deuxième partie expose la tension existante entre la re-politisation des questions monétaires et l’autonomie persistante de la BCE. Malgré la plus grande saillance des questions monétaires, la polarisation des opinions et l’apparition de nouveaux acteurs surveillant les activités de la BCE, les contrôles politiques sur cette dernière n’ont pas été renforcés de manière significative. Afin d’explorer cette tension, il est utile d’énumérer les formes de contrôle politique sur les activités de la BCE. D’abord le contrôle politique est judiciaire quand les cours constitutionnelles nationales et la CJUE effectuent un contrôle</w:t>
      </w:r>
      <w:r w:rsidRPr="004623C6">
        <w:rPr>
          <w:rFonts w:asciiTheme="majorHAnsi" w:hAnsiTheme="majorHAnsi" w:cs="Times New Roman"/>
          <w:i/>
          <w:sz w:val="24"/>
          <w:szCs w:val="24"/>
          <w:lang w:val="fr-FR"/>
        </w:rPr>
        <w:t xml:space="preserve"> ex-post</w:t>
      </w:r>
      <w:r w:rsidRPr="004623C6">
        <w:rPr>
          <w:rFonts w:asciiTheme="majorHAnsi" w:hAnsiTheme="majorHAnsi" w:cs="Times New Roman"/>
          <w:sz w:val="24"/>
          <w:szCs w:val="24"/>
          <w:lang w:val="fr-FR"/>
        </w:rPr>
        <w:t xml:space="preserve"> de la légalité des politiques de la BCE. De plus, le Conseil européen et les gouvernements nationaux ont le pouvoir de nommer les membres du directoire et du Conseil des gouverneurs de la BCE. Enfin, les banquiers centraux font un exercice de « reddition de compte » devant le Parlement européen et, plus rarement, devant les parlements nationaux.</w:t>
      </w:r>
    </w:p>
    <w:p w14:paraId="355B7AF9"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118964B2" w14:textId="7D154EC2" w:rsidR="00997282" w:rsidRPr="00FC7258" w:rsidRDefault="00997282">
      <w:pPr>
        <w:spacing w:after="0" w:line="360" w:lineRule="auto"/>
        <w:contextualSpacing/>
        <w:jc w:val="both"/>
        <w:rPr>
          <w:rFonts w:asciiTheme="majorHAnsi" w:hAnsiTheme="majorHAnsi" w:cs="Times New Roman"/>
          <w:b/>
          <w:i/>
          <w:sz w:val="24"/>
          <w:szCs w:val="24"/>
          <w:lang w:val="fr-FR"/>
        </w:rPr>
      </w:pPr>
      <w:r w:rsidRPr="00FC7258">
        <w:rPr>
          <w:rFonts w:asciiTheme="majorHAnsi" w:hAnsiTheme="majorHAnsi" w:cs="Times New Roman"/>
          <w:b/>
          <w:i/>
          <w:sz w:val="24"/>
          <w:szCs w:val="24"/>
          <w:lang w:val="fr-FR"/>
        </w:rPr>
        <w:t>La judiciarisation des enjeux monétaires</w:t>
      </w:r>
    </w:p>
    <w:p w14:paraId="5EE8CA04"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7BECBD62" w14:textId="0F255ECA" w:rsidR="00997282" w:rsidRPr="004623C6" w:rsidRDefault="00997282" w:rsidP="003F181C">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Le </w:t>
      </w:r>
      <w:r>
        <w:rPr>
          <w:rFonts w:asciiTheme="majorHAnsi" w:hAnsiTheme="majorHAnsi" w:cs="Times New Roman"/>
          <w:sz w:val="24"/>
          <w:szCs w:val="24"/>
          <w:lang w:val="fr-FR"/>
        </w:rPr>
        <w:t>t</w:t>
      </w:r>
      <w:r w:rsidRPr="004623C6">
        <w:rPr>
          <w:rFonts w:asciiTheme="majorHAnsi" w:hAnsiTheme="majorHAnsi" w:cs="Times New Roman"/>
          <w:sz w:val="24"/>
          <w:szCs w:val="24"/>
          <w:lang w:val="fr-FR"/>
        </w:rPr>
        <w:t xml:space="preserve">raité sur le fonctionnement de l’Union européenne (TFUE) définit les compétences et les limites de l’action de la BCE. La manière la plus coercitive de regagner du contrôle politique sur la BCE consiste à changer les traités faisant office d’acte de délégation.  Cependant, le nombre élevé de </w:t>
      </w:r>
      <w:r w:rsidRPr="004623C6">
        <w:rPr>
          <w:rFonts w:asciiTheme="majorHAnsi" w:hAnsiTheme="majorHAnsi" w:cs="Times New Roman"/>
          <w:i/>
          <w:sz w:val="24"/>
          <w:szCs w:val="24"/>
          <w:lang w:val="fr-FR"/>
        </w:rPr>
        <w:t>veto players</w:t>
      </w:r>
      <w:r w:rsidRPr="004623C6">
        <w:rPr>
          <w:rFonts w:asciiTheme="majorHAnsi" w:hAnsiTheme="majorHAnsi" w:cs="Times New Roman"/>
          <w:sz w:val="24"/>
          <w:szCs w:val="24"/>
          <w:lang w:val="fr-FR"/>
        </w:rPr>
        <w:t xml:space="preserve"> rend cette option difficile : le TFUE est un traité international qui ne peut être amendé que par une majorité absolue de l’ensemble des États qui composent l’Union </w:t>
      </w:r>
      <w:r>
        <w:rPr>
          <w:rFonts w:asciiTheme="majorHAnsi" w:hAnsiTheme="majorHAnsi" w:cs="Times New Roman"/>
          <w:sz w:val="24"/>
          <w:szCs w:val="24"/>
          <w:lang w:val="fr-FR"/>
        </w:rPr>
        <w:t>e</w:t>
      </w:r>
      <w:r w:rsidRPr="004623C6">
        <w:rPr>
          <w:rFonts w:asciiTheme="majorHAnsi" w:hAnsiTheme="majorHAnsi" w:cs="Times New Roman"/>
          <w:sz w:val="24"/>
          <w:szCs w:val="24"/>
          <w:lang w:val="fr-FR"/>
        </w:rPr>
        <w:t xml:space="preserve">uropéenne (UE). Le changement de traité est une procédure longue et politiquement coûteuse. La dernière révision des traités européens signée à Lisbonne en décembre 2009 n’a pas eu d’impact substantiel sur les activités de la BCE, qui restent encadrées par les termes définis lors de la signature du traité de Maastricht en 1992. </w:t>
      </w:r>
    </w:p>
    <w:p w14:paraId="0AB55937"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3EEC5301" w14:textId="675960F2" w:rsidR="00997282"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Dans ce contexte, les acteurs sociaux et politiques contestant les mesures de la BCE ont engagé des recours devant les cours de justice nationales qui disposent du pouvoir d’effectuer un contrôle en légalité des politiques de la BCE. Ces contestations sont les premières formes de judiciarisation des politiques monétaires depuis la création de la BCE. La judiciarisation signifie que les acteurs politiques et sociétaux mobilisent les cours de justice et les instruments juridiques afin de résoudre des questions de politiques publiques ou des controverses politiques</w:t>
      </w:r>
      <w:r>
        <w:rPr>
          <w:rStyle w:val="Appelnotedebasdep"/>
          <w:rFonts w:asciiTheme="majorHAnsi" w:hAnsiTheme="majorHAnsi" w:cs="Times New Roman"/>
          <w:sz w:val="24"/>
          <w:szCs w:val="24"/>
          <w:lang w:val="fr-FR"/>
        </w:rPr>
        <w:footnoteReference w:id="46"/>
      </w:r>
      <w:r w:rsidRPr="004623C6">
        <w:rPr>
          <w:rFonts w:asciiTheme="majorHAnsi" w:hAnsiTheme="majorHAnsi" w:cs="Times New Roman"/>
          <w:sz w:val="24"/>
          <w:szCs w:val="24"/>
          <w:lang w:val="fr-FR"/>
        </w:rPr>
        <w:t>.</w:t>
      </w:r>
      <w:r>
        <w:rPr>
          <w:rFonts w:asciiTheme="majorHAnsi" w:hAnsiTheme="majorHAnsi" w:cs="Times New Roman"/>
          <w:sz w:val="24"/>
          <w:szCs w:val="24"/>
          <w:lang w:val="fr-FR"/>
        </w:rPr>
        <w:t xml:space="preserve"> Les acteurs centraux de ce processus de judiciarisation sont des véritables « entrepreneurs de la cause anti-européenne » mobilisés en Allemagne depuis l’accélération de l’intégration européenne au début des années 1990</w:t>
      </w:r>
      <w:r>
        <w:rPr>
          <w:rStyle w:val="Appelnotedebasdep"/>
          <w:rFonts w:asciiTheme="majorHAnsi" w:hAnsiTheme="majorHAnsi" w:cs="Times New Roman"/>
          <w:sz w:val="24"/>
          <w:szCs w:val="24"/>
          <w:lang w:val="fr-FR"/>
        </w:rPr>
        <w:footnoteReference w:id="47"/>
      </w:r>
      <w:r>
        <w:rPr>
          <w:rFonts w:asciiTheme="majorHAnsi" w:hAnsiTheme="majorHAnsi" w:cs="Times New Roman"/>
          <w:sz w:val="24"/>
          <w:szCs w:val="24"/>
          <w:lang w:val="fr-FR"/>
        </w:rPr>
        <w:t>. On retrouve des députés allemands appartenant à l’aile conservatrice du CDU et des professeurs d’économie et de droit qui avaient déjà fait preuve d’un activisme judiciaire lors de la signature des traités de Maastricht et de Lisbonne et du traité de projet constitutionnelle, ainsi qu’un avocat spécialisés dans la contestation judiciaires des programmes économiques de l’UE</w:t>
      </w:r>
      <w:r>
        <w:rPr>
          <w:rStyle w:val="Appelnotedebasdep"/>
          <w:rFonts w:asciiTheme="majorHAnsi" w:hAnsiTheme="majorHAnsi" w:cs="Times New Roman"/>
          <w:sz w:val="24"/>
          <w:szCs w:val="24"/>
          <w:lang w:val="fr-FR"/>
        </w:rPr>
        <w:footnoteReference w:id="48"/>
      </w:r>
      <w:r>
        <w:rPr>
          <w:rFonts w:asciiTheme="majorHAnsi" w:hAnsiTheme="majorHAnsi" w:cs="Times New Roman"/>
          <w:sz w:val="24"/>
          <w:szCs w:val="24"/>
          <w:lang w:val="fr-FR"/>
        </w:rPr>
        <w:t xml:space="preserve">. </w:t>
      </w:r>
      <w:r>
        <w:rPr>
          <w:rFonts w:asciiTheme="majorHAnsi" w:hAnsiTheme="majorHAnsi" w:cs="Times New Roman"/>
          <w:sz w:val="24"/>
          <w:szCs w:val="24"/>
          <w:lang w:val="fr-FR"/>
        </w:rPr>
        <w:lastRenderedPageBreak/>
        <w:t>Ceux-ci ont déposés des plaintes pour chaque programme de rachat de titre de la BCE devant les cours constitutionnelles européennes et allemandes</w:t>
      </w:r>
      <w:r>
        <w:rPr>
          <w:rStyle w:val="Appelnotedebasdep"/>
          <w:rFonts w:asciiTheme="majorHAnsi" w:hAnsiTheme="majorHAnsi" w:cs="Times New Roman"/>
          <w:sz w:val="24"/>
          <w:szCs w:val="24"/>
          <w:lang w:val="fr-FR"/>
        </w:rPr>
        <w:footnoteReference w:id="49"/>
      </w:r>
      <w:r>
        <w:rPr>
          <w:rFonts w:asciiTheme="majorHAnsi" w:hAnsiTheme="majorHAnsi" w:cs="Times New Roman"/>
          <w:sz w:val="24"/>
          <w:szCs w:val="24"/>
          <w:lang w:val="fr-FR"/>
        </w:rPr>
        <w:t xml:space="preserve">.   </w:t>
      </w:r>
    </w:p>
    <w:p w14:paraId="0E1D7AA1" w14:textId="77777777" w:rsidR="00997282" w:rsidRDefault="00997282">
      <w:pPr>
        <w:spacing w:after="0" w:line="360" w:lineRule="auto"/>
        <w:contextualSpacing/>
        <w:jc w:val="both"/>
        <w:rPr>
          <w:rFonts w:asciiTheme="majorHAnsi" w:hAnsiTheme="majorHAnsi" w:cs="Times New Roman"/>
          <w:sz w:val="24"/>
          <w:szCs w:val="24"/>
          <w:lang w:val="fr-FR"/>
        </w:rPr>
      </w:pPr>
    </w:p>
    <w:p w14:paraId="6C4383E1" w14:textId="36AE32B1" w:rsidR="00997282" w:rsidRPr="004623C6" w:rsidRDefault="00997282">
      <w:pPr>
        <w:spacing w:after="0" w:line="360" w:lineRule="auto"/>
        <w:contextualSpacing/>
        <w:jc w:val="both"/>
        <w:rPr>
          <w:rFonts w:asciiTheme="majorHAnsi" w:hAnsiTheme="majorHAnsi" w:cs="Times New Roman"/>
          <w:sz w:val="24"/>
          <w:szCs w:val="24"/>
          <w:lang w:val="fr-FR"/>
        </w:rPr>
      </w:pP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L</w:t>
      </w:r>
      <w:r>
        <w:rPr>
          <w:rFonts w:asciiTheme="majorHAnsi" w:hAnsiTheme="majorHAnsi" w:cs="Times New Roman"/>
          <w:sz w:val="24"/>
          <w:szCs w:val="24"/>
          <w:lang w:val="fr-FR"/>
        </w:rPr>
        <w:t>’</w:t>
      </w:r>
      <w:r w:rsidRPr="004623C6">
        <w:rPr>
          <w:rFonts w:asciiTheme="majorHAnsi" w:hAnsiTheme="majorHAnsi" w:cs="Times New Roman"/>
          <w:sz w:val="24"/>
          <w:szCs w:val="24"/>
          <w:lang w:val="fr-FR"/>
        </w:rPr>
        <w:t xml:space="preserve">acte faisant jurisprudence en la question est l’arrêt Gauweiler qui a impliqué la Cour constitutionnelle allemande et la CJUE. En 2012, </w:t>
      </w:r>
      <w:r>
        <w:rPr>
          <w:rFonts w:asciiTheme="majorHAnsi" w:hAnsiTheme="majorHAnsi" w:cs="Times New Roman"/>
          <w:sz w:val="24"/>
          <w:szCs w:val="24"/>
          <w:lang w:val="fr-FR"/>
        </w:rPr>
        <w:t>le groupe d’activistes judiciaires s’associe à 35 </w:t>
      </w:r>
      <w:r w:rsidRPr="004623C6">
        <w:rPr>
          <w:rFonts w:asciiTheme="majorHAnsi" w:hAnsiTheme="majorHAnsi" w:cs="Times New Roman"/>
          <w:sz w:val="24"/>
          <w:szCs w:val="24"/>
          <w:lang w:val="fr-FR"/>
        </w:rPr>
        <w:t>000 citoyen∙ne∙s allemand∙e∙s</w:t>
      </w:r>
      <w:r>
        <w:rPr>
          <w:rFonts w:asciiTheme="majorHAnsi" w:hAnsiTheme="majorHAnsi" w:cs="Times New Roman"/>
          <w:sz w:val="24"/>
          <w:szCs w:val="24"/>
          <w:lang w:val="fr-FR"/>
        </w:rPr>
        <w:t xml:space="preserve"> dont</w:t>
      </w:r>
      <w:r w:rsidRPr="004623C6">
        <w:rPr>
          <w:rFonts w:asciiTheme="majorHAnsi" w:hAnsiTheme="majorHAnsi" w:cs="Times New Roman"/>
          <w:sz w:val="24"/>
          <w:szCs w:val="24"/>
          <w:lang w:val="fr-FR"/>
        </w:rPr>
        <w:t xml:space="preserve"> </w:t>
      </w:r>
      <w:r w:rsidRPr="004623C6">
        <w:rPr>
          <w:rFonts w:asciiTheme="majorHAnsi" w:hAnsiTheme="majorHAnsi" w:cs="Times New Roman"/>
          <w:sz w:val="24"/>
          <w:szCs w:val="24"/>
          <w:lang w:val="fr-BE"/>
        </w:rPr>
        <w:t>Herta Däubler-Gmelin membre de</w:t>
      </w:r>
      <w:r w:rsidRPr="004623C6">
        <w:rPr>
          <w:rFonts w:asciiTheme="majorHAnsi" w:hAnsiTheme="majorHAnsi" w:cs="Times New Roman"/>
          <w:sz w:val="24"/>
          <w:szCs w:val="24"/>
          <w:lang w:val="fr-FR"/>
        </w:rPr>
        <w:t xml:space="preserve"> l’association « </w:t>
      </w:r>
      <w:r w:rsidRPr="004623C6">
        <w:rPr>
          <w:rFonts w:asciiTheme="majorHAnsi" w:hAnsiTheme="majorHAnsi" w:cs="Times New Roman"/>
          <w:i/>
          <w:sz w:val="24"/>
          <w:szCs w:val="24"/>
          <w:lang w:val="fr-FR"/>
        </w:rPr>
        <w:t>Mehr Demokratie</w:t>
      </w:r>
      <w:r w:rsidRPr="004623C6">
        <w:rPr>
          <w:rFonts w:asciiTheme="majorHAnsi" w:hAnsiTheme="majorHAnsi" w:cs="Times New Roman"/>
          <w:sz w:val="24"/>
          <w:szCs w:val="24"/>
          <w:lang w:val="fr-FR"/>
        </w:rPr>
        <w:t xml:space="preserve"> » et ancienne ministre de la justice du SPD, et des membres de </w:t>
      </w:r>
      <w:r w:rsidRPr="004623C6">
        <w:rPr>
          <w:rFonts w:asciiTheme="majorHAnsi" w:hAnsiTheme="majorHAnsi" w:cs="Times New Roman"/>
          <w:i/>
          <w:sz w:val="24"/>
          <w:szCs w:val="24"/>
          <w:lang w:val="fr-FR"/>
        </w:rPr>
        <w:t>Die Linke</w:t>
      </w:r>
      <w:r w:rsidRPr="004623C6">
        <w:rPr>
          <w:rFonts w:asciiTheme="majorHAnsi" w:hAnsiTheme="majorHAnsi" w:cs="Times New Roman"/>
          <w:sz w:val="24"/>
          <w:szCs w:val="24"/>
          <w:lang w:val="fr-FR"/>
        </w:rPr>
        <w:t xml:space="preserve">, le parti allemand de gauche radicale, </w:t>
      </w:r>
      <w:r>
        <w:rPr>
          <w:rFonts w:asciiTheme="majorHAnsi" w:hAnsiTheme="majorHAnsi" w:cs="Times New Roman"/>
          <w:sz w:val="24"/>
          <w:szCs w:val="24"/>
          <w:lang w:val="fr-FR"/>
        </w:rPr>
        <w:t>pour</w:t>
      </w:r>
      <w:r w:rsidRPr="004623C6">
        <w:rPr>
          <w:rFonts w:asciiTheme="majorHAnsi" w:hAnsiTheme="majorHAnsi" w:cs="Times New Roman"/>
          <w:sz w:val="24"/>
          <w:szCs w:val="24"/>
          <w:lang w:val="fr-FR"/>
        </w:rPr>
        <w:t xml:space="preserve"> dépos</w:t>
      </w:r>
      <w:r>
        <w:rPr>
          <w:rFonts w:asciiTheme="majorHAnsi" w:hAnsiTheme="majorHAnsi" w:cs="Times New Roman"/>
          <w:sz w:val="24"/>
          <w:szCs w:val="24"/>
          <w:lang w:val="fr-FR"/>
        </w:rPr>
        <w:t>er</w:t>
      </w:r>
      <w:r w:rsidRPr="004623C6">
        <w:rPr>
          <w:rFonts w:asciiTheme="majorHAnsi" w:hAnsiTheme="majorHAnsi" w:cs="Times New Roman"/>
          <w:sz w:val="24"/>
          <w:szCs w:val="24"/>
          <w:lang w:val="fr-FR"/>
        </w:rPr>
        <w:t xml:space="preserve"> une plainte auprès de la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our constitutionnelle allemande portant sur la légalité du programme de rachat de titres OMT (</w:t>
      </w:r>
      <w:r w:rsidRPr="004623C6">
        <w:rPr>
          <w:rFonts w:asciiTheme="majorHAnsi" w:hAnsiTheme="majorHAnsi" w:cs="Times New Roman"/>
          <w:i/>
          <w:sz w:val="24"/>
          <w:szCs w:val="24"/>
          <w:lang w:val="fr-FR"/>
        </w:rPr>
        <w:t>Outrights Monetary Transactions</w:t>
      </w:r>
      <w:r w:rsidRPr="004623C6">
        <w:rPr>
          <w:rFonts w:asciiTheme="majorHAnsi" w:hAnsiTheme="majorHAnsi" w:cs="Times New Roman"/>
          <w:sz w:val="24"/>
          <w:szCs w:val="24"/>
          <w:lang w:val="fr-FR"/>
        </w:rPr>
        <w:t xml:space="preserve">) de la BCE.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e recours a été un des actes fondateurs du parti politique d’extrême droite </w:t>
      </w:r>
      <w:r w:rsidRPr="004623C6">
        <w:rPr>
          <w:rFonts w:asciiTheme="majorHAnsi" w:hAnsiTheme="majorHAnsi" w:cs="Times New Roman"/>
          <w:i/>
          <w:sz w:val="24"/>
          <w:szCs w:val="24"/>
          <w:lang w:val="fr-FR"/>
        </w:rPr>
        <w:t>Alternative für Deutschland</w:t>
      </w:r>
      <w:r w:rsidRPr="004623C6">
        <w:rPr>
          <w:rFonts w:asciiTheme="majorHAnsi" w:hAnsiTheme="majorHAnsi" w:cs="Times New Roman"/>
          <w:sz w:val="24"/>
          <w:szCs w:val="24"/>
          <w:lang w:val="fr-FR"/>
        </w:rPr>
        <w:t xml:space="preserve"> (AfD) dont la montée en puissance électorale bouleverse aujourd’hui l’échiquier politique allemand. Si les bons résultats électoraux de ce parti s’expliquent d’abord par ses prises de position en matière migratoire, ses contestations de la gouvernance économique européenne et des politiques de la BCE sont partie intégrante de sa stratégie partisane et électorale</w:t>
      </w:r>
      <w:r>
        <w:rPr>
          <w:rStyle w:val="Appelnotedebasdep"/>
          <w:rFonts w:asciiTheme="majorHAnsi" w:hAnsiTheme="majorHAnsi" w:cs="Times New Roman"/>
          <w:sz w:val="24"/>
          <w:szCs w:val="24"/>
          <w:lang w:val="fr-FR"/>
        </w:rPr>
        <w:footnoteReference w:id="50"/>
      </w:r>
      <w:r w:rsidRPr="004623C6">
        <w:rPr>
          <w:rFonts w:asciiTheme="majorHAnsi" w:hAnsiTheme="majorHAnsi" w:cs="Times New Roman"/>
          <w:sz w:val="24"/>
          <w:szCs w:val="24"/>
          <w:lang w:val="fr-FR"/>
        </w:rPr>
        <w:t xml:space="preserve">. </w:t>
      </w:r>
    </w:p>
    <w:p w14:paraId="06C5E6A8"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A2C5B82" w14:textId="5828E58E"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Ensuite, la Cour constitutionnelle allemande a renvoyé l’affaire à la CJUE tout en montrant qu’elle estimait que le programme OMT était illégal, du fait de ses implications économiques et du dépassement du rôle de la BCE fixé par les traités. Cependant, dans sa requête préliminaire, la Cour allemande indiqua aussi une voie de sortie à la CJUE en spécifiant que le programme de la BCE pouvait être légal s’il respectait certaines conditions dans sa mise en œuvre. Ce jugement est un signal fort de la Cour allemande qui effectuait là son premier renvoi préjudiciel devant la CJUE de son histoire</w:t>
      </w:r>
      <w:r w:rsidRPr="004623C6">
        <w:rPr>
          <w:rStyle w:val="Appelnotedebasdep"/>
          <w:rFonts w:asciiTheme="majorHAnsi" w:hAnsiTheme="majorHAnsi" w:cs="Times New Roman"/>
          <w:sz w:val="24"/>
          <w:szCs w:val="24"/>
          <w:lang w:val="fr-FR"/>
        </w:rPr>
        <w:footnoteReference w:id="51"/>
      </w:r>
      <w:r w:rsidRPr="004623C6">
        <w:rPr>
          <w:rFonts w:asciiTheme="majorHAnsi" w:hAnsiTheme="majorHAnsi" w:cs="Times New Roman"/>
          <w:sz w:val="24"/>
          <w:szCs w:val="24"/>
          <w:lang w:val="fr-FR"/>
        </w:rPr>
        <w:t xml:space="preserve">. Dans une opinion préliminaire de janvier 2015, un avocat général de la CJUE estime le programme légal, mais précise aussi que « le rôle significatif » joué par la BCE dans la conception, </w:t>
      </w:r>
      <w:r w:rsidRPr="004623C6">
        <w:rPr>
          <w:rFonts w:asciiTheme="majorHAnsi" w:hAnsiTheme="majorHAnsi" w:cs="Times New Roman"/>
          <w:sz w:val="24"/>
          <w:szCs w:val="24"/>
          <w:lang w:val="fr-FR"/>
        </w:rPr>
        <w:lastRenderedPageBreak/>
        <w:t>l’adoption et la surveillance des programmes d’assistance fi</w:t>
      </w:r>
      <w:r>
        <w:rPr>
          <w:rFonts w:asciiTheme="majorHAnsi" w:hAnsiTheme="majorHAnsi" w:cs="Times New Roman"/>
          <w:sz w:val="24"/>
          <w:szCs w:val="24"/>
          <w:lang w:val="fr-FR"/>
        </w:rPr>
        <w:t>nancière (c’est-à-</w:t>
      </w:r>
      <w:r w:rsidRPr="004623C6">
        <w:rPr>
          <w:rFonts w:asciiTheme="majorHAnsi" w:hAnsiTheme="majorHAnsi" w:cs="Times New Roman"/>
          <w:sz w:val="24"/>
          <w:szCs w:val="24"/>
          <w:lang w:val="fr-FR"/>
        </w:rPr>
        <w:t>dire dans la Troïka) brouille la distinction entre politiques fiscales et monétaires. P</w:t>
      </w:r>
      <w:r>
        <w:rPr>
          <w:rFonts w:asciiTheme="majorHAnsi" w:hAnsiTheme="majorHAnsi" w:cs="Times New Roman"/>
          <w:sz w:val="24"/>
          <w:szCs w:val="24"/>
          <w:lang w:val="fr-FR"/>
        </w:rPr>
        <w:t>ar conséquent, il serait « </w:t>
      </w:r>
      <w:r w:rsidRPr="004623C6">
        <w:rPr>
          <w:rFonts w:asciiTheme="majorHAnsi" w:hAnsiTheme="majorHAnsi" w:cs="Times New Roman"/>
          <w:sz w:val="24"/>
          <w:szCs w:val="24"/>
          <w:lang w:val="fr-FR"/>
        </w:rPr>
        <w:t>fondamental » qu’elle s’abstienne d’y participer directement</w:t>
      </w:r>
      <w:r w:rsidRPr="004623C6">
        <w:rPr>
          <w:rStyle w:val="Appelnotedebasdep"/>
          <w:rFonts w:asciiTheme="majorHAnsi" w:hAnsiTheme="majorHAnsi" w:cs="Times New Roman"/>
          <w:sz w:val="24"/>
          <w:szCs w:val="24"/>
          <w:lang w:val="fr-FR"/>
        </w:rPr>
        <w:footnoteReference w:id="52"/>
      </w:r>
      <w:r w:rsidRPr="004623C6">
        <w:rPr>
          <w:rFonts w:asciiTheme="majorHAnsi" w:hAnsiTheme="majorHAnsi" w:cs="Times New Roman"/>
          <w:sz w:val="24"/>
          <w:szCs w:val="24"/>
          <w:lang w:val="fr-FR"/>
        </w:rPr>
        <w:t>.</w:t>
      </w:r>
    </w:p>
    <w:p w14:paraId="059E8094"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489CCFB3" w14:textId="3AE175EC"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Cependant, dans sa décision de juin 2015, la CJUE a estimé que l’OMT était compatible avec le mandat de la BCE, à condition de respecter les limites fixées par la Cour allemande, que la BCE avait déjà internalisées</w:t>
      </w:r>
      <w:r w:rsidRPr="00DA24D6">
        <w:rPr>
          <w:rStyle w:val="Appelnotedebasdep"/>
          <w:rFonts w:asciiTheme="majorHAnsi" w:hAnsiTheme="majorHAnsi" w:cs="Times New Roman"/>
          <w:sz w:val="24"/>
          <w:szCs w:val="24"/>
          <w:highlight w:val="yellow"/>
          <w:lang w:val="fr-FR"/>
        </w:rPr>
        <w:footnoteReference w:id="53"/>
      </w:r>
      <w:r w:rsidRPr="00DA24D6">
        <w:rPr>
          <w:rFonts w:asciiTheme="majorHAnsi" w:hAnsiTheme="majorHAnsi" w:cs="Times New Roman"/>
          <w:sz w:val="24"/>
          <w:szCs w:val="24"/>
          <w:highlight w:val="yellow"/>
          <w:lang w:val="fr-FR"/>
        </w:rPr>
        <w:t>.</w:t>
      </w:r>
      <w:r w:rsidRPr="004623C6">
        <w:rPr>
          <w:rFonts w:asciiTheme="majorHAnsi" w:hAnsiTheme="majorHAnsi" w:cs="Times New Roman"/>
          <w:sz w:val="24"/>
          <w:szCs w:val="24"/>
          <w:lang w:val="fr-FR"/>
        </w:rPr>
        <w:t xml:space="preserve"> Par ailleurs, la CJUE n’a pas retenu l’opinion de son avocat général sur la nécessite pour la BCE de se retirer de la Troïka. Les commentaires juridiques soulignent que l’absence d’analyse substantielle du concept d’indépendance de la BCE et des effets de ses instruments monétaires dans le jugement de la CJUE empêche tout contrôle légal significatif de ses activités</w:t>
      </w:r>
      <w:r>
        <w:rPr>
          <w:rStyle w:val="Appelnotedebasdep"/>
          <w:rFonts w:asciiTheme="majorHAnsi" w:hAnsiTheme="majorHAnsi" w:cs="Times New Roman"/>
          <w:sz w:val="24"/>
          <w:szCs w:val="24"/>
          <w:lang w:val="fr-FR"/>
        </w:rPr>
        <w:footnoteReference w:id="54"/>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xml:space="preserve">En d’autres mots, en faisant preuve de retenue judiciaire, la CJUE renforce significativement le pouvoir discrétionnaire de la BCE, car elle lui permet, sauf erreurs manifestes, d’interpréter son propre mandat et de juger par elle-même de la conformité légale de ses instruments monétaires. </w:t>
      </w:r>
    </w:p>
    <w:p w14:paraId="20F32399" w14:textId="5B9C9321" w:rsidR="00997282" w:rsidRPr="004623C6" w:rsidRDefault="00997282">
      <w:pPr>
        <w:spacing w:after="0" w:line="360" w:lineRule="auto"/>
        <w:contextualSpacing/>
        <w:jc w:val="both"/>
        <w:rPr>
          <w:rFonts w:asciiTheme="majorHAnsi" w:hAnsiTheme="majorHAnsi" w:cs="Times New Roman"/>
          <w:sz w:val="24"/>
          <w:szCs w:val="24"/>
          <w:lang w:val="fr-FR"/>
        </w:rPr>
      </w:pPr>
    </w:p>
    <w:p w14:paraId="42ACFECC" w14:textId="641471D3"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 juin 2016, la Cour constitutionnelle allemande a accepté de se conformer à la décision de la CJUE  pour des raisons de hiérarchie juridique entre les deux cours, tout en critiquant sévèrement le traitement de l’affaire par la CJUE</w:t>
      </w:r>
      <w:r w:rsidRPr="004623C6">
        <w:rPr>
          <w:rStyle w:val="Appelnotedebasdep"/>
          <w:rFonts w:asciiTheme="majorHAnsi" w:hAnsiTheme="majorHAnsi" w:cs="Times New Roman"/>
          <w:sz w:val="24"/>
          <w:szCs w:val="24"/>
          <w:lang w:val="fr-FR"/>
        </w:rPr>
        <w:footnoteReference w:id="55"/>
      </w:r>
      <w:r w:rsidRPr="004623C6">
        <w:rPr>
          <w:rFonts w:asciiTheme="majorHAnsi" w:hAnsiTheme="majorHAnsi" w:cs="Times New Roman"/>
          <w:sz w:val="24"/>
          <w:szCs w:val="24"/>
          <w:lang w:val="fr-FR"/>
        </w:rPr>
        <w:t xml:space="preserve">. </w:t>
      </w:r>
      <w:r>
        <w:rPr>
          <w:rFonts w:asciiTheme="majorHAnsi" w:hAnsiTheme="majorHAnsi" w:cs="Times New Roman"/>
          <w:sz w:val="24"/>
          <w:szCs w:val="24"/>
          <w:lang w:val="fr-FR"/>
        </w:rPr>
        <w:t>La C</w:t>
      </w:r>
      <w:r w:rsidRPr="004623C6">
        <w:rPr>
          <w:rFonts w:asciiTheme="majorHAnsi" w:hAnsiTheme="majorHAnsi" w:cs="Times New Roman"/>
          <w:sz w:val="24"/>
          <w:szCs w:val="24"/>
          <w:lang w:val="fr-FR"/>
        </w:rPr>
        <w:t xml:space="preserve">our allemande estime notamment que la CJUE n’a ni questionné ni discuté la qualité des arguments théoriques et factuels avancés par la BCE pour justifier que son programme de rachat de titres était un instrument monétaire mis en œuvre dans le cadre de son mandat (para. 182). De plus, en l’absence d’une autorité politique de contrôle, les </w:t>
      </w:r>
      <w:r w:rsidRPr="004623C6">
        <w:rPr>
          <w:rFonts w:asciiTheme="majorHAnsi" w:hAnsiTheme="majorHAnsi" w:cs="Times New Roman"/>
          <w:sz w:val="24"/>
          <w:szCs w:val="24"/>
          <w:lang w:val="fr-FR"/>
        </w:rPr>
        <w:lastRenderedPageBreak/>
        <w:t xml:space="preserve">politiques de la BCE devraient faire l’objet d’un contrôle en légalité strict et </w:t>
      </w:r>
      <w:r w:rsidRPr="004623C6">
        <w:rPr>
          <w:rFonts w:asciiTheme="majorHAnsi" w:hAnsiTheme="majorHAnsi" w:cs="Times New Roman"/>
          <w:i/>
          <w:sz w:val="24"/>
          <w:szCs w:val="24"/>
          <w:lang w:val="fr-FR"/>
        </w:rPr>
        <w:t>substantiel</w:t>
      </w:r>
      <w:r w:rsidRPr="004623C6">
        <w:rPr>
          <w:rFonts w:asciiTheme="majorHAnsi" w:hAnsiTheme="majorHAnsi" w:cs="Times New Roman"/>
          <w:sz w:val="24"/>
          <w:szCs w:val="24"/>
          <w:lang w:val="fr-FR"/>
        </w:rPr>
        <w:t xml:space="preserve"> par la CJUE ; la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our allemande regrette que l’absence de ce contrôle entraine une réduction notable de la légitimité démocratique des actions de la BCE (para. 187-189). </w:t>
      </w:r>
    </w:p>
    <w:p w14:paraId="7796D450" w14:textId="626FC6B4" w:rsidR="00997282" w:rsidRPr="004623C6" w:rsidRDefault="00997282">
      <w:pPr>
        <w:spacing w:after="0" w:line="360" w:lineRule="auto"/>
        <w:contextualSpacing/>
        <w:jc w:val="both"/>
        <w:rPr>
          <w:rFonts w:asciiTheme="majorHAnsi" w:hAnsiTheme="majorHAnsi" w:cs="Times New Roman"/>
          <w:sz w:val="24"/>
          <w:szCs w:val="24"/>
          <w:lang w:val="fr-FR"/>
        </w:rPr>
      </w:pPr>
    </w:p>
    <w:p w14:paraId="7526D588" w14:textId="753E69EA"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Au final, la judiciarisation des questions monétaires est paradoxale. D’une part, l’arrêt Gauweiler expose un fort degré de re-politisation des questions monétaires en Allemagne. D’autre part, le jugement final de la CJUE expose un fort degré de déférence envers la BCE. En d’autres mots, les résistances de la part de certains acteurs politiques n’ont pas mené à un regain de contrôle juridictionnel sur les activités de la BCE. </w:t>
      </w:r>
    </w:p>
    <w:p w14:paraId="48317B03"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2D490CDD" w14:textId="1148B31A" w:rsidR="00997282" w:rsidRPr="007E773E" w:rsidRDefault="00997282">
      <w:pPr>
        <w:spacing w:after="0" w:line="360" w:lineRule="auto"/>
        <w:contextualSpacing/>
        <w:jc w:val="both"/>
        <w:rPr>
          <w:rFonts w:asciiTheme="majorHAnsi" w:hAnsiTheme="majorHAnsi" w:cs="Times New Roman"/>
          <w:b/>
          <w:i/>
          <w:sz w:val="24"/>
          <w:szCs w:val="24"/>
          <w:lang w:val="fr-FR"/>
        </w:rPr>
      </w:pPr>
      <w:r w:rsidRPr="007E773E">
        <w:rPr>
          <w:rFonts w:asciiTheme="majorHAnsi" w:hAnsiTheme="majorHAnsi" w:cs="Times New Roman"/>
          <w:b/>
          <w:i/>
          <w:sz w:val="24"/>
          <w:szCs w:val="24"/>
          <w:lang w:val="fr-FR"/>
        </w:rPr>
        <w:t xml:space="preserve">Les nominations des membres du directoire de la BCE </w:t>
      </w:r>
    </w:p>
    <w:p w14:paraId="667F4DE7"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3CDC8C08" w14:textId="5DDED952"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Lorsque les autorités politiques cherchent à altérer de manière significative la définition des politiques d’une agence indépendante, sans changer leur mandat pour autant, elles se reposent habituellement sur leur pouvoir de nomination des dirigeant∙e∙s de cette agence. La BCE n’est pas une exception : avant la crise, les gouvernements de gauche avaient tendance à nommer des banquiers centraux favorisant davantage la promotion de la croissance et les gouvernements de droite favorisaient les positions anti-inflationnistes</w:t>
      </w:r>
      <w:r>
        <w:rPr>
          <w:rStyle w:val="Appelnotedebasdep"/>
          <w:rFonts w:asciiTheme="majorHAnsi" w:hAnsiTheme="majorHAnsi" w:cs="Times New Roman"/>
          <w:sz w:val="24"/>
          <w:szCs w:val="24"/>
          <w:lang w:val="fr-FR"/>
        </w:rPr>
        <w:footnoteReference w:id="56"/>
      </w:r>
      <w:r w:rsidRPr="004623C6">
        <w:rPr>
          <w:rFonts w:asciiTheme="majorHAnsi" w:hAnsiTheme="majorHAnsi" w:cs="Times New Roman"/>
          <w:sz w:val="24"/>
          <w:szCs w:val="24"/>
          <w:lang w:val="fr-FR"/>
        </w:rPr>
        <w:t xml:space="preserve">. </w:t>
      </w:r>
    </w:p>
    <w:p w14:paraId="73F4E512" w14:textId="77777777"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   </w:t>
      </w:r>
    </w:p>
    <w:p w14:paraId="614BB3FC" w14:textId="023AED94"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Depuis 2008, le Conseil des gouverneurs a été entièrement renouvelé, soit par le Conseil européen dans le cas du Directoire, soit par les autorités nationales pour les gouverneurs des banques centrales nationales. Dans les deux cas, les pouvoirs politiques nationaux avaient la possibilité d’altérer de manière significative les politiques monétaires de la BCE. Cependant, à l’instar des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ommissaires européen∙ne∙s, la composition du directoire de la BCE est soumise à une logique intergouvernementale où les dirigeant∙e∙s cherchent avant tout à promouvoir leurs intérêts </w:t>
      </w:r>
      <w:r w:rsidRPr="004623C6">
        <w:rPr>
          <w:rFonts w:asciiTheme="majorHAnsi" w:hAnsiTheme="majorHAnsi" w:cs="Times New Roman"/>
          <w:sz w:val="24"/>
          <w:szCs w:val="24"/>
          <w:lang w:val="fr-FR"/>
        </w:rPr>
        <w:lastRenderedPageBreak/>
        <w:t>nationaux</w:t>
      </w:r>
      <w:r>
        <w:rPr>
          <w:rStyle w:val="Appelnotedebasdep"/>
          <w:rFonts w:asciiTheme="majorHAnsi" w:hAnsiTheme="majorHAnsi" w:cs="Times New Roman"/>
          <w:sz w:val="24"/>
          <w:szCs w:val="24"/>
          <w:lang w:val="fr-FR"/>
        </w:rPr>
        <w:footnoteReference w:id="57"/>
      </w:r>
      <w:r w:rsidRPr="004623C6">
        <w:rPr>
          <w:rFonts w:asciiTheme="majorHAnsi" w:hAnsiTheme="majorHAnsi" w:cs="Times New Roman"/>
          <w:sz w:val="24"/>
          <w:szCs w:val="24"/>
          <w:lang w:val="fr-FR"/>
        </w:rPr>
        <w:t>. Cette focalisation a tendance à polariser les négociations sur la nationalité des candidat∙e∙s plutôt que sur leurs positions en matière de politique monétaire.</w:t>
      </w:r>
    </w:p>
    <w:p w14:paraId="5CFE483B"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179F8545" w14:textId="0A3654C9"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 effet, afin de minimiser les critiques potentielles sur leur nationalité, la stratégie des candidat∙e∙s au directoire consiste à reproduire les rôles valorisés au sein de la BCE</w:t>
      </w:r>
      <w:r w:rsidR="00392FB7">
        <w:rPr>
          <w:rStyle w:val="Appelnotedebasdep"/>
          <w:rFonts w:asciiTheme="majorHAnsi" w:hAnsiTheme="majorHAnsi" w:cs="Times New Roman"/>
          <w:sz w:val="24"/>
          <w:szCs w:val="24"/>
          <w:lang w:val="fr-FR"/>
        </w:rPr>
        <w:footnoteReference w:id="58"/>
      </w:r>
      <w:r w:rsidRPr="004623C6">
        <w:rPr>
          <w:rFonts w:asciiTheme="majorHAnsi" w:hAnsiTheme="majorHAnsi" w:cs="Times New Roman"/>
          <w:sz w:val="24"/>
          <w:szCs w:val="24"/>
          <w:lang w:val="fr-FR"/>
        </w:rPr>
        <w:t>. Ainsi, lors de leur audition au Parlement, les candidat∙e∙s au directoire se déclarent tou∙te∙s favorables aux mesures non-conventionnelles mises en œuvre par la BCE depuis la crise. Même Yves Mersch</w:t>
      </w:r>
      <w:r w:rsidRPr="004623C6">
        <w:rPr>
          <w:rStyle w:val="Appelnotedebasdep"/>
          <w:rFonts w:asciiTheme="majorHAnsi" w:hAnsiTheme="majorHAnsi" w:cs="Times New Roman"/>
          <w:sz w:val="24"/>
          <w:szCs w:val="24"/>
          <w:lang w:val="fr-FR"/>
        </w:rPr>
        <w:footnoteReference w:id="59"/>
      </w:r>
      <w:r w:rsidRPr="004623C6">
        <w:rPr>
          <w:rFonts w:asciiTheme="majorHAnsi" w:hAnsiTheme="majorHAnsi" w:cs="Times New Roman"/>
          <w:sz w:val="24"/>
          <w:szCs w:val="24"/>
          <w:lang w:val="fr-FR"/>
        </w:rPr>
        <w:t> et Sabine Lautenschläger</w:t>
      </w:r>
      <w:r w:rsidRPr="004623C6">
        <w:rPr>
          <w:rStyle w:val="Appelnotedebasdep"/>
          <w:rFonts w:asciiTheme="majorHAnsi" w:hAnsiTheme="majorHAnsi" w:cs="Times New Roman"/>
          <w:sz w:val="24"/>
          <w:szCs w:val="24"/>
          <w:lang w:val="fr-FR"/>
        </w:rPr>
        <w:footnoteReference w:id="60"/>
      </w:r>
      <w:r w:rsidRPr="004623C6">
        <w:rPr>
          <w:rFonts w:asciiTheme="majorHAnsi" w:hAnsiTheme="majorHAnsi" w:cs="Times New Roman"/>
          <w:sz w:val="24"/>
          <w:szCs w:val="24"/>
          <w:lang w:val="fr-FR"/>
        </w:rPr>
        <w:t xml:space="preserve">, qui représentent, au sein du directoire, la conception orthodoxe de la politique monétaire défendue par la </w:t>
      </w:r>
      <w:r w:rsidRPr="007E773E">
        <w:rPr>
          <w:rFonts w:asciiTheme="majorHAnsi" w:hAnsiTheme="majorHAnsi" w:cs="Times New Roman"/>
          <w:sz w:val="24"/>
          <w:szCs w:val="24"/>
          <w:lang w:val="fr-FR"/>
        </w:rPr>
        <w:t>Bundesbank</w:t>
      </w:r>
      <w:r w:rsidRPr="004623C6">
        <w:rPr>
          <w:rFonts w:asciiTheme="majorHAnsi" w:hAnsiTheme="majorHAnsi" w:cs="Times New Roman"/>
          <w:sz w:val="24"/>
          <w:szCs w:val="24"/>
          <w:lang w:val="fr-FR"/>
        </w:rPr>
        <w:t>, indiquent que les mesures non-conventionnelles de la BCE sont appropriées. Rappelons que ces mesures avaient pourtant suscité de vives résistances internes au sein de la BCE et avaient mené à la démission des deux représentants de l’orthodoxie monétaire au sein du Conseil des gouverneurs. Les autres membres du directoire nommés depuis 2008, dont les profils sociologiques sont marqués par une plus grande proximité avec les milieux financiers privés et une inscription dans un champ académique « américanisé », apparaissent favorables à la mise en œuvre de ces mesures innovantes</w:t>
      </w:r>
      <w:r>
        <w:rPr>
          <w:rStyle w:val="Appelnotedebasdep"/>
          <w:rFonts w:asciiTheme="majorHAnsi" w:hAnsiTheme="majorHAnsi" w:cs="Times New Roman"/>
          <w:sz w:val="24"/>
          <w:szCs w:val="24"/>
          <w:lang w:val="fr-FR"/>
        </w:rPr>
        <w:footnoteReference w:id="61"/>
      </w:r>
      <w:r w:rsidRPr="004623C6">
        <w:rPr>
          <w:rFonts w:asciiTheme="majorHAnsi" w:hAnsiTheme="majorHAnsi" w:cs="Times New Roman"/>
          <w:sz w:val="24"/>
          <w:szCs w:val="24"/>
          <w:lang w:val="fr-FR"/>
        </w:rPr>
        <w:t xml:space="preserve">. </w:t>
      </w:r>
    </w:p>
    <w:p w14:paraId="5DC85C71"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A8F339D" w14:textId="3A8984F6"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Au final, les logiques intergouvernementales des nominations au Conseil des gouverneurs de la BCE n’ont pas été politisées. Aucune des personnes nommées par les gouvernements depuis la crise n’a critiqué les politiques monétaires non-conventionnelles. Les résistances orthodoxes au sein de la BCE envers ces politiques ont ainsi été marginalisées au fil des renouvellements du Directoire.</w:t>
      </w:r>
      <w:r>
        <w:rPr>
          <w:rFonts w:asciiTheme="majorHAnsi" w:hAnsiTheme="majorHAnsi" w:cs="Times New Roman"/>
          <w:sz w:val="24"/>
          <w:szCs w:val="24"/>
          <w:lang w:val="fr-FR"/>
        </w:rPr>
        <w:t xml:space="preserve"> Cependant, la campagne pour la succession de Mario Draghi indique des signes de changement. Bien que les débats semblent rester polarisés sur la nationalité des candidat.e.s, leur positionnement sur </w:t>
      </w:r>
      <w:r>
        <w:rPr>
          <w:rFonts w:asciiTheme="majorHAnsi" w:hAnsiTheme="majorHAnsi" w:cs="Times New Roman"/>
          <w:sz w:val="24"/>
          <w:szCs w:val="24"/>
          <w:lang w:val="fr-FR"/>
        </w:rPr>
        <w:lastRenderedPageBreak/>
        <w:t>le maintien des politiques monétaires non conventionnelles est devenu un enjeu de leur nomination</w:t>
      </w:r>
      <w:r>
        <w:rPr>
          <w:rStyle w:val="Appelnotedebasdep"/>
          <w:rFonts w:asciiTheme="majorHAnsi" w:hAnsiTheme="majorHAnsi" w:cs="Times New Roman"/>
          <w:sz w:val="24"/>
          <w:szCs w:val="24"/>
          <w:lang w:val="fr-FR"/>
        </w:rPr>
        <w:footnoteReference w:id="62"/>
      </w:r>
      <w:r>
        <w:rPr>
          <w:rFonts w:asciiTheme="majorHAnsi" w:hAnsiTheme="majorHAnsi" w:cs="Times New Roman"/>
          <w:sz w:val="24"/>
          <w:szCs w:val="24"/>
          <w:lang w:val="fr-FR"/>
        </w:rPr>
        <w:t>.</w:t>
      </w:r>
    </w:p>
    <w:p w14:paraId="12BC02B4" w14:textId="77777777"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 </w:t>
      </w:r>
    </w:p>
    <w:p w14:paraId="51C05FBF" w14:textId="6ED8CC54" w:rsidR="00997282" w:rsidRPr="007E773E" w:rsidRDefault="00997282">
      <w:pPr>
        <w:spacing w:after="0" w:line="360" w:lineRule="auto"/>
        <w:contextualSpacing/>
        <w:jc w:val="both"/>
        <w:rPr>
          <w:rFonts w:asciiTheme="majorHAnsi" w:hAnsiTheme="majorHAnsi" w:cs="Times New Roman"/>
          <w:b/>
          <w:i/>
          <w:sz w:val="24"/>
          <w:szCs w:val="24"/>
          <w:lang w:val="fr-FR"/>
        </w:rPr>
      </w:pPr>
      <w:r w:rsidRPr="007E773E">
        <w:rPr>
          <w:rFonts w:asciiTheme="majorHAnsi" w:hAnsiTheme="majorHAnsi" w:cs="Times New Roman"/>
          <w:b/>
          <w:i/>
          <w:sz w:val="24"/>
          <w:szCs w:val="24"/>
          <w:lang w:val="fr-FR"/>
        </w:rPr>
        <w:t>La reddition de compte devant les parlements</w:t>
      </w:r>
    </w:p>
    <w:p w14:paraId="5C26109B"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3B57EB91" w14:textId="6B33A6AC" w:rsidR="00997282" w:rsidRPr="004623C6" w:rsidRDefault="00997282">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Les auditions des agent∙e∙s de la BCE par les élu∙e∙s des parlements européen et nationaux sont la forme de contrôle démocratique qui est la moins coercitive car</w:t>
      </w:r>
      <w:r>
        <w:rPr>
          <w:rFonts w:asciiTheme="majorHAnsi" w:hAnsiTheme="majorHAnsi" w:cs="Times New Roman"/>
          <w:sz w:val="24"/>
          <w:szCs w:val="24"/>
          <w:lang w:val="fr-FR"/>
        </w:rPr>
        <w:t>,</w:t>
      </w:r>
      <w:r w:rsidRPr="00C36928">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à la différence du Congrès américain</w:t>
      </w:r>
      <w:r>
        <w:rPr>
          <w:rFonts w:asciiTheme="majorHAnsi" w:hAnsiTheme="majorHAnsi" w:cs="Times New Roman"/>
          <w:sz w:val="24"/>
          <w:szCs w:val="24"/>
          <w:lang w:val="fr-FR"/>
        </w:rPr>
        <w:t>,</w:t>
      </w:r>
      <w:r w:rsidRPr="004623C6">
        <w:rPr>
          <w:rFonts w:asciiTheme="majorHAnsi" w:hAnsiTheme="majorHAnsi" w:cs="Times New Roman"/>
          <w:sz w:val="24"/>
          <w:szCs w:val="24"/>
          <w:lang w:val="fr-FR"/>
        </w:rPr>
        <w:t xml:space="preserve"> les parlementaires ne disposent pas de réels moyens de pression pour infléchir les politiques mises en œuvre par les banques centrales indépendantes. De plus, les auditions des membres de la BCE au Parlement européen ne sont pas rendues obligatoires par les textes de loi. De surcroît, les divergences idéelles sur la politique monétaire entre les parlementaires de différentes nationalités appartenant à la même coalition partisane affaiblissent leurs prises de position</w:t>
      </w:r>
      <w:r>
        <w:rPr>
          <w:rStyle w:val="Appelnotedebasdep"/>
          <w:rFonts w:asciiTheme="majorHAnsi" w:hAnsiTheme="majorHAnsi" w:cs="Times New Roman"/>
          <w:sz w:val="24"/>
          <w:szCs w:val="24"/>
          <w:lang w:val="fr-FR"/>
        </w:rPr>
        <w:footnoteReference w:id="63"/>
      </w:r>
      <w:r w:rsidRPr="004623C6">
        <w:rPr>
          <w:rFonts w:asciiTheme="majorHAnsi" w:hAnsiTheme="majorHAnsi" w:cs="Times New Roman"/>
          <w:sz w:val="24"/>
          <w:szCs w:val="24"/>
          <w:lang w:val="fr-FR"/>
        </w:rPr>
        <w:t>. Malgré ces limites, les parlementaires disposent de trois leviers de pression sur les banquiers centraux : l’adoption de rapports non contraignants, les auditions régulières dans le cas du dialogue monétaire et l’envoi de lettres officielles aux dirigeant∙e∙s de la BCE.</w:t>
      </w:r>
    </w:p>
    <w:p w14:paraId="36F4EAAD" w14:textId="77777777" w:rsidR="00997282" w:rsidRPr="004623C6" w:rsidRDefault="00997282">
      <w:pPr>
        <w:spacing w:after="0" w:line="360" w:lineRule="auto"/>
        <w:contextualSpacing/>
        <w:jc w:val="both"/>
        <w:rPr>
          <w:rFonts w:asciiTheme="majorHAnsi" w:hAnsiTheme="majorHAnsi" w:cs="Times New Roman"/>
          <w:sz w:val="24"/>
          <w:szCs w:val="24"/>
          <w:lang w:val="fr-FR"/>
        </w:rPr>
      </w:pPr>
    </w:p>
    <w:p w14:paraId="6CDBAFE2" w14:textId="4A1251CF" w:rsidR="00997282" w:rsidRPr="004623C6" w:rsidRDefault="00997282">
      <w:pPr>
        <w:autoSpaceDE w:val="0"/>
        <w:autoSpaceDN w:val="0"/>
        <w:adjustRightInd w:val="0"/>
        <w:spacing w:after="0" w:line="360" w:lineRule="auto"/>
        <w:jc w:val="both"/>
        <w:rPr>
          <w:rFonts w:asciiTheme="majorHAnsi" w:hAnsiTheme="majorHAnsi" w:cs="Times New Roman"/>
          <w:sz w:val="24"/>
          <w:szCs w:val="24"/>
          <w:lang w:val="fr-BE"/>
        </w:rPr>
      </w:pPr>
      <w:r w:rsidRPr="004623C6">
        <w:rPr>
          <w:rFonts w:asciiTheme="majorHAnsi" w:hAnsiTheme="majorHAnsi" w:cs="Times New Roman"/>
          <w:sz w:val="24"/>
          <w:szCs w:val="24"/>
          <w:lang w:val="fr-BE"/>
        </w:rPr>
        <w:t>D´abord, suite à deux rapports d’initiative établis par les groupes parlementaires ECON et EMPLOI, les eurodéputé∙e∙s ont voté deux résolutions sur le rôle et les activités de la Troïka en mars 2014. Les parlementaires ont notamment souligné que la BCE dépassait de loin ses compétences monétaires en participant à la définition d’un vaste éventail de réformes s’étendant de la libéralisation de secteurs professionnels aux politiques de santé</w:t>
      </w:r>
      <w:r w:rsidRPr="004623C6">
        <w:rPr>
          <w:rStyle w:val="Appelnotedebasdep"/>
          <w:rFonts w:asciiTheme="majorHAnsi" w:hAnsiTheme="majorHAnsi" w:cs="Times New Roman"/>
          <w:sz w:val="24"/>
          <w:szCs w:val="24"/>
          <w:lang w:val="fr-BE"/>
        </w:rPr>
        <w:footnoteReference w:id="64"/>
      </w:r>
      <w:r w:rsidRPr="004623C6">
        <w:rPr>
          <w:rFonts w:asciiTheme="majorHAnsi" w:hAnsiTheme="majorHAnsi" w:cs="Times New Roman"/>
          <w:sz w:val="24"/>
          <w:szCs w:val="24"/>
          <w:lang w:val="fr-BE"/>
        </w:rPr>
        <w:t> et qu'elle devrait se cantonner à un rôle d'observateur silencieux. Pourtant, les critiques substantives de ces résolutions parlementaires n’ont eu aucun impact</w:t>
      </w:r>
      <w:r>
        <w:rPr>
          <w:rFonts w:asciiTheme="majorHAnsi" w:hAnsiTheme="majorHAnsi" w:cs="Times New Roman"/>
          <w:sz w:val="24"/>
          <w:szCs w:val="24"/>
          <w:lang w:val="fr-BE"/>
        </w:rPr>
        <w:t xml:space="preserve"> direct</w:t>
      </w:r>
      <w:r w:rsidRPr="004623C6">
        <w:rPr>
          <w:rFonts w:asciiTheme="majorHAnsi" w:hAnsiTheme="majorHAnsi" w:cs="Times New Roman"/>
          <w:sz w:val="24"/>
          <w:szCs w:val="24"/>
          <w:lang w:val="fr-BE"/>
        </w:rPr>
        <w:t xml:space="preserve"> sur la présence et les actions de la BCE au sein de la Troïka. Ceci est dû autant à l’absence d’instruments coercitifs du Parlement sur les activités de la BCE qu’à des dissensions internes. En effet, les parlementaires disposaient de l’option d’établir une commission d’enquête sur les activités de la Troïka pour mener à une procédure judiciaire devant la CJUE plutôt qu’à une résolution non contraignante. Cependant, les dissensions internes au sein </w:t>
      </w:r>
      <w:r w:rsidRPr="004623C6">
        <w:rPr>
          <w:rFonts w:asciiTheme="majorHAnsi" w:hAnsiTheme="majorHAnsi" w:cs="Times New Roman"/>
          <w:sz w:val="24"/>
          <w:szCs w:val="24"/>
          <w:lang w:val="fr-BE"/>
        </w:rPr>
        <w:lastRenderedPageBreak/>
        <w:t>de la grande coalition formée par le centre gauche et le centre droit n’ont pas permis cette possibilité</w:t>
      </w:r>
      <w:r w:rsidRPr="004623C6">
        <w:rPr>
          <w:rStyle w:val="Appelnotedebasdep"/>
          <w:rFonts w:asciiTheme="majorHAnsi" w:hAnsiTheme="majorHAnsi" w:cs="Times New Roman"/>
          <w:sz w:val="24"/>
          <w:szCs w:val="24"/>
          <w:lang w:val="fr-BE"/>
        </w:rPr>
        <w:footnoteReference w:id="65"/>
      </w:r>
      <w:r w:rsidRPr="004623C6">
        <w:rPr>
          <w:rFonts w:asciiTheme="majorHAnsi" w:hAnsiTheme="majorHAnsi" w:cs="Times New Roman"/>
          <w:sz w:val="24"/>
          <w:szCs w:val="24"/>
          <w:lang w:val="fr-BE"/>
        </w:rPr>
        <w:t xml:space="preserve">. </w:t>
      </w:r>
    </w:p>
    <w:p w14:paraId="42F7646B" w14:textId="77777777" w:rsidR="00997282" w:rsidRPr="004623C6" w:rsidRDefault="00997282" w:rsidP="005325FC">
      <w:pPr>
        <w:autoSpaceDE w:val="0"/>
        <w:autoSpaceDN w:val="0"/>
        <w:adjustRightInd w:val="0"/>
        <w:spacing w:after="0" w:line="240" w:lineRule="auto"/>
        <w:jc w:val="both"/>
        <w:rPr>
          <w:rFonts w:asciiTheme="majorHAnsi" w:hAnsiTheme="majorHAnsi" w:cs="Times New Roman"/>
          <w:sz w:val="24"/>
          <w:szCs w:val="24"/>
          <w:lang w:val="sv-SE"/>
        </w:rPr>
      </w:pPr>
    </w:p>
    <w:p w14:paraId="7D9B469C" w14:textId="03C809FB" w:rsidR="00997282" w:rsidRPr="004623C6" w:rsidRDefault="00997282" w:rsidP="005A638B">
      <w:pPr>
        <w:spacing w:after="0"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lang w:val="fr-FR"/>
        </w:rPr>
        <w:t>Puis, dans le cadre de leurs auditions régulières des banquiers centraux connues sous le nom de dialogue monétaire</w:t>
      </w:r>
      <w:r w:rsidRPr="004623C6">
        <w:rPr>
          <w:rStyle w:val="Appelnotedebasdep"/>
          <w:rFonts w:asciiTheme="majorHAnsi" w:hAnsiTheme="majorHAnsi" w:cs="Times New Roman"/>
          <w:sz w:val="24"/>
          <w:szCs w:val="24"/>
          <w:lang w:val="fr-FR"/>
        </w:rPr>
        <w:footnoteReference w:id="66"/>
      </w:r>
      <w:r w:rsidRPr="004623C6">
        <w:rPr>
          <w:rFonts w:asciiTheme="majorHAnsi" w:hAnsiTheme="majorHAnsi" w:cs="Times New Roman"/>
          <w:sz w:val="24"/>
          <w:szCs w:val="24"/>
          <w:lang w:val="fr-FR"/>
        </w:rPr>
        <w:t xml:space="preserve">, les </w:t>
      </w:r>
      <w:r w:rsidRPr="004623C6">
        <w:rPr>
          <w:rFonts w:asciiTheme="majorHAnsi" w:hAnsiTheme="majorHAnsi" w:cs="Times New Roman"/>
          <w:sz w:val="24"/>
          <w:szCs w:val="24"/>
          <w:lang w:val="fr-BE"/>
        </w:rPr>
        <w:t xml:space="preserve">eurodéputé∙e∙s </w:t>
      </w:r>
      <w:r w:rsidRPr="004623C6">
        <w:rPr>
          <w:rFonts w:asciiTheme="majorHAnsi" w:hAnsiTheme="majorHAnsi" w:cs="Times New Roman"/>
          <w:sz w:val="24"/>
          <w:szCs w:val="24"/>
          <w:lang w:val="fr-FR"/>
        </w:rPr>
        <w:t xml:space="preserve">ont intensifié leurs critiques sur les mesures non-conventionnelles de la BCE à partir de l’annonce de la mise en œuvre du programme massif de rachat de titres de dettes souveraines, en janvier 2015. Les critiques émanent principalement des franges radicales du spectre partisan, dont le centre-droit est occupé par le groupe parlementaire PPE (Parti </w:t>
      </w:r>
      <w:r>
        <w:rPr>
          <w:rFonts w:asciiTheme="majorHAnsi" w:hAnsiTheme="majorHAnsi" w:cs="Times New Roman"/>
          <w:sz w:val="24"/>
          <w:szCs w:val="24"/>
          <w:lang w:val="fr-FR"/>
        </w:rPr>
        <w:t>p</w:t>
      </w:r>
      <w:r w:rsidRPr="004623C6">
        <w:rPr>
          <w:rFonts w:asciiTheme="majorHAnsi" w:hAnsiTheme="majorHAnsi" w:cs="Times New Roman"/>
          <w:sz w:val="24"/>
          <w:szCs w:val="24"/>
          <w:lang w:val="fr-FR"/>
        </w:rPr>
        <w:t xml:space="preserve">opulaire </w:t>
      </w:r>
      <w:r>
        <w:rPr>
          <w:rFonts w:asciiTheme="majorHAnsi" w:hAnsiTheme="majorHAnsi" w:cs="Times New Roman"/>
          <w:sz w:val="24"/>
          <w:szCs w:val="24"/>
          <w:lang w:val="fr-FR"/>
        </w:rPr>
        <w:t>e</w:t>
      </w:r>
      <w:r w:rsidRPr="004623C6">
        <w:rPr>
          <w:rFonts w:asciiTheme="majorHAnsi" w:hAnsiTheme="majorHAnsi" w:cs="Times New Roman"/>
          <w:sz w:val="24"/>
          <w:szCs w:val="24"/>
          <w:lang w:val="fr-FR"/>
        </w:rPr>
        <w:t xml:space="preserve">uropéen) et le centre-gauche par l’Alliance des socio-démocrates (groupes S&amp;D). </w:t>
      </w:r>
      <w:r w:rsidRPr="004623C6">
        <w:rPr>
          <w:rFonts w:asciiTheme="majorHAnsi" w:hAnsiTheme="majorHAnsi" w:cs="Times New Roman"/>
          <w:sz w:val="24"/>
          <w:szCs w:val="24"/>
        </w:rPr>
        <w:t xml:space="preserve">Les membres des deux plus grands partis européens et les parlementaires appartenant à une majorité gouvernementale au niveau national soutiennent sans réserve le programme de la BCE. </w:t>
      </w:r>
      <w:r w:rsidRPr="004623C6">
        <w:rPr>
          <w:rFonts w:asciiTheme="majorHAnsi" w:hAnsiTheme="majorHAnsi" w:cs="Times New Roman"/>
          <w:sz w:val="24"/>
          <w:szCs w:val="24"/>
          <w:lang w:val="fr-FR"/>
        </w:rPr>
        <w:t>Seul∙e∙s les député∙e∙s germanophones de droite font exception à cette configuration, en raison de leur attachement aux idées d’orthodoxie monétaire. Lors des auditions de Mario Draghi</w:t>
      </w:r>
      <w:r w:rsidRPr="004623C6">
        <w:rPr>
          <w:rStyle w:val="Appelnotedebasdep"/>
          <w:rFonts w:asciiTheme="majorHAnsi" w:hAnsiTheme="majorHAnsi" w:cs="Times New Roman"/>
          <w:sz w:val="24"/>
          <w:szCs w:val="24"/>
          <w:lang w:val="fr-FR"/>
        </w:rPr>
        <w:footnoteReference w:id="67"/>
      </w:r>
      <w:r w:rsidRPr="004623C6">
        <w:rPr>
          <w:rFonts w:asciiTheme="majorHAnsi" w:hAnsiTheme="majorHAnsi" w:cs="Times New Roman"/>
          <w:sz w:val="24"/>
          <w:szCs w:val="24"/>
          <w:lang w:val="fr-FR"/>
        </w:rPr>
        <w:t xml:space="preserve">, les critiques principales qui lui ont été adressées par les parlementaires portaient sur les risques accrus d’aggravation de déficits fiscaux, de délai de mise en œuvre des réformes structurelles et d’affaiblissement des fonds de pension. Ces parlementaires appartenaient tous à des partis de droite radicale, d’extrême droite ou à la </w:t>
      </w:r>
      <w:r w:rsidRPr="004623C6">
        <w:rPr>
          <w:rFonts w:asciiTheme="majorHAnsi" w:hAnsiTheme="majorHAnsi" w:cs="Times New Roman"/>
          <w:i/>
          <w:sz w:val="24"/>
          <w:szCs w:val="24"/>
          <w:lang w:val="fr-FR"/>
        </w:rPr>
        <w:t xml:space="preserve">Christlich Demokratische Union </w:t>
      </w:r>
      <w:r w:rsidRPr="007938E7">
        <w:rPr>
          <w:rFonts w:asciiTheme="majorHAnsi" w:hAnsiTheme="majorHAnsi" w:cs="Times New Roman"/>
          <w:sz w:val="24"/>
          <w:szCs w:val="24"/>
          <w:lang w:val="fr-FR"/>
        </w:rPr>
        <w:t>(CDU),</w:t>
      </w:r>
      <w:r w:rsidRPr="004623C6">
        <w:rPr>
          <w:rFonts w:asciiTheme="majorHAnsi" w:hAnsiTheme="majorHAnsi" w:cs="Times New Roman"/>
          <w:i/>
          <w:sz w:val="24"/>
          <w:szCs w:val="24"/>
          <w:lang w:val="fr-FR"/>
        </w:rPr>
        <w:t xml:space="preserve"> </w:t>
      </w:r>
      <w:r w:rsidRPr="004623C6">
        <w:rPr>
          <w:rFonts w:asciiTheme="majorHAnsi" w:hAnsiTheme="majorHAnsi" w:cs="Times New Roman"/>
          <w:sz w:val="24"/>
          <w:szCs w:val="24"/>
          <w:lang w:val="fr-FR"/>
        </w:rPr>
        <w:t>le parti politique d’Angela Merkel</w:t>
      </w:r>
      <w:r w:rsidRPr="004623C6">
        <w:rPr>
          <w:rStyle w:val="Appelnotedebasdep"/>
          <w:rFonts w:asciiTheme="majorHAnsi" w:hAnsiTheme="majorHAnsi" w:cs="Times New Roman"/>
          <w:sz w:val="24"/>
          <w:szCs w:val="24"/>
          <w:lang w:val="fr-FR"/>
        </w:rPr>
        <w:footnoteReference w:id="68"/>
      </w:r>
      <w:r w:rsidRPr="004623C6">
        <w:rPr>
          <w:rFonts w:asciiTheme="majorHAnsi" w:hAnsiTheme="majorHAnsi" w:cs="Times New Roman"/>
          <w:sz w:val="24"/>
          <w:szCs w:val="24"/>
        </w:rPr>
        <w:t xml:space="preserve">. </w:t>
      </w:r>
    </w:p>
    <w:p w14:paraId="03BB4C6D" w14:textId="77777777" w:rsidR="00997282" w:rsidRPr="004623C6" w:rsidRDefault="00997282" w:rsidP="005A638B">
      <w:pPr>
        <w:spacing w:after="0" w:line="360" w:lineRule="auto"/>
        <w:contextualSpacing/>
        <w:jc w:val="both"/>
        <w:rPr>
          <w:rFonts w:asciiTheme="majorHAnsi" w:hAnsiTheme="majorHAnsi" w:cs="Times New Roman"/>
          <w:sz w:val="24"/>
          <w:szCs w:val="24"/>
        </w:rPr>
      </w:pPr>
    </w:p>
    <w:p w14:paraId="25F2407A" w14:textId="5E723653" w:rsidR="00997282" w:rsidRPr="004623C6" w:rsidRDefault="00997282" w:rsidP="005A638B">
      <w:pPr>
        <w:spacing w:after="0"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Les critiques sur les mesures non-conventionnelles de la BCE provenant de la gauche non gouvernementale ou de pays ne faisant pas partie de la zone euro ont été plus éparses. En juin 2015, seules</w:t>
      </w:r>
      <w:r>
        <w:rPr>
          <w:rFonts w:asciiTheme="majorHAnsi" w:hAnsiTheme="majorHAnsi" w:cs="Times New Roman"/>
          <w:sz w:val="24"/>
          <w:szCs w:val="24"/>
        </w:rPr>
        <w:t xml:space="preserve"> quatre</w:t>
      </w:r>
      <w:r w:rsidRPr="004623C6">
        <w:rPr>
          <w:rFonts w:asciiTheme="majorHAnsi" w:hAnsiTheme="majorHAnsi" w:cs="Times New Roman"/>
          <w:sz w:val="24"/>
          <w:szCs w:val="24"/>
        </w:rPr>
        <w:t xml:space="preserve"> critiques portant sur le renforcement des inégalités économiques ont été adressées</w:t>
      </w:r>
      <w:r w:rsidRPr="004623C6">
        <w:rPr>
          <w:rStyle w:val="Appelnotedebasdep"/>
          <w:rFonts w:asciiTheme="majorHAnsi" w:hAnsiTheme="majorHAnsi" w:cs="Times New Roman"/>
          <w:sz w:val="24"/>
          <w:szCs w:val="24"/>
        </w:rPr>
        <w:footnoteReference w:id="69"/>
      </w:r>
      <w:r w:rsidRPr="004623C6">
        <w:rPr>
          <w:rFonts w:asciiTheme="majorHAnsi" w:hAnsiTheme="majorHAnsi" w:cs="Times New Roman"/>
          <w:sz w:val="24"/>
          <w:szCs w:val="24"/>
        </w:rPr>
        <w:t xml:space="preserve">, auxquelles Mario Draghi n’a d’ailleurs pas répondu. Pour renforcer leurs critiques, les </w:t>
      </w:r>
      <w:r w:rsidRPr="004623C6">
        <w:rPr>
          <w:rFonts w:asciiTheme="majorHAnsi" w:hAnsiTheme="majorHAnsi" w:cs="Times New Roman"/>
          <w:sz w:val="24"/>
          <w:szCs w:val="24"/>
          <w:lang w:val="fr-BE"/>
        </w:rPr>
        <w:t xml:space="preserve">eurodéputé∙e∙s </w:t>
      </w:r>
      <w:r w:rsidRPr="004623C6">
        <w:rPr>
          <w:rFonts w:asciiTheme="majorHAnsi" w:hAnsiTheme="majorHAnsi" w:cs="Times New Roman"/>
          <w:sz w:val="24"/>
          <w:szCs w:val="24"/>
        </w:rPr>
        <w:t xml:space="preserve">mobilisent une contre-expertise à celle déployée par la BCE. Ainsi, des rapports sont </w:t>
      </w:r>
      <w:r w:rsidRPr="004623C6">
        <w:rPr>
          <w:rFonts w:asciiTheme="majorHAnsi" w:hAnsiTheme="majorHAnsi" w:cs="Times New Roman"/>
          <w:sz w:val="24"/>
          <w:szCs w:val="24"/>
        </w:rPr>
        <w:lastRenderedPageBreak/>
        <w:t xml:space="preserve">commandés à des académiques et à des </w:t>
      </w:r>
      <w:r w:rsidRPr="004623C6">
        <w:rPr>
          <w:rFonts w:asciiTheme="majorHAnsi" w:hAnsiTheme="majorHAnsi" w:cs="Times New Roman"/>
          <w:i/>
          <w:sz w:val="24"/>
          <w:szCs w:val="24"/>
        </w:rPr>
        <w:t>think-tanks</w:t>
      </w:r>
      <w:r w:rsidRPr="004623C6">
        <w:rPr>
          <w:rFonts w:asciiTheme="majorHAnsi" w:hAnsiTheme="majorHAnsi" w:cs="Times New Roman"/>
          <w:sz w:val="24"/>
          <w:szCs w:val="24"/>
        </w:rPr>
        <w:t xml:space="preserve"> pour chaque thème développé lors des dialogues monétaires et les parlementaires mobilisent des travaux provenant de la Banque des </w:t>
      </w:r>
      <w:r>
        <w:rPr>
          <w:rFonts w:asciiTheme="majorHAnsi" w:hAnsiTheme="majorHAnsi" w:cs="Times New Roman"/>
          <w:sz w:val="24"/>
          <w:szCs w:val="24"/>
        </w:rPr>
        <w:t>r</w:t>
      </w:r>
      <w:r w:rsidRPr="004623C6">
        <w:rPr>
          <w:rFonts w:asciiTheme="majorHAnsi" w:hAnsiTheme="majorHAnsi" w:cs="Times New Roman"/>
          <w:sz w:val="24"/>
          <w:szCs w:val="24"/>
        </w:rPr>
        <w:t xml:space="preserve">èglements </w:t>
      </w:r>
      <w:r>
        <w:rPr>
          <w:rFonts w:asciiTheme="majorHAnsi" w:hAnsiTheme="majorHAnsi" w:cs="Times New Roman"/>
          <w:sz w:val="24"/>
          <w:szCs w:val="24"/>
        </w:rPr>
        <w:t>i</w:t>
      </w:r>
      <w:r w:rsidRPr="004623C6">
        <w:rPr>
          <w:rFonts w:asciiTheme="majorHAnsi" w:hAnsiTheme="majorHAnsi" w:cs="Times New Roman"/>
          <w:sz w:val="24"/>
          <w:szCs w:val="24"/>
        </w:rPr>
        <w:t xml:space="preserve">nternationaux ou de la Banque d’Angleterre lors du dialogue monétaire. Par exemple, les parlementaires européen∙ne∙s se sont appuyés sur des études de l’ONG </w:t>
      </w:r>
      <w:r w:rsidRPr="004623C6">
        <w:rPr>
          <w:rFonts w:asciiTheme="majorHAnsi" w:hAnsiTheme="majorHAnsi" w:cs="Times New Roman"/>
          <w:i/>
          <w:sz w:val="24"/>
          <w:szCs w:val="24"/>
        </w:rPr>
        <w:t>Corporate Europe Observatory</w:t>
      </w:r>
      <w:r w:rsidRPr="004623C6">
        <w:rPr>
          <w:rStyle w:val="Appelnotedebasdep"/>
          <w:rFonts w:asciiTheme="majorHAnsi" w:hAnsiTheme="majorHAnsi" w:cs="Times New Roman"/>
          <w:i/>
          <w:sz w:val="24"/>
          <w:szCs w:val="24"/>
        </w:rPr>
        <w:footnoteReference w:id="70"/>
      </w:r>
      <w:r w:rsidRPr="004623C6">
        <w:rPr>
          <w:rFonts w:asciiTheme="majorHAnsi" w:hAnsiTheme="majorHAnsi" w:cs="Times New Roman"/>
          <w:sz w:val="24"/>
          <w:szCs w:val="24"/>
        </w:rPr>
        <w:t xml:space="preserve"> et de la </w:t>
      </w:r>
      <w:r w:rsidRPr="004623C6">
        <w:rPr>
          <w:rStyle w:val="highlight"/>
          <w:rFonts w:asciiTheme="majorHAnsi" w:hAnsiTheme="majorHAnsi" w:cs="Times New Roman"/>
          <w:i/>
          <w:sz w:val="24"/>
          <w:szCs w:val="24"/>
        </w:rPr>
        <w:t>London</w:t>
      </w:r>
      <w:r w:rsidRPr="004623C6">
        <w:rPr>
          <w:rFonts w:asciiTheme="majorHAnsi" w:hAnsiTheme="majorHAnsi" w:cs="Times New Roman"/>
          <w:i/>
          <w:sz w:val="24"/>
          <w:szCs w:val="24"/>
        </w:rPr>
        <w:t xml:space="preserve"> School of Economics</w:t>
      </w:r>
      <w:r w:rsidRPr="004623C6">
        <w:rPr>
          <w:rStyle w:val="Appelnotedebasdep"/>
          <w:rFonts w:asciiTheme="majorHAnsi" w:hAnsiTheme="majorHAnsi" w:cs="Times New Roman"/>
          <w:sz w:val="24"/>
          <w:szCs w:val="24"/>
        </w:rPr>
        <w:footnoteReference w:id="71"/>
      </w:r>
      <w:r w:rsidRPr="004623C6">
        <w:rPr>
          <w:rFonts w:asciiTheme="majorHAnsi" w:hAnsiTheme="majorHAnsi" w:cs="Times New Roman"/>
          <w:sz w:val="24"/>
          <w:szCs w:val="24"/>
        </w:rPr>
        <w:t xml:space="preserve"> pour critiquer le programme de rachat de titres d’entreprises de la BCE. </w:t>
      </w:r>
    </w:p>
    <w:p w14:paraId="10A8D3CC" w14:textId="77777777" w:rsidR="00997282" w:rsidRPr="004623C6" w:rsidRDefault="00997282" w:rsidP="005A638B">
      <w:pPr>
        <w:spacing w:after="0" w:line="360" w:lineRule="auto"/>
        <w:contextualSpacing/>
        <w:jc w:val="both"/>
        <w:rPr>
          <w:rFonts w:asciiTheme="majorHAnsi" w:hAnsiTheme="majorHAnsi" w:cs="Times New Roman"/>
          <w:sz w:val="24"/>
          <w:szCs w:val="24"/>
        </w:rPr>
      </w:pPr>
    </w:p>
    <w:p w14:paraId="41A677F5" w14:textId="4B224CBF" w:rsidR="00997282" w:rsidRPr="004623C6" w:rsidRDefault="00997282" w:rsidP="005325FC">
      <w:pPr>
        <w:autoSpaceDE w:val="0"/>
        <w:autoSpaceDN w:val="0"/>
        <w:adjustRightInd w:val="0"/>
        <w:spacing w:after="0" w:line="360" w:lineRule="auto"/>
        <w:jc w:val="both"/>
        <w:rPr>
          <w:rFonts w:asciiTheme="majorHAnsi" w:hAnsiTheme="majorHAnsi" w:cs="Times New Roman"/>
          <w:sz w:val="24"/>
          <w:szCs w:val="24"/>
        </w:rPr>
      </w:pPr>
      <w:r w:rsidRPr="004623C6">
        <w:rPr>
          <w:rFonts w:asciiTheme="majorHAnsi" w:hAnsiTheme="majorHAnsi" w:cs="Times New Roman"/>
          <w:sz w:val="24"/>
          <w:szCs w:val="24"/>
        </w:rPr>
        <w:t xml:space="preserve">La même logique de polarisation partisane semble se retrouver au sein des espaces nationaux. Ainsi, une proposition de résolution européenne relative à la dette souveraine des États de la zone euro, présentée à l’Assemblée </w:t>
      </w:r>
      <w:r>
        <w:rPr>
          <w:rFonts w:asciiTheme="majorHAnsi" w:hAnsiTheme="majorHAnsi" w:cs="Times New Roman"/>
          <w:sz w:val="24"/>
          <w:szCs w:val="24"/>
        </w:rPr>
        <w:t>n</w:t>
      </w:r>
      <w:r w:rsidRPr="004623C6">
        <w:rPr>
          <w:rFonts w:asciiTheme="majorHAnsi" w:hAnsiTheme="majorHAnsi" w:cs="Times New Roman"/>
          <w:sz w:val="24"/>
          <w:szCs w:val="24"/>
        </w:rPr>
        <w:t xml:space="preserve">ationale </w:t>
      </w:r>
      <w:r>
        <w:rPr>
          <w:rFonts w:asciiTheme="majorHAnsi" w:hAnsiTheme="majorHAnsi" w:cs="Times New Roman"/>
          <w:sz w:val="24"/>
          <w:szCs w:val="24"/>
        </w:rPr>
        <w:t>f</w:t>
      </w:r>
      <w:r w:rsidRPr="004623C6">
        <w:rPr>
          <w:rFonts w:asciiTheme="majorHAnsi" w:hAnsiTheme="majorHAnsi" w:cs="Times New Roman"/>
          <w:sz w:val="24"/>
          <w:szCs w:val="24"/>
        </w:rPr>
        <w:t xml:space="preserve">rançaise par le député du Front de </w:t>
      </w:r>
      <w:r>
        <w:rPr>
          <w:rFonts w:asciiTheme="majorHAnsi" w:hAnsiTheme="majorHAnsi" w:cs="Times New Roman"/>
          <w:sz w:val="24"/>
          <w:szCs w:val="24"/>
        </w:rPr>
        <w:t>g</w:t>
      </w:r>
      <w:r w:rsidRPr="004623C6">
        <w:rPr>
          <w:rFonts w:asciiTheme="majorHAnsi" w:hAnsiTheme="majorHAnsi" w:cs="Times New Roman"/>
          <w:sz w:val="24"/>
          <w:szCs w:val="24"/>
        </w:rPr>
        <w:t xml:space="preserve">auche Nicolas Sansu en avril 2015, a exposé les conséquences inattendues du programme de la BCE. Lors des débats en commission (Finances d’une part et Affaires </w:t>
      </w:r>
      <w:r>
        <w:rPr>
          <w:rFonts w:asciiTheme="majorHAnsi" w:hAnsiTheme="majorHAnsi" w:cs="Times New Roman"/>
          <w:sz w:val="24"/>
          <w:szCs w:val="24"/>
        </w:rPr>
        <w:t>e</w:t>
      </w:r>
      <w:r w:rsidRPr="004623C6">
        <w:rPr>
          <w:rFonts w:asciiTheme="majorHAnsi" w:hAnsiTheme="majorHAnsi" w:cs="Times New Roman"/>
          <w:sz w:val="24"/>
          <w:szCs w:val="24"/>
        </w:rPr>
        <w:t xml:space="preserve">uropéennes d’autre part) puis en plénière, les membres du Parti </w:t>
      </w:r>
      <w:r>
        <w:rPr>
          <w:rFonts w:asciiTheme="majorHAnsi" w:hAnsiTheme="majorHAnsi" w:cs="Times New Roman"/>
          <w:sz w:val="24"/>
          <w:szCs w:val="24"/>
        </w:rPr>
        <w:t>s</w:t>
      </w:r>
      <w:r w:rsidRPr="004623C6">
        <w:rPr>
          <w:rFonts w:asciiTheme="majorHAnsi" w:hAnsiTheme="majorHAnsi" w:cs="Times New Roman"/>
          <w:sz w:val="24"/>
          <w:szCs w:val="24"/>
        </w:rPr>
        <w:t xml:space="preserve">ocialiste et de l’Union pour un </w:t>
      </w:r>
      <w:r>
        <w:rPr>
          <w:rFonts w:asciiTheme="majorHAnsi" w:hAnsiTheme="majorHAnsi" w:cs="Times New Roman"/>
          <w:sz w:val="24"/>
          <w:szCs w:val="24"/>
        </w:rPr>
        <w:t>m</w:t>
      </w:r>
      <w:r w:rsidRPr="004623C6">
        <w:rPr>
          <w:rFonts w:asciiTheme="majorHAnsi" w:hAnsiTheme="majorHAnsi" w:cs="Times New Roman"/>
          <w:sz w:val="24"/>
          <w:szCs w:val="24"/>
        </w:rPr>
        <w:t xml:space="preserve">ouvement </w:t>
      </w:r>
      <w:r>
        <w:rPr>
          <w:rFonts w:asciiTheme="majorHAnsi" w:hAnsiTheme="majorHAnsi" w:cs="Times New Roman"/>
          <w:sz w:val="24"/>
          <w:szCs w:val="24"/>
        </w:rPr>
        <w:t>p</w:t>
      </w:r>
      <w:r w:rsidRPr="004623C6">
        <w:rPr>
          <w:rFonts w:asciiTheme="majorHAnsi" w:hAnsiTheme="majorHAnsi" w:cs="Times New Roman"/>
          <w:sz w:val="24"/>
          <w:szCs w:val="24"/>
        </w:rPr>
        <w:t>opulaire (aujourd’hui parti Les Républicains) ont soutenu unanimement les mesures de la BCE</w:t>
      </w:r>
      <w:r w:rsidRPr="004623C6">
        <w:rPr>
          <w:rStyle w:val="Appelnotedebasdep"/>
          <w:rFonts w:asciiTheme="majorHAnsi" w:hAnsiTheme="majorHAnsi" w:cs="Times New Roman"/>
          <w:sz w:val="24"/>
          <w:szCs w:val="24"/>
        </w:rPr>
        <w:footnoteReference w:id="72"/>
      </w:r>
      <w:r w:rsidRPr="004623C6">
        <w:rPr>
          <w:rFonts w:asciiTheme="majorHAnsi" w:hAnsiTheme="majorHAnsi" w:cs="Times New Roman"/>
          <w:sz w:val="24"/>
          <w:szCs w:val="24"/>
        </w:rPr>
        <w:t xml:space="preserve"> tandis que les critiques à celles-ci provenaient de l’extrême-droite</w:t>
      </w:r>
      <w:r w:rsidRPr="004623C6">
        <w:rPr>
          <w:rStyle w:val="Appelnotedebasdep"/>
          <w:rFonts w:asciiTheme="majorHAnsi" w:hAnsiTheme="majorHAnsi" w:cs="Times New Roman"/>
          <w:sz w:val="24"/>
          <w:szCs w:val="24"/>
        </w:rPr>
        <w:footnoteReference w:id="73"/>
      </w:r>
      <w:r w:rsidRPr="004623C6">
        <w:rPr>
          <w:rFonts w:asciiTheme="majorHAnsi" w:hAnsiTheme="majorHAnsi" w:cs="Times New Roman"/>
          <w:sz w:val="24"/>
          <w:szCs w:val="24"/>
        </w:rPr>
        <w:t>, de la gauche radicale</w:t>
      </w:r>
      <w:r w:rsidRPr="004623C6">
        <w:rPr>
          <w:rStyle w:val="Appelnotedebasdep"/>
          <w:rFonts w:asciiTheme="majorHAnsi" w:hAnsiTheme="majorHAnsi" w:cs="Times New Roman"/>
          <w:sz w:val="24"/>
          <w:szCs w:val="24"/>
        </w:rPr>
        <w:footnoteReference w:id="74"/>
      </w:r>
      <w:r w:rsidRPr="004623C6">
        <w:rPr>
          <w:rFonts w:asciiTheme="majorHAnsi" w:hAnsiTheme="majorHAnsi" w:cs="Times New Roman"/>
          <w:sz w:val="24"/>
          <w:szCs w:val="24"/>
        </w:rPr>
        <w:t xml:space="preserve"> et d’un centriste</w:t>
      </w:r>
      <w:r w:rsidRPr="004623C6">
        <w:rPr>
          <w:rStyle w:val="Appelnotedebasdep"/>
          <w:rFonts w:asciiTheme="majorHAnsi" w:hAnsiTheme="majorHAnsi" w:cs="Times New Roman"/>
          <w:sz w:val="24"/>
          <w:szCs w:val="24"/>
        </w:rPr>
        <w:footnoteReference w:id="75"/>
      </w:r>
      <w:r w:rsidRPr="004623C6">
        <w:rPr>
          <w:rFonts w:asciiTheme="majorHAnsi" w:hAnsiTheme="majorHAnsi" w:cs="Times New Roman"/>
          <w:sz w:val="24"/>
          <w:szCs w:val="24"/>
        </w:rPr>
        <w:t xml:space="preserve">. </w:t>
      </w:r>
    </w:p>
    <w:p w14:paraId="4E691033" w14:textId="77777777" w:rsidR="00997282" w:rsidRPr="004623C6" w:rsidRDefault="00997282" w:rsidP="005325FC">
      <w:pPr>
        <w:autoSpaceDE w:val="0"/>
        <w:autoSpaceDN w:val="0"/>
        <w:adjustRightInd w:val="0"/>
        <w:spacing w:after="0" w:line="360" w:lineRule="auto"/>
        <w:jc w:val="both"/>
        <w:rPr>
          <w:rFonts w:asciiTheme="majorHAnsi" w:hAnsiTheme="majorHAnsi" w:cs="Times New Roman"/>
          <w:sz w:val="24"/>
          <w:szCs w:val="24"/>
        </w:rPr>
      </w:pPr>
    </w:p>
    <w:p w14:paraId="514ACAC9" w14:textId="6E60FBB9" w:rsidR="00997282" w:rsidRPr="004623C6" w:rsidRDefault="00997282" w:rsidP="005325FC">
      <w:pPr>
        <w:autoSpaceDE w:val="0"/>
        <w:autoSpaceDN w:val="0"/>
        <w:adjustRightInd w:val="0"/>
        <w:spacing w:after="0" w:line="360" w:lineRule="auto"/>
        <w:jc w:val="both"/>
        <w:rPr>
          <w:rFonts w:asciiTheme="majorHAnsi" w:hAnsiTheme="majorHAnsi" w:cs="Times New Roman"/>
          <w:color w:val="000000"/>
          <w:sz w:val="24"/>
          <w:szCs w:val="24"/>
          <w:lang w:val="fr-BE"/>
        </w:rPr>
      </w:pPr>
      <w:r w:rsidRPr="004623C6">
        <w:rPr>
          <w:rFonts w:asciiTheme="majorHAnsi" w:hAnsiTheme="majorHAnsi" w:cs="Times New Roman"/>
          <w:sz w:val="24"/>
          <w:szCs w:val="24"/>
        </w:rPr>
        <w:t>Au-delà de la polarisation partisane, soulignons aussi que les auditions des représentant∙e∙s de la BCE contribuent aussi à la polarisation des espaces nationaux en Europe. Ainsi, depuis 2012, Mario Draghi, s’est rendu devant les parlements nationaux des six pays contribuant le plus à la capitalisation de la BCE et, par-là, assumant un risque fiscal plus important (Allemagne, France, Espagne, Finlande, Italie et Pays-Bas)</w:t>
      </w:r>
      <w:r w:rsidRPr="004623C6">
        <w:rPr>
          <w:rFonts w:asciiTheme="majorHAnsi" w:hAnsiTheme="majorHAnsi" w:cs="Times New Roman"/>
          <w:color w:val="000000"/>
          <w:sz w:val="24"/>
          <w:szCs w:val="24"/>
          <w:lang w:val="fr-BE"/>
        </w:rPr>
        <w:t>.</w:t>
      </w:r>
      <w:r w:rsidRPr="004623C6">
        <w:rPr>
          <w:rFonts w:asciiTheme="majorHAnsi" w:hAnsiTheme="majorHAnsi" w:cs="Times New Roman"/>
          <w:sz w:val="24"/>
          <w:szCs w:val="24"/>
        </w:rPr>
        <w:t xml:space="preserve"> Cependant, aucune visite n’a été rendue devant les parlements des pays périphériques de la zone euro où la BCE a joué un rôle controversé au sein de la Troïka. Par conséquent, les parlementaires du premier groupe de pays ont pu fortement critiquer l’action de la BCE, sans disposer d’outils contraignants sur celle-ci pour autant, tandis que les </w:t>
      </w:r>
      <w:r w:rsidRPr="004623C6">
        <w:rPr>
          <w:rFonts w:asciiTheme="majorHAnsi" w:hAnsiTheme="majorHAnsi" w:cs="Times New Roman"/>
          <w:sz w:val="24"/>
          <w:szCs w:val="24"/>
        </w:rPr>
        <w:lastRenderedPageBreak/>
        <w:t>parlementaires des pays ayant demandé une assistance financière n’ont pas pu contester son action au sein de la Troïka</w:t>
      </w:r>
      <w:r>
        <w:rPr>
          <w:rStyle w:val="Appelnotedebasdep"/>
          <w:rFonts w:asciiTheme="majorHAnsi" w:hAnsiTheme="majorHAnsi" w:cs="Times New Roman"/>
          <w:sz w:val="24"/>
          <w:szCs w:val="24"/>
        </w:rPr>
        <w:footnoteReference w:id="76"/>
      </w:r>
      <w:r w:rsidRPr="004623C6">
        <w:rPr>
          <w:rFonts w:asciiTheme="majorHAnsi" w:hAnsiTheme="majorHAnsi" w:cs="Times New Roman"/>
          <w:sz w:val="24"/>
          <w:szCs w:val="24"/>
        </w:rPr>
        <w:t xml:space="preserve">.  </w:t>
      </w:r>
    </w:p>
    <w:p w14:paraId="0AE9CE1E" w14:textId="77777777" w:rsidR="00997282" w:rsidRPr="004623C6" w:rsidRDefault="00997282" w:rsidP="005A638B">
      <w:pPr>
        <w:spacing w:after="0" w:line="360" w:lineRule="auto"/>
        <w:contextualSpacing/>
        <w:jc w:val="both"/>
        <w:rPr>
          <w:rFonts w:asciiTheme="majorHAnsi" w:hAnsiTheme="majorHAnsi" w:cs="Times New Roman"/>
          <w:sz w:val="24"/>
          <w:szCs w:val="24"/>
        </w:rPr>
      </w:pPr>
    </w:p>
    <w:p w14:paraId="469505AD" w14:textId="043FBCAA" w:rsidR="00997282" w:rsidRPr="004623C6" w:rsidRDefault="00997282" w:rsidP="005A638B">
      <w:pPr>
        <w:spacing w:after="0" w:line="360" w:lineRule="auto"/>
        <w:contextualSpacing/>
        <w:jc w:val="both"/>
        <w:rPr>
          <w:rFonts w:asciiTheme="majorHAnsi" w:hAnsiTheme="majorHAnsi" w:cs="Times New Roman"/>
          <w:sz w:val="24"/>
          <w:szCs w:val="24"/>
        </w:rPr>
      </w:pPr>
      <w:r w:rsidRPr="004623C6">
        <w:rPr>
          <w:rFonts w:asciiTheme="majorHAnsi" w:hAnsiTheme="majorHAnsi" w:cs="Times New Roman"/>
          <w:sz w:val="24"/>
          <w:szCs w:val="24"/>
        </w:rPr>
        <w:t>Enfin, depuis les dernières élections de 2014, les parlementaires interpellent de manière croissante la BCE en envoyant des lettres officielles. Ainsi, sur l’année 2015 uniquement, la BCE a reçu 179 lettres de la part des parlementaires, soit davantage que durant les quatre années précédentes. La plupart portaient sur les mesures non conventionnelles de la BCE et sont envoyés par des parlementaires appartenant aux franges radicales du spectre partisan qui ne disposent pas d’un temps de parole conséquent pendant les auditions. Par ailleurs, un groupe de 15 parlementaires a demandé à Mario Draghi une transparence accrue des opérations de rachat de titres d’entreprises de la BCE. Suite à un refus initial de la part de la BCE, 18 parlementaires supplémentaires ont rejoint les revendications initiales et ont contraint la BCE à accroitre la lisibilité de ses achats</w:t>
      </w:r>
      <w:r w:rsidRPr="004623C6">
        <w:rPr>
          <w:rStyle w:val="Appelnotedebasdep"/>
          <w:rFonts w:asciiTheme="majorHAnsi" w:hAnsiTheme="majorHAnsi" w:cs="Times New Roman"/>
          <w:sz w:val="24"/>
          <w:szCs w:val="24"/>
        </w:rPr>
        <w:footnoteReference w:id="77"/>
      </w:r>
      <w:r w:rsidRPr="004623C6">
        <w:rPr>
          <w:rFonts w:asciiTheme="majorHAnsi" w:hAnsiTheme="majorHAnsi" w:cs="Times New Roman"/>
          <w:sz w:val="24"/>
          <w:szCs w:val="24"/>
        </w:rPr>
        <w:t>. Cependant, cette action inédite trans-partisane des parlementaires n’a pas été suffisante pour satisfaire leur demande principale, soit la publicisation du montant des achats pour chaque entreprise afin de pouvoir surveiller les risques de conflits d’intérêts</w:t>
      </w:r>
      <w:r w:rsidR="00C95CF5">
        <w:rPr>
          <w:rStyle w:val="Appelnotedebasdep"/>
          <w:rFonts w:asciiTheme="majorHAnsi" w:hAnsiTheme="majorHAnsi" w:cs="Times New Roman"/>
          <w:sz w:val="24"/>
          <w:szCs w:val="24"/>
        </w:rPr>
        <w:footnoteReference w:id="78"/>
      </w:r>
      <w:r w:rsidRPr="0053779C">
        <w:rPr>
          <w:rFonts w:asciiTheme="majorHAnsi" w:hAnsiTheme="majorHAnsi" w:cs="Times New Roman"/>
          <w:sz w:val="24"/>
          <w:szCs w:val="24"/>
          <w:highlight w:val="yellow"/>
        </w:rPr>
        <w:t>.</w:t>
      </w:r>
      <w:r w:rsidRPr="004623C6">
        <w:rPr>
          <w:rFonts w:asciiTheme="majorHAnsi" w:hAnsiTheme="majorHAnsi" w:cs="Times New Roman"/>
          <w:sz w:val="24"/>
          <w:szCs w:val="24"/>
        </w:rPr>
        <w:t xml:space="preserve"> De manière générale, les controverses engendrées par le programme de rachats de titres ont nourri le débat sur la contribution de la politique monétaire aux objectifs sociaux et environnementaux de l’UE. Ainsi, à l’occasion de l’adoption d’une résolution sur la « finance verte », les parlementaires européen∙ne∙s recommandent à la BCE l’adoption de critères environnementaux pour ses achats d’actifs financiers</w:t>
      </w:r>
      <w:r w:rsidRPr="004623C6">
        <w:rPr>
          <w:rStyle w:val="Appelnotedebasdep"/>
          <w:rFonts w:asciiTheme="majorHAnsi" w:hAnsiTheme="majorHAnsi" w:cs="Times New Roman"/>
          <w:sz w:val="24"/>
          <w:szCs w:val="24"/>
        </w:rPr>
        <w:footnoteReference w:id="79"/>
      </w:r>
      <w:r w:rsidRPr="004623C6">
        <w:rPr>
          <w:rFonts w:asciiTheme="majorHAnsi" w:hAnsiTheme="majorHAnsi" w:cs="Times New Roman"/>
          <w:sz w:val="24"/>
          <w:szCs w:val="24"/>
        </w:rPr>
        <w:t xml:space="preserve">.    </w:t>
      </w:r>
    </w:p>
    <w:p w14:paraId="5E07A133" w14:textId="77777777" w:rsidR="00997282" w:rsidRPr="004623C6" w:rsidRDefault="00997282" w:rsidP="005A638B">
      <w:pPr>
        <w:spacing w:after="0" w:line="360" w:lineRule="auto"/>
        <w:contextualSpacing/>
        <w:jc w:val="both"/>
        <w:rPr>
          <w:rFonts w:asciiTheme="majorHAnsi" w:hAnsiTheme="majorHAnsi" w:cs="Times New Roman"/>
          <w:sz w:val="24"/>
          <w:szCs w:val="24"/>
          <w:lang w:val="fr-FR"/>
        </w:rPr>
      </w:pPr>
    </w:p>
    <w:p w14:paraId="65C01C2F" w14:textId="5E9AF122" w:rsidR="00997282" w:rsidRPr="004623C6" w:rsidRDefault="00997282" w:rsidP="005A638B">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Au final, le Parlement européen est l’enceinte institutionnelle où les débats sur les mesures non-conventionnelles ont été les plus politisés. Depuis 2015, la saillance des enjeux monétaires a permis aux critiques de la BCE de dépasser le seul cadre de l’habituel dialogue monétaire : certains parlements nationaux sont impliqués et des résolutions touchant au rôle de la politique monétaire sont adoptées en plénière du Parlement </w:t>
      </w:r>
      <w:r>
        <w:rPr>
          <w:rFonts w:asciiTheme="majorHAnsi" w:hAnsiTheme="majorHAnsi" w:cs="Times New Roman"/>
          <w:sz w:val="24"/>
          <w:szCs w:val="24"/>
          <w:lang w:val="fr-FR"/>
        </w:rPr>
        <w:t>e</w:t>
      </w:r>
      <w:r w:rsidRPr="004623C6">
        <w:rPr>
          <w:rFonts w:asciiTheme="majorHAnsi" w:hAnsiTheme="majorHAnsi" w:cs="Times New Roman"/>
          <w:sz w:val="24"/>
          <w:szCs w:val="24"/>
          <w:lang w:val="fr-FR"/>
        </w:rPr>
        <w:t xml:space="preserve">uropéen. Les débats parlementaires montrent aussi une </w:t>
      </w:r>
      <w:r w:rsidRPr="004623C6">
        <w:rPr>
          <w:rFonts w:asciiTheme="majorHAnsi" w:hAnsiTheme="majorHAnsi" w:cs="Times New Roman"/>
          <w:sz w:val="24"/>
          <w:szCs w:val="24"/>
          <w:lang w:val="fr-FR"/>
        </w:rPr>
        <w:lastRenderedPageBreak/>
        <w:t>forte polarisation partisane : les critiques sur la BCE proviennent principalement des franges radicales du spectre partisan tandis que leur soutien est davantage assuré par les partis gouvernementaux. Par ailleurs, les conséquences indésirables des mesures monétaires sont davantage critiquées par les parlementaires de droite qui soulignent les risques de déficit accru, d’inflation et de fragilisation des fonds de pension, tandis que les critiques émanant de parlementaires de gauche portent sur les questions d’inégalités ou de renforcement de l’austérité. Enfin, soulignons l’apparition de nouveaux acteurs : une organisation non gouvernementale (ONG) été créée pour surveiller les activités de la BCE et mobiliser les parlementaires sur les questions monétaires</w:t>
      </w:r>
      <w:r w:rsidRPr="004623C6">
        <w:rPr>
          <w:rStyle w:val="Appelnotedebasdep"/>
          <w:rFonts w:asciiTheme="majorHAnsi" w:hAnsiTheme="majorHAnsi" w:cs="Times New Roman"/>
          <w:sz w:val="24"/>
          <w:szCs w:val="24"/>
          <w:lang w:val="fr-FR"/>
        </w:rPr>
        <w:footnoteReference w:id="80"/>
      </w:r>
      <w:r w:rsidRPr="004623C6">
        <w:rPr>
          <w:rFonts w:asciiTheme="majorHAnsi" w:hAnsiTheme="majorHAnsi" w:cs="Times New Roman"/>
          <w:sz w:val="24"/>
          <w:szCs w:val="24"/>
          <w:lang w:val="fr-FR"/>
        </w:rPr>
        <w:t xml:space="preserve"> et d’autres ONG et </w:t>
      </w:r>
      <w:r w:rsidRPr="004623C6">
        <w:rPr>
          <w:rFonts w:asciiTheme="majorHAnsi" w:hAnsiTheme="majorHAnsi" w:cs="Times New Roman"/>
          <w:i/>
          <w:sz w:val="24"/>
          <w:szCs w:val="24"/>
          <w:lang w:val="fr-FR"/>
        </w:rPr>
        <w:t>think-tanks</w:t>
      </w:r>
      <w:r w:rsidRPr="004623C6">
        <w:rPr>
          <w:rFonts w:asciiTheme="majorHAnsi" w:hAnsiTheme="majorHAnsi" w:cs="Times New Roman"/>
          <w:sz w:val="24"/>
          <w:szCs w:val="24"/>
          <w:lang w:val="fr-FR"/>
        </w:rPr>
        <w:t xml:space="preserve"> (tels que </w:t>
      </w:r>
      <w:r w:rsidRPr="004623C6">
        <w:rPr>
          <w:rFonts w:asciiTheme="majorHAnsi" w:hAnsiTheme="majorHAnsi" w:cs="Times New Roman"/>
          <w:i/>
          <w:sz w:val="24"/>
          <w:szCs w:val="24"/>
          <w:lang w:val="fr-FR"/>
        </w:rPr>
        <w:t>Corporate Europe</w:t>
      </w:r>
      <w:r w:rsidRPr="004623C6">
        <w:rPr>
          <w:rFonts w:asciiTheme="majorHAnsi" w:hAnsiTheme="majorHAnsi" w:cs="Times New Roman"/>
          <w:sz w:val="24"/>
          <w:szCs w:val="24"/>
          <w:lang w:val="fr-FR"/>
        </w:rPr>
        <w:t xml:space="preserve"> </w:t>
      </w:r>
      <w:r w:rsidRPr="004623C6">
        <w:rPr>
          <w:rFonts w:asciiTheme="majorHAnsi" w:hAnsiTheme="majorHAnsi" w:cs="Times New Roman"/>
          <w:i/>
          <w:sz w:val="24"/>
          <w:szCs w:val="24"/>
          <w:lang w:val="fr-FR"/>
        </w:rPr>
        <w:t>Observatory</w:t>
      </w:r>
      <w:r w:rsidRPr="004623C6">
        <w:rPr>
          <w:rFonts w:asciiTheme="majorHAnsi" w:hAnsiTheme="majorHAnsi" w:cs="Times New Roman"/>
          <w:sz w:val="24"/>
          <w:szCs w:val="24"/>
          <w:lang w:val="fr-FR"/>
        </w:rPr>
        <w:t xml:space="preserve"> ou Bruegel) produisent plus de rapports sur la BCE, qui sont mobilisés par la suite par les parlementaires.</w:t>
      </w:r>
    </w:p>
    <w:p w14:paraId="16061E2E" w14:textId="77777777" w:rsidR="00997282" w:rsidRPr="004623C6" w:rsidRDefault="00997282" w:rsidP="005A638B">
      <w:pPr>
        <w:spacing w:after="0" w:line="360" w:lineRule="auto"/>
        <w:contextualSpacing/>
        <w:jc w:val="both"/>
        <w:rPr>
          <w:rFonts w:asciiTheme="majorHAnsi" w:hAnsiTheme="majorHAnsi" w:cs="Times New Roman"/>
          <w:sz w:val="24"/>
          <w:szCs w:val="24"/>
          <w:lang w:val="fr-FR"/>
        </w:rPr>
      </w:pPr>
    </w:p>
    <w:p w14:paraId="03C07BCB" w14:textId="16908583" w:rsidR="00997282" w:rsidRPr="00C14248" w:rsidRDefault="00997282" w:rsidP="001305A9">
      <w:pPr>
        <w:spacing w:after="0" w:line="360" w:lineRule="auto"/>
        <w:contextualSpacing/>
        <w:jc w:val="both"/>
        <w:rPr>
          <w:rFonts w:asciiTheme="majorHAnsi" w:hAnsiTheme="majorHAnsi" w:cs="Times New Roman"/>
          <w:b/>
          <w:sz w:val="28"/>
          <w:szCs w:val="28"/>
          <w:lang w:val="fr-FR"/>
        </w:rPr>
      </w:pPr>
      <w:r w:rsidRPr="00C14248">
        <w:rPr>
          <w:rFonts w:asciiTheme="majorHAnsi" w:hAnsiTheme="majorHAnsi" w:cs="Times New Roman"/>
          <w:b/>
          <w:sz w:val="28"/>
          <w:szCs w:val="28"/>
          <w:lang w:val="fr-FR"/>
        </w:rPr>
        <w:t>3. Les facteurs de l’autonomie persistante de la BCE</w:t>
      </w:r>
    </w:p>
    <w:p w14:paraId="75F01632" w14:textId="77777777" w:rsidR="00997282" w:rsidRPr="004623C6" w:rsidRDefault="00997282" w:rsidP="001305A9">
      <w:pPr>
        <w:spacing w:after="0" w:line="360" w:lineRule="auto"/>
        <w:contextualSpacing/>
        <w:jc w:val="both"/>
        <w:rPr>
          <w:rFonts w:asciiTheme="majorHAnsi" w:hAnsiTheme="majorHAnsi" w:cs="Times New Roman"/>
          <w:b/>
          <w:sz w:val="24"/>
          <w:szCs w:val="24"/>
          <w:u w:val="single"/>
          <w:lang w:val="fr-FR"/>
        </w:rPr>
      </w:pPr>
    </w:p>
    <w:p w14:paraId="25BD77B0" w14:textId="3EDBD156" w:rsidR="00997282" w:rsidRPr="004623C6" w:rsidRDefault="00997282" w:rsidP="001305A9">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La troisième et dernière partie de chapitre explore trois facteurs explicatifs de l’autonomie persistante de la BCE décrite plus haut : la domination épistémique des banquiers centraux, les effets de croyance économique et de la structuration partisane et les contraintes liées à la financiarisation de l’économie. L’étude de ces facteurs explicatifs n’est qu’au stade exploratoire ; des recherches ultérieures sont nécessaires pour juger plus précisément de la validité et du poids explicatif de chacun de ces facteurs. </w:t>
      </w:r>
    </w:p>
    <w:p w14:paraId="11FA9E19" w14:textId="77777777" w:rsidR="00997282" w:rsidRPr="004623C6" w:rsidRDefault="00997282" w:rsidP="001305A9">
      <w:pPr>
        <w:spacing w:after="0" w:line="360" w:lineRule="auto"/>
        <w:contextualSpacing/>
        <w:jc w:val="both"/>
        <w:rPr>
          <w:rFonts w:asciiTheme="majorHAnsi" w:hAnsiTheme="majorHAnsi" w:cs="Times New Roman"/>
          <w:sz w:val="24"/>
          <w:szCs w:val="24"/>
          <w:lang w:val="fr-FR"/>
        </w:rPr>
      </w:pPr>
    </w:p>
    <w:p w14:paraId="3223D410" w14:textId="0650AC5B" w:rsidR="00997282" w:rsidRPr="00476505" w:rsidRDefault="00997282" w:rsidP="001305A9">
      <w:pPr>
        <w:spacing w:after="0" w:line="360" w:lineRule="auto"/>
        <w:contextualSpacing/>
        <w:jc w:val="both"/>
        <w:rPr>
          <w:rFonts w:asciiTheme="majorHAnsi" w:hAnsiTheme="majorHAnsi" w:cs="Times New Roman"/>
          <w:b/>
          <w:i/>
          <w:sz w:val="24"/>
          <w:szCs w:val="24"/>
          <w:lang w:val="fr-FR"/>
        </w:rPr>
      </w:pPr>
      <w:r w:rsidRPr="00476505">
        <w:rPr>
          <w:rFonts w:asciiTheme="majorHAnsi" w:hAnsiTheme="majorHAnsi" w:cs="Times New Roman"/>
          <w:b/>
          <w:i/>
          <w:sz w:val="24"/>
          <w:szCs w:val="24"/>
          <w:lang w:val="fr-FR"/>
        </w:rPr>
        <w:t>La domination épistémique des banquiers centraux</w:t>
      </w:r>
    </w:p>
    <w:p w14:paraId="238B2C0D" w14:textId="77777777" w:rsidR="00997282" w:rsidRPr="004623C6" w:rsidRDefault="00997282" w:rsidP="001305A9">
      <w:pPr>
        <w:spacing w:after="0" w:line="360" w:lineRule="auto"/>
        <w:contextualSpacing/>
        <w:jc w:val="both"/>
        <w:rPr>
          <w:rFonts w:asciiTheme="majorHAnsi" w:hAnsiTheme="majorHAnsi" w:cs="Times New Roman"/>
          <w:sz w:val="24"/>
          <w:szCs w:val="24"/>
          <w:lang w:val="fr-FR"/>
        </w:rPr>
      </w:pPr>
    </w:p>
    <w:p w14:paraId="5B61F861" w14:textId="305E4DFE" w:rsidR="00997282" w:rsidRPr="004623C6" w:rsidRDefault="00997282" w:rsidP="003D5335">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La BCE dispose d’une caractéristique qui ne se retrouve pas parmi les autres organisations régulatrices indépendantes de l’UE</w:t>
      </w:r>
      <w:r>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elle domine la production de connaissances scientifiques sur les domaines monétaires et financiers</w:t>
      </w:r>
      <w:r>
        <w:rPr>
          <w:rStyle w:val="Appelnotedebasdep"/>
          <w:rFonts w:asciiTheme="majorHAnsi" w:hAnsiTheme="majorHAnsi" w:cs="Times New Roman"/>
          <w:sz w:val="24"/>
          <w:szCs w:val="24"/>
          <w:lang w:val="fr-FR"/>
        </w:rPr>
        <w:footnoteReference w:id="81"/>
      </w:r>
      <w:r w:rsidRPr="004623C6">
        <w:rPr>
          <w:rFonts w:asciiTheme="majorHAnsi" w:hAnsiTheme="majorHAnsi" w:cs="Times New Roman"/>
          <w:sz w:val="24"/>
          <w:szCs w:val="24"/>
          <w:lang w:val="fr-FR"/>
        </w:rPr>
        <w:t xml:space="preserve">. En effet, depuis les années 1990, les banquiers centraux se </w:t>
      </w:r>
      <w:r w:rsidRPr="004623C6">
        <w:rPr>
          <w:rFonts w:asciiTheme="majorHAnsi" w:hAnsiTheme="majorHAnsi" w:cs="Times New Roman"/>
          <w:sz w:val="24"/>
          <w:szCs w:val="24"/>
          <w:lang w:val="fr-FR"/>
        </w:rPr>
        <w:lastRenderedPageBreak/>
        <w:t xml:space="preserve">construisent une image de « neutralité » experte et justifient leurs décisions par la dimension technique et apolitique des enjeux monétaires. À l’instar d’autres institutions européennes, cette scientifisation du métier de banquier central leur a permis de construire une légitimité experte auprès des gouvernements et d’isoler leurs décisions des critiques « profanes ». </w:t>
      </w:r>
    </w:p>
    <w:p w14:paraId="10C47E76" w14:textId="77777777" w:rsidR="00997282" w:rsidRPr="004623C6" w:rsidRDefault="00997282" w:rsidP="003D5335">
      <w:pPr>
        <w:spacing w:after="0" w:line="360" w:lineRule="auto"/>
        <w:contextualSpacing/>
        <w:jc w:val="both"/>
        <w:rPr>
          <w:rFonts w:asciiTheme="majorHAnsi" w:hAnsiTheme="majorHAnsi" w:cs="Times New Roman"/>
          <w:sz w:val="24"/>
          <w:szCs w:val="24"/>
          <w:lang w:val="fr-FR"/>
        </w:rPr>
      </w:pPr>
    </w:p>
    <w:p w14:paraId="2D25B814" w14:textId="4DBBFA80" w:rsidR="00997282" w:rsidRPr="004623C6" w:rsidRDefault="00997282" w:rsidP="003D5335">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 temps de crise, où le niveau d’incertitude est élevé du fait de la complexité perçue et la pression temporelle engendrée par les affaires financières, cette domination épistémique renforce l’autorité des arguments des banquiers centraux</w:t>
      </w:r>
      <w:r>
        <w:rPr>
          <w:rStyle w:val="Appelnotedebasdep"/>
          <w:rFonts w:asciiTheme="majorHAnsi" w:hAnsiTheme="majorHAnsi" w:cs="Times New Roman"/>
          <w:sz w:val="24"/>
          <w:szCs w:val="24"/>
          <w:lang w:val="fr-FR"/>
        </w:rPr>
        <w:footnoteReference w:id="82"/>
      </w:r>
      <w:r w:rsidRPr="004623C6">
        <w:rPr>
          <w:rFonts w:asciiTheme="majorHAnsi" w:hAnsiTheme="majorHAnsi" w:cs="Times New Roman"/>
          <w:sz w:val="24"/>
          <w:szCs w:val="24"/>
          <w:lang w:val="fr-FR"/>
        </w:rPr>
        <w:t>.  L’autorité experte de la BCE pourrait ainsi expliquer l’absence de contrôle en légalité ou l’évaluation purement procédurale des mesures monétaires par les cours de justice. La CJUE souligne d’ailleurs que la BCE doit disposer d’un degré de discrétion élevé dans la mise en œuvre de ses politiques monétaires, du fait de sa capacité « </w:t>
      </w:r>
      <w:r w:rsidRPr="004623C6">
        <w:rPr>
          <w:rFonts w:asciiTheme="majorHAnsi" w:hAnsiTheme="majorHAnsi" w:cs="Times New Roman"/>
          <w:sz w:val="24"/>
          <w:szCs w:val="24"/>
        </w:rPr>
        <w:t>à procéder à des choix de nature technique et à effectuer des prévisions et des appréciations complexes</w:t>
      </w:r>
      <w:r>
        <w:rPr>
          <w:rFonts w:asciiTheme="majorHAnsi" w:hAnsiTheme="majorHAnsi" w:cs="Times New Roman"/>
          <w:sz w:val="24"/>
          <w:szCs w:val="24"/>
        </w:rPr>
        <w:t> »</w:t>
      </w:r>
      <w:r w:rsidRPr="004623C6">
        <w:rPr>
          <w:rStyle w:val="Appelnotedebasdep"/>
          <w:rFonts w:asciiTheme="majorHAnsi" w:hAnsiTheme="majorHAnsi" w:cs="Times New Roman"/>
          <w:sz w:val="24"/>
          <w:szCs w:val="24"/>
          <w:lang w:val="fr-FR"/>
        </w:rPr>
        <w:footnoteReference w:id="83"/>
      </w:r>
      <w:r w:rsidRPr="004623C6">
        <w:rPr>
          <w:rFonts w:asciiTheme="majorHAnsi" w:hAnsiTheme="majorHAnsi" w:cs="Times New Roman"/>
          <w:sz w:val="24"/>
          <w:szCs w:val="24"/>
          <w:lang w:val="fr-FR"/>
        </w:rPr>
        <w:t>. Cependant, Hinarejos</w:t>
      </w:r>
      <w:r w:rsidR="00392FB7">
        <w:rPr>
          <w:rStyle w:val="Appelnotedebasdep"/>
          <w:rFonts w:asciiTheme="majorHAnsi" w:hAnsiTheme="majorHAnsi" w:cs="Times New Roman"/>
          <w:sz w:val="24"/>
          <w:szCs w:val="24"/>
          <w:lang w:val="fr-FR"/>
        </w:rPr>
        <w:footnoteReference w:id="84"/>
      </w:r>
      <w:r w:rsidR="00392FB7">
        <w:rPr>
          <w:rFonts w:asciiTheme="majorHAnsi" w:hAnsiTheme="majorHAnsi" w:cs="Times New Roman"/>
          <w:sz w:val="24"/>
          <w:szCs w:val="24"/>
          <w:lang w:val="fr-FR"/>
        </w:rPr>
        <w:t xml:space="preserve"> </w:t>
      </w:r>
      <w:r w:rsidRPr="004623C6">
        <w:rPr>
          <w:rFonts w:asciiTheme="majorHAnsi" w:hAnsiTheme="majorHAnsi" w:cs="Times New Roman"/>
          <w:sz w:val="24"/>
          <w:szCs w:val="24"/>
          <w:lang w:val="fr-FR"/>
        </w:rPr>
        <w:t xml:space="preserve">estime que la CJUE a effectué un choix stratégique en n’examinant pas de manière substantielle les mesures de la BCE et des questions plus abstraites, telles que la doctrine soutenant l’indépendance de la BCE, la nature et l’évolution de l’UEM et le rôle que devrait jouer la solidarité au sein de son cadre constitutionnel. En guise de contre-exemple, la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our constitutionnelle allemande a développé sa propre expertise sur les instruments monétaires de la BCE afin d’élaborer son avis sur leur légalité. </w:t>
      </w:r>
    </w:p>
    <w:p w14:paraId="1B13AA70" w14:textId="77777777" w:rsidR="00997282" w:rsidRPr="004623C6" w:rsidRDefault="00997282" w:rsidP="003D5335">
      <w:pPr>
        <w:spacing w:after="0" w:line="360" w:lineRule="auto"/>
        <w:contextualSpacing/>
        <w:jc w:val="both"/>
        <w:rPr>
          <w:rFonts w:asciiTheme="majorHAnsi" w:hAnsiTheme="majorHAnsi" w:cs="Times New Roman"/>
          <w:sz w:val="24"/>
          <w:szCs w:val="24"/>
          <w:lang w:val="fr-FR"/>
        </w:rPr>
      </w:pPr>
    </w:p>
    <w:p w14:paraId="5C7E55FD" w14:textId="46C39581" w:rsidR="00997282" w:rsidRPr="004623C6" w:rsidRDefault="00997282" w:rsidP="00591DE9">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Le rôle joué par l’expertise explique </w:t>
      </w:r>
      <w:r>
        <w:rPr>
          <w:rFonts w:asciiTheme="majorHAnsi" w:hAnsiTheme="majorHAnsi" w:cs="Times New Roman"/>
          <w:sz w:val="24"/>
          <w:szCs w:val="24"/>
          <w:lang w:val="fr-FR"/>
        </w:rPr>
        <w:t xml:space="preserve">aussi </w:t>
      </w:r>
      <w:r w:rsidRPr="004623C6">
        <w:rPr>
          <w:rFonts w:asciiTheme="majorHAnsi" w:hAnsiTheme="majorHAnsi" w:cs="Times New Roman"/>
          <w:sz w:val="24"/>
          <w:szCs w:val="24"/>
          <w:lang w:val="fr-FR"/>
        </w:rPr>
        <w:t xml:space="preserve">les difficultés des gouvernements à se positionner sur les mesures des banques centrales. Ainsi, un des effets inattendus de la délégation de la politique monétaire à des agences indépendantes a été de réduire très significativement les capacités d’expertise des administrations fiscales nationales sur les flux monétaires et financiers. Par exemple, un haut fonctionnaire français appartenant à la </w:t>
      </w:r>
      <w:r>
        <w:rPr>
          <w:rFonts w:asciiTheme="majorHAnsi" w:hAnsiTheme="majorHAnsi" w:cs="Times New Roman"/>
          <w:sz w:val="24"/>
          <w:szCs w:val="24"/>
          <w:lang w:val="fr-FR"/>
        </w:rPr>
        <w:t>d</w:t>
      </w:r>
      <w:r w:rsidRPr="004623C6">
        <w:rPr>
          <w:rFonts w:asciiTheme="majorHAnsi" w:hAnsiTheme="majorHAnsi" w:cs="Times New Roman"/>
          <w:sz w:val="24"/>
          <w:szCs w:val="24"/>
          <w:lang w:val="fr-FR"/>
        </w:rPr>
        <w:t xml:space="preserve">irection </w:t>
      </w:r>
      <w:r>
        <w:rPr>
          <w:rFonts w:asciiTheme="majorHAnsi" w:hAnsiTheme="majorHAnsi" w:cs="Times New Roman"/>
          <w:sz w:val="24"/>
          <w:szCs w:val="24"/>
          <w:lang w:val="fr-FR"/>
        </w:rPr>
        <w:t>g</w:t>
      </w:r>
      <w:r w:rsidRPr="004623C6">
        <w:rPr>
          <w:rFonts w:asciiTheme="majorHAnsi" w:hAnsiTheme="majorHAnsi" w:cs="Times New Roman"/>
          <w:sz w:val="24"/>
          <w:szCs w:val="24"/>
          <w:lang w:val="fr-FR"/>
        </w:rPr>
        <w:t xml:space="preserve">énérale du Trésor explique qu’il n’y a plus aujourd’hui qu’un agent en charge du suivi monétaire alors qu’une division administrative </w:t>
      </w:r>
      <w:r w:rsidRPr="004623C6">
        <w:rPr>
          <w:rFonts w:asciiTheme="majorHAnsi" w:hAnsiTheme="majorHAnsi" w:cs="Times New Roman"/>
          <w:sz w:val="24"/>
          <w:szCs w:val="24"/>
          <w:lang w:val="fr-FR"/>
        </w:rPr>
        <w:lastRenderedPageBreak/>
        <w:t>entière y était affectée avant la création de l’euro</w:t>
      </w:r>
      <w:r w:rsidRPr="004623C6">
        <w:rPr>
          <w:rStyle w:val="Appelnotedebasdep"/>
          <w:rFonts w:asciiTheme="majorHAnsi" w:hAnsiTheme="majorHAnsi" w:cs="Times New Roman"/>
          <w:sz w:val="24"/>
          <w:szCs w:val="24"/>
          <w:lang w:val="fr-FR"/>
        </w:rPr>
        <w:footnoteReference w:id="85"/>
      </w:r>
      <w:r w:rsidRPr="004623C6">
        <w:rPr>
          <w:rFonts w:asciiTheme="majorHAnsi" w:hAnsiTheme="majorHAnsi" w:cs="Times New Roman"/>
          <w:sz w:val="24"/>
          <w:szCs w:val="24"/>
          <w:lang w:val="fr-FR"/>
        </w:rPr>
        <w:t>. De plus, certaines banques nationales ou certains régulateurs financiers nationaux voient leur expertise moins reconnue par les autres acteurs depuis la création de l’euro et le déclenchement de la crise financière. Ainsi, un membre du Conseil Ecofin expliquait qu’en 2010, les dirigeants étatiques se reposaient sur les analyses de la BCE plutôt que sur leurs expert∙e∙s nationaux pour suivre l’évolution des risques systémiques pesant sur la zone euro</w:t>
      </w:r>
      <w:r>
        <w:rPr>
          <w:rStyle w:val="Appelnotedebasdep"/>
          <w:rFonts w:asciiTheme="majorHAnsi" w:hAnsiTheme="majorHAnsi" w:cs="Times New Roman"/>
          <w:sz w:val="24"/>
          <w:szCs w:val="24"/>
          <w:lang w:val="fr-FR"/>
        </w:rPr>
        <w:footnoteReference w:id="86"/>
      </w:r>
      <w:r w:rsidRPr="004623C6">
        <w:rPr>
          <w:rFonts w:asciiTheme="majorHAnsi" w:hAnsiTheme="majorHAnsi" w:cs="Times New Roman"/>
          <w:sz w:val="24"/>
          <w:szCs w:val="24"/>
          <w:lang w:val="fr-FR"/>
        </w:rPr>
        <w:t xml:space="preserve">. En d’autres mots, l’influence experte de la BCE ne semble pas être seulement due au développement de ses propres capacités de production de connaissances scientifiques, mais aussi au retrait d’autres capacités de recherches ayant permis une contre-expertise. </w:t>
      </w:r>
    </w:p>
    <w:p w14:paraId="129EE2FA" w14:textId="77777777" w:rsidR="00997282" w:rsidRPr="004623C6" w:rsidRDefault="00997282" w:rsidP="00591DE9">
      <w:pPr>
        <w:spacing w:after="0" w:line="360" w:lineRule="auto"/>
        <w:contextualSpacing/>
        <w:jc w:val="both"/>
        <w:rPr>
          <w:rFonts w:asciiTheme="majorHAnsi" w:hAnsiTheme="majorHAnsi" w:cs="Times New Roman"/>
          <w:sz w:val="24"/>
          <w:szCs w:val="24"/>
          <w:lang w:val="fr-FR"/>
        </w:rPr>
      </w:pPr>
    </w:p>
    <w:p w14:paraId="74765C32" w14:textId="71269179" w:rsidR="00997282" w:rsidRPr="004623C6" w:rsidRDefault="00997282" w:rsidP="00591DE9">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 résumé, si la domination experte des banquiers centraux sur les questions monétaires et financières se renforce depuis la crise, celle-ci n’est pas une explication suffisante à l’absence de regain de contrôle démocratique sur leurs activités. La CJUE et les gouvernements européens ont ainsi la possibilité de mobiliser une contre-expertise, comme l’a fait le Parlement européen, pour remettre en question l’autorité experte de la BCE.</w:t>
      </w:r>
    </w:p>
    <w:p w14:paraId="7BBBE006" w14:textId="77777777" w:rsidR="00997282" w:rsidRPr="004623C6" w:rsidRDefault="00997282" w:rsidP="00591DE9">
      <w:pPr>
        <w:spacing w:after="0" w:line="360" w:lineRule="auto"/>
        <w:contextualSpacing/>
        <w:jc w:val="both"/>
        <w:rPr>
          <w:rFonts w:asciiTheme="majorHAnsi" w:hAnsiTheme="majorHAnsi" w:cs="Times New Roman"/>
          <w:sz w:val="24"/>
          <w:szCs w:val="24"/>
          <w:lang w:val="fr-FR"/>
        </w:rPr>
      </w:pPr>
    </w:p>
    <w:p w14:paraId="718E3BBD" w14:textId="77777777" w:rsidR="00997282" w:rsidRPr="00476505" w:rsidRDefault="00997282" w:rsidP="004D155E">
      <w:pPr>
        <w:spacing w:after="0" w:line="360" w:lineRule="auto"/>
        <w:contextualSpacing/>
        <w:jc w:val="both"/>
        <w:rPr>
          <w:rFonts w:asciiTheme="majorHAnsi" w:hAnsiTheme="majorHAnsi" w:cs="Times New Roman"/>
          <w:b/>
          <w:i/>
          <w:sz w:val="24"/>
          <w:szCs w:val="24"/>
          <w:lang w:val="fr-FR"/>
        </w:rPr>
      </w:pPr>
      <w:r w:rsidRPr="00476505">
        <w:rPr>
          <w:rFonts w:asciiTheme="majorHAnsi" w:hAnsiTheme="majorHAnsi" w:cs="Times New Roman"/>
          <w:b/>
          <w:i/>
          <w:sz w:val="24"/>
          <w:szCs w:val="24"/>
          <w:lang w:val="fr-FR"/>
        </w:rPr>
        <w:t>Les effets de croyance économique et de la structuration partisane</w:t>
      </w:r>
    </w:p>
    <w:p w14:paraId="7896C1B6"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4A924D4A" w14:textId="3A0B7F58" w:rsidR="00997282" w:rsidRPr="004623C6" w:rsidRDefault="00997282" w:rsidP="004D155E">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Depuis la fin des années 1970, une homogénéité croissante des croyances dans des recettes macro-économiques similaires se développe au sein des partis de gouvernements européens de centre-gauche et de centre-droit</w:t>
      </w:r>
      <w:r>
        <w:rPr>
          <w:rStyle w:val="Appelnotedebasdep"/>
          <w:rFonts w:asciiTheme="majorHAnsi" w:hAnsiTheme="majorHAnsi" w:cs="Times New Roman"/>
          <w:sz w:val="24"/>
          <w:szCs w:val="24"/>
          <w:lang w:val="fr-FR"/>
        </w:rPr>
        <w:footnoteReference w:id="87"/>
      </w:r>
      <w:r w:rsidRPr="004623C6">
        <w:rPr>
          <w:rFonts w:asciiTheme="majorHAnsi" w:hAnsiTheme="majorHAnsi" w:cs="Times New Roman"/>
          <w:sz w:val="24"/>
          <w:szCs w:val="24"/>
          <w:lang w:val="fr-FR"/>
        </w:rPr>
        <w:t>. Cette convergence s’explique notamment par la « conversion » des partis de gauche aux recettes économiques néo-classiques, ainsi qu’à leur difficulté inhérente à critiquer des recettes économiques contredisant leurs valeurs partisanes quand celles-ci sont mises en œuvre par des organisations supranationales telles que l’UE</w:t>
      </w:r>
      <w:r>
        <w:rPr>
          <w:rStyle w:val="Appelnotedebasdep"/>
          <w:rFonts w:asciiTheme="majorHAnsi" w:hAnsiTheme="majorHAnsi" w:cs="Times New Roman"/>
          <w:sz w:val="24"/>
          <w:szCs w:val="24"/>
          <w:lang w:val="fr-FR"/>
        </w:rPr>
        <w:footnoteReference w:id="88"/>
      </w:r>
      <w:r w:rsidRPr="004623C6">
        <w:rPr>
          <w:rFonts w:asciiTheme="majorHAnsi" w:hAnsiTheme="majorHAnsi" w:cs="Times New Roman"/>
          <w:sz w:val="24"/>
          <w:szCs w:val="24"/>
          <w:lang w:val="fr-FR"/>
        </w:rPr>
        <w:t xml:space="preserve">. </w:t>
      </w:r>
    </w:p>
    <w:p w14:paraId="69ABF88E"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056B5647" w14:textId="360B62B9" w:rsidR="00997282" w:rsidRPr="004623C6" w:rsidRDefault="00997282" w:rsidP="004D155E">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lastRenderedPageBreak/>
        <w:t>Ces dynamiques ont participé au faible degré de critiques émis</w:t>
      </w:r>
      <w:r>
        <w:rPr>
          <w:rFonts w:asciiTheme="majorHAnsi" w:hAnsiTheme="majorHAnsi" w:cs="Times New Roman"/>
          <w:sz w:val="24"/>
          <w:szCs w:val="24"/>
          <w:lang w:val="fr-FR"/>
        </w:rPr>
        <w:t>es</w:t>
      </w:r>
      <w:r w:rsidRPr="004623C6">
        <w:rPr>
          <w:rFonts w:asciiTheme="majorHAnsi" w:hAnsiTheme="majorHAnsi" w:cs="Times New Roman"/>
          <w:sz w:val="24"/>
          <w:szCs w:val="24"/>
          <w:lang w:val="fr-FR"/>
        </w:rPr>
        <w:t xml:space="preserve"> par les partis de gauche sur les effets inégalitaires des programmes de rachat de titres de la BCE au sein du Parlement </w:t>
      </w:r>
      <w:r>
        <w:rPr>
          <w:rFonts w:asciiTheme="majorHAnsi" w:hAnsiTheme="majorHAnsi" w:cs="Times New Roman"/>
          <w:sz w:val="24"/>
          <w:szCs w:val="24"/>
          <w:lang w:val="fr-FR"/>
        </w:rPr>
        <w:t>e</w:t>
      </w:r>
      <w:r w:rsidRPr="004623C6">
        <w:rPr>
          <w:rFonts w:asciiTheme="majorHAnsi" w:hAnsiTheme="majorHAnsi" w:cs="Times New Roman"/>
          <w:sz w:val="24"/>
          <w:szCs w:val="24"/>
          <w:lang w:val="fr-FR"/>
        </w:rPr>
        <w:t>uropéen alors que les partis de droite insistent davantage sur les risques inflationnistes et d’accentuation des déficits. De plus, la structuration des positions des élu</w:t>
      </w:r>
      <w:r w:rsidRPr="004623C6">
        <w:rPr>
          <w:rFonts w:asciiTheme="majorHAnsi" w:hAnsiTheme="majorHAnsi" w:cs="Times New Roman"/>
          <w:sz w:val="24"/>
          <w:szCs w:val="24"/>
        </w:rPr>
        <w:t>∙e∙</w:t>
      </w:r>
      <w:r w:rsidRPr="004623C6">
        <w:rPr>
          <w:rFonts w:asciiTheme="majorHAnsi" w:hAnsiTheme="majorHAnsi" w:cs="Times New Roman"/>
          <w:sz w:val="24"/>
          <w:szCs w:val="24"/>
          <w:lang w:val="fr-FR"/>
        </w:rPr>
        <w:t>s sur les politiques monétaires non conventionnelles, soutenues par les partis participant aux coalitions gouvernementales et critiquées par les franges du spectre partisan rejoint les observations faites par Crouch</w:t>
      </w:r>
      <w:r>
        <w:rPr>
          <w:rStyle w:val="Appelnotedebasdep"/>
          <w:rFonts w:asciiTheme="majorHAnsi" w:hAnsiTheme="majorHAnsi" w:cs="Times New Roman"/>
          <w:sz w:val="24"/>
          <w:szCs w:val="24"/>
          <w:lang w:val="fr-FR"/>
        </w:rPr>
        <w:footnoteReference w:id="89"/>
      </w:r>
      <w:r w:rsidRPr="004623C6">
        <w:rPr>
          <w:rFonts w:asciiTheme="majorHAnsi" w:hAnsiTheme="majorHAnsi" w:cs="Times New Roman"/>
          <w:sz w:val="24"/>
          <w:szCs w:val="24"/>
          <w:lang w:val="fr-FR"/>
        </w:rPr>
        <w:t>. La stabilité de ces croyances idéelles pourrait ainsi expliquer pourquoi les dirigeant</w:t>
      </w:r>
      <w:r w:rsidRPr="004623C6">
        <w:rPr>
          <w:rFonts w:asciiTheme="majorHAnsi" w:hAnsiTheme="majorHAnsi" w:cs="Times New Roman"/>
          <w:sz w:val="24"/>
          <w:szCs w:val="24"/>
        </w:rPr>
        <w:t>∙e∙</w:t>
      </w:r>
      <w:r w:rsidRPr="004623C6">
        <w:rPr>
          <w:rFonts w:asciiTheme="majorHAnsi" w:hAnsiTheme="majorHAnsi" w:cs="Times New Roman"/>
          <w:sz w:val="24"/>
          <w:szCs w:val="24"/>
          <w:lang w:val="fr-FR"/>
        </w:rPr>
        <w:t>s politiques semblent s’accorder sur la nécessité de préserver l’indépendance des banques centrales. Cette résilience pourrait s’expliquer par la flexibilité inhérente aux concepts provenant du bloc idéel néo-libéral ou par les stratégies d’« entrepreneur idéel » adoptées par la BCE pour adapter les principes théoriques de la BCI à leurs nouveaux instruments monétaires</w:t>
      </w:r>
      <w:r>
        <w:rPr>
          <w:rStyle w:val="Appelnotedebasdep"/>
          <w:rFonts w:asciiTheme="majorHAnsi" w:hAnsiTheme="majorHAnsi" w:cs="Times New Roman"/>
          <w:sz w:val="24"/>
          <w:szCs w:val="24"/>
          <w:lang w:val="fr-FR"/>
        </w:rPr>
        <w:footnoteReference w:id="90"/>
      </w:r>
      <w:r w:rsidRPr="004623C6">
        <w:rPr>
          <w:rFonts w:asciiTheme="majorHAnsi" w:hAnsiTheme="majorHAnsi" w:cs="Times New Roman"/>
          <w:sz w:val="24"/>
          <w:szCs w:val="24"/>
          <w:lang w:val="fr-FR"/>
        </w:rPr>
        <w:t xml:space="preserve">. </w:t>
      </w:r>
    </w:p>
    <w:p w14:paraId="01D98A7C" w14:textId="77777777" w:rsidR="00997282" w:rsidRPr="004623C6" w:rsidRDefault="00997282" w:rsidP="004D155E">
      <w:pPr>
        <w:spacing w:after="0" w:line="360" w:lineRule="auto"/>
        <w:contextualSpacing/>
        <w:jc w:val="both"/>
        <w:rPr>
          <w:rFonts w:asciiTheme="majorHAnsi" w:hAnsiTheme="majorHAnsi" w:cs="Times New Roman"/>
          <w:sz w:val="24"/>
          <w:szCs w:val="24"/>
          <w:lang w:val="fr-FR"/>
        </w:rPr>
      </w:pPr>
    </w:p>
    <w:p w14:paraId="1CBE20CD" w14:textId="29EA00C2" w:rsidR="00997282" w:rsidRPr="004623C6" w:rsidRDefault="00997282" w:rsidP="00265F20">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Cependant, les critiques adressées par les groupes politiques conservateurs allemands, qui sont fortement attachés aux principes d’orthodoxie monétaire, envers les mesures non-conventionnelles de la BCE remettent en question la portée explicative de ce facteur idéel. L’opposition du parti politique gouvernant depuis plus de dix ans le pays le plus puissant de l’UE est reflétée dans l’affaire Gauweiler et dans les critiques de Wolfgang Schaüble, le ministre des finances allemand depuis 2009, sur le rôle joué par la BCE dans la montée de l’extrême droite en Allemagne</w:t>
      </w:r>
      <w:r w:rsidRPr="004623C6">
        <w:rPr>
          <w:rStyle w:val="Appelnotedebasdep"/>
          <w:rFonts w:asciiTheme="majorHAnsi" w:hAnsiTheme="majorHAnsi" w:cs="Times New Roman"/>
          <w:sz w:val="24"/>
          <w:szCs w:val="24"/>
          <w:lang w:val="fr-FR"/>
        </w:rPr>
        <w:footnoteReference w:id="91"/>
      </w:r>
      <w:r w:rsidRPr="004623C6">
        <w:rPr>
          <w:rFonts w:asciiTheme="majorHAnsi" w:hAnsiTheme="majorHAnsi" w:cs="Times New Roman"/>
          <w:sz w:val="24"/>
          <w:szCs w:val="24"/>
          <w:lang w:val="fr-FR"/>
        </w:rPr>
        <w:t>. En d’autres termes, la politisation des enjeux distributifs des politiques monétaires de la BCE s’est traduite dans les positions partisanes de la droite allemande. Cependant, Angela Merkel, chancelière allemande depuis 2005, a défendu l’indépendance de la BCE face aux critiques de son propre parti</w:t>
      </w:r>
      <w:r w:rsidRPr="004623C6">
        <w:rPr>
          <w:rStyle w:val="Appelnotedebasdep"/>
          <w:rFonts w:asciiTheme="majorHAnsi" w:hAnsiTheme="majorHAnsi" w:cs="Times New Roman"/>
          <w:sz w:val="24"/>
          <w:szCs w:val="24"/>
          <w:lang w:val="fr-FR"/>
        </w:rPr>
        <w:footnoteReference w:id="92"/>
      </w:r>
      <w:r w:rsidRPr="004623C6">
        <w:rPr>
          <w:rFonts w:asciiTheme="majorHAnsi" w:hAnsiTheme="majorHAnsi" w:cs="Times New Roman"/>
          <w:sz w:val="24"/>
          <w:szCs w:val="24"/>
          <w:lang w:val="fr-FR"/>
        </w:rPr>
        <w:t xml:space="preserve">. En résumé, si le personnel politique occupant le centre du spectre partisan a davantage tendance à soutenir les mesures non-conventionnelles des banques centrales, ce phénomène n’est pas systématique, comme le montre l’exemple de la CDU/CSU. </w:t>
      </w:r>
    </w:p>
    <w:p w14:paraId="44FD07C1" w14:textId="2760E054" w:rsidR="00997282" w:rsidRDefault="00997282" w:rsidP="004D155E">
      <w:pPr>
        <w:spacing w:after="0" w:line="360" w:lineRule="auto"/>
        <w:contextualSpacing/>
        <w:jc w:val="both"/>
        <w:rPr>
          <w:rFonts w:asciiTheme="majorHAnsi" w:hAnsiTheme="majorHAnsi" w:cs="Times New Roman"/>
          <w:sz w:val="24"/>
          <w:szCs w:val="24"/>
          <w:lang w:val="fr-FR"/>
        </w:rPr>
      </w:pPr>
    </w:p>
    <w:p w14:paraId="4A8AC0EB" w14:textId="77777777" w:rsidR="006146E2" w:rsidRPr="004623C6" w:rsidRDefault="006146E2" w:rsidP="004D155E">
      <w:pPr>
        <w:spacing w:after="0" w:line="360" w:lineRule="auto"/>
        <w:contextualSpacing/>
        <w:jc w:val="both"/>
        <w:rPr>
          <w:rFonts w:asciiTheme="majorHAnsi" w:hAnsiTheme="majorHAnsi" w:cs="Times New Roman"/>
          <w:sz w:val="24"/>
          <w:szCs w:val="24"/>
          <w:lang w:val="fr-FR"/>
        </w:rPr>
      </w:pPr>
    </w:p>
    <w:p w14:paraId="3A1F4231" w14:textId="5B132C41" w:rsidR="00997282" w:rsidRPr="00E34EBB" w:rsidRDefault="00997282">
      <w:pPr>
        <w:spacing w:after="0" w:line="360" w:lineRule="auto"/>
        <w:jc w:val="both"/>
        <w:rPr>
          <w:rFonts w:asciiTheme="majorHAnsi" w:hAnsiTheme="majorHAnsi" w:cs="Times New Roman"/>
          <w:b/>
          <w:i/>
          <w:sz w:val="24"/>
          <w:szCs w:val="24"/>
          <w:lang w:val="fr-FR"/>
        </w:rPr>
      </w:pPr>
      <w:r w:rsidRPr="00E34EBB">
        <w:rPr>
          <w:rFonts w:asciiTheme="majorHAnsi" w:hAnsiTheme="majorHAnsi" w:cs="Times New Roman"/>
          <w:b/>
          <w:i/>
          <w:sz w:val="24"/>
          <w:szCs w:val="24"/>
          <w:lang w:val="fr-FR"/>
        </w:rPr>
        <w:lastRenderedPageBreak/>
        <w:t xml:space="preserve">Les contraintes liées à la financiarisation de l’économie </w:t>
      </w:r>
    </w:p>
    <w:p w14:paraId="5C3B2BCA" w14:textId="77777777" w:rsidR="00997282" w:rsidRPr="004623C6" w:rsidRDefault="00997282">
      <w:pPr>
        <w:spacing w:after="0" w:line="360" w:lineRule="auto"/>
        <w:jc w:val="both"/>
        <w:rPr>
          <w:rFonts w:asciiTheme="majorHAnsi" w:hAnsiTheme="majorHAnsi" w:cs="Times New Roman"/>
          <w:sz w:val="24"/>
          <w:szCs w:val="24"/>
          <w:lang w:val="fr-FR"/>
        </w:rPr>
      </w:pPr>
    </w:p>
    <w:p w14:paraId="650BC3FD" w14:textId="632DF56E" w:rsidR="00997282" w:rsidRPr="004623C6" w:rsidRDefault="00997282">
      <w:pPr>
        <w:spacing w:after="0" w:line="360" w:lineRule="auto"/>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Depuis le milieu des années 1960, les autorités gouvernementales des pays européens ont soutenu la croissance de leur secteur financier, soit pour protéger leur souveraineté économique, soit pour développer des stratégies de captation de revenus étrangers</w:t>
      </w:r>
      <w:r>
        <w:rPr>
          <w:rStyle w:val="Appelnotedebasdep"/>
          <w:rFonts w:asciiTheme="majorHAnsi" w:hAnsiTheme="majorHAnsi" w:cs="Times New Roman"/>
          <w:sz w:val="24"/>
          <w:szCs w:val="24"/>
          <w:lang w:val="fr-FR"/>
        </w:rPr>
        <w:footnoteReference w:id="93"/>
      </w:r>
      <w:r w:rsidRPr="004623C6">
        <w:rPr>
          <w:rFonts w:asciiTheme="majorHAnsi" w:hAnsiTheme="majorHAnsi" w:cs="Times New Roman"/>
          <w:sz w:val="24"/>
          <w:szCs w:val="24"/>
          <w:lang w:val="fr-FR"/>
        </w:rPr>
        <w:t xml:space="preserve">. Du milieu des années 1980 à la crise financière de 2007, ce développement s’est intensifié avec la libéralisation des réglementations bancaires et la création de l’euro qui a permis aux grandes banques universelles de doubler de volume en recyclant les dettes périphériques de la zone euro dans des activités financières risquées comme l’achat de </w:t>
      </w:r>
      <w:r w:rsidRPr="004623C6">
        <w:rPr>
          <w:rFonts w:asciiTheme="majorHAnsi" w:hAnsiTheme="majorHAnsi" w:cs="Times New Roman"/>
          <w:i/>
          <w:sz w:val="24"/>
          <w:szCs w:val="24"/>
          <w:lang w:val="fr-FR"/>
        </w:rPr>
        <w:t>subprime</w:t>
      </w:r>
      <w:r w:rsidRPr="004623C6">
        <w:rPr>
          <w:rFonts w:asciiTheme="majorHAnsi" w:hAnsiTheme="majorHAnsi" w:cs="Times New Roman"/>
          <w:sz w:val="24"/>
          <w:szCs w:val="24"/>
          <w:lang w:val="fr-FR"/>
        </w:rPr>
        <w:t xml:space="preserve"> ou les opérations d’arbitrage sur devises étrangères</w:t>
      </w:r>
      <w:r w:rsidR="006146E2">
        <w:rPr>
          <w:rStyle w:val="Appelnotedebasdep"/>
          <w:rFonts w:asciiTheme="majorHAnsi" w:hAnsiTheme="majorHAnsi" w:cs="Times New Roman"/>
          <w:sz w:val="24"/>
          <w:szCs w:val="24"/>
          <w:lang w:val="fr-FR"/>
        </w:rPr>
        <w:footnoteReference w:id="94"/>
      </w:r>
      <w:r w:rsidRPr="004623C6">
        <w:rPr>
          <w:rFonts w:asciiTheme="majorHAnsi" w:hAnsiTheme="majorHAnsi" w:cs="Times New Roman"/>
          <w:sz w:val="24"/>
          <w:szCs w:val="24"/>
          <w:lang w:val="fr-FR"/>
        </w:rPr>
        <w:t xml:space="preserve">. </w:t>
      </w:r>
    </w:p>
    <w:p w14:paraId="127451A6" w14:textId="61B00568" w:rsidR="00997282" w:rsidRPr="004623C6" w:rsidRDefault="00997282">
      <w:pPr>
        <w:spacing w:after="0" w:line="360" w:lineRule="auto"/>
        <w:jc w:val="both"/>
        <w:rPr>
          <w:rFonts w:asciiTheme="majorHAnsi" w:hAnsiTheme="majorHAnsi" w:cs="Times New Roman"/>
          <w:sz w:val="24"/>
          <w:szCs w:val="24"/>
          <w:lang w:val="fr-FR"/>
        </w:rPr>
      </w:pPr>
    </w:p>
    <w:p w14:paraId="136D0B93" w14:textId="3A8BF028" w:rsidR="00997282" w:rsidRPr="004623C6" w:rsidRDefault="00997282">
      <w:pPr>
        <w:spacing w:after="0" w:line="360" w:lineRule="auto"/>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En parallèle, les États se sont progressivement « lié les mains » en soumettant les conditions de financement de leurs budgets à des impératifs de marché</w:t>
      </w:r>
      <w:r>
        <w:rPr>
          <w:rStyle w:val="Appelnotedebasdep"/>
          <w:rFonts w:asciiTheme="majorHAnsi" w:hAnsiTheme="majorHAnsi" w:cs="Times New Roman"/>
          <w:sz w:val="24"/>
          <w:szCs w:val="24"/>
          <w:lang w:val="fr-FR"/>
        </w:rPr>
        <w:footnoteReference w:id="95"/>
      </w:r>
      <w:r w:rsidRPr="004623C6">
        <w:rPr>
          <w:rFonts w:asciiTheme="majorHAnsi" w:hAnsiTheme="majorHAnsi" w:cs="Times New Roman"/>
          <w:sz w:val="24"/>
          <w:szCs w:val="24"/>
          <w:lang w:val="fr-FR"/>
        </w:rPr>
        <w:t xml:space="preserve"> ou à des règles de stabilité extérieures comme le Pacte de </w:t>
      </w:r>
      <w:r>
        <w:rPr>
          <w:rFonts w:asciiTheme="majorHAnsi" w:hAnsiTheme="majorHAnsi" w:cs="Times New Roman"/>
          <w:sz w:val="24"/>
          <w:szCs w:val="24"/>
          <w:lang w:val="fr-FR"/>
        </w:rPr>
        <w:t>s</w:t>
      </w:r>
      <w:r w:rsidRPr="004623C6">
        <w:rPr>
          <w:rFonts w:asciiTheme="majorHAnsi" w:hAnsiTheme="majorHAnsi" w:cs="Times New Roman"/>
          <w:sz w:val="24"/>
          <w:szCs w:val="24"/>
          <w:lang w:val="fr-FR"/>
        </w:rPr>
        <w:t xml:space="preserve">tabilité et de </w:t>
      </w:r>
      <w:r>
        <w:rPr>
          <w:rFonts w:asciiTheme="majorHAnsi" w:hAnsiTheme="majorHAnsi" w:cs="Times New Roman"/>
          <w:sz w:val="24"/>
          <w:szCs w:val="24"/>
          <w:lang w:val="fr-FR"/>
        </w:rPr>
        <w:t>c</w:t>
      </w:r>
      <w:r w:rsidRPr="004623C6">
        <w:rPr>
          <w:rFonts w:asciiTheme="majorHAnsi" w:hAnsiTheme="majorHAnsi" w:cs="Times New Roman"/>
          <w:sz w:val="24"/>
          <w:szCs w:val="24"/>
          <w:lang w:val="fr-FR"/>
        </w:rPr>
        <w:t xml:space="preserve">roissance pour les pays européens. Le financement de la dette par des acteurs financiers extérieurs a diminué l’autonomie budgétaire des États en alignant les définitions des lignes budgétaires avec les préférences des acteurs de marché. </w:t>
      </w:r>
    </w:p>
    <w:p w14:paraId="5961B7B4" w14:textId="77777777" w:rsidR="00997282" w:rsidRPr="004623C6" w:rsidRDefault="00997282">
      <w:pPr>
        <w:spacing w:after="0" w:line="360" w:lineRule="auto"/>
        <w:jc w:val="both"/>
        <w:rPr>
          <w:rFonts w:asciiTheme="majorHAnsi" w:hAnsiTheme="majorHAnsi" w:cs="Times New Roman"/>
          <w:sz w:val="24"/>
          <w:szCs w:val="24"/>
          <w:lang w:val="fr-FR"/>
        </w:rPr>
      </w:pPr>
    </w:p>
    <w:p w14:paraId="14D1622A" w14:textId="1266FD95" w:rsidR="00997282" w:rsidRPr="004623C6" w:rsidRDefault="00997282">
      <w:pPr>
        <w:spacing w:after="0" w:line="360" w:lineRule="auto"/>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Les mesures de la BCE ont permis aux dirigeant∙e∙s étatiques d’atténuer les effets problématiques découlant de la financiarisation des économies de deux manières. D’abord, depuis la crise, les systèmes financiers européens se caractérisent à la fois par leur taille démesurée</w:t>
      </w:r>
      <w:r w:rsidRPr="004623C6">
        <w:rPr>
          <w:rStyle w:val="Appelnotedebasdep"/>
          <w:rFonts w:asciiTheme="majorHAnsi" w:hAnsiTheme="majorHAnsi" w:cs="Times New Roman"/>
          <w:sz w:val="24"/>
          <w:szCs w:val="24"/>
          <w:lang w:val="fr-FR"/>
        </w:rPr>
        <w:footnoteReference w:id="96"/>
      </w:r>
      <w:r w:rsidRPr="004623C6">
        <w:rPr>
          <w:rFonts w:asciiTheme="majorHAnsi" w:hAnsiTheme="majorHAnsi" w:cs="Times New Roman"/>
          <w:sz w:val="24"/>
          <w:szCs w:val="24"/>
          <w:lang w:val="fr-FR"/>
        </w:rPr>
        <w:t xml:space="preserve"> et par leur fragilité excessive : ce sont des « colosses aux pieds d’argile » dont l’importance systémique les rend « </w:t>
      </w:r>
      <w:r w:rsidRPr="004623C6">
        <w:rPr>
          <w:rFonts w:asciiTheme="majorHAnsi" w:hAnsiTheme="majorHAnsi" w:cs="Times New Roman"/>
          <w:i/>
          <w:sz w:val="24"/>
          <w:szCs w:val="24"/>
          <w:lang w:val="fr-FR"/>
        </w:rPr>
        <w:t>too big to fail</w:t>
      </w:r>
      <w:r w:rsidRPr="004623C6">
        <w:rPr>
          <w:rFonts w:asciiTheme="majorHAnsi" w:hAnsiTheme="majorHAnsi" w:cs="Times New Roman"/>
          <w:sz w:val="24"/>
          <w:szCs w:val="24"/>
          <w:lang w:val="fr-FR"/>
        </w:rPr>
        <w:t> »</w:t>
      </w:r>
      <w:r>
        <w:rPr>
          <w:rStyle w:val="Appelnotedebasdep"/>
          <w:rFonts w:asciiTheme="majorHAnsi" w:hAnsiTheme="majorHAnsi" w:cs="Times New Roman"/>
          <w:sz w:val="24"/>
          <w:szCs w:val="24"/>
          <w:lang w:val="fr-FR"/>
        </w:rPr>
        <w:footnoteReference w:id="97"/>
      </w:r>
      <w:r w:rsidRPr="004623C6">
        <w:rPr>
          <w:rFonts w:asciiTheme="majorHAnsi" w:hAnsiTheme="majorHAnsi" w:cs="Times New Roman"/>
          <w:sz w:val="24"/>
          <w:szCs w:val="24"/>
          <w:lang w:val="fr-FR"/>
        </w:rPr>
        <w:t xml:space="preserve">. Or, la création massive de liquidités générées par les mesures non-conventionnelles de la BCE permet aux institutions financières de stabiliser leurs balances commerciales, et, par-là, de reporter la mise en œuvre de réformes bancaires et la recapitalisation </w:t>
      </w:r>
      <w:r w:rsidRPr="004623C6">
        <w:rPr>
          <w:rFonts w:asciiTheme="majorHAnsi" w:hAnsiTheme="majorHAnsi" w:cs="Times New Roman"/>
          <w:sz w:val="24"/>
          <w:szCs w:val="24"/>
          <w:lang w:val="fr-FR"/>
        </w:rPr>
        <w:lastRenderedPageBreak/>
        <w:t>de leur système financier</w:t>
      </w:r>
      <w:r>
        <w:rPr>
          <w:rStyle w:val="Appelnotedebasdep"/>
          <w:rFonts w:asciiTheme="majorHAnsi" w:hAnsiTheme="majorHAnsi" w:cs="Times New Roman"/>
          <w:sz w:val="24"/>
          <w:szCs w:val="24"/>
          <w:lang w:val="fr-FR"/>
        </w:rPr>
        <w:footnoteReference w:id="98"/>
      </w:r>
      <w:r w:rsidRPr="004623C6">
        <w:rPr>
          <w:rFonts w:asciiTheme="majorHAnsi" w:hAnsiTheme="majorHAnsi" w:cs="Times New Roman"/>
          <w:sz w:val="24"/>
          <w:szCs w:val="24"/>
          <w:lang w:val="fr-FR"/>
        </w:rPr>
        <w:t>. Étant donné que les recapitalisations bancaires entrainent un coût politique et financier élevé</w:t>
      </w:r>
      <w:r>
        <w:rPr>
          <w:rStyle w:val="Appelnotedebasdep"/>
          <w:rFonts w:asciiTheme="majorHAnsi" w:hAnsiTheme="majorHAnsi" w:cs="Times New Roman"/>
          <w:sz w:val="24"/>
          <w:szCs w:val="24"/>
          <w:lang w:val="fr-FR"/>
        </w:rPr>
        <w:footnoteReference w:id="99"/>
      </w:r>
      <w:r w:rsidRPr="004623C6">
        <w:rPr>
          <w:rFonts w:asciiTheme="majorHAnsi" w:hAnsiTheme="majorHAnsi" w:cs="Times New Roman"/>
          <w:sz w:val="24"/>
          <w:szCs w:val="24"/>
          <w:lang w:val="fr-FR"/>
        </w:rPr>
        <w:t>, les dirigeant∙e∙s étatiques ont intérêt à prolonger les mesures des banques centrales, malgré les conséquences inattendues qu’elles provoquent. Cette perspective est une explication probable au soutien d’Angela Merkel à la BCE contre son propre parti et aux difficultés rencontrées par la CJUE</w:t>
      </w:r>
      <w:r w:rsidRPr="004623C6">
        <w:rPr>
          <w:rStyle w:val="Appelnotedebasdep"/>
          <w:rFonts w:asciiTheme="majorHAnsi" w:hAnsiTheme="majorHAnsi" w:cs="Times New Roman"/>
          <w:sz w:val="24"/>
          <w:szCs w:val="24"/>
          <w:lang w:val="fr-FR"/>
        </w:rPr>
        <w:footnoteReference w:id="100"/>
      </w:r>
      <w:r w:rsidRPr="004623C6">
        <w:rPr>
          <w:rFonts w:asciiTheme="majorHAnsi" w:hAnsiTheme="majorHAnsi" w:cs="Times New Roman"/>
          <w:sz w:val="24"/>
          <w:szCs w:val="24"/>
          <w:lang w:val="fr-FR"/>
        </w:rPr>
        <w:t xml:space="preserve"> à prononcer une décision empêchant la mise en œuvre de ces mesures. </w:t>
      </w:r>
    </w:p>
    <w:p w14:paraId="3FAF9CB5" w14:textId="77777777" w:rsidR="00997282" w:rsidRPr="004623C6" w:rsidRDefault="00997282">
      <w:pPr>
        <w:spacing w:after="0" w:line="360" w:lineRule="auto"/>
        <w:jc w:val="both"/>
        <w:rPr>
          <w:rFonts w:asciiTheme="majorHAnsi" w:hAnsiTheme="majorHAnsi" w:cs="Times New Roman"/>
          <w:sz w:val="24"/>
          <w:szCs w:val="24"/>
          <w:lang w:val="fr-FR"/>
        </w:rPr>
      </w:pPr>
    </w:p>
    <w:p w14:paraId="4F1B8F1D" w14:textId="75B8B830" w:rsidR="00B05C33" w:rsidRPr="004623C6" w:rsidRDefault="00997282">
      <w:pPr>
        <w:spacing w:after="0" w:line="360" w:lineRule="auto"/>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De plus, l’aggravation des dettes publiques, due aux mesures de recapitalisation du secteur financier lors des premières phases de la crise en 2007-2008, a accentué les contraintes pesant sur les déficits budgétaires de l’État. Or, les programmes de rachat de titres de la BCE permettent de compresser artificiellement les taux d’intérêts liés à l’émission de dette nationale, au point que les investisseurs doivent aujourd’hui payer certains pays comme l’Allemagne pour détenir leur dette. Une augmentation, même minime, de ces taux d’intérêts aurait un fort impact sur le déficit budgétaire, et, par-là, sur la marge de manœuvre budgétaire permettant de financer les programmes socio-économiques</w:t>
      </w:r>
      <w:r w:rsidRPr="004623C6">
        <w:rPr>
          <w:rStyle w:val="Appelnotedebasdep"/>
          <w:rFonts w:asciiTheme="majorHAnsi" w:hAnsiTheme="majorHAnsi" w:cs="Times New Roman"/>
          <w:sz w:val="24"/>
          <w:szCs w:val="24"/>
          <w:lang w:val="fr-FR"/>
        </w:rPr>
        <w:footnoteReference w:id="101"/>
      </w:r>
      <w:r w:rsidRPr="004623C6">
        <w:rPr>
          <w:rFonts w:asciiTheme="majorHAnsi" w:hAnsiTheme="majorHAnsi" w:cs="Times New Roman"/>
          <w:sz w:val="24"/>
          <w:szCs w:val="24"/>
          <w:lang w:val="fr-FR"/>
        </w:rPr>
        <w:t>.</w:t>
      </w:r>
      <w:r w:rsidR="00631E26" w:rsidRPr="004623C6">
        <w:rPr>
          <w:rFonts w:asciiTheme="majorHAnsi" w:hAnsiTheme="majorHAnsi" w:cs="Times New Roman"/>
          <w:sz w:val="24"/>
          <w:szCs w:val="24"/>
          <w:lang w:val="fr-FR"/>
        </w:rPr>
        <w:t xml:space="preserve"> </w:t>
      </w:r>
    </w:p>
    <w:p w14:paraId="6F4E30B0" w14:textId="77777777" w:rsidR="00524687" w:rsidRPr="004623C6" w:rsidRDefault="00524687">
      <w:pPr>
        <w:spacing w:after="0" w:line="360" w:lineRule="auto"/>
        <w:jc w:val="both"/>
        <w:rPr>
          <w:rFonts w:asciiTheme="majorHAnsi" w:hAnsiTheme="majorHAnsi" w:cs="Times New Roman"/>
          <w:sz w:val="24"/>
          <w:szCs w:val="24"/>
          <w:lang w:val="fr-FR"/>
        </w:rPr>
      </w:pPr>
    </w:p>
    <w:p w14:paraId="25AEB205" w14:textId="1C85C5CC" w:rsidR="00631E26" w:rsidRPr="004623C6" w:rsidRDefault="00631E26">
      <w:pPr>
        <w:spacing w:after="0" w:line="360" w:lineRule="auto"/>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En résumé, les bénéfices économiques à court-terme engendrés par les politiques monétaires non-conventionnelles semblent être le facteur explicatif décisif de l’absence de regain de contrôle </w:t>
      </w:r>
      <w:r w:rsidR="00586738" w:rsidRPr="004623C6">
        <w:rPr>
          <w:rFonts w:asciiTheme="majorHAnsi" w:hAnsiTheme="majorHAnsi" w:cs="Times New Roman"/>
          <w:sz w:val="24"/>
          <w:szCs w:val="24"/>
          <w:lang w:val="fr-FR"/>
        </w:rPr>
        <w:t>politique</w:t>
      </w:r>
      <w:r w:rsidR="00C800DE" w:rsidRPr="004623C6">
        <w:rPr>
          <w:rFonts w:asciiTheme="majorHAnsi" w:hAnsiTheme="majorHAnsi" w:cs="Times New Roman"/>
          <w:sz w:val="24"/>
          <w:szCs w:val="24"/>
          <w:lang w:val="fr-FR"/>
        </w:rPr>
        <w:t xml:space="preserve"> sur les banques centrales</w:t>
      </w:r>
      <w:r w:rsidR="00393890" w:rsidRPr="004623C6">
        <w:rPr>
          <w:rFonts w:asciiTheme="majorHAnsi" w:hAnsiTheme="majorHAnsi" w:cs="Times New Roman"/>
          <w:sz w:val="24"/>
          <w:szCs w:val="24"/>
          <w:lang w:val="fr-FR"/>
        </w:rPr>
        <w:t xml:space="preserve">, </w:t>
      </w:r>
      <w:r w:rsidR="00C800DE" w:rsidRPr="004623C6">
        <w:rPr>
          <w:rFonts w:asciiTheme="majorHAnsi" w:hAnsiTheme="majorHAnsi" w:cs="Times New Roman"/>
          <w:sz w:val="24"/>
          <w:szCs w:val="24"/>
          <w:lang w:val="fr-FR"/>
        </w:rPr>
        <w:t xml:space="preserve">car </w:t>
      </w:r>
      <w:r w:rsidR="00C576E4" w:rsidRPr="004623C6">
        <w:rPr>
          <w:rFonts w:asciiTheme="majorHAnsi" w:hAnsiTheme="majorHAnsi" w:cs="Times New Roman"/>
          <w:sz w:val="24"/>
          <w:szCs w:val="24"/>
          <w:lang w:val="fr-FR"/>
        </w:rPr>
        <w:t xml:space="preserve">les </w:t>
      </w:r>
      <w:r w:rsidR="009F4B66" w:rsidRPr="004623C6">
        <w:rPr>
          <w:rFonts w:asciiTheme="majorHAnsi" w:hAnsiTheme="majorHAnsi" w:cs="Times New Roman"/>
          <w:sz w:val="24"/>
          <w:szCs w:val="24"/>
          <w:lang w:val="fr-FR"/>
        </w:rPr>
        <w:t>dirigeant∙e∙s</w:t>
      </w:r>
      <w:r w:rsidR="00C800DE" w:rsidRPr="004623C6">
        <w:rPr>
          <w:rFonts w:asciiTheme="majorHAnsi" w:hAnsiTheme="majorHAnsi" w:cs="Times New Roman"/>
          <w:sz w:val="24"/>
          <w:szCs w:val="24"/>
          <w:lang w:val="fr-FR"/>
        </w:rPr>
        <w:t xml:space="preserve"> étatiques</w:t>
      </w:r>
      <w:r w:rsidR="00C576E4" w:rsidRPr="004623C6">
        <w:rPr>
          <w:rFonts w:asciiTheme="majorHAnsi" w:hAnsiTheme="majorHAnsi" w:cs="Times New Roman"/>
          <w:sz w:val="24"/>
          <w:szCs w:val="24"/>
          <w:lang w:val="fr-FR"/>
        </w:rPr>
        <w:t xml:space="preserve"> peuvent continuer</w:t>
      </w:r>
      <w:r w:rsidR="00C800DE" w:rsidRPr="004623C6">
        <w:rPr>
          <w:rFonts w:asciiTheme="majorHAnsi" w:hAnsiTheme="majorHAnsi" w:cs="Times New Roman"/>
          <w:sz w:val="24"/>
          <w:szCs w:val="24"/>
          <w:lang w:val="fr-FR"/>
        </w:rPr>
        <w:t xml:space="preserve"> </w:t>
      </w:r>
      <w:r w:rsidR="00C576E4" w:rsidRPr="004623C6">
        <w:rPr>
          <w:rFonts w:asciiTheme="majorHAnsi" w:hAnsiTheme="majorHAnsi" w:cs="Times New Roman"/>
          <w:sz w:val="24"/>
          <w:szCs w:val="24"/>
          <w:lang w:val="fr-FR"/>
        </w:rPr>
        <w:t>à éviter les</w:t>
      </w:r>
      <w:r w:rsidR="00C800DE" w:rsidRPr="004623C6">
        <w:rPr>
          <w:rFonts w:asciiTheme="majorHAnsi" w:hAnsiTheme="majorHAnsi" w:cs="Times New Roman"/>
          <w:sz w:val="24"/>
          <w:szCs w:val="24"/>
          <w:lang w:val="fr-FR"/>
        </w:rPr>
        <w:t xml:space="preserve"> conséquences indésirables de leurs choix politiques passés. </w:t>
      </w:r>
    </w:p>
    <w:p w14:paraId="39F03AD1" w14:textId="77777777" w:rsidR="0027214A" w:rsidRPr="004623C6" w:rsidRDefault="0027214A">
      <w:pPr>
        <w:spacing w:after="0" w:line="360" w:lineRule="auto"/>
        <w:contextualSpacing/>
        <w:jc w:val="both"/>
        <w:rPr>
          <w:rFonts w:asciiTheme="majorHAnsi" w:hAnsiTheme="majorHAnsi" w:cs="Times New Roman"/>
          <w:sz w:val="24"/>
          <w:szCs w:val="24"/>
          <w:lang w:val="fr-FR"/>
        </w:rPr>
      </w:pPr>
    </w:p>
    <w:p w14:paraId="500D24F6" w14:textId="282D92D1" w:rsidR="00F442D7" w:rsidRPr="00E34EBB" w:rsidRDefault="00E34EBB" w:rsidP="00E34EBB">
      <w:pPr>
        <w:spacing w:after="0" w:line="360" w:lineRule="auto"/>
        <w:contextualSpacing/>
        <w:jc w:val="center"/>
        <w:rPr>
          <w:rFonts w:asciiTheme="majorHAnsi" w:hAnsiTheme="majorHAnsi" w:cs="Times New Roman"/>
          <w:sz w:val="24"/>
          <w:szCs w:val="24"/>
          <w:lang w:val="fr-FR"/>
        </w:rPr>
      </w:pPr>
      <w:r>
        <w:rPr>
          <w:rFonts w:asciiTheme="majorHAnsi" w:hAnsiTheme="majorHAnsi" w:cs="Times New Roman"/>
          <w:sz w:val="24"/>
          <w:szCs w:val="24"/>
          <w:lang w:val="fr-FR"/>
        </w:rPr>
        <w:t>*</w:t>
      </w:r>
    </w:p>
    <w:p w14:paraId="234FE4AF" w14:textId="6667E86F" w:rsidR="00C800DE" w:rsidRPr="004623C6" w:rsidRDefault="00C800DE">
      <w:pPr>
        <w:spacing w:after="0" w:line="360" w:lineRule="auto"/>
        <w:contextualSpacing/>
        <w:jc w:val="both"/>
        <w:rPr>
          <w:rFonts w:asciiTheme="majorHAnsi" w:hAnsiTheme="majorHAnsi" w:cs="Times New Roman"/>
          <w:b/>
          <w:sz w:val="24"/>
          <w:szCs w:val="24"/>
          <w:lang w:val="fr-FR"/>
        </w:rPr>
      </w:pPr>
    </w:p>
    <w:p w14:paraId="3B4CC896" w14:textId="5F97F318" w:rsidR="008C25E6" w:rsidRPr="0092433C" w:rsidRDefault="002555E1">
      <w:pPr>
        <w:spacing w:after="0" w:line="360" w:lineRule="auto"/>
        <w:contextualSpacing/>
        <w:jc w:val="both"/>
        <w:rPr>
          <w:rFonts w:asciiTheme="majorHAnsi" w:hAnsiTheme="majorHAnsi" w:cs="Times New Roman"/>
          <w:sz w:val="24"/>
          <w:szCs w:val="24"/>
          <w:lang w:val="fr-FR"/>
        </w:rPr>
      </w:pPr>
      <w:r w:rsidRPr="00950CBA">
        <w:rPr>
          <w:rFonts w:asciiTheme="majorHAnsi" w:hAnsiTheme="majorHAnsi" w:cs="Times New Roman"/>
          <w:sz w:val="24"/>
          <w:szCs w:val="24"/>
          <w:highlight w:val="yellow"/>
          <w:lang w:val="fr-FR"/>
        </w:rPr>
        <w:lastRenderedPageBreak/>
        <w:t xml:space="preserve">Ce chapitre a montré comment </w:t>
      </w:r>
      <w:r w:rsidR="00CD7495" w:rsidRPr="00950CBA">
        <w:rPr>
          <w:rFonts w:asciiTheme="majorHAnsi" w:hAnsiTheme="majorHAnsi" w:cs="Times New Roman"/>
          <w:sz w:val="24"/>
          <w:szCs w:val="24"/>
          <w:highlight w:val="yellow"/>
          <w:lang w:val="fr-FR"/>
        </w:rPr>
        <w:t xml:space="preserve">les politiques de l’indépendance de la BCE </w:t>
      </w:r>
      <w:r w:rsidR="008039DE" w:rsidRPr="00950CBA">
        <w:rPr>
          <w:rFonts w:asciiTheme="majorHAnsi" w:hAnsiTheme="majorHAnsi" w:cs="Times New Roman"/>
          <w:sz w:val="24"/>
          <w:szCs w:val="24"/>
          <w:highlight w:val="yellow"/>
          <w:lang w:val="fr-FR"/>
        </w:rPr>
        <w:t>ont</w:t>
      </w:r>
      <w:r w:rsidR="00CD7495" w:rsidRPr="00950CBA">
        <w:rPr>
          <w:rFonts w:asciiTheme="majorHAnsi" w:hAnsiTheme="majorHAnsi" w:cs="Times New Roman"/>
          <w:sz w:val="24"/>
          <w:szCs w:val="24"/>
          <w:highlight w:val="yellow"/>
          <w:lang w:val="fr-FR"/>
        </w:rPr>
        <w:t xml:space="preserve"> évolué </w:t>
      </w:r>
      <w:r w:rsidR="008039DE" w:rsidRPr="00950CBA">
        <w:rPr>
          <w:rFonts w:asciiTheme="majorHAnsi" w:hAnsiTheme="majorHAnsi" w:cs="Times New Roman"/>
          <w:sz w:val="24"/>
          <w:szCs w:val="24"/>
          <w:highlight w:val="yellow"/>
          <w:lang w:val="fr-FR"/>
        </w:rPr>
        <w:t>au fil de son histoire</w:t>
      </w:r>
      <w:r w:rsidR="00CD7495" w:rsidRPr="00950CBA">
        <w:rPr>
          <w:rFonts w:asciiTheme="majorHAnsi" w:hAnsiTheme="majorHAnsi" w:cs="Times New Roman"/>
          <w:sz w:val="24"/>
          <w:szCs w:val="24"/>
          <w:highlight w:val="yellow"/>
          <w:lang w:val="fr-FR"/>
        </w:rPr>
        <w:t>.</w:t>
      </w:r>
      <w:r w:rsidR="00CD7495">
        <w:rPr>
          <w:rFonts w:asciiTheme="majorHAnsi" w:hAnsiTheme="majorHAnsi" w:cs="Times New Roman"/>
          <w:sz w:val="24"/>
          <w:szCs w:val="24"/>
          <w:lang w:val="fr-FR"/>
        </w:rPr>
        <w:t xml:space="preserve"> Ainsi, l</w:t>
      </w:r>
      <w:r w:rsidR="008C25E6" w:rsidRPr="004623C6">
        <w:rPr>
          <w:rFonts w:asciiTheme="majorHAnsi" w:hAnsiTheme="majorHAnsi" w:cs="Times New Roman"/>
          <w:sz w:val="24"/>
          <w:szCs w:val="24"/>
          <w:lang w:val="fr-FR"/>
        </w:rPr>
        <w:t xml:space="preserve">e haut niveau d’indépendance de la BCE était fondé et légitimé par l’exemple de la </w:t>
      </w:r>
      <w:r w:rsidR="008C25E6" w:rsidRPr="00E34EBB">
        <w:rPr>
          <w:rFonts w:asciiTheme="majorHAnsi" w:hAnsiTheme="majorHAnsi" w:cs="Times New Roman"/>
          <w:sz w:val="24"/>
          <w:szCs w:val="24"/>
          <w:lang w:val="fr-FR"/>
        </w:rPr>
        <w:t>Bundesbank</w:t>
      </w:r>
      <w:r w:rsidR="008C25E6" w:rsidRPr="004623C6">
        <w:rPr>
          <w:rFonts w:asciiTheme="majorHAnsi" w:hAnsiTheme="majorHAnsi" w:cs="Times New Roman"/>
          <w:sz w:val="24"/>
          <w:szCs w:val="24"/>
          <w:lang w:val="fr-FR"/>
        </w:rPr>
        <w:t xml:space="preserve"> et un ensemble théorique soutenant que la formulation de la politique monétaire était un exercice apolitique qui devait être laissé aux mains de technocrates indépendants. Cependant, la crise financière de 2007 a rappelé la dimension politique fondamentale de la monnaie, dont la manipulation génère des gagnant</w:t>
      </w:r>
      <w:r w:rsidR="008C25E6" w:rsidRPr="004623C6">
        <w:rPr>
          <w:rFonts w:asciiTheme="majorHAnsi" w:hAnsiTheme="majorHAnsi" w:cs="Times New Roman"/>
          <w:sz w:val="24"/>
          <w:szCs w:val="24"/>
        </w:rPr>
        <w:t>∙e∙s et des perdant∙e∙s au sein de nos sociétés. La présence de la BCE au sein de la Troïka a aussi rendu visible</w:t>
      </w:r>
      <w:r w:rsidR="002C6071" w:rsidRPr="004623C6">
        <w:rPr>
          <w:rFonts w:asciiTheme="majorHAnsi" w:hAnsiTheme="majorHAnsi" w:cs="Times New Roman"/>
          <w:sz w:val="24"/>
          <w:szCs w:val="24"/>
        </w:rPr>
        <w:t xml:space="preserve"> son </w:t>
      </w:r>
      <w:r w:rsidR="00F60499" w:rsidRPr="004623C6">
        <w:rPr>
          <w:rFonts w:asciiTheme="majorHAnsi" w:hAnsiTheme="majorHAnsi" w:cs="Times New Roman"/>
          <w:sz w:val="24"/>
          <w:szCs w:val="24"/>
        </w:rPr>
        <w:t>immixtion</w:t>
      </w:r>
      <w:r w:rsidR="002C6071" w:rsidRPr="004623C6">
        <w:rPr>
          <w:rFonts w:asciiTheme="majorHAnsi" w:hAnsiTheme="majorHAnsi" w:cs="Times New Roman"/>
          <w:sz w:val="24"/>
          <w:szCs w:val="24"/>
        </w:rPr>
        <w:t xml:space="preserve"> dans la gouvernance économique de la zone euro, au-delà de son domaine de compétences originel. Ce changement de rôle a mené à </w:t>
      </w:r>
      <w:r w:rsidR="008C25E6" w:rsidRPr="004623C6">
        <w:rPr>
          <w:rFonts w:asciiTheme="majorHAnsi" w:hAnsiTheme="majorHAnsi" w:cs="Times New Roman"/>
          <w:sz w:val="24"/>
          <w:szCs w:val="24"/>
        </w:rPr>
        <w:t>une re-politisation des enjeux monétaires dans de nombreux pays européen</w:t>
      </w:r>
      <w:r w:rsidR="002C6071" w:rsidRPr="004623C6">
        <w:rPr>
          <w:rFonts w:asciiTheme="majorHAnsi" w:hAnsiTheme="majorHAnsi" w:cs="Times New Roman"/>
          <w:sz w:val="24"/>
          <w:szCs w:val="24"/>
        </w:rPr>
        <w:t>s</w:t>
      </w:r>
      <w:r>
        <w:rPr>
          <w:rFonts w:asciiTheme="majorHAnsi" w:hAnsiTheme="majorHAnsi" w:cs="Times New Roman"/>
          <w:sz w:val="24"/>
          <w:szCs w:val="24"/>
        </w:rPr>
        <w:t xml:space="preserve"> et a mis sous tension la légitimité experte au fondement de l’indépendance de la BCE</w:t>
      </w:r>
      <w:r w:rsidR="002C6071" w:rsidRPr="004623C6">
        <w:rPr>
          <w:rFonts w:asciiTheme="majorHAnsi" w:hAnsiTheme="majorHAnsi" w:cs="Times New Roman"/>
          <w:sz w:val="24"/>
          <w:szCs w:val="24"/>
        </w:rPr>
        <w:t xml:space="preserve">. </w:t>
      </w:r>
      <w:r w:rsidR="002C6071" w:rsidRPr="00950CBA">
        <w:rPr>
          <w:rFonts w:asciiTheme="majorHAnsi" w:hAnsiTheme="majorHAnsi" w:cs="Times New Roman"/>
          <w:sz w:val="24"/>
          <w:szCs w:val="24"/>
          <w:highlight w:val="yellow"/>
        </w:rPr>
        <w:t xml:space="preserve">Cependant, cette re-politisation n’a pas été accompagnée par </w:t>
      </w:r>
      <w:r w:rsidR="00F60499" w:rsidRPr="00950CBA">
        <w:rPr>
          <w:rFonts w:asciiTheme="majorHAnsi" w:hAnsiTheme="majorHAnsi" w:cs="Times New Roman"/>
          <w:sz w:val="24"/>
          <w:szCs w:val="24"/>
          <w:highlight w:val="yellow"/>
        </w:rPr>
        <w:t>un renforcement des contrôles politiques sur les activités de la BCE</w:t>
      </w:r>
      <w:r w:rsidR="008039DE" w:rsidRPr="00950CBA">
        <w:rPr>
          <w:rFonts w:asciiTheme="majorHAnsi" w:hAnsiTheme="majorHAnsi" w:cs="Times New Roman"/>
          <w:sz w:val="24"/>
          <w:szCs w:val="24"/>
          <w:highlight w:val="yellow"/>
        </w:rPr>
        <w:t xml:space="preserve"> ; cette observation est le résultat de recherche principal de ce chapitre.</w:t>
      </w:r>
    </w:p>
    <w:p w14:paraId="272C5561" w14:textId="77777777" w:rsidR="00C87E47" w:rsidRPr="004623C6" w:rsidRDefault="00C87E47">
      <w:pPr>
        <w:spacing w:after="0" w:line="360" w:lineRule="auto"/>
        <w:contextualSpacing/>
        <w:jc w:val="both"/>
        <w:rPr>
          <w:rFonts w:asciiTheme="majorHAnsi" w:hAnsiTheme="majorHAnsi" w:cs="Times New Roman"/>
          <w:sz w:val="24"/>
          <w:szCs w:val="24"/>
        </w:rPr>
      </w:pPr>
    </w:p>
    <w:p w14:paraId="3FA82550" w14:textId="4DA33D9E" w:rsidR="00C87E47" w:rsidRPr="004623C6" w:rsidRDefault="00C87E47" w:rsidP="00C87E47">
      <w:pPr>
        <w:spacing w:after="0" w:line="360" w:lineRule="auto"/>
        <w:contextualSpacing/>
        <w:jc w:val="both"/>
        <w:rPr>
          <w:rFonts w:asciiTheme="majorHAnsi" w:hAnsiTheme="majorHAnsi" w:cs="Times New Roman"/>
          <w:sz w:val="24"/>
          <w:szCs w:val="24"/>
          <w:lang w:val="fr-FR"/>
        </w:rPr>
      </w:pPr>
      <w:r w:rsidRPr="004623C6">
        <w:rPr>
          <w:rFonts w:asciiTheme="majorHAnsi" w:hAnsiTheme="majorHAnsi" w:cs="Times New Roman"/>
          <w:sz w:val="24"/>
          <w:szCs w:val="24"/>
          <w:lang w:val="fr-FR"/>
        </w:rPr>
        <w:t xml:space="preserve">L’analyse des facteurs explicatifs de ce paradoxe menée dans la troisième partie de ce chapitre gagnerait à être complétée par des études de terrain additionnelles menées dans une perspective comparative. La comparaison de l’évolution des contrôles politiques sur la BCE avec les cas de la Banque d’Angleterre, du Japon et de la </w:t>
      </w:r>
      <w:r w:rsidRPr="004623C6">
        <w:rPr>
          <w:rFonts w:asciiTheme="majorHAnsi" w:hAnsiTheme="majorHAnsi" w:cs="Times New Roman"/>
          <w:i/>
          <w:sz w:val="24"/>
          <w:szCs w:val="24"/>
          <w:lang w:val="fr-FR"/>
        </w:rPr>
        <w:t>Federal Reserve</w:t>
      </w:r>
      <w:r w:rsidRPr="004623C6">
        <w:rPr>
          <w:rFonts w:asciiTheme="majorHAnsi" w:hAnsiTheme="majorHAnsi" w:cs="Times New Roman"/>
          <w:sz w:val="24"/>
          <w:szCs w:val="24"/>
          <w:lang w:val="fr-FR"/>
        </w:rPr>
        <w:t xml:space="preserve"> permettrait de dégager plus précisément le poids de chaque facteur explicatif. Ces futures recherches comparatives permettraient ainsi d’élucider l’énigme de l’autonomie persistante des banques centrales, qui constitue un des principaux points d’achoppement entre les logiques délibératives et celles propres au capitalisme financiarisé. </w:t>
      </w:r>
    </w:p>
    <w:p w14:paraId="55F9916D" w14:textId="39227CA3" w:rsidR="00F442D7" w:rsidRPr="005A638B" w:rsidRDefault="00F442D7">
      <w:pPr>
        <w:spacing w:after="0" w:line="240" w:lineRule="auto"/>
        <w:contextualSpacing/>
        <w:jc w:val="both"/>
        <w:rPr>
          <w:rFonts w:ascii="Times New Roman" w:hAnsi="Times New Roman" w:cs="Times New Roman"/>
          <w:b/>
          <w:lang w:val="fr-FR"/>
        </w:rPr>
      </w:pPr>
    </w:p>
    <w:p w14:paraId="624CDD42" w14:textId="77777777" w:rsidR="0034412A" w:rsidRPr="005A638B" w:rsidRDefault="0034412A">
      <w:pPr>
        <w:spacing w:after="0" w:line="240" w:lineRule="auto"/>
        <w:contextualSpacing/>
        <w:jc w:val="both"/>
        <w:rPr>
          <w:rFonts w:ascii="Times New Roman" w:hAnsi="Times New Roman" w:cs="Times New Roman"/>
          <w:lang w:val="fr-FR"/>
        </w:rPr>
      </w:pPr>
    </w:p>
    <w:p w14:paraId="39D124F0" w14:textId="34A84A11" w:rsidR="0027214A" w:rsidRPr="000A7ADD" w:rsidRDefault="0023207D" w:rsidP="00E34EBB">
      <w:pPr>
        <w:spacing w:after="0" w:line="240" w:lineRule="auto"/>
        <w:contextualSpacing/>
        <w:jc w:val="both"/>
        <w:rPr>
          <w:rFonts w:asciiTheme="majorHAnsi" w:hAnsiTheme="majorHAnsi" w:cs="Times New Roman"/>
          <w:b/>
          <w:i/>
          <w:sz w:val="20"/>
          <w:szCs w:val="20"/>
          <w:lang w:val="en-US"/>
        </w:rPr>
      </w:pPr>
      <w:r w:rsidRPr="000A7ADD">
        <w:rPr>
          <w:rFonts w:asciiTheme="majorHAnsi" w:hAnsiTheme="majorHAnsi" w:cs="Times New Roman"/>
          <w:b/>
          <w:i/>
          <w:sz w:val="20"/>
          <w:szCs w:val="20"/>
          <w:lang w:val="en-US"/>
        </w:rPr>
        <w:t>Références</w:t>
      </w:r>
    </w:p>
    <w:p w14:paraId="2782DD9C" w14:textId="77777777" w:rsidR="00550C38" w:rsidRPr="000A7ADD" w:rsidRDefault="00550C38" w:rsidP="00E34EBB">
      <w:pPr>
        <w:spacing w:after="0" w:line="240" w:lineRule="auto"/>
        <w:contextualSpacing/>
        <w:jc w:val="both"/>
        <w:rPr>
          <w:rFonts w:asciiTheme="majorHAnsi" w:hAnsiTheme="majorHAnsi" w:cs="Times New Roman"/>
          <w:b/>
          <w:sz w:val="20"/>
          <w:szCs w:val="20"/>
          <w:lang w:val="en-US"/>
        </w:rPr>
      </w:pPr>
    </w:p>
    <w:p w14:paraId="4E32BC27" w14:textId="77777777" w:rsidR="00AF69C5" w:rsidRPr="00265F9A" w:rsidRDefault="00AF69C5" w:rsidP="00E34EBB">
      <w:pPr>
        <w:spacing w:after="0" w:line="240" w:lineRule="auto"/>
        <w:ind w:left="720" w:hanging="720"/>
        <w:contextualSpacing/>
        <w:jc w:val="both"/>
        <w:rPr>
          <w:rFonts w:asciiTheme="majorHAnsi" w:hAnsiTheme="majorHAnsi" w:cs="Times New Roman"/>
          <w:sz w:val="20"/>
          <w:szCs w:val="20"/>
          <w:lang w:val="en-GB"/>
        </w:rPr>
      </w:pPr>
    </w:p>
    <w:p w14:paraId="5C30CA8F"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Admati</w:t>
      </w:r>
      <w:r w:rsidRPr="00265F9A">
        <w:rPr>
          <w:rFonts w:asciiTheme="majorHAnsi" w:eastAsia="Times New Roman" w:hAnsiTheme="majorHAnsi" w:cs="Times New Roman"/>
          <w:sz w:val="20"/>
          <w:szCs w:val="20"/>
          <w:lang w:val="sv-SE" w:eastAsia="sv-SE"/>
        </w:rPr>
        <w:t xml:space="preserve"> (Anat), </w:t>
      </w:r>
      <w:r w:rsidRPr="00265F9A">
        <w:rPr>
          <w:rFonts w:asciiTheme="majorHAnsi" w:eastAsia="Times New Roman" w:hAnsiTheme="majorHAnsi" w:cs="Times New Roman"/>
          <w:b/>
          <w:sz w:val="20"/>
          <w:szCs w:val="20"/>
          <w:lang w:val="sv-SE" w:eastAsia="sv-SE"/>
        </w:rPr>
        <w:t>Hellwig</w:t>
      </w:r>
      <w:r w:rsidRPr="00265F9A">
        <w:rPr>
          <w:rFonts w:asciiTheme="majorHAnsi" w:eastAsia="Times New Roman" w:hAnsiTheme="majorHAnsi" w:cs="Times New Roman"/>
          <w:sz w:val="20"/>
          <w:szCs w:val="20"/>
          <w:lang w:val="sv-SE" w:eastAsia="sv-SE"/>
        </w:rPr>
        <w:t xml:space="preserve"> (Martin), 2014, </w:t>
      </w:r>
      <w:r w:rsidRPr="00265F9A">
        <w:rPr>
          <w:rFonts w:asciiTheme="majorHAnsi" w:eastAsia="Times New Roman" w:hAnsiTheme="majorHAnsi" w:cs="Times New Roman"/>
          <w:i/>
          <w:sz w:val="20"/>
          <w:szCs w:val="20"/>
          <w:lang w:val="sv-SE" w:eastAsia="sv-SE"/>
        </w:rPr>
        <w:t>The bankers’ new clothes: What’s wrong with banking and what to do about it</w:t>
      </w:r>
      <w:r w:rsidRPr="00265F9A">
        <w:rPr>
          <w:rFonts w:asciiTheme="majorHAnsi" w:eastAsia="Times New Roman" w:hAnsiTheme="majorHAnsi" w:cs="Times New Roman"/>
          <w:sz w:val="20"/>
          <w:szCs w:val="20"/>
          <w:lang w:val="sv-SE" w:eastAsia="sv-SE"/>
        </w:rPr>
        <w:t>, Princeton, Princeton University Press.</w:t>
      </w:r>
    </w:p>
    <w:p w14:paraId="56D7B6F9" w14:textId="261AF054" w:rsidR="00400364"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Adolph</w:t>
      </w:r>
      <w:r w:rsidRPr="00265F9A">
        <w:rPr>
          <w:rFonts w:asciiTheme="majorHAnsi" w:eastAsia="Times New Roman" w:hAnsiTheme="majorHAnsi" w:cs="Times New Roman"/>
          <w:sz w:val="20"/>
          <w:szCs w:val="20"/>
          <w:lang w:val="sv-SE" w:eastAsia="sv-SE"/>
        </w:rPr>
        <w:t xml:space="preserve"> (Christopher), 2013, </w:t>
      </w:r>
      <w:r w:rsidRPr="00265F9A">
        <w:rPr>
          <w:rFonts w:asciiTheme="majorHAnsi" w:eastAsia="Times New Roman" w:hAnsiTheme="majorHAnsi" w:cs="Times New Roman"/>
          <w:i/>
          <w:sz w:val="20"/>
          <w:szCs w:val="20"/>
          <w:lang w:val="sv-SE" w:eastAsia="sv-SE"/>
        </w:rPr>
        <w:t>Bankers, Bureaucrats, and Central Bank Politics: The Myth of Neutrality</w:t>
      </w:r>
      <w:r w:rsidRPr="00265F9A">
        <w:rPr>
          <w:rFonts w:asciiTheme="majorHAnsi" w:eastAsia="Times New Roman" w:hAnsiTheme="majorHAnsi" w:cs="Times New Roman"/>
          <w:sz w:val="20"/>
          <w:szCs w:val="20"/>
          <w:lang w:val="sv-SE" w:eastAsia="sv-SE"/>
        </w:rPr>
        <w:t>, New York, Cambridge University Press.</w:t>
      </w:r>
    </w:p>
    <w:p w14:paraId="72828574" w14:textId="3C106116" w:rsidR="00245CE8" w:rsidRDefault="00245CE8" w:rsidP="00245CE8">
      <w:pPr>
        <w:pStyle w:val="Notedebasdepage"/>
        <w:rPr>
          <w:rFonts w:ascii="Times New Roman" w:hAnsi="Times New Roman" w:cs="Times New Roman"/>
        </w:rPr>
      </w:pPr>
      <w:r w:rsidRPr="0053779C">
        <w:rPr>
          <w:rFonts w:ascii="Times New Roman" w:hAnsi="Times New Roman" w:cs="Times New Roman"/>
          <w:b/>
        </w:rPr>
        <w:t>Baloge</w:t>
      </w:r>
      <w:r>
        <w:rPr>
          <w:rFonts w:ascii="Times New Roman" w:hAnsi="Times New Roman" w:cs="Times New Roman"/>
        </w:rPr>
        <w:t xml:space="preserve"> (</w:t>
      </w:r>
      <w:r w:rsidRPr="00DA24D6">
        <w:rPr>
          <w:rFonts w:ascii="Times New Roman" w:hAnsi="Times New Roman" w:cs="Times New Roman"/>
        </w:rPr>
        <w:t>Martin</w:t>
      </w:r>
      <w:r>
        <w:rPr>
          <w:rFonts w:ascii="Times New Roman" w:hAnsi="Times New Roman" w:cs="Times New Roman"/>
        </w:rPr>
        <w:t>),</w:t>
      </w:r>
      <w:r w:rsidRPr="000757F4">
        <w:rPr>
          <w:rFonts w:ascii="Times New Roman" w:hAnsi="Times New Roman" w:cs="Times New Roman"/>
        </w:rPr>
        <w:t xml:space="preserve"> </w:t>
      </w:r>
      <w:r>
        <w:rPr>
          <w:rFonts w:ascii="Times New Roman" w:hAnsi="Times New Roman" w:cs="Times New Roman"/>
        </w:rPr>
        <w:t>2014,</w:t>
      </w:r>
      <w:r>
        <w:rPr>
          <w:rFonts w:ascii="Times New Roman" w:hAnsi="Times New Roman" w:cs="Times New Roman"/>
        </w:rPr>
        <w:t xml:space="preserve"> « S'opposer à quel prix? »,</w:t>
      </w:r>
      <w:r w:rsidRPr="00DA24D6">
        <w:rPr>
          <w:rFonts w:ascii="Times New Roman" w:hAnsi="Times New Roman" w:cs="Times New Roman"/>
        </w:rPr>
        <w:t xml:space="preserve"> </w:t>
      </w:r>
      <w:r w:rsidRPr="00DA24D6">
        <w:rPr>
          <w:rFonts w:ascii="Times New Roman" w:hAnsi="Times New Roman" w:cs="Times New Roman"/>
          <w:i/>
          <w:iCs/>
        </w:rPr>
        <w:t>Politique europeenne</w:t>
      </w:r>
      <w:r>
        <w:rPr>
          <w:rFonts w:ascii="Times New Roman" w:hAnsi="Times New Roman" w:cs="Times New Roman"/>
          <w:i/>
          <w:iCs/>
        </w:rPr>
        <w:t>,</w:t>
      </w:r>
      <w:r w:rsidRPr="00DA24D6">
        <w:rPr>
          <w:rFonts w:ascii="Times New Roman" w:hAnsi="Times New Roman" w:cs="Times New Roman"/>
        </w:rPr>
        <w:t xml:space="preserve"> 1 94-119</w:t>
      </w:r>
    </w:p>
    <w:p w14:paraId="01E39708" w14:textId="77777777" w:rsidR="00245CE8" w:rsidRPr="00245CE8" w:rsidRDefault="00245CE8" w:rsidP="00245CE8">
      <w:pPr>
        <w:pStyle w:val="Notedebasdepage"/>
      </w:pPr>
    </w:p>
    <w:p w14:paraId="2C93654B"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Baroncelli</w:t>
      </w:r>
      <w:r w:rsidRPr="00265F9A">
        <w:rPr>
          <w:rFonts w:asciiTheme="majorHAnsi" w:hAnsiTheme="majorHAnsi"/>
          <w:sz w:val="20"/>
          <w:szCs w:val="20"/>
          <w:lang w:val="en-US"/>
        </w:rPr>
        <w:t xml:space="preserve"> (Stefania), 2016, « The Gauweiler Judgment in View of the Case Law of the European Court of Justice on European Central Bank Independence: Between Substance and Form », </w:t>
      </w:r>
      <w:r w:rsidRPr="00265F9A">
        <w:rPr>
          <w:rFonts w:asciiTheme="majorHAnsi" w:hAnsiTheme="majorHAnsi"/>
          <w:i/>
          <w:iCs/>
          <w:sz w:val="20"/>
          <w:szCs w:val="20"/>
          <w:lang w:val="en-US"/>
        </w:rPr>
        <w:t>Maastricht Journal of European and Comparative Law</w:t>
      </w:r>
      <w:r w:rsidRPr="00265F9A">
        <w:rPr>
          <w:rFonts w:asciiTheme="majorHAnsi" w:hAnsiTheme="majorHAnsi"/>
          <w:sz w:val="20"/>
          <w:szCs w:val="20"/>
          <w:lang w:val="en-US"/>
        </w:rPr>
        <w:t>, 23 (1), p. 79</w:t>
      </w:r>
      <w:r w:rsidRPr="00265F9A">
        <w:rPr>
          <w:rFonts w:asciiTheme="majorHAnsi" w:hAnsiTheme="majorHAnsi"/>
          <w:sz w:val="20"/>
          <w:szCs w:val="20"/>
          <w:lang w:val="en-US"/>
        </w:rPr>
        <w:noBreakHyphen/>
        <w:t xml:space="preserve">98. </w:t>
      </w:r>
    </w:p>
    <w:p w14:paraId="2DA1CB3C"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lastRenderedPageBreak/>
        <w:t>Best</w:t>
      </w:r>
      <w:r w:rsidRPr="00265F9A">
        <w:rPr>
          <w:rFonts w:asciiTheme="majorHAnsi" w:hAnsiTheme="majorHAnsi"/>
          <w:sz w:val="20"/>
          <w:szCs w:val="20"/>
          <w:lang w:val="en-US"/>
        </w:rPr>
        <w:t xml:space="preserve"> (Jacqueline), 2016, « Rethinking Central Bank Accountability in Uncertain Times », </w:t>
      </w:r>
      <w:r w:rsidRPr="00265F9A">
        <w:rPr>
          <w:rFonts w:asciiTheme="majorHAnsi" w:hAnsiTheme="majorHAnsi"/>
          <w:i/>
          <w:iCs/>
          <w:sz w:val="20"/>
          <w:szCs w:val="20"/>
          <w:lang w:val="en-US"/>
        </w:rPr>
        <w:t>Ethics &amp; International Affairs</w:t>
      </w:r>
      <w:r w:rsidRPr="00265F9A">
        <w:rPr>
          <w:rFonts w:asciiTheme="majorHAnsi" w:hAnsiTheme="majorHAnsi"/>
          <w:sz w:val="20"/>
          <w:szCs w:val="20"/>
          <w:lang w:val="en-US"/>
        </w:rPr>
        <w:t>, 30 (2), p. 215–232.</w:t>
      </w:r>
    </w:p>
    <w:p w14:paraId="32FE803C"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Blyth</w:t>
      </w:r>
      <w:r w:rsidRPr="00265F9A">
        <w:rPr>
          <w:rFonts w:asciiTheme="majorHAnsi" w:eastAsia="Times New Roman" w:hAnsiTheme="majorHAnsi" w:cs="Times New Roman"/>
          <w:sz w:val="20"/>
          <w:szCs w:val="20"/>
          <w:lang w:val="sv-SE" w:eastAsia="sv-SE"/>
        </w:rPr>
        <w:t xml:space="preserve"> (Mark), 2013, </w:t>
      </w:r>
      <w:r w:rsidRPr="00265F9A">
        <w:rPr>
          <w:rFonts w:asciiTheme="majorHAnsi" w:eastAsia="Times New Roman" w:hAnsiTheme="majorHAnsi" w:cs="Times New Roman"/>
          <w:i/>
          <w:sz w:val="20"/>
          <w:szCs w:val="20"/>
          <w:lang w:val="sv-SE" w:eastAsia="sv-SE"/>
        </w:rPr>
        <w:t>Austerity: the history of a dangerous idea</w:t>
      </w:r>
      <w:r w:rsidRPr="00265F9A">
        <w:rPr>
          <w:rFonts w:asciiTheme="majorHAnsi" w:eastAsia="Times New Roman" w:hAnsiTheme="majorHAnsi" w:cs="Times New Roman"/>
          <w:sz w:val="20"/>
          <w:szCs w:val="20"/>
          <w:lang w:val="sv-SE" w:eastAsia="sv-SE"/>
        </w:rPr>
        <w:t>, Oxford, Oxford University Press.</w:t>
      </w:r>
    </w:p>
    <w:p w14:paraId="688A438E"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Buiter</w:t>
      </w:r>
      <w:r w:rsidRPr="00265F9A">
        <w:rPr>
          <w:rFonts w:asciiTheme="majorHAnsi" w:hAnsiTheme="majorHAnsi"/>
          <w:sz w:val="20"/>
          <w:szCs w:val="20"/>
          <w:lang w:val="en-US"/>
        </w:rPr>
        <w:t xml:space="preserve"> (Willem), </w:t>
      </w:r>
      <w:r w:rsidRPr="00265F9A">
        <w:rPr>
          <w:rFonts w:asciiTheme="majorHAnsi" w:hAnsiTheme="majorHAnsi"/>
          <w:b/>
          <w:sz w:val="20"/>
          <w:szCs w:val="20"/>
          <w:lang w:val="en-US"/>
        </w:rPr>
        <w:t>Rahbari</w:t>
      </w:r>
      <w:r w:rsidRPr="00265F9A">
        <w:rPr>
          <w:rFonts w:asciiTheme="majorHAnsi" w:hAnsiTheme="majorHAnsi"/>
          <w:sz w:val="20"/>
          <w:szCs w:val="20"/>
          <w:lang w:val="en-US"/>
        </w:rPr>
        <w:t xml:space="preserve"> (Ebrahim), 2012, « The European Central Bank as Lender of Last Resort for Sovereigns in the Eurozone », </w:t>
      </w:r>
      <w:r w:rsidRPr="00265F9A">
        <w:rPr>
          <w:rFonts w:asciiTheme="majorHAnsi" w:hAnsiTheme="majorHAnsi"/>
          <w:i/>
          <w:iCs/>
          <w:sz w:val="20"/>
          <w:szCs w:val="20"/>
          <w:lang w:val="en-US"/>
        </w:rPr>
        <w:t>Journal of Common Market Studies</w:t>
      </w:r>
      <w:r w:rsidRPr="00265F9A">
        <w:rPr>
          <w:rFonts w:asciiTheme="majorHAnsi" w:hAnsiTheme="majorHAnsi"/>
          <w:sz w:val="20"/>
          <w:szCs w:val="20"/>
          <w:lang w:val="en-US"/>
        </w:rPr>
        <w:t xml:space="preserve">, 50, p. 6–35. </w:t>
      </w:r>
    </w:p>
    <w:p w14:paraId="1B4E7C8C"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Burnham</w:t>
      </w:r>
      <w:r w:rsidRPr="00265F9A">
        <w:rPr>
          <w:rFonts w:asciiTheme="majorHAnsi" w:hAnsiTheme="majorHAnsi"/>
          <w:sz w:val="20"/>
          <w:szCs w:val="20"/>
          <w:lang w:val="en-US"/>
        </w:rPr>
        <w:t xml:space="preserve"> (Peter), 2001, « New Labour and the Politics of Depoliticisation », </w:t>
      </w:r>
      <w:r w:rsidRPr="00265F9A">
        <w:rPr>
          <w:rFonts w:asciiTheme="majorHAnsi" w:hAnsiTheme="majorHAnsi"/>
          <w:i/>
          <w:iCs/>
          <w:sz w:val="20"/>
          <w:szCs w:val="20"/>
          <w:lang w:val="en-US"/>
        </w:rPr>
        <w:t>The British Journal of Politics &amp; International Relations</w:t>
      </w:r>
      <w:r w:rsidRPr="00265F9A">
        <w:rPr>
          <w:rFonts w:asciiTheme="majorHAnsi" w:hAnsiTheme="majorHAnsi"/>
          <w:sz w:val="20"/>
          <w:szCs w:val="20"/>
          <w:lang w:val="en-US"/>
        </w:rPr>
        <w:t>, 3 (2), p. 127</w:t>
      </w:r>
      <w:r w:rsidRPr="00265F9A">
        <w:rPr>
          <w:rFonts w:asciiTheme="majorHAnsi" w:hAnsiTheme="majorHAnsi"/>
          <w:sz w:val="20"/>
          <w:szCs w:val="20"/>
          <w:lang w:val="en-US"/>
        </w:rPr>
        <w:noBreakHyphen/>
        <w:t xml:space="preserve">49. </w:t>
      </w:r>
    </w:p>
    <w:p w14:paraId="2D0CD828"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Chang</w:t>
      </w:r>
      <w:r w:rsidRPr="00265F9A">
        <w:rPr>
          <w:rFonts w:asciiTheme="majorHAnsi" w:hAnsiTheme="majorHAnsi"/>
          <w:sz w:val="20"/>
          <w:szCs w:val="20"/>
          <w:lang w:val="en-US"/>
        </w:rPr>
        <w:t xml:space="preserve"> (Michele), 2018, « The Creeping Competence of the European Central Bank During the Euro Crisis », </w:t>
      </w:r>
      <w:r w:rsidRPr="00265F9A">
        <w:rPr>
          <w:rFonts w:asciiTheme="majorHAnsi" w:hAnsiTheme="majorHAnsi"/>
          <w:i/>
          <w:iCs/>
          <w:sz w:val="20"/>
          <w:szCs w:val="20"/>
          <w:lang w:val="en-US"/>
        </w:rPr>
        <w:t>Credit and Capital Markets – Kredit und Kapital</w:t>
      </w:r>
      <w:r w:rsidRPr="00265F9A">
        <w:rPr>
          <w:rFonts w:asciiTheme="majorHAnsi" w:hAnsiTheme="majorHAnsi"/>
          <w:sz w:val="20"/>
          <w:szCs w:val="20"/>
          <w:lang w:val="en-US"/>
        </w:rPr>
        <w:t>, 51 (1), p. 41</w:t>
      </w:r>
      <w:r w:rsidRPr="00265F9A">
        <w:rPr>
          <w:rFonts w:asciiTheme="majorHAnsi" w:hAnsiTheme="majorHAnsi"/>
          <w:sz w:val="20"/>
          <w:szCs w:val="20"/>
          <w:lang w:val="en-US"/>
        </w:rPr>
        <w:noBreakHyphen/>
        <w:t>53..</w:t>
      </w:r>
    </w:p>
    <w:p w14:paraId="60CD5371"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Cour-Thimann</w:t>
      </w:r>
      <w:r w:rsidRPr="00265F9A">
        <w:rPr>
          <w:rFonts w:asciiTheme="majorHAnsi" w:eastAsia="Times New Roman" w:hAnsiTheme="majorHAnsi" w:cs="Times New Roman"/>
          <w:sz w:val="20"/>
          <w:szCs w:val="20"/>
          <w:lang w:val="sv-SE" w:eastAsia="sv-SE"/>
        </w:rPr>
        <w:t xml:space="preserve"> (Philippine), 2013,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Monetary policy and redistribution: information from central bank balance sheets in the Euro area and the US</w:t>
      </w:r>
      <w:r w:rsidRPr="000A7ADD">
        <w:rPr>
          <w:rFonts w:asciiTheme="majorHAnsi" w:hAnsiTheme="majorHAnsi" w:cs="Times New Roman"/>
          <w:sz w:val="20"/>
          <w:szCs w:val="20"/>
          <w:lang w:val="en-US"/>
        </w:rPr>
        <w:t> », </w:t>
      </w:r>
      <w:r w:rsidRPr="00265F9A">
        <w:rPr>
          <w:rFonts w:asciiTheme="majorHAnsi" w:eastAsia="Times New Roman" w:hAnsiTheme="majorHAnsi" w:cs="Times New Roman"/>
          <w:i/>
          <w:sz w:val="20"/>
          <w:szCs w:val="20"/>
          <w:lang w:val="sv-SE" w:eastAsia="sv-SE"/>
        </w:rPr>
        <w:t>Review of Economics</w:t>
      </w:r>
      <w:r w:rsidRPr="00265F9A">
        <w:rPr>
          <w:rFonts w:asciiTheme="majorHAnsi" w:eastAsia="Times New Roman" w:hAnsiTheme="majorHAnsi" w:cs="Times New Roman"/>
          <w:sz w:val="20"/>
          <w:szCs w:val="20"/>
          <w:lang w:val="sv-SE" w:eastAsia="sv-SE"/>
        </w:rPr>
        <w:t>, 64 (3), p. 293-324.</w:t>
      </w:r>
    </w:p>
    <w:p w14:paraId="4006F8E2"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Crouch</w:t>
      </w:r>
      <w:r w:rsidRPr="00265F9A">
        <w:rPr>
          <w:rFonts w:asciiTheme="majorHAnsi" w:eastAsia="Times New Roman" w:hAnsiTheme="majorHAnsi" w:cs="Times New Roman"/>
          <w:sz w:val="20"/>
          <w:szCs w:val="20"/>
          <w:lang w:val="sv-SE" w:eastAsia="sv-SE"/>
        </w:rPr>
        <w:t xml:space="preserve"> (Colin), 2004, </w:t>
      </w:r>
      <w:r w:rsidRPr="00265F9A">
        <w:rPr>
          <w:rFonts w:asciiTheme="majorHAnsi" w:eastAsia="Times New Roman" w:hAnsiTheme="majorHAnsi" w:cs="Times New Roman"/>
          <w:i/>
          <w:sz w:val="20"/>
          <w:szCs w:val="20"/>
          <w:lang w:val="sv-SE" w:eastAsia="sv-SE"/>
        </w:rPr>
        <w:t>Post-democracy</w:t>
      </w:r>
      <w:r w:rsidRPr="00265F9A">
        <w:rPr>
          <w:rFonts w:asciiTheme="majorHAnsi" w:eastAsia="Times New Roman" w:hAnsiTheme="majorHAnsi" w:cs="Times New Roman"/>
          <w:sz w:val="20"/>
          <w:szCs w:val="20"/>
          <w:lang w:val="sv-SE" w:eastAsia="sv-SE"/>
        </w:rPr>
        <w:t>, Cambridge, Polity Press.</w:t>
      </w:r>
    </w:p>
    <w:p w14:paraId="6686BFFB" w14:textId="77777777" w:rsidR="00400364" w:rsidRPr="000A7ADD"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Curtin</w:t>
      </w:r>
      <w:r w:rsidRPr="00265F9A">
        <w:rPr>
          <w:rFonts w:asciiTheme="majorHAnsi" w:hAnsiTheme="majorHAnsi"/>
          <w:sz w:val="20"/>
          <w:szCs w:val="20"/>
          <w:lang w:val="en-US"/>
        </w:rPr>
        <w:t xml:space="preserve"> (Deirdre), 2017, « ‘Accountable Independence’ of the European Central Bank: Seeing the Logics of Transparency », </w:t>
      </w:r>
      <w:r w:rsidRPr="000A7ADD">
        <w:rPr>
          <w:rFonts w:asciiTheme="majorHAnsi" w:hAnsiTheme="majorHAnsi"/>
          <w:i/>
          <w:iCs/>
          <w:sz w:val="20"/>
          <w:szCs w:val="20"/>
          <w:lang w:val="en-US"/>
        </w:rPr>
        <w:t>European Law Journal</w:t>
      </w:r>
      <w:r w:rsidRPr="00265F9A">
        <w:rPr>
          <w:rFonts w:asciiTheme="majorHAnsi" w:hAnsiTheme="majorHAnsi"/>
          <w:sz w:val="20"/>
          <w:szCs w:val="20"/>
          <w:lang w:val="en-US"/>
        </w:rPr>
        <w:t>,</w:t>
      </w:r>
      <w:r w:rsidRPr="000A7ADD">
        <w:rPr>
          <w:rFonts w:asciiTheme="majorHAnsi" w:hAnsiTheme="majorHAnsi"/>
          <w:sz w:val="20"/>
          <w:szCs w:val="20"/>
          <w:lang w:val="en-US"/>
        </w:rPr>
        <w:t xml:space="preserve"> 23 (1</w:t>
      </w:r>
      <w:r w:rsidRPr="000A7ADD">
        <w:rPr>
          <w:rFonts w:asciiTheme="majorHAnsi" w:hAnsiTheme="majorHAnsi"/>
          <w:sz w:val="20"/>
          <w:szCs w:val="20"/>
          <w:lang w:val="en-US"/>
        </w:rPr>
        <w:noBreakHyphen/>
        <w:t>2), p. 28</w:t>
      </w:r>
      <w:r w:rsidRPr="000A7ADD">
        <w:rPr>
          <w:rFonts w:asciiTheme="majorHAnsi" w:hAnsiTheme="majorHAnsi"/>
          <w:sz w:val="20"/>
          <w:szCs w:val="20"/>
          <w:lang w:val="en-US"/>
        </w:rPr>
        <w:noBreakHyphen/>
        <w:t xml:space="preserve">44. </w:t>
      </w:r>
    </w:p>
    <w:p w14:paraId="5A7FDDC5" w14:textId="77777777" w:rsidR="00400364" w:rsidRPr="00265F9A" w:rsidRDefault="00400364" w:rsidP="0023207D">
      <w:pPr>
        <w:spacing w:after="120" w:line="240" w:lineRule="atLeast"/>
        <w:jc w:val="both"/>
        <w:rPr>
          <w:rFonts w:asciiTheme="majorHAnsi" w:hAnsiTheme="majorHAnsi"/>
          <w:sz w:val="20"/>
          <w:szCs w:val="20"/>
          <w:lang w:val="en-US"/>
        </w:rPr>
      </w:pPr>
      <w:r w:rsidRPr="000A7ADD">
        <w:rPr>
          <w:rFonts w:asciiTheme="majorHAnsi" w:hAnsiTheme="majorHAnsi"/>
          <w:b/>
          <w:sz w:val="20"/>
          <w:szCs w:val="20"/>
          <w:lang w:val="en-US"/>
        </w:rPr>
        <w:t>Della Porta</w:t>
      </w:r>
      <w:r w:rsidRPr="000A7ADD">
        <w:rPr>
          <w:rFonts w:asciiTheme="majorHAnsi" w:hAnsiTheme="majorHAnsi"/>
          <w:sz w:val="20"/>
          <w:szCs w:val="20"/>
          <w:lang w:val="en-US"/>
        </w:rPr>
        <w:t xml:space="preserve">  (Donatella), </w:t>
      </w:r>
      <w:r w:rsidRPr="000A7ADD">
        <w:rPr>
          <w:rFonts w:asciiTheme="majorHAnsi" w:hAnsiTheme="majorHAnsi"/>
          <w:b/>
          <w:sz w:val="20"/>
          <w:szCs w:val="20"/>
          <w:lang w:val="en-US"/>
        </w:rPr>
        <w:t>Parks</w:t>
      </w:r>
      <w:r w:rsidRPr="000A7ADD">
        <w:rPr>
          <w:rFonts w:asciiTheme="majorHAnsi" w:hAnsiTheme="majorHAnsi"/>
          <w:sz w:val="20"/>
          <w:szCs w:val="20"/>
          <w:lang w:val="en-US"/>
        </w:rPr>
        <w:t xml:space="preserve"> (Louisa), 2018, </w:t>
      </w:r>
      <w:r w:rsidRPr="00265F9A">
        <w:rPr>
          <w:rFonts w:asciiTheme="majorHAnsi" w:hAnsiTheme="majorHAnsi"/>
          <w:sz w:val="20"/>
          <w:szCs w:val="20"/>
          <w:lang w:val="en-US"/>
        </w:rPr>
        <w:t xml:space="preserve">« Social Movements, the European Crisis, and EU Political Opportunities », </w:t>
      </w:r>
      <w:r w:rsidRPr="00265F9A">
        <w:rPr>
          <w:rFonts w:asciiTheme="majorHAnsi" w:hAnsiTheme="majorHAnsi"/>
          <w:i/>
          <w:iCs/>
          <w:sz w:val="20"/>
          <w:szCs w:val="20"/>
          <w:lang w:val="en-US"/>
        </w:rPr>
        <w:t>Comparative European Politics</w:t>
      </w:r>
      <w:r w:rsidRPr="00265F9A">
        <w:rPr>
          <w:rFonts w:asciiTheme="majorHAnsi" w:hAnsiTheme="majorHAnsi"/>
          <w:sz w:val="20"/>
          <w:szCs w:val="20"/>
          <w:lang w:val="en-US"/>
        </w:rPr>
        <w:t>, 16 (1), p. 85-102.</w:t>
      </w:r>
    </w:p>
    <w:p w14:paraId="766BA362" w14:textId="77777777" w:rsidR="00400364" w:rsidRPr="00265F9A" w:rsidRDefault="00400364" w:rsidP="0023207D">
      <w:pPr>
        <w:spacing w:after="120" w:line="240" w:lineRule="atLeast"/>
        <w:jc w:val="both"/>
        <w:rPr>
          <w:rFonts w:asciiTheme="majorHAnsi" w:hAnsiTheme="majorHAnsi"/>
          <w:sz w:val="20"/>
          <w:szCs w:val="20"/>
          <w:lang w:val="en-US"/>
        </w:rPr>
      </w:pPr>
      <w:r w:rsidRPr="000A7ADD">
        <w:rPr>
          <w:rFonts w:asciiTheme="majorHAnsi" w:hAnsiTheme="majorHAnsi"/>
          <w:b/>
          <w:sz w:val="20"/>
          <w:szCs w:val="20"/>
          <w:lang w:val="en-US"/>
        </w:rPr>
        <w:t>Dietsch</w:t>
      </w:r>
      <w:r w:rsidRPr="000A7ADD">
        <w:rPr>
          <w:rFonts w:asciiTheme="majorHAnsi" w:hAnsiTheme="majorHAnsi"/>
          <w:sz w:val="20"/>
          <w:szCs w:val="20"/>
          <w:lang w:val="en-US"/>
        </w:rPr>
        <w:t xml:space="preserve"> (Peter), </w:t>
      </w:r>
      <w:r w:rsidRPr="000A7ADD">
        <w:rPr>
          <w:rFonts w:asciiTheme="majorHAnsi" w:hAnsiTheme="majorHAnsi"/>
          <w:b/>
          <w:sz w:val="20"/>
          <w:szCs w:val="20"/>
          <w:lang w:val="en-US"/>
        </w:rPr>
        <w:t>Claveau</w:t>
      </w:r>
      <w:r w:rsidRPr="000A7ADD">
        <w:rPr>
          <w:rFonts w:asciiTheme="majorHAnsi" w:hAnsiTheme="majorHAnsi"/>
          <w:sz w:val="20"/>
          <w:szCs w:val="20"/>
          <w:lang w:val="en-US"/>
        </w:rPr>
        <w:t xml:space="preserve"> (François), </w:t>
      </w:r>
      <w:r w:rsidRPr="000A7ADD">
        <w:rPr>
          <w:rFonts w:asciiTheme="majorHAnsi" w:hAnsiTheme="majorHAnsi"/>
          <w:b/>
          <w:sz w:val="20"/>
          <w:szCs w:val="20"/>
          <w:lang w:val="en-US"/>
        </w:rPr>
        <w:t>Fontan</w:t>
      </w:r>
      <w:r w:rsidRPr="000A7ADD">
        <w:rPr>
          <w:rFonts w:asciiTheme="majorHAnsi" w:hAnsiTheme="majorHAnsi"/>
          <w:sz w:val="20"/>
          <w:szCs w:val="20"/>
          <w:lang w:val="en-US"/>
        </w:rPr>
        <w:t xml:space="preserve"> (Clément), 2018, </w:t>
      </w:r>
      <w:r w:rsidRPr="00265F9A">
        <w:rPr>
          <w:rFonts w:asciiTheme="majorHAnsi" w:hAnsiTheme="majorHAnsi"/>
          <w:i/>
          <w:iCs/>
          <w:sz w:val="20"/>
          <w:szCs w:val="20"/>
          <w:lang w:val="en-US"/>
        </w:rPr>
        <w:t>Do Central Banks Serve The People ?</w:t>
      </w:r>
      <w:r w:rsidRPr="00265F9A">
        <w:rPr>
          <w:rFonts w:asciiTheme="majorHAnsi" w:hAnsiTheme="majorHAnsi"/>
          <w:sz w:val="20"/>
          <w:szCs w:val="20"/>
          <w:lang w:val="en-US"/>
        </w:rPr>
        <w:t>, Cambrige, Polity.</w:t>
      </w:r>
    </w:p>
    <w:p w14:paraId="1A67D81F"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Domanski</w:t>
      </w:r>
      <w:r w:rsidRPr="00265F9A">
        <w:rPr>
          <w:rFonts w:asciiTheme="majorHAnsi" w:eastAsia="Times New Roman" w:hAnsiTheme="majorHAnsi" w:cs="Times New Roman"/>
          <w:sz w:val="20"/>
          <w:szCs w:val="20"/>
          <w:lang w:val="sv-SE" w:eastAsia="sv-SE"/>
        </w:rPr>
        <w:t xml:space="preserve"> (Dietrich), </w:t>
      </w:r>
      <w:r w:rsidRPr="00265F9A">
        <w:rPr>
          <w:rFonts w:asciiTheme="majorHAnsi" w:eastAsia="Times New Roman" w:hAnsiTheme="majorHAnsi" w:cs="Times New Roman"/>
          <w:b/>
          <w:sz w:val="20"/>
          <w:szCs w:val="20"/>
          <w:lang w:val="sv-SE" w:eastAsia="sv-SE"/>
        </w:rPr>
        <w:t>Scatigna</w:t>
      </w:r>
      <w:r w:rsidRPr="00265F9A">
        <w:rPr>
          <w:rFonts w:asciiTheme="majorHAnsi" w:eastAsia="Times New Roman" w:hAnsiTheme="majorHAnsi" w:cs="Times New Roman"/>
          <w:sz w:val="20"/>
          <w:szCs w:val="20"/>
          <w:lang w:val="sv-SE" w:eastAsia="sv-SE"/>
        </w:rPr>
        <w:t xml:space="preserve"> (Michela), </w:t>
      </w:r>
      <w:r w:rsidRPr="00265F9A">
        <w:rPr>
          <w:rFonts w:asciiTheme="majorHAnsi" w:eastAsia="Times New Roman" w:hAnsiTheme="majorHAnsi" w:cs="Times New Roman"/>
          <w:b/>
          <w:sz w:val="20"/>
          <w:szCs w:val="20"/>
          <w:lang w:val="sv-SE" w:eastAsia="sv-SE"/>
        </w:rPr>
        <w:t>Zabai</w:t>
      </w:r>
      <w:r w:rsidRPr="00265F9A">
        <w:rPr>
          <w:rFonts w:asciiTheme="majorHAnsi" w:eastAsia="Times New Roman" w:hAnsiTheme="majorHAnsi" w:cs="Times New Roman"/>
          <w:sz w:val="20"/>
          <w:szCs w:val="20"/>
          <w:lang w:val="sv-SE" w:eastAsia="sv-SE"/>
        </w:rPr>
        <w:t xml:space="preserve"> (Anna), 2016,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Wealth Inequality and Monetary Policy</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BIS Quarterly Review</w:t>
      </w:r>
      <w:r w:rsidRPr="00265F9A">
        <w:rPr>
          <w:rFonts w:asciiTheme="majorHAnsi" w:eastAsia="Times New Roman" w:hAnsiTheme="majorHAnsi" w:cs="Times New Roman"/>
          <w:sz w:val="20"/>
          <w:szCs w:val="20"/>
          <w:lang w:val="sv-SE" w:eastAsia="sv-SE"/>
        </w:rPr>
        <w:t>, march.</w:t>
      </w:r>
    </w:p>
    <w:p w14:paraId="1CDAD7EF"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Dyson</w:t>
      </w:r>
      <w:r w:rsidRPr="00265F9A">
        <w:rPr>
          <w:rFonts w:asciiTheme="majorHAnsi" w:hAnsiTheme="majorHAnsi"/>
          <w:sz w:val="20"/>
          <w:szCs w:val="20"/>
          <w:lang w:val="en-US"/>
        </w:rPr>
        <w:t xml:space="preserve"> (Kenneth), </w:t>
      </w:r>
      <w:r w:rsidRPr="00265F9A">
        <w:rPr>
          <w:rFonts w:asciiTheme="majorHAnsi" w:hAnsiTheme="majorHAnsi"/>
          <w:b/>
          <w:sz w:val="20"/>
          <w:szCs w:val="20"/>
          <w:lang w:val="en-US"/>
        </w:rPr>
        <w:t>Featherstone</w:t>
      </w:r>
      <w:r w:rsidRPr="00265F9A">
        <w:rPr>
          <w:rFonts w:asciiTheme="majorHAnsi" w:hAnsiTheme="majorHAnsi"/>
          <w:sz w:val="20"/>
          <w:szCs w:val="20"/>
          <w:lang w:val="en-US"/>
        </w:rPr>
        <w:t xml:space="preserve"> (Kevin), 1999, </w:t>
      </w:r>
      <w:r w:rsidRPr="00265F9A">
        <w:rPr>
          <w:rFonts w:asciiTheme="majorHAnsi" w:hAnsiTheme="majorHAnsi"/>
          <w:i/>
          <w:iCs/>
          <w:sz w:val="20"/>
          <w:szCs w:val="20"/>
          <w:lang w:val="en-US"/>
        </w:rPr>
        <w:t>The Road to Maastricht: Negotiating Economic and Monetary Union</w:t>
      </w:r>
      <w:r w:rsidRPr="00265F9A">
        <w:rPr>
          <w:rFonts w:asciiTheme="majorHAnsi" w:hAnsiTheme="majorHAnsi"/>
          <w:sz w:val="20"/>
          <w:szCs w:val="20"/>
          <w:lang w:val="en-US"/>
        </w:rPr>
        <w:t>, Oxford, Oxford University Press.</w:t>
      </w:r>
    </w:p>
    <w:p w14:paraId="129AA7EB"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Elgie</w:t>
      </w:r>
      <w:r w:rsidRPr="00265F9A">
        <w:rPr>
          <w:rFonts w:asciiTheme="majorHAnsi" w:eastAsia="Times New Roman" w:hAnsiTheme="majorHAnsi" w:cs="Times New Roman"/>
          <w:sz w:val="20"/>
          <w:szCs w:val="20"/>
          <w:lang w:val="sv-SE" w:eastAsia="sv-SE"/>
        </w:rPr>
        <w:t xml:space="preserve"> (Robert), 2002,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The politics of the European Central Bank: principal-agent theory and the democratic deficit</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Journal of European Public Policy</w:t>
      </w:r>
      <w:r w:rsidRPr="00265F9A">
        <w:rPr>
          <w:rFonts w:asciiTheme="majorHAnsi" w:eastAsia="Times New Roman" w:hAnsiTheme="majorHAnsi" w:cs="Times New Roman"/>
          <w:sz w:val="20"/>
          <w:szCs w:val="20"/>
          <w:lang w:val="sv-SE" w:eastAsia="sv-SE"/>
        </w:rPr>
        <w:t xml:space="preserve">, 9 (2), p. 186-200. </w:t>
      </w:r>
    </w:p>
    <w:p w14:paraId="5228AFC5"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Epstein</w:t>
      </w:r>
      <w:r w:rsidRPr="00265F9A">
        <w:rPr>
          <w:rFonts w:asciiTheme="majorHAnsi" w:hAnsiTheme="majorHAnsi"/>
          <w:sz w:val="20"/>
          <w:szCs w:val="20"/>
          <w:lang w:val="en-US"/>
        </w:rPr>
        <w:t xml:space="preserve"> (Gerald A.), 2005, </w:t>
      </w:r>
      <w:r w:rsidRPr="00265F9A">
        <w:rPr>
          <w:rFonts w:asciiTheme="majorHAnsi" w:hAnsiTheme="majorHAnsi"/>
          <w:i/>
          <w:iCs/>
          <w:sz w:val="20"/>
          <w:szCs w:val="20"/>
          <w:lang w:val="en-US"/>
        </w:rPr>
        <w:t>Financialization and the World Economy</w:t>
      </w:r>
      <w:r w:rsidRPr="00265F9A">
        <w:rPr>
          <w:rFonts w:asciiTheme="majorHAnsi" w:hAnsiTheme="majorHAnsi"/>
          <w:sz w:val="20"/>
          <w:szCs w:val="20"/>
          <w:lang w:val="en-US"/>
        </w:rPr>
        <w:t>, Londres, Edward Elgar Publishing.</w:t>
      </w:r>
    </w:p>
    <w:p w14:paraId="7DEC0AC1"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Ertürk</w:t>
      </w:r>
      <w:r w:rsidRPr="00265F9A">
        <w:rPr>
          <w:rFonts w:asciiTheme="majorHAnsi" w:eastAsia="Times New Roman" w:hAnsiTheme="majorHAnsi" w:cs="Times New Roman"/>
          <w:sz w:val="20"/>
          <w:szCs w:val="20"/>
          <w:lang w:val="sv-SE" w:eastAsia="sv-SE"/>
        </w:rPr>
        <w:t xml:space="preserve"> (Ismail), 2014,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Reconceptualizing Central Bank Unconventional Policies: Long Positions on No-Growth Capitalism</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in</w:t>
      </w:r>
      <w:r w:rsidRPr="00265F9A">
        <w:rPr>
          <w:rFonts w:asciiTheme="majorHAnsi" w:eastAsia="Times New Roman" w:hAnsiTheme="majorHAnsi" w:cs="Times New Roman"/>
          <w:sz w:val="20"/>
          <w:szCs w:val="20"/>
          <w:lang w:val="sv-SE" w:eastAsia="sv-SE"/>
        </w:rPr>
        <w:t xml:space="preserve"> Charles Goodhart, Daniela Gabor, Jakob Vestergaard, Ismail Ertürk dir., </w:t>
      </w:r>
      <w:r w:rsidRPr="00265F9A">
        <w:rPr>
          <w:rFonts w:asciiTheme="majorHAnsi" w:eastAsia="Times New Roman" w:hAnsiTheme="majorHAnsi" w:cs="Times New Roman"/>
          <w:i/>
          <w:sz w:val="20"/>
          <w:szCs w:val="20"/>
          <w:lang w:val="sv-SE" w:eastAsia="sv-SE"/>
        </w:rPr>
        <w:t>Central Banking at a Crossroads: Europe and Beyond</w:t>
      </w:r>
      <w:r w:rsidRPr="00265F9A">
        <w:rPr>
          <w:rFonts w:asciiTheme="majorHAnsi" w:eastAsia="Times New Roman" w:hAnsiTheme="majorHAnsi" w:cs="Times New Roman"/>
          <w:sz w:val="20"/>
          <w:szCs w:val="20"/>
          <w:lang w:val="sv-SE" w:eastAsia="sv-SE"/>
        </w:rPr>
        <w:t>, London, Anthem Press, p. 217-229.</w:t>
      </w:r>
    </w:p>
    <w:p w14:paraId="6365876C"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Feiertag</w:t>
      </w:r>
      <w:r w:rsidRPr="00265F9A">
        <w:rPr>
          <w:rFonts w:asciiTheme="majorHAnsi" w:eastAsia="Times New Roman" w:hAnsiTheme="majorHAnsi" w:cs="Times New Roman"/>
          <w:sz w:val="20"/>
          <w:szCs w:val="20"/>
          <w:lang w:val="sv-SE" w:eastAsia="sv-SE"/>
        </w:rPr>
        <w:t xml:space="preserve"> (Olivier), 2016, </w:t>
      </w:r>
      <w:r w:rsidRPr="00265F9A">
        <w:rPr>
          <w:rFonts w:asciiTheme="majorHAnsi" w:eastAsia="Times New Roman" w:hAnsiTheme="majorHAnsi" w:cs="Times New Roman"/>
          <w:i/>
          <w:sz w:val="20"/>
          <w:szCs w:val="20"/>
          <w:lang w:val="sv-SE" w:eastAsia="sv-SE"/>
        </w:rPr>
        <w:t>Les Banques centrales et l’Etat-nation</w:t>
      </w:r>
      <w:r w:rsidRPr="00265F9A">
        <w:rPr>
          <w:rFonts w:asciiTheme="majorHAnsi" w:eastAsia="Times New Roman" w:hAnsiTheme="majorHAnsi" w:cs="Times New Roman"/>
          <w:sz w:val="20"/>
          <w:szCs w:val="20"/>
          <w:lang w:val="sv-SE" w:eastAsia="sv-SE"/>
        </w:rPr>
        <w:t>, Paris, Presses de Sciences Po.</w:t>
      </w:r>
    </w:p>
    <w:p w14:paraId="49091712"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Fontan</w:t>
      </w:r>
      <w:r w:rsidRPr="00265F9A">
        <w:rPr>
          <w:rFonts w:asciiTheme="majorHAnsi" w:eastAsia="Times New Roman" w:hAnsiTheme="majorHAnsi" w:cs="Times New Roman"/>
          <w:sz w:val="20"/>
          <w:szCs w:val="20"/>
          <w:lang w:val="sv-SE" w:eastAsia="sv-SE"/>
        </w:rPr>
        <w:t xml:space="preserve"> (Clément), 2013, </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Frankenstein en Europe. L’impact de la Banque centrale européenne sur la gestion de la crise de la zone euro</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Politique européenne</w:t>
      </w:r>
      <w:r w:rsidRPr="00265F9A">
        <w:rPr>
          <w:rFonts w:asciiTheme="majorHAnsi" w:eastAsia="Times New Roman" w:hAnsiTheme="majorHAnsi" w:cs="Times New Roman"/>
          <w:sz w:val="20"/>
          <w:szCs w:val="20"/>
          <w:lang w:val="sv-SE" w:eastAsia="sv-SE"/>
        </w:rPr>
        <w:t>, n°42, p. 22-45.</w:t>
      </w:r>
    </w:p>
    <w:p w14:paraId="7CC6E966"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Fontan</w:t>
      </w:r>
      <w:r w:rsidRPr="00265F9A">
        <w:rPr>
          <w:rFonts w:asciiTheme="majorHAnsi" w:eastAsia="Times New Roman" w:hAnsiTheme="majorHAnsi" w:cs="Times New Roman"/>
          <w:sz w:val="20"/>
          <w:szCs w:val="20"/>
          <w:lang w:val="sv-SE" w:eastAsia="sv-SE"/>
        </w:rPr>
        <w:t xml:space="preserve"> (Clément), 2014, </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L’art du grand écart</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Gouvernement et action publique</w:t>
      </w:r>
      <w:r w:rsidRPr="00265F9A">
        <w:rPr>
          <w:rFonts w:asciiTheme="majorHAnsi" w:eastAsia="Times New Roman" w:hAnsiTheme="majorHAnsi" w:cs="Times New Roman"/>
          <w:sz w:val="20"/>
          <w:szCs w:val="20"/>
          <w:lang w:val="sv-SE" w:eastAsia="sv-SE"/>
        </w:rPr>
        <w:t>, 2 (2), p.103-123.</w:t>
      </w:r>
    </w:p>
    <w:p w14:paraId="75F4E26A" w14:textId="067438C8" w:rsidR="00400364"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Fontan</w:t>
      </w:r>
      <w:r w:rsidRPr="00265F9A">
        <w:rPr>
          <w:rFonts w:asciiTheme="majorHAnsi" w:eastAsia="Times New Roman" w:hAnsiTheme="majorHAnsi" w:cs="Times New Roman"/>
          <w:sz w:val="20"/>
          <w:szCs w:val="20"/>
          <w:lang w:val="sv-SE" w:eastAsia="sv-SE"/>
        </w:rPr>
        <w:t xml:space="preserve"> (Clément), 2016. </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Une banque centrale au-dessus des nations ? Faire peser les intérêts nationaux au sein de la Banque centrale européenne</w:t>
      </w:r>
      <w:r w:rsidRPr="00265F9A">
        <w:rPr>
          <w:rFonts w:asciiTheme="majorHAnsi" w:hAnsiTheme="majorHAnsi" w:cs="Times New Roman"/>
          <w:sz w:val="20"/>
          <w:szCs w:val="20"/>
          <w:lang w:val="fr-FR"/>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Revue française d’administration publique</w:t>
      </w:r>
      <w:r w:rsidRPr="00265F9A">
        <w:rPr>
          <w:rFonts w:asciiTheme="majorHAnsi" w:eastAsia="Times New Roman" w:hAnsiTheme="majorHAnsi" w:cs="Times New Roman"/>
          <w:sz w:val="20"/>
          <w:szCs w:val="20"/>
          <w:lang w:val="sv-SE" w:eastAsia="sv-SE"/>
        </w:rPr>
        <w:t>, 158 (2), p. 491-504.</w:t>
      </w:r>
    </w:p>
    <w:p w14:paraId="33B3131E" w14:textId="07124264" w:rsidR="00245CE8" w:rsidRPr="00265F9A" w:rsidRDefault="00245CE8" w:rsidP="0023207D">
      <w:pPr>
        <w:spacing w:after="120" w:line="240" w:lineRule="atLeast"/>
        <w:jc w:val="both"/>
        <w:rPr>
          <w:rFonts w:asciiTheme="majorHAnsi" w:eastAsia="Times New Roman" w:hAnsiTheme="majorHAnsi" w:cs="Times New Roman"/>
          <w:sz w:val="20"/>
          <w:szCs w:val="20"/>
          <w:lang w:val="sv-SE" w:eastAsia="sv-SE"/>
        </w:rPr>
      </w:pPr>
      <w:r>
        <w:fldChar w:fldCharType="begin"/>
      </w:r>
      <w:r>
        <w:instrText xml:space="preserve"> ADDIN ZOTERO_ITEM CSL_CITATION {"citationID":"wZrj72fD","properties":{"formattedCitation":"Cl\\uc0\\u233{}ment Fontan, \\uc0\\u171{}\\uc0\\u160{}La BCE peut-elle mener une politique \\uc0\\u171{}\\uc0\\u8239{}industrielle\\uc0\\u8239{}\\uc0\\u187{} \\uc0\\u224{} la place des \\uc0\\u201{}tats\\uc0\\u8239{}?\\uc0\\u160{}\\uc0\\u187{}, {\\i{}La Revue Nouvelle} 6 (2017): 67\\uc0\\u8209{}74.","plainCitation":"Clément Fontan, « La BCE peut-elle mener une politique « industrielle » à la place des États ? », La Revue Nouvelle 6 (2017): 67</w:instrText>
      </w:r>
      <w:r>
        <w:rPr>
          <w:rFonts w:ascii="Cambria Math" w:hAnsi="Cambria Math" w:cs="Cambria Math"/>
        </w:rPr>
        <w:instrText>‑</w:instrText>
      </w:r>
      <w:r>
        <w:instrText xml:space="preserve">74.","noteIndex":78},"citationItems":[{"id":2408,"uris":["http://zotero.org/groups/317667/items/WNVFUKQW"],"uri":["http://zotero.org/groups/317667/items/WNVFUKQW"],"itemData":{"id":2408,"type":"article-journal","title":"La BCE peut-elle mener une politique « industrielle » à la place des États ?","container-title":"La Revue Nouvelle","page":"67-74","volume":"6","author":[{"family":"Fontan","given":"Clément"}],"issued":{"date-parts":[["2017"]]}}}],"schema":"https://github.com/citation-style-language/schema/raw/master/csl-citation.json"} </w:instrText>
      </w:r>
      <w:r>
        <w:fldChar w:fldCharType="separate"/>
      </w:r>
      <w:r w:rsidRPr="000757F4">
        <w:rPr>
          <w:rFonts w:ascii="Calibri" w:hAnsi="Calibri" w:cs="Calibri"/>
          <w:b/>
          <w:sz w:val="20"/>
          <w:szCs w:val="24"/>
        </w:rPr>
        <w:t>Fontan</w:t>
      </w:r>
      <w:r>
        <w:rPr>
          <w:rFonts w:ascii="Calibri" w:hAnsi="Calibri" w:cs="Calibri"/>
          <w:szCs w:val="24"/>
        </w:rPr>
        <w:t xml:space="preserve"> (</w:t>
      </w:r>
      <w:r w:rsidRPr="00C95CF5">
        <w:rPr>
          <w:rFonts w:ascii="Calibri" w:hAnsi="Calibri" w:cs="Calibri"/>
          <w:sz w:val="20"/>
          <w:szCs w:val="24"/>
        </w:rPr>
        <w:t>Clément</w:t>
      </w:r>
      <w:r>
        <w:rPr>
          <w:rFonts w:ascii="Calibri" w:hAnsi="Calibri" w:cs="Calibri"/>
          <w:szCs w:val="24"/>
        </w:rPr>
        <w:t>), 2017,</w:t>
      </w:r>
      <w:r w:rsidRPr="00C95CF5">
        <w:rPr>
          <w:rFonts w:ascii="Calibri" w:hAnsi="Calibri" w:cs="Calibri"/>
          <w:sz w:val="20"/>
          <w:szCs w:val="24"/>
        </w:rPr>
        <w:t xml:space="preserve"> « La BCE peut-elle mener une politique « industrielle » à la place des États ? », </w:t>
      </w:r>
      <w:r w:rsidRPr="00C95CF5">
        <w:rPr>
          <w:rFonts w:ascii="Calibri" w:hAnsi="Calibri" w:cs="Calibri"/>
          <w:i/>
          <w:iCs/>
          <w:sz w:val="20"/>
          <w:szCs w:val="24"/>
        </w:rPr>
        <w:t>La Revue Nouvelle</w:t>
      </w:r>
      <w:r w:rsidRPr="00C95CF5">
        <w:rPr>
          <w:rFonts w:ascii="Calibri" w:hAnsi="Calibri" w:cs="Calibri"/>
          <w:sz w:val="20"/>
          <w:szCs w:val="24"/>
        </w:rPr>
        <w:t xml:space="preserve"> 6</w:t>
      </w:r>
      <w:r>
        <w:rPr>
          <w:rFonts w:ascii="Calibri" w:hAnsi="Calibri" w:cs="Calibri"/>
          <w:szCs w:val="24"/>
        </w:rPr>
        <w:t>, p.</w:t>
      </w:r>
      <w:r w:rsidRPr="00C95CF5">
        <w:rPr>
          <w:rFonts w:ascii="Calibri" w:hAnsi="Calibri" w:cs="Calibri"/>
          <w:sz w:val="20"/>
          <w:szCs w:val="24"/>
        </w:rPr>
        <w:t xml:space="preserve"> 67</w:t>
      </w:r>
      <w:r w:rsidRPr="00C95CF5">
        <w:rPr>
          <w:rFonts w:ascii="Cambria Math" w:hAnsi="Cambria Math" w:cs="Cambria Math"/>
          <w:sz w:val="20"/>
          <w:szCs w:val="24"/>
        </w:rPr>
        <w:t>‑</w:t>
      </w:r>
      <w:r w:rsidRPr="00C95CF5">
        <w:rPr>
          <w:rFonts w:ascii="Calibri" w:hAnsi="Calibri" w:cs="Calibri"/>
          <w:sz w:val="20"/>
          <w:szCs w:val="24"/>
        </w:rPr>
        <w:t>74.</w:t>
      </w:r>
      <w:r>
        <w:fldChar w:fldCharType="end"/>
      </w:r>
    </w:p>
    <w:p w14:paraId="4E9F0028" w14:textId="77777777" w:rsidR="00400364" w:rsidRPr="00265F9A" w:rsidRDefault="00400364" w:rsidP="0023207D">
      <w:pPr>
        <w:spacing w:after="120" w:line="240" w:lineRule="atLeast"/>
        <w:jc w:val="both"/>
        <w:rPr>
          <w:rFonts w:asciiTheme="majorHAnsi" w:hAnsiTheme="majorHAnsi"/>
          <w:sz w:val="20"/>
          <w:szCs w:val="20"/>
          <w:lang w:val="en-US"/>
        </w:rPr>
      </w:pPr>
      <w:r w:rsidRPr="000A7ADD">
        <w:rPr>
          <w:rFonts w:asciiTheme="majorHAnsi" w:hAnsiTheme="majorHAnsi"/>
          <w:b/>
          <w:sz w:val="20"/>
          <w:szCs w:val="20"/>
          <w:lang w:val="en-US"/>
        </w:rPr>
        <w:t>Gabor</w:t>
      </w:r>
      <w:r w:rsidRPr="000A7ADD">
        <w:rPr>
          <w:rFonts w:asciiTheme="majorHAnsi" w:hAnsiTheme="majorHAnsi"/>
          <w:sz w:val="20"/>
          <w:szCs w:val="20"/>
          <w:lang w:val="en-US"/>
        </w:rPr>
        <w:t xml:space="preserve"> (Daniela), </w:t>
      </w:r>
      <w:r w:rsidRPr="000A7ADD">
        <w:rPr>
          <w:rFonts w:asciiTheme="majorHAnsi" w:hAnsiTheme="majorHAnsi"/>
          <w:b/>
          <w:sz w:val="20"/>
          <w:szCs w:val="20"/>
          <w:lang w:val="en-US"/>
        </w:rPr>
        <w:t>Ban</w:t>
      </w:r>
      <w:r w:rsidRPr="000A7ADD">
        <w:rPr>
          <w:rFonts w:asciiTheme="majorHAnsi" w:hAnsiTheme="majorHAnsi"/>
          <w:sz w:val="20"/>
          <w:szCs w:val="20"/>
          <w:lang w:val="en-US"/>
        </w:rPr>
        <w:t xml:space="preserve"> (Cornel), 2016, </w:t>
      </w:r>
      <w:r w:rsidRPr="00265F9A">
        <w:rPr>
          <w:rFonts w:asciiTheme="majorHAnsi" w:hAnsiTheme="majorHAnsi"/>
          <w:sz w:val="20"/>
          <w:szCs w:val="20"/>
          <w:lang w:val="en-US"/>
        </w:rPr>
        <w:t xml:space="preserve">« Banking on Bonds: The New Links Between States and Markets », </w:t>
      </w:r>
      <w:r w:rsidRPr="00265F9A">
        <w:rPr>
          <w:rFonts w:asciiTheme="majorHAnsi" w:hAnsiTheme="majorHAnsi"/>
          <w:i/>
          <w:iCs/>
          <w:sz w:val="20"/>
          <w:szCs w:val="20"/>
          <w:lang w:val="en-US"/>
        </w:rPr>
        <w:t>Journal of Common Market Studies</w:t>
      </w:r>
      <w:r w:rsidRPr="00265F9A">
        <w:rPr>
          <w:rFonts w:asciiTheme="majorHAnsi" w:hAnsiTheme="majorHAnsi"/>
          <w:sz w:val="20"/>
          <w:szCs w:val="20"/>
          <w:lang w:val="en-US"/>
        </w:rPr>
        <w:t>, 54 (3), p. 617</w:t>
      </w:r>
      <w:r w:rsidRPr="00265F9A">
        <w:rPr>
          <w:rFonts w:asciiTheme="majorHAnsi" w:hAnsiTheme="majorHAnsi"/>
          <w:sz w:val="20"/>
          <w:szCs w:val="20"/>
          <w:lang w:val="en-US"/>
        </w:rPr>
        <w:noBreakHyphen/>
        <w:t>35.</w:t>
      </w:r>
    </w:p>
    <w:p w14:paraId="44D5DDEA"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Goodhart</w:t>
      </w:r>
      <w:r w:rsidRPr="00265F9A">
        <w:rPr>
          <w:rFonts w:asciiTheme="majorHAnsi" w:eastAsia="Times New Roman" w:hAnsiTheme="majorHAnsi" w:cs="Times New Roman"/>
          <w:sz w:val="20"/>
          <w:szCs w:val="20"/>
          <w:lang w:val="sv-SE" w:eastAsia="sv-SE"/>
        </w:rPr>
        <w:t xml:space="preserve"> (Charles), </w:t>
      </w:r>
      <w:r w:rsidRPr="00265F9A">
        <w:rPr>
          <w:rFonts w:asciiTheme="majorHAnsi" w:eastAsia="Times New Roman" w:hAnsiTheme="majorHAnsi" w:cs="Times New Roman"/>
          <w:b/>
          <w:sz w:val="20"/>
          <w:szCs w:val="20"/>
          <w:lang w:val="sv-SE" w:eastAsia="sv-SE"/>
        </w:rPr>
        <w:t>Gabor</w:t>
      </w:r>
      <w:r w:rsidRPr="00265F9A">
        <w:rPr>
          <w:rFonts w:asciiTheme="majorHAnsi" w:eastAsia="Times New Roman" w:hAnsiTheme="majorHAnsi" w:cs="Times New Roman"/>
          <w:sz w:val="20"/>
          <w:szCs w:val="20"/>
          <w:lang w:val="sv-SE" w:eastAsia="sv-SE"/>
        </w:rPr>
        <w:t xml:space="preserve"> (Daniela), </w:t>
      </w:r>
      <w:r w:rsidRPr="00265F9A">
        <w:rPr>
          <w:rFonts w:asciiTheme="majorHAnsi" w:eastAsia="Times New Roman" w:hAnsiTheme="majorHAnsi" w:cs="Times New Roman"/>
          <w:b/>
          <w:sz w:val="20"/>
          <w:szCs w:val="20"/>
          <w:lang w:val="sv-SE" w:eastAsia="sv-SE"/>
        </w:rPr>
        <w:t>Vestergaard</w:t>
      </w:r>
      <w:r w:rsidRPr="00265F9A">
        <w:rPr>
          <w:rFonts w:asciiTheme="majorHAnsi" w:eastAsia="Times New Roman" w:hAnsiTheme="majorHAnsi" w:cs="Times New Roman"/>
          <w:sz w:val="20"/>
          <w:szCs w:val="20"/>
          <w:lang w:val="sv-SE" w:eastAsia="sv-SE"/>
        </w:rPr>
        <w:t xml:space="preserve"> (Jakob), </w:t>
      </w:r>
      <w:r w:rsidRPr="00265F9A">
        <w:rPr>
          <w:rFonts w:asciiTheme="majorHAnsi" w:eastAsia="Times New Roman" w:hAnsiTheme="majorHAnsi" w:cs="Times New Roman"/>
          <w:b/>
          <w:sz w:val="20"/>
          <w:szCs w:val="20"/>
          <w:lang w:val="sv-SE" w:eastAsia="sv-SE"/>
        </w:rPr>
        <w:t>Ertürk</w:t>
      </w:r>
      <w:r w:rsidRPr="00265F9A">
        <w:rPr>
          <w:rFonts w:asciiTheme="majorHAnsi" w:eastAsia="Times New Roman" w:hAnsiTheme="majorHAnsi" w:cs="Times New Roman"/>
          <w:sz w:val="20"/>
          <w:szCs w:val="20"/>
          <w:lang w:val="sv-SE" w:eastAsia="sv-SE"/>
        </w:rPr>
        <w:t xml:space="preserve"> (Ismail), dir., 2014,</w:t>
      </w:r>
      <w:r w:rsidRPr="00265F9A">
        <w:rPr>
          <w:rFonts w:asciiTheme="majorHAnsi" w:eastAsia="Times New Roman" w:hAnsiTheme="majorHAnsi" w:cs="Times New Roman"/>
          <w:i/>
          <w:sz w:val="20"/>
          <w:szCs w:val="20"/>
          <w:lang w:val="sv-SE" w:eastAsia="sv-SE"/>
        </w:rPr>
        <w:t xml:space="preserve"> Central Banking at a Crossroads: Europe and Beyond</w:t>
      </w:r>
      <w:r w:rsidRPr="00265F9A">
        <w:rPr>
          <w:rFonts w:asciiTheme="majorHAnsi" w:eastAsia="Times New Roman" w:hAnsiTheme="majorHAnsi" w:cs="Times New Roman"/>
          <w:sz w:val="20"/>
          <w:szCs w:val="20"/>
          <w:lang w:val="sv-SE" w:eastAsia="sv-SE"/>
        </w:rPr>
        <w:t>, London, Anthem Press.</w:t>
      </w:r>
    </w:p>
    <w:p w14:paraId="5BAF3C9D"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Goodhart</w:t>
      </w:r>
      <w:r w:rsidRPr="00265F9A">
        <w:rPr>
          <w:rFonts w:asciiTheme="majorHAnsi" w:eastAsia="Times New Roman" w:hAnsiTheme="majorHAnsi" w:cs="Times New Roman"/>
          <w:sz w:val="20"/>
          <w:szCs w:val="20"/>
          <w:lang w:val="sv-SE" w:eastAsia="sv-SE"/>
        </w:rPr>
        <w:t xml:space="preserve"> (Charles), </w:t>
      </w:r>
      <w:r w:rsidRPr="00265F9A">
        <w:rPr>
          <w:rFonts w:asciiTheme="majorHAnsi" w:eastAsia="Times New Roman" w:hAnsiTheme="majorHAnsi" w:cs="Times New Roman"/>
          <w:b/>
          <w:sz w:val="20"/>
          <w:szCs w:val="20"/>
          <w:lang w:val="sv-SE" w:eastAsia="sv-SE"/>
        </w:rPr>
        <w:t>Meade</w:t>
      </w:r>
      <w:r w:rsidRPr="00265F9A">
        <w:rPr>
          <w:rFonts w:asciiTheme="majorHAnsi" w:eastAsia="Times New Roman" w:hAnsiTheme="majorHAnsi" w:cs="Times New Roman"/>
          <w:sz w:val="20"/>
          <w:szCs w:val="20"/>
          <w:lang w:val="sv-SE" w:eastAsia="sv-SE"/>
        </w:rPr>
        <w:t xml:space="preserve"> (Ellen), 2004,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Central banks and supreme courts</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Moneda y Credito</w:t>
      </w:r>
      <w:r w:rsidRPr="00265F9A">
        <w:rPr>
          <w:rFonts w:asciiTheme="majorHAnsi" w:eastAsia="Times New Roman" w:hAnsiTheme="majorHAnsi" w:cs="Times New Roman"/>
          <w:sz w:val="20"/>
          <w:szCs w:val="20"/>
          <w:lang w:val="sv-SE" w:eastAsia="sv-SE"/>
        </w:rPr>
        <w:t>, n°218, p. 11-42.</w:t>
      </w:r>
    </w:p>
    <w:p w14:paraId="6CB52E5F"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Grimm</w:t>
      </w:r>
      <w:r w:rsidRPr="00265F9A">
        <w:rPr>
          <w:rFonts w:asciiTheme="majorHAnsi" w:hAnsiTheme="majorHAnsi"/>
          <w:sz w:val="20"/>
          <w:szCs w:val="20"/>
          <w:lang w:val="en-US"/>
        </w:rPr>
        <w:t xml:space="preserve"> (Robert), 2015, « The rise of the German Eurosceptic party Alternative für Deutschland, between ordoliberal critique and popular anxiety », </w:t>
      </w:r>
      <w:r w:rsidRPr="00265F9A">
        <w:rPr>
          <w:rFonts w:asciiTheme="majorHAnsi" w:hAnsiTheme="majorHAnsi"/>
          <w:i/>
          <w:sz w:val="20"/>
          <w:szCs w:val="20"/>
          <w:lang w:val="en-US"/>
        </w:rPr>
        <w:t>International Political Science Review</w:t>
      </w:r>
      <w:r w:rsidRPr="00265F9A">
        <w:rPr>
          <w:rFonts w:asciiTheme="majorHAnsi" w:hAnsiTheme="majorHAnsi"/>
          <w:sz w:val="20"/>
          <w:szCs w:val="20"/>
          <w:lang w:val="en-US"/>
        </w:rPr>
        <w:t>,</w:t>
      </w:r>
      <w:r w:rsidRPr="00265F9A">
        <w:rPr>
          <w:rFonts w:asciiTheme="majorHAnsi" w:hAnsiTheme="majorHAnsi"/>
          <w:i/>
          <w:sz w:val="20"/>
          <w:szCs w:val="20"/>
          <w:lang w:val="en-US"/>
        </w:rPr>
        <w:t xml:space="preserve"> </w:t>
      </w:r>
      <w:r w:rsidRPr="00265F9A">
        <w:rPr>
          <w:rFonts w:asciiTheme="majorHAnsi" w:hAnsiTheme="majorHAnsi"/>
          <w:sz w:val="20"/>
          <w:szCs w:val="20"/>
          <w:lang w:val="en-US"/>
        </w:rPr>
        <w:t>36 (3), p. 264–278.</w:t>
      </w:r>
    </w:p>
    <w:p w14:paraId="7DC0DC75"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lastRenderedPageBreak/>
        <w:t>Group of Thirty</w:t>
      </w:r>
      <w:r w:rsidRPr="00265F9A">
        <w:rPr>
          <w:rFonts w:asciiTheme="majorHAnsi" w:eastAsia="Times New Roman" w:hAnsiTheme="majorHAnsi" w:cs="Times New Roman"/>
          <w:sz w:val="20"/>
          <w:szCs w:val="20"/>
          <w:lang w:val="sv-SE" w:eastAsia="sv-SE"/>
        </w:rPr>
        <w:t xml:space="preserve">, dir., 2015, </w:t>
      </w:r>
      <w:r w:rsidRPr="00265F9A">
        <w:rPr>
          <w:rFonts w:asciiTheme="majorHAnsi" w:eastAsia="Times New Roman" w:hAnsiTheme="majorHAnsi" w:cs="Times New Roman"/>
          <w:i/>
          <w:sz w:val="20"/>
          <w:szCs w:val="20"/>
          <w:lang w:val="sv-SE" w:eastAsia="sv-SE"/>
        </w:rPr>
        <w:t>Fundamentals of central banking: lessons from the crisis</w:t>
      </w:r>
      <w:r w:rsidRPr="00265F9A">
        <w:rPr>
          <w:rFonts w:asciiTheme="majorHAnsi" w:eastAsia="Times New Roman" w:hAnsiTheme="majorHAnsi" w:cs="Times New Roman"/>
          <w:sz w:val="20"/>
          <w:szCs w:val="20"/>
          <w:lang w:val="sv-SE" w:eastAsia="sv-SE"/>
        </w:rPr>
        <w:t>, Washington DC, G30.</w:t>
      </w:r>
    </w:p>
    <w:p w14:paraId="6AD66EB6" w14:textId="77777777" w:rsidR="00400364" w:rsidRPr="00265F9A" w:rsidRDefault="00400364" w:rsidP="0023207D">
      <w:pPr>
        <w:spacing w:after="120" w:line="240" w:lineRule="atLeast"/>
        <w:jc w:val="both"/>
        <w:rPr>
          <w:rFonts w:asciiTheme="majorHAnsi" w:hAnsiTheme="majorHAnsi"/>
          <w:sz w:val="20"/>
          <w:szCs w:val="20"/>
          <w:lang w:val="en-US"/>
        </w:rPr>
      </w:pPr>
      <w:r w:rsidRPr="000A7ADD">
        <w:rPr>
          <w:rFonts w:asciiTheme="majorHAnsi" w:hAnsiTheme="majorHAnsi"/>
          <w:b/>
          <w:sz w:val="20"/>
          <w:szCs w:val="20"/>
          <w:lang w:val="en-US"/>
        </w:rPr>
        <w:t>Hardie</w:t>
      </w:r>
      <w:r w:rsidRPr="000A7ADD">
        <w:rPr>
          <w:rFonts w:asciiTheme="majorHAnsi" w:hAnsiTheme="majorHAnsi"/>
          <w:sz w:val="20"/>
          <w:szCs w:val="20"/>
          <w:lang w:val="en-US"/>
        </w:rPr>
        <w:t xml:space="preserve"> (Iain), </w:t>
      </w:r>
      <w:r w:rsidRPr="000A7ADD">
        <w:rPr>
          <w:rFonts w:asciiTheme="majorHAnsi" w:hAnsiTheme="majorHAnsi"/>
          <w:b/>
          <w:sz w:val="20"/>
          <w:szCs w:val="20"/>
          <w:lang w:val="en-US"/>
        </w:rPr>
        <w:t>Howarth</w:t>
      </w:r>
      <w:r w:rsidRPr="000A7ADD">
        <w:rPr>
          <w:rFonts w:asciiTheme="majorHAnsi" w:hAnsiTheme="majorHAnsi"/>
          <w:sz w:val="20"/>
          <w:szCs w:val="20"/>
          <w:lang w:val="en-US"/>
        </w:rPr>
        <w:t xml:space="preserve"> (David), 2013, </w:t>
      </w:r>
      <w:r w:rsidRPr="00265F9A">
        <w:rPr>
          <w:rFonts w:asciiTheme="majorHAnsi" w:hAnsiTheme="majorHAnsi"/>
          <w:i/>
          <w:iCs/>
          <w:sz w:val="20"/>
          <w:szCs w:val="20"/>
          <w:lang w:val="en-US"/>
        </w:rPr>
        <w:t>Market-Based Banking and the International Financial Crisis</w:t>
      </w:r>
      <w:r w:rsidRPr="00265F9A">
        <w:rPr>
          <w:rFonts w:asciiTheme="majorHAnsi" w:hAnsiTheme="majorHAnsi"/>
          <w:sz w:val="20"/>
          <w:szCs w:val="20"/>
          <w:lang w:val="en-US"/>
        </w:rPr>
        <w:t>, Oxford, Oxford University Press.</w:t>
      </w:r>
    </w:p>
    <w:p w14:paraId="3F621FD9" w14:textId="77777777" w:rsidR="00400364" w:rsidRPr="000A7ADD"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Hay</w:t>
      </w:r>
      <w:r w:rsidRPr="00265F9A">
        <w:rPr>
          <w:rFonts w:asciiTheme="majorHAnsi" w:hAnsiTheme="majorHAnsi"/>
          <w:sz w:val="20"/>
          <w:szCs w:val="20"/>
          <w:lang w:val="en-US"/>
        </w:rPr>
        <w:t xml:space="preserve"> (Colin), 2007, </w:t>
      </w:r>
      <w:r w:rsidRPr="00265F9A">
        <w:rPr>
          <w:rFonts w:asciiTheme="majorHAnsi" w:hAnsiTheme="majorHAnsi"/>
          <w:i/>
          <w:iCs/>
          <w:sz w:val="20"/>
          <w:szCs w:val="20"/>
          <w:lang w:val="en-US"/>
        </w:rPr>
        <w:t>Why we hate politics</w:t>
      </w:r>
      <w:r w:rsidRPr="00265F9A">
        <w:rPr>
          <w:rFonts w:asciiTheme="majorHAnsi" w:hAnsiTheme="majorHAnsi"/>
          <w:sz w:val="20"/>
          <w:szCs w:val="20"/>
          <w:lang w:val="en-US"/>
        </w:rPr>
        <w:t xml:space="preserve">, </w:t>
      </w:r>
      <w:r w:rsidRPr="000A7ADD">
        <w:rPr>
          <w:rFonts w:asciiTheme="majorHAnsi" w:hAnsiTheme="majorHAnsi"/>
          <w:sz w:val="20"/>
          <w:szCs w:val="20"/>
          <w:lang w:val="en-US"/>
        </w:rPr>
        <w:t>Cambridge, Polity.</w:t>
      </w:r>
    </w:p>
    <w:p w14:paraId="326C98AE"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Héritier</w:t>
      </w:r>
      <w:r w:rsidRPr="00265F9A">
        <w:rPr>
          <w:rFonts w:asciiTheme="majorHAnsi" w:eastAsia="Times New Roman" w:hAnsiTheme="majorHAnsi" w:cs="Times New Roman"/>
          <w:sz w:val="20"/>
          <w:szCs w:val="20"/>
          <w:lang w:val="sv-SE" w:eastAsia="sv-SE"/>
        </w:rPr>
        <w:t xml:space="preserve"> (Adrienne), </w:t>
      </w:r>
      <w:r w:rsidRPr="00265F9A">
        <w:rPr>
          <w:rFonts w:asciiTheme="majorHAnsi" w:eastAsia="Times New Roman" w:hAnsiTheme="majorHAnsi" w:cs="Times New Roman"/>
          <w:b/>
          <w:sz w:val="20"/>
          <w:szCs w:val="20"/>
          <w:lang w:val="sv-SE" w:eastAsia="sv-SE"/>
        </w:rPr>
        <w:t>Lehmkuhl</w:t>
      </w:r>
      <w:r w:rsidRPr="00265F9A">
        <w:rPr>
          <w:rFonts w:asciiTheme="majorHAnsi" w:eastAsia="Times New Roman" w:hAnsiTheme="majorHAnsi" w:cs="Times New Roman"/>
          <w:sz w:val="20"/>
          <w:szCs w:val="20"/>
          <w:lang w:val="sv-SE" w:eastAsia="sv-SE"/>
        </w:rPr>
        <w:t xml:space="preserve"> (Dirk), 2011,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New modes of governance and democratic accountability</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Government and Opposition</w:t>
      </w:r>
      <w:r w:rsidRPr="00265F9A">
        <w:rPr>
          <w:rFonts w:asciiTheme="majorHAnsi" w:eastAsia="Times New Roman" w:hAnsiTheme="majorHAnsi" w:cs="Times New Roman"/>
          <w:sz w:val="20"/>
          <w:szCs w:val="20"/>
          <w:lang w:val="sv-SE" w:eastAsia="sv-SE"/>
        </w:rPr>
        <w:t>, 46 (1), p. 126-144.</w:t>
      </w:r>
    </w:p>
    <w:p w14:paraId="0B2A24AE"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Hinarejos</w:t>
      </w:r>
      <w:r w:rsidRPr="00265F9A">
        <w:rPr>
          <w:rFonts w:asciiTheme="majorHAnsi" w:eastAsia="Times New Roman" w:hAnsiTheme="majorHAnsi" w:cs="Times New Roman"/>
          <w:sz w:val="20"/>
          <w:szCs w:val="20"/>
          <w:lang w:val="sv-SE" w:eastAsia="sv-SE"/>
        </w:rPr>
        <w:t xml:space="preserve"> (Alicia), 2015,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Gauweiler and the Outright Monetary Transactions Programme: The Mandate of the European Central Bank and the Changing Nature of Economic and Monetary Union</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European Constitutional Law Review</w:t>
      </w:r>
      <w:r w:rsidRPr="00265F9A">
        <w:rPr>
          <w:rFonts w:asciiTheme="majorHAnsi" w:eastAsia="Times New Roman" w:hAnsiTheme="majorHAnsi" w:cs="Times New Roman"/>
          <w:sz w:val="20"/>
          <w:szCs w:val="20"/>
          <w:lang w:val="sv-SE" w:eastAsia="sv-SE"/>
        </w:rPr>
        <w:t>, 11 (3), p. 563-576.</w:t>
      </w:r>
    </w:p>
    <w:p w14:paraId="6ACDD60A"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Hirschl</w:t>
      </w:r>
      <w:r w:rsidRPr="00265F9A">
        <w:rPr>
          <w:rFonts w:asciiTheme="majorHAnsi" w:hAnsiTheme="majorHAnsi"/>
          <w:sz w:val="20"/>
          <w:szCs w:val="20"/>
          <w:lang w:val="en-US"/>
        </w:rPr>
        <w:t xml:space="preserve"> (Ran), 2008, « The judicialization of mega-politics and the rise of political courts », </w:t>
      </w:r>
      <w:r w:rsidRPr="00265F9A">
        <w:rPr>
          <w:rFonts w:asciiTheme="majorHAnsi" w:hAnsiTheme="majorHAnsi"/>
          <w:i/>
          <w:iCs/>
          <w:sz w:val="20"/>
          <w:szCs w:val="20"/>
          <w:lang w:val="en-US"/>
        </w:rPr>
        <w:t>Annual Review of Political Sciences</w:t>
      </w:r>
      <w:r w:rsidRPr="00265F9A">
        <w:rPr>
          <w:rFonts w:asciiTheme="majorHAnsi" w:hAnsiTheme="majorHAnsi"/>
          <w:sz w:val="20"/>
          <w:szCs w:val="20"/>
          <w:lang w:val="en-US"/>
        </w:rPr>
        <w:t>, 11, p. 93–118.</w:t>
      </w:r>
    </w:p>
    <w:p w14:paraId="75992BA0"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Howarth</w:t>
      </w:r>
      <w:r w:rsidRPr="00265F9A">
        <w:rPr>
          <w:rFonts w:asciiTheme="majorHAnsi" w:eastAsia="Times New Roman" w:hAnsiTheme="majorHAnsi" w:cs="Times New Roman"/>
          <w:sz w:val="20"/>
          <w:szCs w:val="20"/>
          <w:lang w:val="sv-SE" w:eastAsia="sv-SE"/>
        </w:rPr>
        <w:t xml:space="preserve"> (David), </w:t>
      </w:r>
      <w:r w:rsidRPr="00265F9A">
        <w:rPr>
          <w:rFonts w:asciiTheme="majorHAnsi" w:eastAsia="Times New Roman" w:hAnsiTheme="majorHAnsi" w:cs="Times New Roman"/>
          <w:b/>
          <w:sz w:val="20"/>
          <w:szCs w:val="20"/>
          <w:lang w:val="sv-SE" w:eastAsia="sv-SE"/>
        </w:rPr>
        <w:t>Loedel</w:t>
      </w:r>
      <w:r w:rsidRPr="00265F9A">
        <w:rPr>
          <w:rFonts w:asciiTheme="majorHAnsi" w:eastAsia="Times New Roman" w:hAnsiTheme="majorHAnsi" w:cs="Times New Roman"/>
          <w:sz w:val="20"/>
          <w:szCs w:val="20"/>
          <w:lang w:val="sv-SE" w:eastAsia="sv-SE"/>
        </w:rPr>
        <w:t xml:space="preserve"> (Peter), 2005, </w:t>
      </w:r>
      <w:r w:rsidRPr="00265F9A">
        <w:rPr>
          <w:rFonts w:asciiTheme="majorHAnsi" w:eastAsia="Times New Roman" w:hAnsiTheme="majorHAnsi" w:cs="Times New Roman"/>
          <w:i/>
          <w:sz w:val="20"/>
          <w:szCs w:val="20"/>
          <w:lang w:val="sv-SE" w:eastAsia="sv-SE"/>
        </w:rPr>
        <w:t>The European Central Bank: the new European Leviathan ?</w:t>
      </w:r>
      <w:r w:rsidRPr="00265F9A">
        <w:rPr>
          <w:rFonts w:asciiTheme="majorHAnsi" w:eastAsia="Times New Roman" w:hAnsiTheme="majorHAnsi" w:cs="Times New Roman"/>
          <w:sz w:val="20"/>
          <w:szCs w:val="20"/>
          <w:lang w:val="sv-SE" w:eastAsia="sv-SE"/>
        </w:rPr>
        <w:t>, Basingstoke, Palgrave Macmillan.</w:t>
      </w:r>
    </w:p>
    <w:p w14:paraId="102B8BD8"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Ingham</w:t>
      </w:r>
      <w:r w:rsidRPr="00265F9A">
        <w:rPr>
          <w:rFonts w:asciiTheme="majorHAnsi" w:hAnsiTheme="majorHAnsi"/>
          <w:sz w:val="20"/>
          <w:szCs w:val="20"/>
          <w:lang w:val="en-US"/>
        </w:rPr>
        <w:t xml:space="preserve"> (Geoffrey), 2004, </w:t>
      </w:r>
      <w:r w:rsidRPr="00265F9A">
        <w:rPr>
          <w:rFonts w:asciiTheme="majorHAnsi" w:hAnsiTheme="majorHAnsi"/>
          <w:i/>
          <w:iCs/>
          <w:sz w:val="20"/>
          <w:szCs w:val="20"/>
          <w:lang w:val="en-US"/>
        </w:rPr>
        <w:t>The nature of money</w:t>
      </w:r>
      <w:r w:rsidRPr="00265F9A">
        <w:rPr>
          <w:rFonts w:asciiTheme="majorHAnsi" w:hAnsiTheme="majorHAnsi"/>
          <w:sz w:val="20"/>
          <w:szCs w:val="20"/>
          <w:lang w:val="en-US"/>
        </w:rPr>
        <w:t>, Londres, John Wiley &amp; Sons.</w:t>
      </w:r>
    </w:p>
    <w:p w14:paraId="71A0948A"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Issing</w:t>
      </w:r>
      <w:r w:rsidRPr="00265F9A">
        <w:rPr>
          <w:rFonts w:asciiTheme="majorHAnsi" w:hAnsiTheme="majorHAnsi"/>
          <w:sz w:val="20"/>
          <w:szCs w:val="20"/>
          <w:lang w:val="en-US"/>
        </w:rPr>
        <w:t xml:space="preserve"> (Otmar), </w:t>
      </w:r>
      <w:r w:rsidRPr="00265F9A">
        <w:rPr>
          <w:rFonts w:asciiTheme="majorHAnsi" w:hAnsiTheme="majorHAnsi"/>
          <w:b/>
          <w:sz w:val="20"/>
          <w:szCs w:val="20"/>
          <w:lang w:val="en-US"/>
        </w:rPr>
        <w:t>Gaspar</w:t>
      </w:r>
      <w:r w:rsidRPr="00265F9A">
        <w:rPr>
          <w:rFonts w:asciiTheme="majorHAnsi" w:hAnsiTheme="majorHAnsi"/>
          <w:sz w:val="20"/>
          <w:szCs w:val="20"/>
          <w:lang w:val="en-US"/>
        </w:rPr>
        <w:t xml:space="preserve"> (Vitor), </w:t>
      </w:r>
      <w:r w:rsidRPr="00265F9A">
        <w:rPr>
          <w:rFonts w:asciiTheme="majorHAnsi" w:hAnsiTheme="majorHAnsi"/>
          <w:b/>
          <w:sz w:val="20"/>
          <w:szCs w:val="20"/>
          <w:lang w:val="en-US"/>
        </w:rPr>
        <w:t>Angeloni</w:t>
      </w:r>
      <w:r w:rsidRPr="00265F9A">
        <w:rPr>
          <w:rFonts w:asciiTheme="majorHAnsi" w:hAnsiTheme="majorHAnsi"/>
          <w:sz w:val="20"/>
          <w:szCs w:val="20"/>
          <w:lang w:val="en-US"/>
        </w:rPr>
        <w:t xml:space="preserve"> (Ignazio), </w:t>
      </w:r>
      <w:r w:rsidRPr="00265F9A">
        <w:rPr>
          <w:rFonts w:asciiTheme="majorHAnsi" w:hAnsiTheme="majorHAnsi"/>
          <w:b/>
          <w:sz w:val="20"/>
          <w:szCs w:val="20"/>
          <w:lang w:val="en-US"/>
        </w:rPr>
        <w:t>Tristani</w:t>
      </w:r>
      <w:r w:rsidRPr="00265F9A">
        <w:rPr>
          <w:rFonts w:asciiTheme="majorHAnsi" w:hAnsiTheme="majorHAnsi"/>
          <w:sz w:val="20"/>
          <w:szCs w:val="20"/>
          <w:lang w:val="en-US"/>
        </w:rPr>
        <w:t xml:space="preserve"> (Oreste), 2001, </w:t>
      </w:r>
      <w:r w:rsidRPr="00265F9A">
        <w:rPr>
          <w:rFonts w:asciiTheme="majorHAnsi" w:hAnsiTheme="majorHAnsi"/>
          <w:i/>
          <w:iCs/>
          <w:sz w:val="20"/>
          <w:szCs w:val="20"/>
          <w:lang w:val="en-US"/>
        </w:rPr>
        <w:t>Monetary Policy in the Euro Area: Strategy and Decision-Making at the European Central Bank</w:t>
      </w:r>
      <w:r w:rsidRPr="00265F9A">
        <w:rPr>
          <w:rFonts w:asciiTheme="majorHAnsi" w:hAnsiTheme="majorHAnsi"/>
          <w:sz w:val="20"/>
          <w:szCs w:val="20"/>
          <w:lang w:val="en-US"/>
        </w:rPr>
        <w:t>, Cambridge, Cambridge University Press.</w:t>
      </w:r>
    </w:p>
    <w:p w14:paraId="386F5F61"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Jabko</w:t>
      </w:r>
      <w:r w:rsidRPr="00265F9A">
        <w:rPr>
          <w:rFonts w:asciiTheme="majorHAnsi" w:eastAsia="Times New Roman" w:hAnsiTheme="majorHAnsi" w:cs="Times New Roman"/>
          <w:sz w:val="20"/>
          <w:szCs w:val="20"/>
          <w:lang w:val="sv-SE" w:eastAsia="sv-SE"/>
        </w:rPr>
        <w:t xml:space="preserve"> (Nicolas), 2009,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Transparency and Accountability</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in</w:t>
      </w:r>
      <w:r w:rsidRPr="00265F9A">
        <w:rPr>
          <w:rFonts w:asciiTheme="majorHAnsi" w:eastAsia="Times New Roman" w:hAnsiTheme="majorHAnsi" w:cs="Times New Roman"/>
          <w:sz w:val="20"/>
          <w:szCs w:val="20"/>
          <w:lang w:val="sv-SE" w:eastAsia="sv-SE"/>
        </w:rPr>
        <w:t xml:space="preserve"> Kenneth Dyson, Martin Marcussen, dir., </w:t>
      </w:r>
      <w:r w:rsidRPr="00265F9A">
        <w:rPr>
          <w:rFonts w:asciiTheme="majorHAnsi" w:eastAsia="Times New Roman" w:hAnsiTheme="majorHAnsi" w:cs="Times New Roman"/>
          <w:i/>
          <w:sz w:val="20"/>
          <w:szCs w:val="20"/>
          <w:lang w:val="sv-SE" w:eastAsia="sv-SE"/>
        </w:rPr>
        <w:t>Central Banks in the Age of the Euro : Europeanization, Convergence and Power</w:t>
      </w:r>
      <w:r w:rsidRPr="00265F9A">
        <w:rPr>
          <w:rFonts w:asciiTheme="majorHAnsi" w:eastAsia="Times New Roman" w:hAnsiTheme="majorHAnsi" w:cs="Times New Roman"/>
          <w:sz w:val="20"/>
          <w:szCs w:val="20"/>
          <w:lang w:val="sv-SE" w:eastAsia="sv-SE"/>
        </w:rPr>
        <w:t>, Oxford, Oxford University Press, p. 391-406.</w:t>
      </w:r>
    </w:p>
    <w:p w14:paraId="23AADFC9"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Jones</w:t>
      </w:r>
      <w:r w:rsidRPr="00265F9A">
        <w:rPr>
          <w:rFonts w:asciiTheme="majorHAnsi" w:hAnsiTheme="majorHAnsi"/>
          <w:sz w:val="20"/>
          <w:szCs w:val="20"/>
          <w:lang w:val="en-US"/>
        </w:rPr>
        <w:t xml:space="preserve"> (Erik), 2002, </w:t>
      </w:r>
      <w:r w:rsidRPr="00265F9A">
        <w:rPr>
          <w:rFonts w:asciiTheme="majorHAnsi" w:hAnsiTheme="majorHAnsi"/>
          <w:i/>
          <w:iCs/>
          <w:sz w:val="20"/>
          <w:szCs w:val="20"/>
          <w:lang w:val="en-US"/>
        </w:rPr>
        <w:t>The Politics of Economic and Monetary Union: Integration and Idiosyncrasy</w:t>
      </w:r>
      <w:r w:rsidRPr="00265F9A">
        <w:rPr>
          <w:rFonts w:asciiTheme="majorHAnsi" w:hAnsiTheme="majorHAnsi"/>
          <w:sz w:val="20"/>
          <w:szCs w:val="20"/>
          <w:lang w:val="en-US"/>
        </w:rPr>
        <w:t>, Lanham, Rowman &amp; Littlefield.</w:t>
      </w:r>
    </w:p>
    <w:p w14:paraId="6D57E9CC"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Kaltenthaler</w:t>
      </w:r>
      <w:r w:rsidRPr="00265F9A">
        <w:rPr>
          <w:rFonts w:asciiTheme="majorHAnsi" w:hAnsiTheme="majorHAnsi"/>
          <w:sz w:val="20"/>
          <w:szCs w:val="20"/>
          <w:lang w:val="en-US"/>
        </w:rPr>
        <w:t xml:space="preserve"> (Karl), </w:t>
      </w:r>
      <w:r w:rsidRPr="00265F9A">
        <w:rPr>
          <w:rFonts w:asciiTheme="majorHAnsi" w:hAnsiTheme="majorHAnsi"/>
          <w:b/>
          <w:sz w:val="20"/>
          <w:szCs w:val="20"/>
          <w:lang w:val="en-US"/>
        </w:rPr>
        <w:t>Anderson</w:t>
      </w:r>
      <w:r w:rsidRPr="00265F9A">
        <w:rPr>
          <w:rFonts w:asciiTheme="majorHAnsi" w:hAnsiTheme="majorHAnsi"/>
          <w:sz w:val="20"/>
          <w:szCs w:val="20"/>
          <w:lang w:val="en-US"/>
        </w:rPr>
        <w:t xml:space="preserve"> (Christopher), 2001, « Europeans and their money: Explaining public support for the common European currency », </w:t>
      </w:r>
      <w:r w:rsidRPr="00265F9A">
        <w:rPr>
          <w:rFonts w:asciiTheme="majorHAnsi" w:hAnsiTheme="majorHAnsi"/>
          <w:i/>
          <w:iCs/>
          <w:sz w:val="20"/>
          <w:szCs w:val="20"/>
          <w:lang w:val="en-US"/>
        </w:rPr>
        <w:t>European Journal of Political Research</w:t>
      </w:r>
      <w:r w:rsidRPr="00265F9A">
        <w:rPr>
          <w:rFonts w:asciiTheme="majorHAnsi" w:hAnsiTheme="majorHAnsi"/>
          <w:sz w:val="20"/>
          <w:szCs w:val="20"/>
          <w:lang w:val="en-US"/>
        </w:rPr>
        <w:t>, 40 (2), p. 139–170.</w:t>
      </w:r>
    </w:p>
    <w:p w14:paraId="60B137C2"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Kydland</w:t>
      </w:r>
      <w:r w:rsidRPr="00265F9A">
        <w:rPr>
          <w:rFonts w:asciiTheme="majorHAnsi" w:eastAsia="Times New Roman" w:hAnsiTheme="majorHAnsi" w:cs="Times New Roman"/>
          <w:sz w:val="20"/>
          <w:szCs w:val="20"/>
          <w:lang w:val="sv-SE" w:eastAsia="sv-SE"/>
        </w:rPr>
        <w:t xml:space="preserve"> (Finn E.), </w:t>
      </w:r>
      <w:r w:rsidRPr="00265F9A">
        <w:rPr>
          <w:rFonts w:asciiTheme="majorHAnsi" w:eastAsia="Times New Roman" w:hAnsiTheme="majorHAnsi" w:cs="Times New Roman"/>
          <w:b/>
          <w:sz w:val="20"/>
          <w:szCs w:val="20"/>
          <w:lang w:val="sv-SE" w:eastAsia="sv-SE"/>
        </w:rPr>
        <w:t>Prescott</w:t>
      </w:r>
      <w:r w:rsidRPr="00265F9A">
        <w:rPr>
          <w:rFonts w:asciiTheme="majorHAnsi" w:eastAsia="Times New Roman" w:hAnsiTheme="majorHAnsi" w:cs="Times New Roman"/>
          <w:sz w:val="20"/>
          <w:szCs w:val="20"/>
          <w:lang w:val="sv-SE" w:eastAsia="sv-SE"/>
        </w:rPr>
        <w:t xml:space="preserve"> (Edward C.), 1977,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Rules Rather than Discretion: The Inconsistency of Optimal Plans</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Journal of Political Economy</w:t>
      </w:r>
      <w:r w:rsidRPr="00265F9A">
        <w:rPr>
          <w:rFonts w:asciiTheme="majorHAnsi" w:eastAsia="Times New Roman" w:hAnsiTheme="majorHAnsi" w:cs="Times New Roman"/>
          <w:sz w:val="20"/>
          <w:szCs w:val="20"/>
          <w:lang w:val="sv-SE" w:eastAsia="sv-SE"/>
        </w:rPr>
        <w:t>, 85 (3), p. 473-491.</w:t>
      </w:r>
    </w:p>
    <w:p w14:paraId="09B50909"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Lebaron</w:t>
      </w:r>
      <w:r w:rsidRPr="00265F9A">
        <w:rPr>
          <w:rFonts w:asciiTheme="majorHAnsi" w:eastAsia="Times New Roman" w:hAnsiTheme="majorHAnsi" w:cs="Times New Roman"/>
          <w:sz w:val="20"/>
          <w:szCs w:val="20"/>
          <w:lang w:val="sv-SE" w:eastAsia="sv-SE"/>
        </w:rPr>
        <w:t xml:space="preserve"> (Frédéric), 2015,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The social and institutional foundations of monetary innovation.  An inquiry in the global elite group of central bankers</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ECPR General conference, Montreal.</w:t>
      </w:r>
    </w:p>
    <w:p w14:paraId="012865E8"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Lemoine</w:t>
      </w:r>
      <w:r w:rsidRPr="00265F9A">
        <w:rPr>
          <w:rFonts w:asciiTheme="majorHAnsi" w:eastAsia="Times New Roman" w:hAnsiTheme="majorHAnsi" w:cs="Times New Roman"/>
          <w:sz w:val="20"/>
          <w:szCs w:val="20"/>
          <w:lang w:val="sv-SE" w:eastAsia="sv-SE"/>
        </w:rPr>
        <w:t xml:space="preserve"> (Benjamin), 2016, </w:t>
      </w:r>
      <w:r w:rsidRPr="00265F9A">
        <w:rPr>
          <w:rFonts w:asciiTheme="majorHAnsi" w:eastAsia="Times New Roman" w:hAnsiTheme="majorHAnsi" w:cs="Times New Roman"/>
          <w:i/>
          <w:sz w:val="20"/>
          <w:szCs w:val="20"/>
          <w:lang w:val="sv-SE" w:eastAsia="sv-SE"/>
        </w:rPr>
        <w:t>L’ordre de la dette. Enquête sur les infortunes de l’État et la prospérité du marché</w:t>
      </w:r>
      <w:r w:rsidRPr="00265F9A">
        <w:rPr>
          <w:rFonts w:asciiTheme="majorHAnsi" w:eastAsia="Times New Roman" w:hAnsiTheme="majorHAnsi" w:cs="Times New Roman"/>
          <w:sz w:val="20"/>
          <w:szCs w:val="20"/>
          <w:lang w:val="sv-SE" w:eastAsia="sv-SE"/>
        </w:rPr>
        <w:t>, Paris, La Découverte.</w:t>
      </w:r>
    </w:p>
    <w:p w14:paraId="05DA1B46"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Majone</w:t>
      </w:r>
      <w:r w:rsidRPr="00265F9A">
        <w:rPr>
          <w:rFonts w:asciiTheme="majorHAnsi" w:hAnsiTheme="majorHAnsi"/>
          <w:sz w:val="20"/>
          <w:szCs w:val="20"/>
          <w:lang w:val="en-US"/>
        </w:rPr>
        <w:t xml:space="preserve"> (Giandomenico), 1996, </w:t>
      </w:r>
      <w:r w:rsidRPr="00265F9A">
        <w:rPr>
          <w:rFonts w:asciiTheme="majorHAnsi" w:hAnsiTheme="majorHAnsi"/>
          <w:i/>
          <w:iCs/>
          <w:sz w:val="20"/>
          <w:szCs w:val="20"/>
          <w:lang w:val="en-US"/>
        </w:rPr>
        <w:t>Regulating Europe</w:t>
      </w:r>
      <w:r w:rsidRPr="00265F9A">
        <w:rPr>
          <w:rFonts w:asciiTheme="majorHAnsi" w:hAnsiTheme="majorHAnsi"/>
          <w:sz w:val="20"/>
          <w:szCs w:val="20"/>
          <w:lang w:val="en-US"/>
        </w:rPr>
        <w:t>, Londres, Routledge.</w:t>
      </w:r>
    </w:p>
    <w:p w14:paraId="1B55036E"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Marcussen</w:t>
      </w:r>
      <w:r w:rsidRPr="00265F9A">
        <w:rPr>
          <w:rFonts w:asciiTheme="majorHAnsi" w:eastAsia="Times New Roman" w:hAnsiTheme="majorHAnsi" w:cs="Times New Roman"/>
          <w:sz w:val="20"/>
          <w:szCs w:val="20"/>
          <w:lang w:val="sv-SE" w:eastAsia="sv-SE"/>
        </w:rPr>
        <w:t xml:space="preserve"> (Martin), 2009,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Scientization of Central Banking: The Politics of A-Politicization</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in</w:t>
      </w:r>
      <w:r w:rsidRPr="00265F9A">
        <w:rPr>
          <w:rFonts w:asciiTheme="majorHAnsi" w:eastAsia="Times New Roman" w:hAnsiTheme="majorHAnsi" w:cs="Times New Roman"/>
          <w:sz w:val="20"/>
          <w:szCs w:val="20"/>
          <w:lang w:val="sv-SE" w:eastAsia="sv-SE"/>
        </w:rPr>
        <w:t xml:space="preserve"> Kenneth Dyson, Martin Marcussen, dir., </w:t>
      </w:r>
      <w:r w:rsidRPr="00265F9A">
        <w:rPr>
          <w:rFonts w:asciiTheme="majorHAnsi" w:eastAsia="Times New Roman" w:hAnsiTheme="majorHAnsi" w:cs="Times New Roman"/>
          <w:i/>
          <w:sz w:val="20"/>
          <w:szCs w:val="20"/>
          <w:lang w:val="sv-SE" w:eastAsia="sv-SE"/>
        </w:rPr>
        <w:t>Central Banks in the Age of the Euro : Europeanization, Convergence and Power</w:t>
      </w:r>
      <w:r w:rsidRPr="00265F9A">
        <w:rPr>
          <w:rFonts w:asciiTheme="majorHAnsi" w:eastAsia="Times New Roman" w:hAnsiTheme="majorHAnsi" w:cs="Times New Roman"/>
          <w:sz w:val="20"/>
          <w:szCs w:val="20"/>
          <w:lang w:val="sv-SE" w:eastAsia="sv-SE"/>
        </w:rPr>
        <w:t>, Oxford, Oxford University Press, p. 373-390.</w:t>
      </w:r>
    </w:p>
    <w:p w14:paraId="27715E60" w14:textId="77777777" w:rsidR="00400364" w:rsidRPr="00265F9A" w:rsidRDefault="00400364" w:rsidP="0023207D">
      <w:pPr>
        <w:spacing w:after="120" w:line="240" w:lineRule="atLeast"/>
        <w:jc w:val="both"/>
        <w:rPr>
          <w:rFonts w:asciiTheme="majorHAnsi" w:hAnsiTheme="majorHAnsi"/>
          <w:sz w:val="20"/>
          <w:szCs w:val="20"/>
          <w:lang w:val="en-US"/>
        </w:rPr>
      </w:pPr>
      <w:r w:rsidRPr="000A7ADD">
        <w:rPr>
          <w:rFonts w:asciiTheme="majorHAnsi" w:hAnsiTheme="majorHAnsi"/>
          <w:b/>
          <w:sz w:val="20"/>
          <w:szCs w:val="20"/>
          <w:lang w:val="en-US"/>
        </w:rPr>
        <w:t>Matikainen</w:t>
      </w:r>
      <w:r w:rsidRPr="000A7ADD">
        <w:rPr>
          <w:rFonts w:asciiTheme="majorHAnsi" w:hAnsiTheme="majorHAnsi"/>
          <w:sz w:val="20"/>
          <w:szCs w:val="20"/>
          <w:lang w:val="en-US"/>
        </w:rPr>
        <w:t xml:space="preserve"> (Sini), </w:t>
      </w:r>
      <w:r w:rsidRPr="000A7ADD">
        <w:rPr>
          <w:rFonts w:asciiTheme="majorHAnsi" w:hAnsiTheme="majorHAnsi"/>
          <w:b/>
          <w:sz w:val="20"/>
          <w:szCs w:val="20"/>
          <w:lang w:val="en-US"/>
        </w:rPr>
        <w:t>Campiglio</w:t>
      </w:r>
      <w:r w:rsidRPr="000A7ADD">
        <w:rPr>
          <w:rFonts w:asciiTheme="majorHAnsi" w:hAnsiTheme="majorHAnsi"/>
          <w:sz w:val="20"/>
          <w:szCs w:val="20"/>
          <w:lang w:val="en-US"/>
        </w:rPr>
        <w:t xml:space="preserve"> (Emanuele), </w:t>
      </w:r>
      <w:r w:rsidRPr="000A7ADD">
        <w:rPr>
          <w:rFonts w:asciiTheme="majorHAnsi" w:hAnsiTheme="majorHAnsi"/>
          <w:b/>
          <w:sz w:val="20"/>
          <w:szCs w:val="20"/>
          <w:lang w:val="en-US"/>
        </w:rPr>
        <w:t>Zenghelis</w:t>
      </w:r>
      <w:r w:rsidRPr="000A7ADD">
        <w:rPr>
          <w:rFonts w:asciiTheme="majorHAnsi" w:hAnsiTheme="majorHAnsi"/>
          <w:sz w:val="20"/>
          <w:szCs w:val="20"/>
          <w:lang w:val="en-US"/>
        </w:rPr>
        <w:t xml:space="preserve"> (Dimitri), 2017, </w:t>
      </w:r>
      <w:r w:rsidRPr="00265F9A">
        <w:rPr>
          <w:rFonts w:asciiTheme="majorHAnsi" w:hAnsiTheme="majorHAnsi"/>
          <w:sz w:val="20"/>
          <w:szCs w:val="20"/>
          <w:lang w:val="en-US"/>
        </w:rPr>
        <w:t xml:space="preserve">« The climate impact of quantitative easing », </w:t>
      </w:r>
      <w:r w:rsidRPr="00265F9A">
        <w:rPr>
          <w:rFonts w:asciiTheme="majorHAnsi" w:hAnsiTheme="majorHAnsi"/>
          <w:i/>
          <w:iCs/>
          <w:sz w:val="20"/>
          <w:szCs w:val="20"/>
          <w:lang w:val="en-US"/>
        </w:rPr>
        <w:t>Grantham Institute Policy Papers</w:t>
      </w:r>
      <w:r w:rsidRPr="00265F9A">
        <w:rPr>
          <w:rFonts w:asciiTheme="majorHAnsi" w:hAnsiTheme="majorHAnsi"/>
          <w:sz w:val="20"/>
          <w:szCs w:val="20"/>
          <w:lang w:val="en-US"/>
        </w:rPr>
        <w:t>.</w:t>
      </w:r>
    </w:p>
    <w:p w14:paraId="433E4109"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McNamara</w:t>
      </w:r>
      <w:r w:rsidRPr="00265F9A">
        <w:rPr>
          <w:rFonts w:asciiTheme="majorHAnsi" w:eastAsia="Times New Roman" w:hAnsiTheme="majorHAnsi" w:cs="Times New Roman"/>
          <w:sz w:val="20"/>
          <w:szCs w:val="20"/>
          <w:lang w:val="sv-SE" w:eastAsia="sv-SE"/>
        </w:rPr>
        <w:t xml:space="preserve"> (Kathleen), 1998, </w:t>
      </w:r>
      <w:r w:rsidRPr="00265F9A">
        <w:rPr>
          <w:rFonts w:asciiTheme="majorHAnsi" w:eastAsia="Times New Roman" w:hAnsiTheme="majorHAnsi" w:cs="Times New Roman"/>
          <w:i/>
          <w:sz w:val="20"/>
          <w:szCs w:val="20"/>
          <w:lang w:val="sv-SE" w:eastAsia="sv-SE"/>
        </w:rPr>
        <w:t>The currency of ideas: monetary politics in the European Union</w:t>
      </w:r>
      <w:r w:rsidRPr="00265F9A">
        <w:rPr>
          <w:rFonts w:asciiTheme="majorHAnsi" w:eastAsia="Times New Roman" w:hAnsiTheme="majorHAnsi" w:cs="Times New Roman"/>
          <w:sz w:val="20"/>
          <w:szCs w:val="20"/>
          <w:lang w:val="sv-SE" w:eastAsia="sv-SE"/>
        </w:rPr>
        <w:t>, Ithaca, Cornell University Press.</w:t>
      </w:r>
    </w:p>
    <w:p w14:paraId="4651C249"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Mudge</w:t>
      </w:r>
      <w:r w:rsidRPr="00265F9A">
        <w:rPr>
          <w:rFonts w:asciiTheme="majorHAnsi" w:eastAsia="Times New Roman" w:hAnsiTheme="majorHAnsi" w:cs="Times New Roman"/>
          <w:sz w:val="20"/>
          <w:szCs w:val="20"/>
          <w:lang w:val="sv-SE" w:eastAsia="sv-SE"/>
        </w:rPr>
        <w:t xml:space="preserve"> (Stephanie L.), </w:t>
      </w:r>
      <w:r w:rsidRPr="00265F9A">
        <w:rPr>
          <w:rFonts w:asciiTheme="majorHAnsi" w:eastAsia="Times New Roman" w:hAnsiTheme="majorHAnsi" w:cs="Times New Roman"/>
          <w:b/>
          <w:sz w:val="20"/>
          <w:szCs w:val="20"/>
          <w:lang w:val="sv-SE" w:eastAsia="sv-SE"/>
        </w:rPr>
        <w:t>Vauchez</w:t>
      </w:r>
      <w:r w:rsidRPr="00265F9A">
        <w:rPr>
          <w:rFonts w:asciiTheme="majorHAnsi" w:eastAsia="Times New Roman" w:hAnsiTheme="majorHAnsi" w:cs="Times New Roman"/>
          <w:sz w:val="20"/>
          <w:szCs w:val="20"/>
          <w:lang w:val="sv-SE" w:eastAsia="sv-SE"/>
        </w:rPr>
        <w:t xml:space="preserve"> (Antoine), 2016,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Fielding supranationalism: the European Central Bank as a field effect</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The Sociological Review Monographs</w:t>
      </w:r>
      <w:r w:rsidRPr="00265F9A">
        <w:rPr>
          <w:rFonts w:asciiTheme="majorHAnsi" w:eastAsia="Times New Roman" w:hAnsiTheme="majorHAnsi" w:cs="Times New Roman"/>
          <w:sz w:val="20"/>
          <w:szCs w:val="20"/>
          <w:lang w:val="sv-SE" w:eastAsia="sv-SE"/>
        </w:rPr>
        <w:t>, n°64, p. 146-169.</w:t>
      </w:r>
    </w:p>
    <w:p w14:paraId="49973BBE" w14:textId="77777777"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eastAsia="Times New Roman" w:hAnsiTheme="majorHAnsi" w:cs="Times New Roman"/>
          <w:b/>
          <w:sz w:val="20"/>
          <w:szCs w:val="20"/>
          <w:lang w:val="sv-SE" w:eastAsia="sv-SE"/>
        </w:rPr>
        <w:t>Mudge</w:t>
      </w:r>
      <w:r w:rsidRPr="00265F9A">
        <w:rPr>
          <w:rFonts w:asciiTheme="majorHAnsi" w:eastAsia="Times New Roman" w:hAnsiTheme="majorHAnsi" w:cs="Times New Roman"/>
          <w:sz w:val="20"/>
          <w:szCs w:val="20"/>
          <w:lang w:val="sv-SE" w:eastAsia="sv-SE"/>
        </w:rPr>
        <w:t xml:space="preserve"> (Stephanie L.), </w:t>
      </w:r>
      <w:r w:rsidRPr="00265F9A">
        <w:rPr>
          <w:rFonts w:asciiTheme="majorHAnsi" w:eastAsia="Times New Roman" w:hAnsiTheme="majorHAnsi" w:cs="Times New Roman"/>
          <w:b/>
          <w:sz w:val="20"/>
          <w:szCs w:val="20"/>
          <w:lang w:val="sv-SE" w:eastAsia="sv-SE"/>
        </w:rPr>
        <w:t>Vauchez</w:t>
      </w:r>
      <w:r w:rsidRPr="00265F9A">
        <w:rPr>
          <w:rFonts w:asciiTheme="majorHAnsi" w:eastAsia="Times New Roman" w:hAnsiTheme="majorHAnsi" w:cs="Times New Roman"/>
          <w:sz w:val="20"/>
          <w:szCs w:val="20"/>
          <w:lang w:val="sv-SE" w:eastAsia="sv-SE"/>
        </w:rPr>
        <w:t xml:space="preserve"> (Antoine), 2018, </w:t>
      </w:r>
      <w:r w:rsidRPr="00265F9A">
        <w:rPr>
          <w:rFonts w:asciiTheme="majorHAnsi" w:hAnsiTheme="majorHAnsi"/>
          <w:sz w:val="20"/>
          <w:szCs w:val="20"/>
          <w:lang w:val="en-US"/>
        </w:rPr>
        <w:t xml:space="preserve">« Too Embedded to Fail. The ECB and the Necessity of Calculating Europe », </w:t>
      </w:r>
      <w:r w:rsidRPr="00265F9A">
        <w:rPr>
          <w:rFonts w:asciiTheme="majorHAnsi" w:hAnsiTheme="majorHAnsi"/>
          <w:i/>
          <w:iCs/>
          <w:sz w:val="20"/>
          <w:szCs w:val="20"/>
          <w:lang w:val="en-US"/>
        </w:rPr>
        <w:t>Historical Social Research/Historische Sozialforschung</w:t>
      </w:r>
      <w:r w:rsidRPr="00265F9A">
        <w:rPr>
          <w:rFonts w:asciiTheme="majorHAnsi" w:hAnsiTheme="majorHAnsi"/>
          <w:sz w:val="20"/>
          <w:szCs w:val="20"/>
          <w:lang w:val="en-US"/>
        </w:rPr>
        <w:t>, 43 (3), p. 248–273.</w:t>
      </w:r>
    </w:p>
    <w:p w14:paraId="49DBBDF7" w14:textId="33B227C9"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Quaglia</w:t>
      </w:r>
      <w:r w:rsidRPr="00265F9A">
        <w:rPr>
          <w:rFonts w:asciiTheme="majorHAnsi" w:hAnsiTheme="majorHAnsi"/>
          <w:sz w:val="20"/>
          <w:szCs w:val="20"/>
          <w:lang w:val="en-US"/>
        </w:rPr>
        <w:t xml:space="preserve"> (Lucia), 2008, </w:t>
      </w:r>
      <w:r w:rsidRPr="00265F9A">
        <w:rPr>
          <w:rFonts w:asciiTheme="majorHAnsi" w:hAnsiTheme="majorHAnsi"/>
          <w:i/>
          <w:iCs/>
          <w:sz w:val="20"/>
          <w:szCs w:val="20"/>
          <w:lang w:val="en-US"/>
        </w:rPr>
        <w:t>Central Banking Governance in the European Union: A Comparative Analysis</w:t>
      </w:r>
      <w:r w:rsidRPr="00265F9A">
        <w:rPr>
          <w:rFonts w:asciiTheme="majorHAnsi" w:hAnsiTheme="majorHAnsi"/>
          <w:sz w:val="20"/>
          <w:szCs w:val="20"/>
          <w:lang w:val="en-US"/>
        </w:rPr>
        <w:t>, Londres, Routledge.</w:t>
      </w:r>
    </w:p>
    <w:p w14:paraId="20156A15"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Rogoff</w:t>
      </w:r>
      <w:r w:rsidRPr="00265F9A">
        <w:rPr>
          <w:rFonts w:asciiTheme="majorHAnsi" w:eastAsia="Times New Roman" w:hAnsiTheme="majorHAnsi" w:cs="Times New Roman"/>
          <w:sz w:val="20"/>
          <w:szCs w:val="20"/>
          <w:lang w:val="sv-SE" w:eastAsia="sv-SE"/>
        </w:rPr>
        <w:t xml:space="preserve"> (Kenneth S.), 1985,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The optimal degree of commitment to an intermediate monetary target</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The Quarterly Journal of Economics</w:t>
      </w:r>
      <w:r w:rsidRPr="00265F9A">
        <w:rPr>
          <w:rFonts w:asciiTheme="majorHAnsi" w:eastAsia="Times New Roman" w:hAnsiTheme="majorHAnsi" w:cs="Times New Roman"/>
          <w:sz w:val="20"/>
          <w:szCs w:val="20"/>
          <w:lang w:val="sv-SE" w:eastAsia="sv-SE"/>
        </w:rPr>
        <w:t>, 100 (4), p. 1169-1189.</w:t>
      </w:r>
    </w:p>
    <w:p w14:paraId="7093625F" w14:textId="73C672AD" w:rsidR="00400364" w:rsidRPr="00265F9A"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lastRenderedPageBreak/>
        <w:t>Scharpf</w:t>
      </w:r>
      <w:r w:rsidRPr="00265F9A">
        <w:rPr>
          <w:rFonts w:asciiTheme="majorHAnsi" w:hAnsiTheme="majorHAnsi"/>
          <w:sz w:val="20"/>
          <w:szCs w:val="20"/>
          <w:lang w:val="en-US"/>
        </w:rPr>
        <w:t xml:space="preserve"> (Fritz W.), 1997, « Economic integration, democracy and the welfare state », </w:t>
      </w:r>
      <w:r w:rsidRPr="00265F9A">
        <w:rPr>
          <w:rFonts w:asciiTheme="majorHAnsi" w:hAnsiTheme="majorHAnsi"/>
          <w:i/>
          <w:iCs/>
          <w:sz w:val="20"/>
          <w:szCs w:val="20"/>
          <w:lang w:val="en-US"/>
        </w:rPr>
        <w:t>Journal of European Public Policy</w:t>
      </w:r>
      <w:r w:rsidRPr="00265F9A">
        <w:rPr>
          <w:rFonts w:asciiTheme="majorHAnsi" w:hAnsiTheme="majorHAnsi"/>
          <w:sz w:val="20"/>
          <w:szCs w:val="20"/>
          <w:lang w:val="en-US"/>
        </w:rPr>
        <w:t>, 4 (1), p. 18–36.</w:t>
      </w:r>
    </w:p>
    <w:p w14:paraId="6131BFEF" w14:textId="32BFA90F"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Streeck</w:t>
      </w:r>
      <w:r w:rsidRPr="00265F9A">
        <w:rPr>
          <w:rFonts w:asciiTheme="majorHAnsi" w:eastAsia="Times New Roman" w:hAnsiTheme="majorHAnsi" w:cs="Times New Roman"/>
          <w:sz w:val="20"/>
          <w:szCs w:val="20"/>
          <w:lang w:val="sv-SE" w:eastAsia="sv-SE"/>
        </w:rPr>
        <w:t xml:space="preserve"> (Wolfgang), </w:t>
      </w:r>
      <w:r w:rsidRPr="00265F9A">
        <w:rPr>
          <w:rFonts w:asciiTheme="majorHAnsi" w:eastAsia="Times New Roman" w:hAnsiTheme="majorHAnsi" w:cs="Times New Roman"/>
          <w:b/>
          <w:sz w:val="20"/>
          <w:szCs w:val="20"/>
          <w:lang w:val="sv-SE" w:eastAsia="sv-SE"/>
        </w:rPr>
        <w:t>Schäfer</w:t>
      </w:r>
      <w:r w:rsidRPr="00265F9A">
        <w:rPr>
          <w:rFonts w:asciiTheme="majorHAnsi" w:eastAsia="Times New Roman" w:hAnsiTheme="majorHAnsi" w:cs="Times New Roman"/>
          <w:sz w:val="20"/>
          <w:szCs w:val="20"/>
          <w:lang w:val="sv-SE" w:eastAsia="sv-SE"/>
        </w:rPr>
        <w:t xml:space="preserve"> (Armin), dir., 2013, </w:t>
      </w:r>
      <w:r w:rsidRPr="00265F9A">
        <w:rPr>
          <w:rFonts w:asciiTheme="majorHAnsi" w:eastAsia="Times New Roman" w:hAnsiTheme="majorHAnsi" w:cs="Times New Roman"/>
          <w:i/>
          <w:sz w:val="20"/>
          <w:szCs w:val="20"/>
          <w:lang w:val="sv-SE" w:eastAsia="sv-SE"/>
        </w:rPr>
        <w:t>Politics in the Age of Austerity</w:t>
      </w:r>
      <w:r w:rsidRPr="00265F9A">
        <w:rPr>
          <w:rFonts w:asciiTheme="majorHAnsi" w:eastAsia="Times New Roman" w:hAnsiTheme="majorHAnsi" w:cs="Times New Roman"/>
          <w:sz w:val="20"/>
          <w:szCs w:val="20"/>
          <w:lang w:val="sv-SE" w:eastAsia="sv-SE"/>
        </w:rPr>
        <w:t>, Cambridge, Polity Press.</w:t>
      </w:r>
    </w:p>
    <w:p w14:paraId="4C9D238B" w14:textId="270C3540" w:rsidR="00400364" w:rsidRPr="000A7ADD"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Tesche</w:t>
      </w:r>
      <w:r w:rsidRPr="00265F9A">
        <w:rPr>
          <w:rFonts w:asciiTheme="majorHAnsi" w:hAnsiTheme="majorHAnsi"/>
          <w:sz w:val="20"/>
          <w:szCs w:val="20"/>
          <w:lang w:val="en-US"/>
        </w:rPr>
        <w:t xml:space="preserve"> (Tobias), 2018, « Instrumentalizing EMU’s democratic deficit: the ECB’s unconventional accountability measures during the eurozone crisis », </w:t>
      </w:r>
      <w:r w:rsidRPr="000A7ADD">
        <w:rPr>
          <w:rFonts w:asciiTheme="majorHAnsi" w:hAnsiTheme="majorHAnsi"/>
          <w:i/>
          <w:iCs/>
          <w:sz w:val="20"/>
          <w:szCs w:val="20"/>
          <w:lang w:val="en-US"/>
        </w:rPr>
        <w:t>Journal of European Integration</w:t>
      </w:r>
      <w:r w:rsidRPr="000A7ADD">
        <w:rPr>
          <w:rFonts w:asciiTheme="majorHAnsi" w:hAnsiTheme="majorHAnsi"/>
          <w:sz w:val="20"/>
          <w:szCs w:val="20"/>
          <w:lang w:val="en-US"/>
        </w:rPr>
        <w:t>, p. 1</w:t>
      </w:r>
      <w:r w:rsidR="00101DE2" w:rsidRPr="000A7ADD">
        <w:rPr>
          <w:rFonts w:asciiTheme="majorHAnsi" w:hAnsiTheme="majorHAnsi"/>
          <w:sz w:val="20"/>
          <w:szCs w:val="20"/>
          <w:lang w:val="en-US"/>
        </w:rPr>
        <w:t>-</w:t>
      </w:r>
      <w:r w:rsidRPr="000A7ADD">
        <w:rPr>
          <w:rFonts w:asciiTheme="majorHAnsi" w:hAnsiTheme="majorHAnsi"/>
          <w:sz w:val="20"/>
          <w:szCs w:val="20"/>
          <w:lang w:val="en-US"/>
        </w:rPr>
        <w:t>17.</w:t>
      </w:r>
    </w:p>
    <w:p w14:paraId="43695EAB" w14:textId="6A48F6CA" w:rsidR="00400364" w:rsidRPr="00265F9A" w:rsidRDefault="00400364" w:rsidP="0023207D">
      <w:pPr>
        <w:spacing w:after="120" w:line="240" w:lineRule="atLeast"/>
        <w:jc w:val="both"/>
        <w:rPr>
          <w:rFonts w:asciiTheme="majorHAnsi" w:hAnsiTheme="majorHAnsi"/>
          <w:sz w:val="20"/>
          <w:szCs w:val="20"/>
        </w:rPr>
      </w:pPr>
      <w:r w:rsidRPr="00265F9A">
        <w:rPr>
          <w:rFonts w:asciiTheme="majorHAnsi" w:hAnsiTheme="majorHAnsi"/>
          <w:b/>
          <w:sz w:val="20"/>
          <w:szCs w:val="20"/>
        </w:rPr>
        <w:t>Théret</w:t>
      </w:r>
      <w:r w:rsidR="00101DE2" w:rsidRPr="00265F9A">
        <w:rPr>
          <w:rFonts w:asciiTheme="majorHAnsi" w:hAnsiTheme="majorHAnsi"/>
          <w:sz w:val="20"/>
          <w:szCs w:val="20"/>
        </w:rPr>
        <w:t xml:space="preserve"> (</w:t>
      </w:r>
      <w:r w:rsidRPr="00265F9A">
        <w:rPr>
          <w:rFonts w:asciiTheme="majorHAnsi" w:hAnsiTheme="majorHAnsi"/>
          <w:sz w:val="20"/>
          <w:szCs w:val="20"/>
        </w:rPr>
        <w:t>Bruno</w:t>
      </w:r>
      <w:r w:rsidR="00101DE2" w:rsidRPr="00265F9A">
        <w:rPr>
          <w:rFonts w:asciiTheme="majorHAnsi" w:hAnsiTheme="majorHAnsi"/>
          <w:sz w:val="20"/>
          <w:szCs w:val="20"/>
        </w:rPr>
        <w:t>), 2007,</w:t>
      </w:r>
      <w:r w:rsidRPr="00265F9A">
        <w:rPr>
          <w:rFonts w:asciiTheme="majorHAnsi" w:hAnsiTheme="majorHAnsi"/>
          <w:sz w:val="20"/>
          <w:szCs w:val="20"/>
        </w:rPr>
        <w:t xml:space="preserve"> </w:t>
      </w:r>
      <w:r w:rsidRPr="00265F9A">
        <w:rPr>
          <w:rFonts w:asciiTheme="majorHAnsi" w:hAnsiTheme="majorHAnsi"/>
          <w:i/>
          <w:iCs/>
          <w:sz w:val="20"/>
          <w:szCs w:val="20"/>
        </w:rPr>
        <w:t>La monnaie dévoilée par ses crises</w:t>
      </w:r>
      <w:r w:rsidR="00101DE2" w:rsidRPr="00265F9A">
        <w:rPr>
          <w:rFonts w:asciiTheme="majorHAnsi" w:hAnsiTheme="majorHAnsi"/>
          <w:i/>
          <w:iCs/>
          <w:sz w:val="20"/>
          <w:szCs w:val="20"/>
        </w:rPr>
        <w:t xml:space="preserve"> </w:t>
      </w:r>
      <w:r w:rsidRPr="00265F9A">
        <w:rPr>
          <w:rFonts w:asciiTheme="majorHAnsi" w:hAnsiTheme="majorHAnsi"/>
          <w:i/>
          <w:iCs/>
          <w:sz w:val="20"/>
          <w:szCs w:val="20"/>
        </w:rPr>
        <w:t>: Crises monétaires d’hier et d’aujourd’hui</w:t>
      </w:r>
      <w:r w:rsidR="00101DE2" w:rsidRPr="00265F9A">
        <w:rPr>
          <w:rFonts w:asciiTheme="majorHAnsi" w:hAnsiTheme="majorHAnsi"/>
          <w:sz w:val="20"/>
          <w:szCs w:val="20"/>
        </w:rPr>
        <w:t xml:space="preserve">, </w:t>
      </w:r>
      <w:r w:rsidRPr="00265F9A">
        <w:rPr>
          <w:rFonts w:asciiTheme="majorHAnsi" w:hAnsiTheme="majorHAnsi"/>
          <w:sz w:val="20"/>
          <w:szCs w:val="20"/>
        </w:rPr>
        <w:t>Paris</w:t>
      </w:r>
      <w:r w:rsidR="00101DE2" w:rsidRPr="00265F9A">
        <w:rPr>
          <w:rFonts w:asciiTheme="majorHAnsi" w:hAnsiTheme="majorHAnsi"/>
          <w:sz w:val="20"/>
          <w:szCs w:val="20"/>
        </w:rPr>
        <w:t>,</w:t>
      </w:r>
      <w:r w:rsidRPr="00265F9A">
        <w:rPr>
          <w:rFonts w:asciiTheme="majorHAnsi" w:hAnsiTheme="majorHAnsi"/>
          <w:sz w:val="20"/>
          <w:szCs w:val="20"/>
        </w:rPr>
        <w:t xml:space="preserve"> Éditions de l’École des hautes é</w:t>
      </w:r>
      <w:r w:rsidR="00101DE2" w:rsidRPr="00265F9A">
        <w:rPr>
          <w:rFonts w:asciiTheme="majorHAnsi" w:hAnsiTheme="majorHAnsi"/>
          <w:sz w:val="20"/>
          <w:szCs w:val="20"/>
        </w:rPr>
        <w:t>tudes en sciences sociales</w:t>
      </w:r>
      <w:r w:rsidRPr="00265F9A">
        <w:rPr>
          <w:rFonts w:asciiTheme="majorHAnsi" w:hAnsiTheme="majorHAnsi"/>
          <w:sz w:val="20"/>
          <w:szCs w:val="20"/>
        </w:rPr>
        <w:t>.</w:t>
      </w:r>
    </w:p>
    <w:p w14:paraId="3C61916D" w14:textId="333E0C0D" w:rsidR="00400364" w:rsidRPr="000A7ADD"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Tridimas</w:t>
      </w:r>
      <w:r w:rsidR="00101DE2" w:rsidRPr="00265F9A">
        <w:rPr>
          <w:rFonts w:asciiTheme="majorHAnsi" w:hAnsiTheme="majorHAnsi"/>
          <w:sz w:val="20"/>
          <w:szCs w:val="20"/>
          <w:lang w:val="en-US"/>
        </w:rPr>
        <w:t xml:space="preserve"> (</w:t>
      </w:r>
      <w:r w:rsidRPr="00265F9A">
        <w:rPr>
          <w:rFonts w:asciiTheme="majorHAnsi" w:hAnsiTheme="majorHAnsi"/>
          <w:sz w:val="20"/>
          <w:szCs w:val="20"/>
          <w:lang w:val="en-US"/>
        </w:rPr>
        <w:t>Takis</w:t>
      </w:r>
      <w:r w:rsidR="00101DE2" w:rsidRPr="00265F9A">
        <w:rPr>
          <w:rFonts w:asciiTheme="majorHAnsi" w:hAnsiTheme="majorHAnsi"/>
          <w:sz w:val="20"/>
          <w:szCs w:val="20"/>
          <w:lang w:val="en-US"/>
        </w:rPr>
        <w:t>)</w:t>
      </w:r>
      <w:r w:rsidRPr="00265F9A">
        <w:rPr>
          <w:rFonts w:asciiTheme="majorHAnsi" w:hAnsiTheme="majorHAnsi"/>
          <w:sz w:val="20"/>
          <w:szCs w:val="20"/>
          <w:lang w:val="en-US"/>
        </w:rPr>
        <w:t xml:space="preserve">, </w:t>
      </w:r>
      <w:r w:rsidRPr="00265F9A">
        <w:rPr>
          <w:rFonts w:asciiTheme="majorHAnsi" w:hAnsiTheme="majorHAnsi"/>
          <w:b/>
          <w:sz w:val="20"/>
          <w:szCs w:val="20"/>
          <w:lang w:val="en-US"/>
        </w:rPr>
        <w:t>Xanthoulis</w:t>
      </w:r>
      <w:r w:rsidR="00101DE2" w:rsidRPr="00265F9A">
        <w:rPr>
          <w:rFonts w:asciiTheme="majorHAnsi" w:hAnsiTheme="majorHAnsi"/>
          <w:sz w:val="20"/>
          <w:szCs w:val="20"/>
          <w:lang w:val="en-US"/>
        </w:rPr>
        <w:t xml:space="preserve"> (Napoleon), 2016,</w:t>
      </w:r>
      <w:r w:rsidRPr="00265F9A">
        <w:rPr>
          <w:rFonts w:asciiTheme="majorHAnsi" w:hAnsiTheme="majorHAnsi"/>
          <w:sz w:val="20"/>
          <w:szCs w:val="20"/>
          <w:lang w:val="en-US"/>
        </w:rPr>
        <w:t xml:space="preserve"> « A Legal Analysis of the Gauweiler Case: Between Monetary Policy and Constitutional Conflict »</w:t>
      </w:r>
      <w:r w:rsidR="00101DE2" w:rsidRPr="00265F9A">
        <w:rPr>
          <w:rFonts w:asciiTheme="majorHAnsi" w:hAnsiTheme="majorHAnsi"/>
          <w:sz w:val="20"/>
          <w:szCs w:val="20"/>
          <w:lang w:val="en-US"/>
        </w:rPr>
        <w:t>,</w:t>
      </w:r>
      <w:r w:rsidRPr="00265F9A">
        <w:rPr>
          <w:rFonts w:asciiTheme="majorHAnsi" w:hAnsiTheme="majorHAnsi"/>
          <w:sz w:val="20"/>
          <w:szCs w:val="20"/>
          <w:lang w:val="en-US"/>
        </w:rPr>
        <w:t xml:space="preserve"> </w:t>
      </w:r>
      <w:r w:rsidRPr="000A7ADD">
        <w:rPr>
          <w:rFonts w:asciiTheme="majorHAnsi" w:hAnsiTheme="majorHAnsi"/>
          <w:i/>
          <w:iCs/>
          <w:sz w:val="20"/>
          <w:szCs w:val="20"/>
          <w:lang w:val="en-US"/>
        </w:rPr>
        <w:t>Maastricht Journal of European and Comparative Law</w:t>
      </w:r>
      <w:r w:rsidRPr="000A7ADD">
        <w:rPr>
          <w:rFonts w:asciiTheme="majorHAnsi" w:hAnsiTheme="majorHAnsi"/>
          <w:sz w:val="20"/>
          <w:szCs w:val="20"/>
          <w:lang w:val="en-US"/>
        </w:rPr>
        <w:t xml:space="preserve">, </w:t>
      </w:r>
      <w:r w:rsidR="00101DE2" w:rsidRPr="000A7ADD">
        <w:rPr>
          <w:rFonts w:asciiTheme="majorHAnsi" w:hAnsiTheme="majorHAnsi"/>
          <w:sz w:val="20"/>
          <w:szCs w:val="20"/>
          <w:lang w:val="en-US"/>
        </w:rPr>
        <w:t>1</w:t>
      </w:r>
      <w:r w:rsidRPr="000A7ADD">
        <w:rPr>
          <w:rFonts w:asciiTheme="majorHAnsi" w:hAnsiTheme="majorHAnsi"/>
          <w:sz w:val="20"/>
          <w:szCs w:val="20"/>
          <w:lang w:val="en-US"/>
        </w:rPr>
        <w:t xml:space="preserve">. </w:t>
      </w:r>
    </w:p>
    <w:p w14:paraId="0614CB22" w14:textId="5E687C73" w:rsidR="00400364" w:rsidRPr="00265F9A" w:rsidRDefault="00400364" w:rsidP="0023207D">
      <w:pPr>
        <w:spacing w:after="120" w:line="240" w:lineRule="atLeast"/>
        <w:jc w:val="both"/>
        <w:rPr>
          <w:rFonts w:asciiTheme="majorHAnsi" w:hAnsiTheme="majorHAnsi"/>
          <w:sz w:val="20"/>
          <w:szCs w:val="20"/>
        </w:rPr>
      </w:pPr>
      <w:r w:rsidRPr="00265F9A">
        <w:rPr>
          <w:rFonts w:asciiTheme="majorHAnsi" w:hAnsiTheme="majorHAnsi"/>
          <w:b/>
          <w:sz w:val="20"/>
          <w:szCs w:val="20"/>
        </w:rPr>
        <w:t>Vauchez</w:t>
      </w:r>
      <w:r w:rsidR="00101DE2" w:rsidRPr="00265F9A">
        <w:rPr>
          <w:rFonts w:asciiTheme="majorHAnsi" w:hAnsiTheme="majorHAnsi"/>
          <w:sz w:val="20"/>
          <w:szCs w:val="20"/>
        </w:rPr>
        <w:t xml:space="preserve"> (</w:t>
      </w:r>
      <w:r w:rsidRPr="00265F9A">
        <w:rPr>
          <w:rFonts w:asciiTheme="majorHAnsi" w:hAnsiTheme="majorHAnsi"/>
          <w:sz w:val="20"/>
          <w:szCs w:val="20"/>
        </w:rPr>
        <w:t>Antoine</w:t>
      </w:r>
      <w:r w:rsidR="00101DE2" w:rsidRPr="00265F9A">
        <w:rPr>
          <w:rFonts w:asciiTheme="majorHAnsi" w:hAnsiTheme="majorHAnsi"/>
          <w:sz w:val="20"/>
          <w:szCs w:val="20"/>
        </w:rPr>
        <w:t>), 2014,</w:t>
      </w:r>
      <w:r w:rsidRPr="00265F9A">
        <w:rPr>
          <w:rFonts w:asciiTheme="majorHAnsi" w:hAnsiTheme="majorHAnsi"/>
          <w:sz w:val="20"/>
          <w:szCs w:val="20"/>
        </w:rPr>
        <w:t xml:space="preserve"> </w:t>
      </w:r>
      <w:r w:rsidRPr="00265F9A">
        <w:rPr>
          <w:rFonts w:asciiTheme="majorHAnsi" w:hAnsiTheme="majorHAnsi"/>
          <w:i/>
          <w:iCs/>
          <w:sz w:val="20"/>
          <w:szCs w:val="20"/>
        </w:rPr>
        <w:t>Démocratiser l’Europe</w:t>
      </w:r>
      <w:r w:rsidR="00101DE2" w:rsidRPr="00265F9A">
        <w:rPr>
          <w:rFonts w:asciiTheme="majorHAnsi" w:hAnsiTheme="majorHAnsi"/>
          <w:sz w:val="20"/>
          <w:szCs w:val="20"/>
        </w:rPr>
        <w:t>,</w:t>
      </w:r>
      <w:r w:rsidRPr="00265F9A">
        <w:rPr>
          <w:rFonts w:asciiTheme="majorHAnsi" w:hAnsiTheme="majorHAnsi"/>
          <w:sz w:val="20"/>
          <w:szCs w:val="20"/>
        </w:rPr>
        <w:t xml:space="preserve"> Paris</w:t>
      </w:r>
      <w:r w:rsidR="00101DE2" w:rsidRPr="00265F9A">
        <w:rPr>
          <w:rFonts w:asciiTheme="majorHAnsi" w:hAnsiTheme="majorHAnsi"/>
          <w:sz w:val="20"/>
          <w:szCs w:val="20"/>
        </w:rPr>
        <w:t>, Seuil</w:t>
      </w:r>
      <w:r w:rsidRPr="00265F9A">
        <w:rPr>
          <w:rFonts w:asciiTheme="majorHAnsi" w:hAnsiTheme="majorHAnsi"/>
          <w:sz w:val="20"/>
          <w:szCs w:val="20"/>
        </w:rPr>
        <w:t>.</w:t>
      </w:r>
    </w:p>
    <w:p w14:paraId="66C1843B" w14:textId="3CEF5D3B" w:rsidR="00400364" w:rsidRPr="000A7ADD" w:rsidRDefault="00400364" w:rsidP="0023207D">
      <w:pPr>
        <w:spacing w:after="120" w:line="240" w:lineRule="atLeast"/>
        <w:jc w:val="both"/>
        <w:rPr>
          <w:rFonts w:asciiTheme="majorHAnsi" w:hAnsiTheme="majorHAnsi"/>
          <w:sz w:val="20"/>
          <w:szCs w:val="20"/>
          <w:lang w:val="en-US"/>
        </w:rPr>
      </w:pPr>
      <w:r w:rsidRPr="00265F9A">
        <w:rPr>
          <w:rFonts w:asciiTheme="majorHAnsi" w:hAnsiTheme="majorHAnsi"/>
          <w:b/>
          <w:sz w:val="20"/>
          <w:szCs w:val="20"/>
          <w:lang w:val="en-US"/>
        </w:rPr>
        <w:t>Verdun</w:t>
      </w:r>
      <w:r w:rsidR="00101DE2" w:rsidRPr="00265F9A">
        <w:rPr>
          <w:rFonts w:asciiTheme="majorHAnsi" w:hAnsiTheme="majorHAnsi"/>
          <w:sz w:val="20"/>
          <w:szCs w:val="20"/>
          <w:lang w:val="en-US"/>
        </w:rPr>
        <w:t xml:space="preserve"> (</w:t>
      </w:r>
      <w:r w:rsidRPr="00265F9A">
        <w:rPr>
          <w:rFonts w:asciiTheme="majorHAnsi" w:hAnsiTheme="majorHAnsi"/>
          <w:sz w:val="20"/>
          <w:szCs w:val="20"/>
          <w:lang w:val="en-US"/>
        </w:rPr>
        <w:t>Amy</w:t>
      </w:r>
      <w:r w:rsidR="00101DE2" w:rsidRPr="00265F9A">
        <w:rPr>
          <w:rFonts w:asciiTheme="majorHAnsi" w:hAnsiTheme="majorHAnsi"/>
          <w:sz w:val="20"/>
          <w:szCs w:val="20"/>
          <w:lang w:val="en-US"/>
        </w:rPr>
        <w:t>), 1999,</w:t>
      </w:r>
      <w:r w:rsidRPr="00265F9A">
        <w:rPr>
          <w:rFonts w:asciiTheme="majorHAnsi" w:hAnsiTheme="majorHAnsi"/>
          <w:sz w:val="20"/>
          <w:szCs w:val="20"/>
          <w:lang w:val="en-US"/>
        </w:rPr>
        <w:t xml:space="preserve"> « The role of the Delors Committee in the creation of EMU: an epistemic community? »</w:t>
      </w:r>
      <w:r w:rsidR="00101DE2" w:rsidRPr="00265F9A">
        <w:rPr>
          <w:rFonts w:asciiTheme="majorHAnsi" w:hAnsiTheme="majorHAnsi"/>
          <w:sz w:val="20"/>
          <w:szCs w:val="20"/>
          <w:lang w:val="en-US"/>
        </w:rPr>
        <w:t>,</w:t>
      </w:r>
      <w:r w:rsidRPr="00265F9A">
        <w:rPr>
          <w:rFonts w:asciiTheme="majorHAnsi" w:hAnsiTheme="majorHAnsi"/>
          <w:sz w:val="20"/>
          <w:szCs w:val="20"/>
          <w:lang w:val="en-US"/>
        </w:rPr>
        <w:t xml:space="preserve"> </w:t>
      </w:r>
      <w:r w:rsidRPr="000A7ADD">
        <w:rPr>
          <w:rFonts w:asciiTheme="majorHAnsi" w:hAnsiTheme="majorHAnsi"/>
          <w:i/>
          <w:iCs/>
          <w:sz w:val="20"/>
          <w:szCs w:val="20"/>
          <w:lang w:val="en-US"/>
        </w:rPr>
        <w:t>Journal of European Public Policy</w:t>
      </w:r>
      <w:r w:rsidR="00101DE2" w:rsidRPr="000A7ADD">
        <w:rPr>
          <w:rFonts w:asciiTheme="majorHAnsi" w:hAnsiTheme="majorHAnsi"/>
          <w:i/>
          <w:iCs/>
          <w:sz w:val="20"/>
          <w:szCs w:val="20"/>
          <w:lang w:val="en-US"/>
        </w:rPr>
        <w:t>,</w:t>
      </w:r>
      <w:r w:rsidRPr="000A7ADD">
        <w:rPr>
          <w:rFonts w:asciiTheme="majorHAnsi" w:hAnsiTheme="majorHAnsi"/>
          <w:sz w:val="20"/>
          <w:szCs w:val="20"/>
          <w:lang w:val="en-US"/>
        </w:rPr>
        <w:t xml:space="preserve"> 6 </w:t>
      </w:r>
      <w:r w:rsidR="00101DE2" w:rsidRPr="000A7ADD">
        <w:rPr>
          <w:rFonts w:asciiTheme="majorHAnsi" w:hAnsiTheme="majorHAnsi"/>
          <w:sz w:val="20"/>
          <w:szCs w:val="20"/>
          <w:lang w:val="en-US"/>
        </w:rPr>
        <w:t>(</w:t>
      </w:r>
      <w:r w:rsidRPr="000A7ADD">
        <w:rPr>
          <w:rFonts w:asciiTheme="majorHAnsi" w:hAnsiTheme="majorHAnsi"/>
          <w:sz w:val="20"/>
          <w:szCs w:val="20"/>
          <w:lang w:val="en-US"/>
        </w:rPr>
        <w:t>2</w:t>
      </w:r>
      <w:r w:rsidR="00101DE2" w:rsidRPr="000A7ADD">
        <w:rPr>
          <w:rFonts w:asciiTheme="majorHAnsi" w:hAnsiTheme="majorHAnsi"/>
          <w:sz w:val="20"/>
          <w:szCs w:val="20"/>
          <w:lang w:val="en-US"/>
        </w:rPr>
        <w:t>)</w:t>
      </w:r>
      <w:r w:rsidRPr="000A7ADD">
        <w:rPr>
          <w:rFonts w:asciiTheme="majorHAnsi" w:hAnsiTheme="majorHAnsi"/>
          <w:sz w:val="20"/>
          <w:szCs w:val="20"/>
          <w:lang w:val="en-US"/>
        </w:rPr>
        <w:t xml:space="preserve">, </w:t>
      </w:r>
      <w:r w:rsidR="00101DE2" w:rsidRPr="000A7ADD">
        <w:rPr>
          <w:rFonts w:asciiTheme="majorHAnsi" w:hAnsiTheme="majorHAnsi"/>
          <w:sz w:val="20"/>
          <w:szCs w:val="20"/>
          <w:lang w:val="en-US"/>
        </w:rPr>
        <w:t>p.</w:t>
      </w:r>
      <w:r w:rsidRPr="000A7ADD">
        <w:rPr>
          <w:rFonts w:asciiTheme="majorHAnsi" w:hAnsiTheme="majorHAnsi"/>
          <w:sz w:val="20"/>
          <w:szCs w:val="20"/>
          <w:lang w:val="en-US"/>
        </w:rPr>
        <w:t xml:space="preserve"> 308</w:t>
      </w:r>
      <w:r w:rsidRPr="000A7ADD">
        <w:rPr>
          <w:rFonts w:asciiTheme="majorHAnsi" w:hAnsiTheme="majorHAnsi"/>
          <w:sz w:val="20"/>
          <w:szCs w:val="20"/>
          <w:lang w:val="en-US"/>
        </w:rPr>
        <w:noBreakHyphen/>
        <w:t xml:space="preserve">28. </w:t>
      </w:r>
    </w:p>
    <w:p w14:paraId="28FAC412"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Waele</w:t>
      </w:r>
      <w:r w:rsidRPr="00265F9A">
        <w:rPr>
          <w:rFonts w:asciiTheme="majorHAnsi" w:eastAsia="Times New Roman" w:hAnsiTheme="majorHAnsi" w:cs="Times New Roman"/>
          <w:sz w:val="20"/>
          <w:szCs w:val="20"/>
          <w:lang w:val="sv-SE" w:eastAsia="sv-SE"/>
        </w:rPr>
        <w:t xml:space="preserve"> (Jean-Michel de), </w:t>
      </w:r>
      <w:r w:rsidRPr="00265F9A">
        <w:rPr>
          <w:rFonts w:asciiTheme="majorHAnsi" w:eastAsia="Times New Roman" w:hAnsiTheme="majorHAnsi" w:cs="Times New Roman"/>
          <w:b/>
          <w:sz w:val="20"/>
          <w:szCs w:val="20"/>
          <w:lang w:val="sv-SE" w:eastAsia="sv-SE"/>
        </w:rPr>
        <w:t>Escalona</w:t>
      </w:r>
      <w:r w:rsidRPr="00265F9A">
        <w:rPr>
          <w:rFonts w:asciiTheme="majorHAnsi" w:eastAsia="Times New Roman" w:hAnsiTheme="majorHAnsi" w:cs="Times New Roman"/>
          <w:sz w:val="20"/>
          <w:szCs w:val="20"/>
          <w:lang w:val="sv-SE" w:eastAsia="sv-SE"/>
        </w:rPr>
        <w:t xml:space="preserve"> (Fabien), </w:t>
      </w:r>
      <w:r w:rsidRPr="00265F9A">
        <w:rPr>
          <w:rFonts w:asciiTheme="majorHAnsi" w:eastAsia="Times New Roman" w:hAnsiTheme="majorHAnsi" w:cs="Times New Roman"/>
          <w:b/>
          <w:sz w:val="20"/>
          <w:szCs w:val="20"/>
          <w:lang w:val="sv-SE" w:eastAsia="sv-SE"/>
        </w:rPr>
        <w:t>Vieira</w:t>
      </w:r>
      <w:r w:rsidRPr="00265F9A">
        <w:rPr>
          <w:rFonts w:asciiTheme="majorHAnsi" w:eastAsia="Times New Roman" w:hAnsiTheme="majorHAnsi" w:cs="Times New Roman"/>
          <w:sz w:val="20"/>
          <w:szCs w:val="20"/>
          <w:lang w:val="sv-SE" w:eastAsia="sv-SE"/>
        </w:rPr>
        <w:t xml:space="preserve"> (Mathieu), dir., 2013, </w:t>
      </w:r>
      <w:r w:rsidRPr="00265F9A">
        <w:rPr>
          <w:rFonts w:asciiTheme="majorHAnsi" w:eastAsia="Times New Roman" w:hAnsiTheme="majorHAnsi" w:cs="Times New Roman"/>
          <w:i/>
          <w:sz w:val="20"/>
          <w:szCs w:val="20"/>
          <w:lang w:val="sv-SE" w:eastAsia="sv-SE"/>
        </w:rPr>
        <w:t>The Palgrave Handbook of Social Democracy in the European Union</w:t>
      </w:r>
      <w:r w:rsidRPr="00265F9A">
        <w:rPr>
          <w:rFonts w:asciiTheme="majorHAnsi" w:eastAsia="Times New Roman" w:hAnsiTheme="majorHAnsi" w:cs="Times New Roman"/>
          <w:sz w:val="20"/>
          <w:szCs w:val="20"/>
          <w:lang w:val="sv-SE" w:eastAsia="sv-SE"/>
        </w:rPr>
        <w:t>, Basingstoke, Palgrave Macmillan.</w:t>
      </w:r>
    </w:p>
    <w:p w14:paraId="3740AAF3"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Woll</w:t>
      </w:r>
      <w:r w:rsidRPr="00265F9A">
        <w:rPr>
          <w:rFonts w:asciiTheme="majorHAnsi" w:eastAsia="Times New Roman" w:hAnsiTheme="majorHAnsi" w:cs="Times New Roman"/>
          <w:sz w:val="20"/>
          <w:szCs w:val="20"/>
          <w:lang w:val="sv-SE" w:eastAsia="sv-SE"/>
        </w:rPr>
        <w:t xml:space="preserve"> (Cornelia), 2014, </w:t>
      </w:r>
      <w:r w:rsidRPr="00265F9A">
        <w:rPr>
          <w:rFonts w:asciiTheme="majorHAnsi" w:eastAsia="Times New Roman" w:hAnsiTheme="majorHAnsi" w:cs="Times New Roman"/>
          <w:i/>
          <w:sz w:val="20"/>
          <w:szCs w:val="20"/>
          <w:lang w:val="sv-SE" w:eastAsia="sv-SE"/>
        </w:rPr>
        <w:t>The Power of Inaction: Bank Bailouts in Comparison</w:t>
      </w:r>
      <w:r w:rsidRPr="00265F9A">
        <w:rPr>
          <w:rFonts w:asciiTheme="majorHAnsi" w:eastAsia="Times New Roman" w:hAnsiTheme="majorHAnsi" w:cs="Times New Roman"/>
          <w:sz w:val="20"/>
          <w:szCs w:val="20"/>
          <w:lang w:val="sv-SE" w:eastAsia="sv-SE"/>
        </w:rPr>
        <w:t>, Ithaca, Cornell University Press.</w:t>
      </w:r>
    </w:p>
    <w:p w14:paraId="46EAFFE6" w14:textId="77777777" w:rsidR="00400364" w:rsidRPr="00265F9A" w:rsidRDefault="00400364" w:rsidP="0023207D">
      <w:pPr>
        <w:spacing w:after="120" w:line="240" w:lineRule="atLeast"/>
        <w:jc w:val="both"/>
        <w:rPr>
          <w:rFonts w:asciiTheme="majorHAnsi" w:eastAsia="Times New Roman" w:hAnsiTheme="majorHAnsi" w:cs="Times New Roman"/>
          <w:sz w:val="20"/>
          <w:szCs w:val="20"/>
          <w:lang w:val="sv-SE" w:eastAsia="sv-SE"/>
        </w:rPr>
      </w:pPr>
      <w:r w:rsidRPr="00265F9A">
        <w:rPr>
          <w:rFonts w:asciiTheme="majorHAnsi" w:eastAsia="Times New Roman" w:hAnsiTheme="majorHAnsi" w:cs="Times New Roman"/>
          <w:b/>
          <w:sz w:val="20"/>
          <w:szCs w:val="20"/>
          <w:lang w:val="sv-SE" w:eastAsia="sv-SE"/>
        </w:rPr>
        <w:t>Young</w:t>
      </w:r>
      <w:r w:rsidRPr="00265F9A">
        <w:rPr>
          <w:rFonts w:asciiTheme="majorHAnsi" w:eastAsia="Times New Roman" w:hAnsiTheme="majorHAnsi" w:cs="Times New Roman"/>
          <w:sz w:val="20"/>
          <w:szCs w:val="20"/>
          <w:lang w:val="sv-SE" w:eastAsia="sv-SE"/>
        </w:rPr>
        <w:t xml:space="preserve"> (Brigitte F.), 2017, </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Central Bank Policies, Inequality and Gendered Asset Bias</w:t>
      </w:r>
      <w:r w:rsidRPr="000A7ADD">
        <w:rPr>
          <w:rFonts w:asciiTheme="majorHAnsi" w:hAnsiTheme="majorHAnsi" w:cs="Times New Roman"/>
          <w:sz w:val="20"/>
          <w:szCs w:val="20"/>
          <w:lang w:val="en-US"/>
        </w:rPr>
        <w:t> »</w:t>
      </w:r>
      <w:r w:rsidRPr="00265F9A">
        <w:rPr>
          <w:rFonts w:asciiTheme="majorHAnsi" w:eastAsia="Times New Roman" w:hAnsiTheme="majorHAnsi" w:cs="Times New Roman"/>
          <w:sz w:val="20"/>
          <w:szCs w:val="20"/>
          <w:lang w:val="sv-SE" w:eastAsia="sv-SE"/>
        </w:rPr>
        <w:t xml:space="preserve">, </w:t>
      </w:r>
      <w:r w:rsidRPr="00265F9A">
        <w:rPr>
          <w:rFonts w:asciiTheme="majorHAnsi" w:eastAsia="Times New Roman" w:hAnsiTheme="majorHAnsi" w:cs="Times New Roman"/>
          <w:i/>
          <w:sz w:val="20"/>
          <w:szCs w:val="20"/>
          <w:lang w:val="sv-SE" w:eastAsia="sv-SE"/>
        </w:rPr>
        <w:t>in</w:t>
      </w:r>
      <w:r w:rsidRPr="00265F9A">
        <w:rPr>
          <w:rFonts w:asciiTheme="majorHAnsi" w:eastAsia="Times New Roman" w:hAnsiTheme="majorHAnsi" w:cs="Times New Roman"/>
          <w:sz w:val="20"/>
          <w:szCs w:val="20"/>
          <w:lang w:val="sv-SE" w:eastAsia="sv-SE"/>
        </w:rPr>
        <w:t xml:space="preserve"> Elias (Juanita), Roberts (Adrienne), dir., </w:t>
      </w:r>
      <w:r w:rsidRPr="00265F9A">
        <w:rPr>
          <w:rFonts w:asciiTheme="majorHAnsi" w:eastAsia="Times New Roman" w:hAnsiTheme="majorHAnsi" w:cs="Times New Roman"/>
          <w:i/>
          <w:sz w:val="20"/>
          <w:szCs w:val="20"/>
          <w:lang w:val="sv-SE" w:eastAsia="sv-SE"/>
        </w:rPr>
        <w:t>Handbook of the International Political Economy of Gender</w:t>
      </w:r>
      <w:r w:rsidRPr="00265F9A">
        <w:rPr>
          <w:rFonts w:asciiTheme="majorHAnsi" w:eastAsia="Times New Roman" w:hAnsiTheme="majorHAnsi" w:cs="Times New Roman"/>
          <w:sz w:val="20"/>
          <w:szCs w:val="20"/>
          <w:lang w:val="sv-SE" w:eastAsia="sv-SE"/>
        </w:rPr>
        <w:t>, Cheltenham Edward Elgar Publishing.</w:t>
      </w:r>
    </w:p>
    <w:p w14:paraId="72D061B5" w14:textId="77777777" w:rsidR="00D87F0A" w:rsidRPr="00265F9A" w:rsidRDefault="00D87F0A" w:rsidP="00C87E47">
      <w:pPr>
        <w:spacing w:after="0" w:line="240" w:lineRule="auto"/>
        <w:ind w:left="720" w:hanging="720"/>
        <w:contextualSpacing/>
        <w:jc w:val="both"/>
        <w:rPr>
          <w:rFonts w:asciiTheme="majorHAnsi" w:hAnsiTheme="majorHAnsi" w:cs="Times New Roman"/>
          <w:sz w:val="20"/>
          <w:szCs w:val="20"/>
          <w:lang w:val="en-GB"/>
        </w:rPr>
      </w:pPr>
    </w:p>
    <w:sectPr w:rsidR="00D87F0A" w:rsidRPr="00265F9A" w:rsidSect="0027214A">
      <w:headerReference w:type="default" r:id="rId8"/>
      <w:footerReference w:type="even" r:id="rId9"/>
      <w:footerReference w:type="default" r:id="rId10"/>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2CB77" w14:textId="77777777" w:rsidR="00145AA2" w:rsidRDefault="00145AA2" w:rsidP="0027214A">
      <w:pPr>
        <w:spacing w:after="0" w:line="240" w:lineRule="auto"/>
      </w:pPr>
      <w:r>
        <w:separator/>
      </w:r>
    </w:p>
  </w:endnote>
  <w:endnote w:type="continuationSeparator" w:id="0">
    <w:p w14:paraId="531584BE" w14:textId="77777777" w:rsidR="00145AA2" w:rsidRDefault="00145AA2" w:rsidP="00272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charset w:val="01"/>
    <w:family w:val="auto"/>
    <w:pitch w:val="variable"/>
    <w:sig w:usb0="00000003" w:usb1="00000000" w:usb2="00000000" w:usb3="00000000" w:csb0="00000001" w:csb1="00000000"/>
  </w:font>
  <w:font w:name="DejaVu Sans">
    <w:altName w:val="Arial"/>
    <w:charset w:val="00"/>
    <w:family w:val="auto"/>
    <w:pitch w:val="variable"/>
    <w:sig w:usb0="00000003" w:usb1="00000000" w:usb2="00000000" w:usb3="00000000" w:csb0="00000001" w:csb1="00000000"/>
  </w:font>
  <w:font w:name="Liberation Serif">
    <w:altName w:val="MS Gothic"/>
    <w:charset w:val="80"/>
    <w:family w:val="roman"/>
    <w:pitch w:val="variable"/>
    <w:sig w:usb0="00000000" w:usb1="08070000" w:usb2="00000010" w:usb3="00000000" w:csb0="00020001" w:csb1="00000000"/>
  </w:font>
  <w:font w:name="Mangal">
    <w:altName w:val="Courier New"/>
    <w:panose1 w:val="00000400000000000000"/>
    <w:charset w:val="00"/>
    <w:family w:val="auto"/>
    <w:pitch w:val="variable"/>
    <w:sig w:usb0="00008003" w:usb1="00000000" w:usb2="00000000" w:usb3="00000000" w:csb0="00000001" w:csb1="00000000"/>
  </w:font>
  <w:font w:name="FreeSans">
    <w:altName w:val="Arial"/>
    <w:charset w:val="01"/>
    <w:family w:val="auto"/>
    <w:pitch w:val="variable"/>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0E656" w14:textId="77777777" w:rsidR="009C1A63" w:rsidRDefault="009C1A63" w:rsidP="00A034E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DCA08CA" w14:textId="77777777" w:rsidR="009C1A63" w:rsidRDefault="009C1A63" w:rsidP="00A034E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80293" w14:textId="66BB56E3" w:rsidR="009C1A63" w:rsidRDefault="009C1A63" w:rsidP="00A034EF">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1369FC">
      <w:rPr>
        <w:rStyle w:val="Numrodepage"/>
        <w:noProof/>
      </w:rPr>
      <w:t>1</w:t>
    </w:r>
    <w:r>
      <w:rPr>
        <w:rStyle w:val="Numrodepage"/>
      </w:rPr>
      <w:fldChar w:fldCharType="end"/>
    </w:r>
  </w:p>
  <w:p w14:paraId="278C623F" w14:textId="54420790" w:rsidR="009C1A63" w:rsidRDefault="009C1A63" w:rsidP="00A034EF">
    <w:pPr>
      <w:pStyle w:val="Pieddepage"/>
      <w:ind w:right="360"/>
    </w:pPr>
  </w:p>
  <w:p w14:paraId="4FA1C961" w14:textId="77777777" w:rsidR="009C1A63" w:rsidRDefault="009C1A6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7B98B" w14:textId="77777777" w:rsidR="00145AA2" w:rsidRDefault="00145AA2" w:rsidP="0027214A">
      <w:pPr>
        <w:spacing w:after="0" w:line="240" w:lineRule="auto"/>
      </w:pPr>
      <w:r>
        <w:separator/>
      </w:r>
    </w:p>
  </w:footnote>
  <w:footnote w:type="continuationSeparator" w:id="0">
    <w:p w14:paraId="405A352B" w14:textId="77777777" w:rsidR="00145AA2" w:rsidRDefault="00145AA2" w:rsidP="0027214A">
      <w:pPr>
        <w:spacing w:after="0" w:line="240" w:lineRule="auto"/>
      </w:pPr>
      <w:r>
        <w:continuationSeparator/>
      </w:r>
    </w:p>
  </w:footnote>
  <w:footnote w:id="1">
    <w:p w14:paraId="7CD277A4" w14:textId="4F1DD9F7"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2267F">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Marcussen</w:t>
      </w:r>
      <w:r w:rsidRPr="009C1A63">
        <w:rPr>
          <w:rFonts w:ascii="Times New Roman" w:eastAsia="Times New Roman" w:hAnsi="Times New Roman" w:cs="Times New Roman"/>
          <w:sz w:val="20"/>
          <w:szCs w:val="20"/>
          <w:lang w:val="sv-SE" w:eastAsia="sv-SE"/>
        </w:rPr>
        <w:t xml:space="preserve"> (Martin), 2009,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Scientization of Central Banking: The Politics of A-Politicization</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in</w:t>
      </w:r>
      <w:r w:rsidRPr="009C1A63">
        <w:rPr>
          <w:rFonts w:ascii="Times New Roman" w:eastAsia="Times New Roman" w:hAnsi="Times New Roman" w:cs="Times New Roman"/>
          <w:sz w:val="20"/>
          <w:szCs w:val="20"/>
          <w:lang w:val="sv-SE" w:eastAsia="sv-SE"/>
        </w:rPr>
        <w:t xml:space="preserve"> Kenneth Dyson, Martin Marcussen, dir., </w:t>
      </w:r>
      <w:r w:rsidRPr="009C1A63">
        <w:rPr>
          <w:rFonts w:ascii="Times New Roman" w:eastAsia="Times New Roman" w:hAnsi="Times New Roman" w:cs="Times New Roman"/>
          <w:i/>
          <w:sz w:val="20"/>
          <w:szCs w:val="20"/>
          <w:lang w:val="sv-SE" w:eastAsia="sv-SE"/>
        </w:rPr>
        <w:t>Central Banks in the Age of the Euro : Europeanization, Convergence and Power</w:t>
      </w:r>
      <w:r w:rsidRPr="009C1A63">
        <w:rPr>
          <w:rFonts w:ascii="Times New Roman" w:eastAsia="Times New Roman" w:hAnsi="Times New Roman" w:cs="Times New Roman"/>
          <w:sz w:val="20"/>
          <w:szCs w:val="20"/>
          <w:lang w:val="sv-SE" w:eastAsia="sv-SE"/>
        </w:rPr>
        <w:t>, Oxford, Oxford University Press, p. 373-390.</w:t>
      </w:r>
    </w:p>
  </w:footnote>
  <w:footnote w:id="2">
    <w:p w14:paraId="3F31A085" w14:textId="6A635D5A" w:rsidR="00997282" w:rsidRPr="009C1A63" w:rsidRDefault="00997282" w:rsidP="009C1A63">
      <w:pPr>
        <w:spacing w:after="0" w:line="240" w:lineRule="atLeast"/>
        <w:jc w:val="both"/>
        <w:rPr>
          <w:rFonts w:ascii="Times New Roman" w:hAnsi="Times New Roman" w:cs="Times New Roman"/>
          <w:sz w:val="20"/>
          <w:szCs w:val="20"/>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Burnham</w:t>
      </w:r>
      <w:r w:rsidRPr="009C1A63">
        <w:rPr>
          <w:rFonts w:ascii="Times New Roman" w:hAnsi="Times New Roman" w:cs="Times New Roman"/>
          <w:sz w:val="20"/>
          <w:szCs w:val="20"/>
          <w:lang w:val="en-US"/>
        </w:rPr>
        <w:t xml:space="preserve"> (Peter), 2001, « New Labour and the Politics of Depoliticisation », </w:t>
      </w:r>
      <w:r w:rsidRPr="009C1A63">
        <w:rPr>
          <w:rFonts w:ascii="Times New Roman" w:hAnsi="Times New Roman" w:cs="Times New Roman"/>
          <w:i/>
          <w:iCs/>
          <w:sz w:val="20"/>
          <w:szCs w:val="20"/>
          <w:lang w:val="en-US"/>
        </w:rPr>
        <w:t>The British Journal of Politics &amp; International Relations</w:t>
      </w:r>
      <w:r w:rsidRPr="009C1A63">
        <w:rPr>
          <w:rFonts w:ascii="Times New Roman" w:hAnsi="Times New Roman" w:cs="Times New Roman"/>
          <w:sz w:val="20"/>
          <w:szCs w:val="20"/>
          <w:lang w:val="en-US"/>
        </w:rPr>
        <w:t>, 3 (2), p. 127</w:t>
      </w:r>
      <w:r w:rsidRPr="009C1A63">
        <w:rPr>
          <w:rFonts w:ascii="Times New Roman" w:hAnsi="Times New Roman" w:cs="Times New Roman"/>
          <w:sz w:val="20"/>
          <w:szCs w:val="20"/>
          <w:lang w:val="en-US"/>
        </w:rPr>
        <w:noBreakHyphen/>
        <w:t xml:space="preserve">49. </w:t>
      </w:r>
      <w:r w:rsidRPr="009C1A63">
        <w:rPr>
          <w:rFonts w:ascii="Times New Roman" w:eastAsia="Times New Roman" w:hAnsi="Times New Roman" w:cs="Times New Roman"/>
          <w:b/>
          <w:sz w:val="20"/>
          <w:szCs w:val="20"/>
          <w:lang w:val="sv-SE" w:eastAsia="sv-SE"/>
        </w:rPr>
        <w:t>Crouch</w:t>
      </w:r>
      <w:r w:rsidRPr="009C1A63">
        <w:rPr>
          <w:rFonts w:ascii="Times New Roman" w:eastAsia="Times New Roman" w:hAnsi="Times New Roman" w:cs="Times New Roman"/>
          <w:sz w:val="20"/>
          <w:szCs w:val="20"/>
          <w:lang w:val="sv-SE" w:eastAsia="sv-SE"/>
        </w:rPr>
        <w:t xml:space="preserve"> (Colin), 2004, </w:t>
      </w:r>
      <w:r w:rsidRPr="009C1A63">
        <w:rPr>
          <w:rFonts w:ascii="Times New Roman" w:eastAsia="Times New Roman" w:hAnsi="Times New Roman" w:cs="Times New Roman"/>
          <w:i/>
          <w:sz w:val="20"/>
          <w:szCs w:val="20"/>
          <w:lang w:val="sv-SE" w:eastAsia="sv-SE"/>
        </w:rPr>
        <w:t>Post-democracy</w:t>
      </w:r>
      <w:r w:rsidRPr="009C1A63">
        <w:rPr>
          <w:rFonts w:ascii="Times New Roman" w:eastAsia="Times New Roman" w:hAnsi="Times New Roman" w:cs="Times New Roman"/>
          <w:sz w:val="20"/>
          <w:szCs w:val="20"/>
          <w:lang w:val="sv-SE" w:eastAsia="sv-SE"/>
        </w:rPr>
        <w:t>, Cambridge, Polity Press.</w:t>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Hay</w:t>
      </w:r>
      <w:r w:rsidRPr="009C1A63">
        <w:rPr>
          <w:rFonts w:ascii="Times New Roman" w:hAnsi="Times New Roman" w:cs="Times New Roman"/>
          <w:sz w:val="20"/>
          <w:szCs w:val="20"/>
          <w:lang w:val="en-US"/>
        </w:rPr>
        <w:t xml:space="preserve"> (Colin), 2007, </w:t>
      </w:r>
      <w:r w:rsidRPr="009C1A63">
        <w:rPr>
          <w:rFonts w:ascii="Times New Roman" w:hAnsi="Times New Roman" w:cs="Times New Roman"/>
          <w:i/>
          <w:iCs/>
          <w:sz w:val="20"/>
          <w:szCs w:val="20"/>
          <w:lang w:val="en-US"/>
        </w:rPr>
        <w:t>Why we hate politics</w:t>
      </w:r>
      <w:r w:rsidRPr="009C1A63">
        <w:rPr>
          <w:rFonts w:ascii="Times New Roman" w:hAnsi="Times New Roman" w:cs="Times New Roman"/>
          <w:sz w:val="20"/>
          <w:szCs w:val="20"/>
          <w:lang w:val="en-US"/>
        </w:rPr>
        <w:t>, Cambridge, Polity.</w:t>
      </w:r>
    </w:p>
    <w:p w14:paraId="45518B85" w14:textId="77777777" w:rsidR="00997282" w:rsidRPr="009C1A63" w:rsidRDefault="00997282" w:rsidP="0092433C">
      <w:pPr>
        <w:spacing w:after="120" w:line="240" w:lineRule="atLeast"/>
        <w:jc w:val="both"/>
        <w:rPr>
          <w:rFonts w:asciiTheme="majorHAnsi" w:eastAsia="Times New Roman" w:hAnsiTheme="majorHAnsi" w:cs="Times New Roman"/>
          <w:sz w:val="20"/>
          <w:szCs w:val="20"/>
          <w:lang w:val="en-US" w:eastAsia="sv-SE"/>
        </w:rPr>
      </w:pPr>
    </w:p>
    <w:p w14:paraId="1CC7E673" w14:textId="77777777" w:rsidR="00997282" w:rsidRPr="009C1A63" w:rsidRDefault="00997282" w:rsidP="0092433C">
      <w:pPr>
        <w:spacing w:after="120" w:line="240" w:lineRule="atLeast"/>
        <w:jc w:val="both"/>
        <w:rPr>
          <w:rFonts w:asciiTheme="majorHAnsi" w:hAnsiTheme="majorHAnsi"/>
          <w:sz w:val="20"/>
          <w:szCs w:val="20"/>
          <w:lang w:val="sv-SE"/>
        </w:rPr>
      </w:pPr>
    </w:p>
    <w:p w14:paraId="5464B6FB" w14:textId="659CC963" w:rsidR="00997282" w:rsidRPr="009C1A63" w:rsidRDefault="00997282">
      <w:pPr>
        <w:pStyle w:val="Notedebasdepage"/>
        <w:rPr>
          <w:lang w:val="en-US"/>
        </w:rPr>
      </w:pPr>
    </w:p>
  </w:footnote>
  <w:footnote w:id="3">
    <w:p w14:paraId="1B7AF19F" w14:textId="0B05BFDA"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Domanski</w:t>
      </w:r>
      <w:r w:rsidRPr="009C1A63">
        <w:rPr>
          <w:rFonts w:ascii="Times New Roman" w:eastAsia="Times New Roman" w:hAnsi="Times New Roman" w:cs="Times New Roman"/>
          <w:sz w:val="20"/>
          <w:szCs w:val="20"/>
          <w:lang w:val="sv-SE" w:eastAsia="sv-SE"/>
        </w:rPr>
        <w:t xml:space="preserve"> (Dietrich), </w:t>
      </w:r>
      <w:r w:rsidRPr="009C1A63">
        <w:rPr>
          <w:rFonts w:ascii="Times New Roman" w:eastAsia="Times New Roman" w:hAnsi="Times New Roman" w:cs="Times New Roman"/>
          <w:b/>
          <w:sz w:val="20"/>
          <w:szCs w:val="20"/>
          <w:lang w:val="sv-SE" w:eastAsia="sv-SE"/>
        </w:rPr>
        <w:t>Scatigna</w:t>
      </w:r>
      <w:r w:rsidRPr="009C1A63">
        <w:rPr>
          <w:rFonts w:ascii="Times New Roman" w:eastAsia="Times New Roman" w:hAnsi="Times New Roman" w:cs="Times New Roman"/>
          <w:sz w:val="20"/>
          <w:szCs w:val="20"/>
          <w:lang w:val="sv-SE" w:eastAsia="sv-SE"/>
        </w:rPr>
        <w:t xml:space="preserve"> (Michela), </w:t>
      </w:r>
      <w:r w:rsidRPr="009C1A63">
        <w:rPr>
          <w:rFonts w:ascii="Times New Roman" w:eastAsia="Times New Roman" w:hAnsi="Times New Roman" w:cs="Times New Roman"/>
          <w:b/>
          <w:sz w:val="20"/>
          <w:szCs w:val="20"/>
          <w:lang w:val="sv-SE" w:eastAsia="sv-SE"/>
        </w:rPr>
        <w:t>Zabai</w:t>
      </w:r>
      <w:r w:rsidRPr="009C1A63">
        <w:rPr>
          <w:rFonts w:ascii="Times New Roman" w:eastAsia="Times New Roman" w:hAnsi="Times New Roman" w:cs="Times New Roman"/>
          <w:sz w:val="20"/>
          <w:szCs w:val="20"/>
          <w:lang w:val="sv-SE" w:eastAsia="sv-SE"/>
        </w:rPr>
        <w:t xml:space="preserve"> (Anna), 2016,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Wealth Inequality and Monetary Policy</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BIS Quarterly Review</w:t>
      </w:r>
      <w:r w:rsidRPr="009C1A63">
        <w:rPr>
          <w:rFonts w:ascii="Times New Roman" w:eastAsia="Times New Roman" w:hAnsi="Times New Roman" w:cs="Times New Roman"/>
          <w:sz w:val="20"/>
          <w:szCs w:val="20"/>
          <w:lang w:val="sv-SE" w:eastAsia="sv-SE"/>
        </w:rPr>
        <w:t>, march.</w:t>
      </w:r>
    </w:p>
  </w:footnote>
  <w:footnote w:id="4">
    <w:p w14:paraId="7B6E50C1" w14:textId="671EE666" w:rsidR="00997282" w:rsidRPr="009C1A63" w:rsidRDefault="00997282">
      <w:pPr>
        <w:pStyle w:val="Notedebasdepage"/>
        <w:jc w:val="both"/>
        <w:rPr>
          <w:rFonts w:ascii="Times New Roman" w:hAnsi="Times New Roman" w:cs="Times New Roman"/>
        </w:rPr>
      </w:pPr>
      <w:r w:rsidRPr="009C1A63">
        <w:rPr>
          <w:rStyle w:val="Appelnotedebasdep"/>
          <w:rFonts w:ascii="Times New Roman" w:hAnsi="Times New Roman" w:cs="Times New Roman"/>
        </w:rPr>
        <w:footnoteRef/>
      </w:r>
      <w:r w:rsidRPr="009C1A63">
        <w:rPr>
          <w:rFonts w:ascii="Times New Roman" w:hAnsi="Times New Roman" w:cs="Times New Roman"/>
        </w:rPr>
        <w:t xml:space="preserve"> La Troïka est constituée d’agent∙e∙s de la BCE, de la Commission européenne et du Fonds monétaire international (FMI). Ces groupes sont envoyés dans les pays ayant demandé un prêt financier à leurs partenaires pendant la crise de la zone euro pour vérifier que les mesures demandées en conditionnalité du prêt soient mises en œuvre.  </w:t>
      </w:r>
    </w:p>
  </w:footnote>
  <w:footnote w:id="5">
    <w:p w14:paraId="65BD3055" w14:textId="654F26B2" w:rsidR="00997282" w:rsidRPr="00C95CF5" w:rsidRDefault="00997282">
      <w:pPr>
        <w:pStyle w:val="Notedebasdepage"/>
        <w:rPr>
          <w:rFonts w:ascii="Times New Roman" w:hAnsi="Times New Roman" w:cs="Times New Roman"/>
          <w:lang w:val="fr-BE"/>
        </w:rPr>
      </w:pPr>
      <w:r w:rsidRPr="009C1A63">
        <w:rPr>
          <w:rStyle w:val="Appelnotedebasdep"/>
          <w:rFonts w:ascii="Times New Roman" w:hAnsi="Times New Roman" w:cs="Times New Roman"/>
        </w:rPr>
        <w:footnoteRef/>
      </w:r>
      <w:r w:rsidRPr="009C1A63">
        <w:rPr>
          <w:rFonts w:ascii="Times New Roman" w:hAnsi="Times New Roman" w:cs="Times New Roman"/>
          <w:lang w:val="en-US"/>
        </w:rPr>
        <w:t xml:space="preserve"> </w:t>
      </w:r>
      <w:r w:rsidRPr="0053779C">
        <w:rPr>
          <w:rFonts w:ascii="Times New Roman" w:hAnsi="Times New Roman" w:cs="Times New Roman"/>
          <w:b/>
          <w:lang w:val="en-US"/>
        </w:rPr>
        <w:t>Fontan</w:t>
      </w:r>
      <w:r>
        <w:rPr>
          <w:rFonts w:ascii="Times New Roman" w:hAnsi="Times New Roman" w:cs="Times New Roman"/>
          <w:b/>
          <w:lang w:val="en-US"/>
        </w:rPr>
        <w:t xml:space="preserve"> </w:t>
      </w:r>
      <w:r w:rsidRPr="0053779C">
        <w:rPr>
          <w:rFonts w:ascii="Times New Roman" w:hAnsi="Times New Roman" w:cs="Times New Roman"/>
          <w:lang w:val="en-US"/>
        </w:rPr>
        <w:t>(Clément),</w:t>
      </w:r>
      <w:r w:rsidRPr="009C1A63">
        <w:rPr>
          <w:rFonts w:ascii="Times New Roman" w:hAnsi="Times New Roman" w:cs="Times New Roman"/>
          <w:lang w:val="en-US"/>
        </w:rPr>
        <w:t xml:space="preserve"> </w:t>
      </w:r>
      <w:r w:rsidR="000757F4" w:rsidRPr="000757F4">
        <w:rPr>
          <w:rFonts w:ascii="Times New Roman" w:hAnsi="Times New Roman" w:cs="Times New Roman"/>
          <w:lang w:val="en-US"/>
        </w:rPr>
        <w:t>2018</w:t>
      </w:r>
      <w:r w:rsidR="000757F4">
        <w:rPr>
          <w:rFonts w:ascii="Times New Roman" w:hAnsi="Times New Roman" w:cs="Times New Roman"/>
          <w:lang w:val="en-US"/>
        </w:rPr>
        <w:t>,</w:t>
      </w:r>
      <w:r w:rsidR="000757F4" w:rsidRPr="009C1A63">
        <w:rPr>
          <w:rFonts w:ascii="Times New Roman" w:hAnsi="Times New Roman" w:cs="Times New Roman"/>
          <w:lang w:val="en-US"/>
        </w:rPr>
        <w:t xml:space="preserve"> </w:t>
      </w:r>
      <w:r w:rsidRPr="009C1A63">
        <w:rPr>
          <w:rFonts w:ascii="Times New Roman" w:hAnsi="Times New Roman" w:cs="Times New Roman"/>
          <w:lang w:val="en-US"/>
        </w:rPr>
        <w:t xml:space="preserve">“Frankfurt’s double standard: the politics of the European Central Bank during the Eurozone crisis." </w:t>
      </w:r>
      <w:r w:rsidRPr="00C95CF5">
        <w:rPr>
          <w:rFonts w:ascii="Times New Roman" w:hAnsi="Times New Roman" w:cs="Times New Roman"/>
          <w:i/>
          <w:iCs/>
          <w:lang w:val="fr-BE"/>
        </w:rPr>
        <w:t>Cambridge Review of International Affairs</w:t>
      </w:r>
      <w:r w:rsidR="000757F4">
        <w:rPr>
          <w:rFonts w:ascii="Times New Roman" w:hAnsi="Times New Roman" w:cs="Times New Roman"/>
          <w:lang w:val="fr-BE"/>
        </w:rPr>
        <w:t>, vol. 3 (2)</w:t>
      </w:r>
      <w:r w:rsidRPr="00C95CF5">
        <w:rPr>
          <w:rFonts w:ascii="Times New Roman" w:hAnsi="Times New Roman" w:cs="Times New Roman"/>
          <w:lang w:val="fr-BE"/>
        </w:rPr>
        <w:t>, p. 162-182</w:t>
      </w:r>
    </w:p>
  </w:footnote>
  <w:footnote w:id="6">
    <w:p w14:paraId="18F6CA83" w14:textId="43015BCE" w:rsidR="00997282" w:rsidRPr="009C1A63" w:rsidRDefault="00997282">
      <w:pPr>
        <w:pStyle w:val="Notedebasdepage"/>
        <w:rPr>
          <w:rFonts w:ascii="Times New Roman" w:hAnsi="Times New Roman" w:cs="Times New Roman"/>
        </w:rPr>
      </w:pPr>
      <w:r w:rsidRPr="009C1A63">
        <w:rPr>
          <w:rStyle w:val="Appelnotedebasdep"/>
          <w:rFonts w:ascii="Times New Roman" w:hAnsi="Times New Roman" w:cs="Times New Roman"/>
        </w:rPr>
        <w:footnoteRef/>
      </w:r>
      <w:r w:rsidRPr="00C95CF5">
        <w:rPr>
          <w:rFonts w:ascii="Times New Roman" w:hAnsi="Times New Roman" w:cs="Times New Roman"/>
          <w:lang w:val="fr-BE"/>
        </w:rPr>
        <w:t xml:space="preserve"> </w:t>
      </w:r>
      <w:r w:rsidRPr="0053779C">
        <w:rPr>
          <w:rFonts w:ascii="Times New Roman" w:hAnsi="Times New Roman" w:cs="Times New Roman"/>
          <w:b/>
        </w:rPr>
        <w:t>Fontan</w:t>
      </w:r>
      <w:r w:rsidRPr="009C1A63">
        <w:rPr>
          <w:rFonts w:ascii="Times New Roman" w:eastAsia="Times New Roman" w:hAnsi="Times New Roman" w:cs="Times New Roman"/>
          <w:lang w:val="sv-SE" w:eastAsia="sv-SE"/>
        </w:rPr>
        <w:t xml:space="preserve"> </w:t>
      </w:r>
      <w:r>
        <w:rPr>
          <w:rFonts w:ascii="Times New Roman" w:eastAsia="Times New Roman" w:hAnsi="Times New Roman" w:cs="Times New Roman"/>
          <w:lang w:val="sv-SE" w:eastAsia="sv-SE"/>
        </w:rPr>
        <w:t xml:space="preserve">(Clément), </w:t>
      </w:r>
      <w:r w:rsidR="000757F4" w:rsidRPr="009C1A63">
        <w:rPr>
          <w:rFonts w:ascii="Times New Roman" w:eastAsia="Times New Roman" w:hAnsi="Times New Roman" w:cs="Times New Roman"/>
          <w:lang w:val="sv-SE" w:eastAsia="sv-SE"/>
        </w:rPr>
        <w:t>2013</w:t>
      </w:r>
      <w:r w:rsidR="000757F4">
        <w:rPr>
          <w:rFonts w:ascii="Times New Roman" w:eastAsia="Times New Roman" w:hAnsi="Times New Roman" w:cs="Times New Roman"/>
          <w:lang w:val="sv-SE" w:eastAsia="sv-SE"/>
        </w:rPr>
        <w:t>,</w:t>
      </w:r>
      <w:r w:rsidR="000757F4" w:rsidRPr="009C1A63">
        <w:rPr>
          <w:rFonts w:ascii="Times New Roman" w:hAnsi="Times New Roman" w:cs="Times New Roman"/>
          <w:lang w:val="fr-FR"/>
        </w:rPr>
        <w:t xml:space="preserve"> </w:t>
      </w:r>
      <w:r w:rsidRPr="009C1A63">
        <w:rPr>
          <w:rFonts w:ascii="Times New Roman" w:hAnsi="Times New Roman" w:cs="Times New Roman"/>
          <w:lang w:val="fr-FR"/>
        </w:rPr>
        <w:t>« </w:t>
      </w:r>
      <w:r w:rsidRPr="009C1A63">
        <w:rPr>
          <w:rFonts w:ascii="Times New Roman" w:eastAsia="Times New Roman" w:hAnsi="Times New Roman" w:cs="Times New Roman"/>
          <w:lang w:val="sv-SE" w:eastAsia="sv-SE"/>
        </w:rPr>
        <w:t>Frankenstein en Europe. L’impact de la Banque centrale européenne sur la gestion de la crise de la zone euro</w:t>
      </w:r>
      <w:r w:rsidRPr="009C1A63">
        <w:rPr>
          <w:rFonts w:ascii="Times New Roman" w:hAnsi="Times New Roman" w:cs="Times New Roman"/>
          <w:lang w:val="fr-FR"/>
        </w:rPr>
        <w:t> »,</w:t>
      </w:r>
      <w:r w:rsidRPr="009C1A63">
        <w:rPr>
          <w:rFonts w:ascii="Times New Roman" w:eastAsia="Times New Roman" w:hAnsi="Times New Roman" w:cs="Times New Roman"/>
          <w:lang w:val="sv-SE" w:eastAsia="sv-SE"/>
        </w:rPr>
        <w:t xml:space="preserve"> </w:t>
      </w:r>
      <w:r w:rsidRPr="009C1A63">
        <w:rPr>
          <w:rFonts w:ascii="Times New Roman" w:eastAsia="Times New Roman" w:hAnsi="Times New Roman" w:cs="Times New Roman"/>
          <w:i/>
          <w:lang w:val="sv-SE" w:eastAsia="sv-SE"/>
        </w:rPr>
        <w:t>Politique européenne</w:t>
      </w:r>
      <w:r w:rsidR="000757F4">
        <w:rPr>
          <w:rFonts w:ascii="Times New Roman" w:eastAsia="Times New Roman" w:hAnsi="Times New Roman" w:cs="Times New Roman"/>
          <w:lang w:val="sv-SE" w:eastAsia="sv-SE"/>
        </w:rPr>
        <w:t>, n°42</w:t>
      </w:r>
      <w:r w:rsidRPr="009C1A63">
        <w:rPr>
          <w:rFonts w:ascii="Times New Roman" w:eastAsia="Times New Roman" w:hAnsi="Times New Roman" w:cs="Times New Roman"/>
          <w:lang w:val="sv-SE" w:eastAsia="sv-SE"/>
        </w:rPr>
        <w:t xml:space="preserve">, p. 22-45. </w:t>
      </w:r>
    </w:p>
  </w:footnote>
  <w:footnote w:id="7">
    <w:p w14:paraId="1B3B63B1" w14:textId="07D820AD" w:rsidR="00997282" w:rsidRPr="009C1A63" w:rsidRDefault="00997282" w:rsidP="009C1A63">
      <w:pPr>
        <w:spacing w:after="0" w:line="240" w:lineRule="atLeast"/>
        <w:jc w:val="both"/>
        <w:rPr>
          <w:rFonts w:ascii="Times New Roman" w:eastAsia="Times New Roman" w:hAnsi="Times New Roman" w:cs="Times New Roman"/>
          <w:sz w:val="20"/>
          <w:szCs w:val="20"/>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Streeck</w:t>
      </w:r>
      <w:r w:rsidRPr="009C1A63">
        <w:rPr>
          <w:rFonts w:ascii="Times New Roman" w:eastAsia="Times New Roman" w:hAnsi="Times New Roman" w:cs="Times New Roman"/>
          <w:sz w:val="20"/>
          <w:szCs w:val="20"/>
          <w:lang w:val="sv-SE" w:eastAsia="sv-SE"/>
        </w:rPr>
        <w:t xml:space="preserve"> (Wolfgang), </w:t>
      </w:r>
      <w:r w:rsidRPr="009C1A63">
        <w:rPr>
          <w:rFonts w:ascii="Times New Roman" w:eastAsia="Times New Roman" w:hAnsi="Times New Roman" w:cs="Times New Roman"/>
          <w:b/>
          <w:sz w:val="20"/>
          <w:szCs w:val="20"/>
          <w:lang w:val="sv-SE" w:eastAsia="sv-SE"/>
        </w:rPr>
        <w:t>Schäfer</w:t>
      </w:r>
      <w:r w:rsidRPr="009C1A63">
        <w:rPr>
          <w:rFonts w:ascii="Times New Roman" w:eastAsia="Times New Roman" w:hAnsi="Times New Roman" w:cs="Times New Roman"/>
          <w:sz w:val="20"/>
          <w:szCs w:val="20"/>
          <w:lang w:val="sv-SE" w:eastAsia="sv-SE"/>
        </w:rPr>
        <w:t xml:space="preserve"> (Armin), dir., 2013, </w:t>
      </w:r>
      <w:r w:rsidRPr="009C1A63">
        <w:rPr>
          <w:rFonts w:ascii="Times New Roman" w:eastAsia="Times New Roman" w:hAnsi="Times New Roman" w:cs="Times New Roman"/>
          <w:i/>
          <w:sz w:val="20"/>
          <w:szCs w:val="20"/>
          <w:lang w:val="sv-SE" w:eastAsia="sv-SE"/>
        </w:rPr>
        <w:t>Politics in the Age of Austerity</w:t>
      </w:r>
      <w:r w:rsidRPr="009C1A63">
        <w:rPr>
          <w:rFonts w:ascii="Times New Roman" w:eastAsia="Times New Roman" w:hAnsi="Times New Roman" w:cs="Times New Roman"/>
          <w:sz w:val="20"/>
          <w:szCs w:val="20"/>
          <w:lang w:val="sv-SE" w:eastAsia="sv-SE"/>
        </w:rPr>
        <w:t>, Cambridge, Polity Press.</w:t>
      </w:r>
      <w:r w:rsidRPr="00FC024F">
        <w:rPr>
          <w:rFonts w:ascii="Times New Roman" w:hAnsi="Times New Roman" w:cs="Times New Roman"/>
          <w:b/>
          <w:sz w:val="20"/>
          <w:szCs w:val="20"/>
          <w:lang w:val="en-US"/>
        </w:rPr>
        <w:t xml:space="preserve"> </w:t>
      </w:r>
      <w:r w:rsidRPr="009C1A63">
        <w:rPr>
          <w:rFonts w:ascii="Times New Roman" w:hAnsi="Times New Roman" w:cs="Times New Roman"/>
          <w:b/>
          <w:sz w:val="20"/>
          <w:szCs w:val="20"/>
          <w:lang w:val="en-US"/>
        </w:rPr>
        <w:t>Curtin</w:t>
      </w:r>
      <w:r w:rsidRPr="009C1A63">
        <w:rPr>
          <w:rFonts w:ascii="Times New Roman" w:hAnsi="Times New Roman" w:cs="Times New Roman"/>
          <w:sz w:val="20"/>
          <w:szCs w:val="20"/>
          <w:lang w:val="en-US"/>
        </w:rPr>
        <w:t xml:space="preserve"> (Deirdre), 2017, « ‘Accountable Independence’ of the European Central Bank: Seeing the Logics of Transparency », </w:t>
      </w:r>
      <w:r w:rsidRPr="009C1A63">
        <w:rPr>
          <w:rFonts w:ascii="Times New Roman" w:hAnsi="Times New Roman" w:cs="Times New Roman"/>
          <w:i/>
          <w:iCs/>
          <w:sz w:val="20"/>
          <w:szCs w:val="20"/>
          <w:lang w:val="en-US"/>
        </w:rPr>
        <w:t>European Law Journal</w:t>
      </w:r>
      <w:r w:rsidRPr="009C1A63">
        <w:rPr>
          <w:rFonts w:ascii="Times New Roman" w:hAnsi="Times New Roman" w:cs="Times New Roman"/>
          <w:sz w:val="20"/>
          <w:szCs w:val="20"/>
          <w:lang w:val="en-US"/>
        </w:rPr>
        <w:t>, 23 (1</w:t>
      </w:r>
      <w:r w:rsidRPr="009C1A63">
        <w:rPr>
          <w:rFonts w:ascii="Times New Roman" w:hAnsi="Times New Roman" w:cs="Times New Roman"/>
          <w:sz w:val="20"/>
          <w:szCs w:val="20"/>
          <w:lang w:val="en-US"/>
        </w:rPr>
        <w:noBreakHyphen/>
        <w:t>2), p. 28</w:t>
      </w:r>
      <w:r w:rsidRPr="009C1A63">
        <w:rPr>
          <w:rFonts w:ascii="Times New Roman" w:hAnsi="Times New Roman" w:cs="Times New Roman"/>
          <w:sz w:val="20"/>
          <w:szCs w:val="20"/>
          <w:lang w:val="en-US"/>
        </w:rPr>
        <w:noBreakHyphen/>
        <w:t xml:space="preserve">44. </w:t>
      </w:r>
      <w:r w:rsidRPr="009C1A63">
        <w:rPr>
          <w:rFonts w:ascii="Times New Roman" w:hAnsi="Times New Roman" w:cs="Times New Roman"/>
          <w:b/>
          <w:sz w:val="20"/>
          <w:szCs w:val="20"/>
          <w:lang w:val="fr-BE"/>
        </w:rPr>
        <w:t>Della Porta</w:t>
      </w:r>
      <w:r w:rsidRPr="009C1A63">
        <w:rPr>
          <w:rFonts w:ascii="Times New Roman" w:hAnsi="Times New Roman" w:cs="Times New Roman"/>
          <w:sz w:val="20"/>
          <w:szCs w:val="20"/>
          <w:lang w:val="fr-BE"/>
        </w:rPr>
        <w:t xml:space="preserve">  (Donatella), </w:t>
      </w:r>
      <w:r w:rsidRPr="009C1A63">
        <w:rPr>
          <w:rFonts w:ascii="Times New Roman" w:hAnsi="Times New Roman" w:cs="Times New Roman"/>
          <w:b/>
          <w:sz w:val="20"/>
          <w:szCs w:val="20"/>
          <w:lang w:val="fr-BE"/>
        </w:rPr>
        <w:t>Parks</w:t>
      </w:r>
      <w:r w:rsidRPr="009C1A63">
        <w:rPr>
          <w:rFonts w:ascii="Times New Roman" w:hAnsi="Times New Roman" w:cs="Times New Roman"/>
          <w:sz w:val="20"/>
          <w:szCs w:val="20"/>
          <w:lang w:val="fr-BE"/>
        </w:rPr>
        <w:t xml:space="preserve"> (Louisa), 2018, « Social Movements, the European Crisis, and EU Political Opportunities », </w:t>
      </w:r>
      <w:r w:rsidRPr="009C1A63">
        <w:rPr>
          <w:rFonts w:ascii="Times New Roman" w:hAnsi="Times New Roman" w:cs="Times New Roman"/>
          <w:i/>
          <w:iCs/>
          <w:sz w:val="20"/>
          <w:szCs w:val="20"/>
          <w:lang w:val="fr-BE"/>
        </w:rPr>
        <w:t>Comparative European Politics</w:t>
      </w:r>
      <w:r w:rsidRPr="009C1A63">
        <w:rPr>
          <w:rFonts w:ascii="Times New Roman" w:hAnsi="Times New Roman" w:cs="Times New Roman"/>
          <w:sz w:val="20"/>
          <w:szCs w:val="20"/>
          <w:lang w:val="fr-BE"/>
        </w:rPr>
        <w:t>, 16 (1), p. 85-102.</w:t>
      </w:r>
    </w:p>
    <w:p w14:paraId="5EB4810C" w14:textId="77777777" w:rsidR="00997282" w:rsidRPr="009C1A63" w:rsidRDefault="00997282" w:rsidP="0092433C">
      <w:pPr>
        <w:spacing w:after="120" w:line="240" w:lineRule="atLeast"/>
        <w:jc w:val="both"/>
        <w:rPr>
          <w:rFonts w:asciiTheme="majorHAnsi" w:hAnsiTheme="majorHAnsi"/>
          <w:sz w:val="20"/>
          <w:szCs w:val="20"/>
          <w:lang w:val="fr-BE"/>
        </w:rPr>
      </w:pPr>
    </w:p>
    <w:p w14:paraId="199FCBA5" w14:textId="77777777" w:rsidR="00997282" w:rsidRPr="009C1A63" w:rsidRDefault="00997282" w:rsidP="0092433C">
      <w:pPr>
        <w:spacing w:after="120" w:line="240" w:lineRule="atLeast"/>
        <w:jc w:val="both"/>
        <w:rPr>
          <w:rFonts w:asciiTheme="majorHAnsi" w:eastAsia="Times New Roman" w:hAnsiTheme="majorHAnsi" w:cs="Times New Roman"/>
          <w:sz w:val="20"/>
          <w:szCs w:val="20"/>
          <w:lang w:val="fr-BE" w:eastAsia="sv-SE"/>
        </w:rPr>
      </w:pPr>
    </w:p>
    <w:p w14:paraId="634B6E97" w14:textId="777021F9" w:rsidR="00997282" w:rsidRPr="009C1A63" w:rsidRDefault="00997282">
      <w:pPr>
        <w:pStyle w:val="Notedebasdepage"/>
        <w:rPr>
          <w:lang w:val="sv-SE"/>
        </w:rPr>
      </w:pPr>
    </w:p>
  </w:footnote>
  <w:footnote w:id="8">
    <w:p w14:paraId="0D600891" w14:textId="27F6D512" w:rsidR="00997282" w:rsidRPr="009C1A63" w:rsidRDefault="00997282" w:rsidP="009C1A63">
      <w:pPr>
        <w:spacing w:after="0" w:line="240" w:lineRule="atLeast"/>
        <w:jc w:val="both"/>
        <w:rPr>
          <w:rFonts w:ascii="Times New Roman" w:hAnsi="Times New Roman" w:cs="Times New Roman"/>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rPr>
        <w:t xml:space="preserve"> </w:t>
      </w:r>
      <w:r w:rsidRPr="009C1A63">
        <w:rPr>
          <w:rFonts w:ascii="Times New Roman" w:hAnsi="Times New Roman" w:cs="Times New Roman"/>
          <w:b/>
          <w:sz w:val="20"/>
          <w:szCs w:val="20"/>
        </w:rPr>
        <w:t>Vauchez</w:t>
      </w:r>
      <w:r w:rsidRPr="009C1A63">
        <w:rPr>
          <w:rFonts w:ascii="Times New Roman" w:hAnsi="Times New Roman" w:cs="Times New Roman"/>
          <w:sz w:val="20"/>
          <w:szCs w:val="20"/>
        </w:rPr>
        <w:t xml:space="preserve"> (Antoine), 2014, </w:t>
      </w:r>
      <w:r w:rsidRPr="009C1A63">
        <w:rPr>
          <w:rFonts w:ascii="Times New Roman" w:hAnsi="Times New Roman" w:cs="Times New Roman"/>
          <w:i/>
          <w:iCs/>
          <w:sz w:val="20"/>
          <w:szCs w:val="20"/>
        </w:rPr>
        <w:t>Démocratiser l’Europe</w:t>
      </w:r>
      <w:r w:rsidRPr="009C1A63">
        <w:rPr>
          <w:rFonts w:ascii="Times New Roman" w:hAnsi="Times New Roman" w:cs="Times New Roman"/>
          <w:sz w:val="20"/>
          <w:szCs w:val="20"/>
        </w:rPr>
        <w:t>, Paris, Seuil.</w:t>
      </w:r>
    </w:p>
  </w:footnote>
  <w:footnote w:id="9">
    <w:p w14:paraId="32B701A1" w14:textId="77777777" w:rsidR="00997282" w:rsidRPr="009C1A63" w:rsidRDefault="00997282">
      <w:pPr>
        <w:pStyle w:val="Notedebasdepage"/>
        <w:jc w:val="both"/>
        <w:rPr>
          <w:rFonts w:ascii="Times New Roman" w:hAnsi="Times New Roman" w:cs="Times New Roman"/>
        </w:rPr>
      </w:pPr>
      <w:r w:rsidRPr="009C1A63">
        <w:rPr>
          <w:rStyle w:val="Appelnotedebasdep"/>
          <w:rFonts w:ascii="Times New Roman" w:hAnsi="Times New Roman" w:cs="Times New Roman"/>
        </w:rPr>
        <w:footnoteRef/>
      </w:r>
      <w:r w:rsidRPr="009C1A63">
        <w:rPr>
          <w:rFonts w:ascii="Times New Roman" w:hAnsi="Times New Roman" w:cs="Times New Roman"/>
        </w:rPr>
        <w:t xml:space="preserve"> L’éthique financière est une branche de l’éthique appliquée qui s’intéresse à la finance en y appliquant des concepts de justice sociale.</w:t>
      </w:r>
    </w:p>
  </w:footnote>
  <w:footnote w:id="10">
    <w:p w14:paraId="2D856CD2" w14:textId="066FC412" w:rsidR="00997282" w:rsidRPr="009C1A63" w:rsidRDefault="00997282">
      <w:pPr>
        <w:pStyle w:val="Notedebasdepage"/>
        <w:jc w:val="both"/>
        <w:rPr>
          <w:rFonts w:ascii="Times New Roman" w:hAnsi="Times New Roman" w:cs="Times New Roman"/>
        </w:rPr>
      </w:pPr>
      <w:r w:rsidRPr="009C1A63">
        <w:rPr>
          <w:rStyle w:val="Appelnotedebasdep"/>
          <w:rFonts w:ascii="Times New Roman" w:hAnsi="Times New Roman" w:cs="Times New Roman"/>
        </w:rPr>
        <w:footnoteRef/>
      </w:r>
      <w:r w:rsidRPr="009C1A63">
        <w:rPr>
          <w:rFonts w:ascii="Times New Roman" w:hAnsi="Times New Roman" w:cs="Times New Roman"/>
        </w:rPr>
        <w:t xml:space="preserve"> </w:t>
      </w:r>
      <w:r w:rsidRPr="009C1A63">
        <w:rPr>
          <w:rFonts w:ascii="Times New Roman" w:hAnsi="Times New Roman" w:cs="Times New Roman"/>
          <w:lang w:val="fr-BE"/>
        </w:rPr>
        <w:t xml:space="preserve">Le Conseil des gouverneurs regroupe les gouverneurs des banques centrales nationales de la zone euro et les six membres du directoires, l’organe exécutif de la BCE. Le directoire dispose d’une autorité </w:t>
      </w:r>
      <w:r w:rsidRPr="009C1A63">
        <w:rPr>
          <w:rFonts w:ascii="Times New Roman" w:hAnsi="Times New Roman" w:cs="Times New Roman"/>
          <w:i/>
          <w:lang w:val="fr-BE"/>
        </w:rPr>
        <w:t>de facto</w:t>
      </w:r>
      <w:r w:rsidRPr="009C1A63">
        <w:rPr>
          <w:rFonts w:ascii="Times New Roman" w:hAnsi="Times New Roman" w:cs="Times New Roman"/>
          <w:lang w:val="fr-BE"/>
        </w:rPr>
        <w:t xml:space="preserve"> dans la formulation de la politique monétaire de la BCE.</w:t>
      </w:r>
    </w:p>
  </w:footnote>
  <w:footnote w:id="11">
    <w:p w14:paraId="101E197C" w14:textId="4EADAA9E"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Best</w:t>
      </w:r>
      <w:r w:rsidRPr="009C1A63">
        <w:rPr>
          <w:rFonts w:ascii="Times New Roman" w:hAnsi="Times New Roman" w:cs="Times New Roman"/>
          <w:sz w:val="20"/>
          <w:szCs w:val="20"/>
          <w:lang w:val="en-US"/>
        </w:rPr>
        <w:t xml:space="preserve"> (Jacqueline), 2016, « Rethinking Central Bank Accountability in Uncertain Times », </w:t>
      </w:r>
      <w:r w:rsidRPr="009C1A63">
        <w:rPr>
          <w:rFonts w:ascii="Times New Roman" w:hAnsi="Times New Roman" w:cs="Times New Roman"/>
          <w:i/>
          <w:iCs/>
          <w:sz w:val="20"/>
          <w:szCs w:val="20"/>
          <w:lang w:val="en-US"/>
        </w:rPr>
        <w:t>Ethics &amp; International Affairs</w:t>
      </w:r>
      <w:r w:rsidRPr="009C1A63">
        <w:rPr>
          <w:rFonts w:ascii="Times New Roman" w:hAnsi="Times New Roman" w:cs="Times New Roman"/>
          <w:sz w:val="20"/>
          <w:szCs w:val="20"/>
          <w:lang w:val="en-US"/>
        </w:rPr>
        <w:t>, 30 (2), p. 215–232.</w:t>
      </w:r>
      <w:r>
        <w:rPr>
          <w:rFonts w:ascii="Times New Roman" w:hAnsi="Times New Roman" w:cs="Times New Roman"/>
          <w:sz w:val="20"/>
          <w:szCs w:val="20"/>
          <w:lang w:val="en-US"/>
        </w:rPr>
        <w:t xml:space="preserve"> </w:t>
      </w:r>
      <w:r w:rsidRPr="00997282">
        <w:rPr>
          <w:rFonts w:ascii="Times New Roman" w:hAnsi="Times New Roman" w:cs="Times New Roman"/>
          <w:b/>
          <w:sz w:val="20"/>
          <w:szCs w:val="20"/>
          <w:lang w:val="en-US"/>
        </w:rPr>
        <w:t>Dietsch</w:t>
      </w:r>
      <w:r w:rsidRPr="00997282">
        <w:rPr>
          <w:rFonts w:ascii="Times New Roman" w:hAnsi="Times New Roman" w:cs="Times New Roman"/>
          <w:sz w:val="20"/>
          <w:szCs w:val="20"/>
          <w:lang w:val="en-US"/>
        </w:rPr>
        <w:t xml:space="preserve"> (Peter), </w:t>
      </w:r>
      <w:r w:rsidRPr="00997282">
        <w:rPr>
          <w:rFonts w:ascii="Times New Roman" w:hAnsi="Times New Roman" w:cs="Times New Roman"/>
          <w:b/>
          <w:sz w:val="20"/>
          <w:szCs w:val="20"/>
          <w:lang w:val="en-US"/>
        </w:rPr>
        <w:t>Claveau</w:t>
      </w:r>
      <w:r w:rsidRPr="00997282">
        <w:rPr>
          <w:rFonts w:ascii="Times New Roman" w:hAnsi="Times New Roman" w:cs="Times New Roman"/>
          <w:sz w:val="20"/>
          <w:szCs w:val="20"/>
          <w:lang w:val="en-US"/>
        </w:rPr>
        <w:t xml:space="preserve"> (François), </w:t>
      </w:r>
      <w:r w:rsidRPr="00997282">
        <w:rPr>
          <w:rFonts w:ascii="Times New Roman" w:hAnsi="Times New Roman" w:cs="Times New Roman"/>
          <w:b/>
          <w:sz w:val="20"/>
          <w:szCs w:val="20"/>
          <w:lang w:val="en-US"/>
        </w:rPr>
        <w:t>Fontan</w:t>
      </w:r>
      <w:r w:rsidRPr="00997282">
        <w:rPr>
          <w:rFonts w:ascii="Times New Roman" w:hAnsi="Times New Roman" w:cs="Times New Roman"/>
          <w:sz w:val="20"/>
          <w:szCs w:val="20"/>
          <w:lang w:val="en-US"/>
        </w:rPr>
        <w:t xml:space="preserve"> (Clément), 2018, </w:t>
      </w:r>
      <w:r w:rsidRPr="00997282">
        <w:rPr>
          <w:rFonts w:ascii="Times New Roman" w:hAnsi="Times New Roman" w:cs="Times New Roman"/>
          <w:i/>
          <w:iCs/>
          <w:sz w:val="20"/>
          <w:szCs w:val="20"/>
          <w:lang w:val="en-US"/>
        </w:rPr>
        <w:t xml:space="preserve">Do Central Banks Serve The </w:t>
      </w:r>
      <w:r w:rsidRPr="00DA24D6">
        <w:rPr>
          <w:rFonts w:ascii="Times New Roman" w:hAnsi="Times New Roman" w:cs="Times New Roman"/>
          <w:i/>
          <w:iCs/>
          <w:sz w:val="20"/>
          <w:szCs w:val="20"/>
          <w:lang w:val="en-US"/>
        </w:rPr>
        <w:t>People</w:t>
      </w:r>
      <w:r w:rsidR="00541971" w:rsidRPr="00DA24D6">
        <w:rPr>
          <w:rFonts w:ascii="Times New Roman" w:hAnsi="Times New Roman" w:cs="Times New Roman"/>
          <w:i/>
          <w:iCs/>
          <w:sz w:val="20"/>
          <w:szCs w:val="20"/>
          <w:lang w:val="en-US"/>
        </w:rPr>
        <w:t>?</w:t>
      </w:r>
      <w:r w:rsidR="00541971">
        <w:rPr>
          <w:rFonts w:ascii="Times New Roman" w:hAnsi="Times New Roman" w:cs="Times New Roman"/>
          <w:i/>
          <w:iCs/>
          <w:sz w:val="20"/>
          <w:szCs w:val="20"/>
          <w:lang w:val="en-US"/>
        </w:rPr>
        <w:t>,</w:t>
      </w:r>
      <w:r w:rsidRPr="00997282">
        <w:rPr>
          <w:rFonts w:ascii="Times New Roman" w:hAnsi="Times New Roman" w:cs="Times New Roman"/>
          <w:sz w:val="20"/>
          <w:szCs w:val="20"/>
          <w:lang w:val="en-US"/>
        </w:rPr>
        <w:t xml:space="preserve"> Cambrige, Polity</w:t>
      </w:r>
    </w:p>
  </w:footnote>
  <w:footnote w:id="12">
    <w:p w14:paraId="1C0A386E" w14:textId="0FA87B97" w:rsidR="00997282" w:rsidRPr="009C1A63" w:rsidRDefault="00997282" w:rsidP="009C1A63">
      <w:pPr>
        <w:spacing w:after="120" w:line="240" w:lineRule="atLeast"/>
        <w:jc w:val="both"/>
        <w:rPr>
          <w:rFonts w:asciiTheme="majorHAnsi" w:eastAsia="Times New Roman" w:hAnsiTheme="majorHAnsi"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Group of Thirty</w:t>
      </w:r>
      <w:r w:rsidRPr="009C1A63">
        <w:rPr>
          <w:rFonts w:ascii="Times New Roman" w:eastAsia="Times New Roman" w:hAnsi="Times New Roman" w:cs="Times New Roman"/>
          <w:sz w:val="20"/>
          <w:szCs w:val="20"/>
          <w:lang w:val="sv-SE" w:eastAsia="sv-SE"/>
        </w:rPr>
        <w:t xml:space="preserve">, dir., 2015, </w:t>
      </w:r>
      <w:r w:rsidRPr="009C1A63">
        <w:rPr>
          <w:rFonts w:ascii="Times New Roman" w:eastAsia="Times New Roman" w:hAnsi="Times New Roman" w:cs="Times New Roman"/>
          <w:i/>
          <w:sz w:val="20"/>
          <w:szCs w:val="20"/>
          <w:lang w:val="sv-SE" w:eastAsia="sv-SE"/>
        </w:rPr>
        <w:t>Fundamentals of central banking: lessons from the crisis</w:t>
      </w:r>
      <w:r w:rsidRPr="009C1A63">
        <w:rPr>
          <w:rFonts w:ascii="Times New Roman" w:eastAsia="Times New Roman" w:hAnsi="Times New Roman" w:cs="Times New Roman"/>
          <w:sz w:val="20"/>
          <w:szCs w:val="20"/>
          <w:lang w:val="sv-SE" w:eastAsia="sv-SE"/>
        </w:rPr>
        <w:t>, Washington DC, G30,</w:t>
      </w:r>
      <w:r w:rsidRPr="009C1A63">
        <w:rPr>
          <w:rFonts w:ascii="Times New Roman" w:hAnsi="Times New Roman" w:cs="Times New Roman"/>
          <w:sz w:val="20"/>
          <w:szCs w:val="20"/>
          <w:lang w:val="en-US"/>
        </w:rPr>
        <w:t xml:space="preserve"> p. 83</w:t>
      </w:r>
      <w:r w:rsidRPr="009C1A63">
        <w:rPr>
          <w:rFonts w:ascii="Times New Roman" w:eastAsia="Times New Roman" w:hAnsi="Times New Roman" w:cs="Times New Roman"/>
          <w:sz w:val="20"/>
          <w:szCs w:val="20"/>
          <w:lang w:val="sv-SE" w:eastAsia="sv-SE"/>
        </w:rPr>
        <w:t>.</w:t>
      </w:r>
      <w:r>
        <w:rPr>
          <w:rFonts w:ascii="Times New Roman" w:eastAsia="Times New Roman" w:hAnsi="Times New Roman" w:cs="Times New Roman"/>
          <w:sz w:val="20"/>
          <w:szCs w:val="20"/>
          <w:lang w:val="sv-SE" w:eastAsia="sv-SE"/>
        </w:rPr>
        <w:t xml:space="preserve"> </w:t>
      </w:r>
      <w:r w:rsidRPr="009C1A63">
        <w:rPr>
          <w:rFonts w:ascii="Times New Roman" w:hAnsi="Times New Roman" w:cs="Times New Roman"/>
          <w:sz w:val="20"/>
          <w:szCs w:val="20"/>
        </w:rPr>
        <w:t>Le groupe des Trente est un think-tank constitué d’anciens et d’actuels banquiers centraux, de financiers et d’académiques où siègent l’ancien et l’actuel président de la BCE.</w:t>
      </w:r>
    </w:p>
  </w:footnote>
  <w:footnote w:id="13">
    <w:p w14:paraId="6C102D12" w14:textId="489E15B9" w:rsidR="00997282" w:rsidRPr="0053779C" w:rsidRDefault="00997282"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Majone</w:t>
      </w:r>
      <w:r w:rsidRPr="0053779C">
        <w:rPr>
          <w:rFonts w:ascii="Times New Roman" w:hAnsi="Times New Roman" w:cs="Times New Roman"/>
          <w:sz w:val="20"/>
          <w:szCs w:val="20"/>
          <w:lang w:val="en-US"/>
        </w:rPr>
        <w:t xml:space="preserve"> (Giandomenico), 1996, </w:t>
      </w:r>
      <w:r w:rsidRPr="0053779C">
        <w:rPr>
          <w:rFonts w:ascii="Times New Roman" w:hAnsi="Times New Roman" w:cs="Times New Roman"/>
          <w:i/>
          <w:iCs/>
          <w:sz w:val="20"/>
          <w:szCs w:val="20"/>
          <w:lang w:val="en-US"/>
        </w:rPr>
        <w:t>Regulating Europe</w:t>
      </w:r>
      <w:r w:rsidRPr="0053779C">
        <w:rPr>
          <w:rFonts w:ascii="Times New Roman" w:hAnsi="Times New Roman" w:cs="Times New Roman"/>
          <w:sz w:val="20"/>
          <w:szCs w:val="20"/>
          <w:lang w:val="en-US"/>
        </w:rPr>
        <w:t xml:space="preserve">, Londres, Routledge. </w:t>
      </w:r>
      <w:r w:rsidRPr="0053779C">
        <w:rPr>
          <w:rFonts w:ascii="Times New Roman" w:hAnsi="Times New Roman" w:cs="Times New Roman"/>
          <w:b/>
          <w:sz w:val="20"/>
          <w:szCs w:val="20"/>
          <w:lang w:val="en-US"/>
        </w:rPr>
        <w:t>Scharpf</w:t>
      </w:r>
      <w:r w:rsidRPr="0053779C">
        <w:rPr>
          <w:rFonts w:ascii="Times New Roman" w:hAnsi="Times New Roman" w:cs="Times New Roman"/>
          <w:sz w:val="20"/>
          <w:szCs w:val="20"/>
          <w:lang w:val="en-US"/>
        </w:rPr>
        <w:t xml:space="preserve"> (Fritz W.), 1997, « Economic integration, democracy and the welfare state », </w:t>
      </w:r>
      <w:r w:rsidRPr="0053779C">
        <w:rPr>
          <w:rFonts w:ascii="Times New Roman" w:hAnsi="Times New Roman" w:cs="Times New Roman"/>
          <w:i/>
          <w:iCs/>
          <w:sz w:val="20"/>
          <w:szCs w:val="20"/>
          <w:lang w:val="en-US"/>
        </w:rPr>
        <w:t>Journal of European Public Policy</w:t>
      </w:r>
      <w:r w:rsidRPr="0053779C">
        <w:rPr>
          <w:rFonts w:ascii="Times New Roman" w:hAnsi="Times New Roman" w:cs="Times New Roman"/>
          <w:sz w:val="20"/>
          <w:szCs w:val="20"/>
          <w:lang w:val="en-US"/>
        </w:rPr>
        <w:t xml:space="preserve">, 4 (1), p. 18–36. </w:t>
      </w:r>
      <w:r w:rsidRPr="0053779C">
        <w:rPr>
          <w:rFonts w:ascii="Times New Roman" w:eastAsia="Times New Roman" w:hAnsi="Times New Roman" w:cs="Times New Roman"/>
          <w:b/>
          <w:sz w:val="20"/>
          <w:szCs w:val="20"/>
          <w:lang w:val="sv-SE" w:eastAsia="sv-SE"/>
        </w:rPr>
        <w:t>Elgie</w:t>
      </w:r>
      <w:r w:rsidRPr="0053779C">
        <w:rPr>
          <w:rFonts w:ascii="Times New Roman" w:eastAsia="Times New Roman" w:hAnsi="Times New Roman" w:cs="Times New Roman"/>
          <w:sz w:val="20"/>
          <w:szCs w:val="20"/>
          <w:lang w:val="sv-SE" w:eastAsia="sv-SE"/>
        </w:rPr>
        <w:t xml:space="preserve"> (Robert), 2002,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The politics of the European Central Bank: principal-agent theory and the democratic deficit</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Journal of European Public Policy</w:t>
      </w:r>
      <w:r w:rsidRPr="0053779C">
        <w:rPr>
          <w:rFonts w:ascii="Times New Roman" w:eastAsia="Times New Roman" w:hAnsi="Times New Roman" w:cs="Times New Roman"/>
          <w:sz w:val="20"/>
          <w:szCs w:val="20"/>
          <w:lang w:val="sv-SE" w:eastAsia="sv-SE"/>
        </w:rPr>
        <w:t xml:space="preserve">, 9 (2), p. 186-200. </w:t>
      </w:r>
    </w:p>
  </w:footnote>
  <w:footnote w:id="14">
    <w:p w14:paraId="7B988F92" w14:textId="1C6D0138" w:rsidR="00997282" w:rsidRPr="0053779C" w:rsidRDefault="00997282"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Héritier</w:t>
      </w:r>
      <w:r w:rsidRPr="0053779C">
        <w:rPr>
          <w:rFonts w:ascii="Times New Roman" w:eastAsia="Times New Roman" w:hAnsi="Times New Roman" w:cs="Times New Roman"/>
          <w:sz w:val="20"/>
          <w:szCs w:val="20"/>
          <w:lang w:val="sv-SE" w:eastAsia="sv-SE"/>
        </w:rPr>
        <w:t xml:space="preserve"> (Adrienne), </w:t>
      </w:r>
      <w:r w:rsidRPr="0053779C">
        <w:rPr>
          <w:rFonts w:ascii="Times New Roman" w:eastAsia="Times New Roman" w:hAnsi="Times New Roman" w:cs="Times New Roman"/>
          <w:b/>
          <w:sz w:val="20"/>
          <w:szCs w:val="20"/>
          <w:lang w:val="sv-SE" w:eastAsia="sv-SE"/>
        </w:rPr>
        <w:t>Lehmkuhl</w:t>
      </w:r>
      <w:r w:rsidRPr="0053779C">
        <w:rPr>
          <w:rFonts w:ascii="Times New Roman" w:eastAsia="Times New Roman" w:hAnsi="Times New Roman" w:cs="Times New Roman"/>
          <w:sz w:val="20"/>
          <w:szCs w:val="20"/>
          <w:lang w:val="sv-SE" w:eastAsia="sv-SE"/>
        </w:rPr>
        <w:t xml:space="preserve"> (Dirk), 2011,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New modes of governance and democratic accountability</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Government and Opposition</w:t>
      </w:r>
      <w:r w:rsidRPr="0053779C">
        <w:rPr>
          <w:rFonts w:ascii="Times New Roman" w:eastAsia="Times New Roman" w:hAnsi="Times New Roman" w:cs="Times New Roman"/>
          <w:sz w:val="20"/>
          <w:szCs w:val="20"/>
          <w:lang w:val="sv-SE" w:eastAsia="sv-SE"/>
        </w:rPr>
        <w:t>, 46 (1), p. 126-144.</w:t>
      </w:r>
    </w:p>
  </w:footnote>
  <w:footnote w:id="15">
    <w:p w14:paraId="08C16CE5" w14:textId="6355D73A" w:rsidR="00997282" w:rsidRPr="00374D49" w:rsidRDefault="00997282" w:rsidP="0053779C">
      <w:pPr>
        <w:pStyle w:val="Notedebasdepage"/>
        <w:jc w:val="both"/>
        <w:rPr>
          <w:rFonts w:asciiTheme="majorHAnsi" w:hAnsiTheme="majorHAnsi" w:cs="Times New Roman"/>
          <w:lang w:val="fr-BE"/>
        </w:rPr>
      </w:pPr>
      <w:r w:rsidRPr="0053779C">
        <w:rPr>
          <w:rStyle w:val="Appelnotedebasdep"/>
          <w:rFonts w:ascii="Times New Roman" w:hAnsi="Times New Roman" w:cs="Times New Roman"/>
        </w:rPr>
        <w:footnoteRef/>
      </w:r>
      <w:r w:rsidRPr="0053779C">
        <w:rPr>
          <w:rFonts w:ascii="Times New Roman" w:hAnsi="Times New Roman" w:cs="Times New Roman"/>
        </w:rPr>
        <w:t xml:space="preserve"> </w:t>
      </w:r>
      <w:r w:rsidRPr="0053779C">
        <w:rPr>
          <w:rFonts w:ascii="Times New Roman" w:hAnsi="Times New Roman" w:cs="Times New Roman"/>
          <w:lang w:val="fr-BE"/>
        </w:rPr>
        <w:t>Bien qu’elles soient légalement indépendantes du pouvoir politique, les cours de justice et les banques centrales restent des institutions politiques dans la mesure où elles disposent de leurs propres préférences qui ne sont forcément identiques aux missions qu’elles sont censées remplir.</w:t>
      </w:r>
      <w:r w:rsidRPr="00374D49">
        <w:rPr>
          <w:rFonts w:asciiTheme="majorHAnsi" w:hAnsiTheme="majorHAnsi" w:cs="Times New Roman"/>
          <w:lang w:val="fr-BE"/>
        </w:rPr>
        <w:t xml:space="preserve"> </w:t>
      </w:r>
    </w:p>
  </w:footnote>
  <w:footnote w:id="16">
    <w:p w14:paraId="343CCC44" w14:textId="7553F54D"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rPr>
        <w:t xml:space="preserve"> </w:t>
      </w:r>
      <w:r w:rsidRPr="009C1A63">
        <w:rPr>
          <w:rFonts w:ascii="Times New Roman" w:eastAsia="Times New Roman" w:hAnsi="Times New Roman" w:cs="Times New Roman"/>
          <w:b/>
          <w:sz w:val="20"/>
          <w:szCs w:val="20"/>
          <w:lang w:val="sv-SE" w:eastAsia="sv-SE"/>
        </w:rPr>
        <w:t>Feiertag</w:t>
      </w:r>
      <w:r w:rsidRPr="009C1A63">
        <w:rPr>
          <w:rFonts w:ascii="Times New Roman" w:eastAsia="Times New Roman" w:hAnsi="Times New Roman" w:cs="Times New Roman"/>
          <w:sz w:val="20"/>
          <w:szCs w:val="20"/>
          <w:lang w:val="sv-SE" w:eastAsia="sv-SE"/>
        </w:rPr>
        <w:t xml:space="preserve"> (Olivier)</w:t>
      </w:r>
      <w:r w:rsidR="00C95CF5">
        <w:rPr>
          <w:rFonts w:ascii="Times New Roman" w:eastAsia="Times New Roman" w:hAnsi="Times New Roman" w:cs="Times New Roman"/>
          <w:sz w:val="20"/>
          <w:szCs w:val="20"/>
          <w:lang w:val="sv-SE" w:eastAsia="sv-SE"/>
        </w:rPr>
        <w:t xml:space="preserve"> &amp; </w:t>
      </w:r>
      <w:r w:rsidR="00C95CF5" w:rsidRPr="00C95CF5">
        <w:rPr>
          <w:rFonts w:ascii="Times New Roman" w:eastAsia="Times New Roman" w:hAnsi="Times New Roman" w:cs="Times New Roman"/>
          <w:b/>
          <w:sz w:val="20"/>
          <w:szCs w:val="20"/>
          <w:lang w:val="sv-SE" w:eastAsia="sv-SE"/>
        </w:rPr>
        <w:t>Margairaz</w:t>
      </w:r>
      <w:r w:rsidR="00C95CF5">
        <w:rPr>
          <w:rFonts w:ascii="Times New Roman" w:eastAsia="Times New Roman" w:hAnsi="Times New Roman" w:cs="Times New Roman"/>
          <w:sz w:val="20"/>
          <w:szCs w:val="20"/>
          <w:lang w:val="sv-SE" w:eastAsia="sv-SE"/>
        </w:rPr>
        <w:t xml:space="preserve"> (Michel)</w:t>
      </w:r>
      <w:r w:rsidRPr="009C1A63">
        <w:rPr>
          <w:rFonts w:ascii="Times New Roman" w:eastAsia="Times New Roman" w:hAnsi="Times New Roman" w:cs="Times New Roman"/>
          <w:sz w:val="20"/>
          <w:szCs w:val="20"/>
          <w:lang w:val="sv-SE" w:eastAsia="sv-SE"/>
        </w:rPr>
        <w:t xml:space="preserve">, 2016, </w:t>
      </w:r>
      <w:r w:rsidRPr="009C1A63">
        <w:rPr>
          <w:rFonts w:ascii="Times New Roman" w:eastAsia="Times New Roman" w:hAnsi="Times New Roman" w:cs="Times New Roman"/>
          <w:i/>
          <w:sz w:val="20"/>
          <w:szCs w:val="20"/>
          <w:lang w:val="sv-SE" w:eastAsia="sv-SE"/>
        </w:rPr>
        <w:t>Les Banques centrales et l’Etat-nation</w:t>
      </w:r>
      <w:r w:rsidRPr="009C1A63">
        <w:rPr>
          <w:rFonts w:ascii="Times New Roman" w:eastAsia="Times New Roman" w:hAnsi="Times New Roman" w:cs="Times New Roman"/>
          <w:sz w:val="20"/>
          <w:szCs w:val="20"/>
          <w:lang w:val="sv-SE" w:eastAsia="sv-SE"/>
        </w:rPr>
        <w:t>, Paris, Presses de Sciences Po.</w:t>
      </w:r>
    </w:p>
  </w:footnote>
  <w:footnote w:id="17">
    <w:p w14:paraId="5D9A7B32" w14:textId="77777777" w:rsidR="00997282" w:rsidRPr="009C1A63" w:rsidRDefault="00997282" w:rsidP="009C1A63">
      <w:pPr>
        <w:spacing w:after="0" w:line="240" w:lineRule="atLeast"/>
        <w:jc w:val="both"/>
        <w:rPr>
          <w:rFonts w:ascii="Times New Roman" w:eastAsia="Times New Roman" w:hAnsi="Times New Roman" w:cs="Times New Roman"/>
          <w:sz w:val="20"/>
          <w:szCs w:val="20"/>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Verdun</w:t>
      </w:r>
      <w:r w:rsidRPr="009C1A63">
        <w:rPr>
          <w:rFonts w:ascii="Times New Roman" w:hAnsi="Times New Roman" w:cs="Times New Roman"/>
          <w:sz w:val="20"/>
          <w:szCs w:val="20"/>
          <w:lang w:val="en-US"/>
        </w:rPr>
        <w:t xml:space="preserve"> (Amy), 1999, « The role of the Delors Committee in the creation of EMU: an epistemic community? », </w:t>
      </w:r>
      <w:r w:rsidRPr="009C1A63">
        <w:rPr>
          <w:rFonts w:ascii="Times New Roman" w:hAnsi="Times New Roman" w:cs="Times New Roman"/>
          <w:i/>
          <w:iCs/>
          <w:sz w:val="20"/>
          <w:szCs w:val="20"/>
          <w:lang w:val="en-US"/>
        </w:rPr>
        <w:t>Journal of European Public Policy,</w:t>
      </w:r>
      <w:r w:rsidRPr="009C1A63">
        <w:rPr>
          <w:rFonts w:ascii="Times New Roman" w:hAnsi="Times New Roman" w:cs="Times New Roman"/>
          <w:sz w:val="20"/>
          <w:szCs w:val="20"/>
          <w:lang w:val="en-US"/>
        </w:rPr>
        <w:t xml:space="preserve"> 6 (2), p. 308</w:t>
      </w:r>
      <w:r w:rsidRPr="009C1A63">
        <w:rPr>
          <w:rFonts w:ascii="Times New Roman" w:hAnsi="Times New Roman" w:cs="Times New Roman"/>
          <w:sz w:val="20"/>
          <w:szCs w:val="20"/>
          <w:lang w:val="en-US"/>
        </w:rPr>
        <w:noBreakHyphen/>
        <w:t xml:space="preserve">28. </w:t>
      </w:r>
      <w:r w:rsidRPr="009C1A63">
        <w:rPr>
          <w:rFonts w:ascii="Times New Roman" w:hAnsi="Times New Roman" w:cs="Times New Roman"/>
          <w:b/>
          <w:sz w:val="20"/>
          <w:szCs w:val="20"/>
          <w:lang w:val="en-US"/>
        </w:rPr>
        <w:t>Dyson</w:t>
      </w:r>
      <w:r w:rsidRPr="009C1A63">
        <w:rPr>
          <w:rFonts w:ascii="Times New Roman" w:hAnsi="Times New Roman" w:cs="Times New Roman"/>
          <w:sz w:val="20"/>
          <w:szCs w:val="20"/>
          <w:lang w:val="en-US"/>
        </w:rPr>
        <w:t xml:space="preserve"> (Kenneth), </w:t>
      </w:r>
      <w:r w:rsidRPr="009C1A63">
        <w:rPr>
          <w:rFonts w:ascii="Times New Roman" w:hAnsi="Times New Roman" w:cs="Times New Roman"/>
          <w:b/>
          <w:sz w:val="20"/>
          <w:szCs w:val="20"/>
          <w:lang w:val="en-US"/>
        </w:rPr>
        <w:t>Featherstone</w:t>
      </w:r>
      <w:r w:rsidRPr="009C1A63">
        <w:rPr>
          <w:rFonts w:ascii="Times New Roman" w:hAnsi="Times New Roman" w:cs="Times New Roman"/>
          <w:sz w:val="20"/>
          <w:szCs w:val="20"/>
          <w:lang w:val="en-US"/>
        </w:rPr>
        <w:t xml:space="preserve"> (Kevin), 1999, </w:t>
      </w:r>
      <w:r w:rsidRPr="009C1A63">
        <w:rPr>
          <w:rFonts w:ascii="Times New Roman" w:hAnsi="Times New Roman" w:cs="Times New Roman"/>
          <w:i/>
          <w:iCs/>
          <w:sz w:val="20"/>
          <w:szCs w:val="20"/>
          <w:lang w:val="en-US"/>
        </w:rPr>
        <w:t>The Road to Maastricht: Negotiating Economic and Monetary Union</w:t>
      </w:r>
      <w:r w:rsidRPr="009C1A63">
        <w:rPr>
          <w:rFonts w:ascii="Times New Roman" w:hAnsi="Times New Roman" w:cs="Times New Roman"/>
          <w:sz w:val="20"/>
          <w:szCs w:val="20"/>
          <w:lang w:val="en-US"/>
        </w:rPr>
        <w:t xml:space="preserve">, Oxford, Oxford University Press. </w:t>
      </w:r>
      <w:r w:rsidRPr="009C1A63">
        <w:rPr>
          <w:rFonts w:ascii="Times New Roman" w:eastAsia="Times New Roman" w:hAnsi="Times New Roman" w:cs="Times New Roman"/>
          <w:b/>
          <w:sz w:val="20"/>
          <w:szCs w:val="20"/>
          <w:lang w:val="sv-SE" w:eastAsia="sv-SE"/>
        </w:rPr>
        <w:t>McNamara</w:t>
      </w:r>
      <w:r w:rsidRPr="009C1A63">
        <w:rPr>
          <w:rFonts w:ascii="Times New Roman" w:eastAsia="Times New Roman" w:hAnsi="Times New Roman" w:cs="Times New Roman"/>
          <w:sz w:val="20"/>
          <w:szCs w:val="20"/>
          <w:lang w:val="sv-SE" w:eastAsia="sv-SE"/>
        </w:rPr>
        <w:t xml:space="preserve"> (Kathleen), 1998, </w:t>
      </w:r>
      <w:r w:rsidRPr="009C1A63">
        <w:rPr>
          <w:rFonts w:ascii="Times New Roman" w:eastAsia="Times New Roman" w:hAnsi="Times New Roman" w:cs="Times New Roman"/>
          <w:i/>
          <w:sz w:val="20"/>
          <w:szCs w:val="20"/>
          <w:lang w:val="sv-SE" w:eastAsia="sv-SE"/>
        </w:rPr>
        <w:t>The currency of ideas: monetary politics in the European Union</w:t>
      </w:r>
      <w:r w:rsidRPr="009C1A63">
        <w:rPr>
          <w:rFonts w:ascii="Times New Roman" w:eastAsia="Times New Roman" w:hAnsi="Times New Roman" w:cs="Times New Roman"/>
          <w:sz w:val="20"/>
          <w:szCs w:val="20"/>
          <w:lang w:val="sv-SE" w:eastAsia="sv-SE"/>
        </w:rPr>
        <w:t>, Ithaca, Cornell University Press.</w:t>
      </w:r>
    </w:p>
    <w:p w14:paraId="2892DD75" w14:textId="0F1C239B" w:rsidR="00997282" w:rsidRPr="009C1A63" w:rsidRDefault="00997282" w:rsidP="00FF168B">
      <w:pPr>
        <w:spacing w:after="120" w:line="240" w:lineRule="atLeast"/>
        <w:jc w:val="both"/>
        <w:rPr>
          <w:rFonts w:asciiTheme="majorHAnsi" w:hAnsiTheme="majorHAnsi"/>
          <w:sz w:val="20"/>
          <w:szCs w:val="20"/>
          <w:lang w:val="sv-SE"/>
        </w:rPr>
      </w:pPr>
    </w:p>
    <w:p w14:paraId="332213EA" w14:textId="77777777" w:rsidR="00997282" w:rsidRPr="000A7ADD" w:rsidRDefault="00997282" w:rsidP="00FF168B">
      <w:pPr>
        <w:spacing w:after="120" w:line="240" w:lineRule="atLeast"/>
        <w:jc w:val="both"/>
        <w:rPr>
          <w:rFonts w:asciiTheme="majorHAnsi" w:hAnsiTheme="majorHAnsi"/>
          <w:sz w:val="20"/>
          <w:szCs w:val="20"/>
          <w:lang w:val="en-US"/>
        </w:rPr>
      </w:pPr>
    </w:p>
    <w:p w14:paraId="245E57B8" w14:textId="135456F8" w:rsidR="00997282" w:rsidRPr="009C1A63" w:rsidRDefault="00997282">
      <w:pPr>
        <w:pStyle w:val="Notedebasdepage"/>
        <w:rPr>
          <w:lang w:val="en-US"/>
        </w:rPr>
      </w:pPr>
    </w:p>
  </w:footnote>
  <w:footnote w:id="18">
    <w:p w14:paraId="4FD56D3E" w14:textId="5145BBAA"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Kydland</w:t>
      </w:r>
      <w:r w:rsidRPr="009C1A63">
        <w:rPr>
          <w:rFonts w:ascii="Times New Roman" w:eastAsia="Times New Roman" w:hAnsi="Times New Roman" w:cs="Times New Roman"/>
          <w:sz w:val="20"/>
          <w:szCs w:val="20"/>
          <w:lang w:val="sv-SE" w:eastAsia="sv-SE"/>
        </w:rPr>
        <w:t xml:space="preserve"> (Finn E.), </w:t>
      </w:r>
      <w:r w:rsidRPr="009C1A63">
        <w:rPr>
          <w:rFonts w:ascii="Times New Roman" w:eastAsia="Times New Roman" w:hAnsi="Times New Roman" w:cs="Times New Roman"/>
          <w:b/>
          <w:sz w:val="20"/>
          <w:szCs w:val="20"/>
          <w:lang w:val="sv-SE" w:eastAsia="sv-SE"/>
        </w:rPr>
        <w:t>Prescott</w:t>
      </w:r>
      <w:r w:rsidRPr="009C1A63">
        <w:rPr>
          <w:rFonts w:ascii="Times New Roman" w:eastAsia="Times New Roman" w:hAnsi="Times New Roman" w:cs="Times New Roman"/>
          <w:sz w:val="20"/>
          <w:szCs w:val="20"/>
          <w:lang w:val="sv-SE" w:eastAsia="sv-SE"/>
        </w:rPr>
        <w:t xml:space="preserve"> (Edward C.), 1977,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Rules Rather than Discretion: The Inconsistency of Optimal Plans</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Journal of Political Economy</w:t>
      </w:r>
      <w:r w:rsidRPr="009C1A63">
        <w:rPr>
          <w:rFonts w:ascii="Times New Roman" w:eastAsia="Times New Roman" w:hAnsi="Times New Roman" w:cs="Times New Roman"/>
          <w:sz w:val="20"/>
          <w:szCs w:val="20"/>
          <w:lang w:val="sv-SE" w:eastAsia="sv-SE"/>
        </w:rPr>
        <w:t>, 85 (3), p. 473-491.</w:t>
      </w:r>
    </w:p>
  </w:footnote>
  <w:footnote w:id="19">
    <w:p w14:paraId="51E004A6" w14:textId="425B06EA"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Issing</w:t>
      </w:r>
      <w:r w:rsidRPr="009C1A63">
        <w:rPr>
          <w:rFonts w:ascii="Times New Roman" w:hAnsi="Times New Roman" w:cs="Times New Roman"/>
          <w:sz w:val="20"/>
          <w:szCs w:val="20"/>
          <w:lang w:val="en-US"/>
        </w:rPr>
        <w:t xml:space="preserve"> (Otmar), </w:t>
      </w:r>
      <w:r w:rsidRPr="009C1A63">
        <w:rPr>
          <w:rFonts w:ascii="Times New Roman" w:hAnsi="Times New Roman" w:cs="Times New Roman"/>
          <w:b/>
          <w:sz w:val="20"/>
          <w:szCs w:val="20"/>
          <w:lang w:val="en-US"/>
        </w:rPr>
        <w:t>Gaspar</w:t>
      </w:r>
      <w:r w:rsidRPr="009C1A63">
        <w:rPr>
          <w:rFonts w:ascii="Times New Roman" w:hAnsi="Times New Roman" w:cs="Times New Roman"/>
          <w:sz w:val="20"/>
          <w:szCs w:val="20"/>
          <w:lang w:val="en-US"/>
        </w:rPr>
        <w:t xml:space="preserve"> (Vitor), </w:t>
      </w:r>
      <w:r w:rsidRPr="009C1A63">
        <w:rPr>
          <w:rFonts w:ascii="Times New Roman" w:hAnsi="Times New Roman" w:cs="Times New Roman"/>
          <w:b/>
          <w:sz w:val="20"/>
          <w:szCs w:val="20"/>
          <w:lang w:val="en-US"/>
        </w:rPr>
        <w:t>Angeloni</w:t>
      </w:r>
      <w:r w:rsidRPr="009C1A63">
        <w:rPr>
          <w:rFonts w:ascii="Times New Roman" w:hAnsi="Times New Roman" w:cs="Times New Roman"/>
          <w:sz w:val="20"/>
          <w:szCs w:val="20"/>
          <w:lang w:val="en-US"/>
        </w:rPr>
        <w:t xml:space="preserve"> (Ignazio), </w:t>
      </w:r>
      <w:r w:rsidRPr="009C1A63">
        <w:rPr>
          <w:rFonts w:ascii="Times New Roman" w:hAnsi="Times New Roman" w:cs="Times New Roman"/>
          <w:b/>
          <w:sz w:val="20"/>
          <w:szCs w:val="20"/>
          <w:lang w:val="en-US"/>
        </w:rPr>
        <w:t>Tristani</w:t>
      </w:r>
      <w:r w:rsidRPr="009C1A63">
        <w:rPr>
          <w:rFonts w:ascii="Times New Roman" w:hAnsi="Times New Roman" w:cs="Times New Roman"/>
          <w:sz w:val="20"/>
          <w:szCs w:val="20"/>
          <w:lang w:val="en-US"/>
        </w:rPr>
        <w:t xml:space="preserve"> (Oreste), 2001, </w:t>
      </w:r>
      <w:r w:rsidRPr="009C1A63">
        <w:rPr>
          <w:rFonts w:ascii="Times New Roman" w:hAnsi="Times New Roman" w:cs="Times New Roman"/>
          <w:i/>
          <w:iCs/>
          <w:sz w:val="20"/>
          <w:szCs w:val="20"/>
          <w:lang w:val="en-US"/>
        </w:rPr>
        <w:t>Monetary Policy in the Euro Area: Strategy and Decision-Making at the European Central Bank</w:t>
      </w:r>
      <w:r w:rsidRPr="009C1A63">
        <w:rPr>
          <w:rFonts w:ascii="Times New Roman" w:hAnsi="Times New Roman" w:cs="Times New Roman"/>
          <w:sz w:val="20"/>
          <w:szCs w:val="20"/>
          <w:lang w:val="en-US"/>
        </w:rPr>
        <w:t>, Cambridge, Cambridge University Press.</w:t>
      </w:r>
    </w:p>
  </w:footnote>
  <w:footnote w:id="20">
    <w:p w14:paraId="5D362DEF" w14:textId="77777777" w:rsidR="00997282" w:rsidRPr="009C1A63" w:rsidRDefault="00997282" w:rsidP="00FF168B">
      <w:pPr>
        <w:spacing w:after="120" w:line="240" w:lineRule="atLeast"/>
        <w:jc w:val="both"/>
        <w:rPr>
          <w:rFonts w:ascii="Times New Roman" w:hAnsi="Times New Roman" w:cs="Times New Roman"/>
          <w:sz w:val="20"/>
          <w:szCs w:val="20"/>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Scharpf</w:t>
      </w:r>
      <w:r w:rsidRPr="009C1A63">
        <w:rPr>
          <w:rFonts w:ascii="Times New Roman" w:hAnsi="Times New Roman" w:cs="Times New Roman"/>
          <w:sz w:val="20"/>
          <w:szCs w:val="20"/>
          <w:lang w:val="en-US"/>
        </w:rPr>
        <w:t xml:space="preserve"> (Fritz W.), 1997, « Economic integration, democracy and the welfare state », </w:t>
      </w:r>
      <w:r w:rsidRPr="009C1A63">
        <w:rPr>
          <w:rFonts w:ascii="Times New Roman" w:hAnsi="Times New Roman" w:cs="Times New Roman"/>
          <w:i/>
          <w:iCs/>
          <w:sz w:val="20"/>
          <w:szCs w:val="20"/>
          <w:lang w:val="en-US"/>
        </w:rPr>
        <w:t>Journal of European Public Policy</w:t>
      </w:r>
      <w:r w:rsidRPr="009C1A63">
        <w:rPr>
          <w:rFonts w:ascii="Times New Roman" w:hAnsi="Times New Roman" w:cs="Times New Roman"/>
          <w:sz w:val="20"/>
          <w:szCs w:val="20"/>
          <w:lang w:val="en-US"/>
        </w:rPr>
        <w:t>, 4 (1), p. 18–36.</w:t>
      </w:r>
    </w:p>
    <w:p w14:paraId="69FD42F3" w14:textId="3F39AD30" w:rsidR="00997282" w:rsidRPr="009C1A63" w:rsidRDefault="00997282">
      <w:pPr>
        <w:pStyle w:val="Notedebasdepage"/>
        <w:rPr>
          <w:lang w:val="en-US"/>
        </w:rPr>
      </w:pPr>
    </w:p>
  </w:footnote>
  <w:footnote w:id="21">
    <w:p w14:paraId="284B7977" w14:textId="37C8462B"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Dyson</w:t>
      </w:r>
      <w:r w:rsidRPr="009C1A63">
        <w:rPr>
          <w:rFonts w:ascii="Times New Roman" w:hAnsi="Times New Roman" w:cs="Times New Roman"/>
          <w:sz w:val="20"/>
          <w:szCs w:val="20"/>
          <w:lang w:val="en-US"/>
        </w:rPr>
        <w:t xml:space="preserve"> (Kenneth), </w:t>
      </w:r>
      <w:r w:rsidRPr="009C1A63">
        <w:rPr>
          <w:rFonts w:ascii="Times New Roman" w:hAnsi="Times New Roman" w:cs="Times New Roman"/>
          <w:b/>
          <w:sz w:val="20"/>
          <w:szCs w:val="20"/>
          <w:lang w:val="en-US"/>
        </w:rPr>
        <w:t>Featherstone</w:t>
      </w:r>
      <w:r w:rsidRPr="009C1A63">
        <w:rPr>
          <w:rFonts w:ascii="Times New Roman" w:hAnsi="Times New Roman" w:cs="Times New Roman"/>
          <w:sz w:val="20"/>
          <w:szCs w:val="20"/>
          <w:lang w:val="en-US"/>
        </w:rPr>
        <w:t xml:space="preserve"> (Kevin), 1999, </w:t>
      </w:r>
      <w:r w:rsidRPr="009C1A63">
        <w:rPr>
          <w:rFonts w:ascii="Times New Roman" w:hAnsi="Times New Roman" w:cs="Times New Roman"/>
          <w:i/>
          <w:iCs/>
          <w:sz w:val="20"/>
          <w:szCs w:val="20"/>
          <w:lang w:val="en-US"/>
        </w:rPr>
        <w:t>The Road to Maastricht: Negotiating Economic and Monetary Union</w:t>
      </w:r>
      <w:r w:rsidRPr="009C1A63">
        <w:rPr>
          <w:rFonts w:ascii="Times New Roman" w:hAnsi="Times New Roman" w:cs="Times New Roman"/>
          <w:sz w:val="20"/>
          <w:szCs w:val="20"/>
          <w:lang w:val="en-US"/>
        </w:rPr>
        <w:t>, Oxford, Oxford University Press, p. 26.</w:t>
      </w:r>
    </w:p>
  </w:footnote>
  <w:footnote w:id="22">
    <w:p w14:paraId="5DCFF25F" w14:textId="5605CC77" w:rsidR="00997282" w:rsidRPr="009C1A63" w:rsidRDefault="00997282">
      <w:pPr>
        <w:pStyle w:val="Notedebasdepage"/>
        <w:jc w:val="both"/>
        <w:rPr>
          <w:rFonts w:ascii="Times New Roman" w:hAnsi="Times New Roman" w:cs="Times New Roman"/>
          <w:lang w:val="fr-BE"/>
        </w:rPr>
      </w:pPr>
      <w:r w:rsidRPr="009C1A63">
        <w:rPr>
          <w:rStyle w:val="Appelnotedebasdep"/>
          <w:rFonts w:ascii="Times New Roman" w:hAnsi="Times New Roman" w:cs="Times New Roman"/>
        </w:rPr>
        <w:footnoteRef/>
      </w:r>
      <w:r w:rsidRPr="009C1A63">
        <w:rPr>
          <w:rFonts w:ascii="Times New Roman" w:hAnsi="Times New Roman" w:cs="Times New Roman"/>
        </w:rPr>
        <w:t xml:space="preserve"> </w:t>
      </w:r>
      <w:r w:rsidRPr="009C1A63">
        <w:rPr>
          <w:rFonts w:ascii="Times New Roman" w:hAnsi="Times New Roman" w:cs="Times New Roman"/>
          <w:lang w:val="fr-BE"/>
        </w:rPr>
        <w:t xml:space="preserve">Le comité Delors a été créé suite au sommet européen de Hanovre de 1988 et il est composé de banquiers centraux et d’un représentant de la Commission. Ses travaux se conclurent par le rapport Delors en avril 1989 qui constitua la feuille de route pour la création de la zone euro. </w:t>
      </w:r>
    </w:p>
  </w:footnote>
  <w:footnote w:id="23">
    <w:p w14:paraId="00B27D13" w14:textId="4112C3F9"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Verdun</w:t>
      </w:r>
      <w:r w:rsidRPr="009C1A63">
        <w:rPr>
          <w:rFonts w:ascii="Times New Roman" w:hAnsi="Times New Roman" w:cs="Times New Roman"/>
          <w:sz w:val="20"/>
          <w:szCs w:val="20"/>
          <w:lang w:val="en-US"/>
        </w:rPr>
        <w:t xml:space="preserve"> (Amy), 1999, « The role of the Delors Committee in the creation of EMU: an epistemic community? », </w:t>
      </w:r>
      <w:r w:rsidRPr="009C1A63">
        <w:rPr>
          <w:rFonts w:ascii="Times New Roman" w:hAnsi="Times New Roman" w:cs="Times New Roman"/>
          <w:i/>
          <w:iCs/>
          <w:sz w:val="20"/>
          <w:szCs w:val="20"/>
          <w:lang w:val="en-US"/>
        </w:rPr>
        <w:t>Journal of European Public Policy,</w:t>
      </w:r>
      <w:r w:rsidRPr="009C1A63">
        <w:rPr>
          <w:rFonts w:ascii="Times New Roman" w:hAnsi="Times New Roman" w:cs="Times New Roman"/>
          <w:sz w:val="20"/>
          <w:szCs w:val="20"/>
          <w:lang w:val="en-US"/>
        </w:rPr>
        <w:t xml:space="preserve"> 6 (2), p. 308</w:t>
      </w:r>
      <w:r w:rsidRPr="009C1A63">
        <w:rPr>
          <w:rFonts w:ascii="Times New Roman" w:hAnsi="Times New Roman" w:cs="Times New Roman"/>
          <w:sz w:val="20"/>
          <w:szCs w:val="20"/>
          <w:lang w:val="en-US"/>
        </w:rPr>
        <w:noBreakHyphen/>
        <w:t xml:space="preserve">28. </w:t>
      </w:r>
    </w:p>
  </w:footnote>
  <w:footnote w:id="24">
    <w:p w14:paraId="5B8873D3" w14:textId="76344349" w:rsidR="00997282" w:rsidRPr="009C1A63" w:rsidRDefault="00997282">
      <w:pPr>
        <w:pStyle w:val="Notedebasdepage"/>
        <w:rPr>
          <w:rFonts w:ascii="Times New Roman" w:hAnsi="Times New Roman" w:cs="Times New Roman"/>
          <w:lang w:val="en-US"/>
        </w:rPr>
      </w:pPr>
      <w:r w:rsidRPr="009C1A63">
        <w:rPr>
          <w:rStyle w:val="Appelnotedebasdep"/>
          <w:rFonts w:ascii="Times New Roman" w:hAnsi="Times New Roman" w:cs="Times New Roman"/>
        </w:rPr>
        <w:footnoteRef/>
      </w:r>
      <w:r w:rsidRPr="009C1A63">
        <w:rPr>
          <w:rFonts w:ascii="Times New Roman" w:hAnsi="Times New Roman" w:cs="Times New Roman"/>
          <w:lang w:val="en-US"/>
        </w:rPr>
        <w:t xml:space="preserve"> </w:t>
      </w:r>
      <w:r w:rsidRPr="00FF168B">
        <w:rPr>
          <w:rFonts w:ascii="Times New Roman" w:hAnsi="Times New Roman" w:cs="Times New Roman"/>
          <w:b/>
          <w:lang w:val="en-US"/>
        </w:rPr>
        <w:t>Dyson</w:t>
      </w:r>
      <w:r w:rsidRPr="00FF168B">
        <w:rPr>
          <w:rFonts w:ascii="Times New Roman" w:hAnsi="Times New Roman" w:cs="Times New Roman"/>
          <w:lang w:val="en-US"/>
        </w:rPr>
        <w:t xml:space="preserve"> (Kenneth), </w:t>
      </w:r>
      <w:r w:rsidRPr="00FF168B">
        <w:rPr>
          <w:rFonts w:ascii="Times New Roman" w:hAnsi="Times New Roman" w:cs="Times New Roman"/>
          <w:b/>
          <w:lang w:val="en-US"/>
        </w:rPr>
        <w:t>Featherstone</w:t>
      </w:r>
      <w:r w:rsidRPr="00FF168B">
        <w:rPr>
          <w:rFonts w:ascii="Times New Roman" w:hAnsi="Times New Roman" w:cs="Times New Roman"/>
          <w:lang w:val="en-US"/>
        </w:rPr>
        <w:t xml:space="preserve"> (Kevin), 1999, </w:t>
      </w:r>
      <w:r w:rsidRPr="00FF168B">
        <w:rPr>
          <w:rFonts w:ascii="Times New Roman" w:hAnsi="Times New Roman" w:cs="Times New Roman"/>
          <w:i/>
          <w:iCs/>
          <w:lang w:val="en-US"/>
        </w:rPr>
        <w:t>The Road to Maastricht: Negotiating Economic and Monetary Union</w:t>
      </w:r>
      <w:r w:rsidRPr="00FF168B">
        <w:rPr>
          <w:rFonts w:ascii="Times New Roman" w:hAnsi="Times New Roman" w:cs="Times New Roman"/>
          <w:lang w:val="en-US"/>
        </w:rPr>
        <w:t>, Oxford, Oxford University Press, p. 26.</w:t>
      </w:r>
    </w:p>
  </w:footnote>
  <w:footnote w:id="25">
    <w:p w14:paraId="550D7E6C" w14:textId="1DC45757"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Quaglia</w:t>
      </w:r>
      <w:r w:rsidRPr="009C1A63">
        <w:rPr>
          <w:rFonts w:ascii="Times New Roman" w:hAnsi="Times New Roman" w:cs="Times New Roman"/>
          <w:sz w:val="20"/>
          <w:szCs w:val="20"/>
          <w:lang w:val="en-US"/>
        </w:rPr>
        <w:t xml:space="preserve"> (Lucia), 2008, </w:t>
      </w:r>
      <w:r w:rsidRPr="009C1A63">
        <w:rPr>
          <w:rFonts w:ascii="Times New Roman" w:hAnsi="Times New Roman" w:cs="Times New Roman"/>
          <w:i/>
          <w:iCs/>
          <w:sz w:val="20"/>
          <w:szCs w:val="20"/>
          <w:lang w:val="en-US"/>
        </w:rPr>
        <w:t>Central Banking Governance in the European Union: A Comparative Analysis</w:t>
      </w:r>
      <w:r w:rsidRPr="009C1A63">
        <w:rPr>
          <w:rFonts w:ascii="Times New Roman" w:hAnsi="Times New Roman" w:cs="Times New Roman"/>
          <w:sz w:val="20"/>
          <w:szCs w:val="20"/>
          <w:lang w:val="en-US"/>
        </w:rPr>
        <w:t>, Londres, Routledge.</w:t>
      </w:r>
    </w:p>
  </w:footnote>
  <w:footnote w:id="26">
    <w:p w14:paraId="56FDA25D" w14:textId="329ACEC3"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Goodhart</w:t>
      </w:r>
      <w:r w:rsidRPr="009C1A63">
        <w:rPr>
          <w:rFonts w:ascii="Times New Roman" w:eastAsia="Times New Roman" w:hAnsi="Times New Roman" w:cs="Times New Roman"/>
          <w:sz w:val="20"/>
          <w:szCs w:val="20"/>
          <w:lang w:val="sv-SE" w:eastAsia="sv-SE"/>
        </w:rPr>
        <w:t xml:space="preserve"> (Charles), </w:t>
      </w:r>
      <w:r w:rsidRPr="009C1A63">
        <w:rPr>
          <w:rFonts w:ascii="Times New Roman" w:eastAsia="Times New Roman" w:hAnsi="Times New Roman" w:cs="Times New Roman"/>
          <w:b/>
          <w:sz w:val="20"/>
          <w:szCs w:val="20"/>
          <w:lang w:val="sv-SE" w:eastAsia="sv-SE"/>
        </w:rPr>
        <w:t>Meade</w:t>
      </w:r>
      <w:r w:rsidRPr="009C1A63">
        <w:rPr>
          <w:rFonts w:ascii="Times New Roman" w:eastAsia="Times New Roman" w:hAnsi="Times New Roman" w:cs="Times New Roman"/>
          <w:sz w:val="20"/>
          <w:szCs w:val="20"/>
          <w:lang w:val="sv-SE" w:eastAsia="sv-SE"/>
        </w:rPr>
        <w:t xml:space="preserve"> (Ellen), 2004,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Central banks and supreme courts</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Moneda y Credito</w:t>
      </w:r>
      <w:r w:rsidRPr="009C1A63">
        <w:rPr>
          <w:rFonts w:ascii="Times New Roman" w:eastAsia="Times New Roman" w:hAnsi="Times New Roman" w:cs="Times New Roman"/>
          <w:sz w:val="20"/>
          <w:szCs w:val="20"/>
          <w:lang w:val="sv-SE" w:eastAsia="sv-SE"/>
        </w:rPr>
        <w:t>, n°218, p. 11-42.</w:t>
      </w:r>
    </w:p>
  </w:footnote>
  <w:footnote w:id="27">
    <w:p w14:paraId="655F3B6F" w14:textId="77777777" w:rsidR="00997282" w:rsidRPr="009C1A63" w:rsidRDefault="00997282" w:rsidP="009C1A63">
      <w:pPr>
        <w:spacing w:after="0" w:line="240" w:lineRule="atLeast"/>
        <w:jc w:val="both"/>
        <w:rPr>
          <w:rFonts w:ascii="Times New Roman" w:eastAsia="Times New Roman" w:hAnsi="Times New Roman" w:cs="Times New Roman"/>
          <w:sz w:val="20"/>
          <w:szCs w:val="20"/>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Jabko</w:t>
      </w:r>
      <w:r w:rsidRPr="009C1A63">
        <w:rPr>
          <w:rFonts w:ascii="Times New Roman" w:eastAsia="Times New Roman" w:hAnsi="Times New Roman" w:cs="Times New Roman"/>
          <w:sz w:val="20"/>
          <w:szCs w:val="20"/>
          <w:lang w:val="sv-SE" w:eastAsia="sv-SE"/>
        </w:rPr>
        <w:t xml:space="preserve"> (Nicolas), 2009,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Transparency and Accountability</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in</w:t>
      </w:r>
      <w:r w:rsidRPr="009C1A63">
        <w:rPr>
          <w:rFonts w:ascii="Times New Roman" w:eastAsia="Times New Roman" w:hAnsi="Times New Roman" w:cs="Times New Roman"/>
          <w:sz w:val="20"/>
          <w:szCs w:val="20"/>
          <w:lang w:val="sv-SE" w:eastAsia="sv-SE"/>
        </w:rPr>
        <w:t xml:space="preserve"> Kenneth Dyson, Martin Marcussen, dir., </w:t>
      </w:r>
      <w:r w:rsidRPr="009C1A63">
        <w:rPr>
          <w:rFonts w:ascii="Times New Roman" w:eastAsia="Times New Roman" w:hAnsi="Times New Roman" w:cs="Times New Roman"/>
          <w:i/>
          <w:sz w:val="20"/>
          <w:szCs w:val="20"/>
          <w:lang w:val="sv-SE" w:eastAsia="sv-SE"/>
        </w:rPr>
        <w:t>Central Banks in the Age of the Euro : Europeanization, Convergence and Power</w:t>
      </w:r>
      <w:r w:rsidRPr="009C1A63">
        <w:rPr>
          <w:rFonts w:ascii="Times New Roman" w:eastAsia="Times New Roman" w:hAnsi="Times New Roman" w:cs="Times New Roman"/>
          <w:sz w:val="20"/>
          <w:szCs w:val="20"/>
          <w:lang w:val="sv-SE" w:eastAsia="sv-SE"/>
        </w:rPr>
        <w:t>, Oxford, Oxford University Press, p. 391-406.</w:t>
      </w:r>
    </w:p>
    <w:p w14:paraId="1DA34B43" w14:textId="1D6D5471" w:rsidR="00997282" w:rsidRPr="009C1A63" w:rsidRDefault="00997282">
      <w:pPr>
        <w:pStyle w:val="Notedebasdepage"/>
        <w:rPr>
          <w:lang w:val="sv-SE"/>
        </w:rPr>
      </w:pPr>
    </w:p>
  </w:footnote>
  <w:footnote w:id="28">
    <w:p w14:paraId="404BB34E" w14:textId="0C62661B" w:rsidR="00997282" w:rsidRPr="009C1A63" w:rsidRDefault="00997282" w:rsidP="009C1A63">
      <w:pPr>
        <w:spacing w:after="0" w:line="240" w:lineRule="atLeast"/>
        <w:jc w:val="both"/>
        <w:rPr>
          <w:rFonts w:ascii="Times New Roman" w:eastAsia="Times New Roman" w:hAnsi="Times New Roman" w:cs="Times New Roman"/>
          <w:lang w:val="sv-SE" w:eastAsia="sv-SE"/>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eastAsia="Times New Roman" w:hAnsi="Times New Roman" w:cs="Times New Roman"/>
          <w:b/>
          <w:sz w:val="20"/>
          <w:szCs w:val="20"/>
          <w:lang w:val="sv-SE" w:eastAsia="sv-SE"/>
        </w:rPr>
        <w:t>Marcussen</w:t>
      </w:r>
      <w:r w:rsidRPr="009C1A63">
        <w:rPr>
          <w:rFonts w:ascii="Times New Roman" w:eastAsia="Times New Roman" w:hAnsi="Times New Roman" w:cs="Times New Roman"/>
          <w:sz w:val="20"/>
          <w:szCs w:val="20"/>
          <w:lang w:val="sv-SE" w:eastAsia="sv-SE"/>
        </w:rPr>
        <w:t xml:space="preserve"> (Martin), 2009, </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Scientization of Central Banking: The Politics of A-Politicization</w:t>
      </w:r>
      <w:r w:rsidRPr="009C1A63">
        <w:rPr>
          <w:rFonts w:ascii="Times New Roman" w:hAnsi="Times New Roman" w:cs="Times New Roman"/>
          <w:sz w:val="20"/>
          <w:szCs w:val="20"/>
          <w:lang w:val="en-US"/>
        </w:rPr>
        <w:t> »</w:t>
      </w:r>
      <w:r w:rsidRPr="009C1A63">
        <w:rPr>
          <w:rFonts w:ascii="Times New Roman" w:eastAsia="Times New Roman" w:hAnsi="Times New Roman" w:cs="Times New Roman"/>
          <w:sz w:val="20"/>
          <w:szCs w:val="20"/>
          <w:lang w:val="sv-SE" w:eastAsia="sv-SE"/>
        </w:rPr>
        <w:t xml:space="preserve">, </w:t>
      </w:r>
      <w:r w:rsidRPr="009C1A63">
        <w:rPr>
          <w:rFonts w:ascii="Times New Roman" w:eastAsia="Times New Roman" w:hAnsi="Times New Roman" w:cs="Times New Roman"/>
          <w:i/>
          <w:sz w:val="20"/>
          <w:szCs w:val="20"/>
          <w:lang w:val="sv-SE" w:eastAsia="sv-SE"/>
        </w:rPr>
        <w:t>in</w:t>
      </w:r>
      <w:r w:rsidRPr="009C1A63">
        <w:rPr>
          <w:rFonts w:ascii="Times New Roman" w:eastAsia="Times New Roman" w:hAnsi="Times New Roman" w:cs="Times New Roman"/>
          <w:sz w:val="20"/>
          <w:szCs w:val="20"/>
          <w:lang w:val="sv-SE" w:eastAsia="sv-SE"/>
        </w:rPr>
        <w:t xml:space="preserve"> Kenneth Dyson, Martin Marcussen, dir., </w:t>
      </w:r>
      <w:r w:rsidRPr="009C1A63">
        <w:rPr>
          <w:rFonts w:ascii="Times New Roman" w:eastAsia="Times New Roman" w:hAnsi="Times New Roman" w:cs="Times New Roman"/>
          <w:i/>
          <w:sz w:val="20"/>
          <w:szCs w:val="20"/>
          <w:lang w:val="sv-SE" w:eastAsia="sv-SE"/>
        </w:rPr>
        <w:t>Central Banks in the Age of the Euro : Europeanization, Convergence and Power</w:t>
      </w:r>
      <w:r w:rsidRPr="009C1A63">
        <w:rPr>
          <w:rFonts w:ascii="Times New Roman" w:eastAsia="Times New Roman" w:hAnsi="Times New Roman" w:cs="Times New Roman"/>
          <w:sz w:val="20"/>
          <w:szCs w:val="20"/>
          <w:lang w:val="sv-SE" w:eastAsia="sv-SE"/>
        </w:rPr>
        <w:t>, Oxford, Oxford University Press, p. 373-390.</w:t>
      </w:r>
    </w:p>
  </w:footnote>
  <w:footnote w:id="29">
    <w:p w14:paraId="54D43127" w14:textId="446C904E"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Jones</w:t>
      </w:r>
      <w:r w:rsidRPr="009C1A63">
        <w:rPr>
          <w:rFonts w:ascii="Times New Roman" w:hAnsi="Times New Roman" w:cs="Times New Roman"/>
          <w:sz w:val="20"/>
          <w:szCs w:val="20"/>
          <w:lang w:val="en-US"/>
        </w:rPr>
        <w:t xml:space="preserve"> (Erik), 2002, </w:t>
      </w:r>
      <w:r w:rsidRPr="009C1A63">
        <w:rPr>
          <w:rFonts w:ascii="Times New Roman" w:hAnsi="Times New Roman" w:cs="Times New Roman"/>
          <w:i/>
          <w:iCs/>
          <w:sz w:val="20"/>
          <w:szCs w:val="20"/>
          <w:lang w:val="en-US"/>
        </w:rPr>
        <w:t>The Politics of Economic and Monetary Union: Integration and Idiosyncrasy</w:t>
      </w:r>
      <w:r w:rsidRPr="009C1A63">
        <w:rPr>
          <w:rFonts w:ascii="Times New Roman" w:hAnsi="Times New Roman" w:cs="Times New Roman"/>
          <w:sz w:val="20"/>
          <w:szCs w:val="20"/>
          <w:lang w:val="en-US"/>
        </w:rPr>
        <w:t>, Lanham, Rowman &amp; Littlefield.</w:t>
      </w:r>
    </w:p>
  </w:footnote>
  <w:footnote w:id="30">
    <w:p w14:paraId="5EF9F348" w14:textId="10B1ED04" w:rsidR="00997282" w:rsidRPr="009C1A63" w:rsidRDefault="00997282" w:rsidP="009C1A63">
      <w:pPr>
        <w:spacing w:after="0" w:line="240" w:lineRule="atLeast"/>
        <w:jc w:val="both"/>
        <w:rPr>
          <w:rFonts w:ascii="Times New Roman" w:hAnsi="Times New Roman" w:cs="Times New Roman"/>
          <w:lang w:val="en-US"/>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Kaltenthaler</w:t>
      </w:r>
      <w:r w:rsidRPr="009C1A63">
        <w:rPr>
          <w:rFonts w:ascii="Times New Roman" w:hAnsi="Times New Roman" w:cs="Times New Roman"/>
          <w:sz w:val="20"/>
          <w:szCs w:val="20"/>
          <w:lang w:val="en-US"/>
        </w:rPr>
        <w:t xml:space="preserve"> (Karl), </w:t>
      </w:r>
      <w:r w:rsidRPr="009C1A63">
        <w:rPr>
          <w:rFonts w:ascii="Times New Roman" w:hAnsi="Times New Roman" w:cs="Times New Roman"/>
          <w:b/>
          <w:sz w:val="20"/>
          <w:szCs w:val="20"/>
          <w:lang w:val="en-US"/>
        </w:rPr>
        <w:t>Anderson</w:t>
      </w:r>
      <w:r w:rsidRPr="009C1A63">
        <w:rPr>
          <w:rFonts w:ascii="Times New Roman" w:hAnsi="Times New Roman" w:cs="Times New Roman"/>
          <w:sz w:val="20"/>
          <w:szCs w:val="20"/>
          <w:lang w:val="en-US"/>
        </w:rPr>
        <w:t xml:space="preserve"> (Christopher), 2001, « Europeans and their money: Explaining public support for the common European currency », </w:t>
      </w:r>
      <w:r w:rsidRPr="009C1A63">
        <w:rPr>
          <w:rFonts w:ascii="Times New Roman" w:hAnsi="Times New Roman" w:cs="Times New Roman"/>
          <w:i/>
          <w:iCs/>
          <w:sz w:val="20"/>
          <w:szCs w:val="20"/>
          <w:lang w:val="en-US"/>
        </w:rPr>
        <w:t>European Journal of Political Research</w:t>
      </w:r>
      <w:r w:rsidRPr="009C1A63">
        <w:rPr>
          <w:rFonts w:ascii="Times New Roman" w:hAnsi="Times New Roman" w:cs="Times New Roman"/>
          <w:sz w:val="20"/>
          <w:szCs w:val="20"/>
          <w:lang w:val="en-US"/>
        </w:rPr>
        <w:t>, 40 (2), p. 139–170.</w:t>
      </w:r>
    </w:p>
  </w:footnote>
  <w:footnote w:id="31">
    <w:p w14:paraId="6CF4B014" w14:textId="0213D94B" w:rsidR="00997282" w:rsidRPr="009C1A63" w:rsidRDefault="00997282" w:rsidP="009C1A63">
      <w:pPr>
        <w:spacing w:after="0" w:line="240" w:lineRule="atLeast"/>
        <w:jc w:val="both"/>
        <w:rPr>
          <w:rFonts w:ascii="Times New Roman" w:hAnsi="Times New Roman" w:cs="Times New Roman"/>
          <w:sz w:val="20"/>
          <w:szCs w:val="20"/>
        </w:rPr>
      </w:pPr>
      <w:r w:rsidRPr="009C1A63">
        <w:rPr>
          <w:rStyle w:val="Appelnotedebasdep"/>
          <w:rFonts w:ascii="Times New Roman" w:hAnsi="Times New Roman" w:cs="Times New Roman"/>
          <w:sz w:val="20"/>
          <w:szCs w:val="20"/>
        </w:rPr>
        <w:footnoteRef/>
      </w:r>
      <w:r w:rsidRPr="009C1A63">
        <w:rPr>
          <w:rFonts w:ascii="Times New Roman" w:hAnsi="Times New Roman" w:cs="Times New Roman"/>
          <w:sz w:val="20"/>
          <w:szCs w:val="20"/>
          <w:lang w:val="en-US"/>
        </w:rPr>
        <w:t xml:space="preserve"> </w:t>
      </w:r>
      <w:r w:rsidRPr="009C1A63">
        <w:rPr>
          <w:rFonts w:ascii="Times New Roman" w:hAnsi="Times New Roman" w:cs="Times New Roman"/>
          <w:b/>
          <w:sz w:val="20"/>
          <w:szCs w:val="20"/>
          <w:lang w:val="en-US"/>
        </w:rPr>
        <w:t>Ingham</w:t>
      </w:r>
      <w:r w:rsidRPr="009C1A63">
        <w:rPr>
          <w:rFonts w:ascii="Times New Roman" w:hAnsi="Times New Roman" w:cs="Times New Roman"/>
          <w:sz w:val="20"/>
          <w:szCs w:val="20"/>
          <w:lang w:val="en-US"/>
        </w:rPr>
        <w:t xml:space="preserve"> (Geoffrey), 2004, </w:t>
      </w:r>
      <w:r w:rsidRPr="009C1A63">
        <w:rPr>
          <w:rFonts w:ascii="Times New Roman" w:hAnsi="Times New Roman" w:cs="Times New Roman"/>
          <w:i/>
          <w:iCs/>
          <w:sz w:val="20"/>
          <w:szCs w:val="20"/>
          <w:lang w:val="en-US"/>
        </w:rPr>
        <w:t>The nature of money</w:t>
      </w:r>
      <w:r w:rsidRPr="009C1A63">
        <w:rPr>
          <w:rFonts w:ascii="Times New Roman" w:hAnsi="Times New Roman" w:cs="Times New Roman"/>
          <w:sz w:val="20"/>
          <w:szCs w:val="20"/>
          <w:lang w:val="en-US"/>
        </w:rPr>
        <w:t xml:space="preserve">, Londres, John Wiley &amp; Sons. </w:t>
      </w:r>
      <w:r w:rsidRPr="009C1A63">
        <w:rPr>
          <w:rFonts w:ascii="Times New Roman" w:hAnsi="Times New Roman" w:cs="Times New Roman"/>
          <w:b/>
          <w:sz w:val="20"/>
          <w:szCs w:val="20"/>
          <w:lang w:val="en-US"/>
        </w:rPr>
        <w:t>Epstein</w:t>
      </w:r>
      <w:r w:rsidRPr="009C1A63">
        <w:rPr>
          <w:rFonts w:ascii="Times New Roman" w:hAnsi="Times New Roman" w:cs="Times New Roman"/>
          <w:sz w:val="20"/>
          <w:szCs w:val="20"/>
          <w:lang w:val="en-US"/>
        </w:rPr>
        <w:t xml:space="preserve"> (Gerald A.), 2005, </w:t>
      </w:r>
      <w:r w:rsidRPr="009C1A63">
        <w:rPr>
          <w:rFonts w:ascii="Times New Roman" w:hAnsi="Times New Roman" w:cs="Times New Roman"/>
          <w:i/>
          <w:iCs/>
          <w:sz w:val="20"/>
          <w:szCs w:val="20"/>
          <w:lang w:val="en-US"/>
        </w:rPr>
        <w:t>Financialization and the World Economy</w:t>
      </w:r>
      <w:r w:rsidRPr="009C1A63">
        <w:rPr>
          <w:rFonts w:ascii="Times New Roman" w:hAnsi="Times New Roman" w:cs="Times New Roman"/>
          <w:sz w:val="20"/>
          <w:szCs w:val="20"/>
          <w:lang w:val="en-US"/>
        </w:rPr>
        <w:t>, Londres, Edward Elgar Publishing.</w:t>
      </w:r>
      <w:r w:rsidRPr="009C1A63">
        <w:rPr>
          <w:rFonts w:ascii="Times New Roman" w:hAnsi="Times New Roman" w:cs="Times New Roman"/>
          <w:b/>
          <w:sz w:val="20"/>
          <w:szCs w:val="20"/>
          <w:lang w:val="en-US"/>
        </w:rPr>
        <w:t xml:space="preserve"> </w:t>
      </w:r>
      <w:r w:rsidRPr="009C1A63">
        <w:rPr>
          <w:rFonts w:ascii="Times New Roman" w:hAnsi="Times New Roman" w:cs="Times New Roman"/>
          <w:b/>
          <w:sz w:val="20"/>
          <w:szCs w:val="20"/>
        </w:rPr>
        <w:t>Théret</w:t>
      </w:r>
      <w:r w:rsidRPr="009C1A63">
        <w:rPr>
          <w:rFonts w:ascii="Times New Roman" w:hAnsi="Times New Roman" w:cs="Times New Roman"/>
          <w:sz w:val="20"/>
          <w:szCs w:val="20"/>
        </w:rPr>
        <w:t xml:space="preserve"> (Bruno), 2007, </w:t>
      </w:r>
      <w:r w:rsidRPr="009C1A63">
        <w:rPr>
          <w:rFonts w:ascii="Times New Roman" w:hAnsi="Times New Roman" w:cs="Times New Roman"/>
          <w:i/>
          <w:iCs/>
          <w:sz w:val="20"/>
          <w:szCs w:val="20"/>
        </w:rPr>
        <w:t>La monnaie dévoilée par ses crises : Crises monétaires d’hier et d’aujourd’hui</w:t>
      </w:r>
      <w:r w:rsidRPr="009C1A63">
        <w:rPr>
          <w:rFonts w:ascii="Times New Roman" w:hAnsi="Times New Roman" w:cs="Times New Roman"/>
          <w:sz w:val="20"/>
          <w:szCs w:val="20"/>
        </w:rPr>
        <w:t>, Paris, Éditions de l’École des hautes études en sciences sociales.</w:t>
      </w:r>
    </w:p>
    <w:p w14:paraId="6A09F662" w14:textId="77777777" w:rsidR="00997282" w:rsidRPr="009C1A63" w:rsidRDefault="00997282" w:rsidP="00FC00B5">
      <w:pPr>
        <w:spacing w:after="120" w:line="240" w:lineRule="atLeast"/>
        <w:jc w:val="both"/>
        <w:rPr>
          <w:rFonts w:asciiTheme="majorHAnsi" w:hAnsiTheme="majorHAnsi"/>
          <w:sz w:val="20"/>
          <w:szCs w:val="20"/>
        </w:rPr>
      </w:pPr>
    </w:p>
    <w:p w14:paraId="4085A82C" w14:textId="5FED16DF" w:rsidR="00997282" w:rsidRPr="009C1A63" w:rsidRDefault="00997282" w:rsidP="00FC00B5">
      <w:pPr>
        <w:spacing w:after="120" w:line="240" w:lineRule="atLeast"/>
        <w:jc w:val="both"/>
        <w:rPr>
          <w:rFonts w:asciiTheme="majorHAnsi" w:hAnsiTheme="majorHAnsi"/>
          <w:sz w:val="20"/>
          <w:szCs w:val="20"/>
          <w:lang w:val="fr-BE"/>
        </w:rPr>
      </w:pPr>
    </w:p>
    <w:p w14:paraId="14E4422F" w14:textId="0A37421B" w:rsidR="00997282" w:rsidRPr="009C1A63" w:rsidRDefault="00997282">
      <w:pPr>
        <w:pStyle w:val="Notedebasdepage"/>
        <w:rPr>
          <w:lang w:val="fr-BE"/>
        </w:rPr>
      </w:pPr>
    </w:p>
  </w:footnote>
  <w:footnote w:id="32">
    <w:p w14:paraId="32484F9A" w14:textId="52079DBF" w:rsidR="00997282" w:rsidRPr="0053779C" w:rsidRDefault="00997282" w:rsidP="00DA24D6">
      <w:pPr>
        <w:pStyle w:val="Notedebasdepage"/>
        <w:jc w:val="both"/>
        <w:rPr>
          <w:rFonts w:ascii="Times New Roman" w:hAnsi="Times New Roman" w:cs="Times New Roman"/>
          <w:lang w:val="fr-BE"/>
        </w:rPr>
      </w:pPr>
      <w:r w:rsidRPr="0053779C">
        <w:rPr>
          <w:rStyle w:val="Appelnotedebasdep"/>
          <w:rFonts w:ascii="Times New Roman" w:hAnsi="Times New Roman" w:cs="Times New Roman"/>
        </w:rPr>
        <w:footnoteRef/>
      </w:r>
      <w:r w:rsidRPr="0053779C">
        <w:rPr>
          <w:rFonts w:ascii="Times New Roman" w:hAnsi="Times New Roman" w:cs="Times New Roman"/>
        </w:rPr>
        <w:t xml:space="preserve"> </w:t>
      </w:r>
      <w:r w:rsidRPr="0053779C">
        <w:rPr>
          <w:rFonts w:ascii="Times New Roman" w:hAnsi="Times New Roman" w:cs="Times New Roman"/>
          <w:lang w:val="fr-BE"/>
        </w:rPr>
        <w:t>Le rôle de prêteur en dernier ressort est une fonction classique des banques centrales. Il consiste à assurer les besoins de liquidités des banques solvables en situation de crise financière afin d’éviter l’effondrement des systèmes financiers.</w:t>
      </w:r>
    </w:p>
  </w:footnote>
  <w:footnote w:id="33">
    <w:p w14:paraId="43628B52" w14:textId="13B60241" w:rsidR="00997282" w:rsidRPr="0053779C" w:rsidRDefault="00997282" w:rsidP="00DA24D6">
      <w:pPr>
        <w:spacing w:after="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Buiter</w:t>
      </w:r>
      <w:r w:rsidRPr="0053779C">
        <w:rPr>
          <w:rFonts w:ascii="Times New Roman" w:hAnsi="Times New Roman" w:cs="Times New Roman"/>
          <w:sz w:val="20"/>
          <w:szCs w:val="20"/>
          <w:lang w:val="en-US"/>
        </w:rPr>
        <w:t xml:space="preserve"> (Willem), </w:t>
      </w:r>
      <w:r w:rsidRPr="0053779C">
        <w:rPr>
          <w:rFonts w:ascii="Times New Roman" w:hAnsi="Times New Roman" w:cs="Times New Roman"/>
          <w:b/>
          <w:sz w:val="20"/>
          <w:szCs w:val="20"/>
          <w:lang w:val="en-US"/>
        </w:rPr>
        <w:t>Rahbari</w:t>
      </w:r>
      <w:r w:rsidRPr="0053779C">
        <w:rPr>
          <w:rFonts w:ascii="Times New Roman" w:hAnsi="Times New Roman" w:cs="Times New Roman"/>
          <w:sz w:val="20"/>
          <w:szCs w:val="20"/>
          <w:lang w:val="en-US"/>
        </w:rPr>
        <w:t xml:space="preserve"> (Ebrahim), 2012, « The European Central Bank as Lender of Last Resort for Sovereigns in the Eurozone », </w:t>
      </w:r>
      <w:r w:rsidRPr="0053779C">
        <w:rPr>
          <w:rFonts w:ascii="Times New Roman" w:hAnsi="Times New Roman" w:cs="Times New Roman"/>
          <w:i/>
          <w:iCs/>
          <w:sz w:val="20"/>
          <w:szCs w:val="20"/>
          <w:lang w:val="en-US"/>
        </w:rPr>
        <w:t>Journal of Common Market Studies</w:t>
      </w:r>
      <w:r w:rsidRPr="0053779C">
        <w:rPr>
          <w:rFonts w:ascii="Times New Roman" w:hAnsi="Times New Roman" w:cs="Times New Roman"/>
          <w:sz w:val="20"/>
          <w:szCs w:val="20"/>
          <w:lang w:val="en-US"/>
        </w:rPr>
        <w:t xml:space="preserve">, 50, p. 6–35. </w:t>
      </w:r>
    </w:p>
  </w:footnote>
  <w:footnote w:id="34">
    <w:p w14:paraId="1680D43D" w14:textId="27D66FBB" w:rsidR="00997282" w:rsidRPr="0053779C" w:rsidRDefault="00997282" w:rsidP="00DA24D6">
      <w:pPr>
        <w:pStyle w:val="Notedebasdepage"/>
        <w:jc w:val="both"/>
        <w:rPr>
          <w:rFonts w:ascii="Times New Roman" w:hAnsi="Times New Roman" w:cs="Times New Roman"/>
          <w:lang w:val="fr-BE"/>
        </w:rPr>
      </w:pPr>
      <w:r w:rsidRPr="0053779C">
        <w:rPr>
          <w:rStyle w:val="Appelnotedebasdep"/>
          <w:rFonts w:ascii="Times New Roman" w:hAnsi="Times New Roman" w:cs="Times New Roman"/>
        </w:rPr>
        <w:footnoteRef/>
      </w:r>
      <w:r w:rsidRPr="0053779C">
        <w:rPr>
          <w:rFonts w:ascii="Times New Roman" w:hAnsi="Times New Roman" w:cs="Times New Roman"/>
        </w:rPr>
        <w:t xml:space="preserve"> </w:t>
      </w:r>
      <w:r w:rsidRPr="0053779C">
        <w:rPr>
          <w:rFonts w:ascii="Times New Roman" w:hAnsi="Times New Roman" w:cs="Times New Roman"/>
          <w:lang w:val="fr-BE"/>
        </w:rPr>
        <w:t>Les opérations d’</w:t>
      </w:r>
      <w:r w:rsidRPr="0053779C">
        <w:rPr>
          <w:rFonts w:ascii="Times New Roman" w:hAnsi="Times New Roman" w:cs="Times New Roman"/>
          <w:i/>
          <w:lang w:val="fr-BE"/>
        </w:rPr>
        <w:t>open-market</w:t>
      </w:r>
      <w:r w:rsidRPr="0053779C">
        <w:rPr>
          <w:rFonts w:ascii="Times New Roman" w:hAnsi="Times New Roman" w:cs="Times New Roman"/>
          <w:lang w:val="fr-BE"/>
        </w:rPr>
        <w:t xml:space="preserve"> sont les outils conventionnels de la politique monétaire : la banque centrale prête des liquidités à un certain taux d’intérêt pour une durée courte (deux semaines) aux banques commerciales. En contrepartie, les banques commerciales déposent des titres financiers en dépôt à la banque centrale (</w:t>
      </w:r>
      <w:r w:rsidRPr="0053779C">
        <w:rPr>
          <w:rFonts w:ascii="Times New Roman" w:hAnsi="Times New Roman" w:cs="Times New Roman"/>
          <w:i/>
          <w:lang w:val="fr-BE"/>
        </w:rPr>
        <w:t>collateral</w:t>
      </w:r>
      <w:r w:rsidRPr="0053779C">
        <w:rPr>
          <w:rFonts w:ascii="Times New Roman" w:hAnsi="Times New Roman" w:cs="Times New Roman"/>
          <w:lang w:val="fr-BE"/>
        </w:rPr>
        <w:t xml:space="preserve">) le temps de l’opération. </w:t>
      </w:r>
    </w:p>
  </w:footnote>
  <w:footnote w:id="35">
    <w:p w14:paraId="37016E2C" w14:textId="53A3DD6A" w:rsidR="00997282" w:rsidRPr="0053779C" w:rsidRDefault="00997282" w:rsidP="00DA24D6">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Ertürk</w:t>
      </w:r>
      <w:r w:rsidRPr="0053779C">
        <w:rPr>
          <w:rFonts w:ascii="Times New Roman" w:eastAsia="Times New Roman" w:hAnsi="Times New Roman" w:cs="Times New Roman"/>
          <w:sz w:val="20"/>
          <w:szCs w:val="20"/>
          <w:lang w:val="sv-SE" w:eastAsia="sv-SE"/>
        </w:rPr>
        <w:t xml:space="preserve"> (Ismail), 2014,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Reconceptualizing Central Bank Unconventional Policies: Long Positions on No-Growth Capitalism</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in</w:t>
      </w:r>
      <w:r w:rsidRPr="0053779C">
        <w:rPr>
          <w:rFonts w:ascii="Times New Roman" w:eastAsia="Times New Roman" w:hAnsi="Times New Roman" w:cs="Times New Roman"/>
          <w:sz w:val="20"/>
          <w:szCs w:val="20"/>
          <w:lang w:val="sv-SE" w:eastAsia="sv-SE"/>
        </w:rPr>
        <w:t xml:space="preserve"> Charles Goodhart, Daniela Gabor, Jakob Vestergaard, Ismail Ertürk dir., </w:t>
      </w:r>
      <w:r w:rsidRPr="0053779C">
        <w:rPr>
          <w:rFonts w:ascii="Times New Roman" w:eastAsia="Times New Roman" w:hAnsi="Times New Roman" w:cs="Times New Roman"/>
          <w:i/>
          <w:sz w:val="20"/>
          <w:szCs w:val="20"/>
          <w:lang w:val="sv-SE" w:eastAsia="sv-SE"/>
        </w:rPr>
        <w:t>Central Banking at a Crossroads: Europe and Beyond</w:t>
      </w:r>
      <w:r w:rsidRPr="0053779C">
        <w:rPr>
          <w:rFonts w:ascii="Times New Roman" w:eastAsia="Times New Roman" w:hAnsi="Times New Roman" w:cs="Times New Roman"/>
          <w:sz w:val="20"/>
          <w:szCs w:val="20"/>
          <w:lang w:val="sv-SE" w:eastAsia="sv-SE"/>
        </w:rPr>
        <w:t>, London, Anthem Press, p. 217-229.</w:t>
      </w:r>
    </w:p>
  </w:footnote>
  <w:footnote w:id="36">
    <w:p w14:paraId="7FAB779C" w14:textId="77777777" w:rsidR="00997282" w:rsidRPr="0053779C" w:rsidRDefault="00997282" w:rsidP="00DA24D6">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Cour-Thimann</w:t>
      </w:r>
      <w:r w:rsidRPr="0053779C">
        <w:rPr>
          <w:rFonts w:ascii="Times New Roman" w:eastAsia="Times New Roman" w:hAnsi="Times New Roman" w:cs="Times New Roman"/>
          <w:sz w:val="20"/>
          <w:szCs w:val="20"/>
          <w:lang w:val="sv-SE" w:eastAsia="sv-SE"/>
        </w:rPr>
        <w:t xml:space="preserve"> (Philippine), 2013,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Monetary policy and redistribution: information from central bank balance sheets in the Euro area and the US</w:t>
      </w:r>
      <w:r w:rsidRPr="0053779C">
        <w:rPr>
          <w:rFonts w:ascii="Times New Roman" w:hAnsi="Times New Roman" w:cs="Times New Roman"/>
          <w:sz w:val="20"/>
          <w:szCs w:val="20"/>
          <w:lang w:val="en-US"/>
        </w:rPr>
        <w:t> », </w:t>
      </w:r>
      <w:r w:rsidRPr="0053779C">
        <w:rPr>
          <w:rFonts w:ascii="Times New Roman" w:eastAsia="Times New Roman" w:hAnsi="Times New Roman" w:cs="Times New Roman"/>
          <w:i/>
          <w:sz w:val="20"/>
          <w:szCs w:val="20"/>
          <w:lang w:val="sv-SE" w:eastAsia="sv-SE"/>
        </w:rPr>
        <w:t>Review of Economics</w:t>
      </w:r>
      <w:r w:rsidRPr="0053779C">
        <w:rPr>
          <w:rFonts w:ascii="Times New Roman" w:eastAsia="Times New Roman" w:hAnsi="Times New Roman" w:cs="Times New Roman"/>
          <w:sz w:val="20"/>
          <w:szCs w:val="20"/>
          <w:lang w:val="sv-SE" w:eastAsia="sv-SE"/>
        </w:rPr>
        <w:t>, 64 (3), p. 293-324.</w:t>
      </w:r>
    </w:p>
    <w:p w14:paraId="46BA9F4F" w14:textId="58CEE3BC" w:rsidR="00997282" w:rsidRPr="00374D49" w:rsidRDefault="00997282" w:rsidP="00482B2E">
      <w:pPr>
        <w:autoSpaceDE w:val="0"/>
        <w:autoSpaceDN w:val="0"/>
        <w:adjustRightInd w:val="0"/>
        <w:spacing w:after="0" w:line="240" w:lineRule="auto"/>
        <w:jc w:val="both"/>
        <w:rPr>
          <w:rFonts w:asciiTheme="majorHAnsi" w:hAnsiTheme="majorHAnsi" w:cs="Times New Roman"/>
          <w:sz w:val="20"/>
          <w:szCs w:val="20"/>
          <w:lang w:val="fr-BE"/>
        </w:rPr>
      </w:pPr>
      <w:r w:rsidRPr="0053779C">
        <w:rPr>
          <w:rFonts w:ascii="Times New Roman" w:hAnsi="Times New Roman" w:cs="Times New Roman"/>
          <w:sz w:val="20"/>
          <w:szCs w:val="20"/>
          <w:lang w:val="en-US"/>
        </w:rPr>
        <w:t xml:space="preserve"> </w:t>
      </w:r>
      <w:r w:rsidRPr="0053779C">
        <w:rPr>
          <w:rFonts w:ascii="Times New Roman" w:hAnsi="Times New Roman" w:cs="Times New Roman"/>
          <w:sz w:val="20"/>
          <w:szCs w:val="20"/>
          <w:lang w:val="fr-BE"/>
        </w:rPr>
        <w:t xml:space="preserve">L’opération de </w:t>
      </w:r>
      <w:r w:rsidRPr="0053779C">
        <w:rPr>
          <w:rFonts w:ascii="Times New Roman" w:hAnsi="Times New Roman" w:cs="Times New Roman"/>
          <w:i/>
          <w:sz w:val="20"/>
          <w:szCs w:val="20"/>
          <w:lang w:val="fr-BE"/>
        </w:rPr>
        <w:t>carry-trade</w:t>
      </w:r>
      <w:r w:rsidRPr="0053779C">
        <w:rPr>
          <w:rFonts w:ascii="Times New Roman" w:hAnsi="Times New Roman" w:cs="Times New Roman"/>
          <w:sz w:val="20"/>
          <w:szCs w:val="20"/>
          <w:lang w:val="fr-BE"/>
        </w:rPr>
        <w:t xml:space="preserve"> équivaut pour une banque commerciale à contracter un prêt à la banque centrale à un taux d’intérêt inférieur à celui lié à la détention de la dette souveraine. La plus-value qu’offre la différence de taux d’intérêt est appelée le </w:t>
      </w:r>
      <w:r w:rsidRPr="0053779C">
        <w:rPr>
          <w:rFonts w:ascii="Times New Roman" w:hAnsi="Times New Roman" w:cs="Times New Roman"/>
          <w:i/>
          <w:sz w:val="20"/>
          <w:szCs w:val="20"/>
          <w:lang w:val="fr-BE"/>
        </w:rPr>
        <w:t>carry-trade</w:t>
      </w:r>
      <w:r w:rsidRPr="0053779C">
        <w:rPr>
          <w:rFonts w:ascii="Times New Roman" w:hAnsi="Times New Roman" w:cs="Times New Roman"/>
          <w:sz w:val="20"/>
          <w:szCs w:val="20"/>
          <w:lang w:val="fr-BE"/>
        </w:rPr>
        <w:t>.</w:t>
      </w:r>
    </w:p>
  </w:footnote>
  <w:footnote w:id="37">
    <w:p w14:paraId="69784F11" w14:textId="1F777D62"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Les marchés secondaires sont les marchés d’échanges de titres financiers tandis que les marchés primaires sont les marchés d’émission de ces titres. Les programmes successifs sont le </w:t>
      </w:r>
      <w:r w:rsidRPr="0053779C">
        <w:rPr>
          <w:rFonts w:ascii="Times New Roman" w:hAnsi="Times New Roman" w:cs="Times New Roman"/>
          <w:i/>
          <w:lang w:val="fr-BE"/>
        </w:rPr>
        <w:t>Securities Market Program</w:t>
      </w:r>
      <w:r w:rsidRPr="0053779C">
        <w:rPr>
          <w:rFonts w:ascii="Times New Roman" w:hAnsi="Times New Roman" w:cs="Times New Roman"/>
          <w:lang w:val="fr-BE"/>
        </w:rPr>
        <w:t xml:space="preserve"> (SMP), le</w:t>
      </w:r>
      <w:r w:rsidRPr="0053779C">
        <w:rPr>
          <w:rFonts w:ascii="Times New Roman" w:hAnsi="Times New Roman" w:cs="Times New Roman"/>
          <w:i/>
          <w:lang w:val="fr-BE"/>
        </w:rPr>
        <w:t xml:space="preserve"> Outright Monetary Transactions </w:t>
      </w:r>
      <w:r w:rsidRPr="0053779C">
        <w:rPr>
          <w:rFonts w:ascii="Times New Roman" w:hAnsi="Times New Roman" w:cs="Times New Roman"/>
          <w:lang w:val="fr-BE"/>
        </w:rPr>
        <w:t xml:space="preserve">(OMT) et le </w:t>
      </w:r>
      <w:r w:rsidRPr="0053779C">
        <w:rPr>
          <w:rFonts w:ascii="Times New Roman" w:hAnsi="Times New Roman" w:cs="Times New Roman"/>
          <w:i/>
          <w:szCs w:val="24"/>
          <w:lang w:val="fr-BE"/>
        </w:rPr>
        <w:t>Asset Purchase Programme</w:t>
      </w:r>
      <w:r w:rsidRPr="0053779C">
        <w:rPr>
          <w:rFonts w:ascii="Times New Roman" w:hAnsi="Times New Roman" w:cs="Times New Roman"/>
          <w:szCs w:val="24"/>
          <w:lang w:val="fr-BE"/>
        </w:rPr>
        <w:t xml:space="preserve"> (APP)</w:t>
      </w:r>
    </w:p>
  </w:footnote>
  <w:footnote w:id="38">
    <w:p w14:paraId="37DE9235" w14:textId="220A325B"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Les titres achetés sont principalement des dettes souveraines, mais aussi des obligations d’entreprises privées et des instruments financiers plus complexes (comme les produits titrisés de type </w:t>
      </w:r>
      <w:r w:rsidRPr="0053779C">
        <w:rPr>
          <w:rFonts w:ascii="Times New Roman" w:hAnsi="Times New Roman" w:cs="Times New Roman"/>
          <w:i/>
          <w:lang w:val="fr-BE"/>
        </w:rPr>
        <w:t>subprime</w:t>
      </w:r>
      <w:r w:rsidRPr="0053779C">
        <w:rPr>
          <w:rFonts w:ascii="Times New Roman" w:hAnsi="Times New Roman" w:cs="Times New Roman"/>
          <w:lang w:val="fr-BE"/>
        </w:rPr>
        <w:t>).</w:t>
      </w:r>
      <w:r w:rsidRPr="0053779C">
        <w:rPr>
          <w:rFonts w:ascii="Times New Roman" w:hAnsi="Times New Roman" w:cs="Times New Roman"/>
          <w:lang w:val="fr-FR"/>
        </w:rPr>
        <w:t xml:space="preserve"> Quand le prix d’un actif augmente, son rendement baisse ; les banques centrales cherchent ainsi à orienter les investisseurs vers des actifs plus risqués et plus rentables tels que les obligations et les actions des entreprises. Ces dernières devraient donc bénéficier d’emprunts avantageux, les poussant à dépenser et investir davantage.</w:t>
      </w:r>
    </w:p>
  </w:footnote>
  <w:footnote w:id="39">
    <w:p w14:paraId="145B4270" w14:textId="766A5661" w:rsidR="00997282" w:rsidRPr="000757F4" w:rsidRDefault="00997282">
      <w:pPr>
        <w:pStyle w:val="Notedebasdepage"/>
        <w:rPr>
          <w:rFonts w:ascii="Times New Roman" w:hAnsi="Times New Roman" w:cs="Times New Roman"/>
          <w:lang w:val="en-US"/>
        </w:rPr>
      </w:pPr>
      <w:r w:rsidRPr="0053779C">
        <w:rPr>
          <w:rStyle w:val="Appelnotedebasdep"/>
          <w:rFonts w:ascii="Times New Roman" w:hAnsi="Times New Roman" w:cs="Times New Roman"/>
        </w:rPr>
        <w:footnoteRef/>
      </w:r>
      <w:r w:rsidR="000757F4">
        <w:rPr>
          <w:rFonts w:ascii="Times New Roman" w:hAnsi="Times New Roman" w:cs="Times New Roman"/>
          <w:b/>
          <w:lang w:val="en-US"/>
        </w:rPr>
        <w:t xml:space="preserve"> </w:t>
      </w:r>
      <w:r w:rsidRPr="00C95CF5">
        <w:rPr>
          <w:rFonts w:ascii="Times New Roman" w:hAnsi="Times New Roman" w:cs="Times New Roman"/>
          <w:b/>
          <w:lang w:val="en-US"/>
        </w:rPr>
        <w:t>Tesche</w:t>
      </w:r>
      <w:r w:rsidR="00C95CF5">
        <w:rPr>
          <w:rFonts w:ascii="Times New Roman" w:hAnsi="Times New Roman" w:cs="Times New Roman"/>
          <w:lang w:val="en-US"/>
        </w:rPr>
        <w:t xml:space="preserve"> (</w:t>
      </w:r>
      <w:r w:rsidR="00C95CF5" w:rsidRPr="0053779C">
        <w:rPr>
          <w:rFonts w:ascii="Times New Roman" w:hAnsi="Times New Roman" w:cs="Times New Roman"/>
          <w:lang w:val="en-US"/>
        </w:rPr>
        <w:t>Tobias</w:t>
      </w:r>
      <w:r w:rsidR="00C95CF5">
        <w:rPr>
          <w:rFonts w:ascii="Times New Roman" w:hAnsi="Times New Roman" w:cs="Times New Roman"/>
          <w:lang w:val="en-US"/>
        </w:rPr>
        <w:t>),</w:t>
      </w:r>
      <w:r w:rsidRPr="0053779C">
        <w:rPr>
          <w:rFonts w:ascii="Times New Roman" w:hAnsi="Times New Roman" w:cs="Times New Roman"/>
          <w:lang w:val="en-US"/>
        </w:rPr>
        <w:t xml:space="preserve"> </w:t>
      </w:r>
      <w:r w:rsidR="00C95CF5" w:rsidRPr="00C95CF5">
        <w:rPr>
          <w:rFonts w:ascii="Times New Roman" w:hAnsi="Times New Roman" w:cs="Times New Roman"/>
          <w:lang w:val="en-US"/>
        </w:rPr>
        <w:t>2018</w:t>
      </w:r>
      <w:r w:rsidR="00C95CF5">
        <w:rPr>
          <w:rFonts w:ascii="Times New Roman" w:hAnsi="Times New Roman" w:cs="Times New Roman"/>
          <w:lang w:val="en-US"/>
        </w:rPr>
        <w:t xml:space="preserve">, </w:t>
      </w:r>
      <w:r w:rsidR="00C95CF5" w:rsidRPr="00C95CF5">
        <w:rPr>
          <w:rFonts w:ascii="Times New Roman" w:hAnsi="Times New Roman" w:cs="Times New Roman"/>
          <w:lang w:val="en-US"/>
        </w:rPr>
        <w:t>« </w:t>
      </w:r>
      <w:r w:rsidRPr="0053779C">
        <w:rPr>
          <w:rFonts w:ascii="Times New Roman" w:hAnsi="Times New Roman" w:cs="Times New Roman"/>
          <w:lang w:val="en-US"/>
        </w:rPr>
        <w:t>Instrumentalizing EMU’s democratic deficit: the ECB’s unconventional accountability measu</w:t>
      </w:r>
      <w:r w:rsidR="00C95CF5">
        <w:rPr>
          <w:rFonts w:ascii="Times New Roman" w:hAnsi="Times New Roman" w:cs="Times New Roman"/>
          <w:lang w:val="en-US"/>
        </w:rPr>
        <w:t>res during the eurozone crisis.</w:t>
      </w:r>
      <w:r w:rsidR="00C95CF5" w:rsidRPr="00C95CF5">
        <w:rPr>
          <w:rFonts w:ascii="Times New Roman" w:hAnsi="Times New Roman" w:cs="Times New Roman"/>
          <w:lang w:val="en-US"/>
        </w:rPr>
        <w:t> »</w:t>
      </w:r>
      <w:r w:rsidRPr="0053779C">
        <w:rPr>
          <w:rFonts w:ascii="Times New Roman" w:hAnsi="Times New Roman" w:cs="Times New Roman"/>
          <w:lang w:val="en-US"/>
        </w:rPr>
        <w:t xml:space="preserve"> </w:t>
      </w:r>
      <w:r w:rsidRPr="000757F4">
        <w:rPr>
          <w:rFonts w:ascii="Times New Roman" w:hAnsi="Times New Roman" w:cs="Times New Roman"/>
          <w:i/>
          <w:iCs/>
          <w:lang w:val="en-US"/>
        </w:rPr>
        <w:t>Journal of European integration</w:t>
      </w:r>
      <w:r w:rsidR="00C95CF5" w:rsidRPr="000757F4">
        <w:rPr>
          <w:rFonts w:ascii="Times New Roman" w:hAnsi="Times New Roman" w:cs="Times New Roman"/>
          <w:lang w:val="en-US"/>
        </w:rPr>
        <w:t>,</w:t>
      </w:r>
      <w:r w:rsidRPr="000757F4">
        <w:rPr>
          <w:rFonts w:ascii="Times New Roman" w:hAnsi="Times New Roman" w:cs="Times New Roman"/>
          <w:lang w:val="en-US"/>
        </w:rPr>
        <w:t xml:space="preserve"> p.1-17.</w:t>
      </w:r>
    </w:p>
  </w:footnote>
  <w:footnote w:id="40">
    <w:p w14:paraId="6D20AD4C" w14:textId="11BDE1B9" w:rsidR="00997282" w:rsidRPr="00374D49" w:rsidRDefault="00997282" w:rsidP="00482B2E">
      <w:pPr>
        <w:autoSpaceDE w:val="0"/>
        <w:autoSpaceDN w:val="0"/>
        <w:adjustRightInd w:val="0"/>
        <w:spacing w:after="0" w:line="240" w:lineRule="auto"/>
        <w:jc w:val="both"/>
        <w:rPr>
          <w:rFonts w:asciiTheme="majorHAnsi" w:hAnsiTheme="majorHAnsi" w:cs="Times New Roman"/>
          <w:sz w:val="20"/>
          <w:szCs w:val="20"/>
          <w:lang w:val="fr-B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rPr>
        <w:t xml:space="preserve"> </w:t>
      </w:r>
      <w:r w:rsidRPr="0053779C">
        <w:rPr>
          <w:rFonts w:ascii="Times New Roman" w:hAnsi="Times New Roman" w:cs="Times New Roman"/>
          <w:sz w:val="20"/>
          <w:szCs w:val="20"/>
          <w:lang w:val="fr-BE"/>
        </w:rPr>
        <w:t>Les risques d’aléa moral apparaissent quand les banques commerciales savent qu’elles seront assistées par la banque centrale en cas de difficultés, celles-ci vont adopter un comportement plus risqué qui renforce le risque de crise.</w:t>
      </w:r>
    </w:p>
  </w:footnote>
  <w:footnote w:id="41">
    <w:p w14:paraId="4275D64C" w14:textId="5C8D7386" w:rsidR="00997282" w:rsidRPr="0053779C" w:rsidRDefault="00997282" w:rsidP="00DA24D6">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Admati</w:t>
      </w:r>
      <w:r w:rsidRPr="0053779C">
        <w:rPr>
          <w:rFonts w:ascii="Times New Roman" w:eastAsia="Times New Roman" w:hAnsi="Times New Roman" w:cs="Times New Roman"/>
          <w:sz w:val="20"/>
          <w:szCs w:val="20"/>
          <w:lang w:val="sv-SE" w:eastAsia="sv-SE"/>
        </w:rPr>
        <w:t xml:space="preserve"> (Anat), </w:t>
      </w:r>
      <w:r w:rsidRPr="0053779C">
        <w:rPr>
          <w:rFonts w:ascii="Times New Roman" w:eastAsia="Times New Roman" w:hAnsi="Times New Roman" w:cs="Times New Roman"/>
          <w:b/>
          <w:sz w:val="20"/>
          <w:szCs w:val="20"/>
          <w:lang w:val="sv-SE" w:eastAsia="sv-SE"/>
        </w:rPr>
        <w:t>Hellwig</w:t>
      </w:r>
      <w:r w:rsidRPr="0053779C">
        <w:rPr>
          <w:rFonts w:ascii="Times New Roman" w:eastAsia="Times New Roman" w:hAnsi="Times New Roman" w:cs="Times New Roman"/>
          <w:sz w:val="20"/>
          <w:szCs w:val="20"/>
          <w:lang w:val="sv-SE" w:eastAsia="sv-SE"/>
        </w:rPr>
        <w:t xml:space="preserve"> (Martin), 2014, </w:t>
      </w:r>
      <w:r w:rsidRPr="0053779C">
        <w:rPr>
          <w:rFonts w:ascii="Times New Roman" w:eastAsia="Times New Roman" w:hAnsi="Times New Roman" w:cs="Times New Roman"/>
          <w:i/>
          <w:sz w:val="20"/>
          <w:szCs w:val="20"/>
          <w:lang w:val="sv-SE" w:eastAsia="sv-SE"/>
        </w:rPr>
        <w:t>The bankers’ new clothes: What’s wrong with banking and what to do about it</w:t>
      </w:r>
      <w:r w:rsidRPr="0053779C">
        <w:rPr>
          <w:rFonts w:ascii="Times New Roman" w:eastAsia="Times New Roman" w:hAnsi="Times New Roman" w:cs="Times New Roman"/>
          <w:sz w:val="20"/>
          <w:szCs w:val="20"/>
          <w:lang w:val="sv-SE" w:eastAsia="sv-SE"/>
        </w:rPr>
        <w:t>, Princeton, Princeton University Press.</w:t>
      </w:r>
    </w:p>
  </w:footnote>
  <w:footnote w:id="42">
    <w:p w14:paraId="3B0210BF" w14:textId="141B04C3" w:rsidR="00997282" w:rsidRPr="0053779C" w:rsidRDefault="00997282" w:rsidP="00DA24D6">
      <w:pPr>
        <w:spacing w:after="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Matikainen</w:t>
      </w:r>
      <w:r w:rsidRPr="0053779C">
        <w:rPr>
          <w:rFonts w:ascii="Times New Roman" w:hAnsi="Times New Roman" w:cs="Times New Roman"/>
          <w:sz w:val="20"/>
          <w:szCs w:val="20"/>
          <w:lang w:val="en-US"/>
        </w:rPr>
        <w:t xml:space="preserve"> (Sini), </w:t>
      </w:r>
      <w:r w:rsidRPr="0053779C">
        <w:rPr>
          <w:rFonts w:ascii="Times New Roman" w:hAnsi="Times New Roman" w:cs="Times New Roman"/>
          <w:b/>
          <w:sz w:val="20"/>
          <w:szCs w:val="20"/>
          <w:lang w:val="en-US"/>
        </w:rPr>
        <w:t>Campiglio</w:t>
      </w:r>
      <w:r w:rsidRPr="0053779C">
        <w:rPr>
          <w:rFonts w:ascii="Times New Roman" w:hAnsi="Times New Roman" w:cs="Times New Roman"/>
          <w:sz w:val="20"/>
          <w:szCs w:val="20"/>
          <w:lang w:val="en-US"/>
        </w:rPr>
        <w:t xml:space="preserve"> (Emanuele), </w:t>
      </w:r>
      <w:r w:rsidRPr="0053779C">
        <w:rPr>
          <w:rFonts w:ascii="Times New Roman" w:hAnsi="Times New Roman" w:cs="Times New Roman"/>
          <w:b/>
          <w:sz w:val="20"/>
          <w:szCs w:val="20"/>
          <w:lang w:val="en-US"/>
        </w:rPr>
        <w:t>Zenghelis</w:t>
      </w:r>
      <w:r w:rsidRPr="0053779C">
        <w:rPr>
          <w:rFonts w:ascii="Times New Roman" w:hAnsi="Times New Roman" w:cs="Times New Roman"/>
          <w:sz w:val="20"/>
          <w:szCs w:val="20"/>
          <w:lang w:val="en-US"/>
        </w:rPr>
        <w:t xml:space="preserve"> (Dimitri), 2017, « The climate impact of quantitative easing », </w:t>
      </w:r>
      <w:r w:rsidRPr="0053779C">
        <w:rPr>
          <w:rFonts w:ascii="Times New Roman" w:hAnsi="Times New Roman" w:cs="Times New Roman"/>
          <w:i/>
          <w:iCs/>
          <w:sz w:val="20"/>
          <w:szCs w:val="20"/>
          <w:lang w:val="en-US"/>
        </w:rPr>
        <w:t>Grantham Institute Policy Papers</w:t>
      </w:r>
      <w:r w:rsidRPr="0053779C">
        <w:rPr>
          <w:rFonts w:ascii="Times New Roman" w:hAnsi="Times New Roman" w:cs="Times New Roman"/>
          <w:sz w:val="20"/>
          <w:szCs w:val="20"/>
          <w:lang w:val="en-US"/>
        </w:rPr>
        <w:t>.</w:t>
      </w:r>
    </w:p>
  </w:footnote>
  <w:footnote w:id="43">
    <w:p w14:paraId="6CC35CCE" w14:textId="064B1551" w:rsidR="00997282" w:rsidRPr="009C1A63" w:rsidRDefault="00997282" w:rsidP="00DA24D6">
      <w:pPr>
        <w:spacing w:after="0" w:line="240" w:lineRule="atLeast"/>
        <w:jc w:val="both"/>
        <w:rPr>
          <w:rFonts w:ascii="Times New Roman" w:eastAsia="Times New Roman" w:hAnsi="Times New Roman" w:cs="Times New Roman"/>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Domanski</w:t>
      </w:r>
      <w:r w:rsidRPr="0053779C">
        <w:rPr>
          <w:rFonts w:ascii="Times New Roman" w:eastAsia="Times New Roman" w:hAnsi="Times New Roman" w:cs="Times New Roman"/>
          <w:sz w:val="20"/>
          <w:szCs w:val="20"/>
          <w:lang w:val="sv-SE" w:eastAsia="sv-SE"/>
        </w:rPr>
        <w:t xml:space="preserve"> (Dietrich), </w:t>
      </w:r>
      <w:r w:rsidRPr="0053779C">
        <w:rPr>
          <w:rFonts w:ascii="Times New Roman" w:eastAsia="Times New Roman" w:hAnsi="Times New Roman" w:cs="Times New Roman"/>
          <w:b/>
          <w:sz w:val="20"/>
          <w:szCs w:val="20"/>
          <w:lang w:val="sv-SE" w:eastAsia="sv-SE"/>
        </w:rPr>
        <w:t>Scatigna</w:t>
      </w:r>
      <w:r w:rsidRPr="0053779C">
        <w:rPr>
          <w:rFonts w:ascii="Times New Roman" w:eastAsia="Times New Roman" w:hAnsi="Times New Roman" w:cs="Times New Roman"/>
          <w:sz w:val="20"/>
          <w:szCs w:val="20"/>
          <w:lang w:val="sv-SE" w:eastAsia="sv-SE"/>
        </w:rPr>
        <w:t xml:space="preserve"> (Michela), </w:t>
      </w:r>
      <w:r w:rsidRPr="0053779C">
        <w:rPr>
          <w:rFonts w:ascii="Times New Roman" w:eastAsia="Times New Roman" w:hAnsi="Times New Roman" w:cs="Times New Roman"/>
          <w:b/>
          <w:sz w:val="20"/>
          <w:szCs w:val="20"/>
          <w:lang w:val="sv-SE" w:eastAsia="sv-SE"/>
        </w:rPr>
        <w:t>Zabai</w:t>
      </w:r>
      <w:r w:rsidRPr="0053779C">
        <w:rPr>
          <w:rFonts w:ascii="Times New Roman" w:eastAsia="Times New Roman" w:hAnsi="Times New Roman" w:cs="Times New Roman"/>
          <w:sz w:val="20"/>
          <w:szCs w:val="20"/>
          <w:lang w:val="sv-SE" w:eastAsia="sv-SE"/>
        </w:rPr>
        <w:t xml:space="preserve"> (Anna), 2016,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Wealth Inequality and Monetary Policy</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BIS Quarterly Review</w:t>
      </w:r>
      <w:r w:rsidRPr="0053779C">
        <w:rPr>
          <w:rFonts w:ascii="Times New Roman" w:eastAsia="Times New Roman" w:hAnsi="Times New Roman" w:cs="Times New Roman"/>
          <w:sz w:val="20"/>
          <w:szCs w:val="20"/>
          <w:lang w:val="sv-SE" w:eastAsia="sv-SE"/>
        </w:rPr>
        <w:t>, march.</w:t>
      </w:r>
    </w:p>
  </w:footnote>
  <w:footnote w:id="44">
    <w:p w14:paraId="617E819D" w14:textId="6D402A29" w:rsidR="00997282" w:rsidRPr="00DA24D6" w:rsidRDefault="00997282" w:rsidP="00DA24D6">
      <w:pPr>
        <w:spacing w:after="0" w:line="240" w:lineRule="atLeast"/>
        <w:jc w:val="both"/>
        <w:rPr>
          <w:lang w:val="en-GB"/>
        </w:rPr>
      </w:pPr>
      <w:r w:rsidRPr="00DA24D6">
        <w:rPr>
          <w:rStyle w:val="Appelnotedebasdep"/>
          <w:rFonts w:ascii="Times New Roman" w:hAnsi="Times New Roman" w:cs="Times New Roman"/>
          <w:sz w:val="20"/>
          <w:szCs w:val="20"/>
        </w:rPr>
        <w:footnoteRef/>
      </w:r>
      <w:r w:rsidRPr="00DA24D6">
        <w:rPr>
          <w:rFonts w:ascii="Times New Roman" w:hAnsi="Times New Roman" w:cs="Times New Roman"/>
          <w:sz w:val="20"/>
          <w:szCs w:val="20"/>
          <w:lang w:val="en-US"/>
        </w:rPr>
        <w:t xml:space="preserve"> </w:t>
      </w:r>
      <w:r w:rsidRPr="00DA24D6">
        <w:rPr>
          <w:rFonts w:ascii="Times New Roman" w:eastAsia="Times New Roman" w:hAnsi="Times New Roman" w:cs="Times New Roman"/>
          <w:b/>
          <w:sz w:val="20"/>
          <w:szCs w:val="20"/>
          <w:lang w:val="sv-SE" w:eastAsia="sv-SE"/>
        </w:rPr>
        <w:t>Young</w:t>
      </w:r>
      <w:r w:rsidRPr="00DA24D6">
        <w:rPr>
          <w:rFonts w:ascii="Times New Roman" w:eastAsia="Times New Roman" w:hAnsi="Times New Roman" w:cs="Times New Roman"/>
          <w:sz w:val="20"/>
          <w:szCs w:val="20"/>
          <w:lang w:val="sv-SE" w:eastAsia="sv-SE"/>
        </w:rPr>
        <w:t xml:space="preserve"> (Brigitte F.), 2017, </w:t>
      </w:r>
      <w:r w:rsidRPr="00DA24D6">
        <w:rPr>
          <w:rFonts w:ascii="Times New Roman" w:hAnsi="Times New Roman" w:cs="Times New Roman"/>
          <w:sz w:val="20"/>
          <w:szCs w:val="20"/>
          <w:lang w:val="en-US"/>
        </w:rPr>
        <w:t>« </w:t>
      </w:r>
      <w:r w:rsidRPr="00DA24D6">
        <w:rPr>
          <w:rFonts w:ascii="Times New Roman" w:eastAsia="Times New Roman" w:hAnsi="Times New Roman" w:cs="Times New Roman"/>
          <w:sz w:val="20"/>
          <w:szCs w:val="20"/>
          <w:lang w:val="sv-SE" w:eastAsia="sv-SE"/>
        </w:rPr>
        <w:t>Central Bank Policies, Inequality and Gendered Asset Bias</w:t>
      </w:r>
      <w:r w:rsidRPr="00DA24D6">
        <w:rPr>
          <w:rFonts w:ascii="Times New Roman" w:hAnsi="Times New Roman" w:cs="Times New Roman"/>
          <w:sz w:val="20"/>
          <w:szCs w:val="20"/>
          <w:lang w:val="en-US"/>
        </w:rPr>
        <w:t> »</w:t>
      </w:r>
      <w:r w:rsidRPr="00DA24D6">
        <w:rPr>
          <w:rFonts w:ascii="Times New Roman" w:eastAsia="Times New Roman" w:hAnsi="Times New Roman" w:cs="Times New Roman"/>
          <w:sz w:val="20"/>
          <w:szCs w:val="20"/>
          <w:lang w:val="sv-SE" w:eastAsia="sv-SE"/>
        </w:rPr>
        <w:t xml:space="preserve">, </w:t>
      </w:r>
      <w:r w:rsidRPr="00DA24D6">
        <w:rPr>
          <w:rFonts w:ascii="Times New Roman" w:eastAsia="Times New Roman" w:hAnsi="Times New Roman" w:cs="Times New Roman"/>
          <w:i/>
          <w:sz w:val="20"/>
          <w:szCs w:val="20"/>
          <w:lang w:val="sv-SE" w:eastAsia="sv-SE"/>
        </w:rPr>
        <w:t>in</w:t>
      </w:r>
      <w:r w:rsidRPr="00DA24D6">
        <w:rPr>
          <w:rFonts w:ascii="Times New Roman" w:eastAsia="Times New Roman" w:hAnsi="Times New Roman" w:cs="Times New Roman"/>
          <w:sz w:val="20"/>
          <w:szCs w:val="20"/>
          <w:lang w:val="sv-SE" w:eastAsia="sv-SE"/>
        </w:rPr>
        <w:t xml:space="preserve"> Elias (Juanita), Roberts (Adrienne), dir., </w:t>
      </w:r>
      <w:r w:rsidRPr="00DA24D6">
        <w:rPr>
          <w:rFonts w:ascii="Times New Roman" w:eastAsia="Times New Roman" w:hAnsi="Times New Roman" w:cs="Times New Roman"/>
          <w:i/>
          <w:sz w:val="20"/>
          <w:szCs w:val="20"/>
          <w:lang w:val="sv-SE" w:eastAsia="sv-SE"/>
        </w:rPr>
        <w:t>Handbook of the International Political Economy of Gender</w:t>
      </w:r>
      <w:r w:rsidRPr="00DA24D6">
        <w:rPr>
          <w:rFonts w:ascii="Times New Roman" w:eastAsia="Times New Roman" w:hAnsi="Times New Roman" w:cs="Times New Roman"/>
          <w:sz w:val="20"/>
          <w:szCs w:val="20"/>
          <w:lang w:val="sv-SE" w:eastAsia="sv-SE"/>
        </w:rPr>
        <w:t>, Cheltenham Edward Elgar Publishing.</w:t>
      </w:r>
    </w:p>
  </w:footnote>
  <w:footnote w:id="45">
    <w:p w14:paraId="3D6134AE" w14:textId="493CD6AA" w:rsidR="00997282" w:rsidRPr="00DA24D6" w:rsidRDefault="00997282" w:rsidP="009C1A63">
      <w:pPr>
        <w:spacing w:after="120" w:line="240" w:lineRule="atLeast"/>
        <w:jc w:val="both"/>
        <w:rPr>
          <w:rFonts w:ascii="Times New Roman" w:hAnsi="Times New Roman" w:cs="Times New Roman"/>
          <w:sz w:val="20"/>
          <w:szCs w:val="20"/>
          <w:lang w:val="en-US"/>
        </w:rPr>
      </w:pPr>
      <w:r w:rsidRPr="00DA24D6">
        <w:rPr>
          <w:rStyle w:val="Appelnotedebasdep"/>
          <w:rFonts w:ascii="Times New Roman" w:hAnsi="Times New Roman" w:cs="Times New Roman"/>
          <w:sz w:val="20"/>
          <w:szCs w:val="20"/>
        </w:rPr>
        <w:footnoteRef/>
      </w:r>
      <w:r w:rsidRPr="00DA24D6">
        <w:rPr>
          <w:rFonts w:ascii="Times New Roman" w:hAnsi="Times New Roman" w:cs="Times New Roman"/>
          <w:sz w:val="20"/>
          <w:szCs w:val="20"/>
        </w:rPr>
        <w:t xml:space="preserve"> </w:t>
      </w:r>
      <w:r w:rsidRPr="00DA24D6">
        <w:rPr>
          <w:rFonts w:ascii="Times New Roman" w:eastAsia="Times New Roman" w:hAnsi="Times New Roman" w:cs="Times New Roman"/>
          <w:b/>
          <w:sz w:val="20"/>
          <w:szCs w:val="20"/>
          <w:lang w:val="sv-SE" w:eastAsia="sv-SE"/>
        </w:rPr>
        <w:t>Fontan</w:t>
      </w:r>
      <w:r w:rsidRPr="00DA24D6">
        <w:rPr>
          <w:rFonts w:ascii="Times New Roman" w:eastAsia="Times New Roman" w:hAnsi="Times New Roman" w:cs="Times New Roman"/>
          <w:sz w:val="20"/>
          <w:szCs w:val="20"/>
          <w:lang w:val="sv-SE" w:eastAsia="sv-SE"/>
        </w:rPr>
        <w:t xml:space="preserve"> (Clément), 2013, </w:t>
      </w:r>
      <w:r w:rsidRPr="00DA24D6">
        <w:rPr>
          <w:rFonts w:ascii="Times New Roman" w:hAnsi="Times New Roman" w:cs="Times New Roman"/>
          <w:sz w:val="20"/>
          <w:szCs w:val="20"/>
          <w:lang w:val="fr-FR"/>
        </w:rPr>
        <w:t>« </w:t>
      </w:r>
      <w:r w:rsidRPr="00DA24D6">
        <w:rPr>
          <w:rFonts w:ascii="Times New Roman" w:eastAsia="Times New Roman" w:hAnsi="Times New Roman" w:cs="Times New Roman"/>
          <w:sz w:val="20"/>
          <w:szCs w:val="20"/>
          <w:lang w:val="sv-SE" w:eastAsia="sv-SE"/>
        </w:rPr>
        <w:t>Frankenstein en Europe. L’impact de la Banque centrale européenne sur la gestion de la crise de la zone euro</w:t>
      </w:r>
      <w:r w:rsidRPr="00DA24D6">
        <w:rPr>
          <w:rFonts w:ascii="Times New Roman" w:hAnsi="Times New Roman" w:cs="Times New Roman"/>
          <w:sz w:val="20"/>
          <w:szCs w:val="20"/>
          <w:lang w:val="fr-FR"/>
        </w:rPr>
        <w:t> »,</w:t>
      </w:r>
      <w:r w:rsidRPr="00DA24D6">
        <w:rPr>
          <w:rFonts w:ascii="Times New Roman" w:eastAsia="Times New Roman" w:hAnsi="Times New Roman" w:cs="Times New Roman"/>
          <w:sz w:val="20"/>
          <w:szCs w:val="20"/>
          <w:lang w:val="sv-SE" w:eastAsia="sv-SE"/>
        </w:rPr>
        <w:t xml:space="preserve"> </w:t>
      </w:r>
      <w:r w:rsidRPr="00DA24D6">
        <w:rPr>
          <w:rFonts w:ascii="Times New Roman" w:eastAsia="Times New Roman" w:hAnsi="Times New Roman" w:cs="Times New Roman"/>
          <w:i/>
          <w:sz w:val="20"/>
          <w:szCs w:val="20"/>
          <w:lang w:val="sv-SE" w:eastAsia="sv-SE"/>
        </w:rPr>
        <w:t>Politique européenne</w:t>
      </w:r>
      <w:r w:rsidRPr="00DA24D6">
        <w:rPr>
          <w:rFonts w:ascii="Times New Roman" w:eastAsia="Times New Roman" w:hAnsi="Times New Roman" w:cs="Times New Roman"/>
          <w:sz w:val="20"/>
          <w:szCs w:val="20"/>
          <w:lang w:val="sv-SE" w:eastAsia="sv-SE"/>
        </w:rPr>
        <w:t xml:space="preserve">, n°42, p. 22-45. </w:t>
      </w:r>
      <w:r w:rsidRPr="00DA24D6">
        <w:rPr>
          <w:rFonts w:ascii="Times New Roman" w:hAnsi="Times New Roman" w:cs="Times New Roman"/>
          <w:b/>
          <w:sz w:val="20"/>
          <w:szCs w:val="20"/>
          <w:lang w:val="en-US"/>
        </w:rPr>
        <w:t>Chang</w:t>
      </w:r>
      <w:r w:rsidRPr="00DA24D6">
        <w:rPr>
          <w:rFonts w:ascii="Times New Roman" w:hAnsi="Times New Roman" w:cs="Times New Roman"/>
          <w:sz w:val="20"/>
          <w:szCs w:val="20"/>
          <w:lang w:val="en-US"/>
        </w:rPr>
        <w:t xml:space="preserve"> (Michele), 2018, « The Creeping Competence of the European Central Bank During the Euro Crisis », </w:t>
      </w:r>
      <w:r w:rsidRPr="00DA24D6">
        <w:rPr>
          <w:rFonts w:ascii="Times New Roman" w:hAnsi="Times New Roman" w:cs="Times New Roman"/>
          <w:i/>
          <w:iCs/>
          <w:sz w:val="20"/>
          <w:szCs w:val="20"/>
          <w:lang w:val="en-US"/>
        </w:rPr>
        <w:t>Credit and Capital Markets – Kredit und Kapital</w:t>
      </w:r>
      <w:r w:rsidRPr="00DA24D6">
        <w:rPr>
          <w:rFonts w:ascii="Times New Roman" w:hAnsi="Times New Roman" w:cs="Times New Roman"/>
          <w:sz w:val="20"/>
          <w:szCs w:val="20"/>
          <w:lang w:val="en-US"/>
        </w:rPr>
        <w:t>, 51 (1), p. 41</w:t>
      </w:r>
      <w:r w:rsidRPr="00DA24D6">
        <w:rPr>
          <w:rFonts w:ascii="Times New Roman" w:hAnsi="Times New Roman" w:cs="Times New Roman"/>
          <w:sz w:val="20"/>
          <w:szCs w:val="20"/>
          <w:lang w:val="en-US"/>
        </w:rPr>
        <w:noBreakHyphen/>
        <w:t>53.</w:t>
      </w:r>
    </w:p>
    <w:p w14:paraId="77F99D8C" w14:textId="4CA9623F" w:rsidR="00997282" w:rsidRPr="00DA24D6" w:rsidRDefault="00997282" w:rsidP="009C1A63">
      <w:pPr>
        <w:spacing w:after="120" w:line="240" w:lineRule="atLeast"/>
        <w:jc w:val="both"/>
        <w:rPr>
          <w:rFonts w:asciiTheme="majorHAnsi" w:eastAsia="Times New Roman" w:hAnsiTheme="majorHAnsi" w:cs="Times New Roman"/>
          <w:sz w:val="20"/>
          <w:szCs w:val="20"/>
          <w:lang w:val="en-US" w:eastAsia="sv-SE"/>
        </w:rPr>
      </w:pPr>
    </w:p>
    <w:p w14:paraId="0509B104" w14:textId="149E853D" w:rsidR="00997282" w:rsidRPr="00DA24D6" w:rsidRDefault="00997282">
      <w:pPr>
        <w:pStyle w:val="Notedebasdepage"/>
        <w:rPr>
          <w:lang w:val="sv-SE"/>
        </w:rPr>
      </w:pPr>
    </w:p>
  </w:footnote>
  <w:footnote w:id="46">
    <w:p w14:paraId="6BE6BDA5" w14:textId="304FE088" w:rsidR="00997282" w:rsidRPr="00DA24D6" w:rsidRDefault="00997282" w:rsidP="00DA24D6">
      <w:pPr>
        <w:spacing w:after="0" w:line="240" w:lineRule="atLeast"/>
        <w:jc w:val="both"/>
        <w:rPr>
          <w:rFonts w:ascii="Times New Roman" w:hAnsi="Times New Roman" w:cs="Times New Roman"/>
          <w:sz w:val="20"/>
          <w:szCs w:val="20"/>
          <w:lang w:val="en-US"/>
        </w:rPr>
      </w:pPr>
      <w:r w:rsidRPr="00DA24D6">
        <w:rPr>
          <w:rStyle w:val="Appelnotedebasdep"/>
          <w:rFonts w:ascii="Times New Roman" w:hAnsi="Times New Roman" w:cs="Times New Roman"/>
          <w:sz w:val="20"/>
          <w:szCs w:val="20"/>
        </w:rPr>
        <w:footnoteRef/>
      </w:r>
      <w:r w:rsidRPr="00DA24D6">
        <w:rPr>
          <w:rFonts w:ascii="Times New Roman" w:hAnsi="Times New Roman" w:cs="Times New Roman"/>
          <w:sz w:val="20"/>
          <w:szCs w:val="20"/>
          <w:lang w:val="en-US"/>
        </w:rPr>
        <w:t xml:space="preserve"> </w:t>
      </w:r>
      <w:r w:rsidRPr="00DA24D6">
        <w:rPr>
          <w:rFonts w:ascii="Times New Roman" w:hAnsi="Times New Roman" w:cs="Times New Roman"/>
          <w:b/>
          <w:sz w:val="20"/>
          <w:szCs w:val="20"/>
          <w:lang w:val="en-US"/>
        </w:rPr>
        <w:t>Hirschl</w:t>
      </w:r>
      <w:r w:rsidRPr="00DA24D6">
        <w:rPr>
          <w:rFonts w:ascii="Times New Roman" w:hAnsi="Times New Roman" w:cs="Times New Roman"/>
          <w:sz w:val="20"/>
          <w:szCs w:val="20"/>
          <w:lang w:val="en-US"/>
        </w:rPr>
        <w:t xml:space="preserve"> (Ran), 2008, « The judicialization of mega-politics and the rise of political courts », </w:t>
      </w:r>
      <w:r w:rsidRPr="00DA24D6">
        <w:rPr>
          <w:rFonts w:ascii="Times New Roman" w:hAnsi="Times New Roman" w:cs="Times New Roman"/>
          <w:i/>
          <w:iCs/>
          <w:sz w:val="20"/>
          <w:szCs w:val="20"/>
          <w:lang w:val="en-US"/>
        </w:rPr>
        <w:t>Annual Review of Political Sciences</w:t>
      </w:r>
      <w:r w:rsidRPr="00DA24D6">
        <w:rPr>
          <w:rFonts w:ascii="Times New Roman" w:hAnsi="Times New Roman" w:cs="Times New Roman"/>
          <w:sz w:val="20"/>
          <w:szCs w:val="20"/>
          <w:lang w:val="en-US"/>
        </w:rPr>
        <w:t>, 11, p. 93–118.</w:t>
      </w:r>
    </w:p>
  </w:footnote>
  <w:footnote w:id="47">
    <w:p w14:paraId="120F56AA" w14:textId="57B25C5D" w:rsidR="00997282" w:rsidRPr="00163135" w:rsidRDefault="00997282" w:rsidP="00DA24D6">
      <w:pPr>
        <w:pStyle w:val="Notedebasdepage"/>
      </w:pPr>
      <w:r w:rsidRPr="00DA24D6">
        <w:rPr>
          <w:rStyle w:val="Appelnotedebasdep"/>
          <w:rFonts w:ascii="Times New Roman" w:hAnsi="Times New Roman" w:cs="Times New Roman"/>
        </w:rPr>
        <w:footnoteRef/>
      </w:r>
      <w:r w:rsidRPr="00DA24D6">
        <w:rPr>
          <w:rFonts w:ascii="Times New Roman" w:hAnsi="Times New Roman" w:cs="Times New Roman"/>
        </w:rPr>
        <w:t xml:space="preserve"> </w:t>
      </w:r>
      <w:r w:rsidRPr="0053779C">
        <w:rPr>
          <w:rFonts w:ascii="Times New Roman" w:hAnsi="Times New Roman" w:cs="Times New Roman"/>
          <w:b/>
        </w:rPr>
        <w:t>Baloge</w:t>
      </w:r>
      <w:r w:rsidR="00392FB7">
        <w:rPr>
          <w:rFonts w:ascii="Times New Roman" w:hAnsi="Times New Roman" w:cs="Times New Roman"/>
        </w:rPr>
        <w:t xml:space="preserve"> (</w:t>
      </w:r>
      <w:r w:rsidRPr="00DA24D6">
        <w:rPr>
          <w:rFonts w:ascii="Times New Roman" w:hAnsi="Times New Roman" w:cs="Times New Roman"/>
        </w:rPr>
        <w:t>Martin</w:t>
      </w:r>
      <w:r w:rsidR="00392FB7">
        <w:rPr>
          <w:rFonts w:ascii="Times New Roman" w:hAnsi="Times New Roman" w:cs="Times New Roman"/>
        </w:rPr>
        <w:t>),</w:t>
      </w:r>
      <w:r w:rsidR="000757F4" w:rsidRPr="000757F4">
        <w:rPr>
          <w:rFonts w:ascii="Times New Roman" w:hAnsi="Times New Roman" w:cs="Times New Roman"/>
        </w:rPr>
        <w:t xml:space="preserve"> </w:t>
      </w:r>
      <w:r w:rsidR="000757F4">
        <w:rPr>
          <w:rFonts w:ascii="Times New Roman" w:hAnsi="Times New Roman" w:cs="Times New Roman"/>
        </w:rPr>
        <w:t>2014,</w:t>
      </w:r>
      <w:r w:rsidR="000757F4" w:rsidRPr="00DA24D6">
        <w:rPr>
          <w:rFonts w:ascii="Times New Roman" w:hAnsi="Times New Roman" w:cs="Times New Roman"/>
        </w:rPr>
        <w:t xml:space="preserve"> </w:t>
      </w:r>
      <w:r w:rsidRPr="00DA24D6">
        <w:rPr>
          <w:rFonts w:ascii="Times New Roman" w:hAnsi="Times New Roman" w:cs="Times New Roman"/>
        </w:rPr>
        <w:t xml:space="preserve"> "S'opposer à quel prix?." </w:t>
      </w:r>
      <w:r w:rsidRPr="00DA24D6">
        <w:rPr>
          <w:rFonts w:ascii="Times New Roman" w:hAnsi="Times New Roman" w:cs="Times New Roman"/>
          <w:i/>
          <w:iCs/>
        </w:rPr>
        <w:t>Politique europeenne</w:t>
      </w:r>
      <w:r w:rsidR="000757F4">
        <w:rPr>
          <w:rFonts w:ascii="Times New Roman" w:hAnsi="Times New Roman" w:cs="Times New Roman"/>
          <w:i/>
          <w:iCs/>
        </w:rPr>
        <w:t>,</w:t>
      </w:r>
      <w:r w:rsidRPr="00DA24D6">
        <w:rPr>
          <w:rFonts w:ascii="Times New Roman" w:hAnsi="Times New Roman" w:cs="Times New Roman"/>
        </w:rPr>
        <w:t xml:space="preserve"> 1 94-119</w:t>
      </w:r>
    </w:p>
  </w:footnote>
  <w:footnote w:id="48">
    <w:p w14:paraId="5F81EDB2" w14:textId="22392B97" w:rsidR="00997282" w:rsidRPr="0053779C" w:rsidRDefault="00997282">
      <w:pPr>
        <w:pStyle w:val="Notedebasdepage"/>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Ces activistes judiciaires sont Peter Gauweiler, un député appartenant à la droite conservatrice (CSU)</w:t>
      </w:r>
    </w:p>
    <w:p w14:paraId="494153D0" w14:textId="1BE0116B" w:rsidR="00997282" w:rsidRPr="0053779C" w:rsidRDefault="00997282">
      <w:pPr>
        <w:pStyle w:val="Notedebasdepage"/>
        <w:rPr>
          <w:rFonts w:ascii="Times New Roman" w:hAnsi="Times New Roman" w:cs="Times New Roman"/>
        </w:rPr>
      </w:pPr>
      <w:r w:rsidRPr="0053779C">
        <w:rPr>
          <w:rFonts w:ascii="Times New Roman" w:hAnsi="Times New Roman" w:cs="Times New Roman"/>
        </w:rPr>
        <w:t xml:space="preserve">Leurs plaintes devant la cour constitutionnelle allemande ont notamment donné naissance à la jurisprudence « So Lange » fixant des limites à l’intégration européenne, cf. </w:t>
      </w:r>
      <w:r w:rsidRPr="00C95CF5">
        <w:rPr>
          <w:rFonts w:ascii="Times New Roman" w:hAnsi="Times New Roman" w:cs="Times New Roman"/>
          <w:b/>
        </w:rPr>
        <w:t>Saurugger</w:t>
      </w:r>
      <w:r w:rsidR="00C95CF5">
        <w:rPr>
          <w:rFonts w:ascii="Times New Roman" w:hAnsi="Times New Roman" w:cs="Times New Roman"/>
        </w:rPr>
        <w:t xml:space="preserve"> (</w:t>
      </w:r>
      <w:r w:rsidRPr="0053779C">
        <w:rPr>
          <w:rFonts w:ascii="Times New Roman" w:hAnsi="Times New Roman" w:cs="Times New Roman"/>
        </w:rPr>
        <w:t>Sabine</w:t>
      </w:r>
      <w:r w:rsidR="00C95CF5">
        <w:rPr>
          <w:rFonts w:ascii="Times New Roman" w:hAnsi="Times New Roman" w:cs="Times New Roman"/>
        </w:rPr>
        <w:t>) &amp;</w:t>
      </w:r>
      <w:r w:rsidRPr="0053779C">
        <w:rPr>
          <w:rFonts w:ascii="Times New Roman" w:hAnsi="Times New Roman" w:cs="Times New Roman"/>
        </w:rPr>
        <w:t xml:space="preserve"> </w:t>
      </w:r>
      <w:r w:rsidRPr="00C95CF5">
        <w:rPr>
          <w:rFonts w:ascii="Times New Roman" w:hAnsi="Times New Roman" w:cs="Times New Roman"/>
          <w:b/>
        </w:rPr>
        <w:t>Terpan</w:t>
      </w:r>
      <w:r w:rsidR="00C95CF5">
        <w:rPr>
          <w:rFonts w:ascii="Times New Roman" w:hAnsi="Times New Roman" w:cs="Times New Roman"/>
        </w:rPr>
        <w:t xml:space="preserve"> (</w:t>
      </w:r>
      <w:r w:rsidR="00C95CF5" w:rsidRPr="0053779C">
        <w:rPr>
          <w:rFonts w:ascii="Times New Roman" w:hAnsi="Times New Roman" w:cs="Times New Roman"/>
        </w:rPr>
        <w:t>Fabien</w:t>
      </w:r>
      <w:r w:rsidR="00C95CF5">
        <w:rPr>
          <w:rFonts w:ascii="Times New Roman" w:hAnsi="Times New Roman" w:cs="Times New Roman"/>
        </w:rPr>
        <w:t>),</w:t>
      </w:r>
      <w:r w:rsidR="00C95CF5" w:rsidRPr="00C95CF5">
        <w:rPr>
          <w:rFonts w:ascii="Times New Roman" w:hAnsi="Times New Roman" w:cs="Times New Roman"/>
        </w:rPr>
        <w:t xml:space="preserve"> </w:t>
      </w:r>
      <w:r w:rsidR="00C95CF5">
        <w:rPr>
          <w:rFonts w:ascii="Times New Roman" w:hAnsi="Times New Roman" w:cs="Times New Roman"/>
        </w:rPr>
        <w:t>2013,</w:t>
      </w:r>
      <w:r w:rsidR="00C95CF5" w:rsidRPr="0053779C">
        <w:rPr>
          <w:rFonts w:ascii="Times New Roman" w:hAnsi="Times New Roman" w:cs="Times New Roman"/>
        </w:rPr>
        <w:t xml:space="preserve"> </w:t>
      </w:r>
      <w:r w:rsidR="00C95CF5">
        <w:rPr>
          <w:rFonts w:ascii="Times New Roman" w:hAnsi="Times New Roman" w:cs="Times New Roman"/>
        </w:rPr>
        <w:t>« </w:t>
      </w:r>
      <w:r w:rsidRPr="0053779C">
        <w:rPr>
          <w:rFonts w:ascii="Times New Roman" w:hAnsi="Times New Roman" w:cs="Times New Roman"/>
        </w:rPr>
        <w:t>Analyser les résistances nationales à la mise en œuvre des normes européennes: une étude des</w:t>
      </w:r>
      <w:r w:rsidR="00C95CF5">
        <w:rPr>
          <w:rFonts w:ascii="Times New Roman" w:hAnsi="Times New Roman" w:cs="Times New Roman"/>
        </w:rPr>
        <w:t xml:space="preserve"> instruments d’action publique. »</w:t>
      </w:r>
      <w:r w:rsidRPr="0053779C">
        <w:rPr>
          <w:rFonts w:ascii="Times New Roman" w:hAnsi="Times New Roman" w:cs="Times New Roman"/>
        </w:rPr>
        <w:t xml:space="preserve"> </w:t>
      </w:r>
      <w:r w:rsidRPr="0053779C">
        <w:rPr>
          <w:rFonts w:ascii="Times New Roman" w:hAnsi="Times New Roman" w:cs="Times New Roman"/>
          <w:i/>
          <w:iCs/>
        </w:rPr>
        <w:t>Quaderni. Communication, technologies, pouvoir</w:t>
      </w:r>
      <w:r w:rsidRPr="0053779C">
        <w:rPr>
          <w:rFonts w:ascii="Times New Roman" w:hAnsi="Times New Roman" w:cs="Times New Roman"/>
        </w:rPr>
        <w:t xml:space="preserve"> 80 5-24.</w:t>
      </w:r>
    </w:p>
  </w:footnote>
  <w:footnote w:id="49">
    <w:p w14:paraId="271C8CD6" w14:textId="7F2DC48E" w:rsidR="00997282" w:rsidRPr="0053779C" w:rsidRDefault="00997282" w:rsidP="0092433C">
      <w:pPr>
        <w:pStyle w:val="Notedebasdepage"/>
        <w:jc w:val="both"/>
        <w:rPr>
          <w:rFonts w:ascii="Times New Roman" w:hAnsi="Times New Roman" w:cs="Times New Roman"/>
          <w:bCs/>
          <w:lang w:val="fr-BE"/>
        </w:rPr>
      </w:pPr>
      <w:r w:rsidRPr="0053779C">
        <w:rPr>
          <w:rStyle w:val="Appelnotedebasdep"/>
          <w:rFonts w:ascii="Times New Roman" w:hAnsi="Times New Roman" w:cs="Times New Roman"/>
        </w:rPr>
        <w:footnoteRef/>
      </w:r>
      <w:r w:rsidRPr="0053779C">
        <w:rPr>
          <w:rFonts w:ascii="Times New Roman" w:hAnsi="Times New Roman" w:cs="Times New Roman"/>
        </w:rPr>
        <w:t xml:space="preserve"> Pour le SMP, </w:t>
      </w:r>
      <w:r w:rsidRPr="0053779C">
        <w:rPr>
          <w:rFonts w:ascii="Times New Roman" w:hAnsi="Times New Roman" w:cs="Times New Roman"/>
          <w:lang w:val="fr-BE"/>
        </w:rPr>
        <w:t>recours en constitutionnalité devant tribunal constitutionnel allemand (</w:t>
      </w:r>
      <w:r w:rsidRPr="0053779C">
        <w:rPr>
          <w:rFonts w:ascii="Times New Roman" w:hAnsi="Times New Roman" w:cs="Times New Roman"/>
          <w:bCs/>
          <w:lang w:val="fr-BE"/>
        </w:rPr>
        <w:t>2 BvR 987/10</w:t>
      </w:r>
      <w:r w:rsidRPr="0053779C">
        <w:rPr>
          <w:rFonts w:ascii="Times New Roman" w:hAnsi="Times New Roman" w:cs="Times New Roman"/>
          <w:lang w:val="fr-BE"/>
        </w:rPr>
        <w:t xml:space="preserve">) et recours devant le Tribunal (de l’UE) </w:t>
      </w:r>
      <w:r w:rsidRPr="0053779C">
        <w:rPr>
          <w:rFonts w:ascii="Times New Roman" w:hAnsi="Times New Roman" w:cs="Times New Roman"/>
          <w:bCs/>
          <w:lang w:val="fr-BE"/>
        </w:rPr>
        <w:t>C-102/12 P</w:t>
      </w:r>
      <w:r w:rsidRPr="0053779C">
        <w:rPr>
          <w:rFonts w:ascii="Times New Roman" w:hAnsi="Times New Roman" w:cs="Times New Roman"/>
          <w:lang w:val="fr-BE"/>
        </w:rPr>
        <w:t>. Pour l’OMT, Recours introduit par von Storch et 5216 autres requérants le 12 novembre 2012 devant le Tribunal</w:t>
      </w:r>
      <w:r w:rsidRPr="0053779C">
        <w:rPr>
          <w:rFonts w:ascii="Times New Roman" w:hAnsi="Times New Roman" w:cs="Times New Roman"/>
          <w:bCs/>
          <w:lang w:val="fr-BE"/>
        </w:rPr>
        <w:t xml:space="preserve"> C – 64/14 P</w:t>
      </w:r>
      <w:r w:rsidRPr="0053779C">
        <w:rPr>
          <w:rFonts w:ascii="Times New Roman" w:hAnsi="Times New Roman" w:cs="Times New Roman"/>
        </w:rPr>
        <w:t xml:space="preserve">. </w:t>
      </w:r>
      <w:r w:rsidRPr="0053779C">
        <w:rPr>
          <w:rFonts w:ascii="Times New Roman" w:hAnsi="Times New Roman" w:cs="Times New Roman"/>
          <w:lang w:val="fr-BE"/>
        </w:rPr>
        <w:t>Recours introduit par 37000 citoyens et organisations allemandes devant le Tribunal constitutionnel allemand (</w:t>
      </w:r>
      <w:r w:rsidRPr="0053779C">
        <w:rPr>
          <w:rFonts w:ascii="Times New Roman" w:hAnsi="Times New Roman" w:cs="Times New Roman"/>
          <w:bCs/>
          <w:lang w:val="fr-BE"/>
        </w:rPr>
        <w:t>2 BvR 2728/13…2 BvE 13/13</w:t>
      </w:r>
      <w:r w:rsidRPr="0053779C">
        <w:rPr>
          <w:rFonts w:ascii="Times New Roman" w:hAnsi="Times New Roman" w:cs="Times New Roman"/>
          <w:lang w:val="fr-BE"/>
        </w:rPr>
        <w:t>), renvoi préjudiciel à la nCJUE (</w:t>
      </w:r>
      <w:r w:rsidRPr="0053779C">
        <w:rPr>
          <w:rFonts w:ascii="Times New Roman" w:hAnsi="Times New Roman" w:cs="Times New Roman"/>
          <w:bCs/>
          <w:lang w:val="fr-BE"/>
        </w:rPr>
        <w:t xml:space="preserve">C – 62/14). Pour l’APP, </w:t>
      </w:r>
    </w:p>
    <w:p w14:paraId="4D70C6D5" w14:textId="2BE61B4D" w:rsidR="00997282" w:rsidRPr="0053779C" w:rsidRDefault="00997282" w:rsidP="0053779C">
      <w:pPr>
        <w:pStyle w:val="Notedebasdepage"/>
        <w:jc w:val="both"/>
        <w:rPr>
          <w:rFonts w:ascii="Times New Roman" w:hAnsi="Times New Roman" w:cs="Times New Roman"/>
          <w:lang w:val="fr-BE"/>
        </w:rPr>
      </w:pPr>
      <w:r w:rsidRPr="0053779C">
        <w:rPr>
          <w:rFonts w:ascii="Times New Roman" w:hAnsi="Times New Roman" w:cs="Times New Roman"/>
          <w:bCs/>
          <w:lang w:val="fr-FR"/>
        </w:rPr>
        <w:t xml:space="preserve">Recours de Weiss et près de 1700 autres requérants devant le Tribunal constitutionnel allemand (2 BVR 859/15…), renvoi </w:t>
      </w:r>
      <w:r w:rsidR="00392FB7" w:rsidRPr="0053779C">
        <w:rPr>
          <w:rFonts w:ascii="Times New Roman" w:hAnsi="Times New Roman" w:cs="Times New Roman"/>
          <w:bCs/>
          <w:lang w:val="fr-FR"/>
        </w:rPr>
        <w:t>préjudiciel</w:t>
      </w:r>
      <w:r w:rsidRPr="0053779C">
        <w:rPr>
          <w:rFonts w:ascii="Times New Roman" w:hAnsi="Times New Roman" w:cs="Times New Roman"/>
          <w:bCs/>
          <w:lang w:val="fr-FR"/>
        </w:rPr>
        <w:t xml:space="preserve"> à la CJUE (C-493/17).</w:t>
      </w:r>
    </w:p>
  </w:footnote>
  <w:footnote w:id="50">
    <w:p w14:paraId="6C76AF40" w14:textId="51E06BD8" w:rsidR="00997282" w:rsidRPr="00C95CF5" w:rsidRDefault="00997282" w:rsidP="00C95CF5">
      <w:pPr>
        <w:spacing w:after="12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Grimm</w:t>
      </w:r>
      <w:r w:rsidRPr="0053779C">
        <w:rPr>
          <w:rFonts w:ascii="Times New Roman" w:hAnsi="Times New Roman" w:cs="Times New Roman"/>
          <w:sz w:val="20"/>
          <w:szCs w:val="20"/>
          <w:lang w:val="en-US"/>
        </w:rPr>
        <w:t xml:space="preserve"> (Robert), 2015, « The rise of the German Eurosceptic party Alternative für Deutschland, between ordoliberal critique and popular anxiety », </w:t>
      </w:r>
      <w:r w:rsidRPr="0053779C">
        <w:rPr>
          <w:rFonts w:ascii="Times New Roman" w:hAnsi="Times New Roman" w:cs="Times New Roman"/>
          <w:i/>
          <w:sz w:val="20"/>
          <w:szCs w:val="20"/>
          <w:lang w:val="en-US"/>
        </w:rPr>
        <w:t>International Political Science Review</w:t>
      </w:r>
      <w:r w:rsidRPr="0053779C">
        <w:rPr>
          <w:rFonts w:ascii="Times New Roman" w:hAnsi="Times New Roman" w:cs="Times New Roman"/>
          <w:sz w:val="20"/>
          <w:szCs w:val="20"/>
          <w:lang w:val="en-US"/>
        </w:rPr>
        <w:t>,</w:t>
      </w:r>
      <w:r w:rsidRPr="0053779C">
        <w:rPr>
          <w:rFonts w:ascii="Times New Roman" w:hAnsi="Times New Roman" w:cs="Times New Roman"/>
          <w:i/>
          <w:sz w:val="20"/>
          <w:szCs w:val="20"/>
          <w:lang w:val="en-US"/>
        </w:rPr>
        <w:t xml:space="preserve"> </w:t>
      </w:r>
      <w:r w:rsidRPr="0053779C">
        <w:rPr>
          <w:rFonts w:ascii="Times New Roman" w:hAnsi="Times New Roman" w:cs="Times New Roman"/>
          <w:sz w:val="20"/>
          <w:szCs w:val="20"/>
          <w:lang w:val="en-US"/>
        </w:rPr>
        <w:t>36 (3), p. 264–278.</w:t>
      </w:r>
    </w:p>
  </w:footnote>
  <w:footnote w:id="51">
    <w:p w14:paraId="0BA10211" w14:textId="49058C00" w:rsidR="00997282" w:rsidRPr="0053779C" w:rsidRDefault="00997282" w:rsidP="00C95CF5">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Pour plus de détails sur l’aspect juridique de ce jugement, voir </w:t>
      </w:r>
      <w:r w:rsidRPr="0053779C">
        <w:rPr>
          <w:rFonts w:ascii="Times New Roman" w:hAnsi="Times New Roman" w:cs="Times New Roman"/>
          <w:i/>
          <w:lang w:val="fr-BE"/>
        </w:rPr>
        <w:t>German law journal</w:t>
      </w:r>
      <w:r w:rsidRPr="0053779C">
        <w:rPr>
          <w:rFonts w:ascii="Times New Roman" w:hAnsi="Times New Roman" w:cs="Times New Roman"/>
          <w:lang w:val="fr-BE"/>
        </w:rPr>
        <w:t>, 15 (2), 2014</w:t>
      </w:r>
      <w:r w:rsidRPr="0053779C">
        <w:rPr>
          <w:rFonts w:ascii="Times New Roman" w:hAnsi="Times New Roman" w:cs="Times New Roman"/>
          <w:lang w:val="fr-FR"/>
        </w:rPr>
        <w:t>.</w:t>
      </w:r>
      <w:r w:rsidR="00C95CF5">
        <w:rPr>
          <w:rFonts w:ascii="Times New Roman" w:hAnsi="Times New Roman" w:cs="Times New Roman"/>
          <w:lang w:val="fr-FR"/>
        </w:rPr>
        <w:t xml:space="preserve"> </w:t>
      </w:r>
      <w:r w:rsidR="00C95CF5" w:rsidRPr="0053779C">
        <w:rPr>
          <w:rFonts w:ascii="Times New Roman" w:hAnsi="Times New Roman" w:cs="Times New Roman"/>
          <w:lang w:val="fr-BE"/>
        </w:rPr>
        <w:t>Soulignons que le programme OMT n’a jamais été mis en œuvre par la BCE. Le jugement ne portait que sur le communiqué de presse de la BCE et non sur sa mise en œuvre effective.</w:t>
      </w:r>
    </w:p>
  </w:footnote>
  <w:footnote w:id="52">
    <w:p w14:paraId="782D18D5" w14:textId="0D8445E6" w:rsidR="00997282" w:rsidRPr="0053779C" w:rsidRDefault="00997282" w:rsidP="00482B2E">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Conclusions de l’avocat général m. Pedro Cruz Villalón présentées le 14 janvier 2015. Accessible sur </w:t>
      </w:r>
      <w:hyperlink r:id="rId1" w:history="1">
        <w:r w:rsidRPr="0053779C">
          <w:rPr>
            <w:rStyle w:val="Lienhypertexte"/>
            <w:rFonts w:ascii="Times New Roman" w:hAnsi="Times New Roman" w:cs="Times New Roman"/>
            <w:color w:val="auto"/>
            <w:u w:val="none"/>
          </w:rPr>
          <w:t>http://curia.europa.eu/juris/document/document.jsf?docid=161370&amp;doclang=FR</w:t>
        </w:r>
      </w:hyperlink>
      <w:r w:rsidRPr="0053779C">
        <w:rPr>
          <w:rFonts w:ascii="Times New Roman" w:hAnsi="Times New Roman" w:cs="Times New Roman"/>
        </w:rPr>
        <w:t xml:space="preserve"> </w:t>
      </w:r>
    </w:p>
  </w:footnote>
  <w:footnote w:id="53">
    <w:p w14:paraId="1B46659D" w14:textId="0392D376" w:rsidR="00997282" w:rsidRPr="00C95CF5" w:rsidRDefault="00997282" w:rsidP="00482B2E">
      <w:pPr>
        <w:pStyle w:val="Notedebasdepage"/>
        <w:jc w:val="both"/>
        <w:rPr>
          <w:rFonts w:ascii="Times New Roman" w:hAnsi="Times New Roman" w:cs="Times New Roman"/>
          <w:lang w:val="en-US"/>
        </w:rPr>
      </w:pPr>
      <w:r w:rsidRPr="0053779C">
        <w:rPr>
          <w:rStyle w:val="Appelnotedebasdep"/>
          <w:rFonts w:ascii="Times New Roman" w:hAnsi="Times New Roman" w:cs="Times New Roman"/>
        </w:rPr>
        <w:footnoteRef/>
      </w:r>
      <w:r w:rsidRPr="00C95CF5">
        <w:rPr>
          <w:rFonts w:ascii="Times New Roman" w:hAnsi="Times New Roman" w:cs="Times New Roman"/>
          <w:lang w:val="en-US"/>
        </w:rPr>
        <w:t xml:space="preserve"> </w:t>
      </w:r>
      <w:r w:rsidR="00C95CF5">
        <w:rPr>
          <w:rFonts w:ascii="Times New Roman" w:hAnsi="Times New Roman" w:cs="Times New Roman"/>
          <w:lang w:val="fr-BE"/>
        </w:rPr>
        <w:fldChar w:fldCharType="begin"/>
      </w:r>
      <w:r w:rsidR="00C95CF5" w:rsidRPr="00C95CF5">
        <w:rPr>
          <w:rFonts w:ascii="Times New Roman" w:hAnsi="Times New Roman" w:cs="Times New Roman"/>
          <w:lang w:val="en-US"/>
        </w:rPr>
        <w:instrText xml:space="preserve"> ADDIN ZOTERO_ITEM CSL_CITATION {"citationID":"kZleNkbA","properties":{"formattedCitation":"Armin Steinbach, \\uc0\\u171{}\\uc0\\u160{}All\\uc0\\u8217{}s Well That Ends Well? Crisis Policy after the German Constitutional Court\\uc0\\u8217{}s Ruling in Gauweiler\\uc0\\u160{}\\uc0\\u187{}, {\\i{}Maastricht Journal of European and Comparative Law} 24, n\\super o\\nosupersub{} 1 (1 f\\uc0\\u233{}vrier 2017): 140\\uc0\\u8209{}49, https://doi.org/10.1177/1023263X17693201.","plainCitation":"Armin Steinbach, « All’s Well That Ends Well? Crisis Policy after the German Constitutional Court’s Ruling in Gauweiler », Maastricht Journal of European and Comparative Law 24, no 1 (1 février 2017): 140‑49, https://doi.org/10.1177/1023263X17693201.","noteIndex":53},"citationItems":[{"id":3227,"uris":["http://zotero.org/users/813717/items/HMRRWPGY"],"uri":["http://zotero.org/users/813717/items/HMRRWPGY"],"itemData":{"id":3227,"type":"article-journal","title":"All’s well that ends well? Crisis policy after the German constitutional court’s ruling in Gauweiler","container-title":"Maastricht Journal of European and Comparative Law","page":"140-149","volume":"24","issue":"1","source":"SAGE Journals","DOI":"10.1177/1023263X17693201","ISSN":"1023-263X","shortTitle":"All’s well that ends well?","journalAbbreviation":"Maastricht Journal of European and Comparative Law","language":"en","author":[{"family":"Steinbach","given":"Armin"}],"issued":{"date-parts":[["2017",2,1]]}}}],"schema":"https://github.com/citation-style-language/schema/raw/master/csl-citation.json"} </w:instrText>
      </w:r>
      <w:r w:rsidR="00C95CF5">
        <w:rPr>
          <w:rFonts w:ascii="Times New Roman" w:hAnsi="Times New Roman" w:cs="Times New Roman"/>
          <w:lang w:val="fr-BE"/>
        </w:rPr>
        <w:fldChar w:fldCharType="separate"/>
      </w:r>
      <w:r w:rsidR="00C95CF5" w:rsidRPr="00C95CF5">
        <w:rPr>
          <w:rFonts w:ascii="Times New Roman" w:hAnsi="Times New Roman" w:cs="Times New Roman"/>
          <w:b/>
          <w:szCs w:val="24"/>
          <w:lang w:val="en-US"/>
        </w:rPr>
        <w:t>Steinbach</w:t>
      </w:r>
      <w:r w:rsidR="00C95CF5">
        <w:rPr>
          <w:rFonts w:ascii="Times New Roman" w:hAnsi="Times New Roman" w:cs="Times New Roman"/>
          <w:szCs w:val="24"/>
          <w:lang w:val="en-US"/>
        </w:rPr>
        <w:t xml:space="preserve"> (</w:t>
      </w:r>
      <w:r w:rsidR="00C95CF5" w:rsidRPr="00C95CF5">
        <w:rPr>
          <w:rFonts w:ascii="Times New Roman" w:hAnsi="Times New Roman" w:cs="Times New Roman"/>
          <w:szCs w:val="24"/>
          <w:lang w:val="en-US"/>
        </w:rPr>
        <w:t>Armin</w:t>
      </w:r>
      <w:r w:rsidR="00C95CF5">
        <w:rPr>
          <w:rFonts w:ascii="Times New Roman" w:hAnsi="Times New Roman" w:cs="Times New Roman"/>
          <w:szCs w:val="24"/>
          <w:lang w:val="en-US"/>
        </w:rPr>
        <w:t>), 2017</w:t>
      </w:r>
      <w:r w:rsidR="00C95CF5" w:rsidRPr="00C95CF5">
        <w:rPr>
          <w:rFonts w:ascii="Times New Roman" w:hAnsi="Times New Roman" w:cs="Times New Roman"/>
          <w:szCs w:val="24"/>
          <w:lang w:val="en-US"/>
        </w:rPr>
        <w:t xml:space="preserve"> « All’s Well That Ends Well? Crisis Policy after the German Constitutional Court’s Ruling in Gauweiler », </w:t>
      </w:r>
      <w:r w:rsidR="00C95CF5" w:rsidRPr="00C95CF5">
        <w:rPr>
          <w:rFonts w:ascii="Times New Roman" w:hAnsi="Times New Roman" w:cs="Times New Roman"/>
          <w:i/>
          <w:iCs/>
          <w:szCs w:val="24"/>
          <w:lang w:val="en-US"/>
        </w:rPr>
        <w:t>Maastricht Journal of European and Comparative Law</w:t>
      </w:r>
      <w:r w:rsidR="00C95CF5" w:rsidRPr="00C95CF5">
        <w:rPr>
          <w:rFonts w:ascii="Times New Roman" w:hAnsi="Times New Roman" w:cs="Times New Roman"/>
          <w:szCs w:val="24"/>
          <w:lang w:val="en-US"/>
        </w:rPr>
        <w:t xml:space="preserve"> 24, n</w:t>
      </w:r>
      <w:r w:rsidR="00C95CF5" w:rsidRPr="00C95CF5">
        <w:rPr>
          <w:rFonts w:ascii="Times New Roman" w:hAnsi="Times New Roman" w:cs="Times New Roman"/>
          <w:szCs w:val="24"/>
          <w:vertAlign w:val="superscript"/>
          <w:lang w:val="en-US"/>
        </w:rPr>
        <w:t>o</w:t>
      </w:r>
      <w:r w:rsidR="00C95CF5" w:rsidRPr="00C95CF5">
        <w:rPr>
          <w:rFonts w:ascii="Times New Roman" w:hAnsi="Times New Roman" w:cs="Times New Roman"/>
          <w:szCs w:val="24"/>
          <w:lang w:val="en-US"/>
        </w:rPr>
        <w:t xml:space="preserve"> 1 </w:t>
      </w:r>
      <w:r w:rsidR="00C95CF5">
        <w:rPr>
          <w:rFonts w:ascii="Times New Roman" w:hAnsi="Times New Roman" w:cs="Times New Roman"/>
          <w:szCs w:val="24"/>
          <w:lang w:val="en-US"/>
        </w:rPr>
        <w:t xml:space="preserve">, p. </w:t>
      </w:r>
      <w:r w:rsidR="00C95CF5" w:rsidRPr="00C95CF5">
        <w:rPr>
          <w:rFonts w:ascii="Times New Roman" w:hAnsi="Times New Roman" w:cs="Times New Roman"/>
          <w:szCs w:val="24"/>
          <w:lang w:val="en-US"/>
        </w:rPr>
        <w:t>140‑</w:t>
      </w:r>
      <w:r w:rsidR="00C95CF5">
        <w:rPr>
          <w:rFonts w:ascii="Times New Roman" w:hAnsi="Times New Roman" w:cs="Times New Roman"/>
          <w:szCs w:val="24"/>
          <w:lang w:val="en-US"/>
        </w:rPr>
        <w:t>49</w:t>
      </w:r>
      <w:r w:rsidR="00C95CF5">
        <w:rPr>
          <w:rFonts w:ascii="Times New Roman" w:hAnsi="Times New Roman" w:cs="Times New Roman"/>
          <w:lang w:val="fr-BE"/>
        </w:rPr>
        <w:fldChar w:fldCharType="end"/>
      </w:r>
    </w:p>
  </w:footnote>
  <w:footnote w:id="54">
    <w:p w14:paraId="6A8025FF" w14:textId="1FBD3D59" w:rsidR="00997282" w:rsidRPr="00C95CF5" w:rsidRDefault="00997282" w:rsidP="00C95CF5">
      <w:pPr>
        <w:spacing w:after="12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00C95CF5">
        <w:rPr>
          <w:rFonts w:ascii="Times New Roman" w:hAnsi="Times New Roman" w:cs="Times New Roman"/>
          <w:b/>
          <w:sz w:val="20"/>
          <w:szCs w:val="20"/>
          <w:lang w:val="en-US"/>
        </w:rPr>
        <w:t>Curtin</w:t>
      </w:r>
      <w:r w:rsidRPr="0053779C">
        <w:rPr>
          <w:rFonts w:ascii="Times New Roman" w:hAnsi="Times New Roman" w:cs="Times New Roman"/>
          <w:b/>
          <w:sz w:val="20"/>
          <w:szCs w:val="20"/>
          <w:lang w:val="en-US"/>
        </w:rPr>
        <w:t xml:space="preserve"> </w:t>
      </w:r>
      <w:r w:rsidR="00C95CF5" w:rsidRPr="00C95CF5">
        <w:rPr>
          <w:rFonts w:ascii="Times New Roman" w:hAnsi="Times New Roman" w:cs="Times New Roman"/>
          <w:sz w:val="20"/>
          <w:szCs w:val="20"/>
          <w:lang w:val="en-US"/>
        </w:rPr>
        <w:t>(</w:t>
      </w:r>
      <w:r w:rsidRPr="00C95CF5">
        <w:rPr>
          <w:rFonts w:ascii="Times New Roman" w:hAnsi="Times New Roman" w:cs="Times New Roman"/>
          <w:sz w:val="20"/>
          <w:szCs w:val="20"/>
          <w:lang w:val="en-US"/>
        </w:rPr>
        <w:t>Deirdre</w:t>
      </w:r>
      <w:r w:rsidR="00C95CF5" w:rsidRPr="00C95CF5">
        <w:rPr>
          <w:rFonts w:ascii="Times New Roman" w:hAnsi="Times New Roman" w:cs="Times New Roman"/>
          <w:sz w:val="20"/>
          <w:szCs w:val="20"/>
          <w:lang w:val="en-US"/>
        </w:rPr>
        <w:t>),</w:t>
      </w:r>
      <w:r w:rsidRPr="00C95CF5">
        <w:rPr>
          <w:rFonts w:ascii="Times New Roman" w:hAnsi="Times New Roman" w:cs="Times New Roman"/>
          <w:sz w:val="20"/>
          <w:szCs w:val="20"/>
          <w:lang w:val="en-US"/>
        </w:rPr>
        <w:t xml:space="preserve"> </w:t>
      </w:r>
      <w:r w:rsidR="00C95CF5" w:rsidRPr="0053779C">
        <w:rPr>
          <w:rFonts w:ascii="Times New Roman" w:hAnsi="Times New Roman" w:cs="Times New Roman"/>
          <w:sz w:val="20"/>
          <w:szCs w:val="20"/>
          <w:lang w:val="en-US"/>
        </w:rPr>
        <w:t>2017</w:t>
      </w:r>
      <w:r w:rsidR="00C95CF5">
        <w:rPr>
          <w:rFonts w:ascii="Times New Roman" w:hAnsi="Times New Roman" w:cs="Times New Roman"/>
          <w:sz w:val="20"/>
          <w:szCs w:val="20"/>
          <w:lang w:val="en-US"/>
        </w:rPr>
        <w:t xml:space="preserve">, </w:t>
      </w:r>
      <w:r w:rsidR="00C95CF5" w:rsidRPr="00C95CF5">
        <w:rPr>
          <w:rFonts w:ascii="Times New Roman" w:hAnsi="Times New Roman" w:cs="Times New Roman"/>
          <w:sz w:val="20"/>
          <w:szCs w:val="20"/>
          <w:lang w:val="en-US"/>
        </w:rPr>
        <w:t>« </w:t>
      </w:r>
      <w:r w:rsidRPr="0053779C">
        <w:rPr>
          <w:rFonts w:ascii="Times New Roman" w:hAnsi="Times New Roman" w:cs="Times New Roman"/>
          <w:sz w:val="20"/>
          <w:szCs w:val="20"/>
          <w:lang w:val="en-US"/>
        </w:rPr>
        <w:t>‘Accountable Independence’of the European Central Bank: See</w:t>
      </w:r>
      <w:r w:rsidR="00C95CF5">
        <w:rPr>
          <w:rFonts w:ascii="Times New Roman" w:hAnsi="Times New Roman" w:cs="Times New Roman"/>
          <w:sz w:val="20"/>
          <w:szCs w:val="20"/>
          <w:lang w:val="en-US"/>
        </w:rPr>
        <w:t>ing the Logics of Transparency.</w:t>
      </w:r>
      <w:r w:rsidR="00C95CF5" w:rsidRPr="00C95CF5">
        <w:rPr>
          <w:rFonts w:ascii="Times New Roman" w:hAnsi="Times New Roman" w:cs="Times New Roman"/>
          <w:sz w:val="20"/>
          <w:szCs w:val="20"/>
          <w:lang w:val="en-US"/>
        </w:rPr>
        <w:t> »</w:t>
      </w:r>
      <w:r w:rsidRPr="0053779C">
        <w:rPr>
          <w:rFonts w:ascii="Times New Roman" w:hAnsi="Times New Roman" w:cs="Times New Roman"/>
          <w:sz w:val="20"/>
          <w:szCs w:val="20"/>
          <w:lang w:val="en-US"/>
        </w:rPr>
        <w:t xml:space="preserve"> </w:t>
      </w:r>
      <w:r w:rsidRPr="0053779C">
        <w:rPr>
          <w:rFonts w:ascii="Times New Roman" w:hAnsi="Times New Roman" w:cs="Times New Roman"/>
          <w:i/>
          <w:iCs/>
          <w:sz w:val="20"/>
          <w:szCs w:val="20"/>
          <w:lang w:val="en-US"/>
        </w:rPr>
        <w:t>European Law Journal</w:t>
      </w:r>
      <w:r w:rsidRPr="0053779C">
        <w:rPr>
          <w:rFonts w:ascii="Times New Roman" w:hAnsi="Times New Roman" w:cs="Times New Roman"/>
          <w:sz w:val="20"/>
          <w:szCs w:val="20"/>
          <w:lang w:val="en-US"/>
        </w:rPr>
        <w:t xml:space="preserve"> 23, no. 1-2 (): 28-44. </w:t>
      </w:r>
      <w:r w:rsidRPr="0053779C">
        <w:rPr>
          <w:rFonts w:ascii="Times New Roman" w:eastAsia="Times New Roman" w:hAnsi="Times New Roman" w:cs="Times New Roman"/>
          <w:b/>
          <w:sz w:val="20"/>
          <w:szCs w:val="20"/>
          <w:lang w:val="sv-SE" w:eastAsia="sv-SE"/>
        </w:rPr>
        <w:t>Hinarejos</w:t>
      </w:r>
      <w:r w:rsidRPr="0053779C">
        <w:rPr>
          <w:rFonts w:ascii="Times New Roman" w:eastAsia="Times New Roman" w:hAnsi="Times New Roman" w:cs="Times New Roman"/>
          <w:sz w:val="20"/>
          <w:szCs w:val="20"/>
          <w:lang w:val="sv-SE" w:eastAsia="sv-SE"/>
        </w:rPr>
        <w:t xml:space="preserve"> (Alicia), 2015,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Gauweiler and the Outright Monetary Transactions Programme: The Mandate of the European Central Bank and the Changing Nature of Economic and Monetary Union</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European Constitutional Law Review</w:t>
      </w:r>
      <w:r w:rsidRPr="0053779C">
        <w:rPr>
          <w:rFonts w:ascii="Times New Roman" w:eastAsia="Times New Roman" w:hAnsi="Times New Roman" w:cs="Times New Roman"/>
          <w:sz w:val="20"/>
          <w:szCs w:val="20"/>
          <w:lang w:val="sv-SE" w:eastAsia="sv-SE"/>
        </w:rPr>
        <w:t xml:space="preserve">, 11 (3), p. 563-576. </w:t>
      </w:r>
      <w:r w:rsidRPr="0053779C">
        <w:rPr>
          <w:rFonts w:ascii="Times New Roman" w:hAnsi="Times New Roman" w:cs="Times New Roman"/>
          <w:b/>
          <w:sz w:val="20"/>
          <w:szCs w:val="20"/>
          <w:lang w:val="en-US"/>
        </w:rPr>
        <w:t>Baroncelli</w:t>
      </w:r>
      <w:r w:rsidRPr="0053779C">
        <w:rPr>
          <w:rFonts w:ascii="Times New Roman" w:hAnsi="Times New Roman" w:cs="Times New Roman"/>
          <w:sz w:val="20"/>
          <w:szCs w:val="20"/>
          <w:lang w:val="en-US"/>
        </w:rPr>
        <w:t xml:space="preserve"> (Stefania), 2016, « The Gauweiler Judgment in View of the Case Law of the European Court of Justice on European Central Bank Independence: Between Substance and Form », </w:t>
      </w:r>
      <w:r w:rsidRPr="0053779C">
        <w:rPr>
          <w:rFonts w:ascii="Times New Roman" w:hAnsi="Times New Roman" w:cs="Times New Roman"/>
          <w:i/>
          <w:iCs/>
          <w:sz w:val="20"/>
          <w:szCs w:val="20"/>
          <w:lang w:val="en-US"/>
        </w:rPr>
        <w:t>Maastricht Journal of European and Comparative Law</w:t>
      </w:r>
      <w:r w:rsidRPr="0053779C">
        <w:rPr>
          <w:rFonts w:ascii="Times New Roman" w:hAnsi="Times New Roman" w:cs="Times New Roman"/>
          <w:sz w:val="20"/>
          <w:szCs w:val="20"/>
          <w:lang w:val="en-US"/>
        </w:rPr>
        <w:t>, 23 (1), p. 79</w:t>
      </w:r>
      <w:r w:rsidRPr="0053779C">
        <w:rPr>
          <w:rFonts w:ascii="Times New Roman" w:hAnsi="Times New Roman" w:cs="Times New Roman"/>
          <w:sz w:val="20"/>
          <w:szCs w:val="20"/>
          <w:lang w:val="en-US"/>
        </w:rPr>
        <w:noBreakHyphen/>
        <w:t xml:space="preserve">98. </w:t>
      </w:r>
      <w:r w:rsidRPr="0053779C">
        <w:rPr>
          <w:rFonts w:ascii="Times New Roman" w:hAnsi="Times New Roman" w:cs="Times New Roman"/>
          <w:b/>
          <w:sz w:val="20"/>
          <w:szCs w:val="20"/>
          <w:lang w:val="en-US"/>
        </w:rPr>
        <w:t>Tridimas</w:t>
      </w:r>
      <w:r w:rsidRPr="0053779C">
        <w:rPr>
          <w:rFonts w:ascii="Times New Roman" w:hAnsi="Times New Roman" w:cs="Times New Roman"/>
          <w:sz w:val="20"/>
          <w:szCs w:val="20"/>
          <w:lang w:val="en-US"/>
        </w:rPr>
        <w:t xml:space="preserve"> (Takis), </w:t>
      </w:r>
      <w:r w:rsidRPr="0053779C">
        <w:rPr>
          <w:rFonts w:ascii="Times New Roman" w:hAnsi="Times New Roman" w:cs="Times New Roman"/>
          <w:b/>
          <w:sz w:val="20"/>
          <w:szCs w:val="20"/>
          <w:lang w:val="en-US"/>
        </w:rPr>
        <w:t>Xanthoulis</w:t>
      </w:r>
      <w:r w:rsidRPr="0053779C">
        <w:rPr>
          <w:rFonts w:ascii="Times New Roman" w:hAnsi="Times New Roman" w:cs="Times New Roman"/>
          <w:sz w:val="20"/>
          <w:szCs w:val="20"/>
          <w:lang w:val="en-US"/>
        </w:rPr>
        <w:t xml:space="preserve"> (Napoleon), 2016, « A Legal Analysis of the Gauweiler Case: Between Monetary Policy and Constitutional Conflict », </w:t>
      </w:r>
      <w:r w:rsidRPr="0053779C">
        <w:rPr>
          <w:rFonts w:ascii="Times New Roman" w:hAnsi="Times New Roman" w:cs="Times New Roman"/>
          <w:i/>
          <w:iCs/>
          <w:sz w:val="20"/>
          <w:szCs w:val="20"/>
          <w:lang w:val="en-US"/>
        </w:rPr>
        <w:t>Maastricht Journal of European and Comparative Law</w:t>
      </w:r>
      <w:r w:rsidRPr="0053779C">
        <w:rPr>
          <w:rFonts w:ascii="Times New Roman" w:hAnsi="Times New Roman" w:cs="Times New Roman"/>
          <w:sz w:val="20"/>
          <w:szCs w:val="20"/>
          <w:lang w:val="en-US"/>
        </w:rPr>
        <w:t xml:space="preserve">, 1. </w:t>
      </w:r>
    </w:p>
  </w:footnote>
  <w:footnote w:id="55">
    <w:p w14:paraId="724EDD50" w14:textId="77777777" w:rsidR="00997282" w:rsidRPr="0053779C" w:rsidRDefault="00997282" w:rsidP="00482B2E">
      <w:pPr>
        <w:pStyle w:val="Notedebasdepage"/>
        <w:jc w:val="both"/>
        <w:rPr>
          <w:rFonts w:ascii="Times New Roman" w:hAnsi="Times New Roman" w:cs="Times New Roman"/>
          <w:lang w:val="en-US"/>
        </w:rPr>
      </w:pPr>
      <w:r w:rsidRPr="0053779C">
        <w:rPr>
          <w:rStyle w:val="Appelnotedebasdep"/>
          <w:rFonts w:ascii="Times New Roman" w:hAnsi="Times New Roman" w:cs="Times New Roman"/>
          <w:lang w:val="fr-BE"/>
        </w:rPr>
        <w:footnoteRef/>
      </w:r>
      <w:r w:rsidRPr="0053779C">
        <w:rPr>
          <w:rFonts w:ascii="Times New Roman" w:hAnsi="Times New Roman" w:cs="Times New Roman"/>
          <w:lang w:val="en-US"/>
        </w:rPr>
        <w:t xml:space="preserve"> BVerfG, Judgment of the Second Senate of 21 June 2016 - 2 BvR 2728/13 - paras. (1-220),</w:t>
      </w:r>
    </w:p>
    <w:p w14:paraId="568D4D88" w14:textId="5698E8D4" w:rsidR="00997282" w:rsidRPr="0053779C" w:rsidRDefault="00145AA2" w:rsidP="00482B2E">
      <w:pPr>
        <w:pStyle w:val="Notedebasdepage"/>
        <w:jc w:val="both"/>
        <w:rPr>
          <w:rFonts w:ascii="Times New Roman" w:hAnsi="Times New Roman" w:cs="Times New Roman"/>
          <w:lang w:val="en-US"/>
        </w:rPr>
      </w:pPr>
      <w:hyperlink r:id="rId2" w:history="1">
        <w:r w:rsidR="00997282" w:rsidRPr="0053779C">
          <w:rPr>
            <w:rStyle w:val="Lienhypertexte"/>
            <w:rFonts w:ascii="Times New Roman" w:hAnsi="Times New Roman" w:cs="Times New Roman"/>
            <w:color w:val="auto"/>
            <w:u w:val="none"/>
            <w:lang w:val="en-US"/>
          </w:rPr>
          <w:t>http://www.bverfg.de/e/rs20160621_2bvr272813en.html</w:t>
        </w:r>
      </w:hyperlink>
      <w:r w:rsidR="00997282" w:rsidRPr="0053779C">
        <w:rPr>
          <w:rFonts w:ascii="Times New Roman" w:hAnsi="Times New Roman" w:cs="Times New Roman"/>
          <w:lang w:val="en-US"/>
        </w:rPr>
        <w:t xml:space="preserve"> </w:t>
      </w:r>
    </w:p>
  </w:footnote>
  <w:footnote w:id="56">
    <w:p w14:paraId="668545D9" w14:textId="77777777" w:rsidR="00997282" w:rsidRPr="0053779C" w:rsidRDefault="00997282" w:rsidP="009C1A63">
      <w:pPr>
        <w:spacing w:after="12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Adolph</w:t>
      </w:r>
      <w:r w:rsidRPr="0053779C">
        <w:rPr>
          <w:rFonts w:ascii="Times New Roman" w:eastAsia="Times New Roman" w:hAnsi="Times New Roman" w:cs="Times New Roman"/>
          <w:sz w:val="20"/>
          <w:szCs w:val="20"/>
          <w:lang w:val="sv-SE" w:eastAsia="sv-SE"/>
        </w:rPr>
        <w:t xml:space="preserve"> (Christopher), 2013, </w:t>
      </w:r>
      <w:r w:rsidRPr="0053779C">
        <w:rPr>
          <w:rFonts w:ascii="Times New Roman" w:eastAsia="Times New Roman" w:hAnsi="Times New Roman" w:cs="Times New Roman"/>
          <w:i/>
          <w:sz w:val="20"/>
          <w:szCs w:val="20"/>
          <w:lang w:val="sv-SE" w:eastAsia="sv-SE"/>
        </w:rPr>
        <w:t>Bankers, Bureaucrats, and Central Bank Politics: The Myth of Neutrality</w:t>
      </w:r>
      <w:r w:rsidRPr="0053779C">
        <w:rPr>
          <w:rFonts w:ascii="Times New Roman" w:eastAsia="Times New Roman" w:hAnsi="Times New Roman" w:cs="Times New Roman"/>
          <w:sz w:val="20"/>
          <w:szCs w:val="20"/>
          <w:lang w:val="sv-SE" w:eastAsia="sv-SE"/>
        </w:rPr>
        <w:t>, New York, Cambridge University Press.</w:t>
      </w:r>
    </w:p>
    <w:p w14:paraId="2CA73BAF" w14:textId="4B14C6B2" w:rsidR="00997282" w:rsidRPr="00DA24D6" w:rsidRDefault="00997282">
      <w:pPr>
        <w:pStyle w:val="Notedebasdepage"/>
        <w:rPr>
          <w:lang w:val="sv-SE"/>
        </w:rPr>
      </w:pPr>
    </w:p>
  </w:footnote>
  <w:footnote w:id="57">
    <w:p w14:paraId="0C29AF7D" w14:textId="34EFD876" w:rsidR="00997282" w:rsidRPr="0053779C" w:rsidRDefault="00997282"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Howarth</w:t>
      </w:r>
      <w:r w:rsidRPr="0053779C">
        <w:rPr>
          <w:rFonts w:ascii="Times New Roman" w:eastAsia="Times New Roman" w:hAnsi="Times New Roman" w:cs="Times New Roman"/>
          <w:sz w:val="20"/>
          <w:szCs w:val="20"/>
          <w:lang w:val="sv-SE" w:eastAsia="sv-SE"/>
        </w:rPr>
        <w:t xml:space="preserve"> (David), </w:t>
      </w:r>
      <w:r w:rsidRPr="0053779C">
        <w:rPr>
          <w:rFonts w:ascii="Times New Roman" w:eastAsia="Times New Roman" w:hAnsi="Times New Roman" w:cs="Times New Roman"/>
          <w:b/>
          <w:sz w:val="20"/>
          <w:szCs w:val="20"/>
          <w:lang w:val="sv-SE" w:eastAsia="sv-SE"/>
        </w:rPr>
        <w:t>Loedel</w:t>
      </w:r>
      <w:r w:rsidRPr="0053779C">
        <w:rPr>
          <w:rFonts w:ascii="Times New Roman" w:eastAsia="Times New Roman" w:hAnsi="Times New Roman" w:cs="Times New Roman"/>
          <w:sz w:val="20"/>
          <w:szCs w:val="20"/>
          <w:lang w:val="sv-SE" w:eastAsia="sv-SE"/>
        </w:rPr>
        <w:t xml:space="preserve"> (Peter), 2005, </w:t>
      </w:r>
      <w:r w:rsidRPr="0053779C">
        <w:rPr>
          <w:rFonts w:ascii="Times New Roman" w:eastAsia="Times New Roman" w:hAnsi="Times New Roman" w:cs="Times New Roman"/>
          <w:i/>
          <w:sz w:val="20"/>
          <w:szCs w:val="20"/>
          <w:lang w:val="sv-SE" w:eastAsia="sv-SE"/>
        </w:rPr>
        <w:t>The European Central Bank: the new European Leviathan ?</w:t>
      </w:r>
      <w:r w:rsidRPr="0053779C">
        <w:rPr>
          <w:rFonts w:ascii="Times New Roman" w:eastAsia="Times New Roman" w:hAnsi="Times New Roman" w:cs="Times New Roman"/>
          <w:sz w:val="20"/>
          <w:szCs w:val="20"/>
          <w:lang w:val="sv-SE" w:eastAsia="sv-SE"/>
        </w:rPr>
        <w:t>, Basingstoke, Palgrave Macmillan.</w:t>
      </w:r>
    </w:p>
  </w:footnote>
  <w:footnote w:id="58">
    <w:p w14:paraId="2F440094" w14:textId="028AD493" w:rsidR="00392FB7" w:rsidRPr="0053779C" w:rsidRDefault="00392FB7"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rPr>
        <w:t xml:space="preserve"> </w:t>
      </w:r>
      <w:r w:rsidRPr="0053779C">
        <w:rPr>
          <w:rFonts w:ascii="Times New Roman" w:eastAsia="Times New Roman" w:hAnsi="Times New Roman" w:cs="Times New Roman"/>
          <w:b/>
          <w:sz w:val="20"/>
          <w:szCs w:val="20"/>
          <w:lang w:val="sv-SE" w:eastAsia="sv-SE"/>
        </w:rPr>
        <w:t>Fontan</w:t>
      </w:r>
      <w:r w:rsidRPr="0053779C">
        <w:rPr>
          <w:rFonts w:ascii="Times New Roman" w:eastAsia="Times New Roman" w:hAnsi="Times New Roman" w:cs="Times New Roman"/>
          <w:sz w:val="20"/>
          <w:szCs w:val="20"/>
          <w:lang w:val="sv-SE" w:eastAsia="sv-SE"/>
        </w:rPr>
        <w:t xml:space="preserve"> (Clément), 2016. </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Une banque centrale au-dessus des nations ? Faire peser les intérêts nationaux au sein de la Banque centrale européenne</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Revue française d’administration publique</w:t>
      </w:r>
      <w:r w:rsidRPr="0053779C">
        <w:rPr>
          <w:rFonts w:ascii="Times New Roman" w:eastAsia="Times New Roman" w:hAnsi="Times New Roman" w:cs="Times New Roman"/>
          <w:sz w:val="20"/>
          <w:szCs w:val="20"/>
          <w:lang w:val="sv-SE" w:eastAsia="sv-SE"/>
        </w:rPr>
        <w:t>, 158 (2), p. 491-504.</w:t>
      </w:r>
    </w:p>
  </w:footnote>
  <w:footnote w:id="59">
    <w:p w14:paraId="6E1F1FC0" w14:textId="3BB4FEC0" w:rsidR="00997282" w:rsidRPr="0053779C" w:rsidRDefault="00997282" w:rsidP="0053779C">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Rapport du Parlement européen sur la recommandation du Conseil concernant la nomination d'un membre du directoire de la Banque centrale européenne (C7-0195/2012 – 2012/0806(NLE). </w:t>
      </w:r>
    </w:p>
  </w:footnote>
  <w:footnote w:id="60">
    <w:p w14:paraId="7543A088" w14:textId="282D52A9" w:rsidR="00997282" w:rsidRPr="0053779C" w:rsidRDefault="00997282" w:rsidP="0053779C">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w:t>
      </w:r>
      <w:r w:rsidRPr="0053779C">
        <w:rPr>
          <w:rFonts w:ascii="Times New Roman" w:hAnsi="Times New Roman" w:cs="Times New Roman"/>
          <w:lang w:val="fr-BE"/>
        </w:rPr>
        <w:t>Rapport du Parlement européen sur la recommandation du Conseil concernant la nomination d'un membre du directoire de la Banque centrale européenne (N7-0002/2014 – C7-0010/2014 – 2014/0801(NLE).</w:t>
      </w:r>
    </w:p>
  </w:footnote>
  <w:footnote w:id="61">
    <w:p w14:paraId="6C09AD2C" w14:textId="77777777" w:rsidR="00997282" w:rsidRPr="0053779C" w:rsidRDefault="00997282"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Lebaron</w:t>
      </w:r>
      <w:r w:rsidRPr="0053779C">
        <w:rPr>
          <w:rFonts w:ascii="Times New Roman" w:eastAsia="Times New Roman" w:hAnsi="Times New Roman" w:cs="Times New Roman"/>
          <w:sz w:val="20"/>
          <w:szCs w:val="20"/>
          <w:lang w:val="sv-SE" w:eastAsia="sv-SE"/>
        </w:rPr>
        <w:t xml:space="preserve"> (Frédéric), 2015,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The social and institutional foundations of monetary innovation.  An inquiry in the global elite group of central bankers</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ECPR General conference, Montreal.</w:t>
      </w:r>
    </w:p>
    <w:p w14:paraId="67EFE5D1" w14:textId="1D650176" w:rsidR="00997282" w:rsidRPr="00DA24D6" w:rsidRDefault="00997282">
      <w:pPr>
        <w:pStyle w:val="Notedebasdepage"/>
        <w:rPr>
          <w:lang w:val="sv-SE"/>
        </w:rPr>
      </w:pPr>
    </w:p>
  </w:footnote>
  <w:footnote w:id="62">
    <w:p w14:paraId="37784EE6" w14:textId="388F62AD" w:rsidR="00997282" w:rsidRPr="0053779C" w:rsidRDefault="00997282" w:rsidP="0053779C">
      <w:pPr>
        <w:pStyle w:val="Notedebasdepage"/>
        <w:rPr>
          <w:rFonts w:ascii="Times New Roman" w:hAnsi="Times New Roman" w:cs="Times New Roman"/>
          <w:lang w:val="en-US"/>
        </w:rPr>
      </w:pPr>
      <w:r w:rsidRPr="0053779C">
        <w:rPr>
          <w:rStyle w:val="Appelnotedebasdep"/>
          <w:rFonts w:ascii="Times New Roman" w:hAnsi="Times New Roman" w:cs="Times New Roman"/>
        </w:rPr>
        <w:footnoteRef/>
      </w:r>
      <w:r w:rsidRPr="0053779C">
        <w:rPr>
          <w:rFonts w:ascii="Times New Roman" w:hAnsi="Times New Roman" w:cs="Times New Roman"/>
          <w:lang w:val="en-US"/>
        </w:rPr>
        <w:t xml:space="preserve"> </w:t>
      </w:r>
      <w:r w:rsidRPr="00E05ABF">
        <w:rPr>
          <w:rFonts w:ascii="Times New Roman" w:hAnsi="Times New Roman" w:cs="Times New Roman"/>
          <w:b/>
          <w:lang w:val="en-US"/>
        </w:rPr>
        <w:t>Jones</w:t>
      </w:r>
      <w:r w:rsidR="00877987">
        <w:rPr>
          <w:rFonts w:ascii="Times New Roman" w:hAnsi="Times New Roman" w:cs="Times New Roman"/>
          <w:b/>
          <w:lang w:val="en-US"/>
        </w:rPr>
        <w:t xml:space="preserve"> (</w:t>
      </w:r>
      <w:r w:rsidR="00877987" w:rsidRPr="0053779C">
        <w:rPr>
          <w:rFonts w:ascii="Times New Roman" w:hAnsi="Times New Roman" w:cs="Times New Roman"/>
          <w:lang w:val="en-US"/>
        </w:rPr>
        <w:t>Claire</w:t>
      </w:r>
      <w:r w:rsidR="00877987">
        <w:rPr>
          <w:rFonts w:ascii="Times New Roman" w:hAnsi="Times New Roman" w:cs="Times New Roman"/>
          <w:lang w:val="en-US"/>
        </w:rPr>
        <w:t>)</w:t>
      </w:r>
      <w:r w:rsidRPr="0053779C">
        <w:rPr>
          <w:rFonts w:ascii="Times New Roman" w:hAnsi="Times New Roman" w:cs="Times New Roman"/>
          <w:lang w:val="en-US"/>
        </w:rPr>
        <w:t>, “The ECB after Draghi: ‘You need an actor who can act fast’”, Financial Times, 13 mars 2019, https://www.ft.com/content/911665fe-41b8-11e9-9bee-efab61506f44</w:t>
      </w:r>
    </w:p>
  </w:footnote>
  <w:footnote w:id="63">
    <w:p w14:paraId="08FF3D3A" w14:textId="35B21B0F" w:rsidR="00997282" w:rsidRPr="0053779C" w:rsidRDefault="00997282" w:rsidP="0053779C">
      <w:pPr>
        <w:spacing w:after="0" w:line="240" w:lineRule="atLeast"/>
        <w:jc w:val="both"/>
        <w:rPr>
          <w:rFonts w:ascii="Times New Roman" w:hAnsi="Times New Roman" w:cs="Times New Roman"/>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Jabko</w:t>
      </w:r>
      <w:r w:rsidRPr="0053779C">
        <w:rPr>
          <w:rFonts w:ascii="Times New Roman" w:eastAsia="Times New Roman" w:hAnsi="Times New Roman" w:cs="Times New Roman"/>
          <w:sz w:val="20"/>
          <w:szCs w:val="20"/>
          <w:lang w:val="sv-SE" w:eastAsia="sv-SE"/>
        </w:rPr>
        <w:t xml:space="preserve"> (Nicolas), 2009,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Transparency and Accountability</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in</w:t>
      </w:r>
      <w:r w:rsidRPr="0053779C">
        <w:rPr>
          <w:rFonts w:ascii="Times New Roman" w:eastAsia="Times New Roman" w:hAnsi="Times New Roman" w:cs="Times New Roman"/>
          <w:sz w:val="20"/>
          <w:szCs w:val="20"/>
          <w:lang w:val="sv-SE" w:eastAsia="sv-SE"/>
        </w:rPr>
        <w:t xml:space="preserve"> Kenneth Dyson, Martin Marcussen, dir., </w:t>
      </w:r>
      <w:r w:rsidRPr="0053779C">
        <w:rPr>
          <w:rFonts w:ascii="Times New Roman" w:eastAsia="Times New Roman" w:hAnsi="Times New Roman" w:cs="Times New Roman"/>
          <w:i/>
          <w:sz w:val="20"/>
          <w:szCs w:val="20"/>
          <w:lang w:val="sv-SE" w:eastAsia="sv-SE"/>
        </w:rPr>
        <w:t>Central Banks in the Age of the Euro : Europeanization, Convergence and Power</w:t>
      </w:r>
      <w:r w:rsidRPr="0053779C">
        <w:rPr>
          <w:rFonts w:ascii="Times New Roman" w:eastAsia="Times New Roman" w:hAnsi="Times New Roman" w:cs="Times New Roman"/>
          <w:sz w:val="20"/>
          <w:szCs w:val="20"/>
          <w:lang w:val="sv-SE" w:eastAsia="sv-SE"/>
        </w:rPr>
        <w:t>, Oxford, Oxford University Press, p. 391-406.</w:t>
      </w:r>
    </w:p>
  </w:footnote>
  <w:footnote w:id="64">
    <w:p w14:paraId="210B0BA9" w14:textId="480768B8" w:rsidR="00997282" w:rsidRPr="00374D49" w:rsidRDefault="00997282" w:rsidP="0053779C">
      <w:pPr>
        <w:pStyle w:val="Notedebasdepage"/>
        <w:jc w:val="both"/>
        <w:rPr>
          <w:rFonts w:asciiTheme="majorHAnsi" w:hAnsiTheme="majorHAnsi"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Résolution du Parlement européen du 13 mars 2014 sur le rapport d'enquête sur le rôle et les activités de la Troïka.</w:t>
      </w:r>
    </w:p>
  </w:footnote>
  <w:footnote w:id="65">
    <w:p w14:paraId="3FCB1E99" w14:textId="2C339FDA"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Mémoire de master 2 de Marylou Hamm, </w:t>
      </w:r>
      <w:r w:rsidRPr="0053779C">
        <w:rPr>
          <w:rFonts w:ascii="Times New Roman" w:hAnsi="Times New Roman" w:cs="Times New Roman"/>
          <w:i/>
          <w:lang w:val="fr-BE"/>
        </w:rPr>
        <w:t>Autour de la Troïka : tentatives de mobilisations critiques</w:t>
      </w:r>
      <w:r w:rsidRPr="0053779C">
        <w:rPr>
          <w:rFonts w:ascii="Times New Roman" w:hAnsi="Times New Roman" w:cs="Times New Roman"/>
          <w:lang w:val="fr-BE"/>
        </w:rPr>
        <w:t>, IEP Strasbourg, 2015.</w:t>
      </w:r>
    </w:p>
  </w:footnote>
  <w:footnote w:id="66">
    <w:p w14:paraId="6E61A301" w14:textId="06F0CB7B" w:rsidR="00997282" w:rsidRPr="0053779C" w:rsidRDefault="00997282" w:rsidP="00482B2E">
      <w:pPr>
        <w:pStyle w:val="Notedebasdepage"/>
        <w:jc w:val="both"/>
        <w:rPr>
          <w:rFonts w:ascii="Times New Roman" w:hAnsi="Times New Roman" w:cs="Times New Roman"/>
          <w:lang w:val="sv-S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Le président de la BCE est interrogé par les membres de la Commission Econ du Parlement européen tous les deux mois. Les auditions sont préparées en amont par les parlementaires grâce à la mobilisation d’expertise externe (cf. partie 3).</w:t>
      </w:r>
    </w:p>
  </w:footnote>
  <w:footnote w:id="67">
    <w:p w14:paraId="32B74BE2" w14:textId="49277FA1"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L’analyse porte sur huit auditions de Mario Draghi devant le Parlement européen, qui se sont déroulées entre novembre 2014 et septembre 2016. Les parlementaires posent, en moyenne, une vingtaine de questions par séance. L’objectif de l’analyse est de repérer comment les critiques sur les effets secondaires des politiques monétaires non-conventionnelles de la BCE sont réparties entre les différents partis politiques. </w:t>
      </w:r>
    </w:p>
  </w:footnote>
  <w:footnote w:id="68">
    <w:p w14:paraId="3CE6F3F2" w14:textId="313F1AB0" w:rsidR="00997282" w:rsidRPr="00374D49" w:rsidRDefault="00997282" w:rsidP="00482B2E">
      <w:pPr>
        <w:pStyle w:val="Notedebasdepage"/>
        <w:jc w:val="both"/>
        <w:rPr>
          <w:rFonts w:asciiTheme="majorHAnsi" w:hAnsiTheme="majorHAnsi"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Petr Ježek (ALDE, ANO 2011), Barbara Kappel (ENL, FPO), Werner Langen (PPE,CDU), Sander Loones (ECR, NVA), Burkhard Balz, Marco Zanni (EFDD, M5S), Bernard Mono (NI, FN), Siegfried Mureșan (PPE, CDU), Markus Ferber (PPE, CSU).</w:t>
      </w:r>
    </w:p>
  </w:footnote>
  <w:footnote w:id="69">
    <w:p w14:paraId="03295266" w14:textId="7DE71872" w:rsidR="00997282" w:rsidRPr="0053779C" w:rsidRDefault="00997282" w:rsidP="00482B2E">
      <w:pPr>
        <w:pStyle w:val="Notedebasdepage"/>
        <w:jc w:val="both"/>
        <w:rPr>
          <w:rFonts w:ascii="Times New Roman" w:hAnsi="Times New Roman" w:cs="Times New Roman"/>
          <w:lang w:val="en-US"/>
        </w:rPr>
      </w:pPr>
      <w:r w:rsidRPr="0053779C">
        <w:rPr>
          <w:rStyle w:val="Appelnotedebasdep"/>
          <w:rFonts w:ascii="Times New Roman" w:hAnsi="Times New Roman" w:cs="Times New Roman"/>
          <w:lang w:val="fr-BE"/>
        </w:rPr>
        <w:footnoteRef/>
      </w:r>
      <w:r w:rsidRPr="0053779C">
        <w:rPr>
          <w:rFonts w:ascii="Times New Roman" w:hAnsi="Times New Roman" w:cs="Times New Roman"/>
          <w:lang w:val="en-US"/>
        </w:rPr>
        <w:t xml:space="preserve"> Molly Scott Cato (Greens), Marco Valli (M5S, EFDD), Philippe Lamberts (Verts/ALE), Neena Gill (Labour, S&amp;D).</w:t>
      </w:r>
    </w:p>
  </w:footnote>
  <w:footnote w:id="70">
    <w:p w14:paraId="6C36B9D5" w14:textId="32E7A865" w:rsidR="00997282" w:rsidRPr="0053779C" w:rsidRDefault="00997282" w:rsidP="00482B2E">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Lettre QZ-046 de 41 parlementaires à la BCE, 1</w:t>
      </w:r>
      <w:r w:rsidRPr="0053779C">
        <w:rPr>
          <w:rFonts w:ascii="Times New Roman" w:hAnsi="Times New Roman" w:cs="Times New Roman"/>
          <w:vertAlign w:val="superscript"/>
        </w:rPr>
        <w:t>er</w:t>
      </w:r>
      <w:r w:rsidRPr="0053779C">
        <w:rPr>
          <w:rFonts w:ascii="Times New Roman" w:hAnsi="Times New Roman" w:cs="Times New Roman"/>
        </w:rPr>
        <w:t xml:space="preserve"> juin 2017. Accessible sur </w:t>
      </w:r>
      <w:hyperlink r:id="rId3" w:history="1">
        <w:r w:rsidRPr="0053779C">
          <w:rPr>
            <w:rStyle w:val="Lienhypertexte"/>
            <w:rFonts w:ascii="Times New Roman" w:hAnsi="Times New Roman" w:cs="Times New Roman"/>
            <w:color w:val="auto"/>
            <w:u w:val="none"/>
          </w:rPr>
          <w:t>https://sven-giegold.de/more-transparency-at-the-ecb/</w:t>
        </w:r>
      </w:hyperlink>
      <w:r w:rsidRPr="0053779C">
        <w:rPr>
          <w:rFonts w:ascii="Times New Roman" w:hAnsi="Times New Roman" w:cs="Times New Roman"/>
        </w:rPr>
        <w:t xml:space="preserve">. </w:t>
      </w:r>
    </w:p>
  </w:footnote>
  <w:footnote w:id="71">
    <w:p w14:paraId="0A841FE9" w14:textId="23118FCF" w:rsidR="00997282" w:rsidRPr="0053779C" w:rsidRDefault="00997282" w:rsidP="00482B2E">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Question de Neena Gill, « La BCE  a-t-elle  entamé  une  procédure  interne  d’évaluation  des  effets?  Je souhaite à  cet  égard  mentionner  une  étude  de  la  London  School  of  Economics,  selon laquelle 62 % des titres du CSPP sont à très forte intensité de carbone », dialogue monétaire du 9 juillet 2018.</w:t>
      </w:r>
    </w:p>
  </w:footnote>
  <w:footnote w:id="72">
    <w:p w14:paraId="634AD178" w14:textId="1C39A92E"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Christophe Caresche (PS), Véronique Louwagie (UMP), Olivier Carré (UMP), Pascal Cherki(PS), Karine Berger (PS), Marie-Christine Dalloz (UMP), Jacques Myard (UMP). </w:t>
      </w:r>
    </w:p>
  </w:footnote>
  <w:footnote w:id="73">
    <w:p w14:paraId="4852CE33" w14:textId="4416975A"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Marion Maréchal-Le Pen (FN).</w:t>
      </w:r>
    </w:p>
  </w:footnote>
  <w:footnote w:id="74">
    <w:p w14:paraId="2BBD50B2" w14:textId="4A5B9649" w:rsidR="00997282" w:rsidRPr="0053779C" w:rsidRDefault="00997282" w:rsidP="00482B2E">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Nicolas Sansu (Front de gauche).</w:t>
      </w:r>
    </w:p>
  </w:footnote>
  <w:footnote w:id="75">
    <w:p w14:paraId="18CD9229" w14:textId="709F40B6" w:rsidR="00997282" w:rsidRPr="0092433C" w:rsidRDefault="00997282" w:rsidP="00482B2E">
      <w:pPr>
        <w:pStyle w:val="Notedebasdepage"/>
        <w:jc w:val="both"/>
        <w:rPr>
          <w:rFonts w:asciiTheme="majorHAnsi" w:hAnsiTheme="majorHAnsi"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Charles de Courson (UDI) dont le positionnement semble être plus personnel que partisan.</w:t>
      </w:r>
    </w:p>
  </w:footnote>
  <w:footnote w:id="76">
    <w:p w14:paraId="2CD7F6F1" w14:textId="4532C7CF" w:rsidR="00997282" w:rsidRPr="0053779C" w:rsidRDefault="00997282" w:rsidP="00DA24D6">
      <w:pPr>
        <w:spacing w:after="12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Tesche</w:t>
      </w:r>
      <w:r w:rsidRPr="0053779C">
        <w:rPr>
          <w:rFonts w:ascii="Times New Roman" w:hAnsi="Times New Roman" w:cs="Times New Roman"/>
          <w:sz w:val="20"/>
          <w:szCs w:val="20"/>
          <w:lang w:val="en-US"/>
        </w:rPr>
        <w:t xml:space="preserve"> (Tobias), 2018, « Instrumentalizing EMU’s democratic deficit: the ECB’s unconventional accountability measures during the eurozone crisis », </w:t>
      </w:r>
      <w:r w:rsidRPr="0053779C">
        <w:rPr>
          <w:rFonts w:ascii="Times New Roman" w:hAnsi="Times New Roman" w:cs="Times New Roman"/>
          <w:i/>
          <w:iCs/>
          <w:sz w:val="20"/>
          <w:szCs w:val="20"/>
          <w:lang w:val="en-US"/>
        </w:rPr>
        <w:t>Journal of European Integration</w:t>
      </w:r>
      <w:r w:rsidRPr="0053779C">
        <w:rPr>
          <w:rFonts w:ascii="Times New Roman" w:hAnsi="Times New Roman" w:cs="Times New Roman"/>
          <w:sz w:val="20"/>
          <w:szCs w:val="20"/>
          <w:lang w:val="en-US"/>
        </w:rPr>
        <w:t>, p. 1-17.</w:t>
      </w:r>
    </w:p>
  </w:footnote>
  <w:footnote w:id="77">
    <w:p w14:paraId="216CEC0A" w14:textId="6FC951B3" w:rsidR="00997282" w:rsidRPr="0053779C" w:rsidRDefault="00997282" w:rsidP="00482B2E">
      <w:pPr>
        <w:autoSpaceDE w:val="0"/>
        <w:autoSpaceDN w:val="0"/>
        <w:adjustRightInd w:val="0"/>
        <w:spacing w:after="0" w:line="240" w:lineRule="auto"/>
        <w:jc w:val="both"/>
        <w:rPr>
          <w:rFonts w:ascii="Times New Roman" w:hAnsi="Times New Roman" w:cs="Times New Roman"/>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E05ABF">
        <w:rPr>
          <w:rFonts w:ascii="Times New Roman" w:hAnsi="Times New Roman" w:cs="Times New Roman"/>
          <w:b/>
          <w:sz w:val="20"/>
          <w:szCs w:val="20"/>
          <w:lang w:val="sv-SE"/>
        </w:rPr>
        <w:t>Jones</w:t>
      </w:r>
      <w:r w:rsidR="00877987">
        <w:rPr>
          <w:rFonts w:ascii="Times New Roman" w:hAnsi="Times New Roman" w:cs="Times New Roman"/>
          <w:b/>
          <w:sz w:val="20"/>
          <w:szCs w:val="20"/>
          <w:lang w:val="sv-SE"/>
        </w:rPr>
        <w:t xml:space="preserve"> (</w:t>
      </w:r>
      <w:r w:rsidR="00877987" w:rsidRPr="0053779C">
        <w:rPr>
          <w:rFonts w:ascii="Times New Roman" w:hAnsi="Times New Roman" w:cs="Times New Roman"/>
          <w:sz w:val="20"/>
          <w:szCs w:val="20"/>
          <w:lang w:val="sv-SE"/>
        </w:rPr>
        <w:t>Claire</w:t>
      </w:r>
      <w:r w:rsidR="00877987">
        <w:rPr>
          <w:rFonts w:ascii="Times New Roman" w:hAnsi="Times New Roman" w:cs="Times New Roman"/>
          <w:sz w:val="20"/>
          <w:szCs w:val="20"/>
          <w:lang w:val="sv-SE"/>
        </w:rPr>
        <w:t>)</w:t>
      </w:r>
      <w:r w:rsidRPr="0053779C">
        <w:rPr>
          <w:rFonts w:ascii="Times New Roman" w:hAnsi="Times New Roman" w:cs="Times New Roman"/>
          <w:sz w:val="20"/>
          <w:szCs w:val="20"/>
          <w:lang w:val="sv-SE"/>
        </w:rPr>
        <w:t>, « ECB to shed more light on corporate bond purchases », 21 juin 2017, http://on.ft.com/2we8U49.</w:t>
      </w:r>
    </w:p>
  </w:footnote>
  <w:footnote w:id="78">
    <w:p w14:paraId="1C357E7B" w14:textId="1A90200F" w:rsidR="00C95CF5" w:rsidRPr="00C95CF5" w:rsidRDefault="00C95CF5">
      <w:pPr>
        <w:pStyle w:val="Notedebasdepage"/>
        <w:rPr>
          <w:lang w:val="fr-BE"/>
        </w:rPr>
      </w:pPr>
      <w:r>
        <w:rPr>
          <w:rStyle w:val="Appelnotedebasdep"/>
        </w:rPr>
        <w:footnoteRef/>
      </w:r>
      <w:r>
        <w:t xml:space="preserve"> </w:t>
      </w:r>
      <w:r>
        <w:fldChar w:fldCharType="begin"/>
      </w:r>
      <w:r>
        <w:instrText xml:space="preserve"> ADDIN ZOTERO_ITEM CSL_CITATION {"citationID":"wZrj72fD","properties":{"formattedCitation":"Cl\\uc0\\u233{}ment Fontan, \\uc0\\u171{}\\uc0\\u160{}La BCE peut-elle mener une politique \\uc0\\u171{}\\uc0\\u8239{}industrielle\\uc0\\u8239{}\\uc0\\u187{} \\uc0\\u224{} la place des \\uc0\\u201{}tats\\uc0\\u8239{}?\\uc0\\u160{}\\uc0\\u187{}, {\\i{}La Revue Nouvelle} 6 (2017): 67\\uc0\\u8209{}74.","plainCitation":"Clément Fontan, « La BCE peut-elle mener une politique « industrielle » à la place des États ? », La Revue Nouvelle 6 (2017): 67</w:instrText>
      </w:r>
      <w:r>
        <w:rPr>
          <w:rFonts w:ascii="Cambria Math" w:hAnsi="Cambria Math" w:cs="Cambria Math"/>
        </w:rPr>
        <w:instrText>‑</w:instrText>
      </w:r>
      <w:r>
        <w:instrText xml:space="preserve">74.","noteIndex":78},"citationItems":[{"id":2408,"uris":["http://zotero.org/groups/317667/items/WNVFUKQW"],"uri":["http://zotero.org/groups/317667/items/WNVFUKQW"],"itemData":{"id":2408,"type":"article-journal","title":"La BCE peut-elle mener une politique « industrielle » à la place des États ?","container-title":"La Revue Nouvelle","page":"67-74","volume":"6","author":[{"family":"Fontan","given":"Clément"}],"issued":{"date-parts":[["2017"]]}}}],"schema":"https://github.com/citation-style-language/schema/raw/master/csl-citation.json"} </w:instrText>
      </w:r>
      <w:r>
        <w:fldChar w:fldCharType="separate"/>
      </w:r>
      <w:r w:rsidRPr="000757F4">
        <w:rPr>
          <w:rFonts w:ascii="Calibri" w:hAnsi="Calibri" w:cs="Calibri"/>
          <w:b/>
          <w:szCs w:val="24"/>
        </w:rPr>
        <w:t>Fontan</w:t>
      </w:r>
      <w:r>
        <w:rPr>
          <w:rFonts w:ascii="Calibri" w:hAnsi="Calibri" w:cs="Calibri"/>
          <w:szCs w:val="24"/>
        </w:rPr>
        <w:t xml:space="preserve"> (</w:t>
      </w:r>
      <w:r w:rsidRPr="00C95CF5">
        <w:rPr>
          <w:rFonts w:ascii="Calibri" w:hAnsi="Calibri" w:cs="Calibri"/>
          <w:szCs w:val="24"/>
        </w:rPr>
        <w:t>Clément</w:t>
      </w:r>
      <w:r>
        <w:rPr>
          <w:rFonts w:ascii="Calibri" w:hAnsi="Calibri" w:cs="Calibri"/>
          <w:szCs w:val="24"/>
        </w:rPr>
        <w:t>), 2017,</w:t>
      </w:r>
      <w:r w:rsidRPr="00C95CF5">
        <w:rPr>
          <w:rFonts w:ascii="Calibri" w:hAnsi="Calibri" w:cs="Calibri"/>
          <w:szCs w:val="24"/>
        </w:rPr>
        <w:t xml:space="preserve"> « La BCE peut-elle mener une politique « industrielle » à la place des États ? », </w:t>
      </w:r>
      <w:r w:rsidRPr="00C95CF5">
        <w:rPr>
          <w:rFonts w:ascii="Calibri" w:hAnsi="Calibri" w:cs="Calibri"/>
          <w:i/>
          <w:iCs/>
          <w:szCs w:val="24"/>
        </w:rPr>
        <w:t>La Revue Nouvelle</w:t>
      </w:r>
      <w:r w:rsidRPr="00C95CF5">
        <w:rPr>
          <w:rFonts w:ascii="Calibri" w:hAnsi="Calibri" w:cs="Calibri"/>
          <w:szCs w:val="24"/>
        </w:rPr>
        <w:t xml:space="preserve"> 6</w:t>
      </w:r>
      <w:r>
        <w:rPr>
          <w:rFonts w:ascii="Calibri" w:hAnsi="Calibri" w:cs="Calibri"/>
          <w:szCs w:val="24"/>
        </w:rPr>
        <w:t>, p.</w:t>
      </w:r>
      <w:r w:rsidRPr="00C95CF5">
        <w:rPr>
          <w:rFonts w:ascii="Calibri" w:hAnsi="Calibri" w:cs="Calibri"/>
          <w:szCs w:val="24"/>
        </w:rPr>
        <w:t xml:space="preserve"> 67‑74.</w:t>
      </w:r>
      <w:r>
        <w:fldChar w:fldCharType="end"/>
      </w:r>
    </w:p>
  </w:footnote>
  <w:footnote w:id="79">
    <w:p w14:paraId="56BC5C5B" w14:textId="29D06DE8" w:rsidR="00997282" w:rsidRPr="00374D49" w:rsidRDefault="00997282" w:rsidP="00482B2E">
      <w:pPr>
        <w:pStyle w:val="Notedebasdepage"/>
        <w:jc w:val="both"/>
        <w:rPr>
          <w:rFonts w:asciiTheme="majorHAnsi" w:hAnsiTheme="majorHAnsi"/>
        </w:rPr>
      </w:pPr>
      <w:r w:rsidRPr="0053779C">
        <w:rPr>
          <w:rStyle w:val="Appelnotedebasdep"/>
          <w:rFonts w:ascii="Times New Roman" w:hAnsi="Times New Roman" w:cs="Times New Roman"/>
        </w:rPr>
        <w:footnoteRef/>
      </w:r>
      <w:r w:rsidRPr="0053779C">
        <w:rPr>
          <w:rFonts w:ascii="Times New Roman" w:hAnsi="Times New Roman" w:cs="Times New Roman"/>
        </w:rPr>
        <w:t xml:space="preserve"> Résolution du 29 mai 2018 sur la soutenabilité de la finance, 2018/2007 (INI).</w:t>
      </w:r>
      <w:r w:rsidRPr="00374D49">
        <w:rPr>
          <w:rFonts w:asciiTheme="majorHAnsi" w:hAnsiTheme="majorHAnsi" w:cs="Times New Roman"/>
        </w:rPr>
        <w:t xml:space="preserve"> </w:t>
      </w:r>
    </w:p>
  </w:footnote>
  <w:footnote w:id="80">
    <w:p w14:paraId="304E9699" w14:textId="1D80013A" w:rsidR="00997282" w:rsidRPr="0053779C" w:rsidRDefault="00997282" w:rsidP="00482B2E">
      <w:pPr>
        <w:pStyle w:val="Notedebasdepage"/>
        <w:jc w:val="both"/>
        <w:rPr>
          <w:rFonts w:ascii="Times New Roman" w:hAnsi="Times New Roman" w:cs="Times New Roman"/>
        </w:rPr>
      </w:pPr>
      <w:r w:rsidRPr="0053779C">
        <w:rPr>
          <w:rStyle w:val="Appelnotedebasdep"/>
          <w:rFonts w:ascii="Times New Roman" w:hAnsi="Times New Roman" w:cs="Times New Roman"/>
        </w:rPr>
        <w:footnoteRef/>
      </w:r>
      <w:r w:rsidRPr="0053779C">
        <w:rPr>
          <w:rFonts w:ascii="Times New Roman" w:hAnsi="Times New Roman" w:cs="Times New Roman"/>
        </w:rPr>
        <w:t xml:space="preserve"> Positive Money Europe a été créé en 2018. Elle représente la branche continentale de l’ONG britannique Positive Money et émane de la campagne QE for People.</w:t>
      </w:r>
    </w:p>
  </w:footnote>
  <w:footnote w:id="81">
    <w:p w14:paraId="71D0436F" w14:textId="0CC4F03C" w:rsidR="00997282" w:rsidRPr="0053779C" w:rsidRDefault="00997282" w:rsidP="00217D68">
      <w:pPr>
        <w:spacing w:after="12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Mudge</w:t>
      </w:r>
      <w:r w:rsidRPr="0053779C">
        <w:rPr>
          <w:rFonts w:ascii="Times New Roman" w:eastAsia="Times New Roman" w:hAnsi="Times New Roman" w:cs="Times New Roman"/>
          <w:sz w:val="20"/>
          <w:szCs w:val="20"/>
          <w:lang w:val="sv-SE" w:eastAsia="sv-SE"/>
        </w:rPr>
        <w:t xml:space="preserve"> (Stephanie L.), </w:t>
      </w:r>
      <w:r w:rsidRPr="0053779C">
        <w:rPr>
          <w:rFonts w:ascii="Times New Roman" w:eastAsia="Times New Roman" w:hAnsi="Times New Roman" w:cs="Times New Roman"/>
          <w:b/>
          <w:sz w:val="20"/>
          <w:szCs w:val="20"/>
          <w:lang w:val="sv-SE" w:eastAsia="sv-SE"/>
        </w:rPr>
        <w:t>Vauchez</w:t>
      </w:r>
      <w:r w:rsidRPr="0053779C">
        <w:rPr>
          <w:rFonts w:ascii="Times New Roman" w:eastAsia="Times New Roman" w:hAnsi="Times New Roman" w:cs="Times New Roman"/>
          <w:sz w:val="20"/>
          <w:szCs w:val="20"/>
          <w:lang w:val="sv-SE" w:eastAsia="sv-SE"/>
        </w:rPr>
        <w:t xml:space="preserve"> (Antoine), 2016,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Fielding supranationalism: the European Central Bank as a field effect</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The Sociological Review Monographs</w:t>
      </w:r>
      <w:r w:rsidRPr="0053779C">
        <w:rPr>
          <w:rFonts w:ascii="Times New Roman" w:eastAsia="Times New Roman" w:hAnsi="Times New Roman" w:cs="Times New Roman"/>
          <w:sz w:val="20"/>
          <w:szCs w:val="20"/>
          <w:lang w:val="sv-SE" w:eastAsia="sv-SE"/>
        </w:rPr>
        <w:t>, n°64, p. 146-169.</w:t>
      </w:r>
      <w:r w:rsidR="00392FB7" w:rsidRPr="0053779C">
        <w:rPr>
          <w:rFonts w:ascii="Times New Roman" w:eastAsia="Times New Roman" w:hAnsi="Times New Roman" w:cs="Times New Roman"/>
          <w:b/>
          <w:sz w:val="20"/>
          <w:szCs w:val="20"/>
          <w:lang w:val="sv-SE" w:eastAsia="sv-SE"/>
        </w:rPr>
        <w:t xml:space="preserve"> </w:t>
      </w:r>
      <w:r w:rsidRPr="0053779C">
        <w:rPr>
          <w:rFonts w:ascii="Times New Roman" w:eastAsia="Times New Roman" w:hAnsi="Times New Roman" w:cs="Times New Roman"/>
          <w:b/>
          <w:sz w:val="20"/>
          <w:szCs w:val="20"/>
          <w:lang w:val="sv-SE" w:eastAsia="sv-SE"/>
        </w:rPr>
        <w:t>Mudge</w:t>
      </w:r>
      <w:r w:rsidRPr="0053779C">
        <w:rPr>
          <w:rFonts w:ascii="Times New Roman" w:eastAsia="Times New Roman" w:hAnsi="Times New Roman" w:cs="Times New Roman"/>
          <w:sz w:val="20"/>
          <w:szCs w:val="20"/>
          <w:lang w:val="sv-SE" w:eastAsia="sv-SE"/>
        </w:rPr>
        <w:t xml:space="preserve"> (Stephanie L.), </w:t>
      </w:r>
      <w:r w:rsidRPr="0053779C">
        <w:rPr>
          <w:rFonts w:ascii="Times New Roman" w:eastAsia="Times New Roman" w:hAnsi="Times New Roman" w:cs="Times New Roman"/>
          <w:b/>
          <w:sz w:val="20"/>
          <w:szCs w:val="20"/>
          <w:lang w:val="sv-SE" w:eastAsia="sv-SE"/>
        </w:rPr>
        <w:t>Vauchez</w:t>
      </w:r>
      <w:r w:rsidRPr="0053779C">
        <w:rPr>
          <w:rFonts w:ascii="Times New Roman" w:eastAsia="Times New Roman" w:hAnsi="Times New Roman" w:cs="Times New Roman"/>
          <w:sz w:val="20"/>
          <w:szCs w:val="20"/>
          <w:lang w:val="sv-SE" w:eastAsia="sv-SE"/>
        </w:rPr>
        <w:t xml:space="preserve"> (Antoine), 2018, </w:t>
      </w:r>
      <w:r w:rsidRPr="0053779C">
        <w:rPr>
          <w:rFonts w:ascii="Times New Roman" w:hAnsi="Times New Roman" w:cs="Times New Roman"/>
          <w:sz w:val="20"/>
          <w:szCs w:val="20"/>
          <w:lang w:val="en-US"/>
        </w:rPr>
        <w:t xml:space="preserve">« Too Embedded to Fail. The ECB and the Necessity of Calculating Europe », </w:t>
      </w:r>
      <w:r w:rsidRPr="0053779C">
        <w:rPr>
          <w:rFonts w:ascii="Times New Roman" w:hAnsi="Times New Roman" w:cs="Times New Roman"/>
          <w:i/>
          <w:iCs/>
          <w:sz w:val="20"/>
          <w:szCs w:val="20"/>
          <w:lang w:val="en-US"/>
        </w:rPr>
        <w:t>Historical Social Research/Historische Sozialforschung</w:t>
      </w:r>
      <w:r w:rsidRPr="0053779C">
        <w:rPr>
          <w:rFonts w:ascii="Times New Roman" w:hAnsi="Times New Roman" w:cs="Times New Roman"/>
          <w:sz w:val="20"/>
          <w:szCs w:val="20"/>
          <w:lang w:val="en-US"/>
        </w:rPr>
        <w:t>, 43 (3), p. 248–273.</w:t>
      </w:r>
    </w:p>
    <w:p w14:paraId="2DF95AED" w14:textId="7C71A265" w:rsidR="00997282" w:rsidRPr="00DA24D6" w:rsidRDefault="00997282">
      <w:pPr>
        <w:pStyle w:val="Notedebasdepage"/>
        <w:rPr>
          <w:lang w:val="en-US"/>
        </w:rPr>
      </w:pPr>
    </w:p>
  </w:footnote>
  <w:footnote w:id="82">
    <w:p w14:paraId="18C758C5" w14:textId="7A40E2D8" w:rsidR="00997282" w:rsidRPr="0053779C" w:rsidRDefault="00997282" w:rsidP="0053779C">
      <w:pPr>
        <w:spacing w:after="0" w:line="240" w:lineRule="atLeast"/>
        <w:jc w:val="both"/>
        <w:rPr>
          <w:rFonts w:ascii="Times New Roman" w:hAnsi="Times New Roman" w:cs="Times New Roman"/>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rPr>
        <w:t xml:space="preserve"> </w:t>
      </w:r>
      <w:r w:rsidRPr="0053779C">
        <w:rPr>
          <w:rFonts w:ascii="Times New Roman" w:eastAsia="Times New Roman" w:hAnsi="Times New Roman" w:cs="Times New Roman"/>
          <w:b/>
          <w:sz w:val="20"/>
          <w:szCs w:val="20"/>
          <w:lang w:val="sv-SE" w:eastAsia="sv-SE"/>
        </w:rPr>
        <w:t>Fontan</w:t>
      </w:r>
      <w:r w:rsidRPr="0053779C">
        <w:rPr>
          <w:rFonts w:ascii="Times New Roman" w:eastAsia="Times New Roman" w:hAnsi="Times New Roman" w:cs="Times New Roman"/>
          <w:sz w:val="20"/>
          <w:szCs w:val="20"/>
          <w:lang w:val="sv-SE" w:eastAsia="sv-SE"/>
        </w:rPr>
        <w:t xml:space="preserve"> (Clément), 2013, </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Frankenstein en Europe. L’impact de la Banque centrale européenne sur la gestion de la crise de la zone euro</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Politique européenne</w:t>
      </w:r>
      <w:r w:rsidRPr="0053779C">
        <w:rPr>
          <w:rFonts w:ascii="Times New Roman" w:eastAsia="Times New Roman" w:hAnsi="Times New Roman" w:cs="Times New Roman"/>
          <w:sz w:val="20"/>
          <w:szCs w:val="20"/>
          <w:lang w:val="sv-SE" w:eastAsia="sv-SE"/>
        </w:rPr>
        <w:t>, n°42, p. 22-45.</w:t>
      </w:r>
    </w:p>
  </w:footnote>
  <w:footnote w:id="83">
    <w:p w14:paraId="6AA7F780" w14:textId="77777777" w:rsidR="00997282" w:rsidRPr="0053779C" w:rsidRDefault="00997282" w:rsidP="0053779C">
      <w:pPr>
        <w:spacing w:after="0"/>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rPr>
        <w:t xml:space="preserve"> </w:t>
      </w:r>
      <w:r w:rsidRPr="0053779C">
        <w:rPr>
          <w:rFonts w:ascii="Times New Roman" w:eastAsia="Times New Roman" w:hAnsi="Times New Roman" w:cs="Times New Roman"/>
          <w:sz w:val="20"/>
          <w:szCs w:val="20"/>
          <w:lang w:val="sv-SE" w:eastAsia="sv-SE"/>
        </w:rPr>
        <w:t xml:space="preserve">Case C-62/14 Gauweiler, EU:C:2015:400, para. 68. </w:t>
      </w:r>
    </w:p>
  </w:footnote>
  <w:footnote w:id="84">
    <w:p w14:paraId="7B26938C" w14:textId="2081B03D" w:rsidR="00392FB7" w:rsidRPr="0053779C" w:rsidRDefault="00392FB7"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Hinarejos</w:t>
      </w:r>
      <w:r w:rsidRPr="0053779C">
        <w:rPr>
          <w:rFonts w:ascii="Times New Roman" w:eastAsia="Times New Roman" w:hAnsi="Times New Roman" w:cs="Times New Roman"/>
          <w:sz w:val="20"/>
          <w:szCs w:val="20"/>
          <w:lang w:val="sv-SE" w:eastAsia="sv-SE"/>
        </w:rPr>
        <w:t xml:space="preserve"> (Alicia), 2015,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Gauweiler and the Outright Monetary Transactions Programme: The Mandate of the European Central Bank and the Changing Nature of Economic and Monetary Union</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European Constitutional Law Review</w:t>
      </w:r>
      <w:r w:rsidRPr="0053779C">
        <w:rPr>
          <w:rFonts w:ascii="Times New Roman" w:eastAsia="Times New Roman" w:hAnsi="Times New Roman" w:cs="Times New Roman"/>
          <w:sz w:val="20"/>
          <w:szCs w:val="20"/>
          <w:lang w:val="sv-SE" w:eastAsia="sv-SE"/>
        </w:rPr>
        <w:t>, 11 (3), ch. 9.</w:t>
      </w:r>
    </w:p>
    <w:p w14:paraId="49CF99E9" w14:textId="7320C939" w:rsidR="00392FB7" w:rsidRPr="0053779C" w:rsidRDefault="00392FB7">
      <w:pPr>
        <w:pStyle w:val="Notedebasdepage"/>
        <w:rPr>
          <w:lang w:val="sv-SE"/>
        </w:rPr>
      </w:pPr>
    </w:p>
  </w:footnote>
  <w:footnote w:id="85">
    <w:p w14:paraId="48CEC85C" w14:textId="611D251A" w:rsidR="00997282" w:rsidRPr="0053779C" w:rsidRDefault="00997282" w:rsidP="0053779C">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Entretien à la direction générale du Trésor, Paris, novembre 2016.</w:t>
      </w:r>
    </w:p>
  </w:footnote>
  <w:footnote w:id="86">
    <w:p w14:paraId="02D5585F" w14:textId="264B6963" w:rsidR="00997282" w:rsidRPr="0053779C" w:rsidRDefault="00997282" w:rsidP="0053779C">
      <w:pPr>
        <w:spacing w:after="0" w:line="240" w:lineRule="atLeast"/>
        <w:jc w:val="both"/>
        <w:rPr>
          <w:rFonts w:ascii="Times New Roman" w:hAnsi="Times New Roman" w:cs="Times New Roman"/>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fr-BE"/>
        </w:rPr>
        <w:t xml:space="preserve"> </w:t>
      </w:r>
      <w:r w:rsidRPr="0053779C">
        <w:rPr>
          <w:rFonts w:ascii="Times New Roman" w:eastAsia="Times New Roman" w:hAnsi="Times New Roman" w:cs="Times New Roman"/>
          <w:b/>
          <w:sz w:val="20"/>
          <w:szCs w:val="20"/>
          <w:lang w:val="sv-SE" w:eastAsia="sv-SE"/>
        </w:rPr>
        <w:t>Fontan</w:t>
      </w:r>
      <w:r w:rsidRPr="0053779C">
        <w:rPr>
          <w:rFonts w:ascii="Times New Roman" w:eastAsia="Times New Roman" w:hAnsi="Times New Roman" w:cs="Times New Roman"/>
          <w:sz w:val="20"/>
          <w:szCs w:val="20"/>
          <w:lang w:val="sv-SE" w:eastAsia="sv-SE"/>
        </w:rPr>
        <w:t xml:space="preserve"> (Clément), 2013, </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Frankenstein en Europe. L’impact de la Banque centrale européenne sur la gestion de la crise de la zone euro</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Politique européenne</w:t>
      </w:r>
      <w:r w:rsidRPr="0053779C">
        <w:rPr>
          <w:rFonts w:ascii="Times New Roman" w:eastAsia="Times New Roman" w:hAnsi="Times New Roman" w:cs="Times New Roman"/>
          <w:sz w:val="20"/>
          <w:szCs w:val="20"/>
          <w:lang w:val="sv-SE" w:eastAsia="sv-SE"/>
        </w:rPr>
        <w:t>, n°42, p. 22-45.</w:t>
      </w:r>
    </w:p>
  </w:footnote>
  <w:footnote w:id="87">
    <w:p w14:paraId="2412697E" w14:textId="3616CA9D" w:rsidR="00997282" w:rsidRPr="0053779C" w:rsidRDefault="00997282" w:rsidP="0053779C">
      <w:pPr>
        <w:spacing w:after="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Crouch</w:t>
      </w:r>
      <w:r w:rsidRPr="0053779C">
        <w:rPr>
          <w:rFonts w:ascii="Times New Roman" w:eastAsia="Times New Roman" w:hAnsi="Times New Roman" w:cs="Times New Roman"/>
          <w:sz w:val="20"/>
          <w:szCs w:val="20"/>
          <w:lang w:val="sv-SE" w:eastAsia="sv-SE"/>
        </w:rPr>
        <w:t xml:space="preserve"> (Colin), 2004, </w:t>
      </w:r>
      <w:r w:rsidRPr="0053779C">
        <w:rPr>
          <w:rFonts w:ascii="Times New Roman" w:eastAsia="Times New Roman" w:hAnsi="Times New Roman" w:cs="Times New Roman"/>
          <w:i/>
          <w:sz w:val="20"/>
          <w:szCs w:val="20"/>
          <w:lang w:val="sv-SE" w:eastAsia="sv-SE"/>
        </w:rPr>
        <w:t>Post-democracy</w:t>
      </w:r>
      <w:r w:rsidRPr="0053779C">
        <w:rPr>
          <w:rFonts w:ascii="Times New Roman" w:eastAsia="Times New Roman" w:hAnsi="Times New Roman" w:cs="Times New Roman"/>
          <w:sz w:val="20"/>
          <w:szCs w:val="20"/>
          <w:lang w:val="sv-SE" w:eastAsia="sv-SE"/>
        </w:rPr>
        <w:t xml:space="preserve">, Cambridge, Polity Press. </w:t>
      </w:r>
      <w:r w:rsidRPr="0053779C">
        <w:rPr>
          <w:rFonts w:ascii="Times New Roman" w:eastAsia="Times New Roman" w:hAnsi="Times New Roman" w:cs="Times New Roman"/>
          <w:b/>
          <w:sz w:val="20"/>
          <w:szCs w:val="20"/>
          <w:lang w:val="sv-SE" w:eastAsia="sv-SE"/>
        </w:rPr>
        <w:t>Streeck</w:t>
      </w:r>
      <w:r w:rsidRPr="0053779C">
        <w:rPr>
          <w:rFonts w:ascii="Times New Roman" w:eastAsia="Times New Roman" w:hAnsi="Times New Roman" w:cs="Times New Roman"/>
          <w:sz w:val="20"/>
          <w:szCs w:val="20"/>
          <w:lang w:val="sv-SE" w:eastAsia="sv-SE"/>
        </w:rPr>
        <w:t xml:space="preserve"> (Wolfgang), </w:t>
      </w:r>
      <w:r w:rsidRPr="0053779C">
        <w:rPr>
          <w:rFonts w:ascii="Times New Roman" w:eastAsia="Times New Roman" w:hAnsi="Times New Roman" w:cs="Times New Roman"/>
          <w:b/>
          <w:sz w:val="20"/>
          <w:szCs w:val="20"/>
          <w:lang w:val="sv-SE" w:eastAsia="sv-SE"/>
        </w:rPr>
        <w:t>Schäfer</w:t>
      </w:r>
      <w:r w:rsidRPr="0053779C">
        <w:rPr>
          <w:rFonts w:ascii="Times New Roman" w:eastAsia="Times New Roman" w:hAnsi="Times New Roman" w:cs="Times New Roman"/>
          <w:sz w:val="20"/>
          <w:szCs w:val="20"/>
          <w:lang w:val="sv-SE" w:eastAsia="sv-SE"/>
        </w:rPr>
        <w:t xml:space="preserve"> (Armin), dir., 2013, </w:t>
      </w:r>
      <w:r w:rsidRPr="0053779C">
        <w:rPr>
          <w:rFonts w:ascii="Times New Roman" w:eastAsia="Times New Roman" w:hAnsi="Times New Roman" w:cs="Times New Roman"/>
          <w:i/>
          <w:sz w:val="20"/>
          <w:szCs w:val="20"/>
          <w:lang w:val="sv-SE" w:eastAsia="sv-SE"/>
        </w:rPr>
        <w:t>Politics in the Age of Austerity</w:t>
      </w:r>
      <w:r w:rsidRPr="0053779C">
        <w:rPr>
          <w:rFonts w:ascii="Times New Roman" w:eastAsia="Times New Roman" w:hAnsi="Times New Roman" w:cs="Times New Roman"/>
          <w:sz w:val="20"/>
          <w:szCs w:val="20"/>
          <w:lang w:val="sv-SE" w:eastAsia="sv-SE"/>
        </w:rPr>
        <w:t>, Cambridge, Polity Press.</w:t>
      </w:r>
    </w:p>
  </w:footnote>
  <w:footnote w:id="88">
    <w:p w14:paraId="41BEF023" w14:textId="77777777" w:rsidR="00997282" w:rsidRPr="0053779C" w:rsidRDefault="00997282" w:rsidP="00505782">
      <w:pPr>
        <w:spacing w:after="120" w:line="240" w:lineRule="atLeast"/>
        <w:jc w:val="both"/>
        <w:rPr>
          <w:rFonts w:ascii="Times New Roman" w:eastAsia="Times New Roman" w:hAnsi="Times New Roman" w:cs="Times New Roman"/>
          <w:sz w:val="20"/>
          <w:szCs w:val="20"/>
          <w:lang w:val="sv-SE" w:eastAsia="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Waele</w:t>
      </w:r>
      <w:r w:rsidRPr="0053779C">
        <w:rPr>
          <w:rFonts w:ascii="Times New Roman" w:eastAsia="Times New Roman" w:hAnsi="Times New Roman" w:cs="Times New Roman"/>
          <w:sz w:val="20"/>
          <w:szCs w:val="20"/>
          <w:lang w:val="sv-SE" w:eastAsia="sv-SE"/>
        </w:rPr>
        <w:t xml:space="preserve"> (Jean-Michel de), </w:t>
      </w:r>
      <w:r w:rsidRPr="0053779C">
        <w:rPr>
          <w:rFonts w:ascii="Times New Roman" w:eastAsia="Times New Roman" w:hAnsi="Times New Roman" w:cs="Times New Roman"/>
          <w:b/>
          <w:sz w:val="20"/>
          <w:szCs w:val="20"/>
          <w:lang w:val="sv-SE" w:eastAsia="sv-SE"/>
        </w:rPr>
        <w:t>Escalona</w:t>
      </w:r>
      <w:r w:rsidRPr="0053779C">
        <w:rPr>
          <w:rFonts w:ascii="Times New Roman" w:eastAsia="Times New Roman" w:hAnsi="Times New Roman" w:cs="Times New Roman"/>
          <w:sz w:val="20"/>
          <w:szCs w:val="20"/>
          <w:lang w:val="sv-SE" w:eastAsia="sv-SE"/>
        </w:rPr>
        <w:t xml:space="preserve"> (Fabien), </w:t>
      </w:r>
      <w:r w:rsidRPr="0053779C">
        <w:rPr>
          <w:rFonts w:ascii="Times New Roman" w:eastAsia="Times New Roman" w:hAnsi="Times New Roman" w:cs="Times New Roman"/>
          <w:b/>
          <w:sz w:val="20"/>
          <w:szCs w:val="20"/>
          <w:lang w:val="sv-SE" w:eastAsia="sv-SE"/>
        </w:rPr>
        <w:t>Vieira</w:t>
      </w:r>
      <w:r w:rsidRPr="0053779C">
        <w:rPr>
          <w:rFonts w:ascii="Times New Roman" w:eastAsia="Times New Roman" w:hAnsi="Times New Roman" w:cs="Times New Roman"/>
          <w:sz w:val="20"/>
          <w:szCs w:val="20"/>
          <w:lang w:val="sv-SE" w:eastAsia="sv-SE"/>
        </w:rPr>
        <w:t xml:space="preserve"> (Mathieu), dir., 2013, </w:t>
      </w:r>
      <w:r w:rsidRPr="0053779C">
        <w:rPr>
          <w:rFonts w:ascii="Times New Roman" w:eastAsia="Times New Roman" w:hAnsi="Times New Roman" w:cs="Times New Roman"/>
          <w:i/>
          <w:sz w:val="20"/>
          <w:szCs w:val="20"/>
          <w:lang w:val="sv-SE" w:eastAsia="sv-SE"/>
        </w:rPr>
        <w:t>The Palgrave Handbook of Social Democracy in the European Union</w:t>
      </w:r>
      <w:r w:rsidRPr="0053779C">
        <w:rPr>
          <w:rFonts w:ascii="Times New Roman" w:eastAsia="Times New Roman" w:hAnsi="Times New Roman" w:cs="Times New Roman"/>
          <w:sz w:val="20"/>
          <w:szCs w:val="20"/>
          <w:lang w:val="sv-SE" w:eastAsia="sv-SE"/>
        </w:rPr>
        <w:t>, Basingstoke, Palgrave Macmillan.</w:t>
      </w:r>
    </w:p>
    <w:p w14:paraId="5F50FC75" w14:textId="2164BD30" w:rsidR="00997282" w:rsidRPr="00DA24D6" w:rsidRDefault="00997282">
      <w:pPr>
        <w:pStyle w:val="Notedebasdepage"/>
        <w:rPr>
          <w:lang w:val="sv-SE"/>
        </w:rPr>
      </w:pPr>
    </w:p>
  </w:footnote>
  <w:footnote w:id="89">
    <w:p w14:paraId="5C2939D4" w14:textId="2367C619" w:rsidR="00997282" w:rsidRPr="0053779C" w:rsidRDefault="00997282" w:rsidP="0053779C">
      <w:pPr>
        <w:spacing w:after="0" w:line="240" w:lineRule="atLeast"/>
        <w:jc w:val="both"/>
        <w:rPr>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Crouch</w:t>
      </w:r>
      <w:r w:rsidRPr="0053779C">
        <w:rPr>
          <w:rFonts w:ascii="Times New Roman" w:eastAsia="Times New Roman" w:hAnsi="Times New Roman" w:cs="Times New Roman"/>
          <w:sz w:val="20"/>
          <w:szCs w:val="20"/>
          <w:lang w:val="sv-SE" w:eastAsia="sv-SE"/>
        </w:rPr>
        <w:t xml:space="preserve"> (Colin), 2004, </w:t>
      </w:r>
      <w:r w:rsidRPr="0053779C">
        <w:rPr>
          <w:rFonts w:ascii="Times New Roman" w:eastAsia="Times New Roman" w:hAnsi="Times New Roman" w:cs="Times New Roman"/>
          <w:i/>
          <w:sz w:val="20"/>
          <w:szCs w:val="20"/>
          <w:lang w:val="sv-SE" w:eastAsia="sv-SE"/>
        </w:rPr>
        <w:t>Post-democracy</w:t>
      </w:r>
      <w:r w:rsidRPr="0053779C">
        <w:rPr>
          <w:rFonts w:ascii="Times New Roman" w:eastAsia="Times New Roman" w:hAnsi="Times New Roman" w:cs="Times New Roman"/>
          <w:sz w:val="20"/>
          <w:szCs w:val="20"/>
          <w:lang w:val="sv-SE" w:eastAsia="sv-SE"/>
        </w:rPr>
        <w:t>, Cambridge, Polity Press.</w:t>
      </w:r>
    </w:p>
  </w:footnote>
  <w:footnote w:id="90">
    <w:p w14:paraId="5D29ADA6" w14:textId="5F27777C" w:rsidR="00997282" w:rsidRPr="0053779C" w:rsidRDefault="00997282" w:rsidP="0053779C">
      <w:pPr>
        <w:spacing w:after="0" w:line="240" w:lineRule="atLeast"/>
        <w:jc w:val="both"/>
        <w:rPr>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fr-BE"/>
        </w:rPr>
        <w:t xml:space="preserve"> </w:t>
      </w:r>
      <w:r w:rsidRPr="0053779C">
        <w:rPr>
          <w:rFonts w:ascii="Times New Roman" w:eastAsia="Times New Roman" w:hAnsi="Times New Roman" w:cs="Times New Roman"/>
          <w:b/>
          <w:sz w:val="20"/>
          <w:szCs w:val="20"/>
          <w:lang w:val="sv-SE" w:eastAsia="sv-SE"/>
        </w:rPr>
        <w:t>Fontan</w:t>
      </w:r>
      <w:r w:rsidRPr="0053779C">
        <w:rPr>
          <w:rFonts w:ascii="Times New Roman" w:eastAsia="Times New Roman" w:hAnsi="Times New Roman" w:cs="Times New Roman"/>
          <w:sz w:val="20"/>
          <w:szCs w:val="20"/>
          <w:lang w:val="sv-SE" w:eastAsia="sv-SE"/>
        </w:rPr>
        <w:t xml:space="preserve"> (Clément), 2014, </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L’art du grand écart</w:t>
      </w:r>
      <w:r w:rsidRPr="0053779C">
        <w:rPr>
          <w:rFonts w:ascii="Times New Roman" w:hAnsi="Times New Roman" w:cs="Times New Roman"/>
          <w:sz w:val="20"/>
          <w:szCs w:val="20"/>
          <w:lang w:val="fr-FR"/>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Gouvernement et action publique</w:t>
      </w:r>
      <w:r w:rsidRPr="0053779C">
        <w:rPr>
          <w:rFonts w:ascii="Times New Roman" w:eastAsia="Times New Roman" w:hAnsi="Times New Roman" w:cs="Times New Roman"/>
          <w:sz w:val="20"/>
          <w:szCs w:val="20"/>
          <w:lang w:val="sv-SE" w:eastAsia="sv-SE"/>
        </w:rPr>
        <w:t>, 2 (2), p.103-123.</w:t>
      </w:r>
    </w:p>
  </w:footnote>
  <w:footnote w:id="91">
    <w:p w14:paraId="73B9DDDB" w14:textId="022E2DE8" w:rsidR="00997282" w:rsidRPr="0053779C" w:rsidRDefault="00997282" w:rsidP="0053779C">
      <w:pPr>
        <w:pStyle w:val="Notedebasdepage"/>
        <w:jc w:val="both"/>
        <w:rPr>
          <w:rFonts w:ascii="Times New Roman" w:hAnsi="Times New Roman" w:cs="Times New Roman"/>
          <w:lang w:val="en-US"/>
        </w:rPr>
      </w:pPr>
      <w:r w:rsidRPr="0053779C">
        <w:rPr>
          <w:rStyle w:val="Appelnotedebasdep"/>
          <w:rFonts w:ascii="Times New Roman" w:hAnsi="Times New Roman" w:cs="Times New Roman"/>
          <w:lang w:val="fr-BE"/>
        </w:rPr>
        <w:footnoteRef/>
      </w:r>
      <w:r w:rsidRPr="0053779C">
        <w:rPr>
          <w:rFonts w:ascii="Times New Roman" w:hAnsi="Times New Roman" w:cs="Times New Roman"/>
          <w:lang w:val="en-US"/>
        </w:rPr>
        <w:t xml:space="preserve"> Claire Jones, « </w:t>
      </w:r>
      <w:r w:rsidRPr="0053779C">
        <w:rPr>
          <w:rStyle w:val="trial-subsheading-article-title"/>
          <w:rFonts w:ascii="Times New Roman" w:hAnsi="Times New Roman" w:cs="Times New Roman"/>
          <w:lang w:val="en-US"/>
        </w:rPr>
        <w:t xml:space="preserve">Germany blames Mario Draghi for rise of rightwing AfD party », </w:t>
      </w:r>
      <w:r w:rsidRPr="0053779C">
        <w:rPr>
          <w:rStyle w:val="trial-subsheading-article-title"/>
          <w:rFonts w:ascii="Times New Roman" w:hAnsi="Times New Roman" w:cs="Times New Roman"/>
          <w:i/>
          <w:lang w:val="en-US"/>
        </w:rPr>
        <w:t>Financial Times</w:t>
      </w:r>
      <w:r w:rsidRPr="0053779C">
        <w:rPr>
          <w:rStyle w:val="trial-subsheading-article-title"/>
          <w:rFonts w:ascii="Times New Roman" w:hAnsi="Times New Roman" w:cs="Times New Roman"/>
          <w:lang w:val="en-US"/>
        </w:rPr>
        <w:t xml:space="preserve">, 10 avril 2016, </w:t>
      </w:r>
      <w:hyperlink r:id="rId4" w:history="1">
        <w:r w:rsidRPr="0053779C">
          <w:rPr>
            <w:rStyle w:val="Lienhypertexte"/>
            <w:rFonts w:ascii="Times New Roman" w:hAnsi="Times New Roman" w:cs="Times New Roman"/>
            <w:color w:val="auto"/>
            <w:u w:val="none"/>
            <w:lang w:val="en-US"/>
          </w:rPr>
          <w:t>https://www.ft.com/content/bc0175c4-ff2b-11e5-9cc4-27926f2b110c?mhq5j=e7</w:t>
        </w:r>
      </w:hyperlink>
      <w:r w:rsidRPr="0053779C">
        <w:rPr>
          <w:rStyle w:val="trial-subsheading-article-title"/>
          <w:rFonts w:ascii="Times New Roman" w:hAnsi="Times New Roman" w:cs="Times New Roman"/>
          <w:lang w:val="en-US"/>
        </w:rPr>
        <w:t xml:space="preserve"> </w:t>
      </w:r>
    </w:p>
  </w:footnote>
  <w:footnote w:id="92">
    <w:p w14:paraId="3C8101E3" w14:textId="77777777" w:rsidR="00997282" w:rsidRPr="00374D49" w:rsidRDefault="00997282" w:rsidP="0053779C">
      <w:pPr>
        <w:pStyle w:val="Notedebasdepage"/>
        <w:jc w:val="both"/>
        <w:rPr>
          <w:rFonts w:asciiTheme="majorHAnsi" w:hAnsiTheme="majorHAnsi" w:cs="Times New Roman"/>
          <w:lang w:val="en-US"/>
        </w:rPr>
      </w:pPr>
      <w:r w:rsidRPr="0053779C">
        <w:rPr>
          <w:rStyle w:val="Appelnotedebasdep"/>
          <w:rFonts w:ascii="Times New Roman" w:hAnsi="Times New Roman" w:cs="Times New Roman"/>
          <w:lang w:val="fr-BE"/>
        </w:rPr>
        <w:footnoteRef/>
      </w:r>
      <w:r w:rsidRPr="0053779C">
        <w:rPr>
          <w:rFonts w:ascii="Times New Roman" w:hAnsi="Times New Roman" w:cs="Times New Roman"/>
          <w:lang w:val="en-US"/>
        </w:rPr>
        <w:t xml:space="preserve"> Katie Allen, « Mario Draghi defends ECB independence after German criticisms », </w:t>
      </w:r>
      <w:r w:rsidRPr="0053779C">
        <w:rPr>
          <w:rFonts w:ascii="Times New Roman" w:hAnsi="Times New Roman" w:cs="Times New Roman"/>
          <w:i/>
          <w:lang w:val="en-US"/>
        </w:rPr>
        <w:t>The Guardian</w:t>
      </w:r>
      <w:r w:rsidRPr="0053779C">
        <w:rPr>
          <w:rFonts w:ascii="Times New Roman" w:hAnsi="Times New Roman" w:cs="Times New Roman"/>
          <w:lang w:val="en-US"/>
        </w:rPr>
        <w:t>, 21 avril 2016, https://www.theguardian.com/business/2016/apr/21/mario-draghi-defends-ecb-independence-german-criticism-central-bank-eurozone-interest-rates</w:t>
      </w:r>
    </w:p>
  </w:footnote>
  <w:footnote w:id="93">
    <w:p w14:paraId="49680BB1" w14:textId="7964A4FB" w:rsidR="00997282" w:rsidRPr="0053779C" w:rsidRDefault="00997282" w:rsidP="0053779C">
      <w:pPr>
        <w:spacing w:after="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Hardie</w:t>
      </w:r>
      <w:r w:rsidRPr="0053779C">
        <w:rPr>
          <w:rFonts w:ascii="Times New Roman" w:hAnsi="Times New Roman" w:cs="Times New Roman"/>
          <w:sz w:val="20"/>
          <w:szCs w:val="20"/>
          <w:lang w:val="en-US"/>
        </w:rPr>
        <w:t xml:space="preserve"> (Iain), </w:t>
      </w:r>
      <w:r w:rsidRPr="0053779C">
        <w:rPr>
          <w:rFonts w:ascii="Times New Roman" w:hAnsi="Times New Roman" w:cs="Times New Roman"/>
          <w:b/>
          <w:sz w:val="20"/>
          <w:szCs w:val="20"/>
          <w:lang w:val="en-US"/>
        </w:rPr>
        <w:t>Howarth</w:t>
      </w:r>
      <w:r w:rsidRPr="0053779C">
        <w:rPr>
          <w:rFonts w:ascii="Times New Roman" w:hAnsi="Times New Roman" w:cs="Times New Roman"/>
          <w:sz w:val="20"/>
          <w:szCs w:val="20"/>
          <w:lang w:val="en-US"/>
        </w:rPr>
        <w:t xml:space="preserve"> (David), 2013, </w:t>
      </w:r>
      <w:r w:rsidRPr="0053779C">
        <w:rPr>
          <w:rFonts w:ascii="Times New Roman" w:hAnsi="Times New Roman" w:cs="Times New Roman"/>
          <w:i/>
          <w:iCs/>
          <w:sz w:val="20"/>
          <w:szCs w:val="20"/>
          <w:lang w:val="en-US"/>
        </w:rPr>
        <w:t>Market-Based Banking and the International Financial Crisis</w:t>
      </w:r>
      <w:r w:rsidRPr="0053779C">
        <w:rPr>
          <w:rFonts w:ascii="Times New Roman" w:hAnsi="Times New Roman" w:cs="Times New Roman"/>
          <w:sz w:val="20"/>
          <w:szCs w:val="20"/>
          <w:lang w:val="en-US"/>
        </w:rPr>
        <w:t>, Oxford, Oxford University Press.</w:t>
      </w:r>
    </w:p>
  </w:footnote>
  <w:footnote w:id="94">
    <w:p w14:paraId="752D66AF" w14:textId="21613A50" w:rsidR="006146E2" w:rsidRPr="0053779C" w:rsidRDefault="006146E2" w:rsidP="0053779C">
      <w:pPr>
        <w:spacing w:after="0" w:line="240" w:lineRule="atLeast"/>
        <w:jc w:val="both"/>
        <w:rPr>
          <w:rFonts w:ascii="Times New Roman" w:hAnsi="Times New Roman" w:cs="Times New Roman"/>
          <w:sz w:val="20"/>
          <w:szCs w:val="20"/>
          <w:lang w:val="en-US"/>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hAnsi="Times New Roman" w:cs="Times New Roman"/>
          <w:b/>
          <w:sz w:val="20"/>
          <w:szCs w:val="20"/>
          <w:lang w:val="en-US"/>
        </w:rPr>
        <w:t>Gabor</w:t>
      </w:r>
      <w:r w:rsidRPr="0053779C">
        <w:rPr>
          <w:rFonts w:ascii="Times New Roman" w:hAnsi="Times New Roman" w:cs="Times New Roman"/>
          <w:sz w:val="20"/>
          <w:szCs w:val="20"/>
          <w:lang w:val="en-US"/>
        </w:rPr>
        <w:t xml:space="preserve"> (Daniela), </w:t>
      </w:r>
      <w:r w:rsidRPr="0053779C">
        <w:rPr>
          <w:rFonts w:ascii="Times New Roman" w:hAnsi="Times New Roman" w:cs="Times New Roman"/>
          <w:b/>
          <w:sz w:val="20"/>
          <w:szCs w:val="20"/>
          <w:lang w:val="en-US"/>
        </w:rPr>
        <w:t>Ban</w:t>
      </w:r>
      <w:r w:rsidRPr="0053779C">
        <w:rPr>
          <w:rFonts w:ascii="Times New Roman" w:hAnsi="Times New Roman" w:cs="Times New Roman"/>
          <w:sz w:val="20"/>
          <w:szCs w:val="20"/>
          <w:lang w:val="en-US"/>
        </w:rPr>
        <w:t xml:space="preserve"> (Cornel), 2016, « Banking on Bonds: The New Links Between States and Markets », </w:t>
      </w:r>
      <w:r w:rsidRPr="0053779C">
        <w:rPr>
          <w:rFonts w:ascii="Times New Roman" w:hAnsi="Times New Roman" w:cs="Times New Roman"/>
          <w:i/>
          <w:iCs/>
          <w:sz w:val="20"/>
          <w:szCs w:val="20"/>
          <w:lang w:val="en-US"/>
        </w:rPr>
        <w:t>Journal of Common Market Studies</w:t>
      </w:r>
      <w:r w:rsidRPr="0053779C">
        <w:rPr>
          <w:rFonts w:ascii="Times New Roman" w:hAnsi="Times New Roman" w:cs="Times New Roman"/>
          <w:sz w:val="20"/>
          <w:szCs w:val="20"/>
          <w:lang w:val="en-US"/>
        </w:rPr>
        <w:t>, 54 (3), p. 617</w:t>
      </w:r>
      <w:r w:rsidRPr="0053779C">
        <w:rPr>
          <w:rFonts w:ascii="Times New Roman" w:hAnsi="Times New Roman" w:cs="Times New Roman"/>
          <w:sz w:val="20"/>
          <w:szCs w:val="20"/>
          <w:lang w:val="en-US"/>
        </w:rPr>
        <w:noBreakHyphen/>
        <w:t>35.</w:t>
      </w:r>
    </w:p>
  </w:footnote>
  <w:footnote w:id="95">
    <w:p w14:paraId="756AC65C" w14:textId="081FB80D" w:rsidR="00997282" w:rsidRPr="0053779C" w:rsidRDefault="00997282" w:rsidP="0053779C">
      <w:pPr>
        <w:spacing w:after="0" w:line="240" w:lineRule="atLeast"/>
        <w:jc w:val="both"/>
        <w:rPr>
          <w:rFonts w:ascii="Times New Roman" w:hAnsi="Times New Roman" w:cs="Times New Roman"/>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rPr>
        <w:t xml:space="preserve"> </w:t>
      </w:r>
      <w:r w:rsidRPr="0053779C">
        <w:rPr>
          <w:rFonts w:ascii="Times New Roman" w:eastAsia="Times New Roman" w:hAnsi="Times New Roman" w:cs="Times New Roman"/>
          <w:b/>
          <w:sz w:val="20"/>
          <w:szCs w:val="20"/>
          <w:lang w:val="sv-SE" w:eastAsia="sv-SE"/>
        </w:rPr>
        <w:t>Lemoine</w:t>
      </w:r>
      <w:r w:rsidRPr="0053779C">
        <w:rPr>
          <w:rFonts w:ascii="Times New Roman" w:eastAsia="Times New Roman" w:hAnsi="Times New Roman" w:cs="Times New Roman"/>
          <w:sz w:val="20"/>
          <w:szCs w:val="20"/>
          <w:lang w:val="sv-SE" w:eastAsia="sv-SE"/>
        </w:rPr>
        <w:t xml:space="preserve"> (Benjamin), 2016, </w:t>
      </w:r>
      <w:r w:rsidRPr="0053779C">
        <w:rPr>
          <w:rFonts w:ascii="Times New Roman" w:eastAsia="Times New Roman" w:hAnsi="Times New Roman" w:cs="Times New Roman"/>
          <w:i/>
          <w:sz w:val="20"/>
          <w:szCs w:val="20"/>
          <w:lang w:val="sv-SE" w:eastAsia="sv-SE"/>
        </w:rPr>
        <w:t>L’ordre de la dette. Enquête sur les infortunes de l’État et la prospérité du marché</w:t>
      </w:r>
      <w:r w:rsidRPr="0053779C">
        <w:rPr>
          <w:rFonts w:ascii="Times New Roman" w:eastAsia="Times New Roman" w:hAnsi="Times New Roman" w:cs="Times New Roman"/>
          <w:sz w:val="20"/>
          <w:szCs w:val="20"/>
          <w:lang w:val="sv-SE" w:eastAsia="sv-SE"/>
        </w:rPr>
        <w:t>, Paris, La Découverte.</w:t>
      </w:r>
    </w:p>
  </w:footnote>
  <w:footnote w:id="96">
    <w:p w14:paraId="3C322786" w14:textId="2350744A" w:rsidR="00997282" w:rsidRPr="0053779C" w:rsidRDefault="00997282" w:rsidP="0053779C">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En moyenne, les actifs possédés par les banques européennes équivalent à 350% des richesses produites en un an dans la zone euro. </w:t>
      </w:r>
    </w:p>
  </w:footnote>
  <w:footnote w:id="97">
    <w:p w14:paraId="14E062C1" w14:textId="4233527A" w:rsidR="00997282" w:rsidRPr="00DA24D6" w:rsidRDefault="00997282" w:rsidP="0053779C">
      <w:pPr>
        <w:pStyle w:val="Notedebasdepage"/>
        <w:rPr>
          <w:lang w:val="en-US"/>
        </w:rPr>
      </w:pPr>
      <w:r w:rsidRPr="0053779C">
        <w:rPr>
          <w:rStyle w:val="Appelnotedebasdep"/>
          <w:rFonts w:ascii="Times New Roman" w:hAnsi="Times New Roman" w:cs="Times New Roman"/>
        </w:rPr>
        <w:footnoteRef/>
      </w:r>
      <w:r w:rsidRPr="0053779C">
        <w:rPr>
          <w:rFonts w:ascii="Times New Roman" w:hAnsi="Times New Roman" w:cs="Times New Roman"/>
          <w:lang w:val="en-US"/>
        </w:rPr>
        <w:t xml:space="preserve"> </w:t>
      </w:r>
      <w:r w:rsidRPr="0053779C">
        <w:rPr>
          <w:rFonts w:ascii="Times New Roman" w:eastAsia="Times New Roman" w:hAnsi="Times New Roman" w:cs="Times New Roman"/>
          <w:b/>
          <w:lang w:val="sv-SE" w:eastAsia="sv-SE"/>
        </w:rPr>
        <w:t>Blyth</w:t>
      </w:r>
      <w:r w:rsidRPr="0053779C">
        <w:rPr>
          <w:rFonts w:ascii="Times New Roman" w:eastAsia="Times New Roman" w:hAnsi="Times New Roman" w:cs="Times New Roman"/>
          <w:lang w:val="sv-SE" w:eastAsia="sv-SE"/>
        </w:rPr>
        <w:t xml:space="preserve"> (Mark), 2013, </w:t>
      </w:r>
      <w:r w:rsidRPr="0053779C">
        <w:rPr>
          <w:rFonts w:ascii="Times New Roman" w:eastAsia="Times New Roman" w:hAnsi="Times New Roman" w:cs="Times New Roman"/>
          <w:i/>
          <w:lang w:val="sv-SE" w:eastAsia="sv-SE"/>
        </w:rPr>
        <w:t>Austerity: the history of a dangerous idea</w:t>
      </w:r>
      <w:r w:rsidRPr="0053779C">
        <w:rPr>
          <w:rFonts w:ascii="Times New Roman" w:eastAsia="Times New Roman" w:hAnsi="Times New Roman" w:cs="Times New Roman"/>
          <w:lang w:val="sv-SE" w:eastAsia="sv-SE"/>
        </w:rPr>
        <w:t>, Oxford, Oxford University Press.</w:t>
      </w:r>
    </w:p>
  </w:footnote>
  <w:footnote w:id="98">
    <w:p w14:paraId="1E5B7737" w14:textId="43E482B2" w:rsidR="00997282" w:rsidRPr="0053779C" w:rsidRDefault="00997282" w:rsidP="0053779C">
      <w:pPr>
        <w:spacing w:after="0" w:line="240" w:lineRule="atLeast"/>
        <w:jc w:val="both"/>
        <w:rPr>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Ertürk</w:t>
      </w:r>
      <w:r w:rsidRPr="0053779C">
        <w:rPr>
          <w:rFonts w:ascii="Times New Roman" w:eastAsia="Times New Roman" w:hAnsi="Times New Roman" w:cs="Times New Roman"/>
          <w:sz w:val="20"/>
          <w:szCs w:val="20"/>
          <w:lang w:val="sv-SE" w:eastAsia="sv-SE"/>
        </w:rPr>
        <w:t xml:space="preserve"> (Ismail), 2014, </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Reconceptualizing Central Bank Unconventional Policies: Long Positions on No-Growth Capitalism</w:t>
      </w:r>
      <w:r w:rsidRPr="0053779C">
        <w:rPr>
          <w:rFonts w:ascii="Times New Roman" w:hAnsi="Times New Roman" w:cs="Times New Roman"/>
          <w:sz w:val="20"/>
          <w:szCs w:val="20"/>
          <w:lang w:val="en-US"/>
        </w:rPr>
        <w:t> »</w:t>
      </w:r>
      <w:r w:rsidRPr="0053779C">
        <w:rPr>
          <w:rFonts w:ascii="Times New Roman" w:eastAsia="Times New Roman" w:hAnsi="Times New Roman" w:cs="Times New Roman"/>
          <w:sz w:val="20"/>
          <w:szCs w:val="20"/>
          <w:lang w:val="sv-SE" w:eastAsia="sv-SE"/>
        </w:rPr>
        <w:t xml:space="preserve">, </w:t>
      </w:r>
      <w:r w:rsidRPr="0053779C">
        <w:rPr>
          <w:rFonts w:ascii="Times New Roman" w:eastAsia="Times New Roman" w:hAnsi="Times New Roman" w:cs="Times New Roman"/>
          <w:i/>
          <w:sz w:val="20"/>
          <w:szCs w:val="20"/>
          <w:lang w:val="sv-SE" w:eastAsia="sv-SE"/>
        </w:rPr>
        <w:t>in</w:t>
      </w:r>
      <w:r w:rsidRPr="0053779C">
        <w:rPr>
          <w:rFonts w:ascii="Times New Roman" w:eastAsia="Times New Roman" w:hAnsi="Times New Roman" w:cs="Times New Roman"/>
          <w:sz w:val="20"/>
          <w:szCs w:val="20"/>
          <w:lang w:val="sv-SE" w:eastAsia="sv-SE"/>
        </w:rPr>
        <w:t xml:space="preserve"> Charles Goodhart, Daniela Gabor, Jakob Vestergaard, Ismail Ertürk dir., </w:t>
      </w:r>
      <w:r w:rsidRPr="0053779C">
        <w:rPr>
          <w:rFonts w:ascii="Times New Roman" w:eastAsia="Times New Roman" w:hAnsi="Times New Roman" w:cs="Times New Roman"/>
          <w:i/>
          <w:sz w:val="20"/>
          <w:szCs w:val="20"/>
          <w:lang w:val="sv-SE" w:eastAsia="sv-SE"/>
        </w:rPr>
        <w:t>Central Banking at a Crossroads: Europe and Beyond</w:t>
      </w:r>
      <w:r w:rsidRPr="0053779C">
        <w:rPr>
          <w:rFonts w:ascii="Times New Roman" w:eastAsia="Times New Roman" w:hAnsi="Times New Roman" w:cs="Times New Roman"/>
          <w:sz w:val="20"/>
          <w:szCs w:val="20"/>
          <w:lang w:val="sv-SE" w:eastAsia="sv-SE"/>
        </w:rPr>
        <w:t>, London, Anthem Press, p. 217-229.</w:t>
      </w:r>
    </w:p>
  </w:footnote>
  <w:footnote w:id="99">
    <w:p w14:paraId="274C1863" w14:textId="3076B471" w:rsidR="00997282" w:rsidRPr="0053779C" w:rsidRDefault="00997282" w:rsidP="0053779C">
      <w:pPr>
        <w:spacing w:after="0" w:line="240" w:lineRule="atLeast"/>
        <w:jc w:val="both"/>
        <w:rPr>
          <w:sz w:val="20"/>
          <w:szCs w:val="20"/>
          <w:lang w:val="sv-SE"/>
        </w:rPr>
      </w:pPr>
      <w:r w:rsidRPr="0053779C">
        <w:rPr>
          <w:rStyle w:val="Appelnotedebasdep"/>
          <w:rFonts w:ascii="Times New Roman" w:hAnsi="Times New Roman" w:cs="Times New Roman"/>
          <w:sz w:val="20"/>
          <w:szCs w:val="20"/>
        </w:rPr>
        <w:footnoteRef/>
      </w:r>
      <w:r w:rsidRPr="0053779C">
        <w:rPr>
          <w:rFonts w:ascii="Times New Roman" w:hAnsi="Times New Roman" w:cs="Times New Roman"/>
          <w:sz w:val="20"/>
          <w:szCs w:val="20"/>
          <w:lang w:val="en-US"/>
        </w:rPr>
        <w:t xml:space="preserve"> </w:t>
      </w:r>
      <w:r w:rsidRPr="0053779C">
        <w:rPr>
          <w:rFonts w:ascii="Times New Roman" w:eastAsia="Times New Roman" w:hAnsi="Times New Roman" w:cs="Times New Roman"/>
          <w:b/>
          <w:sz w:val="20"/>
          <w:szCs w:val="20"/>
          <w:lang w:val="sv-SE" w:eastAsia="sv-SE"/>
        </w:rPr>
        <w:t>Woll</w:t>
      </w:r>
      <w:r w:rsidRPr="0053779C">
        <w:rPr>
          <w:rFonts w:ascii="Times New Roman" w:eastAsia="Times New Roman" w:hAnsi="Times New Roman" w:cs="Times New Roman"/>
          <w:sz w:val="20"/>
          <w:szCs w:val="20"/>
          <w:lang w:val="sv-SE" w:eastAsia="sv-SE"/>
        </w:rPr>
        <w:t xml:space="preserve"> (Cornelia), 2014, </w:t>
      </w:r>
      <w:r w:rsidRPr="0053779C">
        <w:rPr>
          <w:rFonts w:ascii="Times New Roman" w:eastAsia="Times New Roman" w:hAnsi="Times New Roman" w:cs="Times New Roman"/>
          <w:i/>
          <w:sz w:val="20"/>
          <w:szCs w:val="20"/>
          <w:lang w:val="sv-SE" w:eastAsia="sv-SE"/>
        </w:rPr>
        <w:t>The Power of Inaction: Bank Bailouts in Comparison</w:t>
      </w:r>
      <w:r w:rsidRPr="0053779C">
        <w:rPr>
          <w:rFonts w:ascii="Times New Roman" w:eastAsia="Times New Roman" w:hAnsi="Times New Roman" w:cs="Times New Roman"/>
          <w:sz w:val="20"/>
          <w:szCs w:val="20"/>
          <w:lang w:val="sv-SE" w:eastAsia="sv-SE"/>
        </w:rPr>
        <w:t>, Ithaca, Cornell University Press.</w:t>
      </w:r>
    </w:p>
  </w:footnote>
  <w:footnote w:id="100">
    <w:p w14:paraId="6B231326" w14:textId="64B352B8" w:rsidR="00997282" w:rsidRPr="0053779C" w:rsidRDefault="00997282" w:rsidP="0053779C">
      <w:pPr>
        <w:pStyle w:val="Notedebasdepage"/>
        <w:jc w:val="both"/>
        <w:rPr>
          <w:rFonts w:ascii="Times New Roman" w:hAnsi="Times New Roman"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Le statut d’indépendance de la CJUE rend cette perspective encore plus probable. Une annulation des programmes de la BCE entrainerait sans doute une déstabilisation aggravée des marchés financiers, un écroulement de certains établissements financiers et sûrement la fin de la zone euro. La gravité des conséquences politiques explique sûrement la retenue de la cour dans son jugement. </w:t>
      </w:r>
    </w:p>
  </w:footnote>
  <w:footnote w:id="101">
    <w:p w14:paraId="3BA27FFB" w14:textId="77777777" w:rsidR="00997282" w:rsidRPr="00374D49" w:rsidRDefault="00997282" w:rsidP="0053779C">
      <w:pPr>
        <w:pStyle w:val="Notedebasdepage"/>
        <w:jc w:val="both"/>
        <w:rPr>
          <w:rFonts w:asciiTheme="majorHAnsi" w:hAnsiTheme="majorHAnsi" w:cs="Times New Roman"/>
          <w:lang w:val="fr-BE"/>
        </w:rPr>
      </w:pPr>
      <w:r w:rsidRPr="0053779C">
        <w:rPr>
          <w:rStyle w:val="Appelnotedebasdep"/>
          <w:rFonts w:ascii="Times New Roman" w:hAnsi="Times New Roman" w:cs="Times New Roman"/>
          <w:lang w:val="fr-BE"/>
        </w:rPr>
        <w:footnoteRef/>
      </w:r>
      <w:r w:rsidRPr="0053779C">
        <w:rPr>
          <w:rFonts w:ascii="Times New Roman" w:hAnsi="Times New Roman" w:cs="Times New Roman"/>
          <w:lang w:val="fr-BE"/>
        </w:rPr>
        <w:t xml:space="preserve"> Ces arguments ont d’ailleurs été mobilisés par les parlementaires français du PS dans leur évaluation positive des politiques monétaires de la BCE.</w:t>
      </w:r>
      <w:r w:rsidRPr="00374D49">
        <w:rPr>
          <w:rFonts w:asciiTheme="majorHAnsi" w:hAnsiTheme="majorHAnsi" w:cs="Times New Roman"/>
          <w:lang w:val="fr-B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88999" w14:textId="77777777" w:rsidR="009C1A63" w:rsidRDefault="009C1A63" w:rsidP="0027214A">
    <w:pPr>
      <w:spacing w:after="0" w:line="240" w:lineRule="auto"/>
      <w:contextualSpacing/>
      <w:jc w:val="center"/>
      <w:rPr>
        <w:rFonts w:ascii="Times New Roman" w:hAnsi="Times New Roman" w:cs="Times New Roman"/>
        <w:sz w:val="24"/>
        <w:szCs w:val="24"/>
        <w:lang w:val="fr-FR"/>
      </w:rPr>
    </w:pPr>
  </w:p>
  <w:p w14:paraId="1B9362EA" w14:textId="77777777" w:rsidR="009C1A63" w:rsidRPr="0027214A" w:rsidRDefault="009C1A63" w:rsidP="0027214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56C8"/>
    <w:multiLevelType w:val="hybridMultilevel"/>
    <w:tmpl w:val="A2BA4DC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3F02DDC"/>
    <w:multiLevelType w:val="hybridMultilevel"/>
    <w:tmpl w:val="3592A71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5722694"/>
    <w:multiLevelType w:val="hybridMultilevel"/>
    <w:tmpl w:val="4516EB9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57C5D63"/>
    <w:multiLevelType w:val="hybridMultilevel"/>
    <w:tmpl w:val="68C01128"/>
    <w:lvl w:ilvl="0" w:tplc="3B48B9B2">
      <w:numFmt w:val="bullet"/>
      <w:lvlText w:val="-"/>
      <w:lvlJc w:val="left"/>
      <w:pPr>
        <w:ind w:left="720" w:hanging="360"/>
      </w:pPr>
      <w:rPr>
        <w:rFonts w:ascii="Calibri" w:eastAsiaTheme="minorHAnsi" w:hAnsi="Calibri"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5AD34CF"/>
    <w:multiLevelType w:val="hybridMultilevel"/>
    <w:tmpl w:val="372AB626"/>
    <w:lvl w:ilvl="0" w:tplc="6B004710">
      <w:start w:val="1"/>
      <w:numFmt w:val="bullet"/>
      <w:lvlText w:val="•"/>
      <w:lvlJc w:val="left"/>
      <w:pPr>
        <w:tabs>
          <w:tab w:val="num" w:pos="720"/>
        </w:tabs>
        <w:ind w:left="720" w:hanging="360"/>
      </w:pPr>
      <w:rPr>
        <w:rFonts w:ascii="Arial" w:hAnsi="Arial" w:hint="default"/>
      </w:rPr>
    </w:lvl>
    <w:lvl w:ilvl="1" w:tplc="C59EC0A0" w:tentative="1">
      <w:start w:val="1"/>
      <w:numFmt w:val="bullet"/>
      <w:lvlText w:val="•"/>
      <w:lvlJc w:val="left"/>
      <w:pPr>
        <w:tabs>
          <w:tab w:val="num" w:pos="1440"/>
        </w:tabs>
        <w:ind w:left="1440" w:hanging="360"/>
      </w:pPr>
      <w:rPr>
        <w:rFonts w:ascii="Arial" w:hAnsi="Arial" w:hint="default"/>
      </w:rPr>
    </w:lvl>
    <w:lvl w:ilvl="2" w:tplc="50E6D7B8" w:tentative="1">
      <w:start w:val="1"/>
      <w:numFmt w:val="bullet"/>
      <w:lvlText w:val="•"/>
      <w:lvlJc w:val="left"/>
      <w:pPr>
        <w:tabs>
          <w:tab w:val="num" w:pos="2160"/>
        </w:tabs>
        <w:ind w:left="2160" w:hanging="360"/>
      </w:pPr>
      <w:rPr>
        <w:rFonts w:ascii="Arial" w:hAnsi="Arial" w:hint="default"/>
      </w:rPr>
    </w:lvl>
    <w:lvl w:ilvl="3" w:tplc="3EE4055A" w:tentative="1">
      <w:start w:val="1"/>
      <w:numFmt w:val="bullet"/>
      <w:lvlText w:val="•"/>
      <w:lvlJc w:val="left"/>
      <w:pPr>
        <w:tabs>
          <w:tab w:val="num" w:pos="2880"/>
        </w:tabs>
        <w:ind w:left="2880" w:hanging="360"/>
      </w:pPr>
      <w:rPr>
        <w:rFonts w:ascii="Arial" w:hAnsi="Arial" w:hint="default"/>
      </w:rPr>
    </w:lvl>
    <w:lvl w:ilvl="4" w:tplc="CFE4FD6E" w:tentative="1">
      <w:start w:val="1"/>
      <w:numFmt w:val="bullet"/>
      <w:lvlText w:val="•"/>
      <w:lvlJc w:val="left"/>
      <w:pPr>
        <w:tabs>
          <w:tab w:val="num" w:pos="3600"/>
        </w:tabs>
        <w:ind w:left="3600" w:hanging="360"/>
      </w:pPr>
      <w:rPr>
        <w:rFonts w:ascii="Arial" w:hAnsi="Arial" w:hint="default"/>
      </w:rPr>
    </w:lvl>
    <w:lvl w:ilvl="5" w:tplc="F4D4F2EE" w:tentative="1">
      <w:start w:val="1"/>
      <w:numFmt w:val="bullet"/>
      <w:lvlText w:val="•"/>
      <w:lvlJc w:val="left"/>
      <w:pPr>
        <w:tabs>
          <w:tab w:val="num" w:pos="4320"/>
        </w:tabs>
        <w:ind w:left="4320" w:hanging="360"/>
      </w:pPr>
      <w:rPr>
        <w:rFonts w:ascii="Arial" w:hAnsi="Arial" w:hint="default"/>
      </w:rPr>
    </w:lvl>
    <w:lvl w:ilvl="6" w:tplc="40D212D6" w:tentative="1">
      <w:start w:val="1"/>
      <w:numFmt w:val="bullet"/>
      <w:lvlText w:val="•"/>
      <w:lvlJc w:val="left"/>
      <w:pPr>
        <w:tabs>
          <w:tab w:val="num" w:pos="5040"/>
        </w:tabs>
        <w:ind w:left="5040" w:hanging="360"/>
      </w:pPr>
      <w:rPr>
        <w:rFonts w:ascii="Arial" w:hAnsi="Arial" w:hint="default"/>
      </w:rPr>
    </w:lvl>
    <w:lvl w:ilvl="7" w:tplc="170EC042" w:tentative="1">
      <w:start w:val="1"/>
      <w:numFmt w:val="bullet"/>
      <w:lvlText w:val="•"/>
      <w:lvlJc w:val="left"/>
      <w:pPr>
        <w:tabs>
          <w:tab w:val="num" w:pos="5760"/>
        </w:tabs>
        <w:ind w:left="5760" w:hanging="360"/>
      </w:pPr>
      <w:rPr>
        <w:rFonts w:ascii="Arial" w:hAnsi="Arial" w:hint="default"/>
      </w:rPr>
    </w:lvl>
    <w:lvl w:ilvl="8" w:tplc="323699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D40B32"/>
    <w:multiLevelType w:val="hybridMultilevel"/>
    <w:tmpl w:val="5A98083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8DF45FF"/>
    <w:multiLevelType w:val="hybridMultilevel"/>
    <w:tmpl w:val="2F16A760"/>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1AD92BD7"/>
    <w:multiLevelType w:val="hybridMultilevel"/>
    <w:tmpl w:val="D3A6410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28D823F7"/>
    <w:multiLevelType w:val="hybridMultilevel"/>
    <w:tmpl w:val="19A41A7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01F4E98"/>
    <w:multiLevelType w:val="hybridMultilevel"/>
    <w:tmpl w:val="A52AD092"/>
    <w:lvl w:ilvl="0" w:tplc="1F207588">
      <w:start w:val="1"/>
      <w:numFmt w:val="bullet"/>
      <w:lvlText w:val="•"/>
      <w:lvlJc w:val="left"/>
      <w:pPr>
        <w:tabs>
          <w:tab w:val="num" w:pos="720"/>
        </w:tabs>
        <w:ind w:left="720" w:hanging="360"/>
      </w:pPr>
      <w:rPr>
        <w:rFonts w:ascii="Arial" w:hAnsi="Arial" w:hint="default"/>
      </w:rPr>
    </w:lvl>
    <w:lvl w:ilvl="1" w:tplc="562C66D4" w:tentative="1">
      <w:start w:val="1"/>
      <w:numFmt w:val="bullet"/>
      <w:lvlText w:val="•"/>
      <w:lvlJc w:val="left"/>
      <w:pPr>
        <w:tabs>
          <w:tab w:val="num" w:pos="1440"/>
        </w:tabs>
        <w:ind w:left="1440" w:hanging="360"/>
      </w:pPr>
      <w:rPr>
        <w:rFonts w:ascii="Arial" w:hAnsi="Arial" w:hint="default"/>
      </w:rPr>
    </w:lvl>
    <w:lvl w:ilvl="2" w:tplc="62863E3A" w:tentative="1">
      <w:start w:val="1"/>
      <w:numFmt w:val="bullet"/>
      <w:lvlText w:val="•"/>
      <w:lvlJc w:val="left"/>
      <w:pPr>
        <w:tabs>
          <w:tab w:val="num" w:pos="2160"/>
        </w:tabs>
        <w:ind w:left="2160" w:hanging="360"/>
      </w:pPr>
      <w:rPr>
        <w:rFonts w:ascii="Arial" w:hAnsi="Arial" w:hint="default"/>
      </w:rPr>
    </w:lvl>
    <w:lvl w:ilvl="3" w:tplc="B4EC3762" w:tentative="1">
      <w:start w:val="1"/>
      <w:numFmt w:val="bullet"/>
      <w:lvlText w:val="•"/>
      <w:lvlJc w:val="left"/>
      <w:pPr>
        <w:tabs>
          <w:tab w:val="num" w:pos="2880"/>
        </w:tabs>
        <w:ind w:left="2880" w:hanging="360"/>
      </w:pPr>
      <w:rPr>
        <w:rFonts w:ascii="Arial" w:hAnsi="Arial" w:hint="default"/>
      </w:rPr>
    </w:lvl>
    <w:lvl w:ilvl="4" w:tplc="2EBEBA62" w:tentative="1">
      <w:start w:val="1"/>
      <w:numFmt w:val="bullet"/>
      <w:lvlText w:val="•"/>
      <w:lvlJc w:val="left"/>
      <w:pPr>
        <w:tabs>
          <w:tab w:val="num" w:pos="3600"/>
        </w:tabs>
        <w:ind w:left="3600" w:hanging="360"/>
      </w:pPr>
      <w:rPr>
        <w:rFonts w:ascii="Arial" w:hAnsi="Arial" w:hint="default"/>
      </w:rPr>
    </w:lvl>
    <w:lvl w:ilvl="5" w:tplc="B91C185E" w:tentative="1">
      <w:start w:val="1"/>
      <w:numFmt w:val="bullet"/>
      <w:lvlText w:val="•"/>
      <w:lvlJc w:val="left"/>
      <w:pPr>
        <w:tabs>
          <w:tab w:val="num" w:pos="4320"/>
        </w:tabs>
        <w:ind w:left="4320" w:hanging="360"/>
      </w:pPr>
      <w:rPr>
        <w:rFonts w:ascii="Arial" w:hAnsi="Arial" w:hint="default"/>
      </w:rPr>
    </w:lvl>
    <w:lvl w:ilvl="6" w:tplc="38E05118" w:tentative="1">
      <w:start w:val="1"/>
      <w:numFmt w:val="bullet"/>
      <w:lvlText w:val="•"/>
      <w:lvlJc w:val="left"/>
      <w:pPr>
        <w:tabs>
          <w:tab w:val="num" w:pos="5040"/>
        </w:tabs>
        <w:ind w:left="5040" w:hanging="360"/>
      </w:pPr>
      <w:rPr>
        <w:rFonts w:ascii="Arial" w:hAnsi="Arial" w:hint="default"/>
      </w:rPr>
    </w:lvl>
    <w:lvl w:ilvl="7" w:tplc="7A825C0A" w:tentative="1">
      <w:start w:val="1"/>
      <w:numFmt w:val="bullet"/>
      <w:lvlText w:val="•"/>
      <w:lvlJc w:val="left"/>
      <w:pPr>
        <w:tabs>
          <w:tab w:val="num" w:pos="5760"/>
        </w:tabs>
        <w:ind w:left="5760" w:hanging="360"/>
      </w:pPr>
      <w:rPr>
        <w:rFonts w:ascii="Arial" w:hAnsi="Arial" w:hint="default"/>
      </w:rPr>
    </w:lvl>
    <w:lvl w:ilvl="8" w:tplc="50367B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FF251D"/>
    <w:multiLevelType w:val="hybridMultilevel"/>
    <w:tmpl w:val="EDBE166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F6C5878"/>
    <w:multiLevelType w:val="hybridMultilevel"/>
    <w:tmpl w:val="EF78512C"/>
    <w:lvl w:ilvl="0" w:tplc="7318F34A">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01533C6"/>
    <w:multiLevelType w:val="hybridMultilevel"/>
    <w:tmpl w:val="C200F30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427700FC"/>
    <w:multiLevelType w:val="hybridMultilevel"/>
    <w:tmpl w:val="FDDEEDB2"/>
    <w:lvl w:ilvl="0" w:tplc="A7643506">
      <w:start w:val="2014"/>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3990D85"/>
    <w:multiLevelType w:val="hybridMultilevel"/>
    <w:tmpl w:val="B80662E8"/>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58917FF2"/>
    <w:multiLevelType w:val="hybridMultilevel"/>
    <w:tmpl w:val="9A6CC146"/>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681D5F3B"/>
    <w:multiLevelType w:val="hybridMultilevel"/>
    <w:tmpl w:val="24680D90"/>
    <w:lvl w:ilvl="0" w:tplc="55609D4E">
      <w:numFmt w:val="bullet"/>
      <w:lvlText w:val="-"/>
      <w:lvlJc w:val="left"/>
      <w:pPr>
        <w:ind w:left="720" w:hanging="360"/>
      </w:pPr>
      <w:rPr>
        <w:rFonts w:ascii="Times New Roman" w:eastAsiaTheme="minorHAnsi"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6B2B11EE"/>
    <w:multiLevelType w:val="hybridMultilevel"/>
    <w:tmpl w:val="F7F64E18"/>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8" w15:restartNumberingAfterBreak="0">
    <w:nsid w:val="6E6E4961"/>
    <w:multiLevelType w:val="hybridMultilevel"/>
    <w:tmpl w:val="C08A0018"/>
    <w:lvl w:ilvl="0" w:tplc="0C0C000B">
      <w:start w:val="1"/>
      <w:numFmt w:val="bullet"/>
      <w:lvlText w:val=""/>
      <w:lvlJc w:val="left"/>
      <w:pPr>
        <w:ind w:left="1080" w:hanging="360"/>
      </w:pPr>
      <w:rPr>
        <w:rFonts w:ascii="Wingdings" w:hAnsi="Wingdings"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9" w15:restartNumberingAfterBreak="0">
    <w:nsid w:val="707D42EB"/>
    <w:multiLevelType w:val="hybridMultilevel"/>
    <w:tmpl w:val="D2768C0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4EA015C"/>
    <w:multiLevelType w:val="hybridMultilevel"/>
    <w:tmpl w:val="F7E00CBC"/>
    <w:lvl w:ilvl="0" w:tplc="AF18C36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B412E2F"/>
    <w:multiLevelType w:val="hybridMultilevel"/>
    <w:tmpl w:val="E576709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B524DE2"/>
    <w:multiLevelType w:val="hybridMultilevel"/>
    <w:tmpl w:val="35C0925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2"/>
  </w:num>
  <w:num w:numId="3">
    <w:abstractNumId w:val="7"/>
  </w:num>
  <w:num w:numId="4">
    <w:abstractNumId w:val="11"/>
  </w:num>
  <w:num w:numId="5">
    <w:abstractNumId w:val="16"/>
  </w:num>
  <w:num w:numId="6">
    <w:abstractNumId w:val="21"/>
  </w:num>
  <w:num w:numId="7">
    <w:abstractNumId w:val="10"/>
  </w:num>
  <w:num w:numId="8">
    <w:abstractNumId w:val="2"/>
  </w:num>
  <w:num w:numId="9">
    <w:abstractNumId w:val="1"/>
  </w:num>
  <w:num w:numId="10">
    <w:abstractNumId w:val="19"/>
  </w:num>
  <w:num w:numId="11">
    <w:abstractNumId w:val="5"/>
  </w:num>
  <w:num w:numId="12">
    <w:abstractNumId w:val="15"/>
  </w:num>
  <w:num w:numId="13">
    <w:abstractNumId w:val="0"/>
  </w:num>
  <w:num w:numId="14">
    <w:abstractNumId w:val="14"/>
  </w:num>
  <w:num w:numId="15">
    <w:abstractNumId w:val="18"/>
  </w:num>
  <w:num w:numId="16">
    <w:abstractNumId w:val="6"/>
  </w:num>
  <w:num w:numId="17">
    <w:abstractNumId w:val="17"/>
  </w:num>
  <w:num w:numId="18">
    <w:abstractNumId w:val="13"/>
  </w:num>
  <w:num w:numId="19">
    <w:abstractNumId w:val="8"/>
  </w:num>
  <w:num w:numId="20">
    <w:abstractNumId w:val="22"/>
  </w:num>
  <w:num w:numId="21">
    <w:abstractNumId w:val="20"/>
  </w:num>
  <w:num w:numId="22">
    <w:abstractNumId w:val="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262"/>
    <w:rsid w:val="00002A9B"/>
    <w:rsid w:val="000059F9"/>
    <w:rsid w:val="00011876"/>
    <w:rsid w:val="0001352F"/>
    <w:rsid w:val="000144AE"/>
    <w:rsid w:val="00021A38"/>
    <w:rsid w:val="00023ED7"/>
    <w:rsid w:val="000277FA"/>
    <w:rsid w:val="000408B7"/>
    <w:rsid w:val="0004199B"/>
    <w:rsid w:val="00044161"/>
    <w:rsid w:val="000519EB"/>
    <w:rsid w:val="00055689"/>
    <w:rsid w:val="0005654C"/>
    <w:rsid w:val="000577CF"/>
    <w:rsid w:val="000607E8"/>
    <w:rsid w:val="00063F6C"/>
    <w:rsid w:val="0006520C"/>
    <w:rsid w:val="0006688C"/>
    <w:rsid w:val="00070616"/>
    <w:rsid w:val="000706F8"/>
    <w:rsid w:val="0007190E"/>
    <w:rsid w:val="00071CE4"/>
    <w:rsid w:val="000757F4"/>
    <w:rsid w:val="00075F87"/>
    <w:rsid w:val="00076DB5"/>
    <w:rsid w:val="00092ABD"/>
    <w:rsid w:val="00094DFF"/>
    <w:rsid w:val="00096260"/>
    <w:rsid w:val="000A382C"/>
    <w:rsid w:val="000A3976"/>
    <w:rsid w:val="000A3C56"/>
    <w:rsid w:val="000A553A"/>
    <w:rsid w:val="000A5DAF"/>
    <w:rsid w:val="000A7ADD"/>
    <w:rsid w:val="000B14F3"/>
    <w:rsid w:val="000B31B7"/>
    <w:rsid w:val="000B3AE7"/>
    <w:rsid w:val="000B42EB"/>
    <w:rsid w:val="000B494C"/>
    <w:rsid w:val="000B60DB"/>
    <w:rsid w:val="000C127E"/>
    <w:rsid w:val="000C3D21"/>
    <w:rsid w:val="000C5006"/>
    <w:rsid w:val="000D41EF"/>
    <w:rsid w:val="000E62B6"/>
    <w:rsid w:val="000F1024"/>
    <w:rsid w:val="000F1A5A"/>
    <w:rsid w:val="000F62EF"/>
    <w:rsid w:val="000F6BA8"/>
    <w:rsid w:val="000F6E0F"/>
    <w:rsid w:val="00101DE2"/>
    <w:rsid w:val="0010685E"/>
    <w:rsid w:val="0010795C"/>
    <w:rsid w:val="001102AF"/>
    <w:rsid w:val="00120D62"/>
    <w:rsid w:val="00121120"/>
    <w:rsid w:val="0012282C"/>
    <w:rsid w:val="00124CE6"/>
    <w:rsid w:val="00125E98"/>
    <w:rsid w:val="00127325"/>
    <w:rsid w:val="00127A5F"/>
    <w:rsid w:val="001305A9"/>
    <w:rsid w:val="00136166"/>
    <w:rsid w:val="001369FC"/>
    <w:rsid w:val="00137EF4"/>
    <w:rsid w:val="00141BCB"/>
    <w:rsid w:val="00143A77"/>
    <w:rsid w:val="00143AE2"/>
    <w:rsid w:val="00145AA2"/>
    <w:rsid w:val="001460D5"/>
    <w:rsid w:val="0015460B"/>
    <w:rsid w:val="00163135"/>
    <w:rsid w:val="001659AC"/>
    <w:rsid w:val="001725F3"/>
    <w:rsid w:val="00176157"/>
    <w:rsid w:val="00176597"/>
    <w:rsid w:val="001817B1"/>
    <w:rsid w:val="001830E5"/>
    <w:rsid w:val="00187062"/>
    <w:rsid w:val="0019069D"/>
    <w:rsid w:val="0019088F"/>
    <w:rsid w:val="00192F66"/>
    <w:rsid w:val="00194A4F"/>
    <w:rsid w:val="00195FCA"/>
    <w:rsid w:val="001B28CA"/>
    <w:rsid w:val="001B7C5E"/>
    <w:rsid w:val="001C1E2A"/>
    <w:rsid w:val="001C5F75"/>
    <w:rsid w:val="001C64E3"/>
    <w:rsid w:val="001D247C"/>
    <w:rsid w:val="001E0CB5"/>
    <w:rsid w:val="001E592A"/>
    <w:rsid w:val="001F16F6"/>
    <w:rsid w:val="001F2487"/>
    <w:rsid w:val="001F262E"/>
    <w:rsid w:val="001F5D48"/>
    <w:rsid w:val="001F5D7E"/>
    <w:rsid w:val="0020383A"/>
    <w:rsid w:val="00204456"/>
    <w:rsid w:val="00206AFF"/>
    <w:rsid w:val="00212138"/>
    <w:rsid w:val="002148A7"/>
    <w:rsid w:val="00215E70"/>
    <w:rsid w:val="00217D68"/>
    <w:rsid w:val="002249AE"/>
    <w:rsid w:val="00226F10"/>
    <w:rsid w:val="00227630"/>
    <w:rsid w:val="00231D85"/>
    <w:rsid w:val="0023207D"/>
    <w:rsid w:val="00235D27"/>
    <w:rsid w:val="00235D95"/>
    <w:rsid w:val="0023670D"/>
    <w:rsid w:val="00240D3B"/>
    <w:rsid w:val="00243467"/>
    <w:rsid w:val="00243609"/>
    <w:rsid w:val="00245CE8"/>
    <w:rsid w:val="00247B67"/>
    <w:rsid w:val="00250348"/>
    <w:rsid w:val="0025228F"/>
    <w:rsid w:val="00255154"/>
    <w:rsid w:val="002555E1"/>
    <w:rsid w:val="00256EA0"/>
    <w:rsid w:val="00260A8A"/>
    <w:rsid w:val="00264949"/>
    <w:rsid w:val="00265F20"/>
    <w:rsid w:val="00265F9A"/>
    <w:rsid w:val="0027143D"/>
    <w:rsid w:val="002719B7"/>
    <w:rsid w:val="0027214A"/>
    <w:rsid w:val="0027602F"/>
    <w:rsid w:val="00280FCB"/>
    <w:rsid w:val="00281056"/>
    <w:rsid w:val="00283B0C"/>
    <w:rsid w:val="00285BF8"/>
    <w:rsid w:val="00292AB7"/>
    <w:rsid w:val="0029459B"/>
    <w:rsid w:val="002A0DB2"/>
    <w:rsid w:val="002A1E4E"/>
    <w:rsid w:val="002A365A"/>
    <w:rsid w:val="002A3691"/>
    <w:rsid w:val="002B05E1"/>
    <w:rsid w:val="002B662D"/>
    <w:rsid w:val="002B700E"/>
    <w:rsid w:val="002C109C"/>
    <w:rsid w:val="002C421D"/>
    <w:rsid w:val="002C6071"/>
    <w:rsid w:val="002C635D"/>
    <w:rsid w:val="002C74B5"/>
    <w:rsid w:val="002D4A8C"/>
    <w:rsid w:val="002E4437"/>
    <w:rsid w:val="002E6BBD"/>
    <w:rsid w:val="002F2D39"/>
    <w:rsid w:val="002F64BC"/>
    <w:rsid w:val="00300758"/>
    <w:rsid w:val="0030221B"/>
    <w:rsid w:val="0030483A"/>
    <w:rsid w:val="00311115"/>
    <w:rsid w:val="00313F6C"/>
    <w:rsid w:val="00315F9B"/>
    <w:rsid w:val="00317DA2"/>
    <w:rsid w:val="003304C8"/>
    <w:rsid w:val="00330EBD"/>
    <w:rsid w:val="00332F2D"/>
    <w:rsid w:val="0034412A"/>
    <w:rsid w:val="00344A6E"/>
    <w:rsid w:val="00346743"/>
    <w:rsid w:val="00351404"/>
    <w:rsid w:val="00352F82"/>
    <w:rsid w:val="003577BD"/>
    <w:rsid w:val="003615A6"/>
    <w:rsid w:val="00363D4A"/>
    <w:rsid w:val="00365F07"/>
    <w:rsid w:val="00372EBE"/>
    <w:rsid w:val="00374A4D"/>
    <w:rsid w:val="00374D49"/>
    <w:rsid w:val="00376293"/>
    <w:rsid w:val="003773E6"/>
    <w:rsid w:val="00382913"/>
    <w:rsid w:val="003856E2"/>
    <w:rsid w:val="003869A5"/>
    <w:rsid w:val="00392FB7"/>
    <w:rsid w:val="00393890"/>
    <w:rsid w:val="003944C8"/>
    <w:rsid w:val="00395369"/>
    <w:rsid w:val="00396B98"/>
    <w:rsid w:val="003976D6"/>
    <w:rsid w:val="00397D9B"/>
    <w:rsid w:val="003A2B7B"/>
    <w:rsid w:val="003A4833"/>
    <w:rsid w:val="003B26A6"/>
    <w:rsid w:val="003B71D8"/>
    <w:rsid w:val="003B7928"/>
    <w:rsid w:val="003C06F5"/>
    <w:rsid w:val="003C47EF"/>
    <w:rsid w:val="003C57ED"/>
    <w:rsid w:val="003D199A"/>
    <w:rsid w:val="003D37ED"/>
    <w:rsid w:val="003D5335"/>
    <w:rsid w:val="003D545F"/>
    <w:rsid w:val="003E0F93"/>
    <w:rsid w:val="003E7047"/>
    <w:rsid w:val="003F05BF"/>
    <w:rsid w:val="003F181C"/>
    <w:rsid w:val="003F23A0"/>
    <w:rsid w:val="003F4806"/>
    <w:rsid w:val="003F4BDB"/>
    <w:rsid w:val="00400364"/>
    <w:rsid w:val="00402752"/>
    <w:rsid w:val="00411579"/>
    <w:rsid w:val="00411BEB"/>
    <w:rsid w:val="00412A68"/>
    <w:rsid w:val="00412F65"/>
    <w:rsid w:val="00414916"/>
    <w:rsid w:val="00423042"/>
    <w:rsid w:val="00425664"/>
    <w:rsid w:val="00426A5E"/>
    <w:rsid w:val="004334D9"/>
    <w:rsid w:val="0043411F"/>
    <w:rsid w:val="004358B7"/>
    <w:rsid w:val="00436D29"/>
    <w:rsid w:val="00442D4C"/>
    <w:rsid w:val="00444804"/>
    <w:rsid w:val="00447035"/>
    <w:rsid w:val="00451EBB"/>
    <w:rsid w:val="00454156"/>
    <w:rsid w:val="00454D07"/>
    <w:rsid w:val="0045516C"/>
    <w:rsid w:val="00456902"/>
    <w:rsid w:val="00461E1C"/>
    <w:rsid w:val="004623C6"/>
    <w:rsid w:val="00472BA4"/>
    <w:rsid w:val="00474800"/>
    <w:rsid w:val="004756E1"/>
    <w:rsid w:val="00476505"/>
    <w:rsid w:val="0047778D"/>
    <w:rsid w:val="00477F4D"/>
    <w:rsid w:val="00482545"/>
    <w:rsid w:val="00482B2E"/>
    <w:rsid w:val="00485724"/>
    <w:rsid w:val="0049216B"/>
    <w:rsid w:val="004A6201"/>
    <w:rsid w:val="004A7FD0"/>
    <w:rsid w:val="004B42DC"/>
    <w:rsid w:val="004B4A2B"/>
    <w:rsid w:val="004B5385"/>
    <w:rsid w:val="004C24CC"/>
    <w:rsid w:val="004C5FB1"/>
    <w:rsid w:val="004D0A74"/>
    <w:rsid w:val="004D155E"/>
    <w:rsid w:val="004E0463"/>
    <w:rsid w:val="004E16A8"/>
    <w:rsid w:val="004E1C9A"/>
    <w:rsid w:val="004E4E2A"/>
    <w:rsid w:val="004F1120"/>
    <w:rsid w:val="004F386B"/>
    <w:rsid w:val="004F4A70"/>
    <w:rsid w:val="00500D0F"/>
    <w:rsid w:val="00502B0E"/>
    <w:rsid w:val="00505782"/>
    <w:rsid w:val="0051270B"/>
    <w:rsid w:val="005178EF"/>
    <w:rsid w:val="00521C04"/>
    <w:rsid w:val="00524687"/>
    <w:rsid w:val="0053028D"/>
    <w:rsid w:val="005304DA"/>
    <w:rsid w:val="00531075"/>
    <w:rsid w:val="00531F87"/>
    <w:rsid w:val="005325FC"/>
    <w:rsid w:val="00532A84"/>
    <w:rsid w:val="00536B85"/>
    <w:rsid w:val="005376B5"/>
    <w:rsid w:val="0053779C"/>
    <w:rsid w:val="005409E6"/>
    <w:rsid w:val="00541971"/>
    <w:rsid w:val="005452E0"/>
    <w:rsid w:val="00550C38"/>
    <w:rsid w:val="00556166"/>
    <w:rsid w:val="00564D03"/>
    <w:rsid w:val="00566D9C"/>
    <w:rsid w:val="005717E6"/>
    <w:rsid w:val="00573255"/>
    <w:rsid w:val="005861BD"/>
    <w:rsid w:val="00586738"/>
    <w:rsid w:val="00590CC3"/>
    <w:rsid w:val="00591DE9"/>
    <w:rsid w:val="00594AC5"/>
    <w:rsid w:val="005957EE"/>
    <w:rsid w:val="00595A1E"/>
    <w:rsid w:val="0059603C"/>
    <w:rsid w:val="00596E87"/>
    <w:rsid w:val="005A2448"/>
    <w:rsid w:val="005A2ACE"/>
    <w:rsid w:val="005A4728"/>
    <w:rsid w:val="005A638B"/>
    <w:rsid w:val="005A6EC5"/>
    <w:rsid w:val="005B02C6"/>
    <w:rsid w:val="005B04DB"/>
    <w:rsid w:val="005B248A"/>
    <w:rsid w:val="005B2C78"/>
    <w:rsid w:val="005B5153"/>
    <w:rsid w:val="005B58DE"/>
    <w:rsid w:val="005B59B5"/>
    <w:rsid w:val="005B78B0"/>
    <w:rsid w:val="005C2E9C"/>
    <w:rsid w:val="005D1B9F"/>
    <w:rsid w:val="005D339E"/>
    <w:rsid w:val="005D38F0"/>
    <w:rsid w:val="005D71C8"/>
    <w:rsid w:val="005F0543"/>
    <w:rsid w:val="005F0DEF"/>
    <w:rsid w:val="005F69FD"/>
    <w:rsid w:val="005F76D9"/>
    <w:rsid w:val="00600982"/>
    <w:rsid w:val="00600FB1"/>
    <w:rsid w:val="0060331D"/>
    <w:rsid w:val="00605959"/>
    <w:rsid w:val="0060742E"/>
    <w:rsid w:val="00611572"/>
    <w:rsid w:val="0061258F"/>
    <w:rsid w:val="00613256"/>
    <w:rsid w:val="006146E2"/>
    <w:rsid w:val="0061491F"/>
    <w:rsid w:val="00614921"/>
    <w:rsid w:val="00616BCD"/>
    <w:rsid w:val="00620836"/>
    <w:rsid w:val="00621A95"/>
    <w:rsid w:val="00622465"/>
    <w:rsid w:val="006229AD"/>
    <w:rsid w:val="00623FA3"/>
    <w:rsid w:val="00631E26"/>
    <w:rsid w:val="006448F9"/>
    <w:rsid w:val="00646698"/>
    <w:rsid w:val="00650024"/>
    <w:rsid w:val="006506E9"/>
    <w:rsid w:val="00650DD4"/>
    <w:rsid w:val="0065152C"/>
    <w:rsid w:val="00653173"/>
    <w:rsid w:val="00656D67"/>
    <w:rsid w:val="0066261E"/>
    <w:rsid w:val="00662A5C"/>
    <w:rsid w:val="00662D4C"/>
    <w:rsid w:val="00672E2C"/>
    <w:rsid w:val="00674372"/>
    <w:rsid w:val="00683996"/>
    <w:rsid w:val="006841DD"/>
    <w:rsid w:val="00685688"/>
    <w:rsid w:val="00686319"/>
    <w:rsid w:val="0068761D"/>
    <w:rsid w:val="0069436E"/>
    <w:rsid w:val="006A325E"/>
    <w:rsid w:val="006A3EB1"/>
    <w:rsid w:val="006B11DC"/>
    <w:rsid w:val="006B200B"/>
    <w:rsid w:val="006B2C85"/>
    <w:rsid w:val="006B327F"/>
    <w:rsid w:val="006B4EA2"/>
    <w:rsid w:val="006C1058"/>
    <w:rsid w:val="006C4946"/>
    <w:rsid w:val="006C4D67"/>
    <w:rsid w:val="006C5278"/>
    <w:rsid w:val="006C56E2"/>
    <w:rsid w:val="006C5DD1"/>
    <w:rsid w:val="006D7563"/>
    <w:rsid w:val="006E2358"/>
    <w:rsid w:val="006E32FF"/>
    <w:rsid w:val="006E37E3"/>
    <w:rsid w:val="006E702B"/>
    <w:rsid w:val="006E7BA8"/>
    <w:rsid w:val="006F3A03"/>
    <w:rsid w:val="006F3BB3"/>
    <w:rsid w:val="006F63CA"/>
    <w:rsid w:val="007014B6"/>
    <w:rsid w:val="00702B63"/>
    <w:rsid w:val="00703259"/>
    <w:rsid w:val="0070390F"/>
    <w:rsid w:val="007124CF"/>
    <w:rsid w:val="00715E80"/>
    <w:rsid w:val="00717A2C"/>
    <w:rsid w:val="00721E5B"/>
    <w:rsid w:val="00727D26"/>
    <w:rsid w:val="0073182E"/>
    <w:rsid w:val="00735FBD"/>
    <w:rsid w:val="0073632A"/>
    <w:rsid w:val="00736749"/>
    <w:rsid w:val="00740E61"/>
    <w:rsid w:val="007456FF"/>
    <w:rsid w:val="00757DF0"/>
    <w:rsid w:val="00762BD3"/>
    <w:rsid w:val="00764BFD"/>
    <w:rsid w:val="00767B09"/>
    <w:rsid w:val="00770A12"/>
    <w:rsid w:val="00772A9F"/>
    <w:rsid w:val="007909DB"/>
    <w:rsid w:val="00791024"/>
    <w:rsid w:val="00793204"/>
    <w:rsid w:val="007938E7"/>
    <w:rsid w:val="0079572A"/>
    <w:rsid w:val="00796FF1"/>
    <w:rsid w:val="007A064E"/>
    <w:rsid w:val="007A0DCC"/>
    <w:rsid w:val="007A23BD"/>
    <w:rsid w:val="007A2E2D"/>
    <w:rsid w:val="007A41DE"/>
    <w:rsid w:val="007B351F"/>
    <w:rsid w:val="007B361E"/>
    <w:rsid w:val="007B5891"/>
    <w:rsid w:val="007B7551"/>
    <w:rsid w:val="007B7C90"/>
    <w:rsid w:val="007C16D6"/>
    <w:rsid w:val="007D26AF"/>
    <w:rsid w:val="007D3B16"/>
    <w:rsid w:val="007D54F1"/>
    <w:rsid w:val="007E149F"/>
    <w:rsid w:val="007E20DA"/>
    <w:rsid w:val="007E3E8A"/>
    <w:rsid w:val="007E6377"/>
    <w:rsid w:val="007E773E"/>
    <w:rsid w:val="007F0BED"/>
    <w:rsid w:val="007F1987"/>
    <w:rsid w:val="007F1A59"/>
    <w:rsid w:val="007F23C4"/>
    <w:rsid w:val="007F7ED6"/>
    <w:rsid w:val="008027CA"/>
    <w:rsid w:val="008039DE"/>
    <w:rsid w:val="00812A4D"/>
    <w:rsid w:val="00822B3B"/>
    <w:rsid w:val="00854B3E"/>
    <w:rsid w:val="0085550C"/>
    <w:rsid w:val="008627B5"/>
    <w:rsid w:val="00862A05"/>
    <w:rsid w:val="00866868"/>
    <w:rsid w:val="008668CF"/>
    <w:rsid w:val="0086767A"/>
    <w:rsid w:val="00870265"/>
    <w:rsid w:val="00876417"/>
    <w:rsid w:val="00876E5A"/>
    <w:rsid w:val="008770DC"/>
    <w:rsid w:val="00877896"/>
    <w:rsid w:val="00877987"/>
    <w:rsid w:val="00883F79"/>
    <w:rsid w:val="00883F8C"/>
    <w:rsid w:val="00892262"/>
    <w:rsid w:val="008938E4"/>
    <w:rsid w:val="008A0538"/>
    <w:rsid w:val="008A6F42"/>
    <w:rsid w:val="008A72B5"/>
    <w:rsid w:val="008B0F79"/>
    <w:rsid w:val="008B66DA"/>
    <w:rsid w:val="008B7910"/>
    <w:rsid w:val="008C25E6"/>
    <w:rsid w:val="008C47C6"/>
    <w:rsid w:val="008C4B45"/>
    <w:rsid w:val="008C5246"/>
    <w:rsid w:val="008D18AF"/>
    <w:rsid w:val="008D7C6C"/>
    <w:rsid w:val="008E0A44"/>
    <w:rsid w:val="008E0A6C"/>
    <w:rsid w:val="008E2DF8"/>
    <w:rsid w:val="008E3E70"/>
    <w:rsid w:val="008E7FEF"/>
    <w:rsid w:val="008F01D2"/>
    <w:rsid w:val="00900591"/>
    <w:rsid w:val="00900986"/>
    <w:rsid w:val="00910CDE"/>
    <w:rsid w:val="00911A64"/>
    <w:rsid w:val="00912F6C"/>
    <w:rsid w:val="009164D4"/>
    <w:rsid w:val="00917F44"/>
    <w:rsid w:val="0092267F"/>
    <w:rsid w:val="0092361D"/>
    <w:rsid w:val="00923DD2"/>
    <w:rsid w:val="0092433C"/>
    <w:rsid w:val="009246D4"/>
    <w:rsid w:val="00936FB9"/>
    <w:rsid w:val="00950173"/>
    <w:rsid w:val="00950CBA"/>
    <w:rsid w:val="00963FF6"/>
    <w:rsid w:val="00964230"/>
    <w:rsid w:val="009643DF"/>
    <w:rsid w:val="00964C42"/>
    <w:rsid w:val="00970D99"/>
    <w:rsid w:val="00971A84"/>
    <w:rsid w:val="00980EF2"/>
    <w:rsid w:val="00985F8E"/>
    <w:rsid w:val="00997282"/>
    <w:rsid w:val="009A213A"/>
    <w:rsid w:val="009B1BD2"/>
    <w:rsid w:val="009B1EAA"/>
    <w:rsid w:val="009B2772"/>
    <w:rsid w:val="009B6275"/>
    <w:rsid w:val="009C0416"/>
    <w:rsid w:val="009C1A63"/>
    <w:rsid w:val="009C33AE"/>
    <w:rsid w:val="009C4CB9"/>
    <w:rsid w:val="009C5EB2"/>
    <w:rsid w:val="009D3F0E"/>
    <w:rsid w:val="009D4FD8"/>
    <w:rsid w:val="009E1637"/>
    <w:rsid w:val="009E306B"/>
    <w:rsid w:val="009E50B6"/>
    <w:rsid w:val="009F32BA"/>
    <w:rsid w:val="009F4B66"/>
    <w:rsid w:val="009F5B1A"/>
    <w:rsid w:val="009F72C8"/>
    <w:rsid w:val="00A00827"/>
    <w:rsid w:val="00A02A95"/>
    <w:rsid w:val="00A034EF"/>
    <w:rsid w:val="00A05089"/>
    <w:rsid w:val="00A144E5"/>
    <w:rsid w:val="00A15F2B"/>
    <w:rsid w:val="00A20F4A"/>
    <w:rsid w:val="00A22448"/>
    <w:rsid w:val="00A334BD"/>
    <w:rsid w:val="00A34385"/>
    <w:rsid w:val="00A37108"/>
    <w:rsid w:val="00A37814"/>
    <w:rsid w:val="00A449A6"/>
    <w:rsid w:val="00A453E4"/>
    <w:rsid w:val="00A45BFD"/>
    <w:rsid w:val="00A6014C"/>
    <w:rsid w:val="00A61C68"/>
    <w:rsid w:val="00A64B5B"/>
    <w:rsid w:val="00A65A1A"/>
    <w:rsid w:val="00A66837"/>
    <w:rsid w:val="00A77F8A"/>
    <w:rsid w:val="00A83E5D"/>
    <w:rsid w:val="00A90A7F"/>
    <w:rsid w:val="00A93B12"/>
    <w:rsid w:val="00AA1B52"/>
    <w:rsid w:val="00AA2CDD"/>
    <w:rsid w:val="00AA4902"/>
    <w:rsid w:val="00AA6DC7"/>
    <w:rsid w:val="00AB098B"/>
    <w:rsid w:val="00AB1AA5"/>
    <w:rsid w:val="00AB4C4D"/>
    <w:rsid w:val="00AC4A2A"/>
    <w:rsid w:val="00AD0293"/>
    <w:rsid w:val="00AD1175"/>
    <w:rsid w:val="00AD1952"/>
    <w:rsid w:val="00AD1E00"/>
    <w:rsid w:val="00AD2E45"/>
    <w:rsid w:val="00AD4C4D"/>
    <w:rsid w:val="00AE2888"/>
    <w:rsid w:val="00AE3E74"/>
    <w:rsid w:val="00AF44FA"/>
    <w:rsid w:val="00AF69C5"/>
    <w:rsid w:val="00AF7C23"/>
    <w:rsid w:val="00B00497"/>
    <w:rsid w:val="00B05C33"/>
    <w:rsid w:val="00B10B3E"/>
    <w:rsid w:val="00B12191"/>
    <w:rsid w:val="00B125A3"/>
    <w:rsid w:val="00B26A34"/>
    <w:rsid w:val="00B4228C"/>
    <w:rsid w:val="00B4458F"/>
    <w:rsid w:val="00B4558E"/>
    <w:rsid w:val="00B4630C"/>
    <w:rsid w:val="00B473E2"/>
    <w:rsid w:val="00B50439"/>
    <w:rsid w:val="00B53C77"/>
    <w:rsid w:val="00B6559B"/>
    <w:rsid w:val="00B65E9F"/>
    <w:rsid w:val="00B66D8F"/>
    <w:rsid w:val="00B67115"/>
    <w:rsid w:val="00B706D3"/>
    <w:rsid w:val="00B70739"/>
    <w:rsid w:val="00B74202"/>
    <w:rsid w:val="00B75D89"/>
    <w:rsid w:val="00B80312"/>
    <w:rsid w:val="00B80D35"/>
    <w:rsid w:val="00B81A99"/>
    <w:rsid w:val="00B81E2E"/>
    <w:rsid w:val="00B82279"/>
    <w:rsid w:val="00B83D83"/>
    <w:rsid w:val="00B85727"/>
    <w:rsid w:val="00B865C3"/>
    <w:rsid w:val="00B92A6F"/>
    <w:rsid w:val="00B97162"/>
    <w:rsid w:val="00B97A91"/>
    <w:rsid w:val="00BA08ED"/>
    <w:rsid w:val="00BA1ED2"/>
    <w:rsid w:val="00BA57E3"/>
    <w:rsid w:val="00BB5F99"/>
    <w:rsid w:val="00BC2975"/>
    <w:rsid w:val="00BC3C2A"/>
    <w:rsid w:val="00BC52AD"/>
    <w:rsid w:val="00BC55D5"/>
    <w:rsid w:val="00BC5AE2"/>
    <w:rsid w:val="00BC67B1"/>
    <w:rsid w:val="00BC6DE5"/>
    <w:rsid w:val="00BD0DA3"/>
    <w:rsid w:val="00BD2179"/>
    <w:rsid w:val="00BE22C4"/>
    <w:rsid w:val="00BE5394"/>
    <w:rsid w:val="00BE5B78"/>
    <w:rsid w:val="00BE78C6"/>
    <w:rsid w:val="00BF0C8C"/>
    <w:rsid w:val="00BF1910"/>
    <w:rsid w:val="00BF7099"/>
    <w:rsid w:val="00C017CC"/>
    <w:rsid w:val="00C034CE"/>
    <w:rsid w:val="00C05F14"/>
    <w:rsid w:val="00C112A9"/>
    <w:rsid w:val="00C14248"/>
    <w:rsid w:val="00C150CE"/>
    <w:rsid w:val="00C20C3D"/>
    <w:rsid w:val="00C22075"/>
    <w:rsid w:val="00C26CAE"/>
    <w:rsid w:val="00C30990"/>
    <w:rsid w:val="00C3148B"/>
    <w:rsid w:val="00C36928"/>
    <w:rsid w:val="00C37F56"/>
    <w:rsid w:val="00C43B83"/>
    <w:rsid w:val="00C517E1"/>
    <w:rsid w:val="00C51963"/>
    <w:rsid w:val="00C55975"/>
    <w:rsid w:val="00C5668D"/>
    <w:rsid w:val="00C576E4"/>
    <w:rsid w:val="00C5779E"/>
    <w:rsid w:val="00C5786B"/>
    <w:rsid w:val="00C61552"/>
    <w:rsid w:val="00C7072F"/>
    <w:rsid w:val="00C71FFC"/>
    <w:rsid w:val="00C73D19"/>
    <w:rsid w:val="00C7499A"/>
    <w:rsid w:val="00C800DE"/>
    <w:rsid w:val="00C80EBF"/>
    <w:rsid w:val="00C82720"/>
    <w:rsid w:val="00C84679"/>
    <w:rsid w:val="00C87E47"/>
    <w:rsid w:val="00C90E86"/>
    <w:rsid w:val="00C91321"/>
    <w:rsid w:val="00C95CF5"/>
    <w:rsid w:val="00CA1206"/>
    <w:rsid w:val="00CA7049"/>
    <w:rsid w:val="00CB1AD4"/>
    <w:rsid w:val="00CB37D3"/>
    <w:rsid w:val="00CB477F"/>
    <w:rsid w:val="00CB65AC"/>
    <w:rsid w:val="00CB67F7"/>
    <w:rsid w:val="00CB7866"/>
    <w:rsid w:val="00CC5AF3"/>
    <w:rsid w:val="00CD2944"/>
    <w:rsid w:val="00CD5819"/>
    <w:rsid w:val="00CD7495"/>
    <w:rsid w:val="00CE0AA6"/>
    <w:rsid w:val="00CE1F75"/>
    <w:rsid w:val="00CE3D74"/>
    <w:rsid w:val="00CE49FC"/>
    <w:rsid w:val="00CE5ED1"/>
    <w:rsid w:val="00CE771B"/>
    <w:rsid w:val="00CF0726"/>
    <w:rsid w:val="00CF1284"/>
    <w:rsid w:val="00CF19E6"/>
    <w:rsid w:val="00CF630A"/>
    <w:rsid w:val="00CF7FC9"/>
    <w:rsid w:val="00D00988"/>
    <w:rsid w:val="00D00DE1"/>
    <w:rsid w:val="00D06AAA"/>
    <w:rsid w:val="00D1060D"/>
    <w:rsid w:val="00D11657"/>
    <w:rsid w:val="00D25F4C"/>
    <w:rsid w:val="00D26460"/>
    <w:rsid w:val="00D27B7A"/>
    <w:rsid w:val="00D34E20"/>
    <w:rsid w:val="00D36311"/>
    <w:rsid w:val="00D37D45"/>
    <w:rsid w:val="00D47338"/>
    <w:rsid w:val="00D47F81"/>
    <w:rsid w:val="00D5083C"/>
    <w:rsid w:val="00D523F3"/>
    <w:rsid w:val="00D57673"/>
    <w:rsid w:val="00D60CB8"/>
    <w:rsid w:val="00D71353"/>
    <w:rsid w:val="00D729C5"/>
    <w:rsid w:val="00D7373C"/>
    <w:rsid w:val="00D7457F"/>
    <w:rsid w:val="00D7556E"/>
    <w:rsid w:val="00D776DD"/>
    <w:rsid w:val="00D80602"/>
    <w:rsid w:val="00D84991"/>
    <w:rsid w:val="00D85C75"/>
    <w:rsid w:val="00D85F77"/>
    <w:rsid w:val="00D87F0A"/>
    <w:rsid w:val="00DA23C0"/>
    <w:rsid w:val="00DA24D6"/>
    <w:rsid w:val="00DA4242"/>
    <w:rsid w:val="00DA5DA2"/>
    <w:rsid w:val="00DA7149"/>
    <w:rsid w:val="00DB08BC"/>
    <w:rsid w:val="00DB340D"/>
    <w:rsid w:val="00DB41CA"/>
    <w:rsid w:val="00DB69B2"/>
    <w:rsid w:val="00DC40B2"/>
    <w:rsid w:val="00DC644D"/>
    <w:rsid w:val="00DC6D59"/>
    <w:rsid w:val="00DD21AA"/>
    <w:rsid w:val="00DE2E3A"/>
    <w:rsid w:val="00DF35A5"/>
    <w:rsid w:val="00DF6F0C"/>
    <w:rsid w:val="00E01945"/>
    <w:rsid w:val="00E01CE9"/>
    <w:rsid w:val="00E0405D"/>
    <w:rsid w:val="00E05ABF"/>
    <w:rsid w:val="00E06DE5"/>
    <w:rsid w:val="00E06F1B"/>
    <w:rsid w:val="00E1304B"/>
    <w:rsid w:val="00E141AF"/>
    <w:rsid w:val="00E24764"/>
    <w:rsid w:val="00E249A3"/>
    <w:rsid w:val="00E263A6"/>
    <w:rsid w:val="00E32C58"/>
    <w:rsid w:val="00E34109"/>
    <w:rsid w:val="00E34EBB"/>
    <w:rsid w:val="00E365EF"/>
    <w:rsid w:val="00E37003"/>
    <w:rsid w:val="00E43FCB"/>
    <w:rsid w:val="00E450AC"/>
    <w:rsid w:val="00E52402"/>
    <w:rsid w:val="00E555FB"/>
    <w:rsid w:val="00E610E9"/>
    <w:rsid w:val="00E63B86"/>
    <w:rsid w:val="00E66BA4"/>
    <w:rsid w:val="00E7134E"/>
    <w:rsid w:val="00E72E1C"/>
    <w:rsid w:val="00E741A3"/>
    <w:rsid w:val="00E7514D"/>
    <w:rsid w:val="00E85C1F"/>
    <w:rsid w:val="00E87952"/>
    <w:rsid w:val="00EA6972"/>
    <w:rsid w:val="00EA6A0F"/>
    <w:rsid w:val="00EA6C5C"/>
    <w:rsid w:val="00EB1143"/>
    <w:rsid w:val="00EB2D88"/>
    <w:rsid w:val="00EB32A5"/>
    <w:rsid w:val="00EB53F0"/>
    <w:rsid w:val="00EB66B9"/>
    <w:rsid w:val="00EB79AA"/>
    <w:rsid w:val="00EC1FED"/>
    <w:rsid w:val="00EC36D5"/>
    <w:rsid w:val="00EC4EB3"/>
    <w:rsid w:val="00ED5191"/>
    <w:rsid w:val="00ED6EFA"/>
    <w:rsid w:val="00ED753F"/>
    <w:rsid w:val="00EF021E"/>
    <w:rsid w:val="00EF1175"/>
    <w:rsid w:val="00EF1632"/>
    <w:rsid w:val="00EF2FCA"/>
    <w:rsid w:val="00EF40A3"/>
    <w:rsid w:val="00EF5BF1"/>
    <w:rsid w:val="00F01126"/>
    <w:rsid w:val="00F0236C"/>
    <w:rsid w:val="00F079D7"/>
    <w:rsid w:val="00F15A15"/>
    <w:rsid w:val="00F16A6E"/>
    <w:rsid w:val="00F21317"/>
    <w:rsid w:val="00F22DC4"/>
    <w:rsid w:val="00F25349"/>
    <w:rsid w:val="00F3249A"/>
    <w:rsid w:val="00F336FF"/>
    <w:rsid w:val="00F37EEB"/>
    <w:rsid w:val="00F442D7"/>
    <w:rsid w:val="00F452F7"/>
    <w:rsid w:val="00F4569F"/>
    <w:rsid w:val="00F45813"/>
    <w:rsid w:val="00F4709F"/>
    <w:rsid w:val="00F551CC"/>
    <w:rsid w:val="00F60499"/>
    <w:rsid w:val="00F663BB"/>
    <w:rsid w:val="00F727BB"/>
    <w:rsid w:val="00F77D7E"/>
    <w:rsid w:val="00F8038B"/>
    <w:rsid w:val="00F877F8"/>
    <w:rsid w:val="00FA3FED"/>
    <w:rsid w:val="00FA769C"/>
    <w:rsid w:val="00FB0306"/>
    <w:rsid w:val="00FB4491"/>
    <w:rsid w:val="00FB58D8"/>
    <w:rsid w:val="00FC00B5"/>
    <w:rsid w:val="00FC024F"/>
    <w:rsid w:val="00FC2AA5"/>
    <w:rsid w:val="00FC5EBE"/>
    <w:rsid w:val="00FC61A3"/>
    <w:rsid w:val="00FC7258"/>
    <w:rsid w:val="00FC7B30"/>
    <w:rsid w:val="00FD007E"/>
    <w:rsid w:val="00FD00B9"/>
    <w:rsid w:val="00FD05A1"/>
    <w:rsid w:val="00FD4A3D"/>
    <w:rsid w:val="00FD63A2"/>
    <w:rsid w:val="00FE4244"/>
    <w:rsid w:val="00FE614C"/>
    <w:rsid w:val="00FF0084"/>
    <w:rsid w:val="00FF168B"/>
    <w:rsid w:val="00FF255B"/>
    <w:rsid w:val="00FF66FA"/>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F8ECE"/>
  <w15:docId w15:val="{2A582BF2-584A-4FEF-9EAD-4B840AC4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49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
    <w:name w:val="st"/>
    <w:basedOn w:val="Policepardfaut"/>
    <w:rsid w:val="00892262"/>
  </w:style>
  <w:style w:type="character" w:styleId="Lienhypertexte">
    <w:name w:val="Hyperlink"/>
    <w:basedOn w:val="Policepardfaut"/>
    <w:uiPriority w:val="99"/>
    <w:unhideWhenUsed/>
    <w:rsid w:val="00CA7049"/>
    <w:rPr>
      <w:color w:val="0000FF" w:themeColor="hyperlink"/>
      <w:u w:val="single"/>
    </w:rPr>
  </w:style>
  <w:style w:type="paragraph" w:styleId="Paragraphedeliste">
    <w:name w:val="List Paragraph"/>
    <w:basedOn w:val="Normal"/>
    <w:uiPriority w:val="34"/>
    <w:qFormat/>
    <w:rsid w:val="00CA7049"/>
    <w:pPr>
      <w:ind w:left="720"/>
      <w:contextualSpacing/>
    </w:pPr>
  </w:style>
  <w:style w:type="paragraph" w:styleId="Textedebulles">
    <w:name w:val="Balloon Text"/>
    <w:basedOn w:val="Normal"/>
    <w:link w:val="TextedebullesCar"/>
    <w:uiPriority w:val="99"/>
    <w:semiHidden/>
    <w:unhideWhenUsed/>
    <w:rsid w:val="00E263A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263A6"/>
    <w:rPr>
      <w:rFonts w:ascii="Tahoma" w:hAnsi="Tahoma" w:cs="Tahoma"/>
      <w:sz w:val="16"/>
      <w:szCs w:val="16"/>
    </w:rPr>
  </w:style>
  <w:style w:type="paragraph" w:styleId="En-tte">
    <w:name w:val="header"/>
    <w:basedOn w:val="Normal"/>
    <w:link w:val="En-tteCar"/>
    <w:uiPriority w:val="99"/>
    <w:unhideWhenUsed/>
    <w:rsid w:val="0027214A"/>
    <w:pPr>
      <w:tabs>
        <w:tab w:val="center" w:pos="4320"/>
        <w:tab w:val="right" w:pos="8640"/>
      </w:tabs>
      <w:spacing w:after="0" w:line="240" w:lineRule="auto"/>
    </w:pPr>
  </w:style>
  <w:style w:type="character" w:customStyle="1" w:styleId="En-tteCar">
    <w:name w:val="En-tête Car"/>
    <w:basedOn w:val="Policepardfaut"/>
    <w:link w:val="En-tte"/>
    <w:uiPriority w:val="99"/>
    <w:rsid w:val="0027214A"/>
  </w:style>
  <w:style w:type="paragraph" w:styleId="Pieddepage">
    <w:name w:val="footer"/>
    <w:basedOn w:val="Normal"/>
    <w:link w:val="PieddepageCar"/>
    <w:uiPriority w:val="99"/>
    <w:unhideWhenUsed/>
    <w:rsid w:val="0027214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7214A"/>
  </w:style>
  <w:style w:type="paragraph" w:customStyle="1" w:styleId="References">
    <w:name w:val="References"/>
    <w:basedOn w:val="Normal"/>
    <w:rsid w:val="005A2ACE"/>
    <w:pPr>
      <w:suppressAutoHyphens/>
      <w:overflowPunct w:val="0"/>
      <w:spacing w:after="0"/>
      <w:ind w:left="567" w:hanging="567"/>
    </w:pPr>
    <w:rPr>
      <w:rFonts w:ascii="Calibri" w:eastAsia="Droid Sans Fallback" w:hAnsi="Calibri" w:cs="DejaVu Sans"/>
      <w:color w:val="00000A"/>
    </w:rPr>
  </w:style>
  <w:style w:type="paragraph" w:styleId="Sansinterligne">
    <w:name w:val="No Spacing"/>
    <w:qFormat/>
    <w:rsid w:val="00870265"/>
    <w:pPr>
      <w:widowControl w:val="0"/>
      <w:suppressAutoHyphens/>
      <w:spacing w:after="0" w:line="240" w:lineRule="auto"/>
    </w:pPr>
    <w:rPr>
      <w:rFonts w:ascii="Liberation Serif" w:eastAsia="Droid Sans Fallback" w:hAnsi="Liberation Serif" w:cs="Mangal"/>
      <w:color w:val="00000A"/>
      <w:sz w:val="24"/>
      <w:szCs w:val="21"/>
      <w:lang w:val="fr-FR" w:eastAsia="zh-CN" w:bidi="hi-IN"/>
    </w:rPr>
  </w:style>
  <w:style w:type="paragraph" w:styleId="Notedebasdepage">
    <w:name w:val="footnote text"/>
    <w:basedOn w:val="Normal"/>
    <w:link w:val="NotedebasdepageCar"/>
    <w:unhideWhenUsed/>
    <w:rsid w:val="003A4833"/>
    <w:pPr>
      <w:spacing w:after="0" w:line="240" w:lineRule="auto"/>
    </w:pPr>
    <w:rPr>
      <w:sz w:val="20"/>
      <w:szCs w:val="20"/>
    </w:rPr>
  </w:style>
  <w:style w:type="character" w:customStyle="1" w:styleId="NotedebasdepageCar">
    <w:name w:val="Note de bas de page Car"/>
    <w:basedOn w:val="Policepardfaut"/>
    <w:link w:val="Notedebasdepage"/>
    <w:rsid w:val="003A4833"/>
    <w:rPr>
      <w:sz w:val="20"/>
      <w:szCs w:val="20"/>
    </w:rPr>
  </w:style>
  <w:style w:type="character" w:styleId="Appelnotedebasdep">
    <w:name w:val="footnote reference"/>
    <w:basedOn w:val="Policepardfaut"/>
    <w:unhideWhenUsed/>
    <w:rsid w:val="003A4833"/>
    <w:rPr>
      <w:vertAlign w:val="superscript"/>
    </w:rPr>
  </w:style>
  <w:style w:type="character" w:styleId="Marquedecommentaire">
    <w:name w:val="annotation reference"/>
    <w:basedOn w:val="Policepardfaut"/>
    <w:uiPriority w:val="99"/>
    <w:semiHidden/>
    <w:unhideWhenUsed/>
    <w:rsid w:val="0005654C"/>
    <w:rPr>
      <w:sz w:val="16"/>
      <w:szCs w:val="16"/>
    </w:rPr>
  </w:style>
  <w:style w:type="paragraph" w:styleId="Commentaire">
    <w:name w:val="annotation text"/>
    <w:basedOn w:val="Normal"/>
    <w:link w:val="CommentaireCar"/>
    <w:uiPriority w:val="99"/>
    <w:semiHidden/>
    <w:unhideWhenUsed/>
    <w:rsid w:val="0005654C"/>
    <w:pPr>
      <w:spacing w:line="240" w:lineRule="auto"/>
    </w:pPr>
    <w:rPr>
      <w:sz w:val="20"/>
      <w:szCs w:val="20"/>
    </w:rPr>
  </w:style>
  <w:style w:type="character" w:customStyle="1" w:styleId="CommentaireCar">
    <w:name w:val="Commentaire Car"/>
    <w:basedOn w:val="Policepardfaut"/>
    <w:link w:val="Commentaire"/>
    <w:uiPriority w:val="99"/>
    <w:semiHidden/>
    <w:rsid w:val="0005654C"/>
    <w:rPr>
      <w:sz w:val="20"/>
      <w:szCs w:val="20"/>
    </w:rPr>
  </w:style>
  <w:style w:type="character" w:customStyle="1" w:styleId="FootnoteAnchor">
    <w:name w:val="Footnote Anchor"/>
    <w:rsid w:val="0069436E"/>
    <w:rPr>
      <w:vertAlign w:val="superscript"/>
    </w:rPr>
  </w:style>
  <w:style w:type="paragraph" w:customStyle="1" w:styleId="Footnote">
    <w:name w:val="Footnote"/>
    <w:basedOn w:val="Normal"/>
    <w:rsid w:val="0069436E"/>
    <w:pPr>
      <w:widowControl w:val="0"/>
      <w:suppressLineNumbers/>
      <w:suppressAutoHyphens/>
      <w:spacing w:after="0" w:line="240" w:lineRule="auto"/>
      <w:ind w:left="339" w:hanging="339"/>
    </w:pPr>
    <w:rPr>
      <w:rFonts w:ascii="Liberation Serif" w:eastAsia="Droid Sans Fallback" w:hAnsi="Liberation Serif" w:cs="FreeSans"/>
      <w:color w:val="00000A"/>
      <w:sz w:val="20"/>
      <w:szCs w:val="20"/>
      <w:lang w:val="fr-FR" w:eastAsia="zh-CN" w:bidi="hi-IN"/>
    </w:rPr>
  </w:style>
  <w:style w:type="character" w:customStyle="1" w:styleId="trial-subsheading-article-title">
    <w:name w:val="trial-subs__heading-article-title"/>
    <w:basedOn w:val="Policepardfaut"/>
    <w:rsid w:val="001725F3"/>
  </w:style>
  <w:style w:type="paragraph" w:styleId="Objetducommentaire">
    <w:name w:val="annotation subject"/>
    <w:basedOn w:val="Commentaire"/>
    <w:next w:val="Commentaire"/>
    <w:link w:val="ObjetducommentaireCar"/>
    <w:uiPriority w:val="99"/>
    <w:semiHidden/>
    <w:unhideWhenUsed/>
    <w:rsid w:val="00BD0DA3"/>
    <w:rPr>
      <w:b/>
      <w:bCs/>
    </w:rPr>
  </w:style>
  <w:style w:type="character" w:customStyle="1" w:styleId="ObjetducommentaireCar">
    <w:name w:val="Objet du commentaire Car"/>
    <w:basedOn w:val="CommentaireCar"/>
    <w:link w:val="Objetducommentaire"/>
    <w:uiPriority w:val="99"/>
    <w:semiHidden/>
    <w:rsid w:val="00BD0DA3"/>
    <w:rPr>
      <w:b/>
      <w:bCs/>
      <w:sz w:val="20"/>
      <w:szCs w:val="20"/>
    </w:rPr>
  </w:style>
  <w:style w:type="character" w:customStyle="1" w:styleId="highlight">
    <w:name w:val="highlight"/>
    <w:basedOn w:val="Policepardfaut"/>
    <w:rsid w:val="003C57ED"/>
  </w:style>
  <w:style w:type="character" w:styleId="Textedelespacerserv">
    <w:name w:val="Placeholder Text"/>
    <w:basedOn w:val="Policepardfaut"/>
    <w:uiPriority w:val="99"/>
    <w:semiHidden/>
    <w:rsid w:val="00D729C5"/>
    <w:rPr>
      <w:color w:val="808080"/>
    </w:rPr>
  </w:style>
  <w:style w:type="character" w:styleId="Numrodepage">
    <w:name w:val="page number"/>
    <w:basedOn w:val="Policepardfaut"/>
    <w:uiPriority w:val="99"/>
    <w:semiHidden/>
    <w:unhideWhenUsed/>
    <w:rsid w:val="00A034EF"/>
  </w:style>
  <w:style w:type="paragraph" w:styleId="NormalWeb">
    <w:name w:val="Normal (Web)"/>
    <w:basedOn w:val="Normal"/>
    <w:uiPriority w:val="99"/>
    <w:semiHidden/>
    <w:unhideWhenUsed/>
    <w:rsid w:val="0028105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tedefin">
    <w:name w:val="endnote text"/>
    <w:basedOn w:val="Normal"/>
    <w:link w:val="NotedefinCar"/>
    <w:uiPriority w:val="99"/>
    <w:semiHidden/>
    <w:unhideWhenUsed/>
    <w:rsid w:val="00997282"/>
    <w:pPr>
      <w:spacing w:after="0" w:line="240" w:lineRule="auto"/>
    </w:pPr>
    <w:rPr>
      <w:sz w:val="20"/>
      <w:szCs w:val="20"/>
    </w:rPr>
  </w:style>
  <w:style w:type="character" w:customStyle="1" w:styleId="NotedefinCar">
    <w:name w:val="Note de fin Car"/>
    <w:basedOn w:val="Policepardfaut"/>
    <w:link w:val="Notedefin"/>
    <w:uiPriority w:val="99"/>
    <w:semiHidden/>
    <w:rsid w:val="00997282"/>
    <w:rPr>
      <w:sz w:val="20"/>
      <w:szCs w:val="20"/>
    </w:rPr>
  </w:style>
  <w:style w:type="character" w:styleId="Appeldenotedefin">
    <w:name w:val="endnote reference"/>
    <w:basedOn w:val="Policepardfaut"/>
    <w:uiPriority w:val="99"/>
    <w:semiHidden/>
    <w:unhideWhenUsed/>
    <w:rsid w:val="009972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13682">
      <w:bodyDiv w:val="1"/>
      <w:marLeft w:val="0"/>
      <w:marRight w:val="0"/>
      <w:marTop w:val="0"/>
      <w:marBottom w:val="0"/>
      <w:divBdr>
        <w:top w:val="none" w:sz="0" w:space="0" w:color="auto"/>
        <w:left w:val="none" w:sz="0" w:space="0" w:color="auto"/>
        <w:bottom w:val="none" w:sz="0" w:space="0" w:color="auto"/>
        <w:right w:val="none" w:sz="0" w:space="0" w:color="auto"/>
      </w:divBdr>
      <w:divsChild>
        <w:div w:id="74983573">
          <w:marLeft w:val="360"/>
          <w:marRight w:val="0"/>
          <w:marTop w:val="200"/>
          <w:marBottom w:val="0"/>
          <w:divBdr>
            <w:top w:val="none" w:sz="0" w:space="0" w:color="auto"/>
            <w:left w:val="none" w:sz="0" w:space="0" w:color="auto"/>
            <w:bottom w:val="none" w:sz="0" w:space="0" w:color="auto"/>
            <w:right w:val="none" w:sz="0" w:space="0" w:color="auto"/>
          </w:divBdr>
        </w:div>
      </w:divsChild>
    </w:div>
    <w:div w:id="75053898">
      <w:bodyDiv w:val="1"/>
      <w:marLeft w:val="0"/>
      <w:marRight w:val="0"/>
      <w:marTop w:val="0"/>
      <w:marBottom w:val="0"/>
      <w:divBdr>
        <w:top w:val="none" w:sz="0" w:space="0" w:color="auto"/>
        <w:left w:val="none" w:sz="0" w:space="0" w:color="auto"/>
        <w:bottom w:val="none" w:sz="0" w:space="0" w:color="auto"/>
        <w:right w:val="none" w:sz="0" w:space="0" w:color="auto"/>
      </w:divBdr>
      <w:divsChild>
        <w:div w:id="1834030352">
          <w:marLeft w:val="0"/>
          <w:marRight w:val="0"/>
          <w:marTop w:val="0"/>
          <w:marBottom w:val="0"/>
          <w:divBdr>
            <w:top w:val="none" w:sz="0" w:space="0" w:color="auto"/>
            <w:left w:val="none" w:sz="0" w:space="0" w:color="auto"/>
            <w:bottom w:val="none" w:sz="0" w:space="0" w:color="auto"/>
            <w:right w:val="none" w:sz="0" w:space="0" w:color="auto"/>
          </w:divBdr>
        </w:div>
      </w:divsChild>
    </w:div>
    <w:div w:id="79758237">
      <w:bodyDiv w:val="1"/>
      <w:marLeft w:val="0"/>
      <w:marRight w:val="0"/>
      <w:marTop w:val="0"/>
      <w:marBottom w:val="0"/>
      <w:divBdr>
        <w:top w:val="none" w:sz="0" w:space="0" w:color="auto"/>
        <w:left w:val="none" w:sz="0" w:space="0" w:color="auto"/>
        <w:bottom w:val="none" w:sz="0" w:space="0" w:color="auto"/>
        <w:right w:val="none" w:sz="0" w:space="0" w:color="auto"/>
      </w:divBdr>
    </w:div>
    <w:div w:id="85273246">
      <w:bodyDiv w:val="1"/>
      <w:marLeft w:val="0"/>
      <w:marRight w:val="0"/>
      <w:marTop w:val="0"/>
      <w:marBottom w:val="0"/>
      <w:divBdr>
        <w:top w:val="none" w:sz="0" w:space="0" w:color="auto"/>
        <w:left w:val="none" w:sz="0" w:space="0" w:color="auto"/>
        <w:bottom w:val="none" w:sz="0" w:space="0" w:color="auto"/>
        <w:right w:val="none" w:sz="0" w:space="0" w:color="auto"/>
      </w:divBdr>
      <w:divsChild>
        <w:div w:id="1500849985">
          <w:marLeft w:val="0"/>
          <w:marRight w:val="0"/>
          <w:marTop w:val="0"/>
          <w:marBottom w:val="0"/>
          <w:divBdr>
            <w:top w:val="none" w:sz="0" w:space="0" w:color="auto"/>
            <w:left w:val="none" w:sz="0" w:space="0" w:color="auto"/>
            <w:bottom w:val="none" w:sz="0" w:space="0" w:color="auto"/>
            <w:right w:val="none" w:sz="0" w:space="0" w:color="auto"/>
          </w:divBdr>
        </w:div>
      </w:divsChild>
    </w:div>
    <w:div w:id="86342120">
      <w:bodyDiv w:val="1"/>
      <w:marLeft w:val="0"/>
      <w:marRight w:val="0"/>
      <w:marTop w:val="0"/>
      <w:marBottom w:val="0"/>
      <w:divBdr>
        <w:top w:val="none" w:sz="0" w:space="0" w:color="auto"/>
        <w:left w:val="none" w:sz="0" w:space="0" w:color="auto"/>
        <w:bottom w:val="none" w:sz="0" w:space="0" w:color="auto"/>
        <w:right w:val="none" w:sz="0" w:space="0" w:color="auto"/>
      </w:divBdr>
      <w:divsChild>
        <w:div w:id="994603663">
          <w:marLeft w:val="0"/>
          <w:marRight w:val="0"/>
          <w:marTop w:val="0"/>
          <w:marBottom w:val="0"/>
          <w:divBdr>
            <w:top w:val="none" w:sz="0" w:space="0" w:color="auto"/>
            <w:left w:val="none" w:sz="0" w:space="0" w:color="auto"/>
            <w:bottom w:val="none" w:sz="0" w:space="0" w:color="auto"/>
            <w:right w:val="none" w:sz="0" w:space="0" w:color="auto"/>
          </w:divBdr>
        </w:div>
      </w:divsChild>
    </w:div>
    <w:div w:id="187374216">
      <w:bodyDiv w:val="1"/>
      <w:marLeft w:val="0"/>
      <w:marRight w:val="0"/>
      <w:marTop w:val="0"/>
      <w:marBottom w:val="0"/>
      <w:divBdr>
        <w:top w:val="none" w:sz="0" w:space="0" w:color="auto"/>
        <w:left w:val="none" w:sz="0" w:space="0" w:color="auto"/>
        <w:bottom w:val="none" w:sz="0" w:space="0" w:color="auto"/>
        <w:right w:val="none" w:sz="0" w:space="0" w:color="auto"/>
      </w:divBdr>
      <w:divsChild>
        <w:div w:id="1849981121">
          <w:marLeft w:val="0"/>
          <w:marRight w:val="0"/>
          <w:marTop w:val="0"/>
          <w:marBottom w:val="0"/>
          <w:divBdr>
            <w:top w:val="none" w:sz="0" w:space="0" w:color="auto"/>
            <w:left w:val="none" w:sz="0" w:space="0" w:color="auto"/>
            <w:bottom w:val="none" w:sz="0" w:space="0" w:color="auto"/>
            <w:right w:val="none" w:sz="0" w:space="0" w:color="auto"/>
          </w:divBdr>
        </w:div>
        <w:div w:id="1111245724">
          <w:marLeft w:val="0"/>
          <w:marRight w:val="0"/>
          <w:marTop w:val="0"/>
          <w:marBottom w:val="0"/>
          <w:divBdr>
            <w:top w:val="none" w:sz="0" w:space="0" w:color="auto"/>
            <w:left w:val="none" w:sz="0" w:space="0" w:color="auto"/>
            <w:bottom w:val="none" w:sz="0" w:space="0" w:color="auto"/>
            <w:right w:val="none" w:sz="0" w:space="0" w:color="auto"/>
          </w:divBdr>
        </w:div>
        <w:div w:id="1505820798">
          <w:marLeft w:val="0"/>
          <w:marRight w:val="0"/>
          <w:marTop w:val="0"/>
          <w:marBottom w:val="0"/>
          <w:divBdr>
            <w:top w:val="none" w:sz="0" w:space="0" w:color="auto"/>
            <w:left w:val="none" w:sz="0" w:space="0" w:color="auto"/>
            <w:bottom w:val="none" w:sz="0" w:space="0" w:color="auto"/>
            <w:right w:val="none" w:sz="0" w:space="0" w:color="auto"/>
          </w:divBdr>
        </w:div>
        <w:div w:id="1490443620">
          <w:marLeft w:val="0"/>
          <w:marRight w:val="0"/>
          <w:marTop w:val="0"/>
          <w:marBottom w:val="0"/>
          <w:divBdr>
            <w:top w:val="none" w:sz="0" w:space="0" w:color="auto"/>
            <w:left w:val="none" w:sz="0" w:space="0" w:color="auto"/>
            <w:bottom w:val="none" w:sz="0" w:space="0" w:color="auto"/>
            <w:right w:val="none" w:sz="0" w:space="0" w:color="auto"/>
          </w:divBdr>
        </w:div>
        <w:div w:id="1801218197">
          <w:marLeft w:val="0"/>
          <w:marRight w:val="0"/>
          <w:marTop w:val="0"/>
          <w:marBottom w:val="0"/>
          <w:divBdr>
            <w:top w:val="none" w:sz="0" w:space="0" w:color="auto"/>
            <w:left w:val="none" w:sz="0" w:space="0" w:color="auto"/>
            <w:bottom w:val="none" w:sz="0" w:space="0" w:color="auto"/>
            <w:right w:val="none" w:sz="0" w:space="0" w:color="auto"/>
          </w:divBdr>
        </w:div>
        <w:div w:id="1196307798">
          <w:marLeft w:val="0"/>
          <w:marRight w:val="0"/>
          <w:marTop w:val="0"/>
          <w:marBottom w:val="0"/>
          <w:divBdr>
            <w:top w:val="none" w:sz="0" w:space="0" w:color="auto"/>
            <w:left w:val="none" w:sz="0" w:space="0" w:color="auto"/>
            <w:bottom w:val="none" w:sz="0" w:space="0" w:color="auto"/>
            <w:right w:val="none" w:sz="0" w:space="0" w:color="auto"/>
          </w:divBdr>
        </w:div>
        <w:div w:id="1262488016">
          <w:marLeft w:val="0"/>
          <w:marRight w:val="0"/>
          <w:marTop w:val="0"/>
          <w:marBottom w:val="0"/>
          <w:divBdr>
            <w:top w:val="none" w:sz="0" w:space="0" w:color="auto"/>
            <w:left w:val="none" w:sz="0" w:space="0" w:color="auto"/>
            <w:bottom w:val="none" w:sz="0" w:space="0" w:color="auto"/>
            <w:right w:val="none" w:sz="0" w:space="0" w:color="auto"/>
          </w:divBdr>
        </w:div>
      </w:divsChild>
    </w:div>
    <w:div w:id="198857466">
      <w:bodyDiv w:val="1"/>
      <w:marLeft w:val="0"/>
      <w:marRight w:val="0"/>
      <w:marTop w:val="0"/>
      <w:marBottom w:val="0"/>
      <w:divBdr>
        <w:top w:val="none" w:sz="0" w:space="0" w:color="auto"/>
        <w:left w:val="none" w:sz="0" w:space="0" w:color="auto"/>
        <w:bottom w:val="none" w:sz="0" w:space="0" w:color="auto"/>
        <w:right w:val="none" w:sz="0" w:space="0" w:color="auto"/>
      </w:divBdr>
      <w:divsChild>
        <w:div w:id="1119688423">
          <w:marLeft w:val="0"/>
          <w:marRight w:val="0"/>
          <w:marTop w:val="0"/>
          <w:marBottom w:val="0"/>
          <w:divBdr>
            <w:top w:val="none" w:sz="0" w:space="0" w:color="auto"/>
            <w:left w:val="none" w:sz="0" w:space="0" w:color="auto"/>
            <w:bottom w:val="none" w:sz="0" w:space="0" w:color="auto"/>
            <w:right w:val="none" w:sz="0" w:space="0" w:color="auto"/>
          </w:divBdr>
        </w:div>
        <w:div w:id="610748328">
          <w:marLeft w:val="0"/>
          <w:marRight w:val="0"/>
          <w:marTop w:val="0"/>
          <w:marBottom w:val="0"/>
          <w:divBdr>
            <w:top w:val="none" w:sz="0" w:space="0" w:color="auto"/>
            <w:left w:val="none" w:sz="0" w:space="0" w:color="auto"/>
            <w:bottom w:val="none" w:sz="0" w:space="0" w:color="auto"/>
            <w:right w:val="none" w:sz="0" w:space="0" w:color="auto"/>
          </w:divBdr>
        </w:div>
        <w:div w:id="265776152">
          <w:marLeft w:val="0"/>
          <w:marRight w:val="0"/>
          <w:marTop w:val="0"/>
          <w:marBottom w:val="0"/>
          <w:divBdr>
            <w:top w:val="none" w:sz="0" w:space="0" w:color="auto"/>
            <w:left w:val="none" w:sz="0" w:space="0" w:color="auto"/>
            <w:bottom w:val="none" w:sz="0" w:space="0" w:color="auto"/>
            <w:right w:val="none" w:sz="0" w:space="0" w:color="auto"/>
          </w:divBdr>
        </w:div>
      </w:divsChild>
    </w:div>
    <w:div w:id="241373015">
      <w:bodyDiv w:val="1"/>
      <w:marLeft w:val="0"/>
      <w:marRight w:val="0"/>
      <w:marTop w:val="0"/>
      <w:marBottom w:val="0"/>
      <w:divBdr>
        <w:top w:val="none" w:sz="0" w:space="0" w:color="auto"/>
        <w:left w:val="none" w:sz="0" w:space="0" w:color="auto"/>
        <w:bottom w:val="none" w:sz="0" w:space="0" w:color="auto"/>
        <w:right w:val="none" w:sz="0" w:space="0" w:color="auto"/>
      </w:divBdr>
    </w:div>
    <w:div w:id="267086816">
      <w:bodyDiv w:val="1"/>
      <w:marLeft w:val="0"/>
      <w:marRight w:val="0"/>
      <w:marTop w:val="0"/>
      <w:marBottom w:val="0"/>
      <w:divBdr>
        <w:top w:val="none" w:sz="0" w:space="0" w:color="auto"/>
        <w:left w:val="none" w:sz="0" w:space="0" w:color="auto"/>
        <w:bottom w:val="none" w:sz="0" w:space="0" w:color="auto"/>
        <w:right w:val="none" w:sz="0" w:space="0" w:color="auto"/>
      </w:divBdr>
      <w:divsChild>
        <w:div w:id="1935284116">
          <w:marLeft w:val="0"/>
          <w:marRight w:val="0"/>
          <w:marTop w:val="0"/>
          <w:marBottom w:val="0"/>
          <w:divBdr>
            <w:top w:val="none" w:sz="0" w:space="0" w:color="auto"/>
            <w:left w:val="none" w:sz="0" w:space="0" w:color="auto"/>
            <w:bottom w:val="none" w:sz="0" w:space="0" w:color="auto"/>
            <w:right w:val="none" w:sz="0" w:space="0" w:color="auto"/>
          </w:divBdr>
        </w:div>
      </w:divsChild>
    </w:div>
    <w:div w:id="322392517">
      <w:bodyDiv w:val="1"/>
      <w:marLeft w:val="0"/>
      <w:marRight w:val="0"/>
      <w:marTop w:val="0"/>
      <w:marBottom w:val="0"/>
      <w:divBdr>
        <w:top w:val="none" w:sz="0" w:space="0" w:color="auto"/>
        <w:left w:val="none" w:sz="0" w:space="0" w:color="auto"/>
        <w:bottom w:val="none" w:sz="0" w:space="0" w:color="auto"/>
        <w:right w:val="none" w:sz="0" w:space="0" w:color="auto"/>
      </w:divBdr>
      <w:divsChild>
        <w:div w:id="1087531366">
          <w:marLeft w:val="0"/>
          <w:marRight w:val="0"/>
          <w:marTop w:val="0"/>
          <w:marBottom w:val="0"/>
          <w:divBdr>
            <w:top w:val="none" w:sz="0" w:space="0" w:color="auto"/>
            <w:left w:val="none" w:sz="0" w:space="0" w:color="auto"/>
            <w:bottom w:val="none" w:sz="0" w:space="0" w:color="auto"/>
            <w:right w:val="none" w:sz="0" w:space="0" w:color="auto"/>
          </w:divBdr>
        </w:div>
      </w:divsChild>
    </w:div>
    <w:div w:id="329259896">
      <w:bodyDiv w:val="1"/>
      <w:marLeft w:val="0"/>
      <w:marRight w:val="0"/>
      <w:marTop w:val="0"/>
      <w:marBottom w:val="0"/>
      <w:divBdr>
        <w:top w:val="none" w:sz="0" w:space="0" w:color="auto"/>
        <w:left w:val="none" w:sz="0" w:space="0" w:color="auto"/>
        <w:bottom w:val="none" w:sz="0" w:space="0" w:color="auto"/>
        <w:right w:val="none" w:sz="0" w:space="0" w:color="auto"/>
      </w:divBdr>
      <w:divsChild>
        <w:div w:id="442768209">
          <w:marLeft w:val="0"/>
          <w:marRight w:val="0"/>
          <w:marTop w:val="0"/>
          <w:marBottom w:val="0"/>
          <w:divBdr>
            <w:top w:val="none" w:sz="0" w:space="0" w:color="auto"/>
            <w:left w:val="none" w:sz="0" w:space="0" w:color="auto"/>
            <w:bottom w:val="none" w:sz="0" w:space="0" w:color="auto"/>
            <w:right w:val="none" w:sz="0" w:space="0" w:color="auto"/>
          </w:divBdr>
        </w:div>
      </w:divsChild>
    </w:div>
    <w:div w:id="358431740">
      <w:bodyDiv w:val="1"/>
      <w:marLeft w:val="0"/>
      <w:marRight w:val="0"/>
      <w:marTop w:val="0"/>
      <w:marBottom w:val="0"/>
      <w:divBdr>
        <w:top w:val="none" w:sz="0" w:space="0" w:color="auto"/>
        <w:left w:val="none" w:sz="0" w:space="0" w:color="auto"/>
        <w:bottom w:val="none" w:sz="0" w:space="0" w:color="auto"/>
        <w:right w:val="none" w:sz="0" w:space="0" w:color="auto"/>
      </w:divBdr>
      <w:divsChild>
        <w:div w:id="396174045">
          <w:marLeft w:val="0"/>
          <w:marRight w:val="0"/>
          <w:marTop w:val="0"/>
          <w:marBottom w:val="0"/>
          <w:divBdr>
            <w:top w:val="none" w:sz="0" w:space="0" w:color="auto"/>
            <w:left w:val="none" w:sz="0" w:space="0" w:color="auto"/>
            <w:bottom w:val="none" w:sz="0" w:space="0" w:color="auto"/>
            <w:right w:val="none" w:sz="0" w:space="0" w:color="auto"/>
          </w:divBdr>
        </w:div>
      </w:divsChild>
    </w:div>
    <w:div w:id="389888891">
      <w:bodyDiv w:val="1"/>
      <w:marLeft w:val="0"/>
      <w:marRight w:val="0"/>
      <w:marTop w:val="0"/>
      <w:marBottom w:val="0"/>
      <w:divBdr>
        <w:top w:val="none" w:sz="0" w:space="0" w:color="auto"/>
        <w:left w:val="none" w:sz="0" w:space="0" w:color="auto"/>
        <w:bottom w:val="none" w:sz="0" w:space="0" w:color="auto"/>
        <w:right w:val="none" w:sz="0" w:space="0" w:color="auto"/>
      </w:divBdr>
      <w:divsChild>
        <w:div w:id="2075734167">
          <w:marLeft w:val="0"/>
          <w:marRight w:val="0"/>
          <w:marTop w:val="0"/>
          <w:marBottom w:val="0"/>
          <w:divBdr>
            <w:top w:val="none" w:sz="0" w:space="0" w:color="auto"/>
            <w:left w:val="none" w:sz="0" w:space="0" w:color="auto"/>
            <w:bottom w:val="none" w:sz="0" w:space="0" w:color="auto"/>
            <w:right w:val="none" w:sz="0" w:space="0" w:color="auto"/>
          </w:divBdr>
        </w:div>
      </w:divsChild>
    </w:div>
    <w:div w:id="442307924">
      <w:bodyDiv w:val="1"/>
      <w:marLeft w:val="0"/>
      <w:marRight w:val="0"/>
      <w:marTop w:val="0"/>
      <w:marBottom w:val="0"/>
      <w:divBdr>
        <w:top w:val="none" w:sz="0" w:space="0" w:color="auto"/>
        <w:left w:val="none" w:sz="0" w:space="0" w:color="auto"/>
        <w:bottom w:val="none" w:sz="0" w:space="0" w:color="auto"/>
        <w:right w:val="none" w:sz="0" w:space="0" w:color="auto"/>
      </w:divBdr>
      <w:divsChild>
        <w:div w:id="1446193293">
          <w:marLeft w:val="0"/>
          <w:marRight w:val="0"/>
          <w:marTop w:val="0"/>
          <w:marBottom w:val="0"/>
          <w:divBdr>
            <w:top w:val="none" w:sz="0" w:space="0" w:color="auto"/>
            <w:left w:val="none" w:sz="0" w:space="0" w:color="auto"/>
            <w:bottom w:val="none" w:sz="0" w:space="0" w:color="auto"/>
            <w:right w:val="none" w:sz="0" w:space="0" w:color="auto"/>
          </w:divBdr>
        </w:div>
      </w:divsChild>
    </w:div>
    <w:div w:id="452595839">
      <w:bodyDiv w:val="1"/>
      <w:marLeft w:val="0"/>
      <w:marRight w:val="0"/>
      <w:marTop w:val="0"/>
      <w:marBottom w:val="0"/>
      <w:divBdr>
        <w:top w:val="none" w:sz="0" w:space="0" w:color="auto"/>
        <w:left w:val="none" w:sz="0" w:space="0" w:color="auto"/>
        <w:bottom w:val="none" w:sz="0" w:space="0" w:color="auto"/>
        <w:right w:val="none" w:sz="0" w:space="0" w:color="auto"/>
      </w:divBdr>
    </w:div>
    <w:div w:id="460194365">
      <w:bodyDiv w:val="1"/>
      <w:marLeft w:val="0"/>
      <w:marRight w:val="0"/>
      <w:marTop w:val="0"/>
      <w:marBottom w:val="0"/>
      <w:divBdr>
        <w:top w:val="none" w:sz="0" w:space="0" w:color="auto"/>
        <w:left w:val="none" w:sz="0" w:space="0" w:color="auto"/>
        <w:bottom w:val="none" w:sz="0" w:space="0" w:color="auto"/>
        <w:right w:val="none" w:sz="0" w:space="0" w:color="auto"/>
      </w:divBdr>
      <w:divsChild>
        <w:div w:id="1069883852">
          <w:marLeft w:val="480"/>
          <w:marRight w:val="0"/>
          <w:marTop w:val="0"/>
          <w:marBottom w:val="0"/>
          <w:divBdr>
            <w:top w:val="none" w:sz="0" w:space="0" w:color="auto"/>
            <w:left w:val="none" w:sz="0" w:space="0" w:color="auto"/>
            <w:bottom w:val="none" w:sz="0" w:space="0" w:color="auto"/>
            <w:right w:val="none" w:sz="0" w:space="0" w:color="auto"/>
          </w:divBdr>
          <w:divsChild>
            <w:div w:id="2056731125">
              <w:marLeft w:val="0"/>
              <w:marRight w:val="0"/>
              <w:marTop w:val="0"/>
              <w:marBottom w:val="0"/>
              <w:divBdr>
                <w:top w:val="none" w:sz="0" w:space="0" w:color="auto"/>
                <w:left w:val="none" w:sz="0" w:space="0" w:color="auto"/>
                <w:bottom w:val="none" w:sz="0" w:space="0" w:color="auto"/>
                <w:right w:val="none" w:sz="0" w:space="0" w:color="auto"/>
              </w:divBdr>
            </w:div>
            <w:div w:id="1947884246">
              <w:marLeft w:val="0"/>
              <w:marRight w:val="0"/>
              <w:marTop w:val="0"/>
              <w:marBottom w:val="0"/>
              <w:divBdr>
                <w:top w:val="none" w:sz="0" w:space="0" w:color="auto"/>
                <w:left w:val="none" w:sz="0" w:space="0" w:color="auto"/>
                <w:bottom w:val="none" w:sz="0" w:space="0" w:color="auto"/>
                <w:right w:val="none" w:sz="0" w:space="0" w:color="auto"/>
              </w:divBdr>
            </w:div>
            <w:div w:id="1717312459">
              <w:marLeft w:val="0"/>
              <w:marRight w:val="0"/>
              <w:marTop w:val="0"/>
              <w:marBottom w:val="0"/>
              <w:divBdr>
                <w:top w:val="none" w:sz="0" w:space="0" w:color="auto"/>
                <w:left w:val="none" w:sz="0" w:space="0" w:color="auto"/>
                <w:bottom w:val="none" w:sz="0" w:space="0" w:color="auto"/>
                <w:right w:val="none" w:sz="0" w:space="0" w:color="auto"/>
              </w:divBdr>
            </w:div>
            <w:div w:id="1118187442">
              <w:marLeft w:val="0"/>
              <w:marRight w:val="0"/>
              <w:marTop w:val="0"/>
              <w:marBottom w:val="0"/>
              <w:divBdr>
                <w:top w:val="none" w:sz="0" w:space="0" w:color="auto"/>
                <w:left w:val="none" w:sz="0" w:space="0" w:color="auto"/>
                <w:bottom w:val="none" w:sz="0" w:space="0" w:color="auto"/>
                <w:right w:val="none" w:sz="0" w:space="0" w:color="auto"/>
              </w:divBdr>
            </w:div>
            <w:div w:id="1243370850">
              <w:marLeft w:val="0"/>
              <w:marRight w:val="0"/>
              <w:marTop w:val="0"/>
              <w:marBottom w:val="0"/>
              <w:divBdr>
                <w:top w:val="none" w:sz="0" w:space="0" w:color="auto"/>
                <w:left w:val="none" w:sz="0" w:space="0" w:color="auto"/>
                <w:bottom w:val="none" w:sz="0" w:space="0" w:color="auto"/>
                <w:right w:val="none" w:sz="0" w:space="0" w:color="auto"/>
              </w:divBdr>
            </w:div>
            <w:div w:id="1119765945">
              <w:marLeft w:val="0"/>
              <w:marRight w:val="0"/>
              <w:marTop w:val="0"/>
              <w:marBottom w:val="0"/>
              <w:divBdr>
                <w:top w:val="none" w:sz="0" w:space="0" w:color="auto"/>
                <w:left w:val="none" w:sz="0" w:space="0" w:color="auto"/>
                <w:bottom w:val="none" w:sz="0" w:space="0" w:color="auto"/>
                <w:right w:val="none" w:sz="0" w:space="0" w:color="auto"/>
              </w:divBdr>
            </w:div>
            <w:div w:id="1699350439">
              <w:marLeft w:val="0"/>
              <w:marRight w:val="0"/>
              <w:marTop w:val="0"/>
              <w:marBottom w:val="0"/>
              <w:divBdr>
                <w:top w:val="none" w:sz="0" w:space="0" w:color="auto"/>
                <w:left w:val="none" w:sz="0" w:space="0" w:color="auto"/>
                <w:bottom w:val="none" w:sz="0" w:space="0" w:color="auto"/>
                <w:right w:val="none" w:sz="0" w:space="0" w:color="auto"/>
              </w:divBdr>
            </w:div>
            <w:div w:id="205141327">
              <w:marLeft w:val="0"/>
              <w:marRight w:val="0"/>
              <w:marTop w:val="0"/>
              <w:marBottom w:val="0"/>
              <w:divBdr>
                <w:top w:val="none" w:sz="0" w:space="0" w:color="auto"/>
                <w:left w:val="none" w:sz="0" w:space="0" w:color="auto"/>
                <w:bottom w:val="none" w:sz="0" w:space="0" w:color="auto"/>
                <w:right w:val="none" w:sz="0" w:space="0" w:color="auto"/>
              </w:divBdr>
            </w:div>
            <w:div w:id="593128033">
              <w:marLeft w:val="0"/>
              <w:marRight w:val="0"/>
              <w:marTop w:val="0"/>
              <w:marBottom w:val="0"/>
              <w:divBdr>
                <w:top w:val="none" w:sz="0" w:space="0" w:color="auto"/>
                <w:left w:val="none" w:sz="0" w:space="0" w:color="auto"/>
                <w:bottom w:val="none" w:sz="0" w:space="0" w:color="auto"/>
                <w:right w:val="none" w:sz="0" w:space="0" w:color="auto"/>
              </w:divBdr>
            </w:div>
            <w:div w:id="1120607776">
              <w:marLeft w:val="0"/>
              <w:marRight w:val="0"/>
              <w:marTop w:val="0"/>
              <w:marBottom w:val="0"/>
              <w:divBdr>
                <w:top w:val="none" w:sz="0" w:space="0" w:color="auto"/>
                <w:left w:val="none" w:sz="0" w:space="0" w:color="auto"/>
                <w:bottom w:val="none" w:sz="0" w:space="0" w:color="auto"/>
                <w:right w:val="none" w:sz="0" w:space="0" w:color="auto"/>
              </w:divBdr>
            </w:div>
            <w:div w:id="1257784708">
              <w:marLeft w:val="0"/>
              <w:marRight w:val="0"/>
              <w:marTop w:val="0"/>
              <w:marBottom w:val="0"/>
              <w:divBdr>
                <w:top w:val="none" w:sz="0" w:space="0" w:color="auto"/>
                <w:left w:val="none" w:sz="0" w:space="0" w:color="auto"/>
                <w:bottom w:val="none" w:sz="0" w:space="0" w:color="auto"/>
                <w:right w:val="none" w:sz="0" w:space="0" w:color="auto"/>
              </w:divBdr>
            </w:div>
            <w:div w:id="124590192">
              <w:marLeft w:val="0"/>
              <w:marRight w:val="0"/>
              <w:marTop w:val="0"/>
              <w:marBottom w:val="0"/>
              <w:divBdr>
                <w:top w:val="none" w:sz="0" w:space="0" w:color="auto"/>
                <w:left w:val="none" w:sz="0" w:space="0" w:color="auto"/>
                <w:bottom w:val="none" w:sz="0" w:space="0" w:color="auto"/>
                <w:right w:val="none" w:sz="0" w:space="0" w:color="auto"/>
              </w:divBdr>
            </w:div>
            <w:div w:id="91436895">
              <w:marLeft w:val="0"/>
              <w:marRight w:val="0"/>
              <w:marTop w:val="0"/>
              <w:marBottom w:val="0"/>
              <w:divBdr>
                <w:top w:val="none" w:sz="0" w:space="0" w:color="auto"/>
                <w:left w:val="none" w:sz="0" w:space="0" w:color="auto"/>
                <w:bottom w:val="none" w:sz="0" w:space="0" w:color="auto"/>
                <w:right w:val="none" w:sz="0" w:space="0" w:color="auto"/>
              </w:divBdr>
            </w:div>
            <w:div w:id="1348365169">
              <w:marLeft w:val="0"/>
              <w:marRight w:val="0"/>
              <w:marTop w:val="0"/>
              <w:marBottom w:val="0"/>
              <w:divBdr>
                <w:top w:val="none" w:sz="0" w:space="0" w:color="auto"/>
                <w:left w:val="none" w:sz="0" w:space="0" w:color="auto"/>
                <w:bottom w:val="none" w:sz="0" w:space="0" w:color="auto"/>
                <w:right w:val="none" w:sz="0" w:space="0" w:color="auto"/>
              </w:divBdr>
            </w:div>
            <w:div w:id="1745032299">
              <w:marLeft w:val="0"/>
              <w:marRight w:val="0"/>
              <w:marTop w:val="0"/>
              <w:marBottom w:val="0"/>
              <w:divBdr>
                <w:top w:val="none" w:sz="0" w:space="0" w:color="auto"/>
                <w:left w:val="none" w:sz="0" w:space="0" w:color="auto"/>
                <w:bottom w:val="none" w:sz="0" w:space="0" w:color="auto"/>
                <w:right w:val="none" w:sz="0" w:space="0" w:color="auto"/>
              </w:divBdr>
            </w:div>
            <w:div w:id="1334213715">
              <w:marLeft w:val="0"/>
              <w:marRight w:val="0"/>
              <w:marTop w:val="0"/>
              <w:marBottom w:val="0"/>
              <w:divBdr>
                <w:top w:val="none" w:sz="0" w:space="0" w:color="auto"/>
                <w:left w:val="none" w:sz="0" w:space="0" w:color="auto"/>
                <w:bottom w:val="none" w:sz="0" w:space="0" w:color="auto"/>
                <w:right w:val="none" w:sz="0" w:space="0" w:color="auto"/>
              </w:divBdr>
            </w:div>
            <w:div w:id="487792284">
              <w:marLeft w:val="0"/>
              <w:marRight w:val="0"/>
              <w:marTop w:val="0"/>
              <w:marBottom w:val="0"/>
              <w:divBdr>
                <w:top w:val="none" w:sz="0" w:space="0" w:color="auto"/>
                <w:left w:val="none" w:sz="0" w:space="0" w:color="auto"/>
                <w:bottom w:val="none" w:sz="0" w:space="0" w:color="auto"/>
                <w:right w:val="none" w:sz="0" w:space="0" w:color="auto"/>
              </w:divBdr>
            </w:div>
            <w:div w:id="1512522510">
              <w:marLeft w:val="0"/>
              <w:marRight w:val="0"/>
              <w:marTop w:val="0"/>
              <w:marBottom w:val="0"/>
              <w:divBdr>
                <w:top w:val="none" w:sz="0" w:space="0" w:color="auto"/>
                <w:left w:val="none" w:sz="0" w:space="0" w:color="auto"/>
                <w:bottom w:val="none" w:sz="0" w:space="0" w:color="auto"/>
                <w:right w:val="none" w:sz="0" w:space="0" w:color="auto"/>
              </w:divBdr>
            </w:div>
            <w:div w:id="106046268">
              <w:marLeft w:val="0"/>
              <w:marRight w:val="0"/>
              <w:marTop w:val="0"/>
              <w:marBottom w:val="0"/>
              <w:divBdr>
                <w:top w:val="none" w:sz="0" w:space="0" w:color="auto"/>
                <w:left w:val="none" w:sz="0" w:space="0" w:color="auto"/>
                <w:bottom w:val="none" w:sz="0" w:space="0" w:color="auto"/>
                <w:right w:val="none" w:sz="0" w:space="0" w:color="auto"/>
              </w:divBdr>
            </w:div>
            <w:div w:id="955065074">
              <w:marLeft w:val="0"/>
              <w:marRight w:val="0"/>
              <w:marTop w:val="0"/>
              <w:marBottom w:val="0"/>
              <w:divBdr>
                <w:top w:val="none" w:sz="0" w:space="0" w:color="auto"/>
                <w:left w:val="none" w:sz="0" w:space="0" w:color="auto"/>
                <w:bottom w:val="none" w:sz="0" w:space="0" w:color="auto"/>
                <w:right w:val="none" w:sz="0" w:space="0" w:color="auto"/>
              </w:divBdr>
            </w:div>
            <w:div w:id="896402586">
              <w:marLeft w:val="0"/>
              <w:marRight w:val="0"/>
              <w:marTop w:val="0"/>
              <w:marBottom w:val="0"/>
              <w:divBdr>
                <w:top w:val="none" w:sz="0" w:space="0" w:color="auto"/>
                <w:left w:val="none" w:sz="0" w:space="0" w:color="auto"/>
                <w:bottom w:val="none" w:sz="0" w:space="0" w:color="auto"/>
                <w:right w:val="none" w:sz="0" w:space="0" w:color="auto"/>
              </w:divBdr>
            </w:div>
            <w:div w:id="270237577">
              <w:marLeft w:val="0"/>
              <w:marRight w:val="0"/>
              <w:marTop w:val="0"/>
              <w:marBottom w:val="0"/>
              <w:divBdr>
                <w:top w:val="none" w:sz="0" w:space="0" w:color="auto"/>
                <w:left w:val="none" w:sz="0" w:space="0" w:color="auto"/>
                <w:bottom w:val="none" w:sz="0" w:space="0" w:color="auto"/>
                <w:right w:val="none" w:sz="0" w:space="0" w:color="auto"/>
              </w:divBdr>
            </w:div>
            <w:div w:id="1660964858">
              <w:marLeft w:val="0"/>
              <w:marRight w:val="0"/>
              <w:marTop w:val="0"/>
              <w:marBottom w:val="0"/>
              <w:divBdr>
                <w:top w:val="none" w:sz="0" w:space="0" w:color="auto"/>
                <w:left w:val="none" w:sz="0" w:space="0" w:color="auto"/>
                <w:bottom w:val="none" w:sz="0" w:space="0" w:color="auto"/>
                <w:right w:val="none" w:sz="0" w:space="0" w:color="auto"/>
              </w:divBdr>
            </w:div>
            <w:div w:id="1166241640">
              <w:marLeft w:val="0"/>
              <w:marRight w:val="0"/>
              <w:marTop w:val="0"/>
              <w:marBottom w:val="0"/>
              <w:divBdr>
                <w:top w:val="none" w:sz="0" w:space="0" w:color="auto"/>
                <w:left w:val="none" w:sz="0" w:space="0" w:color="auto"/>
                <w:bottom w:val="none" w:sz="0" w:space="0" w:color="auto"/>
                <w:right w:val="none" w:sz="0" w:space="0" w:color="auto"/>
              </w:divBdr>
            </w:div>
            <w:div w:id="164394406">
              <w:marLeft w:val="0"/>
              <w:marRight w:val="0"/>
              <w:marTop w:val="0"/>
              <w:marBottom w:val="0"/>
              <w:divBdr>
                <w:top w:val="none" w:sz="0" w:space="0" w:color="auto"/>
                <w:left w:val="none" w:sz="0" w:space="0" w:color="auto"/>
                <w:bottom w:val="none" w:sz="0" w:space="0" w:color="auto"/>
                <w:right w:val="none" w:sz="0" w:space="0" w:color="auto"/>
              </w:divBdr>
            </w:div>
            <w:div w:id="412513538">
              <w:marLeft w:val="0"/>
              <w:marRight w:val="0"/>
              <w:marTop w:val="0"/>
              <w:marBottom w:val="0"/>
              <w:divBdr>
                <w:top w:val="none" w:sz="0" w:space="0" w:color="auto"/>
                <w:left w:val="none" w:sz="0" w:space="0" w:color="auto"/>
                <w:bottom w:val="none" w:sz="0" w:space="0" w:color="auto"/>
                <w:right w:val="none" w:sz="0" w:space="0" w:color="auto"/>
              </w:divBdr>
            </w:div>
            <w:div w:id="57478830">
              <w:marLeft w:val="0"/>
              <w:marRight w:val="0"/>
              <w:marTop w:val="0"/>
              <w:marBottom w:val="0"/>
              <w:divBdr>
                <w:top w:val="none" w:sz="0" w:space="0" w:color="auto"/>
                <w:left w:val="none" w:sz="0" w:space="0" w:color="auto"/>
                <w:bottom w:val="none" w:sz="0" w:space="0" w:color="auto"/>
                <w:right w:val="none" w:sz="0" w:space="0" w:color="auto"/>
              </w:divBdr>
            </w:div>
            <w:div w:id="940576108">
              <w:marLeft w:val="0"/>
              <w:marRight w:val="0"/>
              <w:marTop w:val="0"/>
              <w:marBottom w:val="0"/>
              <w:divBdr>
                <w:top w:val="none" w:sz="0" w:space="0" w:color="auto"/>
                <w:left w:val="none" w:sz="0" w:space="0" w:color="auto"/>
                <w:bottom w:val="none" w:sz="0" w:space="0" w:color="auto"/>
                <w:right w:val="none" w:sz="0" w:space="0" w:color="auto"/>
              </w:divBdr>
            </w:div>
            <w:div w:id="1659771655">
              <w:marLeft w:val="0"/>
              <w:marRight w:val="0"/>
              <w:marTop w:val="0"/>
              <w:marBottom w:val="0"/>
              <w:divBdr>
                <w:top w:val="none" w:sz="0" w:space="0" w:color="auto"/>
                <w:left w:val="none" w:sz="0" w:space="0" w:color="auto"/>
                <w:bottom w:val="none" w:sz="0" w:space="0" w:color="auto"/>
                <w:right w:val="none" w:sz="0" w:space="0" w:color="auto"/>
              </w:divBdr>
            </w:div>
            <w:div w:id="1815486751">
              <w:marLeft w:val="0"/>
              <w:marRight w:val="0"/>
              <w:marTop w:val="0"/>
              <w:marBottom w:val="0"/>
              <w:divBdr>
                <w:top w:val="none" w:sz="0" w:space="0" w:color="auto"/>
                <w:left w:val="none" w:sz="0" w:space="0" w:color="auto"/>
                <w:bottom w:val="none" w:sz="0" w:space="0" w:color="auto"/>
                <w:right w:val="none" w:sz="0" w:space="0" w:color="auto"/>
              </w:divBdr>
            </w:div>
            <w:div w:id="1133862445">
              <w:marLeft w:val="0"/>
              <w:marRight w:val="0"/>
              <w:marTop w:val="0"/>
              <w:marBottom w:val="0"/>
              <w:divBdr>
                <w:top w:val="none" w:sz="0" w:space="0" w:color="auto"/>
                <w:left w:val="none" w:sz="0" w:space="0" w:color="auto"/>
                <w:bottom w:val="none" w:sz="0" w:space="0" w:color="auto"/>
                <w:right w:val="none" w:sz="0" w:space="0" w:color="auto"/>
              </w:divBdr>
            </w:div>
            <w:div w:id="29032853">
              <w:marLeft w:val="0"/>
              <w:marRight w:val="0"/>
              <w:marTop w:val="0"/>
              <w:marBottom w:val="0"/>
              <w:divBdr>
                <w:top w:val="none" w:sz="0" w:space="0" w:color="auto"/>
                <w:left w:val="none" w:sz="0" w:space="0" w:color="auto"/>
                <w:bottom w:val="none" w:sz="0" w:space="0" w:color="auto"/>
                <w:right w:val="none" w:sz="0" w:space="0" w:color="auto"/>
              </w:divBdr>
            </w:div>
            <w:div w:id="976761877">
              <w:marLeft w:val="0"/>
              <w:marRight w:val="0"/>
              <w:marTop w:val="0"/>
              <w:marBottom w:val="0"/>
              <w:divBdr>
                <w:top w:val="none" w:sz="0" w:space="0" w:color="auto"/>
                <w:left w:val="none" w:sz="0" w:space="0" w:color="auto"/>
                <w:bottom w:val="none" w:sz="0" w:space="0" w:color="auto"/>
                <w:right w:val="none" w:sz="0" w:space="0" w:color="auto"/>
              </w:divBdr>
            </w:div>
            <w:div w:id="305553012">
              <w:marLeft w:val="0"/>
              <w:marRight w:val="0"/>
              <w:marTop w:val="0"/>
              <w:marBottom w:val="0"/>
              <w:divBdr>
                <w:top w:val="none" w:sz="0" w:space="0" w:color="auto"/>
                <w:left w:val="none" w:sz="0" w:space="0" w:color="auto"/>
                <w:bottom w:val="none" w:sz="0" w:space="0" w:color="auto"/>
                <w:right w:val="none" w:sz="0" w:space="0" w:color="auto"/>
              </w:divBdr>
            </w:div>
            <w:div w:id="975646288">
              <w:marLeft w:val="0"/>
              <w:marRight w:val="0"/>
              <w:marTop w:val="0"/>
              <w:marBottom w:val="0"/>
              <w:divBdr>
                <w:top w:val="none" w:sz="0" w:space="0" w:color="auto"/>
                <w:left w:val="none" w:sz="0" w:space="0" w:color="auto"/>
                <w:bottom w:val="none" w:sz="0" w:space="0" w:color="auto"/>
                <w:right w:val="none" w:sz="0" w:space="0" w:color="auto"/>
              </w:divBdr>
            </w:div>
            <w:div w:id="1383558391">
              <w:marLeft w:val="0"/>
              <w:marRight w:val="0"/>
              <w:marTop w:val="0"/>
              <w:marBottom w:val="0"/>
              <w:divBdr>
                <w:top w:val="none" w:sz="0" w:space="0" w:color="auto"/>
                <w:left w:val="none" w:sz="0" w:space="0" w:color="auto"/>
                <w:bottom w:val="none" w:sz="0" w:space="0" w:color="auto"/>
                <w:right w:val="none" w:sz="0" w:space="0" w:color="auto"/>
              </w:divBdr>
            </w:div>
            <w:div w:id="15705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033291">
      <w:bodyDiv w:val="1"/>
      <w:marLeft w:val="0"/>
      <w:marRight w:val="0"/>
      <w:marTop w:val="0"/>
      <w:marBottom w:val="0"/>
      <w:divBdr>
        <w:top w:val="none" w:sz="0" w:space="0" w:color="auto"/>
        <w:left w:val="none" w:sz="0" w:space="0" w:color="auto"/>
        <w:bottom w:val="none" w:sz="0" w:space="0" w:color="auto"/>
        <w:right w:val="none" w:sz="0" w:space="0" w:color="auto"/>
      </w:divBdr>
      <w:divsChild>
        <w:div w:id="1224370297">
          <w:marLeft w:val="0"/>
          <w:marRight w:val="0"/>
          <w:marTop w:val="0"/>
          <w:marBottom w:val="0"/>
          <w:divBdr>
            <w:top w:val="none" w:sz="0" w:space="0" w:color="auto"/>
            <w:left w:val="none" w:sz="0" w:space="0" w:color="auto"/>
            <w:bottom w:val="none" w:sz="0" w:space="0" w:color="auto"/>
            <w:right w:val="none" w:sz="0" w:space="0" w:color="auto"/>
          </w:divBdr>
        </w:div>
        <w:div w:id="53745561">
          <w:marLeft w:val="0"/>
          <w:marRight w:val="0"/>
          <w:marTop w:val="0"/>
          <w:marBottom w:val="0"/>
          <w:divBdr>
            <w:top w:val="none" w:sz="0" w:space="0" w:color="auto"/>
            <w:left w:val="none" w:sz="0" w:space="0" w:color="auto"/>
            <w:bottom w:val="none" w:sz="0" w:space="0" w:color="auto"/>
            <w:right w:val="none" w:sz="0" w:space="0" w:color="auto"/>
          </w:divBdr>
        </w:div>
        <w:div w:id="1718774609">
          <w:marLeft w:val="0"/>
          <w:marRight w:val="0"/>
          <w:marTop w:val="0"/>
          <w:marBottom w:val="0"/>
          <w:divBdr>
            <w:top w:val="none" w:sz="0" w:space="0" w:color="auto"/>
            <w:left w:val="none" w:sz="0" w:space="0" w:color="auto"/>
            <w:bottom w:val="none" w:sz="0" w:space="0" w:color="auto"/>
            <w:right w:val="none" w:sz="0" w:space="0" w:color="auto"/>
          </w:divBdr>
        </w:div>
      </w:divsChild>
    </w:div>
    <w:div w:id="486701602">
      <w:bodyDiv w:val="1"/>
      <w:marLeft w:val="0"/>
      <w:marRight w:val="0"/>
      <w:marTop w:val="0"/>
      <w:marBottom w:val="0"/>
      <w:divBdr>
        <w:top w:val="none" w:sz="0" w:space="0" w:color="auto"/>
        <w:left w:val="none" w:sz="0" w:space="0" w:color="auto"/>
        <w:bottom w:val="none" w:sz="0" w:space="0" w:color="auto"/>
        <w:right w:val="none" w:sz="0" w:space="0" w:color="auto"/>
      </w:divBdr>
      <w:divsChild>
        <w:div w:id="834347415">
          <w:marLeft w:val="0"/>
          <w:marRight w:val="0"/>
          <w:marTop w:val="0"/>
          <w:marBottom w:val="0"/>
          <w:divBdr>
            <w:top w:val="none" w:sz="0" w:space="0" w:color="auto"/>
            <w:left w:val="none" w:sz="0" w:space="0" w:color="auto"/>
            <w:bottom w:val="none" w:sz="0" w:space="0" w:color="auto"/>
            <w:right w:val="none" w:sz="0" w:space="0" w:color="auto"/>
          </w:divBdr>
        </w:div>
      </w:divsChild>
    </w:div>
    <w:div w:id="503320322">
      <w:bodyDiv w:val="1"/>
      <w:marLeft w:val="0"/>
      <w:marRight w:val="0"/>
      <w:marTop w:val="0"/>
      <w:marBottom w:val="0"/>
      <w:divBdr>
        <w:top w:val="none" w:sz="0" w:space="0" w:color="auto"/>
        <w:left w:val="none" w:sz="0" w:space="0" w:color="auto"/>
        <w:bottom w:val="none" w:sz="0" w:space="0" w:color="auto"/>
        <w:right w:val="none" w:sz="0" w:space="0" w:color="auto"/>
      </w:divBdr>
      <w:divsChild>
        <w:div w:id="619385446">
          <w:marLeft w:val="0"/>
          <w:marRight w:val="0"/>
          <w:marTop w:val="0"/>
          <w:marBottom w:val="0"/>
          <w:divBdr>
            <w:top w:val="none" w:sz="0" w:space="0" w:color="auto"/>
            <w:left w:val="none" w:sz="0" w:space="0" w:color="auto"/>
            <w:bottom w:val="none" w:sz="0" w:space="0" w:color="auto"/>
            <w:right w:val="none" w:sz="0" w:space="0" w:color="auto"/>
          </w:divBdr>
        </w:div>
        <w:div w:id="1735660689">
          <w:marLeft w:val="0"/>
          <w:marRight w:val="0"/>
          <w:marTop w:val="0"/>
          <w:marBottom w:val="0"/>
          <w:divBdr>
            <w:top w:val="none" w:sz="0" w:space="0" w:color="auto"/>
            <w:left w:val="none" w:sz="0" w:space="0" w:color="auto"/>
            <w:bottom w:val="none" w:sz="0" w:space="0" w:color="auto"/>
            <w:right w:val="none" w:sz="0" w:space="0" w:color="auto"/>
          </w:divBdr>
        </w:div>
      </w:divsChild>
    </w:div>
    <w:div w:id="542250646">
      <w:bodyDiv w:val="1"/>
      <w:marLeft w:val="0"/>
      <w:marRight w:val="0"/>
      <w:marTop w:val="0"/>
      <w:marBottom w:val="0"/>
      <w:divBdr>
        <w:top w:val="none" w:sz="0" w:space="0" w:color="auto"/>
        <w:left w:val="none" w:sz="0" w:space="0" w:color="auto"/>
        <w:bottom w:val="none" w:sz="0" w:space="0" w:color="auto"/>
        <w:right w:val="none" w:sz="0" w:space="0" w:color="auto"/>
      </w:divBdr>
      <w:divsChild>
        <w:div w:id="394938390">
          <w:marLeft w:val="0"/>
          <w:marRight w:val="0"/>
          <w:marTop w:val="0"/>
          <w:marBottom w:val="0"/>
          <w:divBdr>
            <w:top w:val="none" w:sz="0" w:space="0" w:color="auto"/>
            <w:left w:val="none" w:sz="0" w:space="0" w:color="auto"/>
            <w:bottom w:val="none" w:sz="0" w:space="0" w:color="auto"/>
            <w:right w:val="none" w:sz="0" w:space="0" w:color="auto"/>
          </w:divBdr>
        </w:div>
      </w:divsChild>
    </w:div>
    <w:div w:id="585113430">
      <w:bodyDiv w:val="1"/>
      <w:marLeft w:val="0"/>
      <w:marRight w:val="0"/>
      <w:marTop w:val="0"/>
      <w:marBottom w:val="0"/>
      <w:divBdr>
        <w:top w:val="none" w:sz="0" w:space="0" w:color="auto"/>
        <w:left w:val="none" w:sz="0" w:space="0" w:color="auto"/>
        <w:bottom w:val="none" w:sz="0" w:space="0" w:color="auto"/>
        <w:right w:val="none" w:sz="0" w:space="0" w:color="auto"/>
      </w:divBdr>
      <w:divsChild>
        <w:div w:id="335772228">
          <w:marLeft w:val="0"/>
          <w:marRight w:val="0"/>
          <w:marTop w:val="0"/>
          <w:marBottom w:val="0"/>
          <w:divBdr>
            <w:top w:val="none" w:sz="0" w:space="0" w:color="auto"/>
            <w:left w:val="none" w:sz="0" w:space="0" w:color="auto"/>
            <w:bottom w:val="none" w:sz="0" w:space="0" w:color="auto"/>
            <w:right w:val="none" w:sz="0" w:space="0" w:color="auto"/>
          </w:divBdr>
        </w:div>
        <w:div w:id="794297663">
          <w:marLeft w:val="0"/>
          <w:marRight w:val="0"/>
          <w:marTop w:val="0"/>
          <w:marBottom w:val="0"/>
          <w:divBdr>
            <w:top w:val="none" w:sz="0" w:space="0" w:color="auto"/>
            <w:left w:val="none" w:sz="0" w:space="0" w:color="auto"/>
            <w:bottom w:val="none" w:sz="0" w:space="0" w:color="auto"/>
            <w:right w:val="none" w:sz="0" w:space="0" w:color="auto"/>
          </w:divBdr>
        </w:div>
        <w:div w:id="1199707722">
          <w:marLeft w:val="0"/>
          <w:marRight w:val="0"/>
          <w:marTop w:val="0"/>
          <w:marBottom w:val="0"/>
          <w:divBdr>
            <w:top w:val="none" w:sz="0" w:space="0" w:color="auto"/>
            <w:left w:val="none" w:sz="0" w:space="0" w:color="auto"/>
            <w:bottom w:val="none" w:sz="0" w:space="0" w:color="auto"/>
            <w:right w:val="none" w:sz="0" w:space="0" w:color="auto"/>
          </w:divBdr>
        </w:div>
        <w:div w:id="748238272">
          <w:marLeft w:val="0"/>
          <w:marRight w:val="0"/>
          <w:marTop w:val="0"/>
          <w:marBottom w:val="0"/>
          <w:divBdr>
            <w:top w:val="none" w:sz="0" w:space="0" w:color="auto"/>
            <w:left w:val="none" w:sz="0" w:space="0" w:color="auto"/>
            <w:bottom w:val="none" w:sz="0" w:space="0" w:color="auto"/>
            <w:right w:val="none" w:sz="0" w:space="0" w:color="auto"/>
          </w:divBdr>
        </w:div>
      </w:divsChild>
    </w:div>
    <w:div w:id="609750474">
      <w:bodyDiv w:val="1"/>
      <w:marLeft w:val="0"/>
      <w:marRight w:val="0"/>
      <w:marTop w:val="0"/>
      <w:marBottom w:val="0"/>
      <w:divBdr>
        <w:top w:val="none" w:sz="0" w:space="0" w:color="auto"/>
        <w:left w:val="none" w:sz="0" w:space="0" w:color="auto"/>
        <w:bottom w:val="none" w:sz="0" w:space="0" w:color="auto"/>
        <w:right w:val="none" w:sz="0" w:space="0" w:color="auto"/>
      </w:divBdr>
      <w:divsChild>
        <w:div w:id="1110658781">
          <w:marLeft w:val="0"/>
          <w:marRight w:val="0"/>
          <w:marTop w:val="0"/>
          <w:marBottom w:val="0"/>
          <w:divBdr>
            <w:top w:val="none" w:sz="0" w:space="0" w:color="auto"/>
            <w:left w:val="none" w:sz="0" w:space="0" w:color="auto"/>
            <w:bottom w:val="none" w:sz="0" w:space="0" w:color="auto"/>
            <w:right w:val="none" w:sz="0" w:space="0" w:color="auto"/>
          </w:divBdr>
        </w:div>
      </w:divsChild>
    </w:div>
    <w:div w:id="651830871">
      <w:bodyDiv w:val="1"/>
      <w:marLeft w:val="0"/>
      <w:marRight w:val="0"/>
      <w:marTop w:val="0"/>
      <w:marBottom w:val="0"/>
      <w:divBdr>
        <w:top w:val="none" w:sz="0" w:space="0" w:color="auto"/>
        <w:left w:val="none" w:sz="0" w:space="0" w:color="auto"/>
        <w:bottom w:val="none" w:sz="0" w:space="0" w:color="auto"/>
        <w:right w:val="none" w:sz="0" w:space="0" w:color="auto"/>
      </w:divBdr>
      <w:divsChild>
        <w:div w:id="1399480461">
          <w:marLeft w:val="0"/>
          <w:marRight w:val="0"/>
          <w:marTop w:val="0"/>
          <w:marBottom w:val="0"/>
          <w:divBdr>
            <w:top w:val="none" w:sz="0" w:space="0" w:color="auto"/>
            <w:left w:val="none" w:sz="0" w:space="0" w:color="auto"/>
            <w:bottom w:val="none" w:sz="0" w:space="0" w:color="auto"/>
            <w:right w:val="none" w:sz="0" w:space="0" w:color="auto"/>
          </w:divBdr>
        </w:div>
        <w:div w:id="635456567">
          <w:marLeft w:val="0"/>
          <w:marRight w:val="0"/>
          <w:marTop w:val="0"/>
          <w:marBottom w:val="0"/>
          <w:divBdr>
            <w:top w:val="none" w:sz="0" w:space="0" w:color="auto"/>
            <w:left w:val="none" w:sz="0" w:space="0" w:color="auto"/>
            <w:bottom w:val="none" w:sz="0" w:space="0" w:color="auto"/>
            <w:right w:val="none" w:sz="0" w:space="0" w:color="auto"/>
          </w:divBdr>
        </w:div>
        <w:div w:id="1970698940">
          <w:marLeft w:val="0"/>
          <w:marRight w:val="0"/>
          <w:marTop w:val="0"/>
          <w:marBottom w:val="0"/>
          <w:divBdr>
            <w:top w:val="none" w:sz="0" w:space="0" w:color="auto"/>
            <w:left w:val="none" w:sz="0" w:space="0" w:color="auto"/>
            <w:bottom w:val="none" w:sz="0" w:space="0" w:color="auto"/>
            <w:right w:val="none" w:sz="0" w:space="0" w:color="auto"/>
          </w:divBdr>
        </w:div>
      </w:divsChild>
    </w:div>
    <w:div w:id="672563050">
      <w:bodyDiv w:val="1"/>
      <w:marLeft w:val="0"/>
      <w:marRight w:val="0"/>
      <w:marTop w:val="0"/>
      <w:marBottom w:val="0"/>
      <w:divBdr>
        <w:top w:val="none" w:sz="0" w:space="0" w:color="auto"/>
        <w:left w:val="none" w:sz="0" w:space="0" w:color="auto"/>
        <w:bottom w:val="none" w:sz="0" w:space="0" w:color="auto"/>
        <w:right w:val="none" w:sz="0" w:space="0" w:color="auto"/>
      </w:divBdr>
      <w:divsChild>
        <w:div w:id="44835563">
          <w:marLeft w:val="0"/>
          <w:marRight w:val="0"/>
          <w:marTop w:val="0"/>
          <w:marBottom w:val="0"/>
          <w:divBdr>
            <w:top w:val="none" w:sz="0" w:space="0" w:color="auto"/>
            <w:left w:val="none" w:sz="0" w:space="0" w:color="auto"/>
            <w:bottom w:val="none" w:sz="0" w:space="0" w:color="auto"/>
            <w:right w:val="none" w:sz="0" w:space="0" w:color="auto"/>
          </w:divBdr>
        </w:div>
      </w:divsChild>
    </w:div>
    <w:div w:id="693917740">
      <w:bodyDiv w:val="1"/>
      <w:marLeft w:val="0"/>
      <w:marRight w:val="0"/>
      <w:marTop w:val="0"/>
      <w:marBottom w:val="0"/>
      <w:divBdr>
        <w:top w:val="none" w:sz="0" w:space="0" w:color="auto"/>
        <w:left w:val="none" w:sz="0" w:space="0" w:color="auto"/>
        <w:bottom w:val="none" w:sz="0" w:space="0" w:color="auto"/>
        <w:right w:val="none" w:sz="0" w:space="0" w:color="auto"/>
      </w:divBdr>
      <w:divsChild>
        <w:div w:id="726152013">
          <w:marLeft w:val="0"/>
          <w:marRight w:val="0"/>
          <w:marTop w:val="0"/>
          <w:marBottom w:val="0"/>
          <w:divBdr>
            <w:top w:val="none" w:sz="0" w:space="0" w:color="auto"/>
            <w:left w:val="none" w:sz="0" w:space="0" w:color="auto"/>
            <w:bottom w:val="none" w:sz="0" w:space="0" w:color="auto"/>
            <w:right w:val="none" w:sz="0" w:space="0" w:color="auto"/>
          </w:divBdr>
        </w:div>
      </w:divsChild>
    </w:div>
    <w:div w:id="704401551">
      <w:bodyDiv w:val="1"/>
      <w:marLeft w:val="0"/>
      <w:marRight w:val="0"/>
      <w:marTop w:val="0"/>
      <w:marBottom w:val="0"/>
      <w:divBdr>
        <w:top w:val="none" w:sz="0" w:space="0" w:color="auto"/>
        <w:left w:val="none" w:sz="0" w:space="0" w:color="auto"/>
        <w:bottom w:val="none" w:sz="0" w:space="0" w:color="auto"/>
        <w:right w:val="none" w:sz="0" w:space="0" w:color="auto"/>
      </w:divBdr>
      <w:divsChild>
        <w:div w:id="408163275">
          <w:marLeft w:val="0"/>
          <w:marRight w:val="0"/>
          <w:marTop w:val="150"/>
          <w:marBottom w:val="0"/>
          <w:divBdr>
            <w:top w:val="single" w:sz="6" w:space="0" w:color="DCE1E4"/>
            <w:left w:val="single" w:sz="6" w:space="0" w:color="DCE1E4"/>
            <w:bottom w:val="single" w:sz="6" w:space="0" w:color="DCE1E4"/>
            <w:right w:val="single" w:sz="6" w:space="0" w:color="DCE1E4"/>
          </w:divBdr>
        </w:div>
      </w:divsChild>
    </w:div>
    <w:div w:id="709306396">
      <w:bodyDiv w:val="1"/>
      <w:marLeft w:val="0"/>
      <w:marRight w:val="0"/>
      <w:marTop w:val="0"/>
      <w:marBottom w:val="0"/>
      <w:divBdr>
        <w:top w:val="none" w:sz="0" w:space="0" w:color="auto"/>
        <w:left w:val="none" w:sz="0" w:space="0" w:color="auto"/>
        <w:bottom w:val="none" w:sz="0" w:space="0" w:color="auto"/>
        <w:right w:val="none" w:sz="0" w:space="0" w:color="auto"/>
      </w:divBdr>
      <w:divsChild>
        <w:div w:id="1276981816">
          <w:marLeft w:val="0"/>
          <w:marRight w:val="0"/>
          <w:marTop w:val="0"/>
          <w:marBottom w:val="0"/>
          <w:divBdr>
            <w:top w:val="none" w:sz="0" w:space="0" w:color="auto"/>
            <w:left w:val="none" w:sz="0" w:space="0" w:color="auto"/>
            <w:bottom w:val="none" w:sz="0" w:space="0" w:color="auto"/>
            <w:right w:val="none" w:sz="0" w:space="0" w:color="auto"/>
          </w:divBdr>
        </w:div>
      </w:divsChild>
    </w:div>
    <w:div w:id="737629220">
      <w:bodyDiv w:val="1"/>
      <w:marLeft w:val="0"/>
      <w:marRight w:val="0"/>
      <w:marTop w:val="0"/>
      <w:marBottom w:val="0"/>
      <w:divBdr>
        <w:top w:val="none" w:sz="0" w:space="0" w:color="auto"/>
        <w:left w:val="none" w:sz="0" w:space="0" w:color="auto"/>
        <w:bottom w:val="none" w:sz="0" w:space="0" w:color="auto"/>
        <w:right w:val="none" w:sz="0" w:space="0" w:color="auto"/>
      </w:divBdr>
      <w:divsChild>
        <w:div w:id="1669745827">
          <w:marLeft w:val="0"/>
          <w:marRight w:val="0"/>
          <w:marTop w:val="0"/>
          <w:marBottom w:val="0"/>
          <w:divBdr>
            <w:top w:val="none" w:sz="0" w:space="0" w:color="auto"/>
            <w:left w:val="none" w:sz="0" w:space="0" w:color="auto"/>
            <w:bottom w:val="none" w:sz="0" w:space="0" w:color="auto"/>
            <w:right w:val="none" w:sz="0" w:space="0" w:color="auto"/>
          </w:divBdr>
        </w:div>
      </w:divsChild>
    </w:div>
    <w:div w:id="763191131">
      <w:bodyDiv w:val="1"/>
      <w:marLeft w:val="0"/>
      <w:marRight w:val="0"/>
      <w:marTop w:val="0"/>
      <w:marBottom w:val="0"/>
      <w:divBdr>
        <w:top w:val="none" w:sz="0" w:space="0" w:color="auto"/>
        <w:left w:val="none" w:sz="0" w:space="0" w:color="auto"/>
        <w:bottom w:val="none" w:sz="0" w:space="0" w:color="auto"/>
        <w:right w:val="none" w:sz="0" w:space="0" w:color="auto"/>
      </w:divBdr>
      <w:divsChild>
        <w:div w:id="610937183">
          <w:marLeft w:val="360"/>
          <w:marRight w:val="0"/>
          <w:marTop w:val="200"/>
          <w:marBottom w:val="0"/>
          <w:divBdr>
            <w:top w:val="none" w:sz="0" w:space="0" w:color="auto"/>
            <w:left w:val="none" w:sz="0" w:space="0" w:color="auto"/>
            <w:bottom w:val="none" w:sz="0" w:space="0" w:color="auto"/>
            <w:right w:val="none" w:sz="0" w:space="0" w:color="auto"/>
          </w:divBdr>
        </w:div>
      </w:divsChild>
    </w:div>
    <w:div w:id="805245562">
      <w:bodyDiv w:val="1"/>
      <w:marLeft w:val="0"/>
      <w:marRight w:val="0"/>
      <w:marTop w:val="0"/>
      <w:marBottom w:val="0"/>
      <w:divBdr>
        <w:top w:val="none" w:sz="0" w:space="0" w:color="auto"/>
        <w:left w:val="none" w:sz="0" w:space="0" w:color="auto"/>
        <w:bottom w:val="none" w:sz="0" w:space="0" w:color="auto"/>
        <w:right w:val="none" w:sz="0" w:space="0" w:color="auto"/>
      </w:divBdr>
      <w:divsChild>
        <w:div w:id="1534003459">
          <w:marLeft w:val="0"/>
          <w:marRight w:val="0"/>
          <w:marTop w:val="0"/>
          <w:marBottom w:val="0"/>
          <w:divBdr>
            <w:top w:val="none" w:sz="0" w:space="0" w:color="auto"/>
            <w:left w:val="none" w:sz="0" w:space="0" w:color="auto"/>
            <w:bottom w:val="none" w:sz="0" w:space="0" w:color="auto"/>
            <w:right w:val="none" w:sz="0" w:space="0" w:color="auto"/>
          </w:divBdr>
        </w:div>
      </w:divsChild>
    </w:div>
    <w:div w:id="832994544">
      <w:bodyDiv w:val="1"/>
      <w:marLeft w:val="0"/>
      <w:marRight w:val="0"/>
      <w:marTop w:val="0"/>
      <w:marBottom w:val="0"/>
      <w:divBdr>
        <w:top w:val="none" w:sz="0" w:space="0" w:color="auto"/>
        <w:left w:val="none" w:sz="0" w:space="0" w:color="auto"/>
        <w:bottom w:val="none" w:sz="0" w:space="0" w:color="auto"/>
        <w:right w:val="none" w:sz="0" w:space="0" w:color="auto"/>
      </w:divBdr>
      <w:divsChild>
        <w:div w:id="137723816">
          <w:marLeft w:val="0"/>
          <w:marRight w:val="0"/>
          <w:marTop w:val="0"/>
          <w:marBottom w:val="0"/>
          <w:divBdr>
            <w:top w:val="none" w:sz="0" w:space="0" w:color="auto"/>
            <w:left w:val="none" w:sz="0" w:space="0" w:color="auto"/>
            <w:bottom w:val="none" w:sz="0" w:space="0" w:color="auto"/>
            <w:right w:val="none" w:sz="0" w:space="0" w:color="auto"/>
          </w:divBdr>
        </w:div>
        <w:div w:id="2128965573">
          <w:marLeft w:val="0"/>
          <w:marRight w:val="0"/>
          <w:marTop w:val="0"/>
          <w:marBottom w:val="0"/>
          <w:divBdr>
            <w:top w:val="none" w:sz="0" w:space="0" w:color="auto"/>
            <w:left w:val="none" w:sz="0" w:space="0" w:color="auto"/>
            <w:bottom w:val="none" w:sz="0" w:space="0" w:color="auto"/>
            <w:right w:val="none" w:sz="0" w:space="0" w:color="auto"/>
          </w:divBdr>
        </w:div>
        <w:div w:id="15423165">
          <w:marLeft w:val="0"/>
          <w:marRight w:val="0"/>
          <w:marTop w:val="0"/>
          <w:marBottom w:val="0"/>
          <w:divBdr>
            <w:top w:val="none" w:sz="0" w:space="0" w:color="auto"/>
            <w:left w:val="none" w:sz="0" w:space="0" w:color="auto"/>
            <w:bottom w:val="none" w:sz="0" w:space="0" w:color="auto"/>
            <w:right w:val="none" w:sz="0" w:space="0" w:color="auto"/>
          </w:divBdr>
        </w:div>
      </w:divsChild>
    </w:div>
    <w:div w:id="917521636">
      <w:bodyDiv w:val="1"/>
      <w:marLeft w:val="0"/>
      <w:marRight w:val="0"/>
      <w:marTop w:val="0"/>
      <w:marBottom w:val="0"/>
      <w:divBdr>
        <w:top w:val="none" w:sz="0" w:space="0" w:color="auto"/>
        <w:left w:val="none" w:sz="0" w:space="0" w:color="auto"/>
        <w:bottom w:val="none" w:sz="0" w:space="0" w:color="auto"/>
        <w:right w:val="none" w:sz="0" w:space="0" w:color="auto"/>
      </w:divBdr>
    </w:div>
    <w:div w:id="921717269">
      <w:bodyDiv w:val="1"/>
      <w:marLeft w:val="0"/>
      <w:marRight w:val="0"/>
      <w:marTop w:val="0"/>
      <w:marBottom w:val="0"/>
      <w:divBdr>
        <w:top w:val="none" w:sz="0" w:space="0" w:color="auto"/>
        <w:left w:val="none" w:sz="0" w:space="0" w:color="auto"/>
        <w:bottom w:val="none" w:sz="0" w:space="0" w:color="auto"/>
        <w:right w:val="none" w:sz="0" w:space="0" w:color="auto"/>
      </w:divBdr>
      <w:divsChild>
        <w:div w:id="734200133">
          <w:marLeft w:val="0"/>
          <w:marRight w:val="0"/>
          <w:marTop w:val="0"/>
          <w:marBottom w:val="0"/>
          <w:divBdr>
            <w:top w:val="none" w:sz="0" w:space="0" w:color="auto"/>
            <w:left w:val="none" w:sz="0" w:space="0" w:color="auto"/>
            <w:bottom w:val="none" w:sz="0" w:space="0" w:color="auto"/>
            <w:right w:val="none" w:sz="0" w:space="0" w:color="auto"/>
          </w:divBdr>
        </w:div>
        <w:div w:id="1171069431">
          <w:marLeft w:val="0"/>
          <w:marRight w:val="0"/>
          <w:marTop w:val="0"/>
          <w:marBottom w:val="0"/>
          <w:divBdr>
            <w:top w:val="none" w:sz="0" w:space="0" w:color="auto"/>
            <w:left w:val="none" w:sz="0" w:space="0" w:color="auto"/>
            <w:bottom w:val="none" w:sz="0" w:space="0" w:color="auto"/>
            <w:right w:val="none" w:sz="0" w:space="0" w:color="auto"/>
          </w:divBdr>
        </w:div>
      </w:divsChild>
    </w:div>
    <w:div w:id="928465333">
      <w:bodyDiv w:val="1"/>
      <w:marLeft w:val="0"/>
      <w:marRight w:val="0"/>
      <w:marTop w:val="0"/>
      <w:marBottom w:val="0"/>
      <w:divBdr>
        <w:top w:val="none" w:sz="0" w:space="0" w:color="auto"/>
        <w:left w:val="none" w:sz="0" w:space="0" w:color="auto"/>
        <w:bottom w:val="none" w:sz="0" w:space="0" w:color="auto"/>
        <w:right w:val="none" w:sz="0" w:space="0" w:color="auto"/>
      </w:divBdr>
      <w:divsChild>
        <w:div w:id="1032732431">
          <w:marLeft w:val="0"/>
          <w:marRight w:val="0"/>
          <w:marTop w:val="0"/>
          <w:marBottom w:val="0"/>
          <w:divBdr>
            <w:top w:val="none" w:sz="0" w:space="0" w:color="auto"/>
            <w:left w:val="none" w:sz="0" w:space="0" w:color="auto"/>
            <w:bottom w:val="none" w:sz="0" w:space="0" w:color="auto"/>
            <w:right w:val="none" w:sz="0" w:space="0" w:color="auto"/>
          </w:divBdr>
        </w:div>
      </w:divsChild>
    </w:div>
    <w:div w:id="954481230">
      <w:bodyDiv w:val="1"/>
      <w:marLeft w:val="0"/>
      <w:marRight w:val="0"/>
      <w:marTop w:val="0"/>
      <w:marBottom w:val="0"/>
      <w:divBdr>
        <w:top w:val="none" w:sz="0" w:space="0" w:color="auto"/>
        <w:left w:val="none" w:sz="0" w:space="0" w:color="auto"/>
        <w:bottom w:val="none" w:sz="0" w:space="0" w:color="auto"/>
        <w:right w:val="none" w:sz="0" w:space="0" w:color="auto"/>
      </w:divBdr>
      <w:divsChild>
        <w:div w:id="1358000524">
          <w:marLeft w:val="480"/>
          <w:marRight w:val="0"/>
          <w:marTop w:val="0"/>
          <w:marBottom w:val="0"/>
          <w:divBdr>
            <w:top w:val="none" w:sz="0" w:space="0" w:color="auto"/>
            <w:left w:val="none" w:sz="0" w:space="0" w:color="auto"/>
            <w:bottom w:val="none" w:sz="0" w:space="0" w:color="auto"/>
            <w:right w:val="none" w:sz="0" w:space="0" w:color="auto"/>
          </w:divBdr>
          <w:divsChild>
            <w:div w:id="110561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82177">
      <w:bodyDiv w:val="1"/>
      <w:marLeft w:val="0"/>
      <w:marRight w:val="0"/>
      <w:marTop w:val="0"/>
      <w:marBottom w:val="0"/>
      <w:divBdr>
        <w:top w:val="none" w:sz="0" w:space="0" w:color="auto"/>
        <w:left w:val="none" w:sz="0" w:space="0" w:color="auto"/>
        <w:bottom w:val="none" w:sz="0" w:space="0" w:color="auto"/>
        <w:right w:val="none" w:sz="0" w:space="0" w:color="auto"/>
      </w:divBdr>
    </w:div>
    <w:div w:id="986468661">
      <w:bodyDiv w:val="1"/>
      <w:marLeft w:val="0"/>
      <w:marRight w:val="0"/>
      <w:marTop w:val="0"/>
      <w:marBottom w:val="0"/>
      <w:divBdr>
        <w:top w:val="none" w:sz="0" w:space="0" w:color="auto"/>
        <w:left w:val="none" w:sz="0" w:space="0" w:color="auto"/>
        <w:bottom w:val="none" w:sz="0" w:space="0" w:color="auto"/>
        <w:right w:val="none" w:sz="0" w:space="0" w:color="auto"/>
      </w:divBdr>
      <w:divsChild>
        <w:div w:id="1296643374">
          <w:marLeft w:val="0"/>
          <w:marRight w:val="0"/>
          <w:marTop w:val="0"/>
          <w:marBottom w:val="0"/>
          <w:divBdr>
            <w:top w:val="none" w:sz="0" w:space="0" w:color="auto"/>
            <w:left w:val="none" w:sz="0" w:space="0" w:color="auto"/>
            <w:bottom w:val="none" w:sz="0" w:space="0" w:color="auto"/>
            <w:right w:val="none" w:sz="0" w:space="0" w:color="auto"/>
          </w:divBdr>
        </w:div>
      </w:divsChild>
    </w:div>
    <w:div w:id="1001393931">
      <w:bodyDiv w:val="1"/>
      <w:marLeft w:val="0"/>
      <w:marRight w:val="0"/>
      <w:marTop w:val="0"/>
      <w:marBottom w:val="0"/>
      <w:divBdr>
        <w:top w:val="none" w:sz="0" w:space="0" w:color="auto"/>
        <w:left w:val="none" w:sz="0" w:space="0" w:color="auto"/>
        <w:bottom w:val="none" w:sz="0" w:space="0" w:color="auto"/>
        <w:right w:val="none" w:sz="0" w:space="0" w:color="auto"/>
      </w:divBdr>
      <w:divsChild>
        <w:div w:id="39519407">
          <w:marLeft w:val="0"/>
          <w:marRight w:val="0"/>
          <w:marTop w:val="0"/>
          <w:marBottom w:val="0"/>
          <w:divBdr>
            <w:top w:val="none" w:sz="0" w:space="0" w:color="auto"/>
            <w:left w:val="none" w:sz="0" w:space="0" w:color="auto"/>
            <w:bottom w:val="none" w:sz="0" w:space="0" w:color="auto"/>
            <w:right w:val="none" w:sz="0" w:space="0" w:color="auto"/>
          </w:divBdr>
        </w:div>
      </w:divsChild>
    </w:div>
    <w:div w:id="1022130945">
      <w:bodyDiv w:val="1"/>
      <w:marLeft w:val="0"/>
      <w:marRight w:val="0"/>
      <w:marTop w:val="0"/>
      <w:marBottom w:val="0"/>
      <w:divBdr>
        <w:top w:val="none" w:sz="0" w:space="0" w:color="auto"/>
        <w:left w:val="none" w:sz="0" w:space="0" w:color="auto"/>
        <w:bottom w:val="none" w:sz="0" w:space="0" w:color="auto"/>
        <w:right w:val="none" w:sz="0" w:space="0" w:color="auto"/>
      </w:divBdr>
      <w:divsChild>
        <w:div w:id="772555869">
          <w:marLeft w:val="0"/>
          <w:marRight w:val="0"/>
          <w:marTop w:val="0"/>
          <w:marBottom w:val="0"/>
          <w:divBdr>
            <w:top w:val="none" w:sz="0" w:space="0" w:color="auto"/>
            <w:left w:val="none" w:sz="0" w:space="0" w:color="auto"/>
            <w:bottom w:val="none" w:sz="0" w:space="0" w:color="auto"/>
            <w:right w:val="none" w:sz="0" w:space="0" w:color="auto"/>
          </w:divBdr>
        </w:div>
      </w:divsChild>
    </w:div>
    <w:div w:id="1040204172">
      <w:bodyDiv w:val="1"/>
      <w:marLeft w:val="0"/>
      <w:marRight w:val="0"/>
      <w:marTop w:val="0"/>
      <w:marBottom w:val="0"/>
      <w:divBdr>
        <w:top w:val="none" w:sz="0" w:space="0" w:color="auto"/>
        <w:left w:val="none" w:sz="0" w:space="0" w:color="auto"/>
        <w:bottom w:val="none" w:sz="0" w:space="0" w:color="auto"/>
        <w:right w:val="none" w:sz="0" w:space="0" w:color="auto"/>
      </w:divBdr>
      <w:divsChild>
        <w:div w:id="626813177">
          <w:marLeft w:val="0"/>
          <w:marRight w:val="0"/>
          <w:marTop w:val="0"/>
          <w:marBottom w:val="0"/>
          <w:divBdr>
            <w:top w:val="none" w:sz="0" w:space="0" w:color="auto"/>
            <w:left w:val="none" w:sz="0" w:space="0" w:color="auto"/>
            <w:bottom w:val="none" w:sz="0" w:space="0" w:color="auto"/>
            <w:right w:val="none" w:sz="0" w:space="0" w:color="auto"/>
          </w:divBdr>
        </w:div>
      </w:divsChild>
    </w:div>
    <w:div w:id="1120682701">
      <w:bodyDiv w:val="1"/>
      <w:marLeft w:val="0"/>
      <w:marRight w:val="0"/>
      <w:marTop w:val="0"/>
      <w:marBottom w:val="0"/>
      <w:divBdr>
        <w:top w:val="none" w:sz="0" w:space="0" w:color="auto"/>
        <w:left w:val="none" w:sz="0" w:space="0" w:color="auto"/>
        <w:bottom w:val="none" w:sz="0" w:space="0" w:color="auto"/>
        <w:right w:val="none" w:sz="0" w:space="0" w:color="auto"/>
      </w:divBdr>
      <w:divsChild>
        <w:div w:id="560874152">
          <w:marLeft w:val="0"/>
          <w:marRight w:val="0"/>
          <w:marTop w:val="0"/>
          <w:marBottom w:val="0"/>
          <w:divBdr>
            <w:top w:val="none" w:sz="0" w:space="0" w:color="auto"/>
            <w:left w:val="none" w:sz="0" w:space="0" w:color="auto"/>
            <w:bottom w:val="none" w:sz="0" w:space="0" w:color="auto"/>
            <w:right w:val="none" w:sz="0" w:space="0" w:color="auto"/>
          </w:divBdr>
        </w:div>
      </w:divsChild>
    </w:div>
    <w:div w:id="1143228721">
      <w:bodyDiv w:val="1"/>
      <w:marLeft w:val="0"/>
      <w:marRight w:val="0"/>
      <w:marTop w:val="0"/>
      <w:marBottom w:val="0"/>
      <w:divBdr>
        <w:top w:val="none" w:sz="0" w:space="0" w:color="auto"/>
        <w:left w:val="none" w:sz="0" w:space="0" w:color="auto"/>
        <w:bottom w:val="none" w:sz="0" w:space="0" w:color="auto"/>
        <w:right w:val="none" w:sz="0" w:space="0" w:color="auto"/>
      </w:divBdr>
      <w:divsChild>
        <w:div w:id="2075621750">
          <w:marLeft w:val="0"/>
          <w:marRight w:val="0"/>
          <w:marTop w:val="0"/>
          <w:marBottom w:val="0"/>
          <w:divBdr>
            <w:top w:val="none" w:sz="0" w:space="0" w:color="auto"/>
            <w:left w:val="none" w:sz="0" w:space="0" w:color="auto"/>
            <w:bottom w:val="none" w:sz="0" w:space="0" w:color="auto"/>
            <w:right w:val="none" w:sz="0" w:space="0" w:color="auto"/>
          </w:divBdr>
        </w:div>
      </w:divsChild>
    </w:div>
    <w:div w:id="1143695282">
      <w:bodyDiv w:val="1"/>
      <w:marLeft w:val="0"/>
      <w:marRight w:val="0"/>
      <w:marTop w:val="0"/>
      <w:marBottom w:val="0"/>
      <w:divBdr>
        <w:top w:val="none" w:sz="0" w:space="0" w:color="auto"/>
        <w:left w:val="none" w:sz="0" w:space="0" w:color="auto"/>
        <w:bottom w:val="none" w:sz="0" w:space="0" w:color="auto"/>
        <w:right w:val="none" w:sz="0" w:space="0" w:color="auto"/>
      </w:divBdr>
    </w:div>
    <w:div w:id="1194997131">
      <w:bodyDiv w:val="1"/>
      <w:marLeft w:val="0"/>
      <w:marRight w:val="0"/>
      <w:marTop w:val="0"/>
      <w:marBottom w:val="0"/>
      <w:divBdr>
        <w:top w:val="none" w:sz="0" w:space="0" w:color="auto"/>
        <w:left w:val="none" w:sz="0" w:space="0" w:color="auto"/>
        <w:bottom w:val="none" w:sz="0" w:space="0" w:color="auto"/>
        <w:right w:val="none" w:sz="0" w:space="0" w:color="auto"/>
      </w:divBdr>
      <w:divsChild>
        <w:div w:id="953441518">
          <w:marLeft w:val="0"/>
          <w:marRight w:val="0"/>
          <w:marTop w:val="0"/>
          <w:marBottom w:val="0"/>
          <w:divBdr>
            <w:top w:val="none" w:sz="0" w:space="0" w:color="auto"/>
            <w:left w:val="none" w:sz="0" w:space="0" w:color="auto"/>
            <w:bottom w:val="none" w:sz="0" w:space="0" w:color="auto"/>
            <w:right w:val="none" w:sz="0" w:space="0" w:color="auto"/>
          </w:divBdr>
        </w:div>
      </w:divsChild>
    </w:div>
    <w:div w:id="1213686567">
      <w:bodyDiv w:val="1"/>
      <w:marLeft w:val="0"/>
      <w:marRight w:val="0"/>
      <w:marTop w:val="0"/>
      <w:marBottom w:val="0"/>
      <w:divBdr>
        <w:top w:val="none" w:sz="0" w:space="0" w:color="auto"/>
        <w:left w:val="none" w:sz="0" w:space="0" w:color="auto"/>
        <w:bottom w:val="none" w:sz="0" w:space="0" w:color="auto"/>
        <w:right w:val="none" w:sz="0" w:space="0" w:color="auto"/>
      </w:divBdr>
      <w:divsChild>
        <w:div w:id="1569851237">
          <w:marLeft w:val="0"/>
          <w:marRight w:val="0"/>
          <w:marTop w:val="0"/>
          <w:marBottom w:val="0"/>
          <w:divBdr>
            <w:top w:val="none" w:sz="0" w:space="0" w:color="auto"/>
            <w:left w:val="none" w:sz="0" w:space="0" w:color="auto"/>
            <w:bottom w:val="none" w:sz="0" w:space="0" w:color="auto"/>
            <w:right w:val="none" w:sz="0" w:space="0" w:color="auto"/>
          </w:divBdr>
        </w:div>
      </w:divsChild>
    </w:div>
    <w:div w:id="1222865314">
      <w:bodyDiv w:val="1"/>
      <w:marLeft w:val="0"/>
      <w:marRight w:val="0"/>
      <w:marTop w:val="0"/>
      <w:marBottom w:val="0"/>
      <w:divBdr>
        <w:top w:val="none" w:sz="0" w:space="0" w:color="auto"/>
        <w:left w:val="none" w:sz="0" w:space="0" w:color="auto"/>
        <w:bottom w:val="none" w:sz="0" w:space="0" w:color="auto"/>
        <w:right w:val="none" w:sz="0" w:space="0" w:color="auto"/>
      </w:divBdr>
      <w:divsChild>
        <w:div w:id="726488088">
          <w:marLeft w:val="0"/>
          <w:marRight w:val="0"/>
          <w:marTop w:val="0"/>
          <w:marBottom w:val="0"/>
          <w:divBdr>
            <w:top w:val="none" w:sz="0" w:space="0" w:color="auto"/>
            <w:left w:val="none" w:sz="0" w:space="0" w:color="auto"/>
            <w:bottom w:val="none" w:sz="0" w:space="0" w:color="auto"/>
            <w:right w:val="none" w:sz="0" w:space="0" w:color="auto"/>
          </w:divBdr>
        </w:div>
      </w:divsChild>
    </w:div>
    <w:div w:id="1237201952">
      <w:bodyDiv w:val="1"/>
      <w:marLeft w:val="0"/>
      <w:marRight w:val="0"/>
      <w:marTop w:val="0"/>
      <w:marBottom w:val="0"/>
      <w:divBdr>
        <w:top w:val="none" w:sz="0" w:space="0" w:color="auto"/>
        <w:left w:val="none" w:sz="0" w:space="0" w:color="auto"/>
        <w:bottom w:val="none" w:sz="0" w:space="0" w:color="auto"/>
        <w:right w:val="none" w:sz="0" w:space="0" w:color="auto"/>
      </w:divBdr>
      <w:divsChild>
        <w:div w:id="557014833">
          <w:marLeft w:val="0"/>
          <w:marRight w:val="0"/>
          <w:marTop w:val="0"/>
          <w:marBottom w:val="0"/>
          <w:divBdr>
            <w:top w:val="none" w:sz="0" w:space="0" w:color="auto"/>
            <w:left w:val="none" w:sz="0" w:space="0" w:color="auto"/>
            <w:bottom w:val="none" w:sz="0" w:space="0" w:color="auto"/>
            <w:right w:val="none" w:sz="0" w:space="0" w:color="auto"/>
          </w:divBdr>
        </w:div>
        <w:div w:id="108547111">
          <w:marLeft w:val="0"/>
          <w:marRight w:val="0"/>
          <w:marTop w:val="0"/>
          <w:marBottom w:val="0"/>
          <w:divBdr>
            <w:top w:val="none" w:sz="0" w:space="0" w:color="auto"/>
            <w:left w:val="none" w:sz="0" w:space="0" w:color="auto"/>
            <w:bottom w:val="none" w:sz="0" w:space="0" w:color="auto"/>
            <w:right w:val="none" w:sz="0" w:space="0" w:color="auto"/>
          </w:divBdr>
        </w:div>
        <w:div w:id="506943971">
          <w:marLeft w:val="0"/>
          <w:marRight w:val="0"/>
          <w:marTop w:val="0"/>
          <w:marBottom w:val="0"/>
          <w:divBdr>
            <w:top w:val="none" w:sz="0" w:space="0" w:color="auto"/>
            <w:left w:val="none" w:sz="0" w:space="0" w:color="auto"/>
            <w:bottom w:val="none" w:sz="0" w:space="0" w:color="auto"/>
            <w:right w:val="none" w:sz="0" w:space="0" w:color="auto"/>
          </w:divBdr>
        </w:div>
        <w:div w:id="166791512">
          <w:marLeft w:val="0"/>
          <w:marRight w:val="0"/>
          <w:marTop w:val="0"/>
          <w:marBottom w:val="0"/>
          <w:divBdr>
            <w:top w:val="none" w:sz="0" w:space="0" w:color="auto"/>
            <w:left w:val="none" w:sz="0" w:space="0" w:color="auto"/>
            <w:bottom w:val="none" w:sz="0" w:space="0" w:color="auto"/>
            <w:right w:val="none" w:sz="0" w:space="0" w:color="auto"/>
          </w:divBdr>
        </w:div>
        <w:div w:id="268900851">
          <w:marLeft w:val="0"/>
          <w:marRight w:val="0"/>
          <w:marTop w:val="0"/>
          <w:marBottom w:val="0"/>
          <w:divBdr>
            <w:top w:val="none" w:sz="0" w:space="0" w:color="auto"/>
            <w:left w:val="none" w:sz="0" w:space="0" w:color="auto"/>
            <w:bottom w:val="none" w:sz="0" w:space="0" w:color="auto"/>
            <w:right w:val="none" w:sz="0" w:space="0" w:color="auto"/>
          </w:divBdr>
        </w:div>
        <w:div w:id="33166206">
          <w:marLeft w:val="0"/>
          <w:marRight w:val="0"/>
          <w:marTop w:val="0"/>
          <w:marBottom w:val="0"/>
          <w:divBdr>
            <w:top w:val="none" w:sz="0" w:space="0" w:color="auto"/>
            <w:left w:val="none" w:sz="0" w:space="0" w:color="auto"/>
            <w:bottom w:val="none" w:sz="0" w:space="0" w:color="auto"/>
            <w:right w:val="none" w:sz="0" w:space="0" w:color="auto"/>
          </w:divBdr>
        </w:div>
      </w:divsChild>
    </w:div>
    <w:div w:id="1259827475">
      <w:bodyDiv w:val="1"/>
      <w:marLeft w:val="0"/>
      <w:marRight w:val="0"/>
      <w:marTop w:val="0"/>
      <w:marBottom w:val="0"/>
      <w:divBdr>
        <w:top w:val="none" w:sz="0" w:space="0" w:color="auto"/>
        <w:left w:val="none" w:sz="0" w:space="0" w:color="auto"/>
        <w:bottom w:val="none" w:sz="0" w:space="0" w:color="auto"/>
        <w:right w:val="none" w:sz="0" w:space="0" w:color="auto"/>
      </w:divBdr>
      <w:divsChild>
        <w:div w:id="495000420">
          <w:marLeft w:val="0"/>
          <w:marRight w:val="0"/>
          <w:marTop w:val="0"/>
          <w:marBottom w:val="0"/>
          <w:divBdr>
            <w:top w:val="none" w:sz="0" w:space="0" w:color="auto"/>
            <w:left w:val="none" w:sz="0" w:space="0" w:color="auto"/>
            <w:bottom w:val="none" w:sz="0" w:space="0" w:color="auto"/>
            <w:right w:val="none" w:sz="0" w:space="0" w:color="auto"/>
          </w:divBdr>
        </w:div>
      </w:divsChild>
    </w:div>
    <w:div w:id="1284848271">
      <w:bodyDiv w:val="1"/>
      <w:marLeft w:val="0"/>
      <w:marRight w:val="0"/>
      <w:marTop w:val="0"/>
      <w:marBottom w:val="0"/>
      <w:divBdr>
        <w:top w:val="none" w:sz="0" w:space="0" w:color="auto"/>
        <w:left w:val="none" w:sz="0" w:space="0" w:color="auto"/>
        <w:bottom w:val="none" w:sz="0" w:space="0" w:color="auto"/>
        <w:right w:val="none" w:sz="0" w:space="0" w:color="auto"/>
      </w:divBdr>
      <w:divsChild>
        <w:div w:id="1032221082">
          <w:marLeft w:val="0"/>
          <w:marRight w:val="0"/>
          <w:marTop w:val="0"/>
          <w:marBottom w:val="0"/>
          <w:divBdr>
            <w:top w:val="none" w:sz="0" w:space="0" w:color="auto"/>
            <w:left w:val="none" w:sz="0" w:space="0" w:color="auto"/>
            <w:bottom w:val="none" w:sz="0" w:space="0" w:color="auto"/>
            <w:right w:val="none" w:sz="0" w:space="0" w:color="auto"/>
          </w:divBdr>
        </w:div>
        <w:div w:id="1320579092">
          <w:marLeft w:val="0"/>
          <w:marRight w:val="0"/>
          <w:marTop w:val="0"/>
          <w:marBottom w:val="0"/>
          <w:divBdr>
            <w:top w:val="none" w:sz="0" w:space="0" w:color="auto"/>
            <w:left w:val="none" w:sz="0" w:space="0" w:color="auto"/>
            <w:bottom w:val="none" w:sz="0" w:space="0" w:color="auto"/>
            <w:right w:val="none" w:sz="0" w:space="0" w:color="auto"/>
          </w:divBdr>
        </w:div>
      </w:divsChild>
    </w:div>
    <w:div w:id="1310942131">
      <w:bodyDiv w:val="1"/>
      <w:marLeft w:val="0"/>
      <w:marRight w:val="0"/>
      <w:marTop w:val="0"/>
      <w:marBottom w:val="0"/>
      <w:divBdr>
        <w:top w:val="none" w:sz="0" w:space="0" w:color="auto"/>
        <w:left w:val="none" w:sz="0" w:space="0" w:color="auto"/>
        <w:bottom w:val="none" w:sz="0" w:space="0" w:color="auto"/>
        <w:right w:val="none" w:sz="0" w:space="0" w:color="auto"/>
      </w:divBdr>
      <w:divsChild>
        <w:div w:id="1185249340">
          <w:marLeft w:val="0"/>
          <w:marRight w:val="0"/>
          <w:marTop w:val="0"/>
          <w:marBottom w:val="0"/>
          <w:divBdr>
            <w:top w:val="none" w:sz="0" w:space="0" w:color="auto"/>
            <w:left w:val="none" w:sz="0" w:space="0" w:color="auto"/>
            <w:bottom w:val="none" w:sz="0" w:space="0" w:color="auto"/>
            <w:right w:val="none" w:sz="0" w:space="0" w:color="auto"/>
          </w:divBdr>
        </w:div>
      </w:divsChild>
    </w:div>
    <w:div w:id="1312635198">
      <w:bodyDiv w:val="1"/>
      <w:marLeft w:val="0"/>
      <w:marRight w:val="0"/>
      <w:marTop w:val="0"/>
      <w:marBottom w:val="0"/>
      <w:divBdr>
        <w:top w:val="none" w:sz="0" w:space="0" w:color="auto"/>
        <w:left w:val="none" w:sz="0" w:space="0" w:color="auto"/>
        <w:bottom w:val="none" w:sz="0" w:space="0" w:color="auto"/>
        <w:right w:val="none" w:sz="0" w:space="0" w:color="auto"/>
      </w:divBdr>
      <w:divsChild>
        <w:div w:id="872577244">
          <w:marLeft w:val="0"/>
          <w:marRight w:val="0"/>
          <w:marTop w:val="0"/>
          <w:marBottom w:val="0"/>
          <w:divBdr>
            <w:top w:val="none" w:sz="0" w:space="0" w:color="auto"/>
            <w:left w:val="none" w:sz="0" w:space="0" w:color="auto"/>
            <w:bottom w:val="none" w:sz="0" w:space="0" w:color="auto"/>
            <w:right w:val="none" w:sz="0" w:space="0" w:color="auto"/>
          </w:divBdr>
        </w:div>
      </w:divsChild>
    </w:div>
    <w:div w:id="1367221479">
      <w:bodyDiv w:val="1"/>
      <w:marLeft w:val="0"/>
      <w:marRight w:val="0"/>
      <w:marTop w:val="0"/>
      <w:marBottom w:val="0"/>
      <w:divBdr>
        <w:top w:val="none" w:sz="0" w:space="0" w:color="auto"/>
        <w:left w:val="none" w:sz="0" w:space="0" w:color="auto"/>
        <w:bottom w:val="none" w:sz="0" w:space="0" w:color="auto"/>
        <w:right w:val="none" w:sz="0" w:space="0" w:color="auto"/>
      </w:divBdr>
      <w:divsChild>
        <w:div w:id="2017147176">
          <w:marLeft w:val="0"/>
          <w:marRight w:val="0"/>
          <w:marTop w:val="0"/>
          <w:marBottom w:val="0"/>
          <w:divBdr>
            <w:top w:val="none" w:sz="0" w:space="0" w:color="auto"/>
            <w:left w:val="none" w:sz="0" w:space="0" w:color="auto"/>
            <w:bottom w:val="none" w:sz="0" w:space="0" w:color="auto"/>
            <w:right w:val="none" w:sz="0" w:space="0" w:color="auto"/>
          </w:divBdr>
        </w:div>
      </w:divsChild>
    </w:div>
    <w:div w:id="1425833322">
      <w:bodyDiv w:val="1"/>
      <w:marLeft w:val="0"/>
      <w:marRight w:val="0"/>
      <w:marTop w:val="0"/>
      <w:marBottom w:val="0"/>
      <w:divBdr>
        <w:top w:val="none" w:sz="0" w:space="0" w:color="auto"/>
        <w:left w:val="none" w:sz="0" w:space="0" w:color="auto"/>
        <w:bottom w:val="none" w:sz="0" w:space="0" w:color="auto"/>
        <w:right w:val="none" w:sz="0" w:space="0" w:color="auto"/>
      </w:divBdr>
      <w:divsChild>
        <w:div w:id="494304784">
          <w:marLeft w:val="0"/>
          <w:marRight w:val="0"/>
          <w:marTop w:val="0"/>
          <w:marBottom w:val="0"/>
          <w:divBdr>
            <w:top w:val="none" w:sz="0" w:space="0" w:color="auto"/>
            <w:left w:val="none" w:sz="0" w:space="0" w:color="auto"/>
            <w:bottom w:val="none" w:sz="0" w:space="0" w:color="auto"/>
            <w:right w:val="none" w:sz="0" w:space="0" w:color="auto"/>
          </w:divBdr>
          <w:divsChild>
            <w:div w:id="10719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07319">
      <w:bodyDiv w:val="1"/>
      <w:marLeft w:val="0"/>
      <w:marRight w:val="0"/>
      <w:marTop w:val="0"/>
      <w:marBottom w:val="0"/>
      <w:divBdr>
        <w:top w:val="none" w:sz="0" w:space="0" w:color="auto"/>
        <w:left w:val="none" w:sz="0" w:space="0" w:color="auto"/>
        <w:bottom w:val="none" w:sz="0" w:space="0" w:color="auto"/>
        <w:right w:val="none" w:sz="0" w:space="0" w:color="auto"/>
      </w:divBdr>
      <w:divsChild>
        <w:div w:id="923731103">
          <w:marLeft w:val="0"/>
          <w:marRight w:val="0"/>
          <w:marTop w:val="0"/>
          <w:marBottom w:val="0"/>
          <w:divBdr>
            <w:top w:val="none" w:sz="0" w:space="0" w:color="auto"/>
            <w:left w:val="none" w:sz="0" w:space="0" w:color="auto"/>
            <w:bottom w:val="none" w:sz="0" w:space="0" w:color="auto"/>
            <w:right w:val="none" w:sz="0" w:space="0" w:color="auto"/>
          </w:divBdr>
        </w:div>
      </w:divsChild>
    </w:div>
    <w:div w:id="1566842811">
      <w:bodyDiv w:val="1"/>
      <w:marLeft w:val="0"/>
      <w:marRight w:val="0"/>
      <w:marTop w:val="0"/>
      <w:marBottom w:val="0"/>
      <w:divBdr>
        <w:top w:val="none" w:sz="0" w:space="0" w:color="auto"/>
        <w:left w:val="none" w:sz="0" w:space="0" w:color="auto"/>
        <w:bottom w:val="none" w:sz="0" w:space="0" w:color="auto"/>
        <w:right w:val="none" w:sz="0" w:space="0" w:color="auto"/>
      </w:divBdr>
      <w:divsChild>
        <w:div w:id="306322073">
          <w:marLeft w:val="0"/>
          <w:marRight w:val="0"/>
          <w:marTop w:val="0"/>
          <w:marBottom w:val="0"/>
          <w:divBdr>
            <w:top w:val="none" w:sz="0" w:space="0" w:color="auto"/>
            <w:left w:val="none" w:sz="0" w:space="0" w:color="auto"/>
            <w:bottom w:val="none" w:sz="0" w:space="0" w:color="auto"/>
            <w:right w:val="none" w:sz="0" w:space="0" w:color="auto"/>
          </w:divBdr>
        </w:div>
      </w:divsChild>
    </w:div>
    <w:div w:id="1578124961">
      <w:bodyDiv w:val="1"/>
      <w:marLeft w:val="0"/>
      <w:marRight w:val="0"/>
      <w:marTop w:val="0"/>
      <w:marBottom w:val="0"/>
      <w:divBdr>
        <w:top w:val="none" w:sz="0" w:space="0" w:color="auto"/>
        <w:left w:val="none" w:sz="0" w:space="0" w:color="auto"/>
        <w:bottom w:val="none" w:sz="0" w:space="0" w:color="auto"/>
        <w:right w:val="none" w:sz="0" w:space="0" w:color="auto"/>
      </w:divBdr>
      <w:divsChild>
        <w:div w:id="1318924537">
          <w:marLeft w:val="0"/>
          <w:marRight w:val="0"/>
          <w:marTop w:val="0"/>
          <w:marBottom w:val="0"/>
          <w:divBdr>
            <w:top w:val="none" w:sz="0" w:space="0" w:color="auto"/>
            <w:left w:val="none" w:sz="0" w:space="0" w:color="auto"/>
            <w:bottom w:val="none" w:sz="0" w:space="0" w:color="auto"/>
            <w:right w:val="none" w:sz="0" w:space="0" w:color="auto"/>
          </w:divBdr>
        </w:div>
      </w:divsChild>
    </w:div>
    <w:div w:id="1590193331">
      <w:bodyDiv w:val="1"/>
      <w:marLeft w:val="0"/>
      <w:marRight w:val="0"/>
      <w:marTop w:val="0"/>
      <w:marBottom w:val="0"/>
      <w:divBdr>
        <w:top w:val="none" w:sz="0" w:space="0" w:color="auto"/>
        <w:left w:val="none" w:sz="0" w:space="0" w:color="auto"/>
        <w:bottom w:val="none" w:sz="0" w:space="0" w:color="auto"/>
        <w:right w:val="none" w:sz="0" w:space="0" w:color="auto"/>
      </w:divBdr>
      <w:divsChild>
        <w:div w:id="1396321883">
          <w:marLeft w:val="0"/>
          <w:marRight w:val="0"/>
          <w:marTop w:val="0"/>
          <w:marBottom w:val="0"/>
          <w:divBdr>
            <w:top w:val="none" w:sz="0" w:space="0" w:color="auto"/>
            <w:left w:val="none" w:sz="0" w:space="0" w:color="auto"/>
            <w:bottom w:val="none" w:sz="0" w:space="0" w:color="auto"/>
            <w:right w:val="none" w:sz="0" w:space="0" w:color="auto"/>
          </w:divBdr>
        </w:div>
      </w:divsChild>
    </w:div>
    <w:div w:id="1593734574">
      <w:bodyDiv w:val="1"/>
      <w:marLeft w:val="0"/>
      <w:marRight w:val="0"/>
      <w:marTop w:val="0"/>
      <w:marBottom w:val="0"/>
      <w:divBdr>
        <w:top w:val="none" w:sz="0" w:space="0" w:color="auto"/>
        <w:left w:val="none" w:sz="0" w:space="0" w:color="auto"/>
        <w:bottom w:val="none" w:sz="0" w:space="0" w:color="auto"/>
        <w:right w:val="none" w:sz="0" w:space="0" w:color="auto"/>
      </w:divBdr>
      <w:divsChild>
        <w:div w:id="643655740">
          <w:marLeft w:val="0"/>
          <w:marRight w:val="0"/>
          <w:marTop w:val="0"/>
          <w:marBottom w:val="0"/>
          <w:divBdr>
            <w:top w:val="none" w:sz="0" w:space="0" w:color="auto"/>
            <w:left w:val="none" w:sz="0" w:space="0" w:color="auto"/>
            <w:bottom w:val="none" w:sz="0" w:space="0" w:color="auto"/>
            <w:right w:val="none" w:sz="0" w:space="0" w:color="auto"/>
          </w:divBdr>
        </w:div>
      </w:divsChild>
    </w:div>
    <w:div w:id="1601446707">
      <w:bodyDiv w:val="1"/>
      <w:marLeft w:val="0"/>
      <w:marRight w:val="0"/>
      <w:marTop w:val="0"/>
      <w:marBottom w:val="0"/>
      <w:divBdr>
        <w:top w:val="none" w:sz="0" w:space="0" w:color="auto"/>
        <w:left w:val="none" w:sz="0" w:space="0" w:color="auto"/>
        <w:bottom w:val="none" w:sz="0" w:space="0" w:color="auto"/>
        <w:right w:val="none" w:sz="0" w:space="0" w:color="auto"/>
      </w:divBdr>
      <w:divsChild>
        <w:div w:id="589126141">
          <w:marLeft w:val="0"/>
          <w:marRight w:val="0"/>
          <w:marTop w:val="0"/>
          <w:marBottom w:val="0"/>
          <w:divBdr>
            <w:top w:val="none" w:sz="0" w:space="0" w:color="auto"/>
            <w:left w:val="none" w:sz="0" w:space="0" w:color="auto"/>
            <w:bottom w:val="none" w:sz="0" w:space="0" w:color="auto"/>
            <w:right w:val="none" w:sz="0" w:space="0" w:color="auto"/>
          </w:divBdr>
        </w:div>
      </w:divsChild>
    </w:div>
    <w:div w:id="1615163705">
      <w:bodyDiv w:val="1"/>
      <w:marLeft w:val="0"/>
      <w:marRight w:val="0"/>
      <w:marTop w:val="0"/>
      <w:marBottom w:val="0"/>
      <w:divBdr>
        <w:top w:val="none" w:sz="0" w:space="0" w:color="auto"/>
        <w:left w:val="none" w:sz="0" w:space="0" w:color="auto"/>
        <w:bottom w:val="none" w:sz="0" w:space="0" w:color="auto"/>
        <w:right w:val="none" w:sz="0" w:space="0" w:color="auto"/>
      </w:divBdr>
      <w:divsChild>
        <w:div w:id="624965150">
          <w:marLeft w:val="0"/>
          <w:marRight w:val="0"/>
          <w:marTop w:val="0"/>
          <w:marBottom w:val="0"/>
          <w:divBdr>
            <w:top w:val="none" w:sz="0" w:space="0" w:color="auto"/>
            <w:left w:val="none" w:sz="0" w:space="0" w:color="auto"/>
            <w:bottom w:val="none" w:sz="0" w:space="0" w:color="auto"/>
            <w:right w:val="none" w:sz="0" w:space="0" w:color="auto"/>
          </w:divBdr>
        </w:div>
        <w:div w:id="861743957">
          <w:marLeft w:val="0"/>
          <w:marRight w:val="0"/>
          <w:marTop w:val="0"/>
          <w:marBottom w:val="0"/>
          <w:divBdr>
            <w:top w:val="none" w:sz="0" w:space="0" w:color="auto"/>
            <w:left w:val="none" w:sz="0" w:space="0" w:color="auto"/>
            <w:bottom w:val="none" w:sz="0" w:space="0" w:color="auto"/>
            <w:right w:val="none" w:sz="0" w:space="0" w:color="auto"/>
          </w:divBdr>
        </w:div>
      </w:divsChild>
    </w:div>
    <w:div w:id="1669673067">
      <w:bodyDiv w:val="1"/>
      <w:marLeft w:val="0"/>
      <w:marRight w:val="0"/>
      <w:marTop w:val="0"/>
      <w:marBottom w:val="0"/>
      <w:divBdr>
        <w:top w:val="none" w:sz="0" w:space="0" w:color="auto"/>
        <w:left w:val="none" w:sz="0" w:space="0" w:color="auto"/>
        <w:bottom w:val="none" w:sz="0" w:space="0" w:color="auto"/>
        <w:right w:val="none" w:sz="0" w:space="0" w:color="auto"/>
      </w:divBdr>
    </w:div>
    <w:div w:id="1741518310">
      <w:bodyDiv w:val="1"/>
      <w:marLeft w:val="0"/>
      <w:marRight w:val="0"/>
      <w:marTop w:val="0"/>
      <w:marBottom w:val="0"/>
      <w:divBdr>
        <w:top w:val="none" w:sz="0" w:space="0" w:color="auto"/>
        <w:left w:val="none" w:sz="0" w:space="0" w:color="auto"/>
        <w:bottom w:val="none" w:sz="0" w:space="0" w:color="auto"/>
        <w:right w:val="none" w:sz="0" w:space="0" w:color="auto"/>
      </w:divBdr>
      <w:divsChild>
        <w:div w:id="980035542">
          <w:marLeft w:val="0"/>
          <w:marRight w:val="0"/>
          <w:marTop w:val="0"/>
          <w:marBottom w:val="0"/>
          <w:divBdr>
            <w:top w:val="none" w:sz="0" w:space="0" w:color="auto"/>
            <w:left w:val="none" w:sz="0" w:space="0" w:color="auto"/>
            <w:bottom w:val="none" w:sz="0" w:space="0" w:color="auto"/>
            <w:right w:val="none" w:sz="0" w:space="0" w:color="auto"/>
          </w:divBdr>
        </w:div>
        <w:div w:id="1603493157">
          <w:marLeft w:val="0"/>
          <w:marRight w:val="0"/>
          <w:marTop w:val="0"/>
          <w:marBottom w:val="0"/>
          <w:divBdr>
            <w:top w:val="none" w:sz="0" w:space="0" w:color="auto"/>
            <w:left w:val="none" w:sz="0" w:space="0" w:color="auto"/>
            <w:bottom w:val="none" w:sz="0" w:space="0" w:color="auto"/>
            <w:right w:val="none" w:sz="0" w:space="0" w:color="auto"/>
          </w:divBdr>
        </w:div>
      </w:divsChild>
    </w:div>
    <w:div w:id="1758819977">
      <w:bodyDiv w:val="1"/>
      <w:marLeft w:val="0"/>
      <w:marRight w:val="0"/>
      <w:marTop w:val="0"/>
      <w:marBottom w:val="0"/>
      <w:divBdr>
        <w:top w:val="none" w:sz="0" w:space="0" w:color="auto"/>
        <w:left w:val="none" w:sz="0" w:space="0" w:color="auto"/>
        <w:bottom w:val="none" w:sz="0" w:space="0" w:color="auto"/>
        <w:right w:val="none" w:sz="0" w:space="0" w:color="auto"/>
      </w:divBdr>
    </w:div>
    <w:div w:id="1777366345">
      <w:bodyDiv w:val="1"/>
      <w:marLeft w:val="0"/>
      <w:marRight w:val="0"/>
      <w:marTop w:val="0"/>
      <w:marBottom w:val="0"/>
      <w:divBdr>
        <w:top w:val="none" w:sz="0" w:space="0" w:color="auto"/>
        <w:left w:val="none" w:sz="0" w:space="0" w:color="auto"/>
        <w:bottom w:val="none" w:sz="0" w:space="0" w:color="auto"/>
        <w:right w:val="none" w:sz="0" w:space="0" w:color="auto"/>
      </w:divBdr>
      <w:divsChild>
        <w:div w:id="1144154976">
          <w:marLeft w:val="0"/>
          <w:marRight w:val="0"/>
          <w:marTop w:val="0"/>
          <w:marBottom w:val="0"/>
          <w:divBdr>
            <w:top w:val="none" w:sz="0" w:space="0" w:color="auto"/>
            <w:left w:val="none" w:sz="0" w:space="0" w:color="auto"/>
            <w:bottom w:val="none" w:sz="0" w:space="0" w:color="auto"/>
            <w:right w:val="none" w:sz="0" w:space="0" w:color="auto"/>
          </w:divBdr>
        </w:div>
      </w:divsChild>
    </w:div>
    <w:div w:id="1865089308">
      <w:bodyDiv w:val="1"/>
      <w:marLeft w:val="0"/>
      <w:marRight w:val="0"/>
      <w:marTop w:val="0"/>
      <w:marBottom w:val="0"/>
      <w:divBdr>
        <w:top w:val="none" w:sz="0" w:space="0" w:color="auto"/>
        <w:left w:val="none" w:sz="0" w:space="0" w:color="auto"/>
        <w:bottom w:val="none" w:sz="0" w:space="0" w:color="auto"/>
        <w:right w:val="none" w:sz="0" w:space="0" w:color="auto"/>
      </w:divBdr>
      <w:divsChild>
        <w:div w:id="339049263">
          <w:marLeft w:val="0"/>
          <w:marRight w:val="0"/>
          <w:marTop w:val="0"/>
          <w:marBottom w:val="0"/>
          <w:divBdr>
            <w:top w:val="none" w:sz="0" w:space="0" w:color="auto"/>
            <w:left w:val="none" w:sz="0" w:space="0" w:color="auto"/>
            <w:bottom w:val="none" w:sz="0" w:space="0" w:color="auto"/>
            <w:right w:val="none" w:sz="0" w:space="0" w:color="auto"/>
          </w:divBdr>
        </w:div>
      </w:divsChild>
    </w:div>
    <w:div w:id="1878156816">
      <w:bodyDiv w:val="1"/>
      <w:marLeft w:val="0"/>
      <w:marRight w:val="0"/>
      <w:marTop w:val="0"/>
      <w:marBottom w:val="0"/>
      <w:divBdr>
        <w:top w:val="none" w:sz="0" w:space="0" w:color="auto"/>
        <w:left w:val="none" w:sz="0" w:space="0" w:color="auto"/>
        <w:bottom w:val="none" w:sz="0" w:space="0" w:color="auto"/>
        <w:right w:val="none" w:sz="0" w:space="0" w:color="auto"/>
      </w:divBdr>
      <w:divsChild>
        <w:div w:id="557784796">
          <w:marLeft w:val="480"/>
          <w:marRight w:val="0"/>
          <w:marTop w:val="0"/>
          <w:marBottom w:val="0"/>
          <w:divBdr>
            <w:top w:val="none" w:sz="0" w:space="0" w:color="auto"/>
            <w:left w:val="none" w:sz="0" w:space="0" w:color="auto"/>
            <w:bottom w:val="none" w:sz="0" w:space="0" w:color="auto"/>
            <w:right w:val="none" w:sz="0" w:space="0" w:color="auto"/>
          </w:divBdr>
          <w:divsChild>
            <w:div w:id="558439987">
              <w:marLeft w:val="0"/>
              <w:marRight w:val="0"/>
              <w:marTop w:val="0"/>
              <w:marBottom w:val="0"/>
              <w:divBdr>
                <w:top w:val="none" w:sz="0" w:space="0" w:color="auto"/>
                <w:left w:val="none" w:sz="0" w:space="0" w:color="auto"/>
                <w:bottom w:val="none" w:sz="0" w:space="0" w:color="auto"/>
                <w:right w:val="none" w:sz="0" w:space="0" w:color="auto"/>
              </w:divBdr>
            </w:div>
            <w:div w:id="192765224">
              <w:marLeft w:val="0"/>
              <w:marRight w:val="0"/>
              <w:marTop w:val="0"/>
              <w:marBottom w:val="0"/>
              <w:divBdr>
                <w:top w:val="none" w:sz="0" w:space="0" w:color="auto"/>
                <w:left w:val="none" w:sz="0" w:space="0" w:color="auto"/>
                <w:bottom w:val="none" w:sz="0" w:space="0" w:color="auto"/>
                <w:right w:val="none" w:sz="0" w:space="0" w:color="auto"/>
              </w:divBdr>
            </w:div>
            <w:div w:id="1695304176">
              <w:marLeft w:val="0"/>
              <w:marRight w:val="0"/>
              <w:marTop w:val="0"/>
              <w:marBottom w:val="0"/>
              <w:divBdr>
                <w:top w:val="none" w:sz="0" w:space="0" w:color="auto"/>
                <w:left w:val="none" w:sz="0" w:space="0" w:color="auto"/>
                <w:bottom w:val="none" w:sz="0" w:space="0" w:color="auto"/>
                <w:right w:val="none" w:sz="0" w:space="0" w:color="auto"/>
              </w:divBdr>
            </w:div>
            <w:div w:id="329720031">
              <w:marLeft w:val="0"/>
              <w:marRight w:val="0"/>
              <w:marTop w:val="0"/>
              <w:marBottom w:val="0"/>
              <w:divBdr>
                <w:top w:val="none" w:sz="0" w:space="0" w:color="auto"/>
                <w:left w:val="none" w:sz="0" w:space="0" w:color="auto"/>
                <w:bottom w:val="none" w:sz="0" w:space="0" w:color="auto"/>
                <w:right w:val="none" w:sz="0" w:space="0" w:color="auto"/>
              </w:divBdr>
            </w:div>
            <w:div w:id="229923842">
              <w:marLeft w:val="0"/>
              <w:marRight w:val="0"/>
              <w:marTop w:val="0"/>
              <w:marBottom w:val="0"/>
              <w:divBdr>
                <w:top w:val="none" w:sz="0" w:space="0" w:color="auto"/>
                <w:left w:val="none" w:sz="0" w:space="0" w:color="auto"/>
                <w:bottom w:val="none" w:sz="0" w:space="0" w:color="auto"/>
                <w:right w:val="none" w:sz="0" w:space="0" w:color="auto"/>
              </w:divBdr>
            </w:div>
            <w:div w:id="1656060268">
              <w:marLeft w:val="0"/>
              <w:marRight w:val="0"/>
              <w:marTop w:val="0"/>
              <w:marBottom w:val="0"/>
              <w:divBdr>
                <w:top w:val="none" w:sz="0" w:space="0" w:color="auto"/>
                <w:left w:val="none" w:sz="0" w:space="0" w:color="auto"/>
                <w:bottom w:val="none" w:sz="0" w:space="0" w:color="auto"/>
                <w:right w:val="none" w:sz="0" w:space="0" w:color="auto"/>
              </w:divBdr>
            </w:div>
            <w:div w:id="1117258243">
              <w:marLeft w:val="0"/>
              <w:marRight w:val="0"/>
              <w:marTop w:val="0"/>
              <w:marBottom w:val="0"/>
              <w:divBdr>
                <w:top w:val="none" w:sz="0" w:space="0" w:color="auto"/>
                <w:left w:val="none" w:sz="0" w:space="0" w:color="auto"/>
                <w:bottom w:val="none" w:sz="0" w:space="0" w:color="auto"/>
                <w:right w:val="none" w:sz="0" w:space="0" w:color="auto"/>
              </w:divBdr>
            </w:div>
            <w:div w:id="967247020">
              <w:marLeft w:val="0"/>
              <w:marRight w:val="0"/>
              <w:marTop w:val="0"/>
              <w:marBottom w:val="0"/>
              <w:divBdr>
                <w:top w:val="none" w:sz="0" w:space="0" w:color="auto"/>
                <w:left w:val="none" w:sz="0" w:space="0" w:color="auto"/>
                <w:bottom w:val="none" w:sz="0" w:space="0" w:color="auto"/>
                <w:right w:val="none" w:sz="0" w:space="0" w:color="auto"/>
              </w:divBdr>
            </w:div>
            <w:div w:id="1040520868">
              <w:marLeft w:val="0"/>
              <w:marRight w:val="0"/>
              <w:marTop w:val="0"/>
              <w:marBottom w:val="0"/>
              <w:divBdr>
                <w:top w:val="none" w:sz="0" w:space="0" w:color="auto"/>
                <w:left w:val="none" w:sz="0" w:space="0" w:color="auto"/>
                <w:bottom w:val="none" w:sz="0" w:space="0" w:color="auto"/>
                <w:right w:val="none" w:sz="0" w:space="0" w:color="auto"/>
              </w:divBdr>
            </w:div>
            <w:div w:id="224462640">
              <w:marLeft w:val="0"/>
              <w:marRight w:val="0"/>
              <w:marTop w:val="0"/>
              <w:marBottom w:val="0"/>
              <w:divBdr>
                <w:top w:val="none" w:sz="0" w:space="0" w:color="auto"/>
                <w:left w:val="none" w:sz="0" w:space="0" w:color="auto"/>
                <w:bottom w:val="none" w:sz="0" w:space="0" w:color="auto"/>
                <w:right w:val="none" w:sz="0" w:space="0" w:color="auto"/>
              </w:divBdr>
            </w:div>
            <w:div w:id="1429354049">
              <w:marLeft w:val="0"/>
              <w:marRight w:val="0"/>
              <w:marTop w:val="0"/>
              <w:marBottom w:val="0"/>
              <w:divBdr>
                <w:top w:val="none" w:sz="0" w:space="0" w:color="auto"/>
                <w:left w:val="none" w:sz="0" w:space="0" w:color="auto"/>
                <w:bottom w:val="none" w:sz="0" w:space="0" w:color="auto"/>
                <w:right w:val="none" w:sz="0" w:space="0" w:color="auto"/>
              </w:divBdr>
            </w:div>
            <w:div w:id="2036421996">
              <w:marLeft w:val="0"/>
              <w:marRight w:val="0"/>
              <w:marTop w:val="0"/>
              <w:marBottom w:val="0"/>
              <w:divBdr>
                <w:top w:val="none" w:sz="0" w:space="0" w:color="auto"/>
                <w:left w:val="none" w:sz="0" w:space="0" w:color="auto"/>
                <w:bottom w:val="none" w:sz="0" w:space="0" w:color="auto"/>
                <w:right w:val="none" w:sz="0" w:space="0" w:color="auto"/>
              </w:divBdr>
            </w:div>
            <w:div w:id="784542429">
              <w:marLeft w:val="0"/>
              <w:marRight w:val="0"/>
              <w:marTop w:val="0"/>
              <w:marBottom w:val="0"/>
              <w:divBdr>
                <w:top w:val="none" w:sz="0" w:space="0" w:color="auto"/>
                <w:left w:val="none" w:sz="0" w:space="0" w:color="auto"/>
                <w:bottom w:val="none" w:sz="0" w:space="0" w:color="auto"/>
                <w:right w:val="none" w:sz="0" w:space="0" w:color="auto"/>
              </w:divBdr>
            </w:div>
            <w:div w:id="1743258449">
              <w:marLeft w:val="0"/>
              <w:marRight w:val="0"/>
              <w:marTop w:val="0"/>
              <w:marBottom w:val="0"/>
              <w:divBdr>
                <w:top w:val="none" w:sz="0" w:space="0" w:color="auto"/>
                <w:left w:val="none" w:sz="0" w:space="0" w:color="auto"/>
                <w:bottom w:val="none" w:sz="0" w:space="0" w:color="auto"/>
                <w:right w:val="none" w:sz="0" w:space="0" w:color="auto"/>
              </w:divBdr>
            </w:div>
            <w:div w:id="1047797299">
              <w:marLeft w:val="0"/>
              <w:marRight w:val="0"/>
              <w:marTop w:val="0"/>
              <w:marBottom w:val="0"/>
              <w:divBdr>
                <w:top w:val="none" w:sz="0" w:space="0" w:color="auto"/>
                <w:left w:val="none" w:sz="0" w:space="0" w:color="auto"/>
                <w:bottom w:val="none" w:sz="0" w:space="0" w:color="auto"/>
                <w:right w:val="none" w:sz="0" w:space="0" w:color="auto"/>
              </w:divBdr>
            </w:div>
            <w:div w:id="253442258">
              <w:marLeft w:val="0"/>
              <w:marRight w:val="0"/>
              <w:marTop w:val="0"/>
              <w:marBottom w:val="0"/>
              <w:divBdr>
                <w:top w:val="none" w:sz="0" w:space="0" w:color="auto"/>
                <w:left w:val="none" w:sz="0" w:space="0" w:color="auto"/>
                <w:bottom w:val="none" w:sz="0" w:space="0" w:color="auto"/>
                <w:right w:val="none" w:sz="0" w:space="0" w:color="auto"/>
              </w:divBdr>
            </w:div>
            <w:div w:id="1959099449">
              <w:marLeft w:val="0"/>
              <w:marRight w:val="0"/>
              <w:marTop w:val="0"/>
              <w:marBottom w:val="0"/>
              <w:divBdr>
                <w:top w:val="none" w:sz="0" w:space="0" w:color="auto"/>
                <w:left w:val="none" w:sz="0" w:space="0" w:color="auto"/>
                <w:bottom w:val="none" w:sz="0" w:space="0" w:color="auto"/>
                <w:right w:val="none" w:sz="0" w:space="0" w:color="auto"/>
              </w:divBdr>
            </w:div>
            <w:div w:id="1274556389">
              <w:marLeft w:val="0"/>
              <w:marRight w:val="0"/>
              <w:marTop w:val="0"/>
              <w:marBottom w:val="0"/>
              <w:divBdr>
                <w:top w:val="none" w:sz="0" w:space="0" w:color="auto"/>
                <w:left w:val="none" w:sz="0" w:space="0" w:color="auto"/>
                <w:bottom w:val="none" w:sz="0" w:space="0" w:color="auto"/>
                <w:right w:val="none" w:sz="0" w:space="0" w:color="auto"/>
              </w:divBdr>
            </w:div>
            <w:div w:id="2112972196">
              <w:marLeft w:val="0"/>
              <w:marRight w:val="0"/>
              <w:marTop w:val="0"/>
              <w:marBottom w:val="0"/>
              <w:divBdr>
                <w:top w:val="none" w:sz="0" w:space="0" w:color="auto"/>
                <w:left w:val="none" w:sz="0" w:space="0" w:color="auto"/>
                <w:bottom w:val="none" w:sz="0" w:space="0" w:color="auto"/>
                <w:right w:val="none" w:sz="0" w:space="0" w:color="auto"/>
              </w:divBdr>
            </w:div>
            <w:div w:id="1722241703">
              <w:marLeft w:val="0"/>
              <w:marRight w:val="0"/>
              <w:marTop w:val="0"/>
              <w:marBottom w:val="0"/>
              <w:divBdr>
                <w:top w:val="none" w:sz="0" w:space="0" w:color="auto"/>
                <w:left w:val="none" w:sz="0" w:space="0" w:color="auto"/>
                <w:bottom w:val="none" w:sz="0" w:space="0" w:color="auto"/>
                <w:right w:val="none" w:sz="0" w:space="0" w:color="auto"/>
              </w:divBdr>
            </w:div>
            <w:div w:id="1936866573">
              <w:marLeft w:val="0"/>
              <w:marRight w:val="0"/>
              <w:marTop w:val="0"/>
              <w:marBottom w:val="0"/>
              <w:divBdr>
                <w:top w:val="none" w:sz="0" w:space="0" w:color="auto"/>
                <w:left w:val="none" w:sz="0" w:space="0" w:color="auto"/>
                <w:bottom w:val="none" w:sz="0" w:space="0" w:color="auto"/>
                <w:right w:val="none" w:sz="0" w:space="0" w:color="auto"/>
              </w:divBdr>
            </w:div>
            <w:div w:id="734475933">
              <w:marLeft w:val="0"/>
              <w:marRight w:val="0"/>
              <w:marTop w:val="0"/>
              <w:marBottom w:val="0"/>
              <w:divBdr>
                <w:top w:val="none" w:sz="0" w:space="0" w:color="auto"/>
                <w:left w:val="none" w:sz="0" w:space="0" w:color="auto"/>
                <w:bottom w:val="none" w:sz="0" w:space="0" w:color="auto"/>
                <w:right w:val="none" w:sz="0" w:space="0" w:color="auto"/>
              </w:divBdr>
            </w:div>
            <w:div w:id="1324747460">
              <w:marLeft w:val="0"/>
              <w:marRight w:val="0"/>
              <w:marTop w:val="0"/>
              <w:marBottom w:val="0"/>
              <w:divBdr>
                <w:top w:val="none" w:sz="0" w:space="0" w:color="auto"/>
                <w:left w:val="none" w:sz="0" w:space="0" w:color="auto"/>
                <w:bottom w:val="none" w:sz="0" w:space="0" w:color="auto"/>
                <w:right w:val="none" w:sz="0" w:space="0" w:color="auto"/>
              </w:divBdr>
            </w:div>
            <w:div w:id="511071686">
              <w:marLeft w:val="0"/>
              <w:marRight w:val="0"/>
              <w:marTop w:val="0"/>
              <w:marBottom w:val="0"/>
              <w:divBdr>
                <w:top w:val="none" w:sz="0" w:space="0" w:color="auto"/>
                <w:left w:val="none" w:sz="0" w:space="0" w:color="auto"/>
                <w:bottom w:val="none" w:sz="0" w:space="0" w:color="auto"/>
                <w:right w:val="none" w:sz="0" w:space="0" w:color="auto"/>
              </w:divBdr>
            </w:div>
            <w:div w:id="813834859">
              <w:marLeft w:val="0"/>
              <w:marRight w:val="0"/>
              <w:marTop w:val="0"/>
              <w:marBottom w:val="0"/>
              <w:divBdr>
                <w:top w:val="none" w:sz="0" w:space="0" w:color="auto"/>
                <w:left w:val="none" w:sz="0" w:space="0" w:color="auto"/>
                <w:bottom w:val="none" w:sz="0" w:space="0" w:color="auto"/>
                <w:right w:val="none" w:sz="0" w:space="0" w:color="auto"/>
              </w:divBdr>
            </w:div>
            <w:div w:id="1951014127">
              <w:marLeft w:val="0"/>
              <w:marRight w:val="0"/>
              <w:marTop w:val="0"/>
              <w:marBottom w:val="0"/>
              <w:divBdr>
                <w:top w:val="none" w:sz="0" w:space="0" w:color="auto"/>
                <w:left w:val="none" w:sz="0" w:space="0" w:color="auto"/>
                <w:bottom w:val="none" w:sz="0" w:space="0" w:color="auto"/>
                <w:right w:val="none" w:sz="0" w:space="0" w:color="auto"/>
              </w:divBdr>
            </w:div>
            <w:div w:id="222260296">
              <w:marLeft w:val="0"/>
              <w:marRight w:val="0"/>
              <w:marTop w:val="0"/>
              <w:marBottom w:val="0"/>
              <w:divBdr>
                <w:top w:val="none" w:sz="0" w:space="0" w:color="auto"/>
                <w:left w:val="none" w:sz="0" w:space="0" w:color="auto"/>
                <w:bottom w:val="none" w:sz="0" w:space="0" w:color="auto"/>
                <w:right w:val="none" w:sz="0" w:space="0" w:color="auto"/>
              </w:divBdr>
            </w:div>
            <w:div w:id="1056471085">
              <w:marLeft w:val="0"/>
              <w:marRight w:val="0"/>
              <w:marTop w:val="0"/>
              <w:marBottom w:val="0"/>
              <w:divBdr>
                <w:top w:val="none" w:sz="0" w:space="0" w:color="auto"/>
                <w:left w:val="none" w:sz="0" w:space="0" w:color="auto"/>
                <w:bottom w:val="none" w:sz="0" w:space="0" w:color="auto"/>
                <w:right w:val="none" w:sz="0" w:space="0" w:color="auto"/>
              </w:divBdr>
            </w:div>
            <w:div w:id="63183699">
              <w:marLeft w:val="0"/>
              <w:marRight w:val="0"/>
              <w:marTop w:val="0"/>
              <w:marBottom w:val="0"/>
              <w:divBdr>
                <w:top w:val="none" w:sz="0" w:space="0" w:color="auto"/>
                <w:left w:val="none" w:sz="0" w:space="0" w:color="auto"/>
                <w:bottom w:val="none" w:sz="0" w:space="0" w:color="auto"/>
                <w:right w:val="none" w:sz="0" w:space="0" w:color="auto"/>
              </w:divBdr>
            </w:div>
            <w:div w:id="1452020644">
              <w:marLeft w:val="0"/>
              <w:marRight w:val="0"/>
              <w:marTop w:val="0"/>
              <w:marBottom w:val="0"/>
              <w:divBdr>
                <w:top w:val="none" w:sz="0" w:space="0" w:color="auto"/>
                <w:left w:val="none" w:sz="0" w:space="0" w:color="auto"/>
                <w:bottom w:val="none" w:sz="0" w:space="0" w:color="auto"/>
                <w:right w:val="none" w:sz="0" w:space="0" w:color="auto"/>
              </w:divBdr>
            </w:div>
            <w:div w:id="2125610715">
              <w:marLeft w:val="0"/>
              <w:marRight w:val="0"/>
              <w:marTop w:val="0"/>
              <w:marBottom w:val="0"/>
              <w:divBdr>
                <w:top w:val="none" w:sz="0" w:space="0" w:color="auto"/>
                <w:left w:val="none" w:sz="0" w:space="0" w:color="auto"/>
                <w:bottom w:val="none" w:sz="0" w:space="0" w:color="auto"/>
                <w:right w:val="none" w:sz="0" w:space="0" w:color="auto"/>
              </w:divBdr>
            </w:div>
            <w:div w:id="1662465510">
              <w:marLeft w:val="0"/>
              <w:marRight w:val="0"/>
              <w:marTop w:val="0"/>
              <w:marBottom w:val="0"/>
              <w:divBdr>
                <w:top w:val="none" w:sz="0" w:space="0" w:color="auto"/>
                <w:left w:val="none" w:sz="0" w:space="0" w:color="auto"/>
                <w:bottom w:val="none" w:sz="0" w:space="0" w:color="auto"/>
                <w:right w:val="none" w:sz="0" w:space="0" w:color="auto"/>
              </w:divBdr>
            </w:div>
            <w:div w:id="1573538992">
              <w:marLeft w:val="0"/>
              <w:marRight w:val="0"/>
              <w:marTop w:val="0"/>
              <w:marBottom w:val="0"/>
              <w:divBdr>
                <w:top w:val="none" w:sz="0" w:space="0" w:color="auto"/>
                <w:left w:val="none" w:sz="0" w:space="0" w:color="auto"/>
                <w:bottom w:val="none" w:sz="0" w:space="0" w:color="auto"/>
                <w:right w:val="none" w:sz="0" w:space="0" w:color="auto"/>
              </w:divBdr>
            </w:div>
            <w:div w:id="132725068">
              <w:marLeft w:val="0"/>
              <w:marRight w:val="0"/>
              <w:marTop w:val="0"/>
              <w:marBottom w:val="0"/>
              <w:divBdr>
                <w:top w:val="none" w:sz="0" w:space="0" w:color="auto"/>
                <w:left w:val="none" w:sz="0" w:space="0" w:color="auto"/>
                <w:bottom w:val="none" w:sz="0" w:space="0" w:color="auto"/>
                <w:right w:val="none" w:sz="0" w:space="0" w:color="auto"/>
              </w:divBdr>
            </w:div>
            <w:div w:id="949123911">
              <w:marLeft w:val="0"/>
              <w:marRight w:val="0"/>
              <w:marTop w:val="0"/>
              <w:marBottom w:val="0"/>
              <w:divBdr>
                <w:top w:val="none" w:sz="0" w:space="0" w:color="auto"/>
                <w:left w:val="none" w:sz="0" w:space="0" w:color="auto"/>
                <w:bottom w:val="none" w:sz="0" w:space="0" w:color="auto"/>
                <w:right w:val="none" w:sz="0" w:space="0" w:color="auto"/>
              </w:divBdr>
            </w:div>
            <w:div w:id="1858040840">
              <w:marLeft w:val="0"/>
              <w:marRight w:val="0"/>
              <w:marTop w:val="0"/>
              <w:marBottom w:val="0"/>
              <w:divBdr>
                <w:top w:val="none" w:sz="0" w:space="0" w:color="auto"/>
                <w:left w:val="none" w:sz="0" w:space="0" w:color="auto"/>
                <w:bottom w:val="none" w:sz="0" w:space="0" w:color="auto"/>
                <w:right w:val="none" w:sz="0" w:space="0" w:color="auto"/>
              </w:divBdr>
            </w:div>
            <w:div w:id="665693">
              <w:marLeft w:val="0"/>
              <w:marRight w:val="0"/>
              <w:marTop w:val="0"/>
              <w:marBottom w:val="0"/>
              <w:divBdr>
                <w:top w:val="none" w:sz="0" w:space="0" w:color="auto"/>
                <w:left w:val="none" w:sz="0" w:space="0" w:color="auto"/>
                <w:bottom w:val="none" w:sz="0" w:space="0" w:color="auto"/>
                <w:right w:val="none" w:sz="0" w:space="0" w:color="auto"/>
              </w:divBdr>
            </w:div>
            <w:div w:id="499123232">
              <w:marLeft w:val="0"/>
              <w:marRight w:val="0"/>
              <w:marTop w:val="0"/>
              <w:marBottom w:val="0"/>
              <w:divBdr>
                <w:top w:val="none" w:sz="0" w:space="0" w:color="auto"/>
                <w:left w:val="none" w:sz="0" w:space="0" w:color="auto"/>
                <w:bottom w:val="none" w:sz="0" w:space="0" w:color="auto"/>
                <w:right w:val="none" w:sz="0" w:space="0" w:color="auto"/>
              </w:divBdr>
            </w:div>
            <w:div w:id="1312708105">
              <w:marLeft w:val="0"/>
              <w:marRight w:val="0"/>
              <w:marTop w:val="0"/>
              <w:marBottom w:val="0"/>
              <w:divBdr>
                <w:top w:val="none" w:sz="0" w:space="0" w:color="auto"/>
                <w:left w:val="none" w:sz="0" w:space="0" w:color="auto"/>
                <w:bottom w:val="none" w:sz="0" w:space="0" w:color="auto"/>
                <w:right w:val="none" w:sz="0" w:space="0" w:color="auto"/>
              </w:divBdr>
            </w:div>
            <w:div w:id="773744961">
              <w:marLeft w:val="0"/>
              <w:marRight w:val="0"/>
              <w:marTop w:val="0"/>
              <w:marBottom w:val="0"/>
              <w:divBdr>
                <w:top w:val="none" w:sz="0" w:space="0" w:color="auto"/>
                <w:left w:val="none" w:sz="0" w:space="0" w:color="auto"/>
                <w:bottom w:val="none" w:sz="0" w:space="0" w:color="auto"/>
                <w:right w:val="none" w:sz="0" w:space="0" w:color="auto"/>
              </w:divBdr>
            </w:div>
            <w:div w:id="2121365897">
              <w:marLeft w:val="0"/>
              <w:marRight w:val="0"/>
              <w:marTop w:val="0"/>
              <w:marBottom w:val="0"/>
              <w:divBdr>
                <w:top w:val="none" w:sz="0" w:space="0" w:color="auto"/>
                <w:left w:val="none" w:sz="0" w:space="0" w:color="auto"/>
                <w:bottom w:val="none" w:sz="0" w:space="0" w:color="auto"/>
                <w:right w:val="none" w:sz="0" w:space="0" w:color="auto"/>
              </w:divBdr>
            </w:div>
            <w:div w:id="657460271">
              <w:marLeft w:val="0"/>
              <w:marRight w:val="0"/>
              <w:marTop w:val="0"/>
              <w:marBottom w:val="0"/>
              <w:divBdr>
                <w:top w:val="none" w:sz="0" w:space="0" w:color="auto"/>
                <w:left w:val="none" w:sz="0" w:space="0" w:color="auto"/>
                <w:bottom w:val="none" w:sz="0" w:space="0" w:color="auto"/>
                <w:right w:val="none" w:sz="0" w:space="0" w:color="auto"/>
              </w:divBdr>
            </w:div>
            <w:div w:id="1775400699">
              <w:marLeft w:val="0"/>
              <w:marRight w:val="0"/>
              <w:marTop w:val="0"/>
              <w:marBottom w:val="0"/>
              <w:divBdr>
                <w:top w:val="none" w:sz="0" w:space="0" w:color="auto"/>
                <w:left w:val="none" w:sz="0" w:space="0" w:color="auto"/>
                <w:bottom w:val="none" w:sz="0" w:space="0" w:color="auto"/>
                <w:right w:val="none" w:sz="0" w:space="0" w:color="auto"/>
              </w:divBdr>
            </w:div>
            <w:div w:id="895822555">
              <w:marLeft w:val="0"/>
              <w:marRight w:val="0"/>
              <w:marTop w:val="0"/>
              <w:marBottom w:val="0"/>
              <w:divBdr>
                <w:top w:val="none" w:sz="0" w:space="0" w:color="auto"/>
                <w:left w:val="none" w:sz="0" w:space="0" w:color="auto"/>
                <w:bottom w:val="none" w:sz="0" w:space="0" w:color="auto"/>
                <w:right w:val="none" w:sz="0" w:space="0" w:color="auto"/>
              </w:divBdr>
            </w:div>
            <w:div w:id="774978240">
              <w:marLeft w:val="0"/>
              <w:marRight w:val="0"/>
              <w:marTop w:val="0"/>
              <w:marBottom w:val="0"/>
              <w:divBdr>
                <w:top w:val="none" w:sz="0" w:space="0" w:color="auto"/>
                <w:left w:val="none" w:sz="0" w:space="0" w:color="auto"/>
                <w:bottom w:val="none" w:sz="0" w:space="0" w:color="auto"/>
                <w:right w:val="none" w:sz="0" w:space="0" w:color="auto"/>
              </w:divBdr>
            </w:div>
            <w:div w:id="1677684672">
              <w:marLeft w:val="0"/>
              <w:marRight w:val="0"/>
              <w:marTop w:val="0"/>
              <w:marBottom w:val="0"/>
              <w:divBdr>
                <w:top w:val="none" w:sz="0" w:space="0" w:color="auto"/>
                <w:left w:val="none" w:sz="0" w:space="0" w:color="auto"/>
                <w:bottom w:val="none" w:sz="0" w:space="0" w:color="auto"/>
                <w:right w:val="none" w:sz="0" w:space="0" w:color="auto"/>
              </w:divBdr>
            </w:div>
            <w:div w:id="1031614056">
              <w:marLeft w:val="0"/>
              <w:marRight w:val="0"/>
              <w:marTop w:val="0"/>
              <w:marBottom w:val="0"/>
              <w:divBdr>
                <w:top w:val="none" w:sz="0" w:space="0" w:color="auto"/>
                <w:left w:val="none" w:sz="0" w:space="0" w:color="auto"/>
                <w:bottom w:val="none" w:sz="0" w:space="0" w:color="auto"/>
                <w:right w:val="none" w:sz="0" w:space="0" w:color="auto"/>
              </w:divBdr>
            </w:div>
            <w:div w:id="1505054897">
              <w:marLeft w:val="0"/>
              <w:marRight w:val="0"/>
              <w:marTop w:val="0"/>
              <w:marBottom w:val="0"/>
              <w:divBdr>
                <w:top w:val="none" w:sz="0" w:space="0" w:color="auto"/>
                <w:left w:val="none" w:sz="0" w:space="0" w:color="auto"/>
                <w:bottom w:val="none" w:sz="0" w:space="0" w:color="auto"/>
                <w:right w:val="none" w:sz="0" w:space="0" w:color="auto"/>
              </w:divBdr>
            </w:div>
            <w:div w:id="932710006">
              <w:marLeft w:val="0"/>
              <w:marRight w:val="0"/>
              <w:marTop w:val="0"/>
              <w:marBottom w:val="0"/>
              <w:divBdr>
                <w:top w:val="none" w:sz="0" w:space="0" w:color="auto"/>
                <w:left w:val="none" w:sz="0" w:space="0" w:color="auto"/>
                <w:bottom w:val="none" w:sz="0" w:space="0" w:color="auto"/>
                <w:right w:val="none" w:sz="0" w:space="0" w:color="auto"/>
              </w:divBdr>
            </w:div>
            <w:div w:id="1686319574">
              <w:marLeft w:val="0"/>
              <w:marRight w:val="0"/>
              <w:marTop w:val="0"/>
              <w:marBottom w:val="0"/>
              <w:divBdr>
                <w:top w:val="none" w:sz="0" w:space="0" w:color="auto"/>
                <w:left w:val="none" w:sz="0" w:space="0" w:color="auto"/>
                <w:bottom w:val="none" w:sz="0" w:space="0" w:color="auto"/>
                <w:right w:val="none" w:sz="0" w:space="0" w:color="auto"/>
              </w:divBdr>
            </w:div>
            <w:div w:id="1714504566">
              <w:marLeft w:val="0"/>
              <w:marRight w:val="0"/>
              <w:marTop w:val="0"/>
              <w:marBottom w:val="0"/>
              <w:divBdr>
                <w:top w:val="none" w:sz="0" w:space="0" w:color="auto"/>
                <w:left w:val="none" w:sz="0" w:space="0" w:color="auto"/>
                <w:bottom w:val="none" w:sz="0" w:space="0" w:color="auto"/>
                <w:right w:val="none" w:sz="0" w:space="0" w:color="auto"/>
              </w:divBdr>
            </w:div>
            <w:div w:id="575163843">
              <w:marLeft w:val="0"/>
              <w:marRight w:val="0"/>
              <w:marTop w:val="0"/>
              <w:marBottom w:val="0"/>
              <w:divBdr>
                <w:top w:val="none" w:sz="0" w:space="0" w:color="auto"/>
                <w:left w:val="none" w:sz="0" w:space="0" w:color="auto"/>
                <w:bottom w:val="none" w:sz="0" w:space="0" w:color="auto"/>
                <w:right w:val="none" w:sz="0" w:space="0" w:color="auto"/>
              </w:divBdr>
            </w:div>
            <w:div w:id="1103769458">
              <w:marLeft w:val="0"/>
              <w:marRight w:val="0"/>
              <w:marTop w:val="0"/>
              <w:marBottom w:val="0"/>
              <w:divBdr>
                <w:top w:val="none" w:sz="0" w:space="0" w:color="auto"/>
                <w:left w:val="none" w:sz="0" w:space="0" w:color="auto"/>
                <w:bottom w:val="none" w:sz="0" w:space="0" w:color="auto"/>
                <w:right w:val="none" w:sz="0" w:space="0" w:color="auto"/>
              </w:divBdr>
            </w:div>
            <w:div w:id="820729529">
              <w:marLeft w:val="0"/>
              <w:marRight w:val="0"/>
              <w:marTop w:val="0"/>
              <w:marBottom w:val="0"/>
              <w:divBdr>
                <w:top w:val="none" w:sz="0" w:space="0" w:color="auto"/>
                <w:left w:val="none" w:sz="0" w:space="0" w:color="auto"/>
                <w:bottom w:val="none" w:sz="0" w:space="0" w:color="auto"/>
                <w:right w:val="none" w:sz="0" w:space="0" w:color="auto"/>
              </w:divBdr>
            </w:div>
            <w:div w:id="531693961">
              <w:marLeft w:val="0"/>
              <w:marRight w:val="0"/>
              <w:marTop w:val="0"/>
              <w:marBottom w:val="0"/>
              <w:divBdr>
                <w:top w:val="none" w:sz="0" w:space="0" w:color="auto"/>
                <w:left w:val="none" w:sz="0" w:space="0" w:color="auto"/>
                <w:bottom w:val="none" w:sz="0" w:space="0" w:color="auto"/>
                <w:right w:val="none" w:sz="0" w:space="0" w:color="auto"/>
              </w:divBdr>
            </w:div>
            <w:div w:id="2129617281">
              <w:marLeft w:val="0"/>
              <w:marRight w:val="0"/>
              <w:marTop w:val="0"/>
              <w:marBottom w:val="0"/>
              <w:divBdr>
                <w:top w:val="none" w:sz="0" w:space="0" w:color="auto"/>
                <w:left w:val="none" w:sz="0" w:space="0" w:color="auto"/>
                <w:bottom w:val="none" w:sz="0" w:space="0" w:color="auto"/>
                <w:right w:val="none" w:sz="0" w:space="0" w:color="auto"/>
              </w:divBdr>
            </w:div>
            <w:div w:id="1008292554">
              <w:marLeft w:val="0"/>
              <w:marRight w:val="0"/>
              <w:marTop w:val="0"/>
              <w:marBottom w:val="0"/>
              <w:divBdr>
                <w:top w:val="none" w:sz="0" w:space="0" w:color="auto"/>
                <w:left w:val="none" w:sz="0" w:space="0" w:color="auto"/>
                <w:bottom w:val="none" w:sz="0" w:space="0" w:color="auto"/>
                <w:right w:val="none" w:sz="0" w:space="0" w:color="auto"/>
              </w:divBdr>
            </w:div>
            <w:div w:id="8148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12082">
      <w:bodyDiv w:val="1"/>
      <w:marLeft w:val="0"/>
      <w:marRight w:val="0"/>
      <w:marTop w:val="0"/>
      <w:marBottom w:val="0"/>
      <w:divBdr>
        <w:top w:val="none" w:sz="0" w:space="0" w:color="auto"/>
        <w:left w:val="none" w:sz="0" w:space="0" w:color="auto"/>
        <w:bottom w:val="none" w:sz="0" w:space="0" w:color="auto"/>
        <w:right w:val="none" w:sz="0" w:space="0" w:color="auto"/>
      </w:divBdr>
      <w:divsChild>
        <w:div w:id="1224023549">
          <w:marLeft w:val="0"/>
          <w:marRight w:val="0"/>
          <w:marTop w:val="0"/>
          <w:marBottom w:val="0"/>
          <w:divBdr>
            <w:top w:val="none" w:sz="0" w:space="0" w:color="auto"/>
            <w:left w:val="none" w:sz="0" w:space="0" w:color="auto"/>
            <w:bottom w:val="none" w:sz="0" w:space="0" w:color="auto"/>
            <w:right w:val="none" w:sz="0" w:space="0" w:color="auto"/>
          </w:divBdr>
        </w:div>
      </w:divsChild>
    </w:div>
    <w:div w:id="1962153995">
      <w:bodyDiv w:val="1"/>
      <w:marLeft w:val="0"/>
      <w:marRight w:val="0"/>
      <w:marTop w:val="0"/>
      <w:marBottom w:val="0"/>
      <w:divBdr>
        <w:top w:val="none" w:sz="0" w:space="0" w:color="auto"/>
        <w:left w:val="none" w:sz="0" w:space="0" w:color="auto"/>
        <w:bottom w:val="none" w:sz="0" w:space="0" w:color="auto"/>
        <w:right w:val="none" w:sz="0" w:space="0" w:color="auto"/>
      </w:divBdr>
      <w:divsChild>
        <w:div w:id="1330019900">
          <w:marLeft w:val="0"/>
          <w:marRight w:val="0"/>
          <w:marTop w:val="0"/>
          <w:marBottom w:val="0"/>
          <w:divBdr>
            <w:top w:val="none" w:sz="0" w:space="0" w:color="auto"/>
            <w:left w:val="none" w:sz="0" w:space="0" w:color="auto"/>
            <w:bottom w:val="none" w:sz="0" w:space="0" w:color="auto"/>
            <w:right w:val="none" w:sz="0" w:space="0" w:color="auto"/>
          </w:divBdr>
        </w:div>
      </w:divsChild>
    </w:div>
    <w:div w:id="1997492987">
      <w:bodyDiv w:val="1"/>
      <w:marLeft w:val="0"/>
      <w:marRight w:val="0"/>
      <w:marTop w:val="0"/>
      <w:marBottom w:val="0"/>
      <w:divBdr>
        <w:top w:val="none" w:sz="0" w:space="0" w:color="auto"/>
        <w:left w:val="none" w:sz="0" w:space="0" w:color="auto"/>
        <w:bottom w:val="none" w:sz="0" w:space="0" w:color="auto"/>
        <w:right w:val="none" w:sz="0" w:space="0" w:color="auto"/>
      </w:divBdr>
      <w:divsChild>
        <w:div w:id="1404178237">
          <w:marLeft w:val="0"/>
          <w:marRight w:val="0"/>
          <w:marTop w:val="0"/>
          <w:marBottom w:val="0"/>
          <w:divBdr>
            <w:top w:val="none" w:sz="0" w:space="0" w:color="auto"/>
            <w:left w:val="none" w:sz="0" w:space="0" w:color="auto"/>
            <w:bottom w:val="none" w:sz="0" w:space="0" w:color="auto"/>
            <w:right w:val="none" w:sz="0" w:space="0" w:color="auto"/>
          </w:divBdr>
        </w:div>
        <w:div w:id="888567887">
          <w:marLeft w:val="0"/>
          <w:marRight w:val="0"/>
          <w:marTop w:val="0"/>
          <w:marBottom w:val="0"/>
          <w:divBdr>
            <w:top w:val="none" w:sz="0" w:space="0" w:color="auto"/>
            <w:left w:val="none" w:sz="0" w:space="0" w:color="auto"/>
            <w:bottom w:val="none" w:sz="0" w:space="0" w:color="auto"/>
            <w:right w:val="none" w:sz="0" w:space="0" w:color="auto"/>
          </w:divBdr>
        </w:div>
        <w:div w:id="329211134">
          <w:marLeft w:val="0"/>
          <w:marRight w:val="0"/>
          <w:marTop w:val="0"/>
          <w:marBottom w:val="0"/>
          <w:divBdr>
            <w:top w:val="none" w:sz="0" w:space="0" w:color="auto"/>
            <w:left w:val="none" w:sz="0" w:space="0" w:color="auto"/>
            <w:bottom w:val="none" w:sz="0" w:space="0" w:color="auto"/>
            <w:right w:val="none" w:sz="0" w:space="0" w:color="auto"/>
          </w:divBdr>
        </w:div>
        <w:div w:id="680858189">
          <w:marLeft w:val="0"/>
          <w:marRight w:val="0"/>
          <w:marTop w:val="0"/>
          <w:marBottom w:val="0"/>
          <w:divBdr>
            <w:top w:val="none" w:sz="0" w:space="0" w:color="auto"/>
            <w:left w:val="none" w:sz="0" w:space="0" w:color="auto"/>
            <w:bottom w:val="none" w:sz="0" w:space="0" w:color="auto"/>
            <w:right w:val="none" w:sz="0" w:space="0" w:color="auto"/>
          </w:divBdr>
        </w:div>
        <w:div w:id="673335384">
          <w:marLeft w:val="0"/>
          <w:marRight w:val="0"/>
          <w:marTop w:val="0"/>
          <w:marBottom w:val="0"/>
          <w:divBdr>
            <w:top w:val="none" w:sz="0" w:space="0" w:color="auto"/>
            <w:left w:val="none" w:sz="0" w:space="0" w:color="auto"/>
            <w:bottom w:val="none" w:sz="0" w:space="0" w:color="auto"/>
            <w:right w:val="none" w:sz="0" w:space="0" w:color="auto"/>
          </w:divBdr>
        </w:div>
        <w:div w:id="2130007437">
          <w:marLeft w:val="0"/>
          <w:marRight w:val="0"/>
          <w:marTop w:val="0"/>
          <w:marBottom w:val="0"/>
          <w:divBdr>
            <w:top w:val="none" w:sz="0" w:space="0" w:color="auto"/>
            <w:left w:val="none" w:sz="0" w:space="0" w:color="auto"/>
            <w:bottom w:val="none" w:sz="0" w:space="0" w:color="auto"/>
            <w:right w:val="none" w:sz="0" w:space="0" w:color="auto"/>
          </w:divBdr>
        </w:div>
        <w:div w:id="863979440">
          <w:marLeft w:val="0"/>
          <w:marRight w:val="0"/>
          <w:marTop w:val="0"/>
          <w:marBottom w:val="0"/>
          <w:divBdr>
            <w:top w:val="none" w:sz="0" w:space="0" w:color="auto"/>
            <w:left w:val="none" w:sz="0" w:space="0" w:color="auto"/>
            <w:bottom w:val="none" w:sz="0" w:space="0" w:color="auto"/>
            <w:right w:val="none" w:sz="0" w:space="0" w:color="auto"/>
          </w:divBdr>
        </w:div>
        <w:div w:id="1237401604">
          <w:marLeft w:val="0"/>
          <w:marRight w:val="0"/>
          <w:marTop w:val="0"/>
          <w:marBottom w:val="0"/>
          <w:divBdr>
            <w:top w:val="none" w:sz="0" w:space="0" w:color="auto"/>
            <w:left w:val="none" w:sz="0" w:space="0" w:color="auto"/>
            <w:bottom w:val="none" w:sz="0" w:space="0" w:color="auto"/>
            <w:right w:val="none" w:sz="0" w:space="0" w:color="auto"/>
          </w:divBdr>
        </w:div>
        <w:div w:id="2064257013">
          <w:marLeft w:val="0"/>
          <w:marRight w:val="0"/>
          <w:marTop w:val="0"/>
          <w:marBottom w:val="0"/>
          <w:divBdr>
            <w:top w:val="none" w:sz="0" w:space="0" w:color="auto"/>
            <w:left w:val="none" w:sz="0" w:space="0" w:color="auto"/>
            <w:bottom w:val="none" w:sz="0" w:space="0" w:color="auto"/>
            <w:right w:val="none" w:sz="0" w:space="0" w:color="auto"/>
          </w:divBdr>
        </w:div>
        <w:div w:id="747313413">
          <w:marLeft w:val="0"/>
          <w:marRight w:val="0"/>
          <w:marTop w:val="0"/>
          <w:marBottom w:val="0"/>
          <w:divBdr>
            <w:top w:val="none" w:sz="0" w:space="0" w:color="auto"/>
            <w:left w:val="none" w:sz="0" w:space="0" w:color="auto"/>
            <w:bottom w:val="none" w:sz="0" w:space="0" w:color="auto"/>
            <w:right w:val="none" w:sz="0" w:space="0" w:color="auto"/>
          </w:divBdr>
        </w:div>
      </w:divsChild>
    </w:div>
    <w:div w:id="2009475612">
      <w:bodyDiv w:val="1"/>
      <w:marLeft w:val="0"/>
      <w:marRight w:val="0"/>
      <w:marTop w:val="0"/>
      <w:marBottom w:val="0"/>
      <w:divBdr>
        <w:top w:val="none" w:sz="0" w:space="0" w:color="auto"/>
        <w:left w:val="none" w:sz="0" w:space="0" w:color="auto"/>
        <w:bottom w:val="none" w:sz="0" w:space="0" w:color="auto"/>
        <w:right w:val="none" w:sz="0" w:space="0" w:color="auto"/>
      </w:divBdr>
      <w:divsChild>
        <w:div w:id="1214735188">
          <w:marLeft w:val="0"/>
          <w:marRight w:val="0"/>
          <w:marTop w:val="0"/>
          <w:marBottom w:val="0"/>
          <w:divBdr>
            <w:top w:val="none" w:sz="0" w:space="0" w:color="auto"/>
            <w:left w:val="none" w:sz="0" w:space="0" w:color="auto"/>
            <w:bottom w:val="none" w:sz="0" w:space="0" w:color="auto"/>
            <w:right w:val="none" w:sz="0" w:space="0" w:color="auto"/>
          </w:divBdr>
        </w:div>
        <w:div w:id="612636039">
          <w:marLeft w:val="0"/>
          <w:marRight w:val="0"/>
          <w:marTop w:val="0"/>
          <w:marBottom w:val="0"/>
          <w:divBdr>
            <w:top w:val="none" w:sz="0" w:space="0" w:color="auto"/>
            <w:left w:val="none" w:sz="0" w:space="0" w:color="auto"/>
            <w:bottom w:val="none" w:sz="0" w:space="0" w:color="auto"/>
            <w:right w:val="none" w:sz="0" w:space="0" w:color="auto"/>
          </w:divBdr>
        </w:div>
        <w:div w:id="1658070056">
          <w:marLeft w:val="0"/>
          <w:marRight w:val="0"/>
          <w:marTop w:val="0"/>
          <w:marBottom w:val="0"/>
          <w:divBdr>
            <w:top w:val="none" w:sz="0" w:space="0" w:color="auto"/>
            <w:left w:val="none" w:sz="0" w:space="0" w:color="auto"/>
            <w:bottom w:val="none" w:sz="0" w:space="0" w:color="auto"/>
            <w:right w:val="none" w:sz="0" w:space="0" w:color="auto"/>
          </w:divBdr>
        </w:div>
        <w:div w:id="319384800">
          <w:marLeft w:val="0"/>
          <w:marRight w:val="0"/>
          <w:marTop w:val="0"/>
          <w:marBottom w:val="0"/>
          <w:divBdr>
            <w:top w:val="none" w:sz="0" w:space="0" w:color="auto"/>
            <w:left w:val="none" w:sz="0" w:space="0" w:color="auto"/>
            <w:bottom w:val="none" w:sz="0" w:space="0" w:color="auto"/>
            <w:right w:val="none" w:sz="0" w:space="0" w:color="auto"/>
          </w:divBdr>
        </w:div>
        <w:div w:id="2113738004">
          <w:marLeft w:val="0"/>
          <w:marRight w:val="0"/>
          <w:marTop w:val="0"/>
          <w:marBottom w:val="0"/>
          <w:divBdr>
            <w:top w:val="none" w:sz="0" w:space="0" w:color="auto"/>
            <w:left w:val="none" w:sz="0" w:space="0" w:color="auto"/>
            <w:bottom w:val="none" w:sz="0" w:space="0" w:color="auto"/>
            <w:right w:val="none" w:sz="0" w:space="0" w:color="auto"/>
          </w:divBdr>
        </w:div>
        <w:div w:id="985088199">
          <w:marLeft w:val="0"/>
          <w:marRight w:val="0"/>
          <w:marTop w:val="0"/>
          <w:marBottom w:val="0"/>
          <w:divBdr>
            <w:top w:val="none" w:sz="0" w:space="0" w:color="auto"/>
            <w:left w:val="none" w:sz="0" w:space="0" w:color="auto"/>
            <w:bottom w:val="none" w:sz="0" w:space="0" w:color="auto"/>
            <w:right w:val="none" w:sz="0" w:space="0" w:color="auto"/>
          </w:divBdr>
        </w:div>
        <w:div w:id="535776324">
          <w:marLeft w:val="0"/>
          <w:marRight w:val="0"/>
          <w:marTop w:val="0"/>
          <w:marBottom w:val="0"/>
          <w:divBdr>
            <w:top w:val="none" w:sz="0" w:space="0" w:color="auto"/>
            <w:left w:val="none" w:sz="0" w:space="0" w:color="auto"/>
            <w:bottom w:val="none" w:sz="0" w:space="0" w:color="auto"/>
            <w:right w:val="none" w:sz="0" w:space="0" w:color="auto"/>
          </w:divBdr>
        </w:div>
        <w:div w:id="1986808911">
          <w:marLeft w:val="0"/>
          <w:marRight w:val="0"/>
          <w:marTop w:val="0"/>
          <w:marBottom w:val="0"/>
          <w:divBdr>
            <w:top w:val="none" w:sz="0" w:space="0" w:color="auto"/>
            <w:left w:val="none" w:sz="0" w:space="0" w:color="auto"/>
            <w:bottom w:val="none" w:sz="0" w:space="0" w:color="auto"/>
            <w:right w:val="none" w:sz="0" w:space="0" w:color="auto"/>
          </w:divBdr>
        </w:div>
        <w:div w:id="475031737">
          <w:marLeft w:val="0"/>
          <w:marRight w:val="0"/>
          <w:marTop w:val="0"/>
          <w:marBottom w:val="0"/>
          <w:divBdr>
            <w:top w:val="none" w:sz="0" w:space="0" w:color="auto"/>
            <w:left w:val="none" w:sz="0" w:space="0" w:color="auto"/>
            <w:bottom w:val="none" w:sz="0" w:space="0" w:color="auto"/>
            <w:right w:val="none" w:sz="0" w:space="0" w:color="auto"/>
          </w:divBdr>
        </w:div>
        <w:div w:id="767039275">
          <w:marLeft w:val="0"/>
          <w:marRight w:val="0"/>
          <w:marTop w:val="0"/>
          <w:marBottom w:val="0"/>
          <w:divBdr>
            <w:top w:val="none" w:sz="0" w:space="0" w:color="auto"/>
            <w:left w:val="none" w:sz="0" w:space="0" w:color="auto"/>
            <w:bottom w:val="none" w:sz="0" w:space="0" w:color="auto"/>
            <w:right w:val="none" w:sz="0" w:space="0" w:color="auto"/>
          </w:divBdr>
        </w:div>
        <w:div w:id="1373504814">
          <w:marLeft w:val="0"/>
          <w:marRight w:val="0"/>
          <w:marTop w:val="0"/>
          <w:marBottom w:val="0"/>
          <w:divBdr>
            <w:top w:val="none" w:sz="0" w:space="0" w:color="auto"/>
            <w:left w:val="none" w:sz="0" w:space="0" w:color="auto"/>
            <w:bottom w:val="none" w:sz="0" w:space="0" w:color="auto"/>
            <w:right w:val="none" w:sz="0" w:space="0" w:color="auto"/>
          </w:divBdr>
        </w:div>
        <w:div w:id="761342443">
          <w:marLeft w:val="0"/>
          <w:marRight w:val="0"/>
          <w:marTop w:val="0"/>
          <w:marBottom w:val="0"/>
          <w:divBdr>
            <w:top w:val="none" w:sz="0" w:space="0" w:color="auto"/>
            <w:left w:val="none" w:sz="0" w:space="0" w:color="auto"/>
            <w:bottom w:val="none" w:sz="0" w:space="0" w:color="auto"/>
            <w:right w:val="none" w:sz="0" w:space="0" w:color="auto"/>
          </w:divBdr>
        </w:div>
        <w:div w:id="878667482">
          <w:marLeft w:val="0"/>
          <w:marRight w:val="0"/>
          <w:marTop w:val="0"/>
          <w:marBottom w:val="0"/>
          <w:divBdr>
            <w:top w:val="none" w:sz="0" w:space="0" w:color="auto"/>
            <w:left w:val="none" w:sz="0" w:space="0" w:color="auto"/>
            <w:bottom w:val="none" w:sz="0" w:space="0" w:color="auto"/>
            <w:right w:val="none" w:sz="0" w:space="0" w:color="auto"/>
          </w:divBdr>
        </w:div>
        <w:div w:id="1842968187">
          <w:marLeft w:val="0"/>
          <w:marRight w:val="0"/>
          <w:marTop w:val="0"/>
          <w:marBottom w:val="0"/>
          <w:divBdr>
            <w:top w:val="none" w:sz="0" w:space="0" w:color="auto"/>
            <w:left w:val="none" w:sz="0" w:space="0" w:color="auto"/>
            <w:bottom w:val="none" w:sz="0" w:space="0" w:color="auto"/>
            <w:right w:val="none" w:sz="0" w:space="0" w:color="auto"/>
          </w:divBdr>
        </w:div>
      </w:divsChild>
    </w:div>
    <w:div w:id="2041972711">
      <w:bodyDiv w:val="1"/>
      <w:marLeft w:val="0"/>
      <w:marRight w:val="0"/>
      <w:marTop w:val="0"/>
      <w:marBottom w:val="0"/>
      <w:divBdr>
        <w:top w:val="none" w:sz="0" w:space="0" w:color="auto"/>
        <w:left w:val="none" w:sz="0" w:space="0" w:color="auto"/>
        <w:bottom w:val="none" w:sz="0" w:space="0" w:color="auto"/>
        <w:right w:val="none" w:sz="0" w:space="0" w:color="auto"/>
      </w:divBdr>
      <w:divsChild>
        <w:div w:id="116070815">
          <w:marLeft w:val="0"/>
          <w:marRight w:val="0"/>
          <w:marTop w:val="0"/>
          <w:marBottom w:val="0"/>
          <w:divBdr>
            <w:top w:val="none" w:sz="0" w:space="0" w:color="auto"/>
            <w:left w:val="none" w:sz="0" w:space="0" w:color="auto"/>
            <w:bottom w:val="none" w:sz="0" w:space="0" w:color="auto"/>
            <w:right w:val="none" w:sz="0" w:space="0" w:color="auto"/>
          </w:divBdr>
        </w:div>
      </w:divsChild>
    </w:div>
    <w:div w:id="2043050317">
      <w:bodyDiv w:val="1"/>
      <w:marLeft w:val="0"/>
      <w:marRight w:val="0"/>
      <w:marTop w:val="0"/>
      <w:marBottom w:val="0"/>
      <w:divBdr>
        <w:top w:val="none" w:sz="0" w:space="0" w:color="auto"/>
        <w:left w:val="none" w:sz="0" w:space="0" w:color="auto"/>
        <w:bottom w:val="none" w:sz="0" w:space="0" w:color="auto"/>
        <w:right w:val="none" w:sz="0" w:space="0" w:color="auto"/>
      </w:divBdr>
      <w:divsChild>
        <w:div w:id="590897008">
          <w:marLeft w:val="0"/>
          <w:marRight w:val="0"/>
          <w:marTop w:val="0"/>
          <w:marBottom w:val="0"/>
          <w:divBdr>
            <w:top w:val="none" w:sz="0" w:space="0" w:color="auto"/>
            <w:left w:val="none" w:sz="0" w:space="0" w:color="auto"/>
            <w:bottom w:val="none" w:sz="0" w:space="0" w:color="auto"/>
            <w:right w:val="none" w:sz="0" w:space="0" w:color="auto"/>
          </w:divBdr>
        </w:div>
      </w:divsChild>
    </w:div>
    <w:div w:id="2068918627">
      <w:bodyDiv w:val="1"/>
      <w:marLeft w:val="0"/>
      <w:marRight w:val="0"/>
      <w:marTop w:val="0"/>
      <w:marBottom w:val="0"/>
      <w:divBdr>
        <w:top w:val="none" w:sz="0" w:space="0" w:color="auto"/>
        <w:left w:val="none" w:sz="0" w:space="0" w:color="auto"/>
        <w:bottom w:val="none" w:sz="0" w:space="0" w:color="auto"/>
        <w:right w:val="none" w:sz="0" w:space="0" w:color="auto"/>
      </w:divBdr>
      <w:divsChild>
        <w:div w:id="1979187615">
          <w:marLeft w:val="0"/>
          <w:marRight w:val="0"/>
          <w:marTop w:val="0"/>
          <w:marBottom w:val="0"/>
          <w:divBdr>
            <w:top w:val="none" w:sz="0" w:space="0" w:color="auto"/>
            <w:left w:val="none" w:sz="0" w:space="0" w:color="auto"/>
            <w:bottom w:val="none" w:sz="0" w:space="0" w:color="auto"/>
            <w:right w:val="none" w:sz="0" w:space="0" w:color="auto"/>
          </w:divBdr>
        </w:div>
        <w:div w:id="901067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ven-giegold.de/more-transparency-at-the-ecb/" TargetMode="External"/><Relationship Id="rId2" Type="http://schemas.openxmlformats.org/officeDocument/2006/relationships/hyperlink" Target="http://www.bverfg.de/e/rs20160621_2bvr272813en.html" TargetMode="External"/><Relationship Id="rId1" Type="http://schemas.openxmlformats.org/officeDocument/2006/relationships/hyperlink" Target="http://curia.europa.eu/juris/document/document.jsf?docid=161370&amp;doclang=FR" TargetMode="External"/><Relationship Id="rId4" Type="http://schemas.openxmlformats.org/officeDocument/2006/relationships/hyperlink" Target="https://www.ft.com/content/bc0175c4-ff2b-11e5-9cc4-27926f2b110c?mhq5j=e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3CF30C-D834-4624-A7BA-5445481ED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9568</Words>
  <Characters>54542</Characters>
  <Application>Microsoft Office Word</Application>
  <DocSecurity>0</DocSecurity>
  <Lines>454</Lines>
  <Paragraphs>127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dc:creator>
  <cp:lastModifiedBy>Clément Fontan</cp:lastModifiedBy>
  <cp:revision>2</cp:revision>
  <cp:lastPrinted>2016-09-13T14:58:00Z</cp:lastPrinted>
  <dcterms:created xsi:type="dcterms:W3CDTF">2019-06-03T13:42:00Z</dcterms:created>
  <dcterms:modified xsi:type="dcterms:W3CDTF">2019-06-03T13:42:00Z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zotero-version="5.0.55"&gt;&lt;session id="JYyAZ69R"/&gt;&lt;style id="http://www.zotero.org/styles/chicago-fullnote-bibliography" locale="fr-FR"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ies>
</file>