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892CF8" w14:textId="65544DDA" w:rsidR="00CE7EC7" w:rsidRDefault="00CE7EC7" w:rsidP="00CE7EC7">
      <w:pPr>
        <w:jc w:val="right"/>
        <w:rPr>
          <w:rFonts w:ascii="Arial" w:hAnsi="Arial" w:cs="Arial"/>
          <w:b/>
          <w:bCs/>
          <w:sz w:val="28"/>
          <w:szCs w:val="28"/>
        </w:rPr>
      </w:pPr>
      <w:r>
        <w:rPr>
          <w:rFonts w:ascii="Arial" w:hAnsi="Arial" w:cs="Arial"/>
          <w:b/>
          <w:bCs/>
          <w:sz w:val="28"/>
          <w:szCs w:val="28"/>
        </w:rPr>
        <w:t>L’entreprise neutre face à ses responsabilités vis-à-vis de la religion</w:t>
      </w:r>
    </w:p>
    <w:p w14:paraId="6E3B945C" w14:textId="7EB78A66" w:rsidR="004779AE" w:rsidRDefault="004779AE" w:rsidP="00CE7EC7">
      <w:pPr>
        <w:jc w:val="right"/>
        <w:rPr>
          <w:rFonts w:ascii="Arial" w:hAnsi="Arial" w:cs="Arial"/>
          <w:b/>
          <w:bCs/>
          <w:sz w:val="28"/>
          <w:szCs w:val="28"/>
        </w:rPr>
      </w:pPr>
    </w:p>
    <w:p w14:paraId="62456A5B" w14:textId="012DBF12" w:rsidR="004779AE" w:rsidRPr="004779AE" w:rsidRDefault="004779AE" w:rsidP="00CE7EC7">
      <w:pPr>
        <w:jc w:val="right"/>
        <w:rPr>
          <w:rFonts w:ascii="Arial" w:hAnsi="Arial" w:cs="Arial"/>
        </w:rPr>
      </w:pPr>
      <w:r w:rsidRPr="004779AE">
        <w:rPr>
          <w:rFonts w:ascii="Arial" w:hAnsi="Arial" w:cs="Arial"/>
        </w:rPr>
        <w:t xml:space="preserve">Léopold </w:t>
      </w:r>
      <w:r w:rsidRPr="004779AE">
        <w:rPr>
          <w:rFonts w:ascii="Arial" w:hAnsi="Arial" w:cs="Arial"/>
          <w:smallCaps/>
        </w:rPr>
        <w:t>Vanbellingen</w:t>
      </w:r>
    </w:p>
    <w:p w14:paraId="088ACD34" w14:textId="77777777" w:rsidR="00CE7EC7" w:rsidRDefault="00CE7EC7" w:rsidP="00663540"/>
    <w:p w14:paraId="10CC93E0" w14:textId="5F8EE8EE" w:rsidR="00663540" w:rsidRPr="008E33D0" w:rsidRDefault="00E86C05" w:rsidP="00663540">
      <w:r w:rsidRPr="008E33D0">
        <w:t xml:space="preserve">Cette recherche </w:t>
      </w:r>
      <w:r w:rsidR="00015CA8">
        <w:t>propose une confrontation juridique entre</w:t>
      </w:r>
      <w:r w:rsidRPr="008E33D0">
        <w:t xml:space="preserve"> deux tendances conjointes, relatives l’une et l’autre à la place et au rôle dévolus à l’entreprise au sein de nos sociétés contemporaines</w:t>
      </w:r>
      <w:r w:rsidR="008E33D0" w:rsidRPr="008E33D0">
        <w:t>.</w:t>
      </w:r>
      <w:r w:rsidR="00015CA8">
        <w:rPr>
          <w:rStyle w:val="Appelnotedebasdep"/>
        </w:rPr>
        <w:footnoteReference w:id="1"/>
      </w:r>
    </w:p>
    <w:p w14:paraId="2DAD5352" w14:textId="69F5BE4C" w:rsidR="006032EA" w:rsidRPr="001209B3" w:rsidRDefault="00EB08C7" w:rsidP="008E33D0">
      <w:pPr>
        <w:rPr>
          <w:szCs w:val="24"/>
        </w:rPr>
      </w:pPr>
      <w:r>
        <w:t xml:space="preserve">La première de ces tendances correspond au débat, tant sociétal qu’académique, </w:t>
      </w:r>
      <w:r w:rsidR="008E33D0" w:rsidRPr="008E33D0">
        <w:t>sur la nécessité</w:t>
      </w:r>
      <w:r w:rsidR="00E86C05" w:rsidRPr="008E33D0">
        <w:t xml:space="preserve"> d’une responsabilité accrue de l’entreprise, </w:t>
      </w:r>
      <w:r w:rsidR="004E2E68">
        <w:t>à travers</w:t>
      </w:r>
      <w:r w:rsidR="00E86C05" w:rsidRPr="008E33D0">
        <w:t xml:space="preserve"> l’idée de </w:t>
      </w:r>
      <w:r w:rsidR="00E86C05" w:rsidRPr="008E33D0">
        <w:rPr>
          <w:i/>
          <w:iCs/>
        </w:rPr>
        <w:t>responsabilité sociale de l’entreprise</w:t>
      </w:r>
      <w:r w:rsidR="00E86C05" w:rsidRPr="008E33D0">
        <w:t xml:space="preserve"> (RSE).</w:t>
      </w:r>
      <w:r w:rsidR="001A68F1">
        <w:rPr>
          <w:rStyle w:val="Appelnotedebasdep"/>
        </w:rPr>
        <w:footnoteReference w:id="2"/>
      </w:r>
      <w:r w:rsidR="008E33D0" w:rsidRPr="008E33D0">
        <w:t xml:space="preserve"> </w:t>
      </w:r>
      <w:r w:rsidR="00E86C05" w:rsidRPr="008E33D0">
        <w:t xml:space="preserve">Pour rappel, </w:t>
      </w:r>
      <w:r w:rsidR="008E33D0">
        <w:t>l’</w:t>
      </w:r>
      <w:r w:rsidR="00E86C05" w:rsidRPr="008E33D0">
        <w:t>idée de RSE répond au constat selon lequel les entreprises ont un rôle et un impact grandissant</w:t>
      </w:r>
      <w:r w:rsidR="008E33D0" w:rsidRPr="008E33D0">
        <w:t>s</w:t>
      </w:r>
      <w:r w:rsidR="00E86C05" w:rsidRPr="008E33D0">
        <w:t xml:space="preserve"> au sein de leur environnement sociétal. Cette prise d’influence de l’entreprise dans la société se manifeste</w:t>
      </w:r>
      <w:r w:rsidR="008E33D0" w:rsidRPr="008E33D0">
        <w:t xml:space="preserve"> – ou s’explique –</w:t>
      </w:r>
      <w:r w:rsidR="00E86C05" w:rsidRPr="008E33D0">
        <w:t xml:space="preserve"> </w:t>
      </w:r>
      <w:r w:rsidR="00015CA8">
        <w:t>en particulier</w:t>
      </w:r>
      <w:r w:rsidR="00E86C05" w:rsidRPr="008E33D0">
        <w:t xml:space="preserve"> à travers la privatisation de missions </w:t>
      </w:r>
      <w:r w:rsidR="008E33D0" w:rsidRPr="008E33D0">
        <w:t xml:space="preserve">de service public ou d’intérêt général </w:t>
      </w:r>
      <w:r w:rsidR="00E86C05" w:rsidRPr="008E33D0">
        <w:t>autrefois assurées par l’Etat</w:t>
      </w:r>
      <w:r w:rsidR="008E33D0" w:rsidRPr="008E33D0">
        <w:t xml:space="preserve">, </w:t>
      </w:r>
      <w:r w:rsidR="00E86C05" w:rsidRPr="008E33D0">
        <w:t>l’accélération de la mondialisation des échanges</w:t>
      </w:r>
      <w:r w:rsidR="008E33D0" w:rsidRPr="008E33D0">
        <w:t xml:space="preserve">, ainsi que </w:t>
      </w:r>
      <w:r w:rsidR="00E86C05" w:rsidRPr="008E33D0">
        <w:t>la désétatisation de la production normative</w:t>
      </w:r>
      <w:r w:rsidR="008E33D0" w:rsidRPr="008E33D0">
        <w:t xml:space="preserve"> </w:t>
      </w:r>
      <w:r w:rsidR="00E86C05" w:rsidRPr="008E33D0">
        <w:t>au profit des organisations internationales et/ou privées</w:t>
      </w:r>
      <w:r w:rsidR="00E86C05" w:rsidRPr="006032EA">
        <w:rPr>
          <w:sz w:val="24"/>
          <w:szCs w:val="24"/>
        </w:rPr>
        <w:t>.</w:t>
      </w:r>
      <w:r w:rsidR="006032EA" w:rsidRPr="006032EA">
        <w:rPr>
          <w:rFonts w:eastAsiaTheme="minorHAnsi" w:cs="FrutigerLTStd-Roman"/>
          <w:sz w:val="24"/>
          <w:szCs w:val="24"/>
          <w:vertAlign w:val="superscript"/>
        </w:rPr>
        <w:footnoteReference w:id="3"/>
      </w:r>
    </w:p>
    <w:p w14:paraId="7B830F5D" w14:textId="2F96458F" w:rsidR="00E86C05" w:rsidRDefault="008E33D0" w:rsidP="00663540">
      <w:r>
        <w:lastRenderedPageBreak/>
        <w:t>La seconde tendance</w:t>
      </w:r>
      <w:r w:rsidR="00E86C05" w:rsidRPr="00FD5BEA">
        <w:t xml:space="preserve"> correspond au recours de plus en plus fréquent, par les entreprises privées, à la notion </w:t>
      </w:r>
      <w:r w:rsidR="00E86C05" w:rsidRPr="008E33D0">
        <w:t xml:space="preserve">de </w:t>
      </w:r>
      <w:r w:rsidR="00E86C05" w:rsidRPr="008E33D0">
        <w:rPr>
          <w:i/>
          <w:iCs/>
        </w:rPr>
        <w:t>neutralité religieuse</w:t>
      </w:r>
      <w:r w:rsidR="00E86C05" w:rsidRPr="008E33D0">
        <w:t>. Depuis</w:t>
      </w:r>
      <w:r w:rsidR="00E86C05" w:rsidRPr="00FD5BEA">
        <w:t xml:space="preserve"> une dizaine d’années, nombre d’employeurs </w:t>
      </w:r>
      <w:r w:rsidR="00E86C05" w:rsidRPr="008E33D0">
        <w:t xml:space="preserve">en France et en Belgique invoquent </w:t>
      </w:r>
      <w:r w:rsidR="00982261">
        <w:t>la</w:t>
      </w:r>
      <w:r w:rsidR="00E86C05" w:rsidRPr="008E33D0">
        <w:t xml:space="preserve"> neutralité</w:t>
      </w:r>
      <w:r w:rsidR="00982261">
        <w:t xml:space="preserve"> – ou, le cas échéant, la laïcité –</w:t>
      </w:r>
      <w:r w:rsidR="00E86C05" w:rsidRPr="008E33D0">
        <w:t xml:space="preserve"> en tant qu’outil de gestion juridique du fait religieux dans l’entreprise. </w:t>
      </w:r>
      <w:r>
        <w:t xml:space="preserve">Originellement liée au contexte de l’Etat et de son administration, cette </w:t>
      </w:r>
      <w:r w:rsidRPr="00015CA8">
        <w:rPr>
          <w:i/>
          <w:iCs/>
        </w:rPr>
        <w:t>neutralité</w:t>
      </w:r>
      <w:r>
        <w:t xml:space="preserve"> </w:t>
      </w:r>
      <w:r w:rsidRPr="00015CA8">
        <w:rPr>
          <w:i/>
          <w:iCs/>
        </w:rPr>
        <w:t>privatisée</w:t>
      </w:r>
      <w:r>
        <w:t xml:space="preserve"> est </w:t>
      </w:r>
      <w:r w:rsidR="00015CA8">
        <w:t>principalement</w:t>
      </w:r>
      <w:r>
        <w:t xml:space="preserve"> envisagée dans une logique de </w:t>
      </w:r>
      <w:r w:rsidRPr="00015CA8">
        <w:t>restriction</w:t>
      </w:r>
      <w:r>
        <w:t xml:space="preserve"> </w:t>
      </w:r>
      <w:r w:rsidR="00015CA8">
        <w:t>des expressions religieuses sur le lieu de travail. Déjà incertains dans son contexte étatique originel, le sens et la portée de la neutralité d’entreprise soulèvent de véritables incertitudes juridiques, en particulier du point de vue de leur compatibilité avec la liberté de religion et la non-discrimination des travailleurs.</w:t>
      </w:r>
    </w:p>
    <w:p w14:paraId="708AEA1C" w14:textId="77DE3B1C" w:rsidR="009C54F1" w:rsidRPr="00051589" w:rsidRDefault="009C54F1" w:rsidP="00663540">
      <w:r>
        <w:t xml:space="preserve">Cette </w:t>
      </w:r>
      <w:r w:rsidR="001A68F1">
        <w:t>contribution</w:t>
      </w:r>
      <w:r>
        <w:t xml:space="preserve"> </w:t>
      </w:r>
      <w:r w:rsidR="004E2E68">
        <w:t>propose</w:t>
      </w:r>
      <w:r w:rsidR="003D6DF8">
        <w:t xml:space="preserve"> une </w:t>
      </w:r>
      <w:r w:rsidRPr="003377FA">
        <w:rPr>
          <w:i/>
          <w:iCs/>
        </w:rPr>
        <w:t>articulation</w:t>
      </w:r>
      <w:r w:rsidR="003D6DF8" w:rsidRPr="003377FA">
        <w:rPr>
          <w:i/>
          <w:iCs/>
        </w:rPr>
        <w:t xml:space="preserve"> inédite</w:t>
      </w:r>
      <w:r>
        <w:t xml:space="preserve"> entre les notions de </w:t>
      </w:r>
      <w:r w:rsidRPr="003377FA">
        <w:rPr>
          <w:i/>
          <w:iCs/>
        </w:rPr>
        <w:t>neutralité</w:t>
      </w:r>
      <w:r>
        <w:t xml:space="preserve"> et de </w:t>
      </w:r>
      <w:r w:rsidRPr="003377FA">
        <w:rPr>
          <w:i/>
          <w:iCs/>
        </w:rPr>
        <w:t>RSE</w:t>
      </w:r>
      <w:r>
        <w:t xml:space="preserve"> au sein de l’entreprise, à partir d’une </w:t>
      </w:r>
      <w:r w:rsidRPr="003377FA">
        <w:rPr>
          <w:i/>
          <w:iCs/>
        </w:rPr>
        <w:t>double catégorisation</w:t>
      </w:r>
      <w:r>
        <w:t xml:space="preserve">. Pour chaque modèle d’entreprise neutre, il s’agit d’évaluer </w:t>
      </w:r>
      <w:r w:rsidR="00EC2060">
        <w:t>le degré de compatibilité de</w:t>
      </w:r>
      <w:r>
        <w:t xml:space="preserve"> la neutralité d’entreprise avec </w:t>
      </w:r>
      <w:r w:rsidR="00051589">
        <w:t xml:space="preserve">le respect des droits des travailleurs, </w:t>
      </w:r>
      <w:r w:rsidR="004E2E68">
        <w:t xml:space="preserve">mais aussi </w:t>
      </w:r>
      <w:r w:rsidR="00051589">
        <w:t xml:space="preserve">avec </w:t>
      </w:r>
      <w:r w:rsidR="004E2E68">
        <w:t xml:space="preserve">la </w:t>
      </w:r>
      <w:r w:rsidR="00051589">
        <w:t>RSE</w:t>
      </w:r>
      <w:r>
        <w:t>.</w:t>
      </w:r>
      <w:r w:rsidR="00EC2060" w:rsidRPr="00EC2060">
        <w:t xml:space="preserve"> </w:t>
      </w:r>
      <w:r w:rsidR="00EC2060" w:rsidRPr="00051589">
        <w:t xml:space="preserve">En fonction des modalités d’affirmation de cette neutralité, la compatibilité avec ces libertés fondamentales </w:t>
      </w:r>
      <w:r w:rsidR="00051589">
        <w:t xml:space="preserve">ou avec la RSE </w:t>
      </w:r>
      <w:r w:rsidR="00EC2060" w:rsidRPr="00051589">
        <w:t xml:space="preserve">peut en effet varier. </w:t>
      </w:r>
      <w:r w:rsidR="00EC2060" w:rsidRPr="00237DA8">
        <w:t>Une neutralité invoquée en tant qu’image de marque ne sera pas appréciée de la même façon qu’une neutralité vue comme nécessaire au bon fonctionnement interne de l’entreprise.</w:t>
      </w:r>
    </w:p>
    <w:p w14:paraId="28777411" w14:textId="2E033D64" w:rsidR="00051589" w:rsidRPr="00153E39" w:rsidRDefault="00EB08C7" w:rsidP="00EC2060">
      <w:pPr>
        <w:rPr>
          <w:color w:val="808080" w:themeColor="background1" w:themeShade="80"/>
        </w:rPr>
      </w:pPr>
      <w:r>
        <w:t>C</w:t>
      </w:r>
      <w:r w:rsidR="00EC2060" w:rsidRPr="00EC2060">
        <w:t xml:space="preserve">ette recherche </w:t>
      </w:r>
      <w:r>
        <w:t>s’inscrit plus largement dans la perspective du</w:t>
      </w:r>
      <w:r w:rsidR="00EC2060" w:rsidRPr="00EC2060">
        <w:t xml:space="preserve"> mouvement d’</w:t>
      </w:r>
      <w:r w:rsidR="00EC2060" w:rsidRPr="00EB08C7">
        <w:rPr>
          <w:i/>
          <w:iCs/>
        </w:rPr>
        <w:t>horizontalisation</w:t>
      </w:r>
      <w:r w:rsidR="006032EA" w:rsidRPr="006032EA">
        <w:rPr>
          <w:rStyle w:val="Appelnotedebasdep"/>
        </w:rPr>
        <w:footnoteReference w:id="4"/>
      </w:r>
      <w:r w:rsidR="00EC2060" w:rsidRPr="00EC2060">
        <w:t xml:space="preserve"> des droits de </w:t>
      </w:r>
      <w:r w:rsidR="00EC2060" w:rsidRPr="00153E39">
        <w:t xml:space="preserve">l’homme, qui implique que </w:t>
      </w:r>
      <w:r w:rsidRPr="00153E39">
        <w:t>les</w:t>
      </w:r>
      <w:r w:rsidR="00EC2060" w:rsidRPr="00153E39">
        <w:t xml:space="preserve"> droits fondamentaux soient opposables entre particuliers</w:t>
      </w:r>
      <w:r w:rsidRPr="00153E39">
        <w:t xml:space="preserve"> – en l’occurrence, l’entreprise et les travailleurs –</w:t>
      </w:r>
      <w:r w:rsidR="00EC2060" w:rsidRPr="00153E39">
        <w:t xml:space="preserve">, et non </w:t>
      </w:r>
      <w:r w:rsidR="00051589" w:rsidRPr="00153E39">
        <w:t>uniquement</w:t>
      </w:r>
      <w:r w:rsidR="00EC2060" w:rsidRPr="00153E39">
        <w:t xml:space="preserve"> vis-à-vis de l’Etat.</w:t>
      </w:r>
      <w:r w:rsidR="005A51E8">
        <w:t xml:space="preserve"> Précisons par ailleurs que d</w:t>
      </w:r>
      <w:r w:rsidR="005A51E8" w:rsidRPr="005A51E8">
        <w:t xml:space="preserve">ans les débats contemporains relatifs à la </w:t>
      </w:r>
      <w:r w:rsidR="005A51E8" w:rsidRPr="005A51E8">
        <w:lastRenderedPageBreak/>
        <w:t xml:space="preserve">gestion du fait religieux en entreprise, les expressions liées à la </w:t>
      </w:r>
      <w:r w:rsidR="005A51E8" w:rsidRPr="008163ED">
        <w:rPr>
          <w:i/>
          <w:iCs/>
        </w:rPr>
        <w:t>religion islamique</w:t>
      </w:r>
      <w:r w:rsidR="005A51E8" w:rsidRPr="005A51E8">
        <w:t xml:space="preserve"> sont les premières concernées</w:t>
      </w:r>
      <w:r w:rsidR="005A51E8">
        <w:t xml:space="preserve">. Parmi celles-ci, le port du </w:t>
      </w:r>
      <w:r w:rsidR="005A51E8" w:rsidRPr="008163ED">
        <w:rPr>
          <w:i/>
          <w:iCs/>
        </w:rPr>
        <w:t>foulard</w:t>
      </w:r>
      <w:r w:rsidR="005A51E8">
        <w:t xml:space="preserve"> par les travailleuses musulmanes occupe une place encore plus centrale, comme en témoigne la jurisprudence sur cette question.</w:t>
      </w:r>
    </w:p>
    <w:p w14:paraId="4BA98D17" w14:textId="62445642" w:rsidR="000B1558" w:rsidRDefault="000B1558" w:rsidP="000B1558">
      <w:r w:rsidRPr="00051589">
        <w:t>D</w:t>
      </w:r>
      <w:r w:rsidR="00051589">
        <w:t>’un</w:t>
      </w:r>
      <w:r w:rsidRPr="00051589">
        <w:t xml:space="preserve"> point de vue </w:t>
      </w:r>
      <w:r w:rsidRPr="008163ED">
        <w:rPr>
          <w:i/>
          <w:iCs/>
        </w:rPr>
        <w:t>méthodologique</w:t>
      </w:r>
      <w:r w:rsidRPr="00051589">
        <w:t xml:space="preserve">, </w:t>
      </w:r>
      <w:r w:rsidR="00051589">
        <w:t>l’</w:t>
      </w:r>
      <w:r w:rsidRPr="00051589">
        <w:t>approche</w:t>
      </w:r>
      <w:r w:rsidR="00051589">
        <w:t xml:space="preserve"> développée ici</w:t>
      </w:r>
      <w:r w:rsidRPr="00051589">
        <w:t xml:space="preserve"> est principalement juridique</w:t>
      </w:r>
      <w:r w:rsidR="00051589">
        <w:t>, quoiqu’</w:t>
      </w:r>
      <w:r w:rsidRPr="00051589">
        <w:t>également interdisciplinaire.</w:t>
      </w:r>
      <w:r w:rsidR="00D37E03">
        <w:t xml:space="preserve"> Dans ce cadre, le droit est généralement envisagé </w:t>
      </w:r>
      <w:r w:rsidRPr="00D37E03">
        <w:rPr>
          <w:bCs/>
          <w:i/>
        </w:rPr>
        <w:t xml:space="preserve">de lege </w:t>
      </w:r>
      <w:proofErr w:type="spellStart"/>
      <w:r w:rsidRPr="00D37E03">
        <w:rPr>
          <w:bCs/>
          <w:i/>
        </w:rPr>
        <w:t>ferenda</w:t>
      </w:r>
      <w:proofErr w:type="spellEnd"/>
      <w:r w:rsidRPr="00D37E03">
        <w:rPr>
          <w:bCs/>
          <w:i/>
        </w:rPr>
        <w:t xml:space="preserve"> </w:t>
      </w:r>
      <w:r w:rsidR="00D37E03">
        <w:t>– d</w:t>
      </w:r>
      <w:r w:rsidRPr="008C1256">
        <w:t>e manière prospective</w:t>
      </w:r>
      <w:r w:rsidR="00D37E03">
        <w:t xml:space="preserve"> –</w:t>
      </w:r>
      <w:r w:rsidRPr="008C1256">
        <w:t xml:space="preserve"> et non</w:t>
      </w:r>
      <w:r w:rsidR="00D37E03">
        <w:t xml:space="preserve"> simplement </w:t>
      </w:r>
      <w:r w:rsidRPr="008C1256">
        <w:rPr>
          <w:i/>
        </w:rPr>
        <w:t xml:space="preserve">de lege </w:t>
      </w:r>
      <w:proofErr w:type="spellStart"/>
      <w:r w:rsidRPr="008C1256">
        <w:rPr>
          <w:i/>
        </w:rPr>
        <w:t>lata</w:t>
      </w:r>
      <w:proofErr w:type="spellEnd"/>
      <w:r w:rsidRPr="008C1256">
        <w:t xml:space="preserve"> </w:t>
      </w:r>
      <w:r w:rsidR="00D37E03">
        <w:t xml:space="preserve">– </w:t>
      </w:r>
      <w:r w:rsidRPr="008C1256">
        <w:t>sur base du droit positif.</w:t>
      </w:r>
      <w:r w:rsidR="00D37E03">
        <w:t xml:space="preserve"> Appui est donc pris sur la jurisprudence existante</w:t>
      </w:r>
      <w:r w:rsidR="00515F89">
        <w:t xml:space="preserve"> en matière de religion dans l’entreprise privée</w:t>
      </w:r>
      <w:r w:rsidR="00D37E03">
        <w:t>, de même que sur les tendances juridiques issues d’affaires non judiciarisées</w:t>
      </w:r>
      <w:r w:rsidR="00D37E03">
        <w:rPr>
          <w:rStyle w:val="Appelnotedebasdep"/>
        </w:rPr>
        <w:footnoteReference w:id="5"/>
      </w:r>
      <w:r w:rsidR="00D37E03">
        <w:t>.</w:t>
      </w:r>
    </w:p>
    <w:p w14:paraId="096C0330" w14:textId="6CF4E170" w:rsidR="00BE3113" w:rsidRDefault="00515F89" w:rsidP="00CE040E">
      <w:r w:rsidRPr="00750A66">
        <w:t xml:space="preserve">La présente contribution est divisée en </w:t>
      </w:r>
      <w:r w:rsidR="001B2140" w:rsidRPr="008163ED">
        <w:rPr>
          <w:i/>
          <w:iCs/>
        </w:rPr>
        <w:t>deux</w:t>
      </w:r>
      <w:r w:rsidRPr="008163ED">
        <w:rPr>
          <w:i/>
          <w:iCs/>
        </w:rPr>
        <w:t xml:space="preserve"> parties</w:t>
      </w:r>
      <w:r w:rsidRPr="00750A66">
        <w:t xml:space="preserve">. </w:t>
      </w:r>
      <w:r w:rsidR="001B2140">
        <w:t>La première</w:t>
      </w:r>
      <w:r w:rsidRPr="00750A66">
        <w:t xml:space="preserve"> partie vise</w:t>
      </w:r>
      <w:r w:rsidR="008B3729" w:rsidRPr="00750A66">
        <w:t xml:space="preserve"> à analyser les idées de</w:t>
      </w:r>
      <w:r w:rsidR="000B1558" w:rsidRPr="00750A66">
        <w:t xml:space="preserve"> RSE et de neutralité</w:t>
      </w:r>
      <w:r w:rsidR="008B3729" w:rsidRPr="00750A66">
        <w:t xml:space="preserve"> religieuse</w:t>
      </w:r>
      <w:r w:rsidR="000B1558" w:rsidRPr="00750A66">
        <w:t xml:space="preserve"> d</w:t>
      </w:r>
      <w:r w:rsidR="008B3729" w:rsidRPr="00750A66">
        <w:t>e l</w:t>
      </w:r>
      <w:r w:rsidR="000B1558" w:rsidRPr="00750A66">
        <w:t>’entreprise à</w:t>
      </w:r>
      <w:r w:rsidR="008B3729" w:rsidRPr="00750A66">
        <w:t xml:space="preserve"> l’aune de</w:t>
      </w:r>
      <w:r w:rsidR="000B1558" w:rsidRPr="00750A66">
        <w:t xml:space="preserve"> deux variables identiques</w:t>
      </w:r>
      <w:r w:rsidR="00BE3113" w:rsidRPr="00750A66">
        <w:t>, afin d’en comparer les modalités de mise en œuvre</w:t>
      </w:r>
      <w:r w:rsidR="00750A66">
        <w:t xml:space="preserve"> (I)</w:t>
      </w:r>
      <w:r w:rsidR="000B1558" w:rsidRPr="00750A66">
        <w:t>.</w:t>
      </w:r>
      <w:r w:rsidRPr="00750A66">
        <w:t xml:space="preserve"> N</w:t>
      </w:r>
      <w:r w:rsidR="008B3729" w:rsidRPr="00750A66">
        <w:t>ous croiserons</w:t>
      </w:r>
      <w:r w:rsidRPr="00750A66">
        <w:t xml:space="preserve"> ensuite</w:t>
      </w:r>
      <w:r w:rsidR="008B3729" w:rsidRPr="00750A66">
        <w:t xml:space="preserve"> ces variables afin de </w:t>
      </w:r>
      <w:r w:rsidR="00DF5A2B" w:rsidRPr="00750A66">
        <w:t xml:space="preserve">dégager une catégorisation des modèles d’entreprise neutre du point de vue de la RSE, et de nous interroger sur </w:t>
      </w:r>
      <w:r w:rsidR="004E2E68">
        <w:t>leur compatibilité avec le</w:t>
      </w:r>
      <w:r w:rsidR="00DF5A2B" w:rsidRPr="00750A66">
        <w:t xml:space="preserve"> respect de la liberté religieuse et de la non-discrimination</w:t>
      </w:r>
      <w:r w:rsidR="00750A66">
        <w:t xml:space="preserve"> (II)</w:t>
      </w:r>
      <w:r w:rsidR="00DF5A2B" w:rsidRPr="00750A66">
        <w:t>.</w:t>
      </w:r>
    </w:p>
    <w:p w14:paraId="59D5A990" w14:textId="2C4115B1" w:rsidR="008957B4" w:rsidRPr="00CE7EC7" w:rsidRDefault="00750A66" w:rsidP="00750A66">
      <w:pPr>
        <w:pStyle w:val="Titre1"/>
      </w:pPr>
      <w:r w:rsidRPr="00CE7EC7">
        <w:t>Modèles de mise en œuvre de la RSE et de la neutralité d’entreprise</w:t>
      </w:r>
    </w:p>
    <w:p w14:paraId="3036700B" w14:textId="4BC27C39" w:rsidR="002931A5" w:rsidRPr="00750A66" w:rsidRDefault="00750A66" w:rsidP="00FD5BEA">
      <w:pPr>
        <w:rPr>
          <w:iCs/>
        </w:rPr>
      </w:pPr>
      <w:r>
        <w:t>Cette</w:t>
      </w:r>
      <w:r w:rsidR="00D94BFA">
        <w:t xml:space="preserve"> première partie </w:t>
      </w:r>
      <w:r>
        <w:t xml:space="preserve">vise à </w:t>
      </w:r>
      <w:r w:rsidR="00B35CBB">
        <w:t>envisager</w:t>
      </w:r>
      <w:r w:rsidR="00D94BFA">
        <w:t xml:space="preserve"> la manière dont peut se concevoir la mise en œuvre de la RSE et de la neutralité religieuse au sein de l’entreprise privée. </w:t>
      </w:r>
      <w:r w:rsidR="003377FA">
        <w:t>L’analyse se fonde ici sur</w:t>
      </w:r>
      <w:r>
        <w:t xml:space="preserve"> </w:t>
      </w:r>
      <w:r w:rsidR="00D94BFA" w:rsidRPr="003377FA">
        <w:rPr>
          <w:i/>
          <w:iCs/>
        </w:rPr>
        <w:t>deux variables</w:t>
      </w:r>
      <w:r>
        <w:t xml:space="preserve"> : l’une alternativement </w:t>
      </w:r>
      <w:r w:rsidRPr="003377FA">
        <w:rPr>
          <w:i/>
          <w:iCs/>
        </w:rPr>
        <w:t>interne</w:t>
      </w:r>
      <w:r>
        <w:t xml:space="preserve"> ou </w:t>
      </w:r>
      <w:r w:rsidRPr="003377FA">
        <w:rPr>
          <w:i/>
          <w:iCs/>
        </w:rPr>
        <w:t>externe</w:t>
      </w:r>
      <w:r>
        <w:t xml:space="preserve">, l’autre alternativement </w:t>
      </w:r>
      <w:r w:rsidRPr="003377FA">
        <w:rPr>
          <w:i/>
          <w:iCs/>
        </w:rPr>
        <w:t>instrumentale</w:t>
      </w:r>
      <w:r>
        <w:t xml:space="preserve"> ou </w:t>
      </w:r>
      <w:r w:rsidRPr="003377FA">
        <w:rPr>
          <w:i/>
          <w:iCs/>
        </w:rPr>
        <w:t>idéologique</w:t>
      </w:r>
      <w:r>
        <w:t>. Chacune de ces variables sera tour à tour</w:t>
      </w:r>
      <w:r w:rsidR="002931A5">
        <w:t xml:space="preserve"> appliquée à la RSE et à la neutralité</w:t>
      </w:r>
      <w:r>
        <w:t xml:space="preserve">, permettant, en seconde partie, </w:t>
      </w:r>
      <w:r w:rsidR="002931A5" w:rsidRPr="00750A66">
        <w:rPr>
          <w:iCs/>
        </w:rPr>
        <w:t xml:space="preserve">de dégager </w:t>
      </w:r>
      <w:r>
        <w:rPr>
          <w:iCs/>
        </w:rPr>
        <w:t>quatre</w:t>
      </w:r>
      <w:r w:rsidR="002931A5" w:rsidRPr="00750A66">
        <w:rPr>
          <w:iCs/>
        </w:rPr>
        <w:t xml:space="preserve"> hypothèses d’entreprise neutre du point de vue de la RSE.</w:t>
      </w:r>
    </w:p>
    <w:p w14:paraId="38929F16" w14:textId="4C8F1144" w:rsidR="00BE3113" w:rsidRPr="00B023A2" w:rsidRDefault="00D94BFA" w:rsidP="00B023A2">
      <w:pPr>
        <w:pStyle w:val="Titre2"/>
      </w:pPr>
      <w:r w:rsidRPr="00B023A2">
        <w:lastRenderedPageBreak/>
        <w:t>Dimension</w:t>
      </w:r>
      <w:r w:rsidR="00CE040E" w:rsidRPr="00B023A2">
        <w:t xml:space="preserve"> interne et </w:t>
      </w:r>
      <w:r w:rsidR="00BE3113" w:rsidRPr="00B023A2">
        <w:t>externe</w:t>
      </w:r>
      <w:r w:rsidR="00CE040E" w:rsidRPr="00B023A2">
        <w:t xml:space="preserve"> de la RSE et de la neutralité</w:t>
      </w:r>
    </w:p>
    <w:p w14:paraId="222B9113" w14:textId="6D9A81E2" w:rsidR="00C61421" w:rsidRDefault="00CE040E" w:rsidP="00BE3113">
      <w:r>
        <w:t xml:space="preserve">La mise en œuvre de la RSE </w:t>
      </w:r>
      <w:r w:rsidR="00750A66">
        <w:t xml:space="preserve">ou de la neutralité </w:t>
      </w:r>
      <w:r>
        <w:t xml:space="preserve">par l’entreprise peut s’envisager tant du point de vue </w:t>
      </w:r>
      <w:r w:rsidRPr="008163ED">
        <w:rPr>
          <w:i/>
          <w:iCs/>
        </w:rPr>
        <w:t>interne</w:t>
      </w:r>
      <w:r>
        <w:t xml:space="preserve"> –</w:t>
      </w:r>
      <w:r w:rsidR="00750A66">
        <w:t xml:space="preserve"> </w:t>
      </w:r>
      <w:r>
        <w:t xml:space="preserve">au sein de </w:t>
      </w:r>
      <w:r w:rsidR="00750A66">
        <w:t>la communauté de travail</w:t>
      </w:r>
      <w:r>
        <w:t xml:space="preserve"> – qu’</w:t>
      </w:r>
      <w:r w:rsidRPr="008163ED">
        <w:rPr>
          <w:i/>
          <w:iCs/>
        </w:rPr>
        <w:t>externe</w:t>
      </w:r>
      <w:r w:rsidR="00750A66">
        <w:t xml:space="preserve"> – </w:t>
      </w:r>
      <w:r>
        <w:t>dans les relations de l’entreprise avec son environnement extérieur.</w:t>
      </w:r>
    </w:p>
    <w:p w14:paraId="72EE482C" w14:textId="530EEDC6" w:rsidR="002D24B8" w:rsidRPr="002D24B8" w:rsidRDefault="002D24B8" w:rsidP="002D24B8">
      <w:pPr>
        <w:pStyle w:val="Titre3"/>
      </w:pPr>
      <w:r w:rsidRPr="002D24B8">
        <w:t>Dimension interne de la RSE</w:t>
      </w:r>
    </w:p>
    <w:p w14:paraId="68FDDB3F" w14:textId="3CE0AC67" w:rsidR="00EB0A27" w:rsidRDefault="00493E42" w:rsidP="00C61421">
      <w:r>
        <w:t>Dans sa dimension</w:t>
      </w:r>
      <w:r w:rsidR="00CE040E">
        <w:t xml:space="preserve"> </w:t>
      </w:r>
      <w:r w:rsidR="00CE040E" w:rsidRPr="00493E42">
        <w:rPr>
          <w:i/>
          <w:iCs/>
        </w:rPr>
        <w:t>interne</w:t>
      </w:r>
      <w:r w:rsidR="00CE040E">
        <w:t xml:space="preserve">, </w:t>
      </w:r>
      <w:r w:rsidR="00B35CBB">
        <w:t xml:space="preserve">la RSE engage la responsabilité de l’entreprise </w:t>
      </w:r>
      <w:r w:rsidR="002D24B8" w:rsidRPr="002D24B8">
        <w:t>a</w:t>
      </w:r>
      <w:r w:rsidR="00BE3113" w:rsidRPr="002D24B8">
        <w:t>u sein</w:t>
      </w:r>
      <w:r w:rsidR="00B35CBB">
        <w:t xml:space="preserve"> même</w:t>
      </w:r>
      <w:r w:rsidR="00BE3113" w:rsidRPr="002D24B8">
        <w:t xml:space="preserve"> de l’organisation, </w:t>
      </w:r>
      <w:r w:rsidR="00B35CBB">
        <w:t xml:space="preserve">en particulier </w:t>
      </w:r>
      <w:r w:rsidR="00BE3113" w:rsidRPr="002D24B8">
        <w:t>dans les relations entre employeur et travailleurs ou entre les travailleurs eux-mêmes</w:t>
      </w:r>
      <w:r w:rsidR="002D24B8">
        <w:t>.</w:t>
      </w:r>
      <w:r w:rsidR="00B35CBB">
        <w:t xml:space="preserve"> En ce sens, la dimension interne de la RSE peut être rattachée à </w:t>
      </w:r>
      <w:r w:rsidR="00C61421" w:rsidRPr="002D24B8">
        <w:t>l’idée</w:t>
      </w:r>
      <w:r w:rsidR="002D24B8" w:rsidRPr="002D24B8">
        <w:t xml:space="preserve"> </w:t>
      </w:r>
      <w:r w:rsidR="002D24B8" w:rsidRPr="00B35CBB">
        <w:t>de</w:t>
      </w:r>
      <w:r w:rsidR="00C61421" w:rsidRPr="00B35CBB">
        <w:t xml:space="preserve"> </w:t>
      </w:r>
      <w:r w:rsidR="00C61421" w:rsidRPr="00B35CBB">
        <w:rPr>
          <w:i/>
          <w:iCs/>
        </w:rPr>
        <w:t>démocratie interne</w:t>
      </w:r>
      <w:r w:rsidR="00B35CBB">
        <w:rPr>
          <w:i/>
          <w:iCs/>
        </w:rPr>
        <w:t xml:space="preserve"> </w:t>
      </w:r>
      <w:r w:rsidR="00B35CBB">
        <w:t>de l’entreprise</w:t>
      </w:r>
      <w:r w:rsidR="00C61421" w:rsidRPr="00B35CBB">
        <w:t>.</w:t>
      </w:r>
    </w:p>
    <w:p w14:paraId="22A0899F" w14:textId="0DDD1A15" w:rsidR="002D24B8" w:rsidRDefault="00EB0A27" w:rsidP="00C61421">
      <w:r>
        <w:t xml:space="preserve">Cette démocratie interne peut trouver un double fondement du point de vue de la théorie de l’entreprise. </w:t>
      </w:r>
      <w:r w:rsidR="00343639">
        <w:t>Dans l’hypothèse où l’entreprise est envisagée en tant qu’</w:t>
      </w:r>
      <w:r w:rsidR="00343639" w:rsidRPr="00EB0A27">
        <w:rPr>
          <w:i/>
          <w:iCs/>
        </w:rPr>
        <w:t>institution</w:t>
      </w:r>
      <w:r w:rsidR="008163ED" w:rsidRPr="008163ED">
        <w:rPr>
          <w:rStyle w:val="Appelnotedebasdep"/>
        </w:rPr>
        <w:footnoteReference w:id="6"/>
      </w:r>
      <w:r w:rsidR="00343639" w:rsidRPr="008163ED">
        <w:t>,</w:t>
      </w:r>
      <w:r w:rsidR="00343639">
        <w:t xml:space="preserve"> la démocratie interne vient légitimer l’autorité de l’employeur vis-à-vis de la communauté de travail, à travers un principe de représentativité.</w:t>
      </w:r>
      <w:r w:rsidR="00343639" w:rsidRPr="00343639">
        <w:t xml:space="preserve"> </w:t>
      </w:r>
      <w:r w:rsidR="00343639">
        <w:t>A l’inverse, dans</w:t>
      </w:r>
      <w:r>
        <w:t xml:space="preserve"> une perspective </w:t>
      </w:r>
      <w:r w:rsidRPr="00EB0A27">
        <w:rPr>
          <w:i/>
          <w:iCs/>
        </w:rPr>
        <w:t>contractualiste</w:t>
      </w:r>
      <w:r w:rsidR="008163ED" w:rsidRPr="008163ED">
        <w:rPr>
          <w:rStyle w:val="Appelnotedebasdep"/>
        </w:rPr>
        <w:footnoteReference w:id="7"/>
      </w:r>
      <w:r w:rsidRPr="008163ED">
        <w:t>,</w:t>
      </w:r>
      <w:r>
        <w:t xml:space="preserve"> selon laquelle l’entreprise apparaît comme le seul fruit de l’accord des volontés individuelles, la démocratie interne vise à ce que ces rapports contractuels soient en accord avec l’égalité de droit des individus.</w:t>
      </w:r>
    </w:p>
    <w:p w14:paraId="6FD48DEC" w14:textId="66ACAF45" w:rsidR="004D45F4" w:rsidRDefault="00EB0A27" w:rsidP="00C61421">
      <w:r>
        <w:t>A</w:t>
      </w:r>
      <w:r w:rsidR="00C61421" w:rsidRPr="002D24B8">
        <w:t xml:space="preserve">u cœur de la </w:t>
      </w:r>
      <w:r w:rsidR="00C61421" w:rsidRPr="00EB0A27">
        <w:t>démocratie interne</w:t>
      </w:r>
      <w:r w:rsidRPr="00EB0A27">
        <w:t>, se déploie</w:t>
      </w:r>
      <w:r w:rsidR="004D45F4">
        <w:t xml:space="preserve"> en premier lieu</w:t>
      </w:r>
      <w:r w:rsidRPr="00EB0A27">
        <w:t xml:space="preserve"> l’idée d’une</w:t>
      </w:r>
      <w:r w:rsidR="00C61421" w:rsidRPr="00EB0A27">
        <w:t xml:space="preserve"> </w:t>
      </w:r>
      <w:r w:rsidR="00C61421" w:rsidRPr="00343639">
        <w:t xml:space="preserve">remise en cause du monopole du </w:t>
      </w:r>
      <w:r w:rsidRPr="00343639">
        <w:t>pouvoir décisionnel</w:t>
      </w:r>
      <w:r w:rsidR="00C61421" w:rsidRPr="00343639">
        <w:t xml:space="preserve"> de l’entreprise par </w:t>
      </w:r>
      <w:r w:rsidRPr="00343639">
        <w:t>les actionnaires</w:t>
      </w:r>
      <w:r w:rsidR="00C61421" w:rsidRPr="00343639">
        <w:t xml:space="preserve">. Il s’agit </w:t>
      </w:r>
      <w:r w:rsidR="00343639">
        <w:t>ainsi</w:t>
      </w:r>
      <w:r w:rsidR="00C61421" w:rsidRPr="00343639">
        <w:t xml:space="preserve"> de mettre fin à l’assimilation de la propriété </w:t>
      </w:r>
      <w:r w:rsidR="00C61421" w:rsidRPr="00343639">
        <w:rPr>
          <w:i/>
          <w:iCs/>
        </w:rPr>
        <w:t>économique</w:t>
      </w:r>
      <w:r w:rsidR="00C61421" w:rsidRPr="00343639">
        <w:t xml:space="preserve"> de l’entreprise avec son contrôle </w:t>
      </w:r>
      <w:r w:rsidR="00C61421" w:rsidRPr="00343639">
        <w:rPr>
          <w:i/>
          <w:iCs/>
        </w:rPr>
        <w:t>juridique</w:t>
      </w:r>
      <w:r w:rsidR="00C61421" w:rsidRPr="00343639">
        <w:t xml:space="preserve">. </w:t>
      </w:r>
      <w:r w:rsidR="00343639">
        <w:t>L’on</w:t>
      </w:r>
      <w:r w:rsidR="00343639" w:rsidRPr="002D24B8">
        <w:t xml:space="preserve"> touche </w:t>
      </w:r>
      <w:r w:rsidR="00343639">
        <w:t xml:space="preserve">donc </w:t>
      </w:r>
      <w:r w:rsidR="00343639" w:rsidRPr="002D24B8">
        <w:t>ici à la q</w:t>
      </w:r>
      <w:r w:rsidR="00343639" w:rsidRPr="00343639">
        <w:t xml:space="preserve">uestion de l’indifférenciation des rôles entre </w:t>
      </w:r>
      <w:r w:rsidR="00343639" w:rsidRPr="00343639">
        <w:rPr>
          <w:i/>
          <w:iCs/>
        </w:rPr>
        <w:t>entreprise</w:t>
      </w:r>
      <w:r w:rsidR="00343639" w:rsidRPr="00343639">
        <w:t xml:space="preserve"> (au sens </w:t>
      </w:r>
      <w:r w:rsidR="00343639" w:rsidRPr="00343639">
        <w:rPr>
          <w:i/>
          <w:iCs/>
        </w:rPr>
        <w:t>économique</w:t>
      </w:r>
      <w:r w:rsidR="00343639" w:rsidRPr="00343639">
        <w:t xml:space="preserve">) et </w:t>
      </w:r>
      <w:r w:rsidR="00343639" w:rsidRPr="00343639">
        <w:rPr>
          <w:i/>
          <w:iCs/>
        </w:rPr>
        <w:t>société</w:t>
      </w:r>
      <w:r w:rsidR="00343639" w:rsidRPr="00343639">
        <w:t xml:space="preserve"> (au sens </w:t>
      </w:r>
      <w:r w:rsidR="00343639" w:rsidRPr="00343639">
        <w:rPr>
          <w:i/>
          <w:iCs/>
        </w:rPr>
        <w:t>juridique</w:t>
      </w:r>
      <w:r w:rsidR="00343639" w:rsidRPr="00343639">
        <w:t xml:space="preserve">), entre </w:t>
      </w:r>
      <w:r w:rsidR="00343639" w:rsidRPr="00343639">
        <w:rPr>
          <w:i/>
          <w:iCs/>
        </w:rPr>
        <w:t>actionnaire</w:t>
      </w:r>
      <w:r w:rsidR="00343639" w:rsidRPr="00343639">
        <w:t xml:space="preserve">, </w:t>
      </w:r>
      <w:r w:rsidR="00343639" w:rsidRPr="00343639">
        <w:rPr>
          <w:i/>
          <w:iCs/>
        </w:rPr>
        <w:t>dirigeant</w:t>
      </w:r>
      <w:r w:rsidR="00343639" w:rsidRPr="00343639">
        <w:t xml:space="preserve"> et </w:t>
      </w:r>
      <w:r w:rsidR="00343639" w:rsidRPr="00343639">
        <w:rPr>
          <w:i/>
          <w:iCs/>
        </w:rPr>
        <w:lastRenderedPageBreak/>
        <w:t>employeur</w:t>
      </w:r>
      <w:r w:rsidR="001209B3">
        <w:t>.</w:t>
      </w:r>
      <w:r w:rsidR="001209B3" w:rsidRPr="001209B3">
        <w:rPr>
          <w:vertAlign w:val="superscript"/>
        </w:rPr>
        <w:footnoteReference w:id="8"/>
      </w:r>
      <w:r w:rsidR="00343639">
        <w:t xml:space="preserve"> </w:t>
      </w:r>
      <w:r w:rsidR="00C61421" w:rsidRPr="00343639">
        <w:t>En intégrant les autres parties prenantes</w:t>
      </w:r>
      <w:r w:rsidR="00343639" w:rsidRPr="00343639">
        <w:t xml:space="preserve"> – </w:t>
      </w:r>
      <w:r w:rsidR="00C61421" w:rsidRPr="00343639">
        <w:t>en premier lieu</w:t>
      </w:r>
      <w:r w:rsidR="00343639" w:rsidRPr="00343639">
        <w:t xml:space="preserve"> desquels figurent</w:t>
      </w:r>
      <w:r w:rsidR="00C61421" w:rsidRPr="00343639">
        <w:t xml:space="preserve"> les travailleurs</w:t>
      </w:r>
      <w:r w:rsidR="00343639" w:rsidRPr="00343639">
        <w:t> –</w:t>
      </w:r>
      <w:r w:rsidR="00C61421" w:rsidRPr="00343639">
        <w:t xml:space="preserve"> au sein du processus décisionnel, </w:t>
      </w:r>
      <w:r w:rsidR="00343639" w:rsidRPr="00343639">
        <w:t>l’</w:t>
      </w:r>
      <w:r w:rsidR="00C61421" w:rsidRPr="00343639">
        <w:t xml:space="preserve">on aboutit à la prise en compte </w:t>
      </w:r>
      <w:r w:rsidR="00C61421" w:rsidRPr="002B3EF4">
        <w:t>de l’intérêt collectif</w:t>
      </w:r>
      <w:r w:rsidR="00C61421" w:rsidRPr="00343639">
        <w:t xml:space="preserve"> de l’entreprise.</w:t>
      </w:r>
      <w:r w:rsidR="001209B3" w:rsidRPr="001209B3">
        <w:rPr>
          <w:vertAlign w:val="superscript"/>
        </w:rPr>
        <w:footnoteReference w:id="9"/>
      </w:r>
      <w:r w:rsidR="001209B3">
        <w:t xml:space="preserve"> </w:t>
      </w:r>
      <w:r w:rsidR="001209B3" w:rsidRPr="001209B3">
        <w:t xml:space="preserve">Il s’agit de la sorte de faire véritablement entrer la </w:t>
      </w:r>
      <w:r w:rsidR="001209B3" w:rsidRPr="002B3EF4">
        <w:rPr>
          <w:i/>
          <w:iCs/>
        </w:rPr>
        <w:t>citoyenneté</w:t>
      </w:r>
      <w:r w:rsidR="001209B3" w:rsidRPr="001209B3">
        <w:t xml:space="preserve"> dans l’entreprise.</w:t>
      </w:r>
      <w:r w:rsidR="001209B3" w:rsidRPr="001209B3">
        <w:rPr>
          <w:vertAlign w:val="superscript"/>
        </w:rPr>
        <w:footnoteReference w:id="10"/>
      </w:r>
    </w:p>
    <w:p w14:paraId="64F95EA4" w14:textId="05369D21" w:rsidR="004D45F4" w:rsidRDefault="004D45F4" w:rsidP="00C61421">
      <w:r>
        <w:t xml:space="preserve">Par ailleurs, à travers la prise en compte de l’ensemble des parties prenantes, la démocratie interne vise </w:t>
      </w:r>
      <w:r>
        <w:rPr>
          <w:i/>
          <w:iCs/>
        </w:rPr>
        <w:t>in fine</w:t>
      </w:r>
      <w:r>
        <w:t xml:space="preserve"> à garantir le respect des droits individuels de chaque personne composant l’entreprise, y compris du point de vue de la liberté de religion des travailleurs</w:t>
      </w:r>
      <w:r w:rsidR="00AF0000">
        <w:t xml:space="preserve"> et de la non-discrimination</w:t>
      </w:r>
      <w:r>
        <w:t>.</w:t>
      </w:r>
      <w:r w:rsidR="00AF0000">
        <w:rPr>
          <w:rStyle w:val="Appelnotedebasdep"/>
        </w:rPr>
        <w:footnoteReference w:id="11"/>
      </w:r>
    </w:p>
    <w:p w14:paraId="65182851" w14:textId="76E9CF00" w:rsidR="00F2096C" w:rsidRDefault="00F2096C" w:rsidP="00F2096C">
      <w:pPr>
        <w:pStyle w:val="Titre3"/>
      </w:pPr>
      <w:r>
        <w:t>Dimension externe de la RSE</w:t>
      </w:r>
    </w:p>
    <w:p w14:paraId="02B73AA0" w14:textId="1DB8B221" w:rsidR="00F2096C" w:rsidRPr="00F2096C" w:rsidRDefault="00493E42" w:rsidP="00F2096C">
      <w:r>
        <w:t>Dans sa dimension</w:t>
      </w:r>
      <w:r w:rsidR="00F2096C">
        <w:t xml:space="preserve"> </w:t>
      </w:r>
      <w:r w:rsidR="00F2096C" w:rsidRPr="00493E42">
        <w:rPr>
          <w:i/>
          <w:iCs/>
        </w:rPr>
        <w:t>externe</w:t>
      </w:r>
      <w:r w:rsidR="00F2096C">
        <w:t>, la RSE se déploie</w:t>
      </w:r>
      <w:r w:rsidR="00F2096C" w:rsidRPr="00F2096C">
        <w:rPr>
          <w:i/>
        </w:rPr>
        <w:t xml:space="preserve"> </w:t>
      </w:r>
      <w:r w:rsidR="00F2096C" w:rsidRPr="00F2096C">
        <w:t>dans les rapports qu’entretient l’entreprise avec son environnement extérieur</w:t>
      </w:r>
      <w:r w:rsidR="00F2096C">
        <w:t>, qu’il s’agisse</w:t>
      </w:r>
      <w:r w:rsidR="00343639">
        <w:t xml:space="preserve"> non seulement</w:t>
      </w:r>
      <w:r w:rsidR="00F2096C">
        <w:t xml:space="preserve"> de ses partenaires commerciaux </w:t>
      </w:r>
      <w:r w:rsidR="00343639">
        <w:t xml:space="preserve">– tels que </w:t>
      </w:r>
      <w:r w:rsidR="00F2096C">
        <w:t>clients et fournisseurs</w:t>
      </w:r>
      <w:r w:rsidR="00343639">
        <w:t xml:space="preserve"> –, mais aussi et surtout </w:t>
      </w:r>
      <w:r w:rsidR="00F2096C">
        <w:t>des individus</w:t>
      </w:r>
      <w:r w:rsidR="00343639">
        <w:t xml:space="preserve">, communautés et, plus largement, de l’environnement </w:t>
      </w:r>
      <w:r w:rsidR="00F2096C">
        <w:t>qui l’entourent.</w:t>
      </w:r>
    </w:p>
    <w:p w14:paraId="0D63E970" w14:textId="6D931D54" w:rsidR="004D45F4" w:rsidRDefault="00493E42" w:rsidP="00C61421">
      <w:pPr>
        <w:rPr>
          <w:color w:val="000000" w:themeColor="text1"/>
        </w:rPr>
      </w:pPr>
      <w:r>
        <w:rPr>
          <w:color w:val="000000" w:themeColor="text1"/>
        </w:rPr>
        <w:t>La</w:t>
      </w:r>
      <w:r w:rsidR="00C61421" w:rsidRPr="00F2096C">
        <w:rPr>
          <w:color w:val="000000" w:themeColor="text1"/>
        </w:rPr>
        <w:t xml:space="preserve"> </w:t>
      </w:r>
      <w:r w:rsidR="00C61421" w:rsidRPr="00343639">
        <w:rPr>
          <w:color w:val="000000" w:themeColor="text1"/>
        </w:rPr>
        <w:t>RSE</w:t>
      </w:r>
      <w:r>
        <w:rPr>
          <w:color w:val="000000" w:themeColor="text1"/>
        </w:rPr>
        <w:t xml:space="preserve"> externe</w:t>
      </w:r>
      <w:r w:rsidR="00C61421" w:rsidRPr="00343639">
        <w:rPr>
          <w:color w:val="000000" w:themeColor="text1"/>
        </w:rPr>
        <w:t xml:space="preserve"> vise la prise en compte d</w:t>
      </w:r>
      <w:r w:rsidR="008600CF" w:rsidRPr="00343639">
        <w:rPr>
          <w:color w:val="000000" w:themeColor="text1"/>
        </w:rPr>
        <w:t>u rôle et des</w:t>
      </w:r>
      <w:r w:rsidR="00C61421" w:rsidRPr="00343639">
        <w:rPr>
          <w:color w:val="000000" w:themeColor="text1"/>
        </w:rPr>
        <w:t xml:space="preserve"> effets sociétaux de l’action de l’entreprise</w:t>
      </w:r>
      <w:r w:rsidR="00C61421" w:rsidRPr="00F2096C">
        <w:rPr>
          <w:color w:val="000000" w:themeColor="text1"/>
        </w:rPr>
        <w:t xml:space="preserve">, au-delà de sa </w:t>
      </w:r>
      <w:r w:rsidR="00343639">
        <w:rPr>
          <w:color w:val="000000" w:themeColor="text1"/>
        </w:rPr>
        <w:t>seule</w:t>
      </w:r>
      <w:r w:rsidR="00C61421" w:rsidRPr="00F2096C">
        <w:rPr>
          <w:color w:val="000000" w:themeColor="text1"/>
        </w:rPr>
        <w:t xml:space="preserve"> responsabilité </w:t>
      </w:r>
      <w:r w:rsidR="004D45F4">
        <w:rPr>
          <w:color w:val="000000" w:themeColor="text1"/>
        </w:rPr>
        <w:t>contractuelle ou extracontractuelle, du point de vue du</w:t>
      </w:r>
      <w:r w:rsidR="00C61421" w:rsidRPr="00F2096C">
        <w:rPr>
          <w:color w:val="000000" w:themeColor="text1"/>
        </w:rPr>
        <w:t xml:space="preserve"> respect des droits d’autrui</w:t>
      </w:r>
      <w:r w:rsidR="00744A76">
        <w:rPr>
          <w:color w:val="000000" w:themeColor="text1"/>
        </w:rPr>
        <w:t xml:space="preserve"> ou de</w:t>
      </w:r>
      <w:r w:rsidR="004D45F4">
        <w:rPr>
          <w:color w:val="000000" w:themeColor="text1"/>
        </w:rPr>
        <w:t>s</w:t>
      </w:r>
      <w:r w:rsidR="00744A76">
        <w:rPr>
          <w:color w:val="000000" w:themeColor="text1"/>
        </w:rPr>
        <w:t xml:space="preserve"> dommages causés à autrui</w:t>
      </w:r>
      <w:r w:rsidR="00C61421" w:rsidRPr="00F2096C">
        <w:rPr>
          <w:color w:val="000000" w:themeColor="text1"/>
        </w:rPr>
        <w:t>.</w:t>
      </w:r>
    </w:p>
    <w:p w14:paraId="12A7C582" w14:textId="69F42274" w:rsidR="00C61421" w:rsidRDefault="004D45F4" w:rsidP="00C61421">
      <w:r w:rsidRPr="00C840F8">
        <w:t>En ce sens, à travers la</w:t>
      </w:r>
      <w:r w:rsidR="00C61421" w:rsidRPr="00C840F8">
        <w:t xml:space="preserve"> RSE</w:t>
      </w:r>
      <w:r w:rsidRPr="00C840F8">
        <w:t xml:space="preserve">, l’entreprise est invitée </w:t>
      </w:r>
      <w:r w:rsidR="00C61421" w:rsidRPr="002B3EF4">
        <w:t>à se responsabiliser</w:t>
      </w:r>
      <w:r w:rsidR="00C61421" w:rsidRPr="00C840F8">
        <w:t xml:space="preserve"> eu égard à ses nouvelles attributions et à l’impact grandissant de ses activités</w:t>
      </w:r>
      <w:r w:rsidRPr="00C840F8">
        <w:t xml:space="preserve"> </w:t>
      </w:r>
      <w:r w:rsidRPr="00C840F8">
        <w:lastRenderedPageBreak/>
        <w:t>au sein de la société qui l’entoure</w:t>
      </w:r>
      <w:r w:rsidR="00C840F8" w:rsidRPr="00C840F8">
        <w:t xml:space="preserve">, que d’aucuns qualifieront </w:t>
      </w:r>
      <w:proofErr w:type="gramStart"/>
      <w:r w:rsidR="00C840F8" w:rsidRPr="00C840F8">
        <w:t>d’ «</w:t>
      </w:r>
      <w:proofErr w:type="gramEnd"/>
      <w:r w:rsidR="00C840F8" w:rsidRPr="00C840F8">
        <w:t> </w:t>
      </w:r>
      <w:proofErr w:type="spellStart"/>
      <w:r w:rsidR="00C840F8" w:rsidRPr="002B3EF4">
        <w:rPr>
          <w:i/>
          <w:iCs/>
        </w:rPr>
        <w:t>entreprisation</w:t>
      </w:r>
      <w:proofErr w:type="spellEnd"/>
      <w:r w:rsidR="00C840F8" w:rsidRPr="00C840F8">
        <w:t> »</w:t>
      </w:r>
      <w:r w:rsidR="00C840F8" w:rsidRPr="00C840F8">
        <w:rPr>
          <w:rStyle w:val="Appelnotedebasdep"/>
        </w:rPr>
        <w:footnoteReference w:id="12"/>
      </w:r>
      <w:r w:rsidRPr="00C840F8">
        <w:t xml:space="preserve">. </w:t>
      </w:r>
      <w:r w:rsidR="00C840F8" w:rsidRPr="00C840F8">
        <w:t>La RSE serait en ce sens l’une des deux faces</w:t>
      </w:r>
      <w:r w:rsidR="00C61421" w:rsidRPr="00C840F8">
        <w:t xml:space="preserve"> d’un mouvement où </w:t>
      </w:r>
      <w:r w:rsidR="00C61421" w:rsidRPr="00C840F8">
        <w:rPr>
          <w:i/>
          <w:iCs/>
        </w:rPr>
        <w:t>l’entreprise se fait sociale et le social se fait entreprise</w:t>
      </w:r>
      <w:r w:rsidR="00C61421" w:rsidRPr="00C840F8">
        <w:t>.</w:t>
      </w:r>
      <w:r w:rsidR="00C840F8" w:rsidRPr="00C840F8">
        <w:rPr>
          <w:rStyle w:val="Appelnotedebasdep"/>
        </w:rPr>
        <w:footnoteReference w:id="13"/>
      </w:r>
    </w:p>
    <w:p w14:paraId="3945F7F5" w14:textId="7B3E0214" w:rsidR="00D835CC" w:rsidRPr="002B3EF4" w:rsidRDefault="005D34A0" w:rsidP="00D835CC">
      <w:r w:rsidRPr="002B3EF4">
        <w:t xml:space="preserve">D’aucuns dénoncent pourtant le danger que représenterait le fait de considérer l’Etat comme une entreprise et l’entreprise comme un organe de l’Etat. A cet égard, outre le fait que certains voient d’un mauvais œil l’entreprise investir le champ du social, la difficulté porte sur le caractère intrinsèquement </w:t>
      </w:r>
      <w:r w:rsidRPr="002B3EF4">
        <w:rPr>
          <w:i/>
          <w:iCs/>
        </w:rPr>
        <w:t>non contraignant</w:t>
      </w:r>
      <w:r w:rsidRPr="002B3EF4">
        <w:t xml:space="preserve"> de la RSE. En ce sens, l’affirmation de la RSE pourrait être précisément vue comme le signe du fait que l’entreprise n’assure pas – ou plus – la dimension éthique des échanges économiques et des relations de travail.</w:t>
      </w:r>
      <w:r w:rsidRPr="002B3EF4">
        <w:rPr>
          <w:rFonts w:eastAsiaTheme="minorHAnsi" w:cs="FrutigerLTStd-Roman"/>
          <w:vertAlign w:val="superscript"/>
        </w:rPr>
        <w:footnoteReference w:id="14"/>
      </w:r>
      <w:r w:rsidRPr="002B3EF4">
        <w:t xml:space="preserve"> Comment, d’ailleurs, se positionner face à la dimension essentiellement volontaire de la RSE, lorsqu’il est question du respect des droits fondamentaux ?</w:t>
      </w:r>
      <w:r w:rsidRPr="002B3EF4">
        <w:rPr>
          <w:rFonts w:eastAsiaTheme="minorHAnsi" w:cs="FrutigerLTStd-Roman"/>
          <w:vertAlign w:val="superscript"/>
        </w:rPr>
        <w:footnoteReference w:id="15"/>
      </w:r>
      <w:r w:rsidRPr="002B3EF4">
        <w:t xml:space="preserve"> </w:t>
      </w:r>
      <w:r w:rsidR="00D835CC" w:rsidRPr="002B3EF4">
        <w:t>Pour pallier les insuffisances actuelles du modèle non obligatoire de la RSE, émerge</w:t>
      </w:r>
      <w:r w:rsidR="00C840F8" w:rsidRPr="002B3EF4">
        <w:t xml:space="preserve"> alors</w:t>
      </w:r>
      <w:r w:rsidR="00D835CC" w:rsidRPr="002B3EF4">
        <w:t xml:space="preserve"> l’idée d’un renforcement de cette responsabilisation sociétale de l’entreprise.</w:t>
      </w:r>
    </w:p>
    <w:p w14:paraId="18AEF320" w14:textId="764D2B80" w:rsidR="00C61421" w:rsidRDefault="00B8622E" w:rsidP="00B8622E">
      <w:r w:rsidRPr="00B8622E">
        <w:t>En lien avec</w:t>
      </w:r>
      <w:r w:rsidR="00C61421" w:rsidRPr="00B8622E">
        <w:t xml:space="preserve"> la religion, la RSE peut se manifester par </w:t>
      </w:r>
      <w:r w:rsidRPr="00B8622E">
        <w:t>la responsabilisation</w:t>
      </w:r>
      <w:r w:rsidR="00C61421" w:rsidRPr="00B8622E">
        <w:t xml:space="preserve"> des entreprises en matière d’</w:t>
      </w:r>
      <w:r w:rsidR="00C61421" w:rsidRPr="002B3EF4">
        <w:rPr>
          <w:i/>
          <w:iCs/>
        </w:rPr>
        <w:t xml:space="preserve">inclusion sociale </w:t>
      </w:r>
      <w:r w:rsidR="00C61421" w:rsidRPr="00B8622E">
        <w:t>par le travail, à travers</w:t>
      </w:r>
      <w:r w:rsidRPr="00B8622E">
        <w:t xml:space="preserve"> notamment </w:t>
      </w:r>
      <w:r w:rsidR="006032EA">
        <w:t>la mise en œuvre de politiques de recrutement</w:t>
      </w:r>
      <w:r w:rsidR="006032EA" w:rsidRPr="006032EA">
        <w:t xml:space="preserve"> </w:t>
      </w:r>
      <w:r w:rsidR="006032EA">
        <w:t>visant à prendre</w:t>
      </w:r>
      <w:r w:rsidR="006032EA" w:rsidRPr="006032EA">
        <w:t xml:space="preserve"> en compte la diversité convictionnelle</w:t>
      </w:r>
      <w:r w:rsidR="006032EA">
        <w:t xml:space="preserve"> des candidats</w:t>
      </w:r>
      <w:r w:rsidRPr="00B8622E">
        <w:t xml:space="preserve">. Cet objectif d’inclusion peut également s’envisager à travers </w:t>
      </w:r>
      <w:r w:rsidR="00C61421" w:rsidRPr="00B8622E">
        <w:t>l’adaptation des conditions de travail</w:t>
      </w:r>
      <w:r w:rsidRPr="00B8622E">
        <w:t xml:space="preserve"> en vigueur</w:t>
      </w:r>
      <w:r w:rsidR="00C61421" w:rsidRPr="00B8622E">
        <w:t xml:space="preserve"> </w:t>
      </w:r>
      <w:r w:rsidRPr="00B8622E">
        <w:t xml:space="preserve">au sein </w:t>
      </w:r>
      <w:r w:rsidR="00C61421" w:rsidRPr="00B8622E">
        <w:t>de l’entreprise aux demandes religieuses</w:t>
      </w:r>
      <w:r w:rsidRPr="00B8622E">
        <w:t xml:space="preserve"> de certains travailleurs.</w:t>
      </w:r>
      <w:r w:rsidR="006032EA" w:rsidRPr="006032EA">
        <w:rPr>
          <w:vertAlign w:val="superscript"/>
        </w:rPr>
        <w:footnoteReference w:id="16"/>
      </w:r>
    </w:p>
    <w:p w14:paraId="40D563C3" w14:textId="3AE79624" w:rsidR="00D835CC" w:rsidRDefault="00D835CC" w:rsidP="00D835CC">
      <w:pPr>
        <w:pStyle w:val="Titre3"/>
      </w:pPr>
      <w:r>
        <w:lastRenderedPageBreak/>
        <w:t>Dimension interne de la neutralité</w:t>
      </w:r>
    </w:p>
    <w:p w14:paraId="70B5EB6B" w14:textId="6BCDBFB4" w:rsidR="00D835CC" w:rsidRDefault="00B8622E" w:rsidP="00FD5BEA">
      <w:r>
        <w:t>Lorsqu’elle est invoquée dans le contexte de l’entreprise privée, la neutralité peut, à l’instar de la RSE,</w:t>
      </w:r>
      <w:r w:rsidR="006D3460" w:rsidRPr="00D835CC">
        <w:t xml:space="preserve"> s’envisager</w:t>
      </w:r>
      <w:r w:rsidR="00FC33D8" w:rsidRPr="00D835CC">
        <w:t xml:space="preserve"> </w:t>
      </w:r>
      <w:r w:rsidR="00493E42">
        <w:t>à travers</w:t>
      </w:r>
      <w:r w:rsidR="006D3460" w:rsidRPr="00D835CC">
        <w:t xml:space="preserve"> une </w:t>
      </w:r>
      <w:r w:rsidR="00493E42">
        <w:t>dimension</w:t>
      </w:r>
      <w:r w:rsidR="006D3460" w:rsidRPr="00D835CC">
        <w:t> </w:t>
      </w:r>
      <w:r w:rsidR="00FC33D8" w:rsidRPr="00D835CC">
        <w:t xml:space="preserve">alternativement </w:t>
      </w:r>
      <w:r w:rsidR="00D835CC" w:rsidRPr="00D835CC">
        <w:t>interne ou externe.</w:t>
      </w:r>
    </w:p>
    <w:p w14:paraId="4B9F8749" w14:textId="60E2159E" w:rsidR="000850E1" w:rsidRDefault="00B8622E" w:rsidP="00FD5BEA">
      <w:r w:rsidRPr="00B8622E">
        <w:t>Dans une perspective</w:t>
      </w:r>
      <w:r w:rsidR="00D835CC" w:rsidRPr="00B8622E">
        <w:t xml:space="preserve"> </w:t>
      </w:r>
      <w:r w:rsidR="00D835CC" w:rsidRPr="00B8622E">
        <w:rPr>
          <w:i/>
          <w:iCs/>
        </w:rPr>
        <w:t>interne</w:t>
      </w:r>
      <w:r w:rsidR="00D835CC" w:rsidRPr="00B8622E">
        <w:t>, la neutralité</w:t>
      </w:r>
      <w:r w:rsidR="00D835CC">
        <w:t xml:space="preserve"> </w:t>
      </w:r>
      <w:r w:rsidRPr="00B8622E">
        <w:t>p</w:t>
      </w:r>
      <w:r w:rsidRPr="004A7587">
        <w:t>ortera sur l’organisation</w:t>
      </w:r>
      <w:r w:rsidR="00D835CC" w:rsidRPr="004A7587">
        <w:t xml:space="preserve"> </w:t>
      </w:r>
      <w:r w:rsidRPr="004A7587">
        <w:t xml:space="preserve">en vigueur au sein </w:t>
      </w:r>
      <w:r w:rsidR="00D835CC" w:rsidRPr="004A7587">
        <w:t>de l’entreprise</w:t>
      </w:r>
      <w:r w:rsidRPr="004A7587">
        <w:t xml:space="preserve">, tant </w:t>
      </w:r>
      <w:r w:rsidR="00B023A2" w:rsidRPr="004A7587">
        <w:t>du</w:t>
      </w:r>
      <w:r w:rsidRPr="004A7587">
        <w:t xml:space="preserve"> point de vue </w:t>
      </w:r>
      <w:r w:rsidR="00B023A2" w:rsidRPr="004A7587">
        <w:t xml:space="preserve">de son </w:t>
      </w:r>
      <w:r w:rsidR="00B023A2" w:rsidRPr="004A7587">
        <w:rPr>
          <w:i/>
          <w:iCs/>
        </w:rPr>
        <w:t>bon fonctionnement</w:t>
      </w:r>
      <w:r w:rsidR="00B023A2" w:rsidRPr="004A7587">
        <w:t xml:space="preserve"> </w:t>
      </w:r>
      <w:r w:rsidRPr="004A7587">
        <w:t xml:space="preserve">que sur le plan </w:t>
      </w:r>
      <w:r w:rsidR="00D835CC" w:rsidRPr="004A7587">
        <w:t xml:space="preserve">des </w:t>
      </w:r>
      <w:r w:rsidR="00D835CC" w:rsidRPr="004A7587">
        <w:rPr>
          <w:i/>
          <w:iCs/>
        </w:rPr>
        <w:t>relations entre travailleurs</w:t>
      </w:r>
      <w:r w:rsidR="000850E1" w:rsidRPr="004A7587">
        <w:t>.</w:t>
      </w:r>
    </w:p>
    <w:p w14:paraId="072FC667" w14:textId="57731CA1" w:rsidR="001A22EF" w:rsidRDefault="00B023A2" w:rsidP="00FD5BEA">
      <w:r>
        <w:t>T</w:t>
      </w:r>
      <w:r w:rsidR="000850E1">
        <w:t>elle qu’on l’observe dans les entreprises belges et françaises</w:t>
      </w:r>
      <w:r>
        <w:t xml:space="preserve">, l’invocation de la neutralité </w:t>
      </w:r>
      <w:r w:rsidR="000850E1" w:rsidRPr="00C65400">
        <w:t xml:space="preserve">consiste à restreindre, sinon à </w:t>
      </w:r>
      <w:r w:rsidRPr="00C65400">
        <w:t>effacer</w:t>
      </w:r>
      <w:r w:rsidR="000850E1" w:rsidRPr="00C65400">
        <w:t>,</w:t>
      </w:r>
      <w:r w:rsidR="000850E1">
        <w:t xml:space="preserve"> toute expression religieuse au sein de l’entreprise</w:t>
      </w:r>
      <w:r>
        <w:t xml:space="preserve">. A travers cette approche </w:t>
      </w:r>
      <w:r>
        <w:rPr>
          <w:i/>
          <w:iCs/>
        </w:rPr>
        <w:t xml:space="preserve">restrictive </w:t>
      </w:r>
      <w:r>
        <w:t>de la neutralité, il est considéré que l’organisation interne de l’entreprise nécessite une invisibilisation de la religion sur le lieu de travail</w:t>
      </w:r>
      <w:r w:rsidR="000850E1">
        <w:t>.</w:t>
      </w:r>
    </w:p>
    <w:p w14:paraId="761E2713" w14:textId="45C6C940" w:rsidR="000043CA" w:rsidRDefault="000043CA" w:rsidP="00FD5BEA">
      <w:r>
        <w:t xml:space="preserve">Lorsqu’elle est invoquée dans cette perspective interne à l’entreprise, la neutralité mobilise en particulier l’idée de </w:t>
      </w:r>
      <w:r w:rsidRPr="000043CA">
        <w:rPr>
          <w:i/>
          <w:iCs/>
        </w:rPr>
        <w:t>loyauté</w:t>
      </w:r>
      <w:r>
        <w:t xml:space="preserve"> du travailleur à la </w:t>
      </w:r>
      <w:r w:rsidRPr="000043CA">
        <w:rPr>
          <w:i/>
          <w:iCs/>
        </w:rPr>
        <w:t>communauté</w:t>
      </w:r>
      <w:r>
        <w:t xml:space="preserve"> de travail, voire à </w:t>
      </w:r>
      <w:r w:rsidRPr="000043CA">
        <w:rPr>
          <w:i/>
          <w:iCs/>
        </w:rPr>
        <w:t>l’éthique</w:t>
      </w:r>
      <w:r>
        <w:t xml:space="preserve"> de l’entreprise.</w:t>
      </w:r>
    </w:p>
    <w:p w14:paraId="307E2187" w14:textId="712B23F6" w:rsidR="000850E1" w:rsidRDefault="000850E1" w:rsidP="000850E1">
      <w:pPr>
        <w:pStyle w:val="Titre3"/>
      </w:pPr>
      <w:r>
        <w:t>Dimension externe de la neutralité</w:t>
      </w:r>
    </w:p>
    <w:p w14:paraId="1F0F87AF" w14:textId="6829E53F" w:rsidR="000850E1" w:rsidRDefault="000850E1" w:rsidP="000850E1">
      <w:r>
        <w:t xml:space="preserve">Du point de vue </w:t>
      </w:r>
      <w:r w:rsidRPr="00B023A2">
        <w:rPr>
          <w:i/>
          <w:iCs/>
        </w:rPr>
        <w:t>externe</w:t>
      </w:r>
      <w:r>
        <w:t xml:space="preserve">, </w:t>
      </w:r>
      <w:r w:rsidR="00B023A2">
        <w:t>l’invocation de la</w:t>
      </w:r>
      <w:r>
        <w:t xml:space="preserve"> neutralité</w:t>
      </w:r>
      <w:r w:rsidR="00F76F1C">
        <w:t xml:space="preserve"> religieuse</w:t>
      </w:r>
      <w:r w:rsidR="00B023A2">
        <w:t xml:space="preserve"> </w:t>
      </w:r>
      <w:r w:rsidR="00F76F1C">
        <w:t xml:space="preserve">s’envisage plutôt comme la nécessité, pour l’entreprise, d’exprimer </w:t>
      </w:r>
      <w:r w:rsidR="00F76F1C" w:rsidRPr="00C65400">
        <w:t xml:space="preserve">une </w:t>
      </w:r>
      <w:r w:rsidR="00F76F1C" w:rsidRPr="004A7587">
        <w:rPr>
          <w:i/>
          <w:iCs/>
        </w:rPr>
        <w:t>image neutre</w:t>
      </w:r>
      <w:r w:rsidR="00F76F1C" w:rsidRPr="00C65400">
        <w:t xml:space="preserve"> vis-à-</w:t>
      </w:r>
      <w:r w:rsidR="00F76F1C">
        <w:t>vis de ses partenaires et relations extérieures</w:t>
      </w:r>
      <w:r w:rsidR="00B023A2">
        <w:t xml:space="preserve">, qu’il s’agisse de </w:t>
      </w:r>
      <w:r w:rsidR="006F0EEB">
        <w:t xml:space="preserve">clients, fournisseurs, </w:t>
      </w:r>
      <w:r w:rsidR="00B023A2">
        <w:t>ou</w:t>
      </w:r>
      <w:r w:rsidR="006F0EEB">
        <w:t xml:space="preserve"> </w:t>
      </w:r>
      <w:r w:rsidR="00B023A2">
        <w:t xml:space="preserve">de </w:t>
      </w:r>
      <w:r w:rsidR="006F0EEB">
        <w:t xml:space="preserve">l’Etat. Cette image </w:t>
      </w:r>
      <w:r w:rsidR="00B023A2">
        <w:t xml:space="preserve">externe de neutralité </w:t>
      </w:r>
      <w:r w:rsidR="006F0EEB">
        <w:t>passerait, selon les entreprises observées, par l’absence d’expressions religieuses de la part des travailleurs de l’entreprise.</w:t>
      </w:r>
    </w:p>
    <w:p w14:paraId="2A4C9880" w14:textId="4E0A7EA5" w:rsidR="000043CA" w:rsidRPr="000043CA" w:rsidRDefault="000043CA" w:rsidP="000850E1">
      <w:r>
        <w:t>Sur le plan de la compatibilité de cette neutralité restrictive avec la liberté de religion et de la non-discrimination, l’enjeu, nous le verrons, consiste notamment à déterminer dans quelle mesure l’invocation externe de la neutralité nécessite, pour être compatible avec les droits fondamentaux, de n’être appliquée qu’aux</w:t>
      </w:r>
      <w:r w:rsidR="004A7587">
        <w:t xml:space="preserve"> seuls</w:t>
      </w:r>
      <w:r>
        <w:t xml:space="preserve"> travailleurs en contact avec l’environnement extérieur de l’entreprise.</w:t>
      </w:r>
    </w:p>
    <w:p w14:paraId="1BF68FB4" w14:textId="55D1AEC0" w:rsidR="00BE3113" w:rsidRDefault="00493E42" w:rsidP="000043CA">
      <w:pPr>
        <w:pStyle w:val="Titre2"/>
      </w:pPr>
      <w:r>
        <w:lastRenderedPageBreak/>
        <w:t>Approche</w:t>
      </w:r>
      <w:r w:rsidR="006F0EEB">
        <w:t xml:space="preserve"> instr</w:t>
      </w:r>
      <w:r w:rsidR="000043CA">
        <w:t>u</w:t>
      </w:r>
      <w:r w:rsidR="006F0EEB">
        <w:t>mentale et idéologique de la RSE et de la neutralité</w:t>
      </w:r>
    </w:p>
    <w:p w14:paraId="6D7CB9FE" w14:textId="034B66F5" w:rsidR="00BE3113" w:rsidRDefault="004A7587" w:rsidP="00D6072A">
      <w:r>
        <w:t xml:space="preserve">À </w:t>
      </w:r>
      <w:r w:rsidR="00075CD9" w:rsidRPr="006F0EEB">
        <w:t xml:space="preserve">cette première variable </w:t>
      </w:r>
      <w:r w:rsidR="00493E42" w:rsidRPr="00493E42">
        <w:rPr>
          <w:i/>
          <w:iCs/>
        </w:rPr>
        <w:t>interne-externe</w:t>
      </w:r>
      <w:r w:rsidR="00493E42">
        <w:t xml:space="preserve"> vient s’ajouter </w:t>
      </w:r>
      <w:r w:rsidR="00075CD9" w:rsidRPr="006F0EEB">
        <w:t xml:space="preserve">une seconde variable, </w:t>
      </w:r>
      <w:r w:rsidR="00493E42">
        <w:t xml:space="preserve">correspondant </w:t>
      </w:r>
      <w:r w:rsidR="006F0EEB">
        <w:t xml:space="preserve">à la distinction entre une approche </w:t>
      </w:r>
      <w:r w:rsidR="006F0EEB" w:rsidRPr="00493E42">
        <w:rPr>
          <w:i/>
          <w:iCs/>
        </w:rPr>
        <w:t>instrumentale</w:t>
      </w:r>
      <w:r w:rsidR="006F0EEB">
        <w:t xml:space="preserve"> et une approche </w:t>
      </w:r>
      <w:r w:rsidR="006F0EEB" w:rsidRPr="00493E42">
        <w:rPr>
          <w:i/>
          <w:iCs/>
        </w:rPr>
        <w:t>idéologique</w:t>
      </w:r>
      <w:r w:rsidR="006F0EEB">
        <w:t xml:space="preserve"> d</w:t>
      </w:r>
      <w:r w:rsidR="00493E42">
        <w:t>es concepts de RSE et de neutralité d’entreprise</w:t>
      </w:r>
      <w:r w:rsidR="008957B4" w:rsidRPr="006F0EEB">
        <w:t>.</w:t>
      </w:r>
    </w:p>
    <w:p w14:paraId="55319315" w14:textId="52CA42A7" w:rsidR="00EA0A07" w:rsidRDefault="00EA0A07" w:rsidP="00D6072A">
      <w:r w:rsidRPr="00493E42">
        <w:t xml:space="preserve">L’approche </w:t>
      </w:r>
      <w:r w:rsidRPr="00493E42">
        <w:rPr>
          <w:i/>
          <w:iCs/>
        </w:rPr>
        <w:t>instrumentale</w:t>
      </w:r>
      <w:r>
        <w:t xml:space="preserve"> signifie que </w:t>
      </w:r>
      <w:r w:rsidR="00493E42">
        <w:t>la</w:t>
      </w:r>
      <w:r>
        <w:t xml:space="preserve"> RSE ou </w:t>
      </w:r>
      <w:r w:rsidR="00493E42">
        <w:t>la</w:t>
      </w:r>
      <w:r w:rsidRPr="00493E42">
        <w:t xml:space="preserve"> neutralité n’est pas invoquée en tant qu’objectif en soi, mais bien comme un instrument</w:t>
      </w:r>
      <w:r w:rsidR="00493E42">
        <w:t xml:space="preserve"> ou </w:t>
      </w:r>
      <w:r w:rsidRPr="00493E42">
        <w:t xml:space="preserve">un moyen au service d’un objectif lui-même étranger à cette RSE ou </w:t>
      </w:r>
      <w:r w:rsidR="00EB66F9">
        <w:t xml:space="preserve">à </w:t>
      </w:r>
      <w:r w:rsidRPr="00493E42">
        <w:t>cette neutralité.</w:t>
      </w:r>
    </w:p>
    <w:p w14:paraId="29628131" w14:textId="73D18C63" w:rsidR="00EA0A07" w:rsidRDefault="00EA0A07" w:rsidP="00D6072A">
      <w:r w:rsidRPr="00493E42">
        <w:t>L’approche</w:t>
      </w:r>
      <w:r w:rsidRPr="00493E42">
        <w:rPr>
          <w:i/>
          <w:iCs/>
        </w:rPr>
        <w:t xml:space="preserve"> idéologique</w:t>
      </w:r>
      <w:r>
        <w:t xml:space="preserve"> signifie </w:t>
      </w:r>
      <w:r w:rsidR="00EB66F9">
        <w:t>à l’inverse</w:t>
      </w:r>
      <w:r>
        <w:t xml:space="preserve"> que la RSE ou la neutralité est envisagée non comme un simple moyen, mais </w:t>
      </w:r>
      <w:r w:rsidRPr="00493E42">
        <w:t>bien comme un objectif à atteindre, auquel est donné un contenu idéologique positif.</w:t>
      </w:r>
    </w:p>
    <w:p w14:paraId="0484C3BD" w14:textId="2E08BD22" w:rsidR="006F0EEB" w:rsidRDefault="00EB66F9" w:rsidP="00173543">
      <w:pPr>
        <w:pStyle w:val="Titre3"/>
        <w:numPr>
          <w:ilvl w:val="0"/>
          <w:numId w:val="34"/>
        </w:numPr>
      </w:pPr>
      <w:r>
        <w:t>Approche</w:t>
      </w:r>
      <w:r w:rsidR="00EA0A07">
        <w:t xml:space="preserve"> instrumentale de la RSE</w:t>
      </w:r>
    </w:p>
    <w:p w14:paraId="727D705E" w14:textId="1DBC0216" w:rsidR="00EA0A07" w:rsidRPr="00EB66F9" w:rsidRDefault="00EB66F9" w:rsidP="00EA0A07">
      <w:r w:rsidRPr="00EB66F9">
        <w:t xml:space="preserve">Envisager </w:t>
      </w:r>
      <w:r>
        <w:t>l’</w:t>
      </w:r>
      <w:r w:rsidRPr="00EB66F9">
        <w:t>approche ins</w:t>
      </w:r>
      <w:r w:rsidR="001A22EF" w:rsidRPr="00EB66F9">
        <w:t xml:space="preserve">trumentale </w:t>
      </w:r>
      <w:r>
        <w:t>dans le cas de</w:t>
      </w:r>
      <w:r w:rsidR="001A22EF" w:rsidRPr="00EB66F9">
        <w:t xml:space="preserve"> la RSE </w:t>
      </w:r>
      <w:r>
        <w:t>consiste</w:t>
      </w:r>
      <w:r w:rsidR="00173543" w:rsidRPr="00EB66F9">
        <w:t xml:space="preserve"> à se demander </w:t>
      </w:r>
      <w:r>
        <w:t>dans quelle mesure</w:t>
      </w:r>
      <w:r w:rsidR="001A22EF" w:rsidRPr="00EB66F9">
        <w:t xml:space="preserve"> la mise en œuvre de la RSE par l’entreprise </w:t>
      </w:r>
      <w:r>
        <w:t xml:space="preserve">présente un caractère potentiellement – voire nécessairement – </w:t>
      </w:r>
      <w:r w:rsidR="00173543" w:rsidRPr="00EB66F9">
        <w:rPr>
          <w:i/>
          <w:iCs/>
        </w:rPr>
        <w:t>intéressé</w:t>
      </w:r>
      <w:r>
        <w:t xml:space="preserve">. Cette question se pose </w:t>
      </w:r>
      <w:r w:rsidR="00173543" w:rsidRPr="00EB66F9">
        <w:t xml:space="preserve">en particulier </w:t>
      </w:r>
      <w:r>
        <w:t>du point de vue de la dimension lucrative de l’entreprise</w:t>
      </w:r>
      <w:r w:rsidR="00173543" w:rsidRPr="00EB66F9">
        <w:t xml:space="preserve">. </w:t>
      </w:r>
      <w:r>
        <w:t xml:space="preserve">En d’autres termes, la poursuite d’une politique de </w:t>
      </w:r>
      <w:r w:rsidR="00173543" w:rsidRPr="00EB66F9">
        <w:t xml:space="preserve">RSE </w:t>
      </w:r>
      <w:r>
        <w:t xml:space="preserve">par une entreprise implique-t-elle </w:t>
      </w:r>
      <w:r w:rsidR="00173543" w:rsidRPr="00EB66F9">
        <w:t xml:space="preserve">nécessairement </w:t>
      </w:r>
      <w:r>
        <w:t xml:space="preserve">un caractère désintéressé pour qu’il puisse être question </w:t>
      </w:r>
      <w:r w:rsidR="00173543" w:rsidRPr="00EB66F9">
        <w:t>de RSE</w:t>
      </w:r>
      <w:r>
        <w:t> ? Convient-il plutôt d’admettre la compatibilité de l’idée de RSE avec une approche instrumentale mobilisant la RSE au service d’une recherche de profit</w:t>
      </w:r>
      <w:r w:rsidR="00173543" w:rsidRPr="00EB66F9">
        <w:t> ?</w:t>
      </w:r>
    </w:p>
    <w:p w14:paraId="061CB444" w14:textId="1B8F6CF1" w:rsidR="00173543" w:rsidRPr="00DE1B3B" w:rsidRDefault="00EB66F9" w:rsidP="00173543">
      <w:pPr>
        <w:rPr>
          <w:color w:val="808080" w:themeColor="background1" w:themeShade="80"/>
        </w:rPr>
      </w:pPr>
      <w:r>
        <w:rPr>
          <w:bCs/>
        </w:rPr>
        <w:t xml:space="preserve">Sur ce point, </w:t>
      </w:r>
      <w:r w:rsidR="005D34A0">
        <w:rPr>
          <w:bCs/>
        </w:rPr>
        <w:t>d’aucuns</w:t>
      </w:r>
      <w:r w:rsidR="00173543" w:rsidRPr="00EB66F9">
        <w:rPr>
          <w:bCs/>
        </w:rPr>
        <w:t xml:space="preserve"> </w:t>
      </w:r>
      <w:r w:rsidRPr="00EB66F9">
        <w:rPr>
          <w:bCs/>
        </w:rPr>
        <w:t>mettent en exergue</w:t>
      </w:r>
      <w:r w:rsidR="00173543" w:rsidRPr="00EB66F9">
        <w:rPr>
          <w:bCs/>
        </w:rPr>
        <w:t xml:space="preserve"> l’impossibilité</w:t>
      </w:r>
      <w:r w:rsidR="00173543" w:rsidRPr="00EB66F9">
        <w:t xml:space="preserve"> conceptuelle </w:t>
      </w:r>
      <w:r w:rsidR="00173543" w:rsidRPr="00EB66F9">
        <w:rPr>
          <w:i/>
          <w:iCs/>
        </w:rPr>
        <w:t>et</w:t>
      </w:r>
      <w:r w:rsidR="00173543" w:rsidRPr="00EB66F9">
        <w:t xml:space="preserve"> pratique </w:t>
      </w:r>
      <w:r>
        <w:t xml:space="preserve">consistant </w:t>
      </w:r>
      <w:r w:rsidR="00173543" w:rsidRPr="00EB66F9">
        <w:t>à concevoir une RSE qui ne serait pas désintéressée, à moyen ou long terme, dans le chef de l’entreprise.</w:t>
      </w:r>
      <w:r w:rsidR="005D34A0">
        <w:rPr>
          <w:rStyle w:val="Appelnotedebasdep"/>
        </w:rPr>
        <w:footnoteReference w:id="17"/>
      </w:r>
      <w:r w:rsidR="00173543" w:rsidRPr="00EB66F9">
        <w:t xml:space="preserve"> A travers ce qu’il </w:t>
      </w:r>
      <w:r w:rsidR="005D34A0">
        <w:t>nomme</w:t>
      </w:r>
      <w:r w:rsidR="00173543" w:rsidRPr="00EB66F9">
        <w:t xml:space="preserve"> un </w:t>
      </w:r>
      <w:r w:rsidR="002203A4" w:rsidRPr="00EB66F9">
        <w:t>« </w:t>
      </w:r>
      <w:r w:rsidR="00173543" w:rsidRPr="00EB66F9">
        <w:t>utilitarisme différé</w:t>
      </w:r>
      <w:r w:rsidR="002203A4" w:rsidRPr="00EB66F9">
        <w:t> »</w:t>
      </w:r>
      <w:r w:rsidR="00173543" w:rsidRPr="00EB66F9">
        <w:t xml:space="preserve">, </w:t>
      </w:r>
      <w:r>
        <w:t xml:space="preserve">M. </w:t>
      </w:r>
      <w:r w:rsidR="00173543" w:rsidRPr="00EB66F9">
        <w:t xml:space="preserve">de Nanteuil </w:t>
      </w:r>
      <w:r>
        <w:t>pointe en particulier</w:t>
      </w:r>
      <w:r w:rsidR="00173543" w:rsidRPr="00EB66F9">
        <w:t xml:space="preserve"> le paradoxe selon lui inhérent à la RSE, consistant à mettre en avant une </w:t>
      </w:r>
      <w:r w:rsidR="00173543" w:rsidRPr="00EB66F9">
        <w:lastRenderedPageBreak/>
        <w:t>attitude désintéressée et gratuite à court terme, mais dans la perspective d’une rentabilité à plus long terme.</w:t>
      </w:r>
      <w:r w:rsidR="0018559C">
        <w:rPr>
          <w:rStyle w:val="Appelnotedebasdep"/>
        </w:rPr>
        <w:footnoteReference w:id="18"/>
      </w:r>
    </w:p>
    <w:p w14:paraId="0B96E8E2" w14:textId="78F18E3E" w:rsidR="00173543" w:rsidRDefault="000043CA" w:rsidP="00173543">
      <w:pPr>
        <w:pStyle w:val="Titre3"/>
      </w:pPr>
      <w:r>
        <w:t>Approche</w:t>
      </w:r>
      <w:r w:rsidR="00173543">
        <w:t xml:space="preserve"> idéologique de la RSE</w:t>
      </w:r>
    </w:p>
    <w:p w14:paraId="718D41D4" w14:textId="5F8830AA" w:rsidR="009466B7" w:rsidRDefault="009466B7" w:rsidP="00EA0A07">
      <w:r>
        <w:t>En</w:t>
      </w:r>
      <w:r w:rsidR="00432868">
        <w:t xml:space="preserve"> envisageant la RSE dans une approche</w:t>
      </w:r>
      <w:r w:rsidR="00173543">
        <w:t xml:space="preserve"> </w:t>
      </w:r>
      <w:r w:rsidR="00173543" w:rsidRPr="009466B7">
        <w:rPr>
          <w:i/>
          <w:iCs/>
        </w:rPr>
        <w:t>idéologique</w:t>
      </w:r>
      <w:r w:rsidR="00173543" w:rsidRPr="009466B7">
        <w:t xml:space="preserve">, </w:t>
      </w:r>
      <w:r w:rsidR="00432868" w:rsidRPr="009466B7">
        <w:t>l’</w:t>
      </w:r>
      <w:r w:rsidR="001145F1" w:rsidRPr="009466B7">
        <w:t>on aborde la question de l’articulation entre</w:t>
      </w:r>
      <w:r>
        <w:t xml:space="preserve"> RSE et </w:t>
      </w:r>
      <w:r w:rsidRPr="009466B7">
        <w:t>recherche de</w:t>
      </w:r>
      <w:r w:rsidR="001145F1" w:rsidRPr="009466B7">
        <w:t xml:space="preserve"> profit dans le sens inverse : </w:t>
      </w:r>
      <w:r w:rsidR="00716DE5" w:rsidRPr="009466B7">
        <w:t>dès lors que</w:t>
      </w:r>
      <w:r w:rsidR="001145F1" w:rsidRPr="009466B7">
        <w:t xml:space="preserve"> l’entreprise fait de sa politique de RSE un objectif au cœur du projet de l’entreprise, </w:t>
      </w:r>
      <w:r>
        <w:t>la</w:t>
      </w:r>
      <w:r w:rsidR="00716DE5" w:rsidRPr="009466B7">
        <w:t xml:space="preserve"> RSE devient un projet idéologique </w:t>
      </w:r>
      <w:r>
        <w:t>conduisant à une transformation de notre conception de l’idée d’entreprise.</w:t>
      </w:r>
    </w:p>
    <w:p w14:paraId="309C7412" w14:textId="450C5BBE" w:rsidR="00716DE5" w:rsidRPr="009466B7" w:rsidRDefault="00716DE5" w:rsidP="00EA0A07">
      <w:r>
        <w:t xml:space="preserve">A travers cette idéologisation de la RSE </w:t>
      </w:r>
      <w:r w:rsidR="009466B7">
        <w:t xml:space="preserve">en tant </w:t>
      </w:r>
      <w:r w:rsidR="009466B7" w:rsidRPr="009466B7">
        <w:t>qu’</w:t>
      </w:r>
      <w:r w:rsidRPr="009466B7">
        <w:rPr>
          <w:i/>
          <w:iCs/>
        </w:rPr>
        <w:t>éthique</w:t>
      </w:r>
      <w:r w:rsidRPr="009466B7">
        <w:t xml:space="preserve"> de l’entreprise, se pose la question de savoir </w:t>
      </w:r>
      <w:r w:rsidR="0018559C">
        <w:t>jusqu’à quel point</w:t>
      </w:r>
      <w:r w:rsidRPr="009466B7">
        <w:t xml:space="preserve"> la recherche de profit définit l’entreprise, et à partir de </w:t>
      </w:r>
      <w:r w:rsidR="0018559C">
        <w:t>quel moment</w:t>
      </w:r>
      <w:r w:rsidRPr="009466B7">
        <w:t xml:space="preserve"> la poursuite d’un objectif non lucratif fait sortir l’organisation de la catégorie ‘entreprise’.</w:t>
      </w:r>
    </w:p>
    <w:p w14:paraId="7A8CACC8" w14:textId="18190073" w:rsidR="00E240DF" w:rsidRPr="009466B7" w:rsidRDefault="00F13E8E" w:rsidP="00E240DF">
      <w:r w:rsidRPr="009466B7">
        <w:t>En lien avec ce renforcement de la RSE, d</w:t>
      </w:r>
      <w:r w:rsidR="00E240DF" w:rsidRPr="009466B7">
        <w:t>e nouveaux modèles d’entreprise à « objet social étendu »</w:t>
      </w:r>
      <w:r w:rsidR="009466B7" w:rsidRPr="009466B7">
        <w:rPr>
          <w:rStyle w:val="Appelnotedebasdep"/>
        </w:rPr>
        <w:footnoteReference w:id="19"/>
      </w:r>
      <w:r w:rsidR="00E240DF" w:rsidRPr="009466B7">
        <w:t xml:space="preserve"> ont émergé ces dernières décennies. Ces modèles visent à dépasser </w:t>
      </w:r>
      <w:r w:rsidR="009466B7" w:rsidRPr="009466B7">
        <w:t>la difficulté portant sur</w:t>
      </w:r>
      <w:r w:rsidR="00E240DF" w:rsidRPr="009466B7">
        <w:t xml:space="preserve"> l’adéquation de</w:t>
      </w:r>
      <w:r w:rsidR="009466B7" w:rsidRPr="009466B7">
        <w:t xml:space="preserve">s objectifs de </w:t>
      </w:r>
      <w:r w:rsidR="00E240DF" w:rsidRPr="009466B7">
        <w:t>RSE avec les intérêts des actionnaires</w:t>
      </w:r>
      <w:r w:rsidR="009466B7">
        <w:t> : c</w:t>
      </w:r>
      <w:r w:rsidR="00E240DF" w:rsidRPr="009466B7">
        <w:t>omment</w:t>
      </w:r>
      <w:r w:rsidR="009466B7" w:rsidRPr="009466B7">
        <w:t>,</w:t>
      </w:r>
      <w:r w:rsidR="00E240DF" w:rsidRPr="009466B7">
        <w:t xml:space="preserve"> en effet</w:t>
      </w:r>
      <w:r w:rsidR="009466B7" w:rsidRPr="009466B7">
        <w:t>,</w:t>
      </w:r>
      <w:r w:rsidR="00E240DF" w:rsidRPr="009466B7">
        <w:t xml:space="preserve"> les objectifs de RSE peuvent-ils être véritablement mis en œuvre </w:t>
      </w:r>
      <w:r w:rsidR="009466B7" w:rsidRPr="009466B7">
        <w:t>dès lors que</w:t>
      </w:r>
      <w:r w:rsidR="00E240DF" w:rsidRPr="009466B7">
        <w:t xml:space="preserve"> le dirigeant d’entreprise </w:t>
      </w:r>
      <w:r w:rsidR="009466B7" w:rsidRPr="009466B7">
        <w:t xml:space="preserve">chargé de leur mise en œuvre </w:t>
      </w:r>
      <w:r w:rsidR="00E240DF" w:rsidRPr="009466B7">
        <w:t>est en dernier ressort toujours tenu de rendre ces objectifs compatibles avec les intérêts de profit des actionnaires ?</w:t>
      </w:r>
    </w:p>
    <w:p w14:paraId="76831876" w14:textId="54F5148D" w:rsidR="00E240DF" w:rsidRDefault="00700CE4" w:rsidP="00E240DF">
      <w:r w:rsidRPr="00343685">
        <w:t>Il importe de préciser</w:t>
      </w:r>
      <w:r w:rsidR="00E240DF" w:rsidRPr="00343685">
        <w:t xml:space="preserve"> qu’il ne s’agit pas</w:t>
      </w:r>
      <w:r w:rsidR="00343685" w:rsidRPr="00343685">
        <w:t xml:space="preserve"> ici</w:t>
      </w:r>
      <w:r w:rsidR="00E240DF" w:rsidRPr="00343685">
        <w:t xml:space="preserve"> d’entreprises sans but lucratif ou avec un but lucratif limité</w:t>
      </w:r>
      <w:r w:rsidR="00E240DF" w:rsidRPr="00343685">
        <w:rPr>
          <w:vertAlign w:val="superscript"/>
        </w:rPr>
        <w:footnoteReference w:id="20"/>
      </w:r>
      <w:r w:rsidR="00E240DF" w:rsidRPr="00343685">
        <w:t>, mais bien d’entreprises qui souhaitent adjoindre au profit d’autres finalités sociétales.</w:t>
      </w:r>
      <w:r w:rsidR="00343685" w:rsidRPr="00343685">
        <w:t xml:space="preserve"> </w:t>
      </w:r>
      <w:r w:rsidR="00E240DF" w:rsidRPr="00343685">
        <w:t xml:space="preserve">Cette idée se développe dès les années 2000 aux Etats-Unis avec la </w:t>
      </w:r>
      <w:r w:rsidR="00E240DF" w:rsidRPr="00343685">
        <w:rPr>
          <w:i/>
        </w:rPr>
        <w:t xml:space="preserve">Flexible </w:t>
      </w:r>
      <w:proofErr w:type="spellStart"/>
      <w:r w:rsidR="00E240DF" w:rsidRPr="00343685">
        <w:rPr>
          <w:i/>
        </w:rPr>
        <w:t>Purpose</w:t>
      </w:r>
      <w:proofErr w:type="spellEnd"/>
      <w:r w:rsidR="00E240DF" w:rsidRPr="00343685">
        <w:rPr>
          <w:i/>
        </w:rPr>
        <w:t xml:space="preserve"> Corporation</w:t>
      </w:r>
      <w:r w:rsidR="00F80504">
        <w:rPr>
          <w:rStyle w:val="Appelnotedebasdep"/>
        </w:rPr>
        <w:footnoteReference w:id="21"/>
      </w:r>
      <w:r w:rsidR="00F80504">
        <w:t xml:space="preserve"> </w:t>
      </w:r>
      <w:r w:rsidR="00E240DF" w:rsidRPr="00343685">
        <w:t xml:space="preserve"> </w:t>
      </w:r>
      <w:r w:rsidR="00E240DF" w:rsidRPr="00343685">
        <w:lastRenderedPageBreak/>
        <w:t>(</w:t>
      </w:r>
      <w:proofErr w:type="spellStart"/>
      <w:r w:rsidR="00E240DF" w:rsidRPr="00F80504">
        <w:rPr>
          <w:i/>
          <w:iCs/>
        </w:rPr>
        <w:t>FPC</w:t>
      </w:r>
      <w:proofErr w:type="spellEnd"/>
      <w:r w:rsidR="00E240DF" w:rsidRPr="00343685">
        <w:t>, Californie)</w:t>
      </w:r>
      <w:r w:rsidR="00343685">
        <w:t xml:space="preserve">, faisant ensuite place à </w:t>
      </w:r>
      <w:r w:rsidR="00E240DF" w:rsidRPr="00343685">
        <w:t xml:space="preserve">la </w:t>
      </w:r>
      <w:proofErr w:type="spellStart"/>
      <w:r w:rsidR="00E240DF" w:rsidRPr="00343685">
        <w:rPr>
          <w:i/>
        </w:rPr>
        <w:t>Benefit</w:t>
      </w:r>
      <w:proofErr w:type="spellEnd"/>
      <w:r w:rsidR="00E240DF" w:rsidRPr="00343685">
        <w:rPr>
          <w:i/>
        </w:rPr>
        <w:t xml:space="preserve"> Corporation</w:t>
      </w:r>
      <w:r w:rsidR="00E240DF" w:rsidRPr="00343685">
        <w:t xml:space="preserve">, modèle plus renforcé que la </w:t>
      </w:r>
      <w:r w:rsidR="00E240DF" w:rsidRPr="00F80504">
        <w:rPr>
          <w:i/>
          <w:iCs/>
        </w:rPr>
        <w:t>FPC</w:t>
      </w:r>
      <w:r w:rsidR="00E240DF" w:rsidRPr="00343685">
        <w:t xml:space="preserve"> </w:t>
      </w:r>
      <w:r w:rsidR="00343685">
        <w:t>en ce qu’</w:t>
      </w:r>
      <w:r w:rsidR="00E240DF" w:rsidRPr="00343685">
        <w:t xml:space="preserve">il prévoit </w:t>
      </w:r>
      <w:r w:rsidR="00343685">
        <w:t xml:space="preserve">notamment </w:t>
      </w:r>
      <w:r w:rsidR="00E240DF" w:rsidRPr="00343685">
        <w:t xml:space="preserve">des </w:t>
      </w:r>
      <w:r w:rsidR="00343685">
        <w:t>mécanismes</w:t>
      </w:r>
      <w:r w:rsidR="00E240DF" w:rsidRPr="00343685">
        <w:t xml:space="preserve"> de contrôle externe </w:t>
      </w:r>
      <w:r w:rsidR="00343685">
        <w:t>des</w:t>
      </w:r>
      <w:r w:rsidR="00E240DF" w:rsidRPr="00343685">
        <w:t xml:space="preserve"> objectifs </w:t>
      </w:r>
      <w:r w:rsidR="00343685">
        <w:t xml:space="preserve">de RSE </w:t>
      </w:r>
      <w:r w:rsidR="00E240DF" w:rsidRPr="00343685">
        <w:t>fixés</w:t>
      </w:r>
      <w:r w:rsidR="00343685">
        <w:t xml:space="preserve"> en interne</w:t>
      </w:r>
      <w:r w:rsidR="00E240DF" w:rsidRPr="00343685">
        <w:t>.</w:t>
      </w:r>
      <w:r w:rsidR="00F80504">
        <w:t xml:space="preserve"> </w:t>
      </w:r>
      <w:r w:rsidR="00E240DF">
        <w:t>En France</w:t>
      </w:r>
      <w:r w:rsidR="00E240DF" w:rsidRPr="00F80504">
        <w:t>, les débats</w:t>
      </w:r>
      <w:r w:rsidR="00F80504">
        <w:t xml:space="preserve"> politiques entamés en 2018</w:t>
      </w:r>
      <w:r w:rsidR="00F80504">
        <w:rPr>
          <w:rStyle w:val="Appelnotedebasdep"/>
        </w:rPr>
        <w:footnoteReference w:id="22"/>
      </w:r>
      <w:r w:rsidR="00F80504">
        <w:t xml:space="preserve"> à ce sujet</w:t>
      </w:r>
      <w:r w:rsidR="00E240DF">
        <w:t xml:space="preserve"> </w:t>
      </w:r>
      <w:r w:rsidR="00F80504">
        <w:t xml:space="preserve">se sont concentrés sur </w:t>
      </w:r>
      <w:r w:rsidR="00E240DF">
        <w:t xml:space="preserve">la notion </w:t>
      </w:r>
      <w:r w:rsidR="00E240DF" w:rsidRPr="00F80504">
        <w:t>d’</w:t>
      </w:r>
      <w:r w:rsidR="00E240DF" w:rsidRPr="00F80504">
        <w:rPr>
          <w:i/>
          <w:iCs/>
        </w:rPr>
        <w:t>entreprise à mission</w:t>
      </w:r>
      <w:r w:rsidR="008356A5">
        <w:rPr>
          <w:rStyle w:val="Appelnotedebasdep"/>
        </w:rPr>
        <w:footnoteReference w:id="23"/>
      </w:r>
      <w:r w:rsidR="00E240DF">
        <w:t>, qui combinerait la recherche de profit avec le caractère contraignant et central de la RSE au sein de l’organisation.</w:t>
      </w:r>
    </w:p>
    <w:p w14:paraId="6EC78349" w14:textId="6A33D726" w:rsidR="00E63CBC" w:rsidRDefault="000043CA" w:rsidP="00E240DF">
      <w:pPr>
        <w:pStyle w:val="Titre3"/>
      </w:pPr>
      <w:r>
        <w:t>Approche</w:t>
      </w:r>
      <w:r w:rsidR="00E240DF">
        <w:t xml:space="preserve"> instrumentale de la neutralité</w:t>
      </w:r>
    </w:p>
    <w:p w14:paraId="2C1DC549" w14:textId="7436531E" w:rsidR="00124FA8" w:rsidRDefault="00E240DF" w:rsidP="00E240DF">
      <w:r>
        <w:t xml:space="preserve">En ce qui concerne l’invocation de la neutralité au sein de l’entreprise, la tension entre </w:t>
      </w:r>
      <w:r w:rsidR="008356A5">
        <w:t>une approche</w:t>
      </w:r>
      <w:r>
        <w:t xml:space="preserve"> instrumentale et </w:t>
      </w:r>
      <w:r w:rsidR="008356A5">
        <w:t>une approche</w:t>
      </w:r>
      <w:r>
        <w:t xml:space="preserve"> idéologique s’avère </w:t>
      </w:r>
      <w:r w:rsidR="000043CA">
        <w:t>également</w:t>
      </w:r>
      <w:r>
        <w:t xml:space="preserve"> pertinente.</w:t>
      </w:r>
    </w:p>
    <w:p w14:paraId="79AD05C7" w14:textId="2FF85BD8" w:rsidR="00E240DF" w:rsidRPr="008356A5" w:rsidRDefault="00E240DF" w:rsidP="00E240DF">
      <w:r w:rsidRPr="00E240DF">
        <w:t xml:space="preserve">Du point de vue </w:t>
      </w:r>
      <w:r w:rsidRPr="008356A5">
        <w:rPr>
          <w:i/>
          <w:iCs/>
        </w:rPr>
        <w:t>instrumental</w:t>
      </w:r>
      <w:r w:rsidRPr="00E240DF">
        <w:t xml:space="preserve">, la neutralité </w:t>
      </w:r>
      <w:r w:rsidR="008957B4" w:rsidRPr="00E240DF">
        <w:t>est mobilisée par l’entreprise comme le moyen de réaliser un objectif lui-même extérieur à cette neutralité religieuse</w:t>
      </w:r>
      <w:r w:rsidR="00D6072A" w:rsidRPr="00E240DF">
        <w:t xml:space="preserve">. </w:t>
      </w:r>
      <w:r>
        <w:t xml:space="preserve">L’employeur qui, sur base de cette neutralité, impose par exemple à ses employés de ne pas extérioriser leur religion, </w:t>
      </w:r>
      <w:r w:rsidR="008356A5">
        <w:t>n’agit pas de la sorte afin de faire de la</w:t>
      </w:r>
      <w:r>
        <w:t xml:space="preserve"> neutralité religieuse une dimension essentielle de son entreprise, mais bien parce </w:t>
      </w:r>
      <w:r w:rsidR="008356A5">
        <w:t>que celui-ci</w:t>
      </w:r>
      <w:r>
        <w:t xml:space="preserve"> </w:t>
      </w:r>
      <w:r w:rsidRPr="008356A5">
        <w:t>considère que cette neutralité est profitable à son entreprise, en particulier du point de vue de sa rentabilité.</w:t>
      </w:r>
    </w:p>
    <w:p w14:paraId="1701537E" w14:textId="3F14929F" w:rsidR="008957B4" w:rsidRPr="008356A5" w:rsidRDefault="000043CA" w:rsidP="00E240DF">
      <w:r>
        <w:t>Dès lors que la neutralité est instrumentalisée</w:t>
      </w:r>
      <w:r w:rsidR="00FC33D8" w:rsidRPr="008356A5">
        <w:t xml:space="preserve"> au service d’un but spécifique</w:t>
      </w:r>
      <w:r w:rsidR="008356A5">
        <w:t>, sans lien direct avec les expressions religieuses</w:t>
      </w:r>
      <w:r>
        <w:t>, le test de compatibilité avec les droits fondamentaux du travailleur portera sur la légitimité de ce but extérieur, et non sur la neutralité elle-même.</w:t>
      </w:r>
    </w:p>
    <w:p w14:paraId="13FFC700" w14:textId="4B57F69E" w:rsidR="009E4A07" w:rsidRDefault="000043CA" w:rsidP="009E4A07">
      <w:pPr>
        <w:pStyle w:val="Titre3"/>
      </w:pPr>
      <w:r>
        <w:t>Approche</w:t>
      </w:r>
      <w:r w:rsidR="00E240DF">
        <w:t xml:space="preserve"> idéologique de la neutralit</w:t>
      </w:r>
      <w:r w:rsidR="009E4A07">
        <w:t>é</w:t>
      </w:r>
    </w:p>
    <w:p w14:paraId="540418C0" w14:textId="6523DA46" w:rsidR="008957B4" w:rsidRDefault="009E4A07" w:rsidP="009E4A07">
      <w:r>
        <w:t xml:space="preserve">A l’inverse, </w:t>
      </w:r>
      <w:r w:rsidR="000043CA">
        <w:t xml:space="preserve">lorsque la neutralité est invoquée </w:t>
      </w:r>
      <w:r>
        <w:t xml:space="preserve">sous un angle </w:t>
      </w:r>
      <w:r w:rsidR="008957B4" w:rsidRPr="008356A5">
        <w:rPr>
          <w:i/>
          <w:iCs/>
        </w:rPr>
        <w:t>idéologique</w:t>
      </w:r>
      <w:r>
        <w:t xml:space="preserve">, </w:t>
      </w:r>
      <w:r w:rsidR="00286920">
        <w:t>la neutralité</w:t>
      </w:r>
      <w:r>
        <w:t xml:space="preserve"> apparaît comme </w:t>
      </w:r>
      <w:r w:rsidRPr="008356A5">
        <w:t>u</w:t>
      </w:r>
      <w:r w:rsidR="008957B4" w:rsidRPr="008356A5">
        <w:t xml:space="preserve">n objectif à atteindre </w:t>
      </w:r>
      <w:r w:rsidR="008957B4" w:rsidRPr="008356A5">
        <w:rPr>
          <w:i/>
          <w:iCs/>
        </w:rPr>
        <w:t>en soi</w:t>
      </w:r>
      <w:r w:rsidR="008957B4" w:rsidRPr="008356A5">
        <w:t xml:space="preserve"> pour l’entreprise</w:t>
      </w:r>
      <w:r w:rsidRPr="008356A5">
        <w:t>. L’idée</w:t>
      </w:r>
      <w:r>
        <w:t xml:space="preserve"> n</w:t>
      </w:r>
      <w:r w:rsidR="008356A5">
        <w:t xml:space="preserve">e consiste en l’occurrence </w:t>
      </w:r>
      <w:r>
        <w:t xml:space="preserve">plus </w:t>
      </w:r>
      <w:r w:rsidR="008356A5">
        <w:t>à</w:t>
      </w:r>
      <w:r>
        <w:t xml:space="preserve"> mobiliser la neutralité </w:t>
      </w:r>
      <w:r w:rsidR="008356A5">
        <w:t xml:space="preserve">en tant </w:t>
      </w:r>
      <w:r w:rsidR="008356A5">
        <w:lastRenderedPageBreak/>
        <w:t>qu’</w:t>
      </w:r>
      <w:r>
        <w:t xml:space="preserve">outil au service d’une rentabilité ou d’un fonctionnement optimal, mais bien </w:t>
      </w:r>
      <w:r w:rsidRPr="008356A5">
        <w:t xml:space="preserve">de faire de cette neutralité une dimension </w:t>
      </w:r>
      <w:r w:rsidR="0018559C">
        <w:t>idéologique</w:t>
      </w:r>
      <w:r w:rsidRPr="008356A5">
        <w:t xml:space="preserve"> inhérente à l’identité de l’entreprise.</w:t>
      </w:r>
    </w:p>
    <w:p w14:paraId="49698297" w14:textId="2CF68B41" w:rsidR="002203A4" w:rsidRDefault="00286920" w:rsidP="006218A7">
      <w:pPr>
        <w:rPr>
          <w:rFonts w:cs="Calibri"/>
          <w:smallCaps/>
          <w:sz w:val="32"/>
          <w:szCs w:val="32"/>
          <w:u w:val="single"/>
        </w:rPr>
      </w:pPr>
      <w:r>
        <w:t xml:space="preserve">Il s’agit dès lors d’évaluer la compatibilité de cette neutralité idéologique avec le respect des droits des travailleurs. A cet égard, comme nous le verrons, l’une des questions consiste à </w:t>
      </w:r>
      <w:r w:rsidR="009E4A07">
        <w:t xml:space="preserve">savoir </w:t>
      </w:r>
      <w:r>
        <w:t>dans quelle mesure</w:t>
      </w:r>
      <w:r w:rsidR="009E4A07">
        <w:t xml:space="preserve"> la catégorie juridique de </w:t>
      </w:r>
      <w:r w:rsidR="009E4A07" w:rsidRPr="00286920">
        <w:rPr>
          <w:i/>
          <w:iCs/>
        </w:rPr>
        <w:t>l’entreprise de tendance</w:t>
      </w:r>
      <w:r w:rsidR="009E4A07">
        <w:t xml:space="preserve">, </w:t>
      </w:r>
      <w:r>
        <w:t>« </w:t>
      </w:r>
      <w:r w:rsidR="009E4A07">
        <w:t xml:space="preserve">dont l’éthique est </w:t>
      </w:r>
      <w:r>
        <w:t>fondée</w:t>
      </w:r>
      <w:r w:rsidR="009E4A07">
        <w:t xml:space="preserve"> sur la religion ou les convictions</w:t>
      </w:r>
      <w:r>
        <w:t> »</w:t>
      </w:r>
      <w:r>
        <w:rPr>
          <w:rStyle w:val="Appelnotedebasdep"/>
        </w:rPr>
        <w:footnoteReference w:id="24"/>
      </w:r>
      <w:r w:rsidR="009E4A07">
        <w:t>, pourrait accueillir en son sein l’idée d’une entreprise de tendance neutre.</w:t>
      </w:r>
    </w:p>
    <w:p w14:paraId="1521ED90" w14:textId="0711D373" w:rsidR="00124FA8" w:rsidRPr="00124FA8" w:rsidRDefault="00D75559" w:rsidP="00750A66">
      <w:pPr>
        <w:pStyle w:val="Titre1"/>
      </w:pPr>
      <w:r>
        <w:t>Quatre hypothèses d’entreprise neutre du point de vue de la RSE</w:t>
      </w:r>
    </w:p>
    <w:p w14:paraId="7152DC2D" w14:textId="3FABE280" w:rsidR="0053031D" w:rsidRDefault="0053031D" w:rsidP="0053031D">
      <w:r>
        <w:t>La première partie nous a permis d’envisager tour à tour la mise en œuvre de la RSE et de la neutralité d’entreprise au regard de deux variables communes.</w:t>
      </w:r>
    </w:p>
    <w:p w14:paraId="68ECA8CF" w14:textId="62355143" w:rsidR="00E837AE" w:rsidRDefault="0053031D" w:rsidP="009D4FE7">
      <w:r w:rsidRPr="0053031D">
        <w:t>Cette seconde partie consiste à croiser ces deux variables afin d’analyser</w:t>
      </w:r>
      <w:r w:rsidRPr="0053031D">
        <w:rPr>
          <w:iCs/>
        </w:rPr>
        <w:t xml:space="preserve"> les interactions entre le développement de </w:t>
      </w:r>
      <w:r w:rsidRPr="00E837AE">
        <w:rPr>
          <w:iCs/>
        </w:rPr>
        <w:t>la RSE et l’affirmation de la neutralité religieuse au sein de l’entreprise.</w:t>
      </w:r>
      <w:r w:rsidRPr="00E837AE">
        <w:t xml:space="preserve"> </w:t>
      </w:r>
      <w:r w:rsidR="00E837AE" w:rsidRPr="00E837AE">
        <w:t>De ce</w:t>
      </w:r>
      <w:r w:rsidR="00E837AE" w:rsidRPr="00E837AE">
        <w:rPr>
          <w:iCs/>
        </w:rPr>
        <w:t xml:space="preserve"> croisement de variables émergent ainsi </w:t>
      </w:r>
      <w:r w:rsidR="00E837AE" w:rsidRPr="0018559C">
        <w:rPr>
          <w:i/>
        </w:rPr>
        <w:t>quatre hypothèses d’entreprise neutre</w:t>
      </w:r>
      <w:r w:rsidR="00E837AE">
        <w:rPr>
          <w:iCs/>
        </w:rPr>
        <w:t xml:space="preserve"> du point de vue de la RSE</w:t>
      </w:r>
      <w:r w:rsidR="00E837AE" w:rsidRPr="00E837AE">
        <w:rPr>
          <w:iCs/>
        </w:rPr>
        <w:t>.</w:t>
      </w:r>
    </w:p>
    <w:p w14:paraId="3AF347BA" w14:textId="42C7F121" w:rsidR="002203A4" w:rsidRDefault="002203A4" w:rsidP="009D4FE7">
      <w:pPr>
        <w:rPr>
          <w:iCs/>
        </w:rPr>
      </w:pPr>
      <w:r>
        <w:rPr>
          <w:iCs/>
        </w:rPr>
        <w:t xml:space="preserve">Pour </w:t>
      </w:r>
      <w:r w:rsidR="00377584">
        <w:rPr>
          <w:iCs/>
        </w:rPr>
        <w:t>chacune des quatre</w:t>
      </w:r>
      <w:r>
        <w:rPr>
          <w:iCs/>
        </w:rPr>
        <w:t xml:space="preserve"> </w:t>
      </w:r>
      <w:r w:rsidR="00E837AE">
        <w:rPr>
          <w:iCs/>
        </w:rPr>
        <w:t>hypothèse</w:t>
      </w:r>
      <w:r w:rsidR="00377584">
        <w:rPr>
          <w:iCs/>
        </w:rPr>
        <w:t>s</w:t>
      </w:r>
      <w:r w:rsidR="00E837AE">
        <w:rPr>
          <w:iCs/>
        </w:rPr>
        <w:t xml:space="preserve"> e</w:t>
      </w:r>
      <w:r>
        <w:rPr>
          <w:iCs/>
        </w:rPr>
        <w:t>nvisagée</w:t>
      </w:r>
      <w:r w:rsidR="00377584">
        <w:rPr>
          <w:iCs/>
        </w:rPr>
        <w:t>s</w:t>
      </w:r>
      <w:r>
        <w:rPr>
          <w:iCs/>
        </w:rPr>
        <w:t xml:space="preserve">, </w:t>
      </w:r>
      <w:r w:rsidR="00E837AE" w:rsidRPr="0018559C">
        <w:rPr>
          <w:i/>
        </w:rPr>
        <w:t>trois questions</w:t>
      </w:r>
      <w:r w:rsidR="00E837AE">
        <w:rPr>
          <w:iCs/>
        </w:rPr>
        <w:t xml:space="preserve"> seront successivement développées. Nous expliciterons dans un premier </w:t>
      </w:r>
      <w:r w:rsidR="00E837AE" w:rsidRPr="00E837AE">
        <w:rPr>
          <w:iCs/>
        </w:rPr>
        <w:t>temps le</w:t>
      </w:r>
      <w:r w:rsidRPr="00E837AE">
        <w:rPr>
          <w:iCs/>
        </w:rPr>
        <w:t xml:space="preserve"> modèle d’entreprise</w:t>
      </w:r>
      <w:r w:rsidR="00FC4E45" w:rsidRPr="00E837AE">
        <w:rPr>
          <w:iCs/>
        </w:rPr>
        <w:t xml:space="preserve"> du point de vue de la </w:t>
      </w:r>
      <w:r w:rsidR="00FC4E45" w:rsidRPr="00E837AE">
        <w:rPr>
          <w:i/>
        </w:rPr>
        <w:t>neutralité</w:t>
      </w:r>
      <w:r w:rsidR="00FC4E45" w:rsidRPr="00E837AE">
        <w:rPr>
          <w:iCs/>
        </w:rPr>
        <w:t>.</w:t>
      </w:r>
      <w:r>
        <w:rPr>
          <w:iCs/>
        </w:rPr>
        <w:t xml:space="preserve"> </w:t>
      </w:r>
      <w:r w:rsidR="00E837AE">
        <w:rPr>
          <w:iCs/>
        </w:rPr>
        <w:t xml:space="preserve">Il s’agira ensuite de rattacher ce modèle </w:t>
      </w:r>
      <w:r>
        <w:rPr>
          <w:iCs/>
        </w:rPr>
        <w:t xml:space="preserve">à l’un ou </w:t>
      </w:r>
      <w:r w:rsidRPr="00E837AE">
        <w:rPr>
          <w:iCs/>
        </w:rPr>
        <w:t xml:space="preserve">l’autre </w:t>
      </w:r>
      <w:r w:rsidRPr="00E837AE">
        <w:rPr>
          <w:i/>
        </w:rPr>
        <w:t>exemple</w:t>
      </w:r>
      <w:r w:rsidRPr="00E837AE">
        <w:rPr>
          <w:iCs/>
        </w:rPr>
        <w:t xml:space="preserve"> issu d</w:t>
      </w:r>
      <w:r>
        <w:rPr>
          <w:iCs/>
        </w:rPr>
        <w:t>e la jurisprudence ou d’autres sources juridiques.</w:t>
      </w:r>
      <w:r w:rsidR="008C1256">
        <w:rPr>
          <w:iCs/>
        </w:rPr>
        <w:t xml:space="preserve"> Enfin,</w:t>
      </w:r>
      <w:r w:rsidR="00377584">
        <w:rPr>
          <w:iCs/>
        </w:rPr>
        <w:t xml:space="preserve"> le troisième point</w:t>
      </w:r>
      <w:r w:rsidR="005502B9">
        <w:rPr>
          <w:iCs/>
        </w:rPr>
        <w:t>, davantage prospectif,</w:t>
      </w:r>
      <w:r w:rsidR="00377584">
        <w:rPr>
          <w:iCs/>
        </w:rPr>
        <w:t xml:space="preserve"> consistera à </w:t>
      </w:r>
      <w:r w:rsidR="008C1256">
        <w:rPr>
          <w:iCs/>
        </w:rPr>
        <w:t xml:space="preserve">analyser </w:t>
      </w:r>
      <w:r w:rsidR="0055114E">
        <w:rPr>
          <w:iCs/>
        </w:rPr>
        <w:t>le</w:t>
      </w:r>
      <w:r w:rsidR="008C1256">
        <w:rPr>
          <w:iCs/>
        </w:rPr>
        <w:t xml:space="preserve"> modèle</w:t>
      </w:r>
      <w:r w:rsidR="00377584">
        <w:rPr>
          <w:iCs/>
        </w:rPr>
        <w:t xml:space="preserve"> d’entreprise neutre</w:t>
      </w:r>
      <w:r w:rsidR="0055114E">
        <w:rPr>
          <w:iCs/>
        </w:rPr>
        <w:t xml:space="preserve"> en question</w:t>
      </w:r>
      <w:r w:rsidR="008C1256">
        <w:rPr>
          <w:iCs/>
        </w:rPr>
        <w:t xml:space="preserve"> du point de vue de la </w:t>
      </w:r>
      <w:r w:rsidR="008C1256" w:rsidRPr="00377584">
        <w:rPr>
          <w:i/>
        </w:rPr>
        <w:t>RSE</w:t>
      </w:r>
      <w:r w:rsidR="008C1256">
        <w:rPr>
          <w:iCs/>
        </w:rPr>
        <w:t>.</w:t>
      </w:r>
    </w:p>
    <w:p w14:paraId="67A5ECED" w14:textId="062E909F" w:rsidR="002203A4" w:rsidRPr="009D4FE7" w:rsidRDefault="00377584" w:rsidP="009D4FE7">
      <w:pPr>
        <w:rPr>
          <w:iCs/>
        </w:rPr>
      </w:pPr>
      <w:r w:rsidRPr="00377584">
        <w:rPr>
          <w:iCs/>
        </w:rPr>
        <w:t xml:space="preserve">Précisons au demeurant que </w:t>
      </w:r>
      <w:r w:rsidR="008C1256" w:rsidRPr="00377584">
        <w:rPr>
          <w:iCs/>
        </w:rPr>
        <w:t xml:space="preserve">ces </w:t>
      </w:r>
      <w:r w:rsidRPr="00377584">
        <w:rPr>
          <w:iCs/>
        </w:rPr>
        <w:t>modèles</w:t>
      </w:r>
      <w:r w:rsidR="008C1256" w:rsidRPr="00377584">
        <w:rPr>
          <w:iCs/>
        </w:rPr>
        <w:t xml:space="preserve"> </w:t>
      </w:r>
      <w:r w:rsidRPr="00377584">
        <w:rPr>
          <w:iCs/>
        </w:rPr>
        <w:t xml:space="preserve">d’entreprise </w:t>
      </w:r>
      <w:r w:rsidR="008C1256" w:rsidRPr="00377584">
        <w:rPr>
          <w:iCs/>
        </w:rPr>
        <w:t xml:space="preserve">ne sont </w:t>
      </w:r>
      <w:r w:rsidR="008C1256" w:rsidRPr="00377584">
        <w:rPr>
          <w:i/>
        </w:rPr>
        <w:t>pas exclusi</w:t>
      </w:r>
      <w:r w:rsidRPr="00377584">
        <w:rPr>
          <w:i/>
        </w:rPr>
        <w:t>f</w:t>
      </w:r>
      <w:r w:rsidR="008C1256" w:rsidRPr="00377584">
        <w:rPr>
          <w:i/>
        </w:rPr>
        <w:t>s</w:t>
      </w:r>
      <w:r w:rsidR="008C1256" w:rsidRPr="00377584">
        <w:rPr>
          <w:iCs/>
        </w:rPr>
        <w:t xml:space="preserve"> les uns des autres.</w:t>
      </w:r>
      <w:r>
        <w:rPr>
          <w:iCs/>
        </w:rPr>
        <w:t xml:space="preserve"> </w:t>
      </w:r>
      <w:r w:rsidR="00E775AB">
        <w:rPr>
          <w:iCs/>
        </w:rPr>
        <w:t>Comme nous le verrons, un</w:t>
      </w:r>
      <w:r>
        <w:rPr>
          <w:iCs/>
        </w:rPr>
        <w:t xml:space="preserve"> même exemple d’entreprise neutre est d’ailleurs susceptible d’être mentionné pour plusieurs hypothèses.</w:t>
      </w:r>
    </w:p>
    <w:p w14:paraId="179B17EE" w14:textId="31821273" w:rsidR="00124FA8" w:rsidRDefault="00D75559" w:rsidP="001C4425">
      <w:pPr>
        <w:pStyle w:val="Titre2"/>
        <w:numPr>
          <w:ilvl w:val="0"/>
          <w:numId w:val="27"/>
        </w:numPr>
      </w:pPr>
      <w:r>
        <w:lastRenderedPageBreak/>
        <w:t>La</w:t>
      </w:r>
      <w:r w:rsidR="00124FA8">
        <w:t xml:space="preserve"> neutralité</w:t>
      </w:r>
      <w:r w:rsidR="0003526C">
        <w:t xml:space="preserve"> </w:t>
      </w:r>
      <w:r w:rsidR="009D4FE7">
        <w:t>au service du b</w:t>
      </w:r>
      <w:r w:rsidR="00124FA8">
        <w:t>on fonctionnement</w:t>
      </w:r>
      <w:r w:rsidR="009D4FE7">
        <w:t xml:space="preserve"> de l’entreprise</w:t>
      </w:r>
    </w:p>
    <w:p w14:paraId="539154EF" w14:textId="7A169424" w:rsidR="008A4373" w:rsidRPr="001C685D" w:rsidRDefault="008A4373" w:rsidP="008A4373">
      <w:pPr>
        <w:pStyle w:val="Titre3"/>
        <w:numPr>
          <w:ilvl w:val="0"/>
          <w:numId w:val="38"/>
        </w:numPr>
      </w:pPr>
      <w:r w:rsidRPr="001C685D">
        <w:t>Neutralité</w:t>
      </w:r>
      <w:r w:rsidR="00D75559" w:rsidRPr="001C685D">
        <w:t xml:space="preserve"> interne et instrumentale</w:t>
      </w:r>
    </w:p>
    <w:p w14:paraId="25FB298E" w14:textId="73F6D367" w:rsidR="00E91018" w:rsidRDefault="00E91018" w:rsidP="00E91018">
      <w:r>
        <w:t xml:space="preserve">La neutralité est invoquée ici en </w:t>
      </w:r>
      <w:r w:rsidRPr="00736688">
        <w:rPr>
          <w:i/>
          <w:iCs/>
        </w:rPr>
        <w:t>interne</w:t>
      </w:r>
      <w:r>
        <w:t>, en tant qu’</w:t>
      </w:r>
      <w:r w:rsidRPr="00736688">
        <w:rPr>
          <w:i/>
          <w:iCs/>
        </w:rPr>
        <w:t xml:space="preserve">instrument </w:t>
      </w:r>
      <w:r>
        <w:t xml:space="preserve">de gestion des manifestations religieuses, afin d’assurer le </w:t>
      </w:r>
      <w:r w:rsidRPr="00736688">
        <w:rPr>
          <w:i/>
          <w:iCs/>
        </w:rPr>
        <w:t>bon fonctionnement</w:t>
      </w:r>
      <w:r>
        <w:t xml:space="preserve"> de l’entreprise.</w:t>
      </w:r>
      <w:r w:rsidR="0003526C">
        <w:rPr>
          <w:rStyle w:val="Appelnotedebasdep"/>
        </w:rPr>
        <w:footnoteReference w:id="25"/>
      </w:r>
    </w:p>
    <w:p w14:paraId="09CBC176" w14:textId="3309EE74" w:rsidR="00E91018" w:rsidRPr="00736688" w:rsidRDefault="00E91018" w:rsidP="00E91018">
      <w:r>
        <w:t xml:space="preserve">Ce bon fonctionnement peut faire référence d’une part à </w:t>
      </w:r>
      <w:r w:rsidRPr="00736688">
        <w:t>l’organisation du travail, dans</w:t>
      </w:r>
      <w:r>
        <w:t xml:space="preserve"> le sens où certaines demandes religieuses, notamment concernant l’aménagement des horaires, des congés</w:t>
      </w:r>
      <w:r w:rsidR="0003526C">
        <w:t xml:space="preserve"> </w:t>
      </w:r>
      <w:r>
        <w:t xml:space="preserve">ou de l’espace de travail constitueraient un frein à la </w:t>
      </w:r>
      <w:r w:rsidRPr="00736688">
        <w:rPr>
          <w:i/>
          <w:iCs/>
        </w:rPr>
        <w:t>bonne marche</w:t>
      </w:r>
      <w:r>
        <w:t xml:space="preserve"> de l’entreprise.</w:t>
      </w:r>
      <w:r w:rsidR="00736688">
        <w:t xml:space="preserve"> L’invocation de la neutralité permettrait en ce sens à l’employeur de ne pas accorder de statut préférentiel aux demandes </w:t>
      </w:r>
      <w:r w:rsidR="0003526C">
        <w:t>particulières</w:t>
      </w:r>
      <w:r w:rsidR="00736688">
        <w:t xml:space="preserve"> fondées sur la religion, en comparaison </w:t>
      </w:r>
      <w:r w:rsidR="0003526C">
        <w:t>de</w:t>
      </w:r>
      <w:r w:rsidR="00736688">
        <w:t xml:space="preserve"> demandes </w:t>
      </w:r>
      <w:r w:rsidR="0003526C">
        <w:t xml:space="preserve">analogues </w:t>
      </w:r>
      <w:r w:rsidR="00736688">
        <w:t xml:space="preserve">fondées sur d’autres motifs. Ce faisant, à travers </w:t>
      </w:r>
      <w:r w:rsidR="00267E5B">
        <w:t>la</w:t>
      </w:r>
      <w:r w:rsidR="00736688">
        <w:t xml:space="preserve"> </w:t>
      </w:r>
      <w:r w:rsidR="00736688" w:rsidRPr="00736688">
        <w:rPr>
          <w:i/>
          <w:iCs/>
        </w:rPr>
        <w:t xml:space="preserve">neutralisation </w:t>
      </w:r>
      <w:r w:rsidR="00736688" w:rsidRPr="0003526C">
        <w:t>des demandes à caractère religieux,</w:t>
      </w:r>
      <w:r w:rsidR="00736688">
        <w:t xml:space="preserve"> l’employeur entend garantir la bonne marche de son entreprise d’un point de vue organisationnel.</w:t>
      </w:r>
      <w:r w:rsidR="00736688">
        <w:rPr>
          <w:rStyle w:val="Appelnotedebasdep"/>
        </w:rPr>
        <w:footnoteReference w:id="26"/>
      </w:r>
    </w:p>
    <w:p w14:paraId="5CFB5F9D" w14:textId="2DB3AF7A" w:rsidR="00E91018" w:rsidRDefault="00E91018" w:rsidP="00E91018">
      <w:r>
        <w:t xml:space="preserve">Cette neutralité au service du bon fonctionnement interne peut </w:t>
      </w:r>
      <w:r w:rsidR="00736688">
        <w:t>par ailleurs aller au-delà des seules questions organisationnelles, et</w:t>
      </w:r>
      <w:r>
        <w:t xml:space="preserve"> viser </w:t>
      </w:r>
      <w:r w:rsidRPr="00736688">
        <w:t xml:space="preserve">les </w:t>
      </w:r>
      <w:r w:rsidRPr="00736688">
        <w:rPr>
          <w:i/>
          <w:iCs/>
        </w:rPr>
        <w:t>relations entre travailleurs</w:t>
      </w:r>
      <w:r w:rsidR="00736688" w:rsidRPr="00736688">
        <w:t xml:space="preserve">. La neutralisation des expressions religieuses viserait en ce sens à </w:t>
      </w:r>
      <w:r w:rsidR="00736688">
        <w:t>éviter certaines</w:t>
      </w:r>
      <w:r>
        <w:t xml:space="preserve"> tensions entre </w:t>
      </w:r>
      <w:r w:rsidR="00736688">
        <w:t xml:space="preserve">travailleurs, liées à la religion, et qui mettrait </w:t>
      </w:r>
      <w:r>
        <w:t xml:space="preserve">à mal la </w:t>
      </w:r>
      <w:r w:rsidRPr="00267E5B">
        <w:rPr>
          <w:i/>
          <w:iCs/>
        </w:rPr>
        <w:t>paix sociale</w:t>
      </w:r>
      <w:r>
        <w:t xml:space="preserve"> au sein de l’entreprise.</w:t>
      </w:r>
      <w:r w:rsidR="005E7560">
        <w:rPr>
          <w:rStyle w:val="Appelnotedebasdep"/>
        </w:rPr>
        <w:footnoteReference w:id="27"/>
      </w:r>
      <w:r w:rsidR="005E7560">
        <w:t xml:space="preserve"> Sont notamment visés l’atteinte aux droits et libertés d’autres travailleurs, de même que le prosélytisme abusif au sein de l’entreprise.</w:t>
      </w:r>
      <w:r w:rsidR="0003526C">
        <w:rPr>
          <w:rStyle w:val="Appelnotedebasdep"/>
        </w:rPr>
        <w:footnoteReference w:id="28"/>
      </w:r>
    </w:p>
    <w:p w14:paraId="73963686" w14:textId="0F99A29D" w:rsidR="008A4373" w:rsidRDefault="0003526C" w:rsidP="008A4373">
      <w:pPr>
        <w:pStyle w:val="Titre3"/>
      </w:pPr>
      <w:r>
        <w:lastRenderedPageBreak/>
        <w:t>Illustration</w:t>
      </w:r>
      <w:r w:rsidR="00A437A8">
        <w:t>s</w:t>
      </w:r>
      <w:r w:rsidR="00D75559">
        <w:t xml:space="preserve"> : </w:t>
      </w:r>
      <w:r w:rsidR="00D75559" w:rsidRPr="00D75559">
        <w:rPr>
          <w:i w:val="0"/>
          <w:iCs/>
        </w:rPr>
        <w:t>Baby Loup</w:t>
      </w:r>
      <w:r w:rsidR="00D75559">
        <w:t xml:space="preserve"> et</w:t>
      </w:r>
      <w:r w:rsidR="00B71F41">
        <w:t xml:space="preserve"> l’</w:t>
      </w:r>
      <w:r w:rsidR="00D75559">
        <w:t>art</w:t>
      </w:r>
      <w:r w:rsidR="00B71F41">
        <w:t>.</w:t>
      </w:r>
      <w:r w:rsidR="00D75559">
        <w:t xml:space="preserve"> L1321</w:t>
      </w:r>
      <w:r w:rsidR="00267E5B">
        <w:noBreakHyphen/>
      </w:r>
      <w:r w:rsidR="00D75559">
        <w:t>2</w:t>
      </w:r>
      <w:r w:rsidR="00267E5B">
        <w:noBreakHyphen/>
      </w:r>
      <w:r w:rsidR="00D75559">
        <w:t>1 du Code français du travail</w:t>
      </w:r>
    </w:p>
    <w:p w14:paraId="0C36BEF1" w14:textId="54578F1D" w:rsidR="00DE1B3B" w:rsidRDefault="00C03416" w:rsidP="00E91018">
      <w:r>
        <w:t xml:space="preserve">En guise d’illustration de cette première hypothèse d’entreprise neutre, l’on peut ici </w:t>
      </w:r>
      <w:r w:rsidR="00DE1B3B">
        <w:t xml:space="preserve">citer le </w:t>
      </w:r>
      <w:r>
        <w:t xml:space="preserve">désormais illustre </w:t>
      </w:r>
      <w:r w:rsidR="00DE1B3B">
        <w:t xml:space="preserve">cas de la crèche </w:t>
      </w:r>
      <w:r w:rsidR="00DE1B3B" w:rsidRPr="00C03416">
        <w:rPr>
          <w:i/>
          <w:iCs/>
        </w:rPr>
        <w:t>Baby Loup</w:t>
      </w:r>
      <w:r w:rsidR="00DE1B3B">
        <w:t xml:space="preserve"> en </w:t>
      </w:r>
      <w:r>
        <w:t>France. A l’origine d’une saga judiciaire comptant non moins de cinq décisions, cette affaire</w:t>
      </w:r>
      <w:r w:rsidR="008C26BC">
        <w:t xml:space="preserve"> </w:t>
      </w:r>
      <w:r>
        <w:t>porte sur le</w:t>
      </w:r>
      <w:r w:rsidR="008C26BC">
        <w:t xml:space="preserve"> licenciement de la directrice adjointe </w:t>
      </w:r>
      <w:r>
        <w:t>de la crèche, faisant suite à son refus</w:t>
      </w:r>
      <w:r w:rsidR="008C26BC">
        <w:t xml:space="preserve"> </w:t>
      </w:r>
      <w:r>
        <w:t xml:space="preserve">de </w:t>
      </w:r>
      <w:r w:rsidR="008C26BC">
        <w:t>ne pas porter son foulard islamique au travail</w:t>
      </w:r>
      <w:r>
        <w:t>, malgré la règle de neutralité interdisant le port de signes religieux.</w:t>
      </w:r>
      <w:r w:rsidR="008C26BC">
        <w:t xml:space="preserve"> </w:t>
      </w:r>
      <w:r>
        <w:t xml:space="preserve">Dans l’ultime – et décisif – arrêt rendu sur cette affaire, l’assemblée plénière de la Cour de cassation s’appuie précisément sur l’idée de </w:t>
      </w:r>
      <w:r w:rsidRPr="00C03416">
        <w:t xml:space="preserve">neutralité en tant que « mode d’organisation », afin de justifier la licéité de son application </w:t>
      </w:r>
      <w:r w:rsidRPr="00C03416">
        <w:rPr>
          <w:i/>
          <w:iCs/>
        </w:rPr>
        <w:t xml:space="preserve">in </w:t>
      </w:r>
      <w:proofErr w:type="spellStart"/>
      <w:r w:rsidRPr="00C03416">
        <w:rPr>
          <w:i/>
          <w:iCs/>
        </w:rPr>
        <w:t>casu</w:t>
      </w:r>
      <w:proofErr w:type="spellEnd"/>
      <w:r w:rsidRPr="00C03416">
        <w:t>.</w:t>
      </w:r>
      <w:r>
        <w:rPr>
          <w:rStyle w:val="Appelnotedebasdep"/>
        </w:rPr>
        <w:footnoteReference w:id="29"/>
      </w:r>
    </w:p>
    <w:p w14:paraId="707831AA" w14:textId="4195E674" w:rsidR="00A007E4" w:rsidRDefault="00E91018" w:rsidP="00E91018">
      <w:r w:rsidRPr="00A007E4">
        <w:t xml:space="preserve">Ce bon fonctionnement de l’entreprise fait </w:t>
      </w:r>
      <w:r w:rsidR="00A007E4">
        <w:t>en outre</w:t>
      </w:r>
      <w:r w:rsidRPr="00A007E4">
        <w:t xml:space="preserve"> écho </w:t>
      </w:r>
      <w:r w:rsidR="00A007E4">
        <w:t>à l’</w:t>
      </w:r>
      <w:r w:rsidRPr="00A007E4">
        <w:t>article</w:t>
      </w:r>
      <w:r w:rsidR="00A007E4">
        <w:t xml:space="preserve"> L1321</w:t>
      </w:r>
      <w:r w:rsidR="00267E5B">
        <w:noBreakHyphen/>
      </w:r>
      <w:r w:rsidR="00A007E4">
        <w:t>2-1</w:t>
      </w:r>
      <w:r w:rsidRPr="00A007E4">
        <w:t xml:space="preserve"> du Code du travail français</w:t>
      </w:r>
      <w:r w:rsidR="00A007E4">
        <w:t>, introduit</w:t>
      </w:r>
      <w:r w:rsidRPr="00A007E4">
        <w:t xml:space="preserve"> en 2016, </w:t>
      </w:r>
      <w:r w:rsidR="00A007E4">
        <w:t>et ouvrant</w:t>
      </w:r>
      <w:r w:rsidRPr="00A007E4">
        <w:t xml:space="preserve"> la possibilité aux entreprises privées de restreindre l’expression des convictions sur base de la neutralité, </w:t>
      </w:r>
      <w:r w:rsidR="00A007E4">
        <w:t>dès lors que « </w:t>
      </w:r>
      <w:r w:rsidR="00A007E4" w:rsidRPr="00A007E4">
        <w:t>ces restrictions</w:t>
      </w:r>
      <w:r w:rsidR="00A007E4">
        <w:t xml:space="preserve"> sont </w:t>
      </w:r>
      <w:r w:rsidR="00A007E4" w:rsidRPr="00A007E4">
        <w:t>justifiées par l'exercice d'autres libertés et droits fondamentaux ou par les nécessités du bon fonctionnement de l'entreprise et si elles sont proportionnées au but recherché</w:t>
      </w:r>
      <w:r w:rsidR="00A007E4">
        <w:t> ».</w:t>
      </w:r>
      <w:r w:rsidR="00A007E4">
        <w:rPr>
          <w:rStyle w:val="Appelnotedebasdep"/>
        </w:rPr>
        <w:footnoteReference w:id="30"/>
      </w:r>
    </w:p>
    <w:p w14:paraId="0544E5EC" w14:textId="57E81014" w:rsidR="00E91018" w:rsidRPr="00A007E4" w:rsidRDefault="00A007E4" w:rsidP="00E91018">
      <w:r>
        <w:t>Enfin,</w:t>
      </w:r>
      <w:r w:rsidR="00A437A8">
        <w:t xml:space="preserve"> dans un registre subsidiaire,</w:t>
      </w:r>
      <w:r>
        <w:t xml:space="preserve"> </w:t>
      </w:r>
      <w:r w:rsidR="00A437A8">
        <w:t>cette neutralité interne et instrumentale peut également être mise en lien avec</w:t>
      </w:r>
      <w:r w:rsidR="00E91018" w:rsidRPr="00A007E4">
        <w:t xml:space="preserve"> le climat </w:t>
      </w:r>
      <w:r w:rsidR="00E91018" w:rsidRPr="00A437A8">
        <w:t xml:space="preserve">de </w:t>
      </w:r>
      <w:r w:rsidR="00E91018" w:rsidRPr="00A437A8">
        <w:rPr>
          <w:i/>
          <w:iCs/>
        </w:rPr>
        <w:t>lutte antiterroriste</w:t>
      </w:r>
      <w:r w:rsidR="00A437A8">
        <w:t xml:space="preserve"> et </w:t>
      </w:r>
      <w:r w:rsidR="00E91018" w:rsidRPr="00A437A8">
        <w:t xml:space="preserve">de </w:t>
      </w:r>
      <w:r w:rsidR="00E91018" w:rsidRPr="00A437A8">
        <w:rPr>
          <w:i/>
          <w:iCs/>
        </w:rPr>
        <w:t>prévention de la radicalisation</w:t>
      </w:r>
      <w:r w:rsidR="00E91018" w:rsidRPr="00A007E4">
        <w:t xml:space="preserve"> sur le lieu de travail</w:t>
      </w:r>
      <w:r w:rsidR="00806FFC" w:rsidRPr="00A007E4">
        <w:t>. Dans ce contexte, les chefs d’entreprise peuvent être amenés à rechercher d</w:t>
      </w:r>
      <w:r w:rsidR="00E91018" w:rsidRPr="00A007E4">
        <w:t xml:space="preserve">es </w:t>
      </w:r>
      <w:r w:rsidR="00E91018" w:rsidRPr="00A437A8">
        <w:t>«</w:t>
      </w:r>
      <w:r w:rsidR="00A437A8" w:rsidRPr="00A437A8">
        <w:t> </w:t>
      </w:r>
      <w:r w:rsidR="00E91018" w:rsidRPr="00A437A8">
        <w:t>signaux faibles</w:t>
      </w:r>
      <w:r w:rsidR="00267E5B">
        <w:t> </w:t>
      </w:r>
      <w:r w:rsidR="00E91018" w:rsidRPr="00A437A8">
        <w:t>»</w:t>
      </w:r>
      <w:r w:rsidR="00E91018" w:rsidRPr="00A007E4">
        <w:t xml:space="preserve"> de radicalisation violente</w:t>
      </w:r>
      <w:r w:rsidR="00806FFC" w:rsidRPr="00A007E4">
        <w:t xml:space="preserve">, ou, à tout le moins, à avoir une </w:t>
      </w:r>
      <w:r w:rsidR="00E91018" w:rsidRPr="00A007E4">
        <w:t xml:space="preserve">sensibilité plus </w:t>
      </w:r>
      <w:r w:rsidR="00E91018" w:rsidRPr="00A007E4">
        <w:lastRenderedPageBreak/>
        <w:t xml:space="preserve">accrue </w:t>
      </w:r>
      <w:r w:rsidR="00806FFC" w:rsidRPr="00A007E4">
        <w:t>à ce sujet.</w:t>
      </w:r>
      <w:r w:rsidR="00A437A8">
        <w:rPr>
          <w:rStyle w:val="Appelnotedebasdep"/>
        </w:rPr>
        <w:footnoteReference w:id="31"/>
      </w:r>
      <w:r w:rsidR="00A437A8">
        <w:t xml:space="preserve"> L</w:t>
      </w:r>
      <w:r w:rsidR="00E91018" w:rsidRPr="00A007E4">
        <w:t xml:space="preserve">e </w:t>
      </w:r>
      <w:r w:rsidR="00E91018" w:rsidRPr="00A437A8">
        <w:rPr>
          <w:i/>
          <w:iCs/>
        </w:rPr>
        <w:t>communautarisme</w:t>
      </w:r>
      <w:r w:rsidR="00E91018" w:rsidRPr="00A007E4">
        <w:t xml:space="preserve"> religieux ferait </w:t>
      </w:r>
      <w:r w:rsidR="00267E5B">
        <w:t>en ce sens</w:t>
      </w:r>
      <w:r w:rsidR="00E91018" w:rsidRPr="00A007E4">
        <w:t xml:space="preserve"> obstacle à la </w:t>
      </w:r>
      <w:r w:rsidR="00E91018" w:rsidRPr="00A437A8">
        <w:rPr>
          <w:i/>
          <w:iCs/>
        </w:rPr>
        <w:t>communauté</w:t>
      </w:r>
      <w:r w:rsidR="00E91018" w:rsidRPr="00A007E4">
        <w:t xml:space="preserve"> de travail</w:t>
      </w:r>
      <w:r w:rsidR="00806FFC" w:rsidRPr="00A007E4">
        <w:t>.</w:t>
      </w:r>
      <w:r w:rsidR="00A437A8">
        <w:rPr>
          <w:rStyle w:val="Appelnotedebasdep"/>
        </w:rPr>
        <w:footnoteReference w:id="32"/>
      </w:r>
    </w:p>
    <w:p w14:paraId="6F77FEDD" w14:textId="41351F1F" w:rsidR="008A4373" w:rsidRPr="001C685D" w:rsidRDefault="00D75559" w:rsidP="008A4373">
      <w:pPr>
        <w:pStyle w:val="Titre3"/>
      </w:pPr>
      <w:r w:rsidRPr="001C685D">
        <w:t>N</w:t>
      </w:r>
      <w:r w:rsidR="0003526C" w:rsidRPr="001C685D">
        <w:t>eutralité</w:t>
      </w:r>
      <w:r w:rsidRPr="001C685D">
        <w:t xml:space="preserve"> et </w:t>
      </w:r>
      <w:r w:rsidR="0003526C" w:rsidRPr="001C685D">
        <w:t>démocratie interne</w:t>
      </w:r>
    </w:p>
    <w:p w14:paraId="15679C73" w14:textId="210E1DCE" w:rsidR="00806FFC" w:rsidRDefault="00806FFC" w:rsidP="00806FFC">
      <w:r>
        <w:t xml:space="preserve">Du point de vue de la </w:t>
      </w:r>
      <w:r w:rsidRPr="00591DCB">
        <w:t>RSE</w:t>
      </w:r>
      <w:r>
        <w:t xml:space="preserve">, cette neutralité interne et instrumentale peut être mise en lien avec l’idée de </w:t>
      </w:r>
      <w:r w:rsidRPr="00591DCB">
        <w:rPr>
          <w:i/>
          <w:iCs/>
        </w:rPr>
        <w:t>démocratie interne</w:t>
      </w:r>
      <w:r w:rsidR="00B85899">
        <w:t>. L</w:t>
      </w:r>
      <w:r w:rsidR="00DE1B3B">
        <w:t>a</w:t>
      </w:r>
      <w:r>
        <w:t xml:space="preserve"> neutralité religieuse de l’entreprise irait dans le sens </w:t>
      </w:r>
      <w:r w:rsidR="00DE1B3B">
        <w:t>de la</w:t>
      </w:r>
      <w:r>
        <w:t xml:space="preserve"> RSE dans la </w:t>
      </w:r>
      <w:r w:rsidRPr="00B85899">
        <w:t>mesure où elle contribuerait à garantir l’effectivité d’une démocratie interne au</w:t>
      </w:r>
      <w:r>
        <w:t xml:space="preserve"> sein de la communauté de travail</w:t>
      </w:r>
      <w:r w:rsidR="00B85899">
        <w:t> : n</w:t>
      </w:r>
      <w:r w:rsidR="00DE1B3B">
        <w:t xml:space="preserve">eutraliser le fait religieux au sein de l’entreprise permettrait dans cette logique de garantir </w:t>
      </w:r>
      <w:r w:rsidR="00DE1B3B" w:rsidRPr="00B85899">
        <w:t>que les droits individuels de tous</w:t>
      </w:r>
      <w:r w:rsidR="00DE1B3B">
        <w:t xml:space="preserve"> les travailleurs</w:t>
      </w:r>
      <w:r w:rsidR="00B85899">
        <w:t xml:space="preserve"> – croyants ou non –</w:t>
      </w:r>
      <w:r w:rsidR="00DE1B3B">
        <w:t xml:space="preserve"> soient respectés.</w:t>
      </w:r>
      <w:r w:rsidR="00B85899">
        <w:rPr>
          <w:rStyle w:val="Appelnotedebasdep"/>
        </w:rPr>
        <w:footnoteReference w:id="33"/>
      </w:r>
    </w:p>
    <w:p w14:paraId="371EDE91" w14:textId="64F37737" w:rsidR="001209B3" w:rsidRDefault="00515C0E" w:rsidP="001209B3">
      <w:pPr>
        <w:rPr>
          <w:i/>
          <w:iCs/>
        </w:rPr>
      </w:pPr>
      <w:r w:rsidRPr="00515C0E">
        <w:t>Sur ce lien entre neutralité et démocratie interne, la</w:t>
      </w:r>
      <w:r w:rsidR="00806FFC" w:rsidRPr="00515C0E">
        <w:t xml:space="preserve"> question </w:t>
      </w:r>
      <w:r w:rsidRPr="00515C0E">
        <w:t xml:space="preserve">se pose toutefois </w:t>
      </w:r>
      <w:r w:rsidR="00806FFC" w:rsidRPr="00515C0E">
        <w:t xml:space="preserve">de savoir dans quelle mesure l’on est bien en présence d’une neutralité </w:t>
      </w:r>
      <w:r w:rsidR="00806FFC" w:rsidRPr="001C685D">
        <w:rPr>
          <w:i/>
          <w:iCs/>
        </w:rPr>
        <w:t>au service</w:t>
      </w:r>
      <w:r w:rsidR="00806FFC" w:rsidRPr="00515C0E">
        <w:t xml:space="preserve"> d’une démocratie en entreprise lorsque cette neutralité </w:t>
      </w:r>
      <w:r w:rsidR="00806FFC" w:rsidRPr="00515C0E">
        <w:lastRenderedPageBreak/>
        <w:t>implique de restreindre les manifestations religieuses des travailleurs.</w:t>
      </w:r>
      <w:r w:rsidR="00D75559">
        <w:t xml:space="preserve"> </w:t>
      </w:r>
      <w:r w:rsidRPr="00515C0E">
        <w:t xml:space="preserve">Pour que cette neutralité puisse revendiquer un caractère démocratique, il s’agit en tout cas de s’assurer que la neutralité </w:t>
      </w:r>
      <w:r w:rsidR="00D75559">
        <w:t>constitue</w:t>
      </w:r>
      <w:r w:rsidRPr="00515C0E">
        <w:t xml:space="preserve"> bien le fruit de la volonté de l’ensemble des parties prenantes de l’entreprise, en particulier des travailleurs</w:t>
      </w:r>
      <w:r w:rsidR="001209B3" w:rsidRPr="00515C0E">
        <w:t>.</w:t>
      </w:r>
      <w:r w:rsidR="00D75559" w:rsidRPr="00515C0E">
        <w:t xml:space="preserve"> </w:t>
      </w:r>
      <w:r w:rsidR="001209B3" w:rsidRPr="00515C0E">
        <w:t>Quel que soit le contenu attaché à cette neutralité, et quels qu’en soient les effets, la responsabilité interne de l’entreprise requiert</w:t>
      </w:r>
      <w:r w:rsidR="00D75559">
        <w:t xml:space="preserve"> en effet</w:t>
      </w:r>
      <w:r w:rsidR="001209B3" w:rsidRPr="00515C0E">
        <w:t xml:space="preserve"> que la communauté de travail s’approprie dans son ensemble ce choix de la neutralité.</w:t>
      </w:r>
      <w:r w:rsidR="001209B3" w:rsidRPr="00515C0E">
        <w:rPr>
          <w:vertAlign w:val="superscript"/>
        </w:rPr>
        <w:footnoteReference w:id="34"/>
      </w:r>
    </w:p>
    <w:p w14:paraId="1462123E" w14:textId="5879509A" w:rsidR="00124FA8" w:rsidRDefault="00D75559" w:rsidP="001C4425">
      <w:pPr>
        <w:pStyle w:val="Titre2"/>
      </w:pPr>
      <w:r>
        <w:t>La</w:t>
      </w:r>
      <w:r w:rsidR="00124FA8">
        <w:t xml:space="preserve"> neutralité </w:t>
      </w:r>
      <w:r w:rsidR="009D4FE7">
        <w:t>au service de l</w:t>
      </w:r>
      <w:r w:rsidR="00124FA8">
        <w:t>’image de marque</w:t>
      </w:r>
      <w:r w:rsidR="009D4FE7">
        <w:t xml:space="preserve"> de l’entreprise</w:t>
      </w:r>
    </w:p>
    <w:p w14:paraId="2D9C8E12" w14:textId="7B6A6F27" w:rsidR="008A4373" w:rsidRPr="008A4373" w:rsidRDefault="008A4373" w:rsidP="008A4373">
      <w:pPr>
        <w:pStyle w:val="Titre3"/>
        <w:numPr>
          <w:ilvl w:val="0"/>
          <w:numId w:val="39"/>
        </w:numPr>
      </w:pPr>
      <w:r>
        <w:t>Neutralité</w:t>
      </w:r>
      <w:r w:rsidR="0003526C">
        <w:t xml:space="preserve"> externe et instrumentale</w:t>
      </w:r>
    </w:p>
    <w:p w14:paraId="2C7ACD79" w14:textId="0BAE14A9" w:rsidR="008A4373" w:rsidRDefault="008C26BC" w:rsidP="008C26BC">
      <w:r>
        <w:t xml:space="preserve">Dans cette deuxième hypothèse d’entreprise neutre, la neutralité est mobilisée </w:t>
      </w:r>
      <w:r w:rsidR="00B71F41">
        <w:t xml:space="preserve">dans une perspective </w:t>
      </w:r>
      <w:r w:rsidRPr="00B71F41">
        <w:rPr>
          <w:i/>
          <w:iCs/>
        </w:rPr>
        <w:t>externe</w:t>
      </w:r>
      <w:r w:rsidR="00B71F41" w:rsidRPr="00B71F41">
        <w:t>,</w:t>
      </w:r>
      <w:r w:rsidRPr="00B71F41">
        <w:t xml:space="preserve"> en tant qu’</w:t>
      </w:r>
      <w:r w:rsidRPr="00B71F41">
        <w:rPr>
          <w:i/>
          <w:iCs/>
        </w:rPr>
        <w:t>instrument</w:t>
      </w:r>
      <w:r w:rsidRPr="00B71F41">
        <w:t xml:space="preserve"> au service de </w:t>
      </w:r>
      <w:r w:rsidRPr="00B71F41">
        <w:rPr>
          <w:i/>
          <w:iCs/>
        </w:rPr>
        <w:t>l’image de marque</w:t>
      </w:r>
      <w:r w:rsidRPr="00B71F41">
        <w:t xml:space="preserve"> de</w:t>
      </w:r>
      <w:r>
        <w:t xml:space="preserve"> l’entreprise.</w:t>
      </w:r>
    </w:p>
    <w:p w14:paraId="0976F4CF" w14:textId="25ABF67B" w:rsidR="008C26BC" w:rsidRDefault="008C26BC" w:rsidP="008C26BC">
      <w:r w:rsidRPr="00B71F41">
        <w:t xml:space="preserve">Le raisonnement à la base du recours à cette image neutre </w:t>
      </w:r>
      <w:r w:rsidR="00B71F41">
        <w:t>consiste à considérer</w:t>
      </w:r>
      <w:r w:rsidRPr="00B71F41">
        <w:t xml:space="preserve">, </w:t>
      </w:r>
      <w:r w:rsidR="00B71F41">
        <w:t>dans le chef de l</w:t>
      </w:r>
      <w:r w:rsidRPr="00B71F41">
        <w:t xml:space="preserve">’entreprise, </w:t>
      </w:r>
      <w:r w:rsidR="00B71F41">
        <w:t xml:space="preserve">que l’affichage de </w:t>
      </w:r>
      <w:r w:rsidRPr="00B71F41">
        <w:t xml:space="preserve">cette neutralité lui serait </w:t>
      </w:r>
      <w:r w:rsidRPr="001C685D">
        <w:rPr>
          <w:i/>
          <w:iCs/>
        </w:rPr>
        <w:t>profitable</w:t>
      </w:r>
      <w:r w:rsidRPr="00B71F41">
        <w:t xml:space="preserve">, </w:t>
      </w:r>
      <w:r w:rsidR="00B71F41" w:rsidRPr="00B71F41">
        <w:t>en</w:t>
      </w:r>
      <w:r w:rsidR="00B71F41">
        <w:t xml:space="preserve"> particulier du point de vue économique</w:t>
      </w:r>
      <w:r>
        <w:t xml:space="preserve">, </w:t>
      </w:r>
      <w:r w:rsidR="00B71F41">
        <w:t>dans la mesure où celle-ci</w:t>
      </w:r>
      <w:r>
        <w:t xml:space="preserve"> plairait à sa clientèle ou d’autre</w:t>
      </w:r>
      <w:r w:rsidR="008C350A">
        <w:t>s partenaires</w:t>
      </w:r>
      <w:r w:rsidR="00B71F41">
        <w:t xml:space="preserve"> extérieurs</w:t>
      </w:r>
      <w:r>
        <w:t>.</w:t>
      </w:r>
      <w:r w:rsidR="00B71F41">
        <w:t xml:space="preserve"> Cette neutralité étant généralement conçue dans une logique restrictive, sa mise en œuvre requiert en l’occurrence des travailleurs – </w:t>
      </w:r>
      <w:r w:rsidR="00B71F41">
        <w:rPr>
          <w:i/>
          <w:iCs/>
        </w:rPr>
        <w:t>a minima</w:t>
      </w:r>
      <w:r w:rsidR="00B71F41">
        <w:t xml:space="preserve">, des travailleurs en contact visuel avec l’extérieur – de s’abstenir de toute </w:t>
      </w:r>
      <w:r w:rsidR="00B71F41">
        <w:lastRenderedPageBreak/>
        <w:t>manifestation religieuse durant leur travail, en particulier par le port de signes religieux.</w:t>
      </w:r>
    </w:p>
    <w:p w14:paraId="756ACA13" w14:textId="506F5421" w:rsidR="00B71F41" w:rsidRDefault="0003526C" w:rsidP="00B71F41">
      <w:pPr>
        <w:pStyle w:val="Titre3"/>
        <w:rPr>
          <w:i w:val="0"/>
          <w:iCs/>
        </w:rPr>
      </w:pPr>
      <w:r>
        <w:t>Illustration</w:t>
      </w:r>
      <w:r w:rsidR="00B71F41">
        <w:t xml:space="preserve">s : </w:t>
      </w:r>
      <w:proofErr w:type="spellStart"/>
      <w:r w:rsidR="00B71F41">
        <w:rPr>
          <w:i w:val="0"/>
          <w:iCs/>
        </w:rPr>
        <w:t>Achbita</w:t>
      </w:r>
      <w:proofErr w:type="spellEnd"/>
      <w:r w:rsidR="00B71F41">
        <w:rPr>
          <w:i w:val="0"/>
          <w:iCs/>
        </w:rPr>
        <w:t xml:space="preserve"> </w:t>
      </w:r>
      <w:r w:rsidR="00B71F41">
        <w:t xml:space="preserve">et </w:t>
      </w:r>
      <w:r w:rsidR="00B71F41">
        <w:rPr>
          <w:i w:val="0"/>
          <w:iCs/>
        </w:rPr>
        <w:t>Bougnaoui</w:t>
      </w:r>
    </w:p>
    <w:p w14:paraId="41DF2ADE" w14:textId="391DA30A" w:rsidR="00477460" w:rsidRDefault="00FE1EB2" w:rsidP="00FE1EB2">
      <w:r>
        <w:t>Les deux arrêts rendus par la Cour de justice de l’UE</w:t>
      </w:r>
      <w:r w:rsidR="00477460">
        <w:t xml:space="preserve"> (CJUE)</w:t>
      </w:r>
      <w:r>
        <w:t xml:space="preserve"> en mars 2017 dans les affaires </w:t>
      </w:r>
      <w:proofErr w:type="spellStart"/>
      <w:r>
        <w:rPr>
          <w:i/>
          <w:iCs/>
        </w:rPr>
        <w:t>Achbita</w:t>
      </w:r>
      <w:proofErr w:type="spellEnd"/>
      <w:r w:rsidRPr="00FE1EB2">
        <w:rPr>
          <w:rStyle w:val="Appelnotedebasdep"/>
        </w:rPr>
        <w:footnoteReference w:id="35"/>
      </w:r>
      <w:r>
        <w:rPr>
          <w:i/>
          <w:iCs/>
        </w:rPr>
        <w:t xml:space="preserve"> </w:t>
      </w:r>
      <w:r>
        <w:t xml:space="preserve">et </w:t>
      </w:r>
      <w:r>
        <w:rPr>
          <w:i/>
          <w:iCs/>
        </w:rPr>
        <w:t>Bougnaoui</w:t>
      </w:r>
      <w:r w:rsidRPr="00FE1EB2">
        <w:rPr>
          <w:rStyle w:val="Appelnotedebasdep"/>
        </w:rPr>
        <w:footnoteReference w:id="36"/>
      </w:r>
      <w:r w:rsidRPr="00FE1EB2">
        <w:t xml:space="preserve"> </w:t>
      </w:r>
      <w:r>
        <w:t xml:space="preserve">forment l’un et l’autre une excellente illustration de la neutralité invoquée comme image de marque de l’entreprise. Celles-ci trouvent </w:t>
      </w:r>
      <w:r w:rsidR="00477460">
        <w:t xml:space="preserve">chacune </w:t>
      </w:r>
      <w:r>
        <w:t>leur origine dans une question préjudicielle posée par les Cours de cassation belge (</w:t>
      </w:r>
      <w:r w:rsidR="00477460">
        <w:t>pour</w:t>
      </w:r>
      <w:r>
        <w:t xml:space="preserve"> l’affaire </w:t>
      </w:r>
      <w:proofErr w:type="spellStart"/>
      <w:r>
        <w:rPr>
          <w:i/>
          <w:iCs/>
        </w:rPr>
        <w:t>Achbita</w:t>
      </w:r>
      <w:proofErr w:type="spellEnd"/>
      <w:r>
        <w:t>) et française (</w:t>
      </w:r>
      <w:r w:rsidR="00477460">
        <w:t xml:space="preserve">pour l’affaire </w:t>
      </w:r>
      <w:r w:rsidR="00477460">
        <w:rPr>
          <w:i/>
          <w:iCs/>
        </w:rPr>
        <w:t>Bougnaoui</w:t>
      </w:r>
      <w:r w:rsidR="00477460">
        <w:t xml:space="preserve">) au sujet de </w:t>
      </w:r>
      <w:r w:rsidR="00865006">
        <w:t xml:space="preserve">l’interdiction </w:t>
      </w:r>
      <w:r w:rsidR="00865006" w:rsidRPr="00477460">
        <w:t xml:space="preserve">du foulard islamique </w:t>
      </w:r>
      <w:r w:rsidR="00477460">
        <w:t>pour ces</w:t>
      </w:r>
      <w:r w:rsidR="00865006" w:rsidRPr="00477460">
        <w:t xml:space="preserve"> deux travailleuses en contact avec la clientèle, au nom de l’image neutre de leur employeur</w:t>
      </w:r>
      <w:r w:rsidR="00865006">
        <w:t>.</w:t>
      </w:r>
    </w:p>
    <w:p w14:paraId="55A6DA78" w14:textId="5E53D19D" w:rsidR="002C21A3" w:rsidRDefault="00477460" w:rsidP="008C26BC">
      <w:r>
        <w:t xml:space="preserve">Sur le plan </w:t>
      </w:r>
      <w:r w:rsidR="00865006" w:rsidRPr="008C350A">
        <w:t>de la compatibilité avec la liberté religieuse et la non-discrimination,</w:t>
      </w:r>
      <w:r>
        <w:t xml:space="preserve"> les deux affaires se distinguent par le fait que seul l’employeur de Mme </w:t>
      </w:r>
      <w:proofErr w:type="spellStart"/>
      <w:r>
        <w:t>Achbita</w:t>
      </w:r>
      <w:proofErr w:type="spellEnd"/>
      <w:r>
        <w:t xml:space="preserve"> avait anticipé cette interdiction des expressions religieuses dans une règle de neutralité, au contraire de l’employeur de Mme Bougnaoui. Cette différence conduit la CJUE à considérer, dans l’affaire </w:t>
      </w:r>
      <w:r>
        <w:rPr>
          <w:i/>
          <w:iCs/>
        </w:rPr>
        <w:t>Bougnaoui</w:t>
      </w:r>
      <w:r>
        <w:t>, que l’intégration des souhaits discriminatoires de la clientèle constitue une discrimination directe.</w:t>
      </w:r>
      <w:r>
        <w:rPr>
          <w:rStyle w:val="Appelnotedebasdep"/>
        </w:rPr>
        <w:footnoteReference w:id="37"/>
      </w:r>
      <w:r>
        <w:t xml:space="preserve"> En revanche, « </w:t>
      </w:r>
      <w:r w:rsidRPr="00477460">
        <w:t>la volonté d’afficher, dans les relations avec les clients tant publics que privés, une politique de neutralité politique, philosophique ou religieuse</w:t>
      </w:r>
      <w:r>
        <w:t> »</w:t>
      </w:r>
      <w:r w:rsidR="001C685D">
        <w:rPr>
          <w:rStyle w:val="Appelnotedebasdep"/>
        </w:rPr>
        <w:footnoteReference w:id="38"/>
      </w:r>
      <w:r>
        <w:t xml:space="preserve"> est jugée légitime dans l’affaire </w:t>
      </w:r>
      <w:proofErr w:type="spellStart"/>
      <w:r>
        <w:rPr>
          <w:i/>
          <w:iCs/>
        </w:rPr>
        <w:t>Achbita</w:t>
      </w:r>
      <w:proofErr w:type="spellEnd"/>
      <w:r>
        <w:t>.</w:t>
      </w:r>
    </w:p>
    <w:p w14:paraId="232FBE5E" w14:textId="1847B03E" w:rsidR="00865006" w:rsidRDefault="002C21A3" w:rsidP="008C26BC">
      <w:r>
        <w:t xml:space="preserve">Parmi les questions soulevées par ces arrêts, se pose celle de la </w:t>
      </w:r>
      <w:r w:rsidRPr="001C685D">
        <w:rPr>
          <w:i/>
          <w:iCs/>
        </w:rPr>
        <w:t>lé</w:t>
      </w:r>
      <w:r w:rsidR="00865006" w:rsidRPr="001C685D">
        <w:rPr>
          <w:i/>
          <w:iCs/>
        </w:rPr>
        <w:t>gitimité</w:t>
      </w:r>
      <w:r w:rsidR="00865006" w:rsidRPr="008C350A">
        <w:t xml:space="preserve"> de </w:t>
      </w:r>
      <w:r w:rsidR="00865006" w:rsidRPr="001C685D">
        <w:rPr>
          <w:i/>
          <w:iCs/>
        </w:rPr>
        <w:t xml:space="preserve">l’argument </w:t>
      </w:r>
      <w:r w:rsidRPr="001C685D">
        <w:rPr>
          <w:i/>
          <w:iCs/>
        </w:rPr>
        <w:t xml:space="preserve">d’ordre </w:t>
      </w:r>
      <w:r w:rsidR="00865006" w:rsidRPr="001C685D">
        <w:rPr>
          <w:i/>
          <w:iCs/>
        </w:rPr>
        <w:t xml:space="preserve">économique </w:t>
      </w:r>
      <w:r w:rsidRPr="001C685D">
        <w:rPr>
          <w:i/>
          <w:iCs/>
        </w:rPr>
        <w:t>–</w:t>
      </w:r>
      <w:r>
        <w:t xml:space="preserve"> formalisé notamment à travers la </w:t>
      </w:r>
      <w:r w:rsidRPr="001C685D">
        <w:rPr>
          <w:i/>
          <w:iCs/>
        </w:rPr>
        <w:t>liberté d’entreprise</w:t>
      </w:r>
      <w:r>
        <w:rPr>
          <w:rStyle w:val="Appelnotedebasdep"/>
        </w:rPr>
        <w:footnoteReference w:id="39"/>
      </w:r>
      <w:r>
        <w:t xml:space="preserve"> – en tant que justification de la restriction de</w:t>
      </w:r>
      <w:r w:rsidR="00865006" w:rsidRPr="008C350A">
        <w:t xml:space="preserve"> droits individuels</w:t>
      </w:r>
      <w:r>
        <w:t xml:space="preserve"> sur base de la neutralité</w:t>
      </w:r>
      <w:r w:rsidR="00865006" w:rsidRPr="008C350A">
        <w:t>.</w:t>
      </w:r>
      <w:r>
        <w:t xml:space="preserve"> En outre, l’appréciation de la</w:t>
      </w:r>
      <w:r w:rsidR="00865006">
        <w:t xml:space="preserve"> </w:t>
      </w:r>
      <w:r w:rsidR="00865006" w:rsidRPr="001C685D">
        <w:rPr>
          <w:i/>
          <w:iCs/>
        </w:rPr>
        <w:t>proportionnalité</w:t>
      </w:r>
      <w:r w:rsidR="00865006">
        <w:t xml:space="preserve"> de </w:t>
      </w:r>
      <w:r>
        <w:t>la restriction</w:t>
      </w:r>
      <w:r w:rsidR="00865006">
        <w:t xml:space="preserve"> </w:t>
      </w:r>
      <w:r>
        <w:t xml:space="preserve">s’avère ici particulièrement </w:t>
      </w:r>
      <w:r w:rsidR="00BA1E4A">
        <w:t>délicate</w:t>
      </w:r>
      <w:r>
        <w:t xml:space="preserve"> : la nécessité, telle que formulée par la Cour, d’une </w:t>
      </w:r>
      <w:r w:rsidRPr="002C21A3">
        <w:t xml:space="preserve">application « cohérente et </w:t>
      </w:r>
      <w:r w:rsidRPr="002C21A3">
        <w:lastRenderedPageBreak/>
        <w:t>systématique »</w:t>
      </w:r>
      <w:r>
        <w:rPr>
          <w:rStyle w:val="Appelnotedebasdep"/>
        </w:rPr>
        <w:footnoteReference w:id="40"/>
      </w:r>
      <w:r w:rsidRPr="002C21A3">
        <w:t xml:space="preserve"> de</w:t>
      </w:r>
      <w:r>
        <w:t xml:space="preserve"> cette neutralité externe semble paradoxalement passer par une application différenciée de la règle </w:t>
      </w:r>
      <w:r w:rsidR="00865006">
        <w:t>entre travailleurs</w:t>
      </w:r>
      <w:r>
        <w:t>, selon que ceux-ci soient</w:t>
      </w:r>
      <w:r w:rsidR="00865006">
        <w:t xml:space="preserve"> </w:t>
      </w:r>
      <w:r>
        <w:t xml:space="preserve">ou non </w:t>
      </w:r>
      <w:r w:rsidR="00865006">
        <w:t xml:space="preserve">en contact </w:t>
      </w:r>
      <w:r>
        <w:t xml:space="preserve">direct </w:t>
      </w:r>
      <w:r w:rsidR="00865006">
        <w:t>avec la clientèle.</w:t>
      </w:r>
    </w:p>
    <w:p w14:paraId="19096555" w14:textId="648E46B5" w:rsidR="008A4373" w:rsidRPr="008C350A" w:rsidRDefault="001C685D" w:rsidP="008A4373">
      <w:pPr>
        <w:pStyle w:val="Titre3"/>
      </w:pPr>
      <w:r>
        <w:t>Neutralité et inclusion sociale</w:t>
      </w:r>
    </w:p>
    <w:p w14:paraId="11981414" w14:textId="77777777" w:rsidR="00BA1E4A" w:rsidRDefault="00865006" w:rsidP="00124FA8">
      <w:r>
        <w:t xml:space="preserve">Du point de vue de la </w:t>
      </w:r>
      <w:r w:rsidRPr="00BA1E4A">
        <w:t xml:space="preserve">RSE, </w:t>
      </w:r>
      <w:r w:rsidR="00BA1E4A">
        <w:t>cette</w:t>
      </w:r>
      <w:r w:rsidRPr="00BA1E4A">
        <w:t xml:space="preserve"> neutralité</w:t>
      </w:r>
      <w:r w:rsidR="00BA1E4A">
        <w:t xml:space="preserve"> d’entreprise mise</w:t>
      </w:r>
      <w:r w:rsidR="00BA1E4A" w:rsidRPr="00BA1E4A">
        <w:t xml:space="preserve"> au service de l’image de marque</w:t>
      </w:r>
      <w:r w:rsidRPr="00BA1E4A">
        <w:t xml:space="preserve"> </w:t>
      </w:r>
      <w:r w:rsidR="007C2F63" w:rsidRPr="00BA1E4A">
        <w:t>s’avère problématique</w:t>
      </w:r>
      <w:r w:rsidR="00BA1E4A">
        <w:t xml:space="preserve"> à deux égards.</w:t>
      </w:r>
    </w:p>
    <w:p w14:paraId="0CE54467" w14:textId="66C644DA" w:rsidR="00BA1E4A" w:rsidRDefault="00BA1E4A" w:rsidP="00124FA8">
      <w:r>
        <w:t>En premier lieu, la mise en œuvre de la neutralité répond ici essentiellement à une logique de rentabilité, à travers la profitabilité de l’image de marque. La prise en compte de</w:t>
      </w:r>
      <w:r w:rsidR="001C685D">
        <w:t xml:space="preserve"> l’</w:t>
      </w:r>
      <w:r w:rsidR="001C685D" w:rsidRPr="001C685D">
        <w:rPr>
          <w:i/>
          <w:iCs/>
        </w:rPr>
        <w:t xml:space="preserve">impact sociétal </w:t>
      </w:r>
      <w:r w:rsidR="001C685D">
        <w:t xml:space="preserve">de cette neutralité restrictive semble donc absente, en particulier du point de vue de </w:t>
      </w:r>
      <w:r w:rsidR="001C685D" w:rsidRPr="001C685D">
        <w:t>l’</w:t>
      </w:r>
      <w:r w:rsidR="001C685D" w:rsidRPr="001C685D">
        <w:rPr>
          <w:i/>
          <w:iCs/>
        </w:rPr>
        <w:t xml:space="preserve">inclusion sociale </w:t>
      </w:r>
      <w:r w:rsidR="001C685D">
        <w:t>des travailleurs exprimant leur religion au travail, auxquels une telle entreprise neutre semble – au moins partiellement</w:t>
      </w:r>
      <w:r w:rsidR="002129B3">
        <w:t xml:space="preserve"> </w:t>
      </w:r>
      <w:r w:rsidR="001C685D">
        <w:t>– fermer ses portes.</w:t>
      </w:r>
      <w:r w:rsidR="002129B3">
        <w:rPr>
          <w:rStyle w:val="Appelnotedebasdep"/>
        </w:rPr>
        <w:footnoteReference w:id="41"/>
      </w:r>
    </w:p>
    <w:p w14:paraId="7326D009" w14:textId="17A7B994" w:rsidR="00072630" w:rsidRDefault="001C685D" w:rsidP="00124FA8">
      <w:r>
        <w:t xml:space="preserve">En outre, </w:t>
      </w:r>
      <w:r w:rsidR="002129B3">
        <w:t xml:space="preserve">la restriction qu’opère cette neutralité sur le plan des droits individuels des travailleurs </w:t>
      </w:r>
      <w:r w:rsidR="00072630">
        <w:t>rend particulièrement nécessaire l’inclusion d’</w:t>
      </w:r>
      <w:r w:rsidR="002129B3">
        <w:t xml:space="preserve">une démarche de </w:t>
      </w:r>
      <w:r w:rsidR="002129B3" w:rsidRPr="00072630">
        <w:rPr>
          <w:i/>
          <w:iCs/>
        </w:rPr>
        <w:t>démocratie interne</w:t>
      </w:r>
      <w:r w:rsidR="002129B3">
        <w:t>.</w:t>
      </w:r>
      <w:r w:rsidR="00072630">
        <w:t xml:space="preserve"> </w:t>
      </w:r>
      <w:r w:rsidR="002129B3">
        <w:t xml:space="preserve">Cette dernière semble pourtant délaissée dans cette hypothèse, </w:t>
      </w:r>
      <w:r w:rsidR="00072630">
        <w:t>dans la mesure où</w:t>
      </w:r>
      <w:r w:rsidR="002129B3">
        <w:t xml:space="preserve"> l</w:t>
      </w:r>
      <w:r w:rsidR="00072630">
        <w:t xml:space="preserve">a neutralité répond ici à un objectif essentiellement lié à la profitabilité économique d’une image de marque </w:t>
      </w:r>
      <w:r w:rsidR="00072630" w:rsidRPr="00072630">
        <w:t>areligieuse</w:t>
      </w:r>
      <w:r w:rsidR="00072630">
        <w:t>.</w:t>
      </w:r>
    </w:p>
    <w:p w14:paraId="081AC734" w14:textId="0CD26E6A" w:rsidR="00124FA8" w:rsidRDefault="00C61421" w:rsidP="001C4425">
      <w:pPr>
        <w:pStyle w:val="Titre2"/>
      </w:pPr>
      <w:r>
        <w:lastRenderedPageBreak/>
        <w:t>La neutralité de l’Etat privatisé</w:t>
      </w:r>
      <w:r w:rsidR="009D4FE7">
        <w:t>e</w:t>
      </w:r>
    </w:p>
    <w:p w14:paraId="16E76D85" w14:textId="70BF6CF1" w:rsidR="008A4373" w:rsidRPr="008A4373" w:rsidRDefault="008A4373" w:rsidP="008A4373">
      <w:pPr>
        <w:pStyle w:val="Titre3"/>
        <w:numPr>
          <w:ilvl w:val="0"/>
          <w:numId w:val="40"/>
        </w:numPr>
      </w:pPr>
      <w:r>
        <w:t>Neutralité</w:t>
      </w:r>
      <w:r w:rsidR="00153E39">
        <w:t xml:space="preserve"> externe et idéologique</w:t>
      </w:r>
    </w:p>
    <w:p w14:paraId="5CC92D99" w14:textId="0ED32202" w:rsidR="001915E9" w:rsidRDefault="00CC6AB1" w:rsidP="00CC6AB1">
      <w:r>
        <w:t xml:space="preserve">Cette troisième </w:t>
      </w:r>
      <w:r w:rsidR="000570B8">
        <w:t>hypothèse</w:t>
      </w:r>
      <w:r>
        <w:t xml:space="preserve"> d’entreprise </w:t>
      </w:r>
      <w:r w:rsidR="000570B8">
        <w:t xml:space="preserve">neutre </w:t>
      </w:r>
      <w:r w:rsidR="00072630">
        <w:t>fait référence</w:t>
      </w:r>
      <w:r w:rsidR="000570B8">
        <w:t xml:space="preserve"> aux entreprises </w:t>
      </w:r>
      <w:r w:rsidR="00072630">
        <w:t xml:space="preserve">appliquant </w:t>
      </w:r>
      <w:r w:rsidR="000570B8" w:rsidRPr="000570B8">
        <w:t>la neutralité</w:t>
      </w:r>
      <w:r w:rsidR="001A1D7E">
        <w:t xml:space="preserve"> </w:t>
      </w:r>
      <w:r w:rsidR="00072630">
        <w:t xml:space="preserve">dans une perspective </w:t>
      </w:r>
      <w:r w:rsidR="00072630">
        <w:rPr>
          <w:i/>
          <w:iCs/>
        </w:rPr>
        <w:t xml:space="preserve">externe </w:t>
      </w:r>
      <w:r w:rsidR="00072630">
        <w:t xml:space="preserve">et </w:t>
      </w:r>
      <w:r w:rsidR="00072630">
        <w:rPr>
          <w:i/>
          <w:iCs/>
        </w:rPr>
        <w:t>idéologique</w:t>
      </w:r>
      <w:r w:rsidR="00072630">
        <w:t xml:space="preserve">. L’invocation de la neutralité est ici </w:t>
      </w:r>
      <w:r w:rsidR="00C27887">
        <w:t>motivée</w:t>
      </w:r>
      <w:r w:rsidR="00072630">
        <w:t xml:space="preserve"> par le lien qu’entretient l’entreprise avec l’Etat</w:t>
      </w:r>
      <w:r w:rsidR="00C27887">
        <w:t> : cette</w:t>
      </w:r>
      <w:r w:rsidR="00072630">
        <w:t xml:space="preserve"> </w:t>
      </w:r>
      <w:r w:rsidR="00C27887">
        <w:t>attache</w:t>
      </w:r>
      <w:r w:rsidR="00072630">
        <w:t xml:space="preserve"> étatique rendrait nécessaire </w:t>
      </w:r>
      <w:r w:rsidR="00C27887">
        <w:t>l’application de l’obligation de neutralité de l’Etat au contexte de l’entreprise privée</w:t>
      </w:r>
      <w:r w:rsidR="000570B8" w:rsidRPr="000570B8">
        <w:t>.</w:t>
      </w:r>
    </w:p>
    <w:p w14:paraId="444F7A0F" w14:textId="327B511B" w:rsidR="00153E39" w:rsidRDefault="00C27887" w:rsidP="00153E39">
      <w:r>
        <w:t>Cette</w:t>
      </w:r>
      <w:r w:rsidR="001915E9">
        <w:t xml:space="preserve"> </w:t>
      </w:r>
      <w:r w:rsidR="008D7587" w:rsidRPr="00C27887">
        <w:rPr>
          <w:i/>
          <w:iCs/>
        </w:rPr>
        <w:t>extension</w:t>
      </w:r>
      <w:r w:rsidR="008D7587" w:rsidRPr="0065488E">
        <w:rPr>
          <w:b/>
          <w:bCs/>
        </w:rPr>
        <w:t xml:space="preserve"> </w:t>
      </w:r>
      <w:r>
        <w:t xml:space="preserve">– ou </w:t>
      </w:r>
      <w:r w:rsidR="001915E9" w:rsidRPr="00C27887">
        <w:rPr>
          <w:i/>
          <w:iCs/>
        </w:rPr>
        <w:t>privatisation</w:t>
      </w:r>
      <w:r w:rsidR="001915E9">
        <w:t xml:space="preserve"> </w:t>
      </w:r>
      <w:r>
        <w:t xml:space="preserve">– </w:t>
      </w:r>
      <w:r w:rsidRPr="00C27887">
        <w:rPr>
          <w:i/>
          <w:iCs/>
        </w:rPr>
        <w:t>de</w:t>
      </w:r>
      <w:r w:rsidR="001915E9" w:rsidRPr="00C27887">
        <w:rPr>
          <w:i/>
          <w:iCs/>
        </w:rPr>
        <w:t xml:space="preserve"> la neutralité de l’Etat</w:t>
      </w:r>
      <w:r w:rsidR="001915E9">
        <w:t xml:space="preserve"> </w:t>
      </w:r>
      <w:r>
        <w:t xml:space="preserve">constituerait </w:t>
      </w:r>
      <w:r w:rsidR="001915E9">
        <w:t>le</w:t>
      </w:r>
      <w:r>
        <w:t xml:space="preserve"> </w:t>
      </w:r>
      <w:r w:rsidR="001915E9">
        <w:t xml:space="preserve">corollaire d’une </w:t>
      </w:r>
      <w:r w:rsidR="001915E9" w:rsidRPr="00C27887">
        <w:t>privatisation</w:t>
      </w:r>
      <w:r w:rsidR="001915E9">
        <w:t xml:space="preserve"> de certaines </w:t>
      </w:r>
      <w:r w:rsidR="001915E9" w:rsidRPr="00C27887">
        <w:t>missions</w:t>
      </w:r>
      <w:r w:rsidR="001915E9">
        <w:t xml:space="preserve"> </w:t>
      </w:r>
      <w:r w:rsidR="00DA2FCA">
        <w:t>initialement</w:t>
      </w:r>
      <w:r w:rsidR="001915E9">
        <w:t xml:space="preserve"> assurées par l’Etat, qu’il s’agisse des entreprises exerçant une activité de </w:t>
      </w:r>
      <w:r w:rsidR="001915E9" w:rsidRPr="00153E39">
        <w:t xml:space="preserve">service public ou d’intérêt général, voire </w:t>
      </w:r>
      <w:r w:rsidR="0065488E" w:rsidRPr="00153E39">
        <w:t>des entreprises</w:t>
      </w:r>
      <w:r w:rsidR="001915E9" w:rsidRPr="00153E39">
        <w:t xml:space="preserve"> percevant des subsides</w:t>
      </w:r>
      <w:r w:rsidR="0065488E" w:rsidRPr="00153E39">
        <w:t>.</w:t>
      </w:r>
      <w:r w:rsidR="00153E39" w:rsidRPr="00153E39">
        <w:t xml:space="preserve"> Dans cette logique, face</w:t>
      </w:r>
      <w:r w:rsidR="00153E39">
        <w:t xml:space="preserve"> à ce double mouvement </w:t>
      </w:r>
      <w:proofErr w:type="gramStart"/>
      <w:r w:rsidR="00153E39">
        <w:t>d’</w:t>
      </w:r>
      <w:r w:rsidR="00794554">
        <w:t> «</w:t>
      </w:r>
      <w:proofErr w:type="gramEnd"/>
      <w:r w:rsidR="00794554">
        <w:t> </w:t>
      </w:r>
      <w:proofErr w:type="spellStart"/>
      <w:r w:rsidR="00153E39" w:rsidRPr="00C62FAB">
        <w:rPr>
          <w:i/>
        </w:rPr>
        <w:t>entreprisation</w:t>
      </w:r>
      <w:proofErr w:type="spellEnd"/>
      <w:r w:rsidR="00794554">
        <w:rPr>
          <w:iCs/>
        </w:rPr>
        <w:t> »</w:t>
      </w:r>
      <w:r w:rsidR="00153E39" w:rsidRPr="00C62FAB">
        <w:rPr>
          <w:i/>
        </w:rPr>
        <w:t xml:space="preserve"> </w:t>
      </w:r>
      <w:r w:rsidR="00153E39">
        <w:t xml:space="preserve">et de </w:t>
      </w:r>
      <w:r w:rsidR="00153E39">
        <w:rPr>
          <w:i/>
        </w:rPr>
        <w:t>privatisation</w:t>
      </w:r>
      <w:r w:rsidR="00153E39">
        <w:t>, l’Etat entend répliquer par une extension de la sphère d’intervention publique</w:t>
      </w:r>
      <w:r w:rsidR="00153E39">
        <w:rPr>
          <w:rStyle w:val="Appelnotedebasdep"/>
        </w:rPr>
        <w:footnoteReference w:id="42"/>
      </w:r>
      <w:r w:rsidR="00153E39">
        <w:t xml:space="preserve">, et, en l’occurrence, répercuter sur les entreprises l’application de la neutralité de l’Etat. Autrement dit, dès lors que l’entreprise prend en charge un rôle dévolu </w:t>
      </w:r>
      <w:r w:rsidR="00DA2FCA">
        <w:t>originellement</w:t>
      </w:r>
      <w:r w:rsidR="00153E39">
        <w:t xml:space="preserve"> à l’Etat, lui-même soumis à l’exigence de neutralité, il est logique que cette neutralité soit conjointement transposée de l’Etat à l’entreprise.</w:t>
      </w:r>
    </w:p>
    <w:p w14:paraId="0B84806F" w14:textId="4711B0BC" w:rsidR="008A4373" w:rsidRDefault="00153E39" w:rsidP="008A4373">
      <w:pPr>
        <w:pStyle w:val="Titre3"/>
      </w:pPr>
      <w:r>
        <w:t xml:space="preserve">Illustrations : </w:t>
      </w:r>
      <w:r w:rsidRPr="00153E39">
        <w:rPr>
          <w:i w:val="0"/>
          <w:iCs/>
        </w:rPr>
        <w:t>CPAM</w:t>
      </w:r>
      <w:r>
        <w:t xml:space="preserve"> et </w:t>
      </w:r>
      <w:r w:rsidRPr="00153E39">
        <w:rPr>
          <w:i w:val="0"/>
          <w:iCs/>
        </w:rPr>
        <w:t>PSE</w:t>
      </w:r>
    </w:p>
    <w:p w14:paraId="571292EE" w14:textId="779510CE" w:rsidR="005A51E8" w:rsidRDefault="001A1D7E" w:rsidP="008A4373">
      <w:r w:rsidRPr="00153E39">
        <w:t>Deux exemples</w:t>
      </w:r>
      <w:r>
        <w:t xml:space="preserve"> tirés de la jurisprudence</w:t>
      </w:r>
      <w:r w:rsidR="00153E39">
        <w:t xml:space="preserve"> peuvent ici </w:t>
      </w:r>
      <w:r>
        <w:t>illustrer ce modèle</w:t>
      </w:r>
      <w:r w:rsidR="00153E39">
        <w:t xml:space="preserve"> de neutralité privatisée de l’Etat vers l’entreprise</w:t>
      </w:r>
      <w:r>
        <w:t>.</w:t>
      </w:r>
      <w:r w:rsidR="00153E39">
        <w:t xml:space="preserve"> Les deux affaires</w:t>
      </w:r>
      <w:r w:rsidR="005A51E8">
        <w:t>, française et belge,</w:t>
      </w:r>
      <w:r w:rsidR="00153E39">
        <w:t xml:space="preserve"> portent </w:t>
      </w:r>
      <w:r w:rsidR="005A51E8">
        <w:t>ici aussi</w:t>
      </w:r>
      <w:r w:rsidR="00153E39">
        <w:t xml:space="preserve"> sur </w:t>
      </w:r>
      <w:r>
        <w:t>le licenciement d’une salariée en raison du port du foulard</w:t>
      </w:r>
      <w:r w:rsidR="005A51E8">
        <w:t xml:space="preserve"> au travail</w:t>
      </w:r>
      <w:r>
        <w:t>.</w:t>
      </w:r>
    </w:p>
    <w:p w14:paraId="367C619B" w14:textId="4DAB47C2" w:rsidR="001A1D7E" w:rsidRDefault="005A51E8" w:rsidP="008A4373">
      <w:r w:rsidRPr="005A51E8">
        <w:t xml:space="preserve">L’affaire française concerne le cas d’une </w:t>
      </w:r>
      <w:r>
        <w:t>employée</w:t>
      </w:r>
      <w:r w:rsidR="001A1D7E" w:rsidRPr="005A51E8">
        <w:t xml:space="preserve"> travaillant au sein </w:t>
      </w:r>
      <w:r w:rsidRPr="005A51E8">
        <w:t>d’une caisse d’assurance maladie</w:t>
      </w:r>
      <w:r>
        <w:t xml:space="preserve"> (CPAM)</w:t>
      </w:r>
      <w:r w:rsidRPr="005A51E8">
        <w:t xml:space="preserve">, </w:t>
      </w:r>
      <w:r w:rsidR="001A1D7E" w:rsidRPr="005A51E8">
        <w:t>structure de droit privé mais exerçant une mission de service public</w:t>
      </w:r>
      <w:r w:rsidR="001A1D7E">
        <w:t xml:space="preserve">. Sur cette base, </w:t>
      </w:r>
      <w:r>
        <w:t>dans un arrêt rendu en</w:t>
      </w:r>
      <w:r w:rsidR="001A1D7E">
        <w:t xml:space="preserve"> 2013</w:t>
      </w:r>
      <w:r>
        <w:t xml:space="preserve">, </w:t>
      </w:r>
      <w:r w:rsidR="001A1D7E">
        <w:t>la Cour de cassation</w:t>
      </w:r>
      <w:r>
        <w:t xml:space="preserve"> considère q</w:t>
      </w:r>
      <w:r w:rsidR="001A1D7E">
        <w:t>ue</w:t>
      </w:r>
      <w:r>
        <w:t xml:space="preserve"> « </w:t>
      </w:r>
      <w:r w:rsidRPr="005A51E8">
        <w:t xml:space="preserve">les principes de neutralité et </w:t>
      </w:r>
      <w:r w:rsidRPr="005A51E8">
        <w:lastRenderedPageBreak/>
        <w:t>de laïcité du service public sont applicables à l’ensemble des services publics, y compris lorsque ceux-ci sont assurés par des organismes de droit privé</w:t>
      </w:r>
      <w:r>
        <w:t> »</w:t>
      </w:r>
      <w:r w:rsidR="001A1D7E">
        <w:t xml:space="preserve"> </w:t>
      </w:r>
      <w:r>
        <w:t>tels que la</w:t>
      </w:r>
      <w:r w:rsidR="001A1D7E">
        <w:t xml:space="preserve"> CPAM</w:t>
      </w:r>
      <w:r w:rsidR="00DD168F">
        <w:t xml:space="preserve"> en l’espèce.</w:t>
      </w:r>
      <w:r w:rsidR="00DD168F">
        <w:rPr>
          <w:rStyle w:val="Appelnotedebasdep"/>
        </w:rPr>
        <w:footnoteReference w:id="43"/>
      </w:r>
      <w:r w:rsidR="00DD168F">
        <w:t xml:space="preserve"> Selon la Cour, « </w:t>
      </w:r>
      <w:r w:rsidR="00DD168F" w:rsidRPr="00DD168F">
        <w:t>peu important que la salariée soit ou non directement en contact avec le public</w:t>
      </w:r>
      <w:r w:rsidR="00DD168F">
        <w:t> »</w:t>
      </w:r>
      <w:r w:rsidR="00DD168F" w:rsidRPr="00DD168F">
        <w:t>,</w:t>
      </w:r>
      <w:r w:rsidR="00DD168F">
        <w:t xml:space="preserve"> l’interdiction du port de signes religieux </w:t>
      </w:r>
      <w:r w:rsidR="00DD168F" w:rsidRPr="00DD168F">
        <w:t>était</w:t>
      </w:r>
      <w:r w:rsidR="00DD168F">
        <w:t xml:space="preserve"> effectivement</w:t>
      </w:r>
      <w:r w:rsidR="00DD168F" w:rsidRPr="00DD168F">
        <w:t xml:space="preserve"> </w:t>
      </w:r>
      <w:r w:rsidR="00DD168F">
        <w:t>« </w:t>
      </w:r>
      <w:r w:rsidR="00DD168F" w:rsidRPr="00DD168F">
        <w:t>nécessaire à la mise en œuvre du principe de laïcité de nature à assurer aux yeux des usagers la neutralité du service public</w:t>
      </w:r>
      <w:r w:rsidR="001A1D7E">
        <w:t xml:space="preserve"> et à ses employés</w:t>
      </w:r>
      <w:r w:rsidR="00DD168F">
        <w:t> »</w:t>
      </w:r>
      <w:r w:rsidR="001A1D7E">
        <w:t>.</w:t>
      </w:r>
    </w:p>
    <w:p w14:paraId="5208F189" w14:textId="5CFC4380" w:rsidR="001A1D7E" w:rsidRDefault="00DD168F" w:rsidP="008A4373">
      <w:r>
        <w:t xml:space="preserve">L’affaire belge porte quant à elle sur l’association </w:t>
      </w:r>
      <w:r w:rsidRPr="00DD168F">
        <w:rPr>
          <w:i/>
          <w:iCs/>
        </w:rPr>
        <w:t>PSE</w:t>
      </w:r>
      <w:r>
        <w:t xml:space="preserve">, </w:t>
      </w:r>
      <w:r w:rsidR="008C1256">
        <w:t>qui emploie</w:t>
      </w:r>
      <w:r w:rsidR="001A1D7E">
        <w:t xml:space="preserve"> des infirmières en milieu scolaire. </w:t>
      </w:r>
      <w:r w:rsidR="004A451E">
        <w:t>Nonobstant son caractère privé, le Tribunal du travail de Bruxelles considère comme légitime l’imposition du principe de neutralité de l’Etat aux infirmières de l’association, dès lors que celles-ci</w:t>
      </w:r>
      <w:r w:rsidR="001A1D7E">
        <w:t xml:space="preserve"> travaillent dans des </w:t>
      </w:r>
      <w:r w:rsidR="001A1D7E" w:rsidRPr="004A451E">
        <w:t>écoles</w:t>
      </w:r>
      <w:r w:rsidR="004A451E" w:rsidRPr="004A451E">
        <w:t xml:space="preserve"> publiques.</w:t>
      </w:r>
      <w:r w:rsidR="004A451E">
        <w:rPr>
          <w:rStyle w:val="Appelnotedebasdep"/>
        </w:rPr>
        <w:footnoteReference w:id="44"/>
      </w:r>
      <w:r w:rsidR="004A451E">
        <w:t xml:space="preserve"> </w:t>
      </w:r>
      <w:r w:rsidR="000236D1">
        <w:t>A l’appui de son raisonnement, le Tribunal reprend par ailleurs l’argument de l’association selon lequel l’octroi de subsides pouvait effectivement justifier « la mise en œuvre d’une politique stricte de neutralité ». Le licenciement de l’employée en raison du port du foulard est donc ici aussi validé.</w:t>
      </w:r>
    </w:p>
    <w:p w14:paraId="545B1A40" w14:textId="0C8C036F" w:rsidR="008A4373" w:rsidRPr="008A4373" w:rsidRDefault="000236D1" w:rsidP="008A4373">
      <w:pPr>
        <w:pStyle w:val="Titre3"/>
      </w:pPr>
      <w:r>
        <w:t>Privatisation de la neutralité, étatisation de la RSE</w:t>
      </w:r>
    </w:p>
    <w:p w14:paraId="2C9F599D" w14:textId="06672445" w:rsidR="0065488E" w:rsidRDefault="0065488E" w:rsidP="00CC6AB1">
      <w:r>
        <w:t xml:space="preserve">Du point de vue </w:t>
      </w:r>
      <w:r w:rsidRPr="00794554">
        <w:t>de la RSE, cette intégration de la neutralité de l’Etat au sein de l’entreprise privée peut être analysée de deux façons</w:t>
      </w:r>
      <w:r w:rsidR="00CA76D3">
        <w:t>.</w:t>
      </w:r>
    </w:p>
    <w:p w14:paraId="153694AF" w14:textId="660770FD" w:rsidR="00FC4E45" w:rsidRDefault="00CA76D3" w:rsidP="00794554">
      <w:r>
        <w:t>L’on peut</w:t>
      </w:r>
      <w:r w:rsidR="00C91F3B">
        <w:t>,</w:t>
      </w:r>
      <w:r>
        <w:t xml:space="preserve"> d’une part</w:t>
      </w:r>
      <w:r w:rsidR="00C91F3B">
        <w:t>,</w:t>
      </w:r>
      <w:r>
        <w:t xml:space="preserve"> </w:t>
      </w:r>
      <w:r w:rsidR="00FC4E45">
        <w:t>envisager</w:t>
      </w:r>
      <w:r>
        <w:t xml:space="preserve"> cette privatisation de la neutralité </w:t>
      </w:r>
      <w:r w:rsidR="00FC4E45">
        <w:t xml:space="preserve">sous l’angle d’un renforcement du </w:t>
      </w:r>
      <w:r w:rsidR="00FC4E45" w:rsidRPr="00794554">
        <w:t>caractère contraignant de la RSE</w:t>
      </w:r>
      <w:r w:rsidRPr="00794554">
        <w:t xml:space="preserve">. </w:t>
      </w:r>
      <w:r w:rsidR="00794554" w:rsidRPr="00794554">
        <w:t xml:space="preserve">L’imposition de la neutralité de l’Etat à l’entreprise privée traduirait </w:t>
      </w:r>
      <w:r w:rsidR="00FC4E45" w:rsidRPr="00794554">
        <w:t>l’idée d’une forme d’</w:t>
      </w:r>
      <w:r w:rsidR="00FC4E45" w:rsidRPr="00794554">
        <w:rPr>
          <w:i/>
          <w:iCs/>
        </w:rPr>
        <w:t>étatisation de la RSE</w:t>
      </w:r>
      <w:r w:rsidR="00794554">
        <w:t xml:space="preserve">, venant elle-même </w:t>
      </w:r>
      <w:r w:rsidR="00FC4E45" w:rsidRPr="00794554">
        <w:t>contrebalancer</w:t>
      </w:r>
      <w:r w:rsidR="00FC4E45">
        <w:t xml:space="preserve"> cette </w:t>
      </w:r>
      <w:r w:rsidR="00FC4E45" w:rsidRPr="00794554">
        <w:t>« </w:t>
      </w:r>
      <w:proofErr w:type="spellStart"/>
      <w:r w:rsidR="00FC4E45" w:rsidRPr="00794554">
        <w:t>entreprisation</w:t>
      </w:r>
      <w:proofErr w:type="spellEnd"/>
      <w:r w:rsidR="00FC4E45" w:rsidRPr="00794554">
        <w:t> » des</w:t>
      </w:r>
      <w:r w:rsidR="00FC4E45">
        <w:t xml:space="preserve"> missions de l’Etat.</w:t>
      </w:r>
      <w:r w:rsidR="00794554">
        <w:t xml:space="preserve"> Dans cette hypothèse, il convient toutefois d’apprécier dans quelle mesure</w:t>
      </w:r>
      <w:r w:rsidR="00FC4E45">
        <w:t xml:space="preserve"> cette neutralité de l’Etat </w:t>
      </w:r>
      <w:r w:rsidR="00FC4E45" w:rsidRPr="00794554">
        <w:t>peut</w:t>
      </w:r>
      <w:r w:rsidR="00794554">
        <w:t xml:space="preserve"> effectivement</w:t>
      </w:r>
      <w:r w:rsidR="00FC4E45" w:rsidRPr="00794554">
        <w:t xml:space="preserve"> se réclamer du registre de la RSE</w:t>
      </w:r>
      <w:r w:rsidR="00794554">
        <w:t xml:space="preserve">, </w:t>
      </w:r>
      <w:r w:rsidR="00794554">
        <w:rPr>
          <w:i/>
          <w:iCs/>
        </w:rPr>
        <w:t xml:space="preserve">a fortiori </w:t>
      </w:r>
      <w:r w:rsidR="00794554">
        <w:t>lorsque cette neutralité est envisagée dans une perspective restrictive</w:t>
      </w:r>
      <w:r w:rsidR="00FC4E45">
        <w:t>.</w:t>
      </w:r>
    </w:p>
    <w:p w14:paraId="57E923F0" w14:textId="1E8D574C" w:rsidR="00FC4E45" w:rsidRDefault="00FC4E45" w:rsidP="008C1256">
      <w:r w:rsidRPr="00794554">
        <w:lastRenderedPageBreak/>
        <w:t xml:space="preserve">D’autre part, sous l’angle de la </w:t>
      </w:r>
      <w:r w:rsidRPr="00794554">
        <w:rPr>
          <w:i/>
          <w:iCs/>
        </w:rPr>
        <w:t>démocratie interne</w:t>
      </w:r>
      <w:r w:rsidRPr="00794554">
        <w:t xml:space="preserve">, </w:t>
      </w:r>
      <w:r w:rsidR="00794554" w:rsidRPr="00794554">
        <w:t xml:space="preserve">il est possible de reconnaître </w:t>
      </w:r>
      <w:r w:rsidRPr="00794554">
        <w:t xml:space="preserve">dans cette privatisation de la neutralité le signe d’une reconnaissance de l’entreprise </w:t>
      </w:r>
      <w:r w:rsidR="00794554" w:rsidRPr="00794554">
        <w:t>en tant qu’</w:t>
      </w:r>
      <w:r w:rsidRPr="00794554">
        <w:rPr>
          <w:i/>
          <w:iCs/>
        </w:rPr>
        <w:t>ordre juridique autonome</w:t>
      </w:r>
      <w:r w:rsidRPr="00794554">
        <w:t xml:space="preserve">, </w:t>
      </w:r>
      <w:r w:rsidR="00794554" w:rsidRPr="00794554">
        <w:t>de manière analogue à</w:t>
      </w:r>
      <w:r w:rsidRPr="00794554">
        <w:t xml:space="preserve"> l’Etat. </w:t>
      </w:r>
      <w:r w:rsidR="00794554" w:rsidRPr="00794554">
        <w:t>Dans ces conditions, l</w:t>
      </w:r>
      <w:r w:rsidRPr="00794554">
        <w:t>a neutralité de l’entreprise apparaît</w:t>
      </w:r>
      <w:r w:rsidR="003E10C1">
        <w:t>rait</w:t>
      </w:r>
      <w:r w:rsidR="00794554" w:rsidRPr="00794554">
        <w:t>, à l’instar de la neutralité de l’Etat,</w:t>
      </w:r>
      <w:r w:rsidRPr="00794554">
        <w:t xml:space="preserve"> comme une condition de déploiement de la démocratie et de la citoyenneté dans l’entreprise.</w:t>
      </w:r>
      <w:r w:rsidR="00D53673" w:rsidRPr="00D53673">
        <w:rPr>
          <w:vertAlign w:val="superscript"/>
        </w:rPr>
        <w:footnoteReference w:id="45"/>
      </w:r>
      <w:r w:rsidR="00794554">
        <w:t xml:space="preserve"> </w:t>
      </w:r>
      <w:r w:rsidRPr="00FC4E45">
        <w:t xml:space="preserve">La question </w:t>
      </w:r>
      <w:r w:rsidR="00794554">
        <w:t>consiste</w:t>
      </w:r>
      <w:r w:rsidRPr="00FC4E45">
        <w:t xml:space="preserve"> </w:t>
      </w:r>
      <w:r w:rsidRPr="00794554">
        <w:t>alors</w:t>
      </w:r>
      <w:r w:rsidR="00D53673">
        <w:t xml:space="preserve"> </w:t>
      </w:r>
      <w:r w:rsidR="00794554" w:rsidRPr="00794554">
        <w:t>à</w:t>
      </w:r>
      <w:r w:rsidRPr="00794554">
        <w:t xml:space="preserve"> savoir </w:t>
      </w:r>
      <w:r w:rsidR="00794554">
        <w:t>dans quelle mesure</w:t>
      </w:r>
      <w:r w:rsidRPr="00794554">
        <w:t xml:space="preserve"> </w:t>
      </w:r>
      <w:r w:rsidR="00794554">
        <w:t xml:space="preserve">le caractère neutre de l’entreprise </w:t>
      </w:r>
      <w:r w:rsidR="00D53673">
        <w:t xml:space="preserve">requiert que </w:t>
      </w:r>
      <w:r w:rsidRPr="00794554">
        <w:t xml:space="preserve">les </w:t>
      </w:r>
      <w:r w:rsidR="00794554">
        <w:t>« </w:t>
      </w:r>
      <w:r w:rsidRPr="00794554">
        <w:t>travailleurs-citoyens</w:t>
      </w:r>
      <w:r w:rsidR="00794554">
        <w:t> »</w:t>
      </w:r>
      <w:r w:rsidR="00794554">
        <w:rPr>
          <w:rStyle w:val="Appelnotedebasdep"/>
        </w:rPr>
        <w:footnoteReference w:id="46"/>
      </w:r>
      <w:r w:rsidRPr="00794554">
        <w:t xml:space="preserve"> </w:t>
      </w:r>
      <w:r w:rsidR="00D53673">
        <w:t>soient</w:t>
      </w:r>
      <w:r w:rsidRPr="00794554">
        <w:t xml:space="preserve"> eux-mêmes soumis à cette neutralité</w:t>
      </w:r>
      <w:r w:rsidR="00B024B7" w:rsidRPr="00B024B7">
        <w:t>.</w:t>
      </w:r>
      <w:r w:rsidR="00D53673" w:rsidRPr="00B024B7">
        <w:rPr>
          <w:rStyle w:val="Appelnotedebasdep"/>
        </w:rPr>
        <w:footnoteReference w:id="47"/>
      </w:r>
    </w:p>
    <w:p w14:paraId="425EEE17" w14:textId="30663CA0" w:rsidR="003B47CB" w:rsidRDefault="003B47CB" w:rsidP="001C4425">
      <w:pPr>
        <w:pStyle w:val="Titre2"/>
      </w:pPr>
      <w:r>
        <w:t xml:space="preserve">La neutralité </w:t>
      </w:r>
      <w:r w:rsidR="009D4FE7">
        <w:t>comme</w:t>
      </w:r>
      <w:r>
        <w:t xml:space="preserve"> tendance</w:t>
      </w:r>
      <w:r w:rsidR="009D4FE7">
        <w:t xml:space="preserve"> de l’entreprise</w:t>
      </w:r>
    </w:p>
    <w:p w14:paraId="058C27E7" w14:textId="025E6E6E" w:rsidR="00720AFC" w:rsidRDefault="00720AFC" w:rsidP="00720AFC">
      <w:pPr>
        <w:pStyle w:val="Titre3"/>
        <w:numPr>
          <w:ilvl w:val="0"/>
          <w:numId w:val="41"/>
        </w:numPr>
      </w:pPr>
      <w:r>
        <w:t>Neutralité</w:t>
      </w:r>
      <w:r w:rsidR="00BD23D7">
        <w:t xml:space="preserve"> interne et idéologique</w:t>
      </w:r>
    </w:p>
    <w:p w14:paraId="1C4EFFAD" w14:textId="2214B598" w:rsidR="00E91018" w:rsidRPr="006D278A" w:rsidRDefault="001A1D7E" w:rsidP="003B47CB">
      <w:r>
        <w:t xml:space="preserve">La </w:t>
      </w:r>
      <w:r w:rsidR="00BD23D7">
        <w:t xml:space="preserve">quatrième et </w:t>
      </w:r>
      <w:r>
        <w:t xml:space="preserve">dernière hypothèse d’entreprise neutre est </w:t>
      </w:r>
      <w:r w:rsidR="00982261">
        <w:t xml:space="preserve">sans </w:t>
      </w:r>
      <w:r w:rsidR="00BD23D7">
        <w:t xml:space="preserve">nul </w:t>
      </w:r>
      <w:r>
        <w:t xml:space="preserve">doute la plus </w:t>
      </w:r>
      <w:r w:rsidR="006D278A" w:rsidRPr="006A7405">
        <w:rPr>
          <w:bCs/>
        </w:rPr>
        <w:t>discutée</w:t>
      </w:r>
      <w:r>
        <w:t xml:space="preserve">. </w:t>
      </w:r>
      <w:r w:rsidR="00BD23D7" w:rsidRPr="006D278A">
        <w:t xml:space="preserve">Celle-ci correspond à l’invocation </w:t>
      </w:r>
      <w:r w:rsidRPr="006D278A">
        <w:t xml:space="preserve">d’une </w:t>
      </w:r>
      <w:r w:rsidRPr="006A7405">
        <w:t>neutralité</w:t>
      </w:r>
      <w:r w:rsidRPr="006A7405">
        <w:rPr>
          <w:i/>
          <w:iCs/>
        </w:rPr>
        <w:t xml:space="preserve"> idéologique</w:t>
      </w:r>
      <w:r w:rsidRPr="006D278A">
        <w:t xml:space="preserve">, appliquée dans une perspective </w:t>
      </w:r>
      <w:r w:rsidRPr="006A7405">
        <w:rPr>
          <w:i/>
          <w:iCs/>
        </w:rPr>
        <w:t>interne</w:t>
      </w:r>
      <w:r w:rsidRPr="006D278A">
        <w:t>.</w:t>
      </w:r>
    </w:p>
    <w:p w14:paraId="16117B25" w14:textId="2D030860" w:rsidR="009662CC" w:rsidRDefault="001A1D7E" w:rsidP="003B47CB">
      <w:r w:rsidRPr="006A7405">
        <w:t xml:space="preserve">Cette entreprise </w:t>
      </w:r>
      <w:r w:rsidR="00BD23D7" w:rsidRPr="006A7405">
        <w:t>fait sienne</w:t>
      </w:r>
      <w:r w:rsidRPr="006A7405">
        <w:t xml:space="preserve"> la neutralité </w:t>
      </w:r>
      <w:r w:rsidR="00BD23D7" w:rsidRPr="006A7405">
        <w:t>en tant que</w:t>
      </w:r>
      <w:r w:rsidRPr="006A7405">
        <w:t xml:space="preserve"> </w:t>
      </w:r>
      <w:r w:rsidRPr="00982261">
        <w:rPr>
          <w:i/>
          <w:iCs/>
        </w:rPr>
        <w:t>tendance convictionnelle</w:t>
      </w:r>
      <w:r w:rsidR="00BD23D7" w:rsidRPr="006A7405">
        <w:t xml:space="preserve"> propre</w:t>
      </w:r>
      <w:r w:rsidR="00720AFC" w:rsidRPr="006A7405">
        <w:t xml:space="preserve">, sur le modèle des </w:t>
      </w:r>
      <w:r w:rsidR="00720AFC" w:rsidRPr="00982261">
        <w:rPr>
          <w:i/>
          <w:iCs/>
        </w:rPr>
        <w:t>entreprises de tendance</w:t>
      </w:r>
      <w:r w:rsidR="00D04417">
        <w:rPr>
          <w:i/>
          <w:iCs/>
        </w:rPr>
        <w:t xml:space="preserve"> </w:t>
      </w:r>
      <w:r w:rsidR="00D04417">
        <w:t xml:space="preserve">– ou entreprises de </w:t>
      </w:r>
      <w:r w:rsidR="00D04417">
        <w:rPr>
          <w:i/>
          <w:iCs/>
        </w:rPr>
        <w:t>conviction</w:t>
      </w:r>
      <w:r w:rsidR="00720AFC" w:rsidRPr="006A7405">
        <w:t xml:space="preserve">. Ces </w:t>
      </w:r>
      <w:r w:rsidR="00FD6A66">
        <w:t>organisations – commerciales ou non</w:t>
      </w:r>
      <w:r w:rsidR="00720AFC" w:rsidRPr="006A7405">
        <w:t xml:space="preserve"> </w:t>
      </w:r>
      <w:r w:rsidR="004C5747">
        <w:t xml:space="preserve">– </w:t>
      </w:r>
      <w:r w:rsidR="00720AFC" w:rsidRPr="006A7405">
        <w:t>bénéficient</w:t>
      </w:r>
      <w:r w:rsidR="009662CC" w:rsidRPr="006A7405">
        <w:t xml:space="preserve">, en vertu du droit européen, </w:t>
      </w:r>
      <w:r w:rsidR="00720AFC" w:rsidRPr="006A7405">
        <w:t>de certaines dérogations en matière de</w:t>
      </w:r>
      <w:r w:rsidR="009662CC" w:rsidRPr="006A7405">
        <w:t xml:space="preserve"> traitement différencié</w:t>
      </w:r>
      <w:r w:rsidR="00720AFC" w:rsidRPr="006A7405">
        <w:t xml:space="preserve"> de leurs employés sur base de la religion, dès lors </w:t>
      </w:r>
      <w:r w:rsidR="009662CC" w:rsidRPr="006A7405">
        <w:lastRenderedPageBreak/>
        <w:t xml:space="preserve">qu’elles </w:t>
      </w:r>
      <w:r w:rsidR="00720AFC" w:rsidRPr="006A7405">
        <w:t>fondent leur éthique sur</w:t>
      </w:r>
      <w:r w:rsidR="00720AFC">
        <w:t xml:space="preserve"> une conviction</w:t>
      </w:r>
      <w:r w:rsidR="009662CC">
        <w:t xml:space="preserve"> religieuse ou philosophique </w:t>
      </w:r>
      <w:r w:rsidR="00720AFC">
        <w:t>particulière.</w:t>
      </w:r>
      <w:r w:rsidR="009662CC">
        <w:rPr>
          <w:rStyle w:val="Appelnotedebasdep"/>
        </w:rPr>
        <w:footnoteReference w:id="48"/>
      </w:r>
    </w:p>
    <w:p w14:paraId="0A1D6D20" w14:textId="1F0A3DAF" w:rsidR="00982261" w:rsidRDefault="006A7405" w:rsidP="003B47CB">
      <w:r>
        <w:t xml:space="preserve">La controverse juridique – et même politique – </w:t>
      </w:r>
      <w:r w:rsidRPr="006A7405">
        <w:t>entourant l’idée d’entreprise de tendance neutre tient à la possibilité d’une « </w:t>
      </w:r>
      <w:proofErr w:type="spellStart"/>
      <w:r w:rsidRPr="006A7405">
        <w:rPr>
          <w:i/>
          <w:iCs/>
        </w:rPr>
        <w:t>convictionnalisation</w:t>
      </w:r>
      <w:proofErr w:type="spellEnd"/>
      <w:r w:rsidRPr="006A7405">
        <w:t xml:space="preserve"> » </w:t>
      </w:r>
      <w:r w:rsidRPr="00982261">
        <w:rPr>
          <w:i/>
          <w:iCs/>
        </w:rPr>
        <w:t>de la neutralité</w:t>
      </w:r>
      <w:r w:rsidRPr="006A7405">
        <w:t xml:space="preserve">, appréhendée </w:t>
      </w:r>
      <w:r w:rsidR="00720AFC" w:rsidRPr="006A7405">
        <w:t>dans ce cas</w:t>
      </w:r>
      <w:r>
        <w:t xml:space="preserve"> non plus comme un principe organisationnel, mais</w:t>
      </w:r>
      <w:r w:rsidR="00720AFC" w:rsidRPr="006A7405">
        <w:t xml:space="preserve"> comme une tendance</w:t>
      </w:r>
      <w:r w:rsidRPr="006A7405">
        <w:t xml:space="preserve"> convictionnelle</w:t>
      </w:r>
      <w:r w:rsidR="00720AFC" w:rsidRPr="006A7405">
        <w:t xml:space="preserve"> parmi d’autres</w:t>
      </w:r>
      <w:r w:rsidR="00720AFC">
        <w:t>, au même titre que les confessions religieuses.</w:t>
      </w:r>
      <w:r w:rsidR="00982261">
        <w:rPr>
          <w:rStyle w:val="Appelnotedebasdep"/>
        </w:rPr>
        <w:footnoteReference w:id="49"/>
      </w:r>
      <w:r w:rsidR="00DA56F3">
        <w:t xml:space="preserve"> Dès lors que l</w:t>
      </w:r>
      <w:r>
        <w:t>a neutralité</w:t>
      </w:r>
      <w:r w:rsidR="00982261">
        <w:t xml:space="preserve"> – ou, dans le cas français, la laïcité –</w:t>
      </w:r>
      <w:r w:rsidR="00F13E8E">
        <w:t xml:space="preserve"> est </w:t>
      </w:r>
      <w:r>
        <w:t>envisagée en tant que tendance</w:t>
      </w:r>
      <w:r w:rsidR="00F13E8E">
        <w:t xml:space="preserve"> </w:t>
      </w:r>
      <w:r w:rsidR="00F13E8E" w:rsidRPr="006A7405">
        <w:rPr>
          <w:i/>
          <w:iCs/>
        </w:rPr>
        <w:t>areligieuse</w:t>
      </w:r>
      <w:r w:rsidR="00F13E8E">
        <w:t xml:space="preserve">, </w:t>
      </w:r>
      <w:r>
        <w:t>sinon</w:t>
      </w:r>
      <w:r w:rsidR="00F13E8E">
        <w:t xml:space="preserve"> </w:t>
      </w:r>
      <w:r w:rsidR="00F13E8E" w:rsidRPr="006A7405">
        <w:rPr>
          <w:i/>
          <w:iCs/>
        </w:rPr>
        <w:t>anti</w:t>
      </w:r>
      <w:r w:rsidR="00F13E8E">
        <w:t>-religieuse</w:t>
      </w:r>
      <w:r w:rsidR="00DA56F3">
        <w:t xml:space="preserve"> d’une organisation privée, quel sens peut encore recouvrir, dans ces conditions, la notion de neutralité de l’Etat ?</w:t>
      </w:r>
      <w:r w:rsidR="00DA56F3">
        <w:rPr>
          <w:rStyle w:val="Appelnotedebasdep"/>
        </w:rPr>
        <w:footnoteReference w:id="50"/>
      </w:r>
    </w:p>
    <w:p w14:paraId="10145FE6" w14:textId="35316CD0" w:rsidR="00720AFC" w:rsidRDefault="00BD23D7" w:rsidP="00720AFC">
      <w:pPr>
        <w:pStyle w:val="Titre3"/>
      </w:pPr>
      <w:r>
        <w:t xml:space="preserve">Illustrations : </w:t>
      </w:r>
      <w:r>
        <w:rPr>
          <w:i w:val="0"/>
          <w:iCs/>
        </w:rPr>
        <w:t>Baby Loup</w:t>
      </w:r>
      <w:r>
        <w:t xml:space="preserve"> et </w:t>
      </w:r>
      <w:r>
        <w:rPr>
          <w:i w:val="0"/>
          <w:iCs/>
        </w:rPr>
        <w:t>McFarlane</w:t>
      </w:r>
    </w:p>
    <w:p w14:paraId="4923BC4E" w14:textId="743602AD" w:rsidR="00720AFC" w:rsidRDefault="00DA56F3" w:rsidP="00720AFC">
      <w:r>
        <w:t>Si l’</w:t>
      </w:r>
      <w:r w:rsidR="00720AFC">
        <w:t xml:space="preserve">entreprise </w:t>
      </w:r>
      <w:r w:rsidR="00720AFC" w:rsidRPr="00FD6A66">
        <w:t>de tendance neutre n’a pas encore fait l’objet d’une reconnaissance juridique formelle</w:t>
      </w:r>
      <w:r w:rsidR="00FD6A66" w:rsidRPr="00FD6A66">
        <w:t>,</w:t>
      </w:r>
      <w:r w:rsidR="00720AFC" w:rsidRPr="00FD6A66">
        <w:t xml:space="preserve"> plusieurs</w:t>
      </w:r>
      <w:r w:rsidR="00720AFC">
        <w:t xml:space="preserve"> épisodes judiciaires ont</w:t>
      </w:r>
      <w:r w:rsidR="00FD6A66">
        <w:t xml:space="preserve"> toutefois</w:t>
      </w:r>
      <w:r w:rsidR="00720AFC">
        <w:t xml:space="preserve"> </w:t>
      </w:r>
      <w:r w:rsidR="00FD6A66">
        <w:t>pu mettre</w:t>
      </w:r>
      <w:r w:rsidR="00720AFC">
        <w:t xml:space="preserve"> en exergue cette hypothèse.</w:t>
      </w:r>
    </w:p>
    <w:p w14:paraId="2262C24D" w14:textId="50D15373" w:rsidR="00720AFC" w:rsidRDefault="00720AFC" w:rsidP="00720AFC">
      <w:r>
        <w:t xml:space="preserve">En particulier, la </w:t>
      </w:r>
      <w:r w:rsidRPr="00FD6A66">
        <w:t xml:space="preserve">crèche </w:t>
      </w:r>
      <w:r w:rsidRPr="00FD6A66">
        <w:rPr>
          <w:i/>
          <w:iCs/>
        </w:rPr>
        <w:t>Baby Loup</w:t>
      </w:r>
      <w:r w:rsidR="00FD6A66">
        <w:t>, déjà évoquée,</w:t>
      </w:r>
      <w:r w:rsidRPr="00FD6A66">
        <w:t xml:space="preserve"> s’était</w:t>
      </w:r>
      <w:r>
        <w:t xml:space="preserve"> </w:t>
      </w:r>
      <w:r w:rsidR="00FD6A66">
        <w:t>vu</w:t>
      </w:r>
      <w:r>
        <w:t xml:space="preserve"> reconnaître le statut d’entreprise de tendance neutre dans l’arrêt </w:t>
      </w:r>
      <w:r w:rsidRPr="00FD6A66">
        <w:t>de la Cour d’appel de Paris</w:t>
      </w:r>
      <w:r w:rsidR="00B72624">
        <w:t xml:space="preserve"> en 2013</w:t>
      </w:r>
      <w:r w:rsidR="00D04417">
        <w:t xml:space="preserve">, les juges considérant </w:t>
      </w:r>
      <w:r w:rsidR="00D04417" w:rsidRPr="00D04417">
        <w:t xml:space="preserve">qu’une </w:t>
      </w:r>
      <w:r w:rsidR="00D04417">
        <w:t>« </w:t>
      </w:r>
      <w:r w:rsidR="00D04417" w:rsidRPr="00D04417">
        <w:t xml:space="preserve">personne morale de droit privé </w:t>
      </w:r>
      <w:r w:rsidR="00D04417">
        <w:t>[…]</w:t>
      </w:r>
      <w:r w:rsidR="00D04417" w:rsidRPr="00D04417">
        <w:t xml:space="preserve"> peut dans certaines circonstances constituer une entreprise de </w:t>
      </w:r>
      <w:r w:rsidR="00D04417" w:rsidRPr="00D04417">
        <w:lastRenderedPageBreak/>
        <w:t xml:space="preserve">conviction </w:t>
      </w:r>
      <w:r w:rsidR="00D04417">
        <w:t>[…]</w:t>
      </w:r>
      <w:r w:rsidR="00D04417" w:rsidRPr="00D04417">
        <w:t xml:space="preserve"> et se doter de statuts et d’un règlement intérieur prévoyant une obligation de neutralité du personnel dans l’exercice de ses tâches</w:t>
      </w:r>
      <w:r w:rsidR="00D04417">
        <w:t> »</w:t>
      </w:r>
      <w:r w:rsidR="00D04417">
        <w:rPr>
          <w:rStyle w:val="Appelnotedebasdep"/>
        </w:rPr>
        <w:footnoteReference w:id="51"/>
      </w:r>
      <w:r w:rsidR="00D04417">
        <w:t>.</w:t>
      </w:r>
      <w:r>
        <w:t xml:space="preserve"> </w:t>
      </w:r>
      <w:r w:rsidR="00D04417">
        <w:t>L</w:t>
      </w:r>
      <w:r>
        <w:t>a Cour de cassation</w:t>
      </w:r>
      <w:r w:rsidR="00D04417">
        <w:t xml:space="preserve">, dans l’arrêt évoqué plus haut, viendra toutefois </w:t>
      </w:r>
      <w:r w:rsidR="00FD6A66">
        <w:t>désavoue</w:t>
      </w:r>
      <w:r w:rsidR="00D04417">
        <w:t>r</w:t>
      </w:r>
      <w:r>
        <w:t xml:space="preserve"> cette qualification</w:t>
      </w:r>
      <w:r w:rsidR="00D04417">
        <w:t xml:space="preserve"> pour le cas d’espèce, </w:t>
      </w:r>
      <w:r>
        <w:t>arguant notamment du fait que la neutralité de l’Etat ne peut être privatisée de la sorte</w:t>
      </w:r>
      <w:r w:rsidR="00FD6A66">
        <w:t>,</w:t>
      </w:r>
      <w:r>
        <w:t xml:space="preserve"> </w:t>
      </w:r>
      <w:r w:rsidR="00FD6A66">
        <w:t xml:space="preserve">ni </w:t>
      </w:r>
      <w:r>
        <w:t>assimilée à une simple conviction.</w:t>
      </w:r>
      <w:r w:rsidR="00D04417">
        <w:rPr>
          <w:rStyle w:val="Appelnotedebasdep"/>
        </w:rPr>
        <w:footnoteReference w:id="52"/>
      </w:r>
    </w:p>
    <w:p w14:paraId="2CCAC62C" w14:textId="361C52A7" w:rsidR="00B72624" w:rsidRDefault="00477AF5" w:rsidP="00720AFC">
      <w:r>
        <w:t>Une autre hypothèse</w:t>
      </w:r>
      <w:r w:rsidR="00556648">
        <w:t xml:space="preserve"> –</w:t>
      </w:r>
      <w:r>
        <w:t xml:space="preserve"> moins explicite</w:t>
      </w:r>
      <w:r w:rsidR="00556648">
        <w:t xml:space="preserve"> –</w:t>
      </w:r>
      <w:r>
        <w:t xml:space="preserve"> d’entreprise de tendance neutre peut être envisagée</w:t>
      </w:r>
      <w:r w:rsidR="00EF1335">
        <w:t xml:space="preserve"> à travers</w:t>
      </w:r>
      <w:r w:rsidR="00B72624">
        <w:t xml:space="preserve"> l’arrêt </w:t>
      </w:r>
      <w:proofErr w:type="spellStart"/>
      <w:r w:rsidR="00B72624" w:rsidRPr="00477AF5">
        <w:rPr>
          <w:bCs/>
          <w:i/>
          <w:iCs/>
        </w:rPr>
        <w:t>Eweida</w:t>
      </w:r>
      <w:proofErr w:type="spellEnd"/>
      <w:r w:rsidR="00B72624" w:rsidRPr="00477AF5">
        <w:rPr>
          <w:bCs/>
          <w:i/>
          <w:iCs/>
        </w:rPr>
        <w:t xml:space="preserve"> </w:t>
      </w:r>
      <w:r>
        <w:rPr>
          <w:bCs/>
          <w:i/>
          <w:iCs/>
        </w:rPr>
        <w:t>c.</w:t>
      </w:r>
      <w:r w:rsidR="00B72624" w:rsidRPr="00477AF5">
        <w:rPr>
          <w:bCs/>
          <w:i/>
          <w:iCs/>
        </w:rPr>
        <w:t xml:space="preserve"> Royaume-Uni</w:t>
      </w:r>
      <w:r w:rsidR="00B72624">
        <w:t xml:space="preserve"> </w:t>
      </w:r>
      <w:r w:rsidR="00B72624" w:rsidRPr="00477AF5">
        <w:t>rendu en 2013 par la Cour européenne des droits de l’homme</w:t>
      </w:r>
      <w:r w:rsidR="00EF1335">
        <w:t>. L</w:t>
      </w:r>
      <w:r w:rsidRPr="00477AF5">
        <w:t xml:space="preserve">’une des </w:t>
      </w:r>
      <w:r w:rsidR="00EF1335">
        <w:t xml:space="preserve">quatre </w:t>
      </w:r>
      <w:r w:rsidRPr="00477AF5">
        <w:t>affaires</w:t>
      </w:r>
      <w:r w:rsidR="00EF1335">
        <w:t xml:space="preserve"> examinées dans</w:t>
      </w:r>
      <w:r w:rsidRPr="00477AF5">
        <w:t xml:space="preserve"> </w:t>
      </w:r>
      <w:r w:rsidR="00EF1335">
        <w:t xml:space="preserve">cet arrêt </w:t>
      </w:r>
      <w:r w:rsidRPr="00477AF5">
        <w:t>a trait à la situation</w:t>
      </w:r>
      <w:r w:rsidR="00B72624" w:rsidRPr="00477AF5">
        <w:t xml:space="preserve"> de </w:t>
      </w:r>
      <w:r w:rsidRPr="00477AF5">
        <w:t>M.</w:t>
      </w:r>
      <w:r w:rsidR="00B72624" w:rsidRPr="00477AF5">
        <w:t xml:space="preserve"> </w:t>
      </w:r>
      <w:r w:rsidR="00B72624" w:rsidRPr="00C32831">
        <w:rPr>
          <w:i/>
          <w:iCs/>
        </w:rPr>
        <w:t>McFarlane</w:t>
      </w:r>
      <w:r w:rsidR="00B72624" w:rsidRPr="00477AF5">
        <w:t>, qui travaillait dans une entreprise de conseils conjugaux et sexuels pour couples.</w:t>
      </w:r>
      <w:r w:rsidR="00EF1335">
        <w:rPr>
          <w:rStyle w:val="Appelnotedebasdep"/>
        </w:rPr>
        <w:footnoteReference w:id="53"/>
      </w:r>
      <w:r w:rsidR="00B72624" w:rsidRPr="00477AF5">
        <w:t xml:space="preserve"> </w:t>
      </w:r>
      <w:r w:rsidRPr="00477AF5">
        <w:t>M.</w:t>
      </w:r>
      <w:r w:rsidR="00B72624" w:rsidRPr="00477AF5">
        <w:t xml:space="preserve"> McFarlane est licencié au motif qu’il </w:t>
      </w:r>
      <w:r w:rsidRPr="00477AF5">
        <w:t>refuse</w:t>
      </w:r>
      <w:r w:rsidR="00B72624" w:rsidRPr="00477AF5">
        <w:t xml:space="preserve"> de conseiller des couples homosexuels en</w:t>
      </w:r>
      <w:r w:rsidR="00B72624">
        <w:t xml:space="preserve"> matière sexuelle, </w:t>
      </w:r>
      <w:r w:rsidR="00556648">
        <w:t>celui-ci considérant qu’une</w:t>
      </w:r>
      <w:r>
        <w:t xml:space="preserve"> telle activité </w:t>
      </w:r>
      <w:r w:rsidR="00556648">
        <w:t>va</w:t>
      </w:r>
      <w:r>
        <w:t xml:space="preserve"> à l’encontre</w:t>
      </w:r>
      <w:r w:rsidR="00B72624">
        <w:t xml:space="preserve"> de ses </w:t>
      </w:r>
      <w:r w:rsidR="00B72624" w:rsidRPr="00EF1335">
        <w:t xml:space="preserve">convictions </w:t>
      </w:r>
      <w:r w:rsidRPr="00EF1335">
        <w:t>religieuses</w:t>
      </w:r>
      <w:r w:rsidR="00B72624" w:rsidRPr="00EF1335">
        <w:t xml:space="preserve">. Ce licenciement, validé par la </w:t>
      </w:r>
      <w:r w:rsidR="00556648">
        <w:t>Cour européenne des droits de l’homme</w:t>
      </w:r>
      <w:r w:rsidR="00B72624" w:rsidRPr="00EF1335">
        <w:t xml:space="preserve">, </w:t>
      </w:r>
      <w:r w:rsidR="00EF1335">
        <w:t>s’appuie</w:t>
      </w:r>
      <w:r w:rsidR="00B72624" w:rsidRPr="00EF1335">
        <w:t xml:space="preserve"> </w:t>
      </w:r>
      <w:r w:rsidR="00EF1335" w:rsidRPr="00EF1335">
        <w:t>essentiellement</w:t>
      </w:r>
      <w:r w:rsidR="00B72624" w:rsidRPr="00EF1335">
        <w:t xml:space="preserve"> sur</w:t>
      </w:r>
      <w:r w:rsidR="00EF1335" w:rsidRPr="00EF1335">
        <w:t xml:space="preserve"> </w:t>
      </w:r>
      <w:r w:rsidR="00B72624" w:rsidRPr="00EF1335">
        <w:t>la politique d’égalité des chances adoptée par</w:t>
      </w:r>
      <w:r w:rsidR="00B72624">
        <w:t xml:space="preserve"> l’entreprise, </w:t>
      </w:r>
      <w:r w:rsidR="00EF1335">
        <w:t>interdisant</w:t>
      </w:r>
      <w:r w:rsidR="00B72624">
        <w:t xml:space="preserve"> </w:t>
      </w:r>
      <w:r w:rsidR="00EF1335">
        <w:t>de telles</w:t>
      </w:r>
      <w:r w:rsidR="00B72624">
        <w:t xml:space="preserve"> objection</w:t>
      </w:r>
      <w:r w:rsidR="00EF1335">
        <w:t>s</w:t>
      </w:r>
      <w:r w:rsidR="00B72624">
        <w:t xml:space="preserve"> de conscience.</w:t>
      </w:r>
      <w:r w:rsidR="00C32831">
        <w:rPr>
          <w:rStyle w:val="Appelnotedebasdep"/>
        </w:rPr>
        <w:footnoteReference w:id="54"/>
      </w:r>
      <w:r w:rsidR="00B72624">
        <w:t xml:space="preserve"> </w:t>
      </w:r>
      <w:r w:rsidR="00EF1335">
        <w:t>Si, en l’espèce,</w:t>
      </w:r>
      <w:r w:rsidR="00B72624">
        <w:t xml:space="preserve"> l’idée d’une neutralité de tendance n’est pas explicitement revendiquée</w:t>
      </w:r>
      <w:r w:rsidR="00EF1335">
        <w:t xml:space="preserve"> par l’entreprise, celle-ci rejoint </w:t>
      </w:r>
      <w:r w:rsidR="00B72624">
        <w:t>malgré tout l’argumentation retenue</w:t>
      </w:r>
      <w:r w:rsidR="00EF1335">
        <w:t xml:space="preserve">, en ce qu’elle </w:t>
      </w:r>
      <w:r w:rsidR="00556648">
        <w:t>revient</w:t>
      </w:r>
      <w:r w:rsidR="00EF1335">
        <w:t xml:space="preserve"> à </w:t>
      </w:r>
      <w:r w:rsidR="00EF1335" w:rsidRPr="00C32831">
        <w:rPr>
          <w:i/>
          <w:iCs/>
        </w:rPr>
        <w:t>exclure toute expression religieuse</w:t>
      </w:r>
      <w:r w:rsidR="00EF1335">
        <w:t xml:space="preserve"> de la sphère de travail, sur base du </w:t>
      </w:r>
      <w:r w:rsidR="00EF1335" w:rsidRPr="00C32831">
        <w:rPr>
          <w:i/>
          <w:iCs/>
        </w:rPr>
        <w:t>positionnement idéologique</w:t>
      </w:r>
      <w:r w:rsidR="00EF1335">
        <w:t xml:space="preserve"> adopté par l’entreprise.</w:t>
      </w:r>
    </w:p>
    <w:p w14:paraId="29883734" w14:textId="64DF8485" w:rsidR="00720AFC" w:rsidRDefault="002803D3" w:rsidP="00720AFC">
      <w:pPr>
        <w:pStyle w:val="Titre3"/>
      </w:pPr>
      <w:r>
        <w:lastRenderedPageBreak/>
        <w:t>La tendance neutre comme mission de l’entreprise</w:t>
      </w:r>
    </w:p>
    <w:p w14:paraId="4CEBBD88" w14:textId="0CA1D61B" w:rsidR="00335428" w:rsidRDefault="005502B9" w:rsidP="00720AFC">
      <w:r>
        <w:t xml:space="preserve">Prise sous l’angle </w:t>
      </w:r>
      <w:r w:rsidR="00FE1971" w:rsidRPr="005502B9">
        <w:t>de la RSE</w:t>
      </w:r>
      <w:r w:rsidR="00FE1971">
        <w:t xml:space="preserve">, </w:t>
      </w:r>
      <w:r>
        <w:t>l’idée d’</w:t>
      </w:r>
      <w:r w:rsidR="00FE1971">
        <w:t xml:space="preserve">entreprise de tendance neutre peut </w:t>
      </w:r>
      <w:r w:rsidR="004C5747">
        <w:t xml:space="preserve">être liée à </w:t>
      </w:r>
      <w:r w:rsidR="00FE1971" w:rsidRPr="005502B9">
        <w:t xml:space="preserve">l’entreprise à </w:t>
      </w:r>
      <w:r w:rsidR="00FE1971" w:rsidRPr="005502B9">
        <w:rPr>
          <w:i/>
          <w:iCs/>
        </w:rPr>
        <w:t>objet social étendu</w:t>
      </w:r>
      <w:r>
        <w:t xml:space="preserve"> – ou </w:t>
      </w:r>
      <w:r w:rsidR="00FE1971" w:rsidRPr="005502B9">
        <w:t xml:space="preserve">entreprise </w:t>
      </w:r>
      <w:r w:rsidR="00FE1971" w:rsidRPr="005502B9">
        <w:rPr>
          <w:i/>
          <w:iCs/>
        </w:rPr>
        <w:t>à mission</w:t>
      </w:r>
      <w:r w:rsidR="00FE1971">
        <w:t xml:space="preserve">. </w:t>
      </w:r>
      <w:r>
        <w:t xml:space="preserve">L’une et l’autre de ces notions correspond en effet </w:t>
      </w:r>
      <w:r w:rsidR="00FE1971">
        <w:t xml:space="preserve">à une forme plus ou moins aboutie </w:t>
      </w:r>
      <w:r w:rsidR="00FE1971" w:rsidRPr="005502B9">
        <w:t>d’</w:t>
      </w:r>
      <w:r w:rsidR="00FE1971" w:rsidRPr="005502B9">
        <w:rPr>
          <w:i/>
          <w:iCs/>
        </w:rPr>
        <w:t>idéologisation</w:t>
      </w:r>
      <w:r w:rsidRPr="005502B9">
        <w:rPr>
          <w:i/>
          <w:iCs/>
        </w:rPr>
        <w:t xml:space="preserve"> de l’entreprise</w:t>
      </w:r>
      <w:r>
        <w:t>, que celle-ci porte sur</w:t>
      </w:r>
      <w:r w:rsidR="00FE1971">
        <w:t xml:space="preserve"> la neutralité ou </w:t>
      </w:r>
      <w:r>
        <w:t>sur</w:t>
      </w:r>
      <w:r w:rsidR="00FE1971">
        <w:t xml:space="preserve"> la RSE.</w:t>
      </w:r>
      <w:r w:rsidR="00F13E8E">
        <w:t xml:space="preserve"> L’entreprise à </w:t>
      </w:r>
      <w:r w:rsidR="00F13E8E" w:rsidRPr="005502B9">
        <w:t>mission</w:t>
      </w:r>
      <w:r w:rsidR="00F13E8E">
        <w:t xml:space="preserve"> </w:t>
      </w:r>
      <w:r>
        <w:t xml:space="preserve">constituerait </w:t>
      </w:r>
      <w:r w:rsidRPr="005502B9">
        <w:t>une</w:t>
      </w:r>
      <w:r w:rsidR="00F13E8E" w:rsidRPr="005502B9">
        <w:t xml:space="preserve"> forme édulcorée de l’entreprise de tendance, du</w:t>
      </w:r>
      <w:r w:rsidR="00F13E8E">
        <w:t xml:space="preserve"> point de vue de la centralité du fondement </w:t>
      </w:r>
      <w:r w:rsidR="00273D06">
        <w:t>idéologique.</w:t>
      </w:r>
      <w:r>
        <w:t xml:space="preserve"> Dans cette même perspective, la mission à travers laquelle se définit l’entreprise, au-delà de sa dimension lucrative, porterait sur le développement d’une neutralité religieuse.</w:t>
      </w:r>
    </w:p>
    <w:p w14:paraId="04328004" w14:textId="5598A2D9" w:rsidR="00F13E8E" w:rsidRDefault="00E2180C" w:rsidP="00F13E8E">
      <w:r>
        <w:t>Deux</w:t>
      </w:r>
      <w:r w:rsidR="005502B9">
        <w:t xml:space="preserve"> questions émergent à cet égard.</w:t>
      </w:r>
      <w:r w:rsidR="00335428">
        <w:t xml:space="preserve"> </w:t>
      </w:r>
      <w:r w:rsidR="00335428" w:rsidRPr="00335428">
        <w:t xml:space="preserve">Premièrement, </w:t>
      </w:r>
      <w:r w:rsidR="00FD5BEA" w:rsidRPr="00335428">
        <w:t>cette nouvelle forme d’entreprise à mission vient réinterroger une distinction juridique classique entre</w:t>
      </w:r>
      <w:r w:rsidR="00335428" w:rsidRPr="00335428">
        <w:t xml:space="preserve">, </w:t>
      </w:r>
      <w:r w:rsidR="00FD5BEA" w:rsidRPr="00335428">
        <w:t>d’une part, les entreprises ordinaires, réputées areligieuses</w:t>
      </w:r>
      <w:r w:rsidR="00335428" w:rsidRPr="00335428">
        <w:t xml:space="preserve">, et, d’autre part, </w:t>
      </w:r>
      <w:r w:rsidR="00FD5BEA" w:rsidRPr="00335428">
        <w:t>les entreprises de tendance « dont l’éthique est basée sur la religion ou les convictions »</w:t>
      </w:r>
      <w:r w:rsidR="00335428" w:rsidRPr="00335428">
        <w:t xml:space="preserve">. Il s’agit dès lors de savoir </w:t>
      </w:r>
      <w:r w:rsidR="00FD5BEA" w:rsidRPr="00335428">
        <w:t xml:space="preserve">dans quelle mesure la </w:t>
      </w:r>
      <w:r w:rsidR="00FD5BEA" w:rsidRPr="00E25BFF">
        <w:rPr>
          <w:i/>
          <w:iCs/>
        </w:rPr>
        <w:t>mission sociétale</w:t>
      </w:r>
      <w:r w:rsidR="00FD5BEA" w:rsidRPr="00335428">
        <w:t xml:space="preserve"> poursuivie par l’entreprise à mission </w:t>
      </w:r>
      <w:r w:rsidR="00E25BFF">
        <w:t>peut</w:t>
      </w:r>
      <w:r w:rsidR="00FD5BEA" w:rsidRPr="00335428">
        <w:t xml:space="preserve"> être considérée comme une </w:t>
      </w:r>
      <w:r w:rsidR="00FD5BEA" w:rsidRPr="00E25BFF">
        <w:t>conviction</w:t>
      </w:r>
      <w:r w:rsidR="00FD5BEA" w:rsidRPr="00335428">
        <w:t xml:space="preserve"> au sens de la liberté religieuse de l’entreprise de tendance.</w:t>
      </w:r>
      <w:r w:rsidR="00335428">
        <w:t xml:space="preserve"> A cet égard, l</w:t>
      </w:r>
      <w:r w:rsidR="00FD5BEA" w:rsidRPr="00335428">
        <w:t>’on pourrait être tenté de distinguer l’entreprise à mission de l’entreprise de tendance à partir de la dimension</w:t>
      </w:r>
      <w:r w:rsidR="00335428">
        <w:t xml:space="preserve"> alternativement</w:t>
      </w:r>
      <w:r w:rsidR="00FD5BEA" w:rsidRPr="00335428">
        <w:t xml:space="preserve"> </w:t>
      </w:r>
      <w:r w:rsidR="00FD5BEA" w:rsidRPr="00335428">
        <w:rPr>
          <w:i/>
          <w:iCs/>
        </w:rPr>
        <w:t>sociétale</w:t>
      </w:r>
      <w:r w:rsidR="00FD5BEA" w:rsidRPr="00335428">
        <w:t xml:space="preserve"> ou </w:t>
      </w:r>
      <w:r w:rsidR="00FD5BEA" w:rsidRPr="00335428">
        <w:rPr>
          <w:i/>
          <w:iCs/>
        </w:rPr>
        <w:t>religieuse</w:t>
      </w:r>
      <w:r w:rsidR="00FD5BEA" w:rsidRPr="00335428">
        <w:t xml:space="preserve"> de la mission, autrement dit </w:t>
      </w:r>
      <w:r w:rsidR="00FD5BEA" w:rsidRPr="00335428">
        <w:rPr>
          <w:i/>
          <w:iCs/>
        </w:rPr>
        <w:t>universaliste</w:t>
      </w:r>
      <w:r w:rsidR="00FD5BEA" w:rsidRPr="00335428">
        <w:t xml:space="preserve"> ou </w:t>
      </w:r>
      <w:r w:rsidR="00FD5BEA" w:rsidRPr="00335428">
        <w:rPr>
          <w:i/>
          <w:iCs/>
        </w:rPr>
        <w:t>particulariste</w:t>
      </w:r>
      <w:r w:rsidR="00FD5BEA" w:rsidRPr="00335428">
        <w:t>.</w:t>
      </w:r>
      <w:r w:rsidR="00335428">
        <w:rPr>
          <w:rStyle w:val="Appelnotedebasdep"/>
        </w:rPr>
        <w:footnoteReference w:id="55"/>
      </w:r>
      <w:r w:rsidR="00FD5BEA" w:rsidRPr="00335428">
        <w:t xml:space="preserve"> </w:t>
      </w:r>
      <w:r>
        <w:t>Précisément</w:t>
      </w:r>
      <w:r w:rsidR="00335428">
        <w:rPr>
          <w:iCs/>
        </w:rPr>
        <w:t>,</w:t>
      </w:r>
      <w:r>
        <w:rPr>
          <w:iCs/>
        </w:rPr>
        <w:t xml:space="preserve"> il convient de s’interroger sur l’éligibilité de la neutralité au statut de</w:t>
      </w:r>
      <w:r w:rsidR="00F13E8E" w:rsidRPr="00E2180C">
        <w:rPr>
          <w:iCs/>
        </w:rPr>
        <w:t xml:space="preserve"> mission </w:t>
      </w:r>
      <w:r>
        <w:rPr>
          <w:iCs/>
        </w:rPr>
        <w:t>de l’</w:t>
      </w:r>
      <w:r w:rsidR="00F13E8E" w:rsidRPr="00E2180C">
        <w:rPr>
          <w:iCs/>
        </w:rPr>
        <w:t>entreprise</w:t>
      </w:r>
      <w:r w:rsidR="00E25BFF">
        <w:rPr>
          <w:iCs/>
        </w:rPr>
        <w:t> :</w:t>
      </w:r>
      <w:r>
        <w:rPr>
          <w:iCs/>
        </w:rPr>
        <w:t xml:space="preserve"> il s’agit </w:t>
      </w:r>
      <w:r w:rsidR="00E25BFF">
        <w:rPr>
          <w:iCs/>
        </w:rPr>
        <w:t xml:space="preserve">en l’occurrence </w:t>
      </w:r>
      <w:r>
        <w:rPr>
          <w:iCs/>
        </w:rPr>
        <w:t>de déterminer jusqu’à quel point</w:t>
      </w:r>
      <w:r w:rsidR="00F13E8E" w:rsidRPr="00E2180C">
        <w:t xml:space="preserve"> cette neutralité</w:t>
      </w:r>
      <w:r>
        <w:t xml:space="preserve"> convictionnelle </w:t>
      </w:r>
      <w:r w:rsidR="00F13E8E" w:rsidRPr="00E2180C">
        <w:t>correspond à une vision universaliste, et à partir de quand la neutralité constitue une véritable tendance convictionnelle.</w:t>
      </w:r>
      <w:r w:rsidRPr="00E2180C">
        <w:t xml:space="preserve"> </w:t>
      </w:r>
      <w:r>
        <w:t xml:space="preserve">Par </w:t>
      </w:r>
      <w:r w:rsidRPr="00335428">
        <w:t xml:space="preserve">ailleurs, </w:t>
      </w:r>
      <w:r w:rsidRPr="00335428">
        <w:lastRenderedPageBreak/>
        <w:t xml:space="preserve">la délimitation de cette frontière emporte des enjeux véritables quant à l’ampleur du devoir de </w:t>
      </w:r>
      <w:r w:rsidRPr="00E25BFF">
        <w:rPr>
          <w:i/>
          <w:iCs/>
        </w:rPr>
        <w:t>loyauté</w:t>
      </w:r>
      <w:r w:rsidRPr="00335428">
        <w:t xml:space="preserve"> du travail</w:t>
      </w:r>
      <w:r>
        <w:t>leur</w:t>
      </w:r>
      <w:r w:rsidRPr="00335428">
        <w:t xml:space="preserve"> vis-à-vis de cette mission ou tendance d’entreprise.</w:t>
      </w:r>
    </w:p>
    <w:p w14:paraId="17AA5E0A" w14:textId="7F8424C6" w:rsidR="008C350A" w:rsidRDefault="00E2180C" w:rsidP="00A21FB4">
      <w:pPr>
        <w:rPr>
          <w:rFonts w:cs="Calibri"/>
          <w:highlight w:val="lightGray"/>
        </w:rPr>
      </w:pPr>
      <w:r>
        <w:t xml:space="preserve">En </w:t>
      </w:r>
      <w:r w:rsidRPr="00E2180C">
        <w:t xml:space="preserve">deuxième lieu, </w:t>
      </w:r>
      <w:r>
        <w:t xml:space="preserve">du point de vue de la RSE, l’invocation de la neutralité </w:t>
      </w:r>
      <w:r w:rsidRPr="00E2180C">
        <w:t>dans une perspective plus idéologique qu’instrumentale</w:t>
      </w:r>
      <w:r>
        <w:t xml:space="preserve"> pose également la question de la </w:t>
      </w:r>
      <w:r w:rsidRPr="00E25BFF">
        <w:rPr>
          <w:i/>
          <w:iCs/>
        </w:rPr>
        <w:t>démocratie interne</w:t>
      </w:r>
      <w:r w:rsidR="00435FC5">
        <w:t>. Dès le moment où la neutralité est considérée comme la</w:t>
      </w:r>
      <w:r w:rsidR="00A21FB4" w:rsidRPr="00E2180C">
        <w:t xml:space="preserve"> conviction de l’entreprise</w:t>
      </w:r>
      <w:r w:rsidR="00435FC5">
        <w:t>, i</w:t>
      </w:r>
      <w:r w:rsidR="00A21FB4" w:rsidRPr="00E2180C">
        <w:t>l s’agira</w:t>
      </w:r>
      <w:r w:rsidR="00A21FB4" w:rsidRPr="00A21FB4">
        <w:rPr>
          <w:i/>
          <w:iCs/>
        </w:rPr>
        <w:t xml:space="preserve"> </w:t>
      </w:r>
      <w:proofErr w:type="gramStart"/>
      <w:r w:rsidR="00A21FB4" w:rsidRPr="00A21FB4">
        <w:rPr>
          <w:i/>
          <w:iCs/>
        </w:rPr>
        <w:t>a</w:t>
      </w:r>
      <w:proofErr w:type="gramEnd"/>
      <w:r w:rsidR="00A21FB4" w:rsidRPr="00A21FB4">
        <w:rPr>
          <w:i/>
          <w:iCs/>
        </w:rPr>
        <w:t xml:space="preserve"> fortiori </w:t>
      </w:r>
      <w:r w:rsidR="00A21FB4" w:rsidRPr="00E2180C">
        <w:t>d’en faire un choix démocratique et représentatif, dès lors que cette conviction neutre pourrait apparaître en opposition avec les convictions individuelles de certains travailleurs</w:t>
      </w:r>
      <w:r w:rsidR="00A21FB4" w:rsidRPr="00A21FB4">
        <w:rPr>
          <w:i/>
          <w:iCs/>
        </w:rPr>
        <w:t>.</w:t>
      </w:r>
      <w:r w:rsidR="00435FC5">
        <w:rPr>
          <w:i/>
          <w:iCs/>
        </w:rPr>
        <w:t xml:space="preserve"> </w:t>
      </w:r>
      <w:r w:rsidR="00435FC5" w:rsidRPr="00435FC5">
        <w:t>L</w:t>
      </w:r>
      <w:r w:rsidR="00A21FB4" w:rsidRPr="00435FC5">
        <w:t>’obligation renforcée de loyauté du travailleur vis-à</w:t>
      </w:r>
      <w:r w:rsidR="00435FC5" w:rsidRPr="00435FC5">
        <w:t xml:space="preserve">-vis de cette tendance ou mission </w:t>
      </w:r>
      <w:r w:rsidR="00A21FB4" w:rsidRPr="00435FC5">
        <w:t xml:space="preserve">serait dans ce cas </w:t>
      </w:r>
      <w:r w:rsidR="00435FC5" w:rsidRPr="00435FC5">
        <w:t xml:space="preserve">conditionnée au fait que </w:t>
      </w:r>
      <w:r w:rsidR="00A21FB4" w:rsidRPr="00435FC5">
        <w:t xml:space="preserve">la figure de l’employeur </w:t>
      </w:r>
      <w:r w:rsidR="00E25BFF">
        <w:t>n’est</w:t>
      </w:r>
      <w:r w:rsidR="00A21FB4" w:rsidRPr="00435FC5">
        <w:t xml:space="preserve"> pas incarnée par le seul dirigeant au sommet de la hiérarchie interne, mais bien par le corps représentatif des membres – travailleurs ou non – de l’entreprise-communauté.</w:t>
      </w:r>
    </w:p>
    <w:p w14:paraId="754FD6C7" w14:textId="09ED1957" w:rsidR="008C350A" w:rsidRDefault="008C350A" w:rsidP="00750A66">
      <w:pPr>
        <w:pStyle w:val="Titre1"/>
        <w:numPr>
          <w:ilvl w:val="0"/>
          <w:numId w:val="0"/>
        </w:numPr>
      </w:pPr>
      <w:r>
        <w:t>Conclusion</w:t>
      </w:r>
    </w:p>
    <w:p w14:paraId="2AE22630" w14:textId="41665517" w:rsidR="00BF3967" w:rsidRPr="00D94C6C" w:rsidRDefault="00D94C6C" w:rsidP="00BF3967">
      <w:r w:rsidRPr="00D94C6C">
        <w:t xml:space="preserve">Deux questions transversales méritent </w:t>
      </w:r>
      <w:r>
        <w:t xml:space="preserve">enfin </w:t>
      </w:r>
      <w:r w:rsidRPr="00D94C6C">
        <w:t>d’être soulevées au sujet de l’invocation de la</w:t>
      </w:r>
      <w:r w:rsidR="00BF3967" w:rsidRPr="00D94C6C">
        <w:t xml:space="preserve"> neutralité au sein de l’entreprise privée et </w:t>
      </w:r>
      <w:r>
        <w:t>des</w:t>
      </w:r>
      <w:r w:rsidR="00BF3967" w:rsidRPr="00D94C6C">
        <w:t xml:space="preserve"> enjeux qu’elle soulève du point de vue de la RSE.</w:t>
      </w:r>
    </w:p>
    <w:p w14:paraId="7C97E9E0" w14:textId="7ACA3FE1" w:rsidR="007C4A8A" w:rsidRDefault="00D94C6C" w:rsidP="009A1EAF">
      <w:r>
        <w:t xml:space="preserve">Premièrement, dans une perspective </w:t>
      </w:r>
      <w:r w:rsidRPr="009A1EAF">
        <w:rPr>
          <w:i/>
          <w:iCs/>
        </w:rPr>
        <w:t>instrumentale</w:t>
      </w:r>
      <w:r w:rsidR="00F72505">
        <w:t xml:space="preserve">, </w:t>
      </w:r>
      <w:r>
        <w:t xml:space="preserve">l’on peut s’interroger sur la place de </w:t>
      </w:r>
      <w:r w:rsidRPr="009A1EAF">
        <w:rPr>
          <w:i/>
          <w:iCs/>
        </w:rPr>
        <w:t>l’argument d’ordre économique</w:t>
      </w:r>
      <w:r w:rsidR="009A1EAF">
        <w:t xml:space="preserve"> en tant que justification d’une politique de neutralité qui viendrait restreindre les expressions religieuses des travailleurs. De même que l’on peut </w:t>
      </w:r>
      <w:r w:rsidR="00613618">
        <w:t>questionner</w:t>
      </w:r>
      <w:r w:rsidR="009A1EAF">
        <w:t xml:space="preserve"> la pertinence d’une RSE poursuivie </w:t>
      </w:r>
      <w:r w:rsidR="009A1EAF" w:rsidRPr="009A1EAF">
        <w:t>dans une logique de rentabilité, dans quelle mesure faut-il accepter</w:t>
      </w:r>
      <w:r w:rsidR="009A1EAF">
        <w:t xml:space="preserve"> – ou</w:t>
      </w:r>
      <w:r w:rsidR="009A1EAF">
        <w:rPr>
          <w:i/>
          <w:iCs/>
        </w:rPr>
        <w:t xml:space="preserve"> </w:t>
      </w:r>
      <w:r w:rsidR="009A1EAF" w:rsidRPr="009A1EAF">
        <w:t>exiger</w:t>
      </w:r>
      <w:r w:rsidR="009A1EAF">
        <w:t xml:space="preserve"> – </w:t>
      </w:r>
      <w:r w:rsidR="009A1EAF" w:rsidRPr="009A1EAF">
        <w:t>que l’employeur apporte la preuve de l’impact néfaste des expressions religieuses de ses employés sur son chiffre d’affaire</w:t>
      </w:r>
      <w:r w:rsidR="009A1EAF">
        <w:t xml:space="preserve"> pour justifier le recours à la neutralité</w:t>
      </w:r>
      <w:r w:rsidR="009A1EAF" w:rsidRPr="009A1EAF">
        <w:t xml:space="preserve"> ?</w:t>
      </w:r>
      <w:r w:rsidR="007C4A8A">
        <w:t xml:space="preserve"> Si l’on connaît l’interdiction </w:t>
      </w:r>
      <w:r w:rsidR="00613618">
        <w:t>de l’</w:t>
      </w:r>
      <w:r w:rsidR="007C4A8A">
        <w:t>intégration des injonctions discriminatoires de la clientèle, moins évidente est la réponse à l’argument du bon fonctionnement de l’entreprise.</w:t>
      </w:r>
    </w:p>
    <w:p w14:paraId="3D5DB9B9" w14:textId="45CDCB22" w:rsidR="00F72505" w:rsidRDefault="007C4A8A" w:rsidP="006A1593">
      <w:r>
        <w:t>Par ailleurs, l’invocation idéologique de la neutralité nous amène à nous interroger plus fondamentalement sur la po</w:t>
      </w:r>
      <w:r w:rsidR="00F72505">
        <w:t>ssibilité</w:t>
      </w:r>
      <w:r>
        <w:t>,</w:t>
      </w:r>
      <w:r w:rsidR="00F72505">
        <w:t xml:space="preserve"> pour une </w:t>
      </w:r>
      <w:r w:rsidR="00F72505" w:rsidRPr="00613618">
        <w:rPr>
          <w:i/>
          <w:iCs/>
        </w:rPr>
        <w:t>entreprise</w:t>
      </w:r>
      <w:r>
        <w:rPr>
          <w:b/>
          <w:bCs/>
        </w:rPr>
        <w:t>,</w:t>
      </w:r>
      <w:r w:rsidR="00F72505">
        <w:t xml:space="preserve"> de revendiquer elle-même le fait d’être </w:t>
      </w:r>
      <w:r w:rsidR="00F72505" w:rsidRPr="00613618">
        <w:rPr>
          <w:i/>
          <w:iCs/>
        </w:rPr>
        <w:t>titulaire de convictions</w:t>
      </w:r>
      <w:r w:rsidR="00F72505">
        <w:t xml:space="preserve"> religieuses ou philosophiques</w:t>
      </w:r>
      <w:r w:rsidR="000F446A">
        <w:t xml:space="preserve"> : entre l’entreprise commerciale ordinaire et </w:t>
      </w:r>
      <w:r w:rsidR="000F446A">
        <w:lastRenderedPageBreak/>
        <w:t xml:space="preserve">l’organisation religieuse, en passant par l’entreprise à mission et </w:t>
      </w:r>
      <w:r w:rsidR="000F446A" w:rsidRPr="000F446A">
        <w:t>l</w:t>
      </w:r>
      <w:r w:rsidR="00F72505" w:rsidRPr="000F446A">
        <w:t xml:space="preserve">’entreprise de tendance, </w:t>
      </w:r>
      <w:r w:rsidR="000F446A">
        <w:t xml:space="preserve">les nuances de religiosité </w:t>
      </w:r>
      <w:r w:rsidR="00613618">
        <w:t>deviennent</w:t>
      </w:r>
      <w:r w:rsidR="000F446A">
        <w:t xml:space="preserve"> en effet nombreuses et subtiles.</w:t>
      </w:r>
    </w:p>
    <w:p w14:paraId="2E84DA58" w14:textId="3034DE7A" w:rsidR="00757BB9" w:rsidRDefault="007C034D" w:rsidP="00757BB9">
      <w:pPr>
        <w:tabs>
          <w:tab w:val="num" w:pos="2880"/>
        </w:tabs>
      </w:pPr>
      <w:r w:rsidRPr="00905B86">
        <w:t>Ce</w:t>
      </w:r>
      <w:r w:rsidR="008A79E8" w:rsidRPr="00905B86">
        <w:t>s deux enjeux nous amènent à conclure sur</w:t>
      </w:r>
      <w:r w:rsidR="008A79E8" w:rsidRPr="000F446A">
        <w:t xml:space="preserve"> la nécessité</w:t>
      </w:r>
      <w:r w:rsidR="000F446A" w:rsidRPr="000F446A">
        <w:t xml:space="preserve">, pour une entreprise </w:t>
      </w:r>
      <w:r w:rsidR="00613618">
        <w:t>posant</w:t>
      </w:r>
      <w:r w:rsidR="000F446A" w:rsidRPr="000F446A">
        <w:t xml:space="preserve"> le choix de la neutralité,</w:t>
      </w:r>
      <w:r w:rsidR="008A79E8" w:rsidRPr="000F446A">
        <w:t xml:space="preserve"> </w:t>
      </w:r>
      <w:r w:rsidR="000F446A" w:rsidRPr="000F446A">
        <w:t>de faire de cette neutralité</w:t>
      </w:r>
      <w:r w:rsidR="008A79E8" w:rsidRPr="000F446A">
        <w:t xml:space="preserve"> le fruit de la volonté de </w:t>
      </w:r>
      <w:r w:rsidR="008A79E8" w:rsidRPr="00905B86">
        <w:t>l’ensemble</w:t>
      </w:r>
      <w:r w:rsidR="008A79E8" w:rsidRPr="000F446A">
        <w:t xml:space="preserve"> des parties prenantes, en particulier des travailleurs</w:t>
      </w:r>
      <w:r w:rsidR="00905B86">
        <w:t xml:space="preserve">. Cette nécessaire démocratisation </w:t>
      </w:r>
      <w:r w:rsidR="000B0F31">
        <w:t>de la neutralité d’entreprise</w:t>
      </w:r>
      <w:r w:rsidR="00905B86">
        <w:t xml:space="preserve"> se présente avec acuité dans l’hypothèse où </w:t>
      </w:r>
      <w:r w:rsidR="000B0F31">
        <w:t>cette neutralité</w:t>
      </w:r>
      <w:r w:rsidR="00905B86">
        <w:t xml:space="preserve"> </w:t>
      </w:r>
      <w:r w:rsidR="00905B86" w:rsidRPr="000B0F31">
        <w:t xml:space="preserve">emporte </w:t>
      </w:r>
      <w:r w:rsidR="008A79E8" w:rsidRPr="000B0F31">
        <w:t>des effets restrictifs sur les expressions religieuses</w:t>
      </w:r>
      <w:r w:rsidR="00905B86" w:rsidRPr="000B0F31">
        <w:t xml:space="preserve"> des travailleurs, ou lorsqu</w:t>
      </w:r>
      <w:r w:rsidR="000B0F31" w:rsidRPr="000B0F31">
        <w:t>’elle</w:t>
      </w:r>
      <w:r w:rsidR="008A79E8" w:rsidRPr="000B0F31">
        <w:t xml:space="preserve"> est invoquée </w:t>
      </w:r>
      <w:r w:rsidR="00905B86" w:rsidRPr="000B0F31">
        <w:t xml:space="preserve">dans une perspective </w:t>
      </w:r>
      <w:r w:rsidR="008A79E8" w:rsidRPr="000B0F31">
        <w:t>idéologique</w:t>
      </w:r>
      <w:r w:rsidR="00905B86" w:rsidRPr="000B0F31">
        <w:t>.</w:t>
      </w:r>
      <w:r w:rsidR="00757BB9">
        <w:br w:type="page"/>
      </w:r>
    </w:p>
    <w:p w14:paraId="53D9F1DE" w14:textId="77777777" w:rsidR="00757BB9" w:rsidRPr="00CE7EC7" w:rsidRDefault="00757BB9" w:rsidP="00757BB9">
      <w:pPr>
        <w:widowControl w:val="0"/>
        <w:pBdr>
          <w:top w:val="single" w:sz="4" w:space="1" w:color="auto"/>
          <w:left w:val="single" w:sz="4" w:space="4" w:color="auto"/>
          <w:bottom w:val="single" w:sz="4" w:space="1" w:color="auto"/>
          <w:right w:val="single" w:sz="4" w:space="4" w:color="auto"/>
        </w:pBdr>
        <w:spacing w:before="0" w:after="120"/>
        <w:jc w:val="center"/>
        <w:rPr>
          <w:rFonts w:eastAsiaTheme="minorHAnsi"/>
          <w:szCs w:val="24"/>
          <w:u w:val="single"/>
        </w:rPr>
      </w:pPr>
      <w:r w:rsidRPr="00CE7EC7">
        <w:rPr>
          <w:rFonts w:eastAsiaTheme="minorHAnsi"/>
          <w:szCs w:val="24"/>
          <w:u w:val="single"/>
        </w:rPr>
        <w:lastRenderedPageBreak/>
        <w:t>Contribution aux actes du colloque « Entreprise, RSE et religion »</w:t>
      </w:r>
    </w:p>
    <w:p w14:paraId="6B20ABC9" w14:textId="77777777" w:rsidR="00757BB9" w:rsidRPr="00CE7EC7" w:rsidRDefault="00757BB9" w:rsidP="00757BB9">
      <w:pPr>
        <w:widowControl w:val="0"/>
        <w:pBdr>
          <w:top w:val="single" w:sz="4" w:space="1" w:color="auto"/>
          <w:left w:val="single" w:sz="4" w:space="4" w:color="auto"/>
          <w:bottom w:val="single" w:sz="4" w:space="1" w:color="auto"/>
          <w:right w:val="single" w:sz="4" w:space="4" w:color="auto"/>
        </w:pBdr>
        <w:spacing w:before="0" w:after="120"/>
        <w:jc w:val="center"/>
        <w:rPr>
          <w:rFonts w:eastAsiaTheme="minorHAnsi"/>
          <w:i/>
          <w:szCs w:val="24"/>
        </w:rPr>
      </w:pPr>
      <w:r w:rsidRPr="00CE7EC7">
        <w:rPr>
          <w:rFonts w:eastAsiaTheme="minorHAnsi"/>
          <w:i/>
          <w:szCs w:val="24"/>
        </w:rPr>
        <w:t xml:space="preserve">Léopold </w:t>
      </w:r>
      <w:r w:rsidRPr="00CE7EC7">
        <w:rPr>
          <w:rFonts w:eastAsiaTheme="minorHAnsi"/>
          <w:i/>
          <w:smallCaps/>
          <w:szCs w:val="24"/>
        </w:rPr>
        <w:t>Vanbellingen</w:t>
      </w:r>
    </w:p>
    <w:p w14:paraId="5F6B2B90" w14:textId="77777777" w:rsidR="00757BB9" w:rsidRPr="00CE7EC7" w:rsidRDefault="00757BB9" w:rsidP="00757BB9">
      <w:pPr>
        <w:widowControl w:val="0"/>
        <w:pBdr>
          <w:top w:val="single" w:sz="4" w:space="1" w:color="auto"/>
          <w:left w:val="single" w:sz="4" w:space="4" w:color="auto"/>
          <w:bottom w:val="single" w:sz="4" w:space="1" w:color="auto"/>
          <w:right w:val="single" w:sz="4" w:space="4" w:color="auto"/>
        </w:pBdr>
        <w:spacing w:before="0" w:after="200"/>
        <w:jc w:val="center"/>
        <w:rPr>
          <w:rFonts w:eastAsiaTheme="minorHAnsi"/>
          <w:b/>
          <w:szCs w:val="24"/>
        </w:rPr>
      </w:pPr>
      <w:r w:rsidRPr="00CE7EC7">
        <w:rPr>
          <w:rFonts w:eastAsiaTheme="minorHAnsi"/>
          <w:b/>
          <w:szCs w:val="24"/>
        </w:rPr>
        <w:t>L’entreprise neutre face à ses responsabilités vis-à-vis de la religion</w:t>
      </w:r>
    </w:p>
    <w:p w14:paraId="2D7322BB" w14:textId="77777777" w:rsidR="00757BB9" w:rsidRPr="00785A3E" w:rsidRDefault="00757BB9" w:rsidP="00757BB9">
      <w:pPr>
        <w:rPr>
          <w:szCs w:val="24"/>
        </w:rPr>
      </w:pPr>
      <w:r w:rsidRPr="00785A3E">
        <w:rPr>
          <w:i/>
          <w:iCs/>
          <w:szCs w:val="24"/>
          <w:u w:val="single"/>
        </w:rPr>
        <w:t>Résumé</w:t>
      </w:r>
    </w:p>
    <w:p w14:paraId="35083D98" w14:textId="77777777" w:rsidR="00757BB9" w:rsidRDefault="00757BB9" w:rsidP="00757BB9">
      <w:pPr>
        <w:rPr>
          <w:sz w:val="20"/>
          <w:szCs w:val="20"/>
        </w:rPr>
      </w:pPr>
      <w:r w:rsidRPr="00785A3E">
        <w:rPr>
          <w:sz w:val="20"/>
          <w:szCs w:val="20"/>
        </w:rPr>
        <w:t>La responsabilité de l’entreprise vis-à-vis de la religion s’est vue réinterrogée ces dernières années à la faveur d’une tendance inédite</w:t>
      </w:r>
      <w:r>
        <w:rPr>
          <w:sz w:val="20"/>
          <w:szCs w:val="20"/>
        </w:rPr>
        <w:t xml:space="preserve">, relative à </w:t>
      </w:r>
      <w:r w:rsidRPr="00785A3E">
        <w:rPr>
          <w:sz w:val="20"/>
          <w:szCs w:val="20"/>
        </w:rPr>
        <w:t>l’invocation d</w:t>
      </w:r>
      <w:r>
        <w:rPr>
          <w:sz w:val="20"/>
          <w:szCs w:val="20"/>
        </w:rPr>
        <w:t>e la</w:t>
      </w:r>
      <w:r w:rsidRPr="00785A3E">
        <w:rPr>
          <w:sz w:val="20"/>
          <w:szCs w:val="20"/>
        </w:rPr>
        <w:t xml:space="preserve"> neutralité</w:t>
      </w:r>
      <w:r>
        <w:rPr>
          <w:sz w:val="20"/>
          <w:szCs w:val="20"/>
        </w:rPr>
        <w:t xml:space="preserve">, </w:t>
      </w:r>
      <w:r w:rsidRPr="00785A3E">
        <w:rPr>
          <w:sz w:val="20"/>
          <w:szCs w:val="20"/>
        </w:rPr>
        <w:t>en Belgique et en France, en tant que politique de gestion du fait religieux sur le lieu de travail.</w:t>
      </w:r>
      <w:r>
        <w:rPr>
          <w:sz w:val="20"/>
          <w:szCs w:val="20"/>
        </w:rPr>
        <w:t xml:space="preserve"> </w:t>
      </w:r>
      <w:r w:rsidRPr="00785A3E">
        <w:rPr>
          <w:sz w:val="20"/>
          <w:szCs w:val="20"/>
        </w:rPr>
        <w:t>Cette neutralité</w:t>
      </w:r>
      <w:r>
        <w:rPr>
          <w:sz w:val="20"/>
          <w:szCs w:val="20"/>
        </w:rPr>
        <w:t xml:space="preserve"> d’entreprise</w:t>
      </w:r>
      <w:r w:rsidRPr="00785A3E">
        <w:rPr>
          <w:sz w:val="20"/>
          <w:szCs w:val="20"/>
        </w:rPr>
        <w:t xml:space="preserve"> entre potentiellement en tension avec </w:t>
      </w:r>
      <w:r>
        <w:rPr>
          <w:sz w:val="20"/>
          <w:szCs w:val="20"/>
        </w:rPr>
        <w:t>l</w:t>
      </w:r>
      <w:r w:rsidRPr="00785A3E">
        <w:rPr>
          <w:sz w:val="20"/>
          <w:szCs w:val="20"/>
        </w:rPr>
        <w:t xml:space="preserve">a responsabilité </w:t>
      </w:r>
      <w:r>
        <w:rPr>
          <w:sz w:val="20"/>
          <w:szCs w:val="20"/>
        </w:rPr>
        <w:t xml:space="preserve">de cette dernière </w:t>
      </w:r>
      <w:r w:rsidRPr="00785A3E">
        <w:rPr>
          <w:sz w:val="20"/>
          <w:szCs w:val="20"/>
        </w:rPr>
        <w:t xml:space="preserve">du point de vue du respect des principes de liberté de religion et de non-discrimination. </w:t>
      </w:r>
    </w:p>
    <w:p w14:paraId="182FCC02" w14:textId="35EDBA91" w:rsidR="00757BB9" w:rsidRPr="00785A3E" w:rsidRDefault="00757BB9" w:rsidP="00757BB9">
      <w:pPr>
        <w:rPr>
          <w:sz w:val="20"/>
          <w:szCs w:val="20"/>
        </w:rPr>
      </w:pPr>
      <w:r w:rsidRPr="00785A3E">
        <w:rPr>
          <w:sz w:val="20"/>
          <w:szCs w:val="20"/>
        </w:rPr>
        <w:t xml:space="preserve">Pour répondre à </w:t>
      </w:r>
      <w:r w:rsidR="0031742E">
        <w:rPr>
          <w:sz w:val="20"/>
          <w:szCs w:val="20"/>
        </w:rPr>
        <w:t>la</w:t>
      </w:r>
      <w:r w:rsidRPr="00785A3E">
        <w:rPr>
          <w:sz w:val="20"/>
          <w:szCs w:val="20"/>
        </w:rPr>
        <w:t xml:space="preserve"> question de la compatibilité entre RSE et neutralité de l’entreprise,</w:t>
      </w:r>
      <w:r>
        <w:rPr>
          <w:sz w:val="20"/>
          <w:szCs w:val="20"/>
        </w:rPr>
        <w:t xml:space="preserve"> il convient</w:t>
      </w:r>
      <w:r w:rsidRPr="00785A3E">
        <w:rPr>
          <w:sz w:val="20"/>
          <w:szCs w:val="20"/>
        </w:rPr>
        <w:t xml:space="preserve"> d’interroger</w:t>
      </w:r>
      <w:r>
        <w:rPr>
          <w:sz w:val="20"/>
          <w:szCs w:val="20"/>
        </w:rPr>
        <w:t xml:space="preserve"> l</w:t>
      </w:r>
      <w:r w:rsidRPr="00785A3E">
        <w:rPr>
          <w:sz w:val="20"/>
          <w:szCs w:val="20"/>
        </w:rPr>
        <w:t>es acceptions possibles de la notion de neutralité telle qu’invoquée dans le cadre de l’entreprise privée</w:t>
      </w:r>
      <w:r>
        <w:rPr>
          <w:sz w:val="20"/>
          <w:szCs w:val="20"/>
        </w:rPr>
        <w:t>. Une catégorisation à double variable est ici proposée. Premièrement, l</w:t>
      </w:r>
      <w:r w:rsidRPr="00785A3E">
        <w:rPr>
          <w:sz w:val="20"/>
          <w:szCs w:val="20"/>
        </w:rPr>
        <w:t xml:space="preserve">a neutralité consiste-t-elle davantage en une méthode instrumentale de gestion des relations de travail, ou à l’inverse en un choix idéologique – voire politique – revendiqué par l’entreprise ? </w:t>
      </w:r>
      <w:r>
        <w:rPr>
          <w:sz w:val="20"/>
          <w:szCs w:val="20"/>
        </w:rPr>
        <w:t>Deuxièmement</w:t>
      </w:r>
      <w:r w:rsidRPr="00022E5C">
        <w:rPr>
          <w:sz w:val="20"/>
          <w:szCs w:val="20"/>
        </w:rPr>
        <w:t>, l’objectif poursuivi par l’invocation de cette neutralité est-il plutôt interne (bon fonctionnement de l’entreprise) ou externe (image de marque) ?</w:t>
      </w:r>
    </w:p>
    <w:p w14:paraId="7CB22FC1" w14:textId="77777777" w:rsidR="00757BB9" w:rsidRPr="00785A3E" w:rsidRDefault="00757BB9" w:rsidP="00757BB9">
      <w:pPr>
        <w:rPr>
          <w:sz w:val="20"/>
          <w:szCs w:val="20"/>
        </w:rPr>
      </w:pPr>
      <w:r w:rsidRPr="00785A3E">
        <w:rPr>
          <w:sz w:val="20"/>
          <w:szCs w:val="20"/>
        </w:rPr>
        <w:t>Nous verrons que le croisement de ces deux critères opère des effets tangibles du point de vue de la manière dont peut être envisagée la RSE de l’entreprise neutre à l’égard de la religion.</w:t>
      </w:r>
    </w:p>
    <w:p w14:paraId="5ADF06CF" w14:textId="77777777" w:rsidR="00757BB9" w:rsidRPr="00785A3E" w:rsidRDefault="00757BB9" w:rsidP="00757BB9">
      <w:pPr>
        <w:rPr>
          <w:i/>
          <w:iCs/>
          <w:szCs w:val="24"/>
          <w:u w:val="single"/>
        </w:rPr>
      </w:pPr>
      <w:r w:rsidRPr="00785A3E">
        <w:rPr>
          <w:i/>
          <w:iCs/>
          <w:szCs w:val="24"/>
          <w:u w:val="single"/>
        </w:rPr>
        <w:t>Biographie</w:t>
      </w:r>
    </w:p>
    <w:p w14:paraId="000BE02A" w14:textId="47D83E59" w:rsidR="00DA33C7" w:rsidRPr="00757BB9" w:rsidRDefault="00757BB9" w:rsidP="00757BB9">
      <w:r w:rsidRPr="00785A3E">
        <w:rPr>
          <w:sz w:val="20"/>
          <w:szCs w:val="20"/>
        </w:rPr>
        <w:t xml:space="preserve">Léopold Vanbellingen est chercheur doctorant à la Chaire de droit des religions, au sein de l’Institut </w:t>
      </w:r>
      <w:proofErr w:type="spellStart"/>
      <w:r w:rsidRPr="00785A3E">
        <w:rPr>
          <w:sz w:val="20"/>
          <w:szCs w:val="20"/>
        </w:rPr>
        <w:t>RSCS</w:t>
      </w:r>
      <w:proofErr w:type="spellEnd"/>
      <w:r w:rsidRPr="00785A3E">
        <w:rPr>
          <w:sz w:val="20"/>
          <w:szCs w:val="20"/>
        </w:rPr>
        <w:t xml:space="preserve"> de l’</w:t>
      </w:r>
      <w:proofErr w:type="spellStart"/>
      <w:r w:rsidRPr="00785A3E">
        <w:rPr>
          <w:sz w:val="20"/>
          <w:szCs w:val="20"/>
        </w:rPr>
        <w:t>UCLouvain</w:t>
      </w:r>
      <w:proofErr w:type="spellEnd"/>
      <w:r w:rsidRPr="00785A3E">
        <w:rPr>
          <w:sz w:val="20"/>
          <w:szCs w:val="20"/>
        </w:rPr>
        <w:t xml:space="preserve">. Son projet de thèse, réalisé sous la promotion du Pr. </w:t>
      </w:r>
      <w:proofErr w:type="spellStart"/>
      <w:r w:rsidRPr="00785A3E">
        <w:rPr>
          <w:sz w:val="20"/>
          <w:szCs w:val="20"/>
        </w:rPr>
        <w:t>Christians</w:t>
      </w:r>
      <w:proofErr w:type="spellEnd"/>
      <w:r w:rsidRPr="00785A3E">
        <w:rPr>
          <w:sz w:val="20"/>
          <w:szCs w:val="20"/>
        </w:rPr>
        <w:t xml:space="preserve">, porte sur la gestion du fait religieux dans l’entreprise privée. Il se penche en particulier sur le recours à la notion de neutralité par certains employeurs et sur la compatibilité de cette neutralité avec le droit européen de la liberté de religion et de la non-discrimination. En tant que membre de la Chaire de droit des religions, Léopold Vanbellingen contribue également aux activités de cette dernière sur les thématiques en lien avec les relations Eglises-Etat et l’expression des convictions dans l’espace public. Son mémoire de master, réalisé en 2013, porte sur l’accommodement raisonnable de la religion dans le secteur public au Canada et en Belgique (Prix </w:t>
      </w:r>
      <w:proofErr w:type="spellStart"/>
      <w:r w:rsidRPr="00785A3E">
        <w:rPr>
          <w:sz w:val="20"/>
          <w:szCs w:val="20"/>
        </w:rPr>
        <w:t>Ullens</w:t>
      </w:r>
      <w:proofErr w:type="spellEnd"/>
      <w:r w:rsidRPr="00785A3E">
        <w:rPr>
          <w:sz w:val="20"/>
          <w:szCs w:val="20"/>
        </w:rPr>
        <w:t xml:space="preserve"> 2014 de la Fondation Roi Baudouin).</w:t>
      </w:r>
    </w:p>
    <w:sectPr w:rsidR="00DA33C7" w:rsidRPr="00757BB9" w:rsidSect="00CE7EC7">
      <w:headerReference w:type="default" r:id="rId8"/>
      <w:headerReference w:type="first" r:id="rId9"/>
      <w:pgSz w:w="9072" w:h="13608" w:code="9"/>
      <w:pgMar w:top="1531" w:right="1276" w:bottom="1928" w:left="1276" w:header="568" w:footer="561"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40AD04" w14:textId="77777777" w:rsidR="0052224E" w:rsidRDefault="0052224E" w:rsidP="00BC6838">
      <w:r>
        <w:separator/>
      </w:r>
    </w:p>
  </w:endnote>
  <w:endnote w:type="continuationSeparator" w:id="0">
    <w:p w14:paraId="22E5179C" w14:textId="77777777" w:rsidR="0052224E" w:rsidRDefault="0052224E" w:rsidP="00BC68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LTStd-Roman">
    <w:altName w:val="Yu Gothic"/>
    <w:panose1 w:val="00000000000000000000"/>
    <w:charset w:val="00"/>
    <w:family w:val="auto"/>
    <w:notTrueType/>
    <w:pitch w:val="default"/>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4BE8EB" w14:textId="77777777" w:rsidR="0052224E" w:rsidRDefault="0052224E" w:rsidP="00BC6838">
      <w:r>
        <w:separator/>
      </w:r>
    </w:p>
  </w:footnote>
  <w:footnote w:type="continuationSeparator" w:id="0">
    <w:p w14:paraId="72E667C9" w14:textId="77777777" w:rsidR="0052224E" w:rsidRDefault="0052224E" w:rsidP="00BC6838">
      <w:r>
        <w:continuationSeparator/>
      </w:r>
    </w:p>
  </w:footnote>
  <w:footnote w:id="1">
    <w:p w14:paraId="1FC48828" w14:textId="2C4A8C52" w:rsidR="0067182F" w:rsidRPr="00016D32" w:rsidRDefault="0067182F">
      <w:pPr>
        <w:pStyle w:val="Notedebasdepage"/>
        <w:rPr>
          <w:szCs w:val="17"/>
        </w:rPr>
      </w:pPr>
      <w:r w:rsidRPr="00016D32">
        <w:rPr>
          <w:rStyle w:val="Appelnotedebasdep"/>
          <w:szCs w:val="17"/>
        </w:rPr>
        <w:footnoteRef/>
      </w:r>
      <w:r w:rsidRPr="00016D32">
        <w:rPr>
          <w:szCs w:val="17"/>
        </w:rPr>
        <w:t xml:space="preserve"> Cette recherche s’inscrit dans le cadre plus large d’une recherche doctorale en droit, portant sur l’analyse de l’invocation de la neutralité par l’entreprise privée au regard du droit européen, et pour laquelle une place importante est accordée à la théorie de l’entreprise, d’un point de vue interdisciplinaire.</w:t>
      </w:r>
    </w:p>
  </w:footnote>
  <w:footnote w:id="2">
    <w:p w14:paraId="2E77FDC9" w14:textId="7EB96E23" w:rsidR="0067182F" w:rsidRPr="00016D32" w:rsidRDefault="0067182F" w:rsidP="001A68F1">
      <w:pPr>
        <w:pStyle w:val="Notedebasdepage"/>
        <w:rPr>
          <w:szCs w:val="17"/>
        </w:rPr>
      </w:pPr>
      <w:r w:rsidRPr="00016D32">
        <w:rPr>
          <w:rStyle w:val="Appelnotedebasdep"/>
          <w:szCs w:val="17"/>
        </w:rPr>
        <w:footnoteRef/>
      </w:r>
      <w:r w:rsidRPr="00016D32">
        <w:rPr>
          <w:szCs w:val="17"/>
        </w:rPr>
        <w:t xml:space="preserve"> Sur la définition de la </w:t>
      </w:r>
      <w:proofErr w:type="spellStart"/>
      <w:r w:rsidRPr="00016D32">
        <w:rPr>
          <w:szCs w:val="17"/>
        </w:rPr>
        <w:t>RSE</w:t>
      </w:r>
      <w:proofErr w:type="spellEnd"/>
      <w:r w:rsidRPr="00016D32">
        <w:rPr>
          <w:szCs w:val="17"/>
        </w:rPr>
        <w:t xml:space="preserve">, </w:t>
      </w:r>
      <w:proofErr w:type="spellStart"/>
      <w:r w:rsidRPr="00016D32">
        <w:rPr>
          <w:szCs w:val="17"/>
        </w:rPr>
        <w:t>voy</w:t>
      </w:r>
      <w:proofErr w:type="spellEnd"/>
      <w:r w:rsidRPr="00016D32">
        <w:rPr>
          <w:szCs w:val="17"/>
        </w:rPr>
        <w:t>. en particulier la norme ISO 26000 sur la « responsabilité sociétale » des entreprises et organisations : « responsabilité d’une organisation vis-à-vis  des  impacts  de  ses décisions et  de ses activités sur la société et sur l’environnement, se traduisant par un comportement transparent et éthique qui : contribue au développement durable, y compris à la santé et au bien-être de la société ; prend en compte les attentes des parties prenantes ; respecte les lois en vigueur et est compatible avec les normes internationales ; et est intégré dans l’ensemble de l’organisation et mis en œuvre dans ses relations »</w:t>
      </w:r>
      <w:r w:rsidR="004A7587">
        <w:rPr>
          <w:szCs w:val="17"/>
        </w:rPr>
        <w:t>.</w:t>
      </w:r>
    </w:p>
  </w:footnote>
  <w:footnote w:id="3">
    <w:p w14:paraId="3194D60D" w14:textId="339A13B9" w:rsidR="0067182F" w:rsidRPr="00016D32" w:rsidRDefault="0067182F" w:rsidP="006032EA">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{"citationID":"oaYYIozn","properties":{"formattedCitation":"S. {\\scaps Chassagnard-Pinet} et G. {\\scaps Delalieux}, \\uc0\\u171{}\\uc0\\u160{}La privatisation des normes de l\\uc0\\u8217{}entreprise\\uc0\\u8239{}: codes de conduite, chartes priv\\uc0\\u233{}es, m\\uc0\\u233{}canismes et certification sociale et environnementale\\uc0\\u160{}\\uc0\\u187{}, {\\i{}Journal europ\\uc0\\u233{}en des droits de l\\uc0\\u8217{}homme}, 2013, n\\uc0\\u176{} 1, pp. 83\\uc0\\u8209{}100.","plainCitation":"S. Chassagnard-Pinet et G. Delalieux, « La privatisation des normes de l’entreprise : codes de conduite, chartes privées, mécanismes et certification sociale et environnementale », Journal européen des droits de l’homme, 2013, n° 1, pp. 83‑100.","noteIndex":3},"citationItems":[{"id":1351,"uris":["http://zotero.org/users/5133869/items/QPIT9X8Z"],"uri":["http://zotero.org/users/5133869/items/QPIT9X8Z"],"itemData":{"id":1351,"type":"article-journal","container-title":"Journal européen des droits de l'homme","issue":"1","page":"83-100","title":"La privatisation des normes de l’entreprise : codes de conduite, chartes privées, mécanismes et certification sociale et environnementale","author":[{"family":"Chassagnard-Pinet","given":"S"},{"family":"Delalieux","given":"G"}],"issued":{"date-parts":[["2013"]]}}}],"schema":"https://github.com/citation-style-language/schema/raw/master/csl-citation.json"} </w:instrText>
      </w:r>
      <w:r w:rsidRPr="00016D32">
        <w:rPr>
          <w:szCs w:val="17"/>
        </w:rPr>
        <w:fldChar w:fldCharType="separate"/>
      </w:r>
      <w:r w:rsidR="001F0A79" w:rsidRPr="00016D32">
        <w:rPr>
          <w:szCs w:val="17"/>
        </w:rPr>
        <w:t xml:space="preserve">S. </w:t>
      </w:r>
      <w:r w:rsidR="001F0A79" w:rsidRPr="00016D32">
        <w:rPr>
          <w:smallCaps/>
          <w:szCs w:val="17"/>
        </w:rPr>
        <w:t>Chassagnard-Pinet</w:t>
      </w:r>
      <w:r w:rsidR="001F0A79" w:rsidRPr="00016D32">
        <w:rPr>
          <w:szCs w:val="17"/>
        </w:rPr>
        <w:t xml:space="preserve"> et G. </w:t>
      </w:r>
      <w:r w:rsidR="001F0A79" w:rsidRPr="00016D32">
        <w:rPr>
          <w:smallCaps/>
          <w:szCs w:val="17"/>
        </w:rPr>
        <w:t>Delalieux</w:t>
      </w:r>
      <w:r w:rsidR="001F0A79" w:rsidRPr="00016D32">
        <w:rPr>
          <w:szCs w:val="17"/>
        </w:rPr>
        <w:t xml:space="preserve">, « La privatisation des normes de l’entreprise : codes de conduite, chartes privées, mécanismes et certification sociale et environnementale », </w:t>
      </w:r>
      <w:r w:rsidR="001F0A79" w:rsidRPr="00016D32">
        <w:rPr>
          <w:i/>
          <w:iCs/>
          <w:szCs w:val="17"/>
        </w:rPr>
        <w:t>Journal européen des droits de l’homme</w:t>
      </w:r>
      <w:r w:rsidR="001F0A79" w:rsidRPr="00016D32">
        <w:rPr>
          <w:szCs w:val="17"/>
        </w:rPr>
        <w:t>, 2013, n° 1, pp. 83‑100.</w:t>
      </w:r>
      <w:r w:rsidRPr="00016D32">
        <w:rPr>
          <w:szCs w:val="17"/>
        </w:rPr>
        <w:fldChar w:fldCharType="end"/>
      </w:r>
      <w:r w:rsidRPr="00016D32">
        <w:rPr>
          <w:szCs w:val="17"/>
        </w:rPr>
        <w:t xml:space="preserve"> </w:t>
      </w:r>
      <w:proofErr w:type="spellStart"/>
      <w:r w:rsidRPr="00016D32">
        <w:rPr>
          <w:szCs w:val="17"/>
        </w:rPr>
        <w:t>Voy</w:t>
      </w:r>
      <w:proofErr w:type="spellEnd"/>
      <w:r w:rsidRPr="00016D32">
        <w:rPr>
          <w:szCs w:val="17"/>
        </w:rPr>
        <w:t xml:space="preserve">. aussi </w:t>
      </w:r>
      <w:r w:rsidRPr="00016D32">
        <w:rPr>
          <w:szCs w:val="17"/>
        </w:rPr>
        <w:fldChar w:fldCharType="begin"/>
      </w:r>
      <w:r w:rsidR="001F0A79" w:rsidRPr="00016D32">
        <w:rPr>
          <w:szCs w:val="17"/>
        </w:rPr>
        <w:instrText xml:space="preserve"> ADDIN ZOTERO_ITEM CSL_CITATION {"citationID":"gYlfhDUe","properties":{"formattedCitation":"J. de {\\scaps de} {\\scaps Munck} et M. {\\scaps Verhoeven} (\\uc0\\u233{}ds.), {\\i{}Les mutations du rapport \\uc0\\u224{} la norme\\uc0\\u8239{}: un changement dans la modernit\\uc0\\u233{}\\uc0\\u8239{}?}, Ouvertures sociologiques, Paris, De Boeck Universit\\uc0\\u233{}, 1997\\uc0\\u160{}; F. {\\scaps Ost} et M. van de {\\scaps Kerchove}, {\\i{}De la pyramide au r\\uc0\\u233{}seau? pour une th\\uc0\\u233{}orie dialectique du droit}, Publications des Facult\\uc0\\u233{}s universitaires Saint-Louis, n\\uc0\\u176{} 94, Bruxelles, Facult\\uc0\\u233{}s universitaires Saint-Louis, 2002\\uc0\\u160{}; B. {\\scaps Frydman} et G. {\\scaps Haarscher}, {\\i{}Philosophie du droit}, Paris, Dalloz, 2002, pp. 44\\uc0\\u8209{}45\\uc0\\u160{}; M. {\\scaps Delmas-Marty}, {\\i{}Les forces imaginantes du droit (I)\\uc0\\u8239{}: Le relatif et l\\uc0\\u8217{}universel}, La couleur des id\\uc0\\u233{}es, Paris, \\uc0\\u201{}ditions du Seuil, 2004, pp. 36\\uc0\\u8209{}37\\uc0\\u160{}; A. {\\scaps Supiot}, \\uc0\\u171{}\\uc0\\u160{}La contractualisation de la soci\\uc0\\u233{}t\\uc0\\u233{}\\uc0\\u160{}\\uc0\\u187{}, {\\i{}Courrier de l\\uc0\\u8217{}environnement de l\\uc0\\u8217{}INRA}, 2001, vol. 43, p. 56.","plainCitation":"J. de de Munck et M. Verhoeven (éds.), Les mutations du rapport à la norme : un changement dans la modernité ?, Ouvertures sociologiques, Paris, De Boeck Université, 1997 ; F. Ost et M. van de Kerchove, De la pyramide au réseau? pour une théorie dialectique du droit, Publications des Facultés universitaires Saint-Louis, n° 94, Bruxelles, Facultés universitaires Saint-Louis, 2002 ; B. Frydman et G. Haarscher, Philosophie du droit, Paris, Dalloz, 2002, pp. 44‑45 ; M. Delmas-Marty, Les forces imaginantes du droit (I) : Le relatif et l’universel, La couleur des idées, Paris, Éditions du Seuil, 2004, pp. 36‑37 ; A. Supiot, « La contractualisation de la société », Courrier de l’environnement de l’INRA, 2001, vol. 43, p. 56.","noteIndex":3},"citationItems":[{"id":2569,"uris":["http://zotero.org/users/5133869/items/KDI3VXX4"],"uri":["http://zotero.org/users/5133869/items/KDI3VXX4"],"itemData":{"id":2569,"type":"book","call-number":"HM101 .M88 1997","collection-title":"Ouvertures sociologiques","event-place":"Paris","ISBN":"978-2-8041-2301-7","number-of-pages":"279","publisher":"De Boeck Université","publisher-place":"Paris","source":"Library of Congress ISBN","title":"Les mutations du rapport à la norme : un changement dans la modernité ?","title-short":"Les mutations du rapport à la norme","editor":[{"family":"Munck","given":"Jean","non-dropping-particle":"de","dropping-particle":"de"},{"family":"Verhoeven","given":"Marie"}],"issued":{"date-parts":[["1997"]]}}},{"id":1016,"uris":["http://zotero.org/users/5133869/items/NMIE96DU"],"uri":["http://zotero.org/users/5133869/items/NMIE96DU"],"itemData":{"id":1016,"type":"book","call-number":"K230.O78 D45 2002","collection-number":"94","collection-title":"Publications des Facultés universitaires Saint-Louis","event-place":"Bruxelles","ISBN":"978-2-8028-0153-5","number-of-pages":"596","publisher":"Facultés universitaires Saint-Louis","publisher-place":"Bruxelles","source":"Library of Congress ISBN","title":"De la pyramide au réseau? pour une théorie dialectique du droit","title-short":"De la pyramide au réseau?","author":[{"family":"Ost","given":"François"},{"family":"Kerchove","given":"Michel","dropping-particle":"van de"}],"issued":{"date-parts":[["2002"]]}}},{"id":1092,"uris":["http://zotero.org/users/5133869/items/8WHQ5AG2"],"uri":["http://zotero.org/users/5133869/items/8WHQ5AG2"],"itemData":{"id":1092,"type":"book","edition":"2e éd.","event-place":"Paris","ISBN":"978-2-247-08791-4","language":"French","note":"OCLC: 690471244","publisher":"Dalloz","publisher-place":"Paris","source":"Open WorldCat","title":"Philosophie du droit","author":[{"family":"Frydman","given":"Benoît"},{"family":"Haarscher","given":"Guy"}],"issued":{"date-parts":[["2002"]]}},"locator":"44-45"},{"id":2415,"uris":["http://zotero.org/users/5133869/items/TTM8EF9E"],"uri":["http://zotero.org/users/5133869/items/TTM8EF9E"],"itemData":{"id":2415,"type":"book","call-number":"KZ1256 .D445 2004","collection-title":"La couleur des idées","event-place":"Paris","note":"OCLC: ocm56681939","number-of-pages":"1","publisher":"Éditions du Seuil","publisher-place":"Paris","source":"Library of Congress ISBN","title":"Les forces imaginantes du droit (I) : Le relatif et l'universel","author":[{"family":"Delmas-Marty","given":"Mireille"}],"issued":{"date-parts":[["2004"]]}},"locator":"36-37"},{"id":1498,"uris":["http://zotero.org/users/5133869/items/Q72DDNAR"],"uri":["http://zotero.org/users/5133869/items/Q72DDNAR"],"itemData":{"id":1498,"type":"article-journal","container-title":"Courrier de l'environnement de l'INRA","page":"51-58","title":"La contractualisation de la société","volume":"43","author":[{"family":"Supiot","given":"Alain"}],"issued":{"date-parts":[["2001"]]}},"locator":"56"}],"schema":"https://github.com/citation-style-language/schema/raw/master/csl-citation.json"} </w:instrText>
      </w:r>
      <w:r w:rsidRPr="00016D32">
        <w:rPr>
          <w:szCs w:val="17"/>
        </w:rPr>
        <w:fldChar w:fldCharType="separate"/>
      </w:r>
      <w:r w:rsidR="001F0A79" w:rsidRPr="00016D32">
        <w:rPr>
          <w:szCs w:val="17"/>
        </w:rPr>
        <w:t xml:space="preserve">J. de </w:t>
      </w:r>
      <w:r w:rsidR="001F0A79" w:rsidRPr="00016D32">
        <w:rPr>
          <w:smallCaps/>
          <w:szCs w:val="17"/>
        </w:rPr>
        <w:t>de</w:t>
      </w:r>
      <w:r w:rsidR="001F0A79" w:rsidRPr="00016D32">
        <w:rPr>
          <w:szCs w:val="17"/>
        </w:rPr>
        <w:t xml:space="preserve"> </w:t>
      </w:r>
      <w:r w:rsidR="001F0A79" w:rsidRPr="00016D32">
        <w:rPr>
          <w:smallCaps/>
          <w:szCs w:val="17"/>
        </w:rPr>
        <w:t>Munck</w:t>
      </w:r>
      <w:r w:rsidR="001F0A79" w:rsidRPr="00016D32">
        <w:rPr>
          <w:szCs w:val="17"/>
        </w:rPr>
        <w:t xml:space="preserve"> et M. </w:t>
      </w:r>
      <w:r w:rsidR="001F0A79" w:rsidRPr="00016D32">
        <w:rPr>
          <w:smallCaps/>
          <w:szCs w:val="17"/>
        </w:rPr>
        <w:t>Verhoeven</w:t>
      </w:r>
      <w:r w:rsidR="001F0A79" w:rsidRPr="00016D32">
        <w:rPr>
          <w:szCs w:val="17"/>
        </w:rPr>
        <w:t xml:space="preserve"> (éds.), </w:t>
      </w:r>
      <w:r w:rsidR="001F0A79" w:rsidRPr="00016D32">
        <w:rPr>
          <w:i/>
          <w:iCs/>
          <w:szCs w:val="17"/>
        </w:rPr>
        <w:t>Les mutations du rapport à la norme : un changement dans la modernité ?</w:t>
      </w:r>
      <w:r w:rsidR="001F0A79" w:rsidRPr="00016D32">
        <w:rPr>
          <w:szCs w:val="17"/>
        </w:rPr>
        <w:t xml:space="preserve">, Ouvertures sociologiques, Paris, De Boeck Université, 1997 ; F. </w:t>
      </w:r>
      <w:r w:rsidR="001F0A79" w:rsidRPr="00016D32">
        <w:rPr>
          <w:smallCaps/>
          <w:szCs w:val="17"/>
        </w:rPr>
        <w:t>Ost</w:t>
      </w:r>
      <w:r w:rsidR="001F0A79" w:rsidRPr="00016D32">
        <w:rPr>
          <w:szCs w:val="17"/>
        </w:rPr>
        <w:t xml:space="preserve"> et M. van de </w:t>
      </w:r>
      <w:r w:rsidR="001F0A79" w:rsidRPr="00016D32">
        <w:rPr>
          <w:smallCaps/>
          <w:szCs w:val="17"/>
        </w:rPr>
        <w:t>Kerchove</w:t>
      </w:r>
      <w:r w:rsidR="001F0A79" w:rsidRPr="00016D32">
        <w:rPr>
          <w:szCs w:val="17"/>
        </w:rPr>
        <w:t xml:space="preserve">, </w:t>
      </w:r>
      <w:r w:rsidR="001F0A79" w:rsidRPr="00016D32">
        <w:rPr>
          <w:i/>
          <w:iCs/>
          <w:szCs w:val="17"/>
        </w:rPr>
        <w:t>De la pyramide au réseau? pour une théorie dialectique du droit</w:t>
      </w:r>
      <w:r w:rsidR="001F0A79" w:rsidRPr="00016D32">
        <w:rPr>
          <w:szCs w:val="17"/>
        </w:rPr>
        <w:t xml:space="preserve">, Publications des Facultés universitaires Saint-Louis, n° 94, Bruxelles, Facultés universitaires Saint-Louis, 2002 ; B. </w:t>
      </w:r>
      <w:r w:rsidR="001F0A79" w:rsidRPr="00016D32">
        <w:rPr>
          <w:smallCaps/>
          <w:szCs w:val="17"/>
        </w:rPr>
        <w:t>Frydman</w:t>
      </w:r>
      <w:r w:rsidR="001F0A79" w:rsidRPr="00016D32">
        <w:rPr>
          <w:szCs w:val="17"/>
        </w:rPr>
        <w:t xml:space="preserve"> et G. </w:t>
      </w:r>
      <w:r w:rsidR="001F0A79" w:rsidRPr="00016D32">
        <w:rPr>
          <w:smallCaps/>
          <w:szCs w:val="17"/>
        </w:rPr>
        <w:t>Haarscher</w:t>
      </w:r>
      <w:r w:rsidR="001F0A79" w:rsidRPr="00016D32">
        <w:rPr>
          <w:szCs w:val="17"/>
        </w:rPr>
        <w:t xml:space="preserve">, </w:t>
      </w:r>
      <w:r w:rsidR="001F0A79" w:rsidRPr="00016D32">
        <w:rPr>
          <w:i/>
          <w:iCs/>
          <w:szCs w:val="17"/>
        </w:rPr>
        <w:t>Philosophie du droit</w:t>
      </w:r>
      <w:r w:rsidR="001F0A79" w:rsidRPr="00016D32">
        <w:rPr>
          <w:szCs w:val="17"/>
        </w:rPr>
        <w:t xml:space="preserve">, Paris, Dalloz, 2002, pp. 44‑45 ; M. </w:t>
      </w:r>
      <w:r w:rsidR="001F0A79" w:rsidRPr="00016D32">
        <w:rPr>
          <w:smallCaps/>
          <w:szCs w:val="17"/>
        </w:rPr>
        <w:t>Delmas-Marty</w:t>
      </w:r>
      <w:r w:rsidR="001F0A79" w:rsidRPr="00016D32">
        <w:rPr>
          <w:szCs w:val="17"/>
        </w:rPr>
        <w:t xml:space="preserve">, </w:t>
      </w:r>
      <w:r w:rsidR="001F0A79" w:rsidRPr="00016D32">
        <w:rPr>
          <w:i/>
          <w:iCs/>
          <w:szCs w:val="17"/>
        </w:rPr>
        <w:t>Les forces imaginantes du droit (I) : Le relatif et l’universel</w:t>
      </w:r>
      <w:r w:rsidR="001F0A79" w:rsidRPr="00016D32">
        <w:rPr>
          <w:szCs w:val="17"/>
        </w:rPr>
        <w:t xml:space="preserve">, La couleur des idées, Paris, Éditions du Seuil, 2004, pp. 36‑37 ; A. </w:t>
      </w:r>
      <w:r w:rsidR="001F0A79" w:rsidRPr="00016D32">
        <w:rPr>
          <w:smallCaps/>
          <w:szCs w:val="17"/>
        </w:rPr>
        <w:t>Supiot</w:t>
      </w:r>
      <w:r w:rsidR="001F0A79" w:rsidRPr="00016D32">
        <w:rPr>
          <w:szCs w:val="17"/>
        </w:rPr>
        <w:t xml:space="preserve">, « La contractualisation de la société », </w:t>
      </w:r>
      <w:r w:rsidR="001F0A79" w:rsidRPr="00016D32">
        <w:rPr>
          <w:i/>
          <w:iCs/>
          <w:szCs w:val="17"/>
        </w:rPr>
        <w:t>Courrier de l’environnement de l’INRA</w:t>
      </w:r>
      <w:r w:rsidR="001F0A79" w:rsidRPr="00016D32">
        <w:rPr>
          <w:szCs w:val="17"/>
        </w:rPr>
        <w:t>, 2001, vol. 43, p. 56.</w:t>
      </w:r>
      <w:r w:rsidRPr="00016D32">
        <w:rPr>
          <w:szCs w:val="17"/>
        </w:rPr>
        <w:fldChar w:fldCharType="end"/>
      </w:r>
    </w:p>
  </w:footnote>
  <w:footnote w:id="4">
    <w:p w14:paraId="752C3AA2" w14:textId="48D3C6E6"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{"citationID":"CKYN6RB7","properties":{"formattedCitation":"S. {\\scaps Van Drooghenbroeck}, \\uc0\\u171{}\\uc0\\u160{}L\\uc0\\u8217{}horizontalisation des droits de l\\uc0\\u8217{}homme\\uc0\\u160{}\\uc0\\u187{}, {\\i{}in} H. {\\scaps Dumont}, F. {\\scaps Ost} et S. van {\\scaps Drooghenbroeck} (\\uc0\\u233{}ds.), {\\i{}La responsabilit\\uc0\\u233{}, face cach\\uc0\\u233{}e des droits de l\\uc0\\u8217{}homme}, Bruxelles, Bruylant, 2005, pp. 355\\uc0\\u8209{}390\\uc0\\u160{}; V. {\\scaps van der} {\\scaps Plancke} et N. {\\scaps Van Leuven}, \\uc0\\u171{}\\uc0\\u160{}La privatisation du respect de la Convention europ\\uc0\\u233{}enne des droits de l\\uc0\\u8217{}homme\\uc0\\u8239{}: faut-il reconna\\uc0\\u238{}tre un effet horizontal g\\uc0\\u233{}n\\uc0\\u233{}ralis\\uc0\\u233{}\\uc0\\u8239{}?\\uc0\\u160{}\\uc0\\u187{}, {\\i{}in} J. {\\scaps Pieret}, V. {\\scaps Chapaux} et A. {\\scaps Schaus} (\\uc0\\u233{}ds.), {\\i{}Entre ombres et lumi\\uc0\\u232{}res\\uc0\\u8239{}: cinquante ans d\\uc0\\u8217{}application de la Convention europ\\uc0\\u233{}enne des droits de l\\uc0\\u8217{}homme en Belgique}, Bruxelles, Bruylant, 2008, pp. 191\\uc0\\u8209{}279.","plainCitation":"S. Van Drooghenbroeck, « L’horizontalisation des droits de l’homme », in H. Dumont, F. Ost et S. van Drooghenbroeck (éds.), La responsabilité, face cachée des droits de l’homme, Bruxelles, Bruylant, 2005, pp. 355‑390 ; V. van der Plancke et N. Van Leuven, « La privatisation du respect de la Convention européenne des droits de l’homme : faut-il reconnaître un effet horizontal généralisé ? », in J. Pieret, V. Chapaux et A. Schaus (éds.), Entre ombres et lumières : cinquante ans d’application de la Convention européenne des droits de l’homme en Belgique, Bruxelles, Bruylant, 2008, pp. 191‑279.","noteIndex":4},"citationItems":[{"id":2191,"uris":["http://zotero.org/users/5133869/items/MU9M8MJN"],"uri":["http://zotero.org/users/5133869/items/MU9M8MJN"],"itemData":{"id":2191,"type":"chapter","call-number":"K3240 .R478 2005","container-title":"La responsabilité, face cachée des droits de l'homme","event-place":"Bruxelles","ISBN":"978-2-8027-2090-4","note":"OCLC: ocm70238821","page":"355-390","publisher":"Bruylant","publisher-place":"Bruxelles","source":"Library of Congress ISBN","title":"L'horizontalisation des droits de l'homme","editor":[{"family":"Dumont","given":"Hugues"},{"family":"Ost","given":"François"},{"family":"Drooghenbroeck","given":"Sébastien","dropping-particle":"van"}],"author":[{"family":"Van Drooghenbroeck","given":"Sébastien"}],"issued":{"date-parts":[["2005"]]}}},{"id":1578,"uris":["http://zotero.org/users/5133869/items/4Y8DKDDG"],"uri":["http://zotero.org/users/5133869/items/4Y8DKDDG"],"itemData":{"id":1578,"type":"chapter","container-title":"Entre ombres et lumières : cinquante ans d'application de la Convention européenne des droits de l'homme en Belgique","event-place":"Bruxelles","page":"191-279","publisher":"Bruylant","publisher-place":"Bruxelles","title":"La privatisation du respect de la Convention européenne des droits de l’homme : faut-il reconnaître un effet horizontal généralisé ?","author":[{"family":"Plancke","given":"Véronique","non-dropping-particle":"van der"},{"family":"Van Leuven","given":"Nathalie"}],"editor":[{"family":"Pieret","given":"Julien"},{"family":"Chapaux","given":"Vincent"},{"family":"Schaus","given":"Annemie"}],"issued":{"date-parts":[["2008"]]}}}],"schema":"https://github.com/citation-style-language/schema/raw/master/csl-citation.json"} </w:instrText>
      </w:r>
      <w:r w:rsidRPr="00016D32">
        <w:rPr>
          <w:szCs w:val="17"/>
        </w:rPr>
        <w:fldChar w:fldCharType="separate"/>
      </w:r>
      <w:r w:rsidR="001F0A79" w:rsidRPr="00016D32">
        <w:rPr>
          <w:szCs w:val="17"/>
        </w:rPr>
        <w:t xml:space="preserve">S. </w:t>
      </w:r>
      <w:r w:rsidR="001F0A79" w:rsidRPr="00016D32">
        <w:rPr>
          <w:smallCaps/>
          <w:szCs w:val="17"/>
        </w:rPr>
        <w:t>Van Drooghenbroeck</w:t>
      </w:r>
      <w:r w:rsidR="001F0A79" w:rsidRPr="00016D32">
        <w:rPr>
          <w:szCs w:val="17"/>
        </w:rPr>
        <w:t xml:space="preserve">, « L’horizontalisation des droits de l’homme », </w:t>
      </w:r>
      <w:r w:rsidR="001F0A79" w:rsidRPr="00016D32">
        <w:rPr>
          <w:i/>
          <w:iCs/>
          <w:szCs w:val="17"/>
        </w:rPr>
        <w:t>in</w:t>
      </w:r>
      <w:r w:rsidR="001F0A79" w:rsidRPr="00016D32">
        <w:rPr>
          <w:szCs w:val="17"/>
        </w:rPr>
        <w:t xml:space="preserve"> H. </w:t>
      </w:r>
      <w:r w:rsidR="001F0A79" w:rsidRPr="00016D32">
        <w:rPr>
          <w:smallCaps/>
          <w:szCs w:val="17"/>
        </w:rPr>
        <w:t>Dumont</w:t>
      </w:r>
      <w:r w:rsidR="001F0A79" w:rsidRPr="00016D32">
        <w:rPr>
          <w:szCs w:val="17"/>
        </w:rPr>
        <w:t xml:space="preserve">, F. </w:t>
      </w:r>
      <w:r w:rsidR="001F0A79" w:rsidRPr="00016D32">
        <w:rPr>
          <w:smallCaps/>
          <w:szCs w:val="17"/>
        </w:rPr>
        <w:t>Ost</w:t>
      </w:r>
      <w:r w:rsidR="001F0A79" w:rsidRPr="00016D32">
        <w:rPr>
          <w:szCs w:val="17"/>
        </w:rPr>
        <w:t xml:space="preserve"> et S. van </w:t>
      </w:r>
      <w:r w:rsidR="001F0A79" w:rsidRPr="00016D32">
        <w:rPr>
          <w:smallCaps/>
          <w:szCs w:val="17"/>
        </w:rPr>
        <w:t>Drooghenbroeck</w:t>
      </w:r>
      <w:r w:rsidR="001F0A79" w:rsidRPr="00016D32">
        <w:rPr>
          <w:szCs w:val="17"/>
        </w:rPr>
        <w:t xml:space="preserve"> (éds.), </w:t>
      </w:r>
      <w:r w:rsidR="001F0A79" w:rsidRPr="00016D32">
        <w:rPr>
          <w:i/>
          <w:iCs/>
          <w:szCs w:val="17"/>
        </w:rPr>
        <w:t>La responsabilité, face cachée des droits de l’homme</w:t>
      </w:r>
      <w:r w:rsidR="001F0A79" w:rsidRPr="00016D32">
        <w:rPr>
          <w:szCs w:val="17"/>
        </w:rPr>
        <w:t xml:space="preserve">, Bruxelles, Bruylant, 2005, pp. 355‑390 ; V. </w:t>
      </w:r>
      <w:r w:rsidR="001F0A79" w:rsidRPr="00016D32">
        <w:rPr>
          <w:smallCaps/>
          <w:szCs w:val="17"/>
        </w:rPr>
        <w:t>van der</w:t>
      </w:r>
      <w:r w:rsidR="001F0A79" w:rsidRPr="00016D32">
        <w:rPr>
          <w:szCs w:val="17"/>
        </w:rPr>
        <w:t xml:space="preserve"> </w:t>
      </w:r>
      <w:r w:rsidR="001F0A79" w:rsidRPr="00016D32">
        <w:rPr>
          <w:smallCaps/>
          <w:szCs w:val="17"/>
        </w:rPr>
        <w:t>Plancke</w:t>
      </w:r>
      <w:r w:rsidR="001F0A79" w:rsidRPr="00016D32">
        <w:rPr>
          <w:szCs w:val="17"/>
        </w:rPr>
        <w:t xml:space="preserve"> et N. </w:t>
      </w:r>
      <w:r w:rsidR="001F0A79" w:rsidRPr="00016D32">
        <w:rPr>
          <w:smallCaps/>
          <w:szCs w:val="17"/>
        </w:rPr>
        <w:t>Van Leuven</w:t>
      </w:r>
      <w:r w:rsidR="001F0A79" w:rsidRPr="00016D32">
        <w:rPr>
          <w:szCs w:val="17"/>
        </w:rPr>
        <w:t xml:space="preserve">, « La privatisation du respect de la Convention européenne des droits de l’homme : faut-il reconnaître un effet horizontal généralisé ? », </w:t>
      </w:r>
      <w:r w:rsidR="001F0A79" w:rsidRPr="00016D32">
        <w:rPr>
          <w:i/>
          <w:iCs/>
          <w:szCs w:val="17"/>
        </w:rPr>
        <w:t>in</w:t>
      </w:r>
      <w:r w:rsidR="001F0A79" w:rsidRPr="00016D32">
        <w:rPr>
          <w:szCs w:val="17"/>
        </w:rPr>
        <w:t xml:space="preserve"> J. </w:t>
      </w:r>
      <w:r w:rsidR="001F0A79" w:rsidRPr="00016D32">
        <w:rPr>
          <w:smallCaps/>
          <w:szCs w:val="17"/>
        </w:rPr>
        <w:t>Pieret</w:t>
      </w:r>
      <w:r w:rsidR="001F0A79" w:rsidRPr="00016D32">
        <w:rPr>
          <w:szCs w:val="17"/>
        </w:rPr>
        <w:t xml:space="preserve">, V. </w:t>
      </w:r>
      <w:r w:rsidR="001F0A79" w:rsidRPr="00016D32">
        <w:rPr>
          <w:smallCaps/>
          <w:szCs w:val="17"/>
        </w:rPr>
        <w:t>Chapaux</w:t>
      </w:r>
      <w:r w:rsidR="001F0A79" w:rsidRPr="00016D32">
        <w:rPr>
          <w:szCs w:val="17"/>
        </w:rPr>
        <w:t xml:space="preserve"> et A. </w:t>
      </w:r>
      <w:r w:rsidR="001F0A79" w:rsidRPr="00016D32">
        <w:rPr>
          <w:smallCaps/>
          <w:szCs w:val="17"/>
        </w:rPr>
        <w:t>Schaus</w:t>
      </w:r>
      <w:r w:rsidR="001F0A79" w:rsidRPr="00016D32">
        <w:rPr>
          <w:szCs w:val="17"/>
        </w:rPr>
        <w:t xml:space="preserve"> (éds.), </w:t>
      </w:r>
      <w:r w:rsidR="001F0A79" w:rsidRPr="00016D32">
        <w:rPr>
          <w:i/>
          <w:iCs/>
          <w:szCs w:val="17"/>
        </w:rPr>
        <w:t>Entre ombres et lumières : cinquante ans d’application de la Convention européenne des droits de l’homme en Belgique</w:t>
      </w:r>
      <w:r w:rsidR="001F0A79" w:rsidRPr="00016D32">
        <w:rPr>
          <w:szCs w:val="17"/>
        </w:rPr>
        <w:t>, Bruxelles, Bruylant, 2008, pp. 191‑279.</w:t>
      </w:r>
      <w:r w:rsidRPr="00016D32">
        <w:rPr>
          <w:szCs w:val="17"/>
        </w:rPr>
        <w:fldChar w:fldCharType="end"/>
      </w:r>
    </w:p>
  </w:footnote>
  <w:footnote w:id="5">
    <w:p w14:paraId="4D005E54" w14:textId="7B311BFE" w:rsidR="0067182F" w:rsidRPr="00016D32" w:rsidRDefault="0067182F">
      <w:pPr>
        <w:pStyle w:val="Notedebasdepage"/>
        <w:rPr>
          <w:szCs w:val="17"/>
        </w:rPr>
      </w:pPr>
      <w:r w:rsidRPr="00016D32">
        <w:rPr>
          <w:rStyle w:val="Appelnotedebasdep"/>
          <w:szCs w:val="17"/>
        </w:rPr>
        <w:footnoteRef/>
      </w:r>
      <w:r w:rsidRPr="00016D32">
        <w:rPr>
          <w:szCs w:val="17"/>
        </w:rPr>
        <w:t xml:space="preserve"> L’auteur remercie à cet égard les collaborateurs d’</w:t>
      </w:r>
      <w:proofErr w:type="spellStart"/>
      <w:r w:rsidRPr="00016D32">
        <w:rPr>
          <w:i/>
          <w:iCs/>
          <w:szCs w:val="17"/>
        </w:rPr>
        <w:t>Unia</w:t>
      </w:r>
      <w:proofErr w:type="spellEnd"/>
      <w:r w:rsidRPr="00016D32">
        <w:rPr>
          <w:szCs w:val="17"/>
        </w:rPr>
        <w:t xml:space="preserve">, le Centre interfédéral belge pour l’égalité des chances, au sein duquel une recherche a pu être menée en la matière d’octobre 2017 à avril 2018. </w:t>
      </w:r>
      <w:proofErr w:type="spellStart"/>
      <w:r w:rsidRPr="00016D32">
        <w:rPr>
          <w:i/>
          <w:iCs/>
          <w:szCs w:val="17"/>
        </w:rPr>
        <w:t>Unia</w:t>
      </w:r>
      <w:proofErr w:type="spellEnd"/>
      <w:r w:rsidRPr="00016D32">
        <w:rPr>
          <w:szCs w:val="17"/>
        </w:rPr>
        <w:t xml:space="preserve"> est l’institution publique indépendante chargée de traiter les signalements en matière de non</w:t>
      </w:r>
      <w:r w:rsidRPr="00016D32">
        <w:rPr>
          <w:szCs w:val="17"/>
        </w:rPr>
        <w:noBreakHyphen/>
        <w:t>discrimination en Belgique, notamment sur base de la religion, et en matière d’emploi.</w:t>
      </w:r>
    </w:p>
  </w:footnote>
  <w:footnote w:id="6">
    <w:p w14:paraId="233ACD52" w14:textId="406D4ADE" w:rsidR="008163ED" w:rsidRPr="008163ED" w:rsidRDefault="008163ED" w:rsidP="008163ED">
      <w:pPr>
        <w:pStyle w:val="Notedebasdepage"/>
        <w:rPr>
          <w:szCs w:val="17"/>
        </w:rPr>
      </w:pPr>
      <w:r w:rsidRPr="008163ED">
        <w:rPr>
          <w:rStyle w:val="Appelnotedebasdep"/>
          <w:szCs w:val="17"/>
        </w:rPr>
        <w:footnoteRef/>
      </w:r>
      <w:r w:rsidRPr="008163ED">
        <w:rPr>
          <w:szCs w:val="17"/>
        </w:rPr>
        <w:t xml:space="preserve"> </w:t>
      </w:r>
      <w:r w:rsidRPr="008163ED">
        <w:rPr>
          <w:szCs w:val="17"/>
        </w:rPr>
        <w:fldChar w:fldCharType="begin"/>
      </w:r>
      <w:r w:rsidRPr="008163ED">
        <w:rPr>
          <w:szCs w:val="17"/>
        </w:rPr>
        <w:instrText xml:space="preserve"> ADDIN ZOTERO_ITEM CSL_CITATION {"citationID":"c5IYKE6h","properties":{"formattedCitation":"M. {\\scaps Hauriou}, \\uc0\\u171{}\\uc0\\u160{}La th\\uc0\\u233{}orie de l\\uc0\\u8217{}institution et de la fondation. Essai de vitalisme social\\uc0\\u160{}\\uc0\\u187{}, in {\\i{}Aux sources du droit\\uc0\\u8239{}: le pouvoir, l\\uc0\\u8217{}ordre et la libert\\uc0\\u233{}}, Paris, Bloud &amp; Gay, 1933\\uc0\\u160{}; G. {\\scaps Renard}, {\\i{}La th\\uc0\\u233{}orie de l\\uc0\\u8217{}institution}, Paris, Sirey, 1930\\uc0\\u160{}; A. {\\scaps Rouast} et P. {\\scaps Durand}, {\\i{}Pr\\uc0\\u233{}cis de l\\uc0\\u233{}gislation industrielle\\uc0\\u8239{}: droit du travail}, Paris, Dalloz, 1951.","plainCitation":"M. Hauriou, « La théorie de l’institution et de la fondation. Essai de vitalisme social », in Aux sources du droit : le pouvoir, l’ordre et la liberté, Paris, Bloud &amp; Gay, 1933 ; G. Renard, La théorie de l’institution, Paris, Sirey, 1930 ; A. Rouast et P. Durand, Précis de législation industrielle : droit du travail, Paris, Dalloz, 1951.","noteIndex":6},"citationItems":[{"id":2541,"uris":["http://zotero.org/users/5133869/items/YP28UCFN"],"uri":["http://zotero.org/users/5133869/items/YP28UCFN"],"itemData":{"id":2541,"type":"chapter","container-title":"Aux sources du droit : le pouvoir, l'ordre et la liberté","event-place":"Paris","publisher":"Bloud &amp; Gay","publisher-place":"Paris","title":"La théorie de l’institution et de la fondation. Essai de vitalisme social","author":[{"family":"Hauriou","given":"Maurice"}],"issued":{"date-parts":[["1933"]]}}},{"id":286,"uris":["http://zotero.org/users/5133869/items/JY98YR49"],"uri":["http://zotero.org/users/5133869/items/JY98YR49"],"itemData":{"id":286,"type":"book","event-place":"Paris","publisher":"Sirey","publisher-place":"Paris","title":"La théorie de l’institution","author":[{"family":"Renard","given":"Georges"}],"issued":{"date-parts":[["1930"]]}}},{"id":319,"uris":["http://zotero.org/users/5133869/items/PU8V5VEI"],"uri":["http://zotero.org/users/5133869/items/PU8V5VEI"],"itemData":{"id":319,"type":"book","event-place":"Paris","publisher":"Dalloz","publisher-place":"Paris","title":"Précis de législation industrielle : droit du travail","author":[{"family":"Rouast","given":"André"},{"family":"Durand","given":"Paul"}],"issued":{"date-parts":[["1951"]]}}}],"schema":"https://github.com/citation-style-language/schema/raw/master/csl-citation.json"} </w:instrText>
      </w:r>
      <w:r w:rsidRPr="008163ED">
        <w:rPr>
          <w:szCs w:val="17"/>
        </w:rPr>
        <w:fldChar w:fldCharType="separate"/>
      </w:r>
      <w:r w:rsidRPr="008163ED">
        <w:rPr>
          <w:szCs w:val="17"/>
        </w:rPr>
        <w:t xml:space="preserve">M. </w:t>
      </w:r>
      <w:r w:rsidRPr="008163ED">
        <w:rPr>
          <w:smallCaps/>
          <w:szCs w:val="17"/>
        </w:rPr>
        <w:t>Hauriou</w:t>
      </w:r>
      <w:r w:rsidRPr="008163ED">
        <w:rPr>
          <w:szCs w:val="17"/>
        </w:rPr>
        <w:t xml:space="preserve">, « La théorie de l’institution et de la fondation. Essai de vitalisme social », in </w:t>
      </w:r>
      <w:r w:rsidRPr="008163ED">
        <w:rPr>
          <w:i/>
          <w:iCs/>
          <w:szCs w:val="17"/>
        </w:rPr>
        <w:t>Aux sources du droit : le pouvoir, l’ordre et la liberté</w:t>
      </w:r>
      <w:r w:rsidRPr="008163ED">
        <w:rPr>
          <w:szCs w:val="17"/>
        </w:rPr>
        <w:t xml:space="preserve">, Paris, Bloud &amp; Gay, 1933 ; G. </w:t>
      </w:r>
      <w:r w:rsidRPr="008163ED">
        <w:rPr>
          <w:smallCaps/>
          <w:szCs w:val="17"/>
        </w:rPr>
        <w:t>Renard</w:t>
      </w:r>
      <w:r w:rsidRPr="008163ED">
        <w:rPr>
          <w:szCs w:val="17"/>
        </w:rPr>
        <w:t xml:space="preserve">, </w:t>
      </w:r>
      <w:r w:rsidRPr="008163ED">
        <w:rPr>
          <w:i/>
          <w:iCs/>
          <w:szCs w:val="17"/>
        </w:rPr>
        <w:t>La théorie de l’institution</w:t>
      </w:r>
      <w:r w:rsidRPr="008163ED">
        <w:rPr>
          <w:szCs w:val="17"/>
        </w:rPr>
        <w:t xml:space="preserve">, Paris, Sirey, 1930 ; A. </w:t>
      </w:r>
      <w:r w:rsidRPr="008163ED">
        <w:rPr>
          <w:smallCaps/>
          <w:szCs w:val="17"/>
        </w:rPr>
        <w:t>Rouast</w:t>
      </w:r>
      <w:r w:rsidRPr="008163ED">
        <w:rPr>
          <w:szCs w:val="17"/>
        </w:rPr>
        <w:t xml:space="preserve"> et P. </w:t>
      </w:r>
      <w:r w:rsidRPr="008163ED">
        <w:rPr>
          <w:smallCaps/>
          <w:szCs w:val="17"/>
        </w:rPr>
        <w:t>Durand</w:t>
      </w:r>
      <w:r w:rsidRPr="008163ED">
        <w:rPr>
          <w:szCs w:val="17"/>
        </w:rPr>
        <w:t xml:space="preserve">, </w:t>
      </w:r>
      <w:r w:rsidRPr="008163ED">
        <w:rPr>
          <w:i/>
          <w:iCs/>
          <w:szCs w:val="17"/>
        </w:rPr>
        <w:t>Précis de législation industrielle : droit du travail</w:t>
      </w:r>
      <w:r w:rsidRPr="008163ED">
        <w:rPr>
          <w:szCs w:val="17"/>
        </w:rPr>
        <w:t>, Paris, Dalloz, 1951.</w:t>
      </w:r>
      <w:r w:rsidRPr="008163ED">
        <w:rPr>
          <w:szCs w:val="17"/>
        </w:rPr>
        <w:fldChar w:fldCharType="end"/>
      </w:r>
    </w:p>
  </w:footnote>
  <w:footnote w:id="7">
    <w:p w14:paraId="763E628E" w14:textId="26FA0DE6" w:rsidR="008163ED" w:rsidRDefault="008163ED" w:rsidP="008163ED">
      <w:pPr>
        <w:pStyle w:val="Notedebasdepage"/>
      </w:pPr>
      <w:r w:rsidRPr="008163ED">
        <w:rPr>
          <w:rStyle w:val="Appelnotedebasdep"/>
          <w:szCs w:val="17"/>
        </w:rPr>
        <w:footnoteRef/>
      </w:r>
      <w:r>
        <w:t xml:space="preserve"> </w:t>
      </w:r>
      <w:proofErr w:type="spellStart"/>
      <w:r>
        <w:t>Voy</w:t>
      </w:r>
      <w:proofErr w:type="spellEnd"/>
      <w:r>
        <w:t xml:space="preserve">. </w:t>
      </w:r>
      <w:r>
        <w:fldChar w:fldCharType="begin"/>
      </w:r>
      <w:r>
        <w:instrText xml:space="preserve"> ADDIN ZOTERO_ITEM CSL_CITATION {"citationID":"Dq1djEAd","properties":{"formattedCitation":"A. {\\scaps Supiot}, {\\i{}Critique du droit du travail}, Paris, Presses Universitaires de France, 1994, pp. 15\\uc0\\u8209{}16.","plainCitation":"A. Supiot, Critique du droit du travail, Paris, Presses Universitaires de France, 1994, pp. 15‑16.","noteIndex":7},"citationItems":[{"id":301,"uris":["http://zotero.org/users/5133869/items/DQUQFI6D"],"uri":["http://zotero.org/users/5133869/items/DQUQFI6D"],"itemData":{"id":301,"type":"book","edition":"1e édition","event-place":"Paris","publisher":"Presses Universitaires de France","publisher-place":"Paris","title":"Critique du droit du travail","author":[{"family":"Supiot","given":"Alain"}],"issued":{"date-parts":[["1994"]]}},"locator":"15-16"}],"schema":"https://github.com/citation-style-language/schema/raw/master/csl-citation.json"} </w:instrText>
      </w:r>
      <w:r>
        <w:fldChar w:fldCharType="separate"/>
      </w:r>
      <w:r w:rsidRPr="008163ED">
        <w:rPr>
          <w:szCs w:val="24"/>
        </w:rPr>
        <w:t xml:space="preserve">A. </w:t>
      </w:r>
      <w:r w:rsidRPr="008163ED">
        <w:rPr>
          <w:smallCaps/>
          <w:szCs w:val="24"/>
        </w:rPr>
        <w:t>Supiot</w:t>
      </w:r>
      <w:r w:rsidRPr="008163ED">
        <w:rPr>
          <w:szCs w:val="24"/>
        </w:rPr>
        <w:t xml:space="preserve">, </w:t>
      </w:r>
      <w:r w:rsidRPr="008163ED">
        <w:rPr>
          <w:i/>
          <w:iCs/>
          <w:szCs w:val="24"/>
        </w:rPr>
        <w:t>Critique du droit du travail</w:t>
      </w:r>
      <w:r w:rsidRPr="008163ED">
        <w:rPr>
          <w:szCs w:val="24"/>
        </w:rPr>
        <w:t>, Paris, Presses Universitaires de France, 1994, pp. 15‑16.</w:t>
      </w:r>
      <w:r>
        <w:fldChar w:fldCharType="end"/>
      </w:r>
    </w:p>
  </w:footnote>
  <w:footnote w:id="8">
    <w:p w14:paraId="17BB6379" w14:textId="325A3C2C" w:rsidR="0067182F" w:rsidRPr="00016D32" w:rsidRDefault="0067182F" w:rsidP="001209B3">
      <w:pPr>
        <w:pStyle w:val="Notedebasdepage"/>
        <w:rPr>
          <w:szCs w:val="17"/>
          <w:lang w:val="nl-BE"/>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{"citationID":"gf86MJLq","properties":{"formattedCitation":"O. {\\scaps Favereau}, \\uc0\\u171{}\\uc0\\u160{}La \\uc0\\u8220{}fin\\uc0\\u8221{} de l\\uc0\\u8217{}entreprise priv\\uc0\\u233{}e\\uc0\\u160{}\\uc0\\u187{}, in {\\i{}L\\uc0\\u8217{}entreprise dans un monde sans fronti\\uc0\\u232{}res. Perspectives \\uc0\\u233{}conomiques et juridiques}, Paris, Dalloz, 2015, pp. 306\\uc0\\u8209{}307\\uc0\\u160{}; P. {\\scaps Humblet}, {\\i{}De gezagsuitoefening door de werkgever: een juridische analyse}, Reeks sociaal recht, n\\uc0\\u176{} 37, Deurne, Kluwer, 1994, pp. 169\\uc0\\u8209{}170.","plainCitation":"O. Favereau, « La “fin” de l’entreprise privée », in L’entreprise dans un monde sans frontières. Perspectives économiques et juridiques, Paris, Dalloz, 2015, pp. 306‑307 ; P. Humblet, De gezagsuitoefening door de werkgever: een juridische analyse, Reeks sociaal recht, n° 37, Deurne, Kluwer, 1994, pp. 169‑170.","noteIndex":6},"citationItems":[{"id":316,"uris":["http://zotero.org/users/5133869/items/9CW8NU78"],"uri":["http://zotero.org/users/5133869/items/9CW8NU78"],"itemData":{"id":316,"type":"chapter","container-title":"L’entreprise dans un monde sans frontières. Perspectives économiques et juridiques","event-place":"Paris","page":"305-321","publisher":"Dalloz","publisher-place":"Paris","title":"La 'fin' de l'entreprise privée","author":[{"family":"Favereau","given":"Olivier"}],"issued":{"date-parts":[["2015"]]}},"locator":"306-307"},{"id":312,"uris":["http://zotero.org/users/5133869/items/5YNVWXKN"],"uri":["http://zotero.org/users/5133869/items/5YNVWXKN"],"itemData":{"id":312,"type":"book","collection-number":"37","collection-title":"Reeks sociaal recht","event-place":"Deurne","ISBN":"978-90-6321-911-6","note":"OCLC: 246263343","number-of-pages":"420","publisher":"Kluwer","publisher-place":"Deurne","source":"Gemeinsamer Bibliotheksverbund ISBN","title":"De gezagsuitoefening door de werkgever: een juridische analyse","title-short":"De gezagsuitoefening door de werkgever","author":[{"family":"Humblet","given":"Patrick"}],"issued":{"date-parts":[["1994"]]}},"locator":"169-170"}],"schema":"https://github.com/citation-style-language/schema/raw/master/csl-citation.json"} </w:instrText>
      </w:r>
      <w:r w:rsidRPr="00016D32">
        <w:rPr>
          <w:szCs w:val="17"/>
        </w:rPr>
        <w:fldChar w:fldCharType="separate"/>
      </w:r>
      <w:r w:rsidR="001F0A79" w:rsidRPr="00016D32">
        <w:rPr>
          <w:szCs w:val="17"/>
        </w:rPr>
        <w:t xml:space="preserve">O. </w:t>
      </w:r>
      <w:r w:rsidR="001F0A79" w:rsidRPr="00016D32">
        <w:rPr>
          <w:smallCaps/>
          <w:szCs w:val="17"/>
        </w:rPr>
        <w:t>Favereau</w:t>
      </w:r>
      <w:r w:rsidR="001F0A79" w:rsidRPr="00016D32">
        <w:rPr>
          <w:szCs w:val="17"/>
        </w:rPr>
        <w:t xml:space="preserve">, « La “fin” de l’entreprise privée », in </w:t>
      </w:r>
      <w:r w:rsidR="001F0A79" w:rsidRPr="00016D32">
        <w:rPr>
          <w:i/>
          <w:iCs/>
          <w:szCs w:val="17"/>
        </w:rPr>
        <w:t xml:space="preserve">L’entreprise dans un monde sans frontières. </w:t>
      </w:r>
      <w:r w:rsidR="001F0A79" w:rsidRPr="00016D32">
        <w:rPr>
          <w:i/>
          <w:iCs/>
          <w:szCs w:val="17"/>
          <w:lang w:val="nl-BE"/>
        </w:rPr>
        <w:t>Perspectives économiques et juridiques</w:t>
      </w:r>
      <w:r w:rsidR="001F0A79" w:rsidRPr="00016D32">
        <w:rPr>
          <w:szCs w:val="17"/>
          <w:lang w:val="nl-BE"/>
        </w:rPr>
        <w:t xml:space="preserve">, Paris, Dalloz, 2015, pp. 306‑307 ; P. </w:t>
      </w:r>
      <w:r w:rsidR="001F0A79" w:rsidRPr="00016D32">
        <w:rPr>
          <w:smallCaps/>
          <w:szCs w:val="17"/>
          <w:lang w:val="nl-BE"/>
        </w:rPr>
        <w:t>Humblet</w:t>
      </w:r>
      <w:r w:rsidR="001F0A79" w:rsidRPr="00016D32">
        <w:rPr>
          <w:szCs w:val="17"/>
          <w:lang w:val="nl-BE"/>
        </w:rPr>
        <w:t xml:space="preserve">, </w:t>
      </w:r>
      <w:r w:rsidR="001F0A79" w:rsidRPr="00016D32">
        <w:rPr>
          <w:i/>
          <w:iCs/>
          <w:szCs w:val="17"/>
          <w:lang w:val="nl-BE"/>
        </w:rPr>
        <w:t>De gezagsuitoefening door de werkgever: een juridische analyse</w:t>
      </w:r>
      <w:r w:rsidR="001F0A79" w:rsidRPr="00016D32">
        <w:rPr>
          <w:szCs w:val="17"/>
          <w:lang w:val="nl-BE"/>
        </w:rPr>
        <w:t>, Reeks sociaal recht, n° 37, Deurne, Kluwer, 1994, pp. 169‑170.</w:t>
      </w:r>
      <w:r w:rsidRPr="00016D32">
        <w:rPr>
          <w:szCs w:val="17"/>
        </w:rPr>
        <w:fldChar w:fldCharType="end"/>
      </w:r>
    </w:p>
  </w:footnote>
  <w:footnote w:id="9">
    <w:p w14:paraId="77AAAFEF" w14:textId="2E2AA539" w:rsidR="0067182F" w:rsidRPr="00016D32" w:rsidRDefault="0067182F" w:rsidP="001209B3">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{"citationID":"aV53XmdK","properties":{"formattedCitation":"O. {\\scaps Favereau} et B. {\\scaps Roger}, {\\i{}Penser l\\uc0\\u8217{}entreprise: nouvel horizon du politique}, Perspectives &amp; propositions, n\\uc0\\u176{} 5, Les Plans-sur-Bex, Parole et silence, 2015, p. 15.","plainCitation":"O. Favereau et B. Roger, Penser l’entreprise: nouvel horizon du politique, Perspectives &amp; propositions, n° 5, Les Plans-sur-Bex, Parole et silence, 2015, p. 15.","noteIndex":9},"citationItems":[{"id":327,"uris":["http://zotero.org/users/5133869/items/MC3N5ZYB"],"uri":["http://zotero.org/users/5133869/items/MC3N5ZYB"],"itemData":{"id":327,"type":"book","call-number":"HD33 .F37 2015","collection-number":"5","collection-title":"Perspectives &amp; propositions","event-place":"Les Plans-sur-Bex","ISBN":"978-2-88918-530-6","language":"fre eng","number-of-pages":"120","publisher":"Parole et silence","publisher-place":"Les Plans-sur-Bex","source":"Library of Congress ISBN","title":"Penser l'entreprise: nouvel horizon du politique","title-short":"Penser l'entreprise","author":[{"family":"Favereau","given":"Olivier"},{"family":"Roger","given":"Baudoin"}],"issued":{"date-parts":[["2015"]]}},"locator":"15"}],"schema":"https://github.com/citation-style-language/schema/raw/master/csl-citation.json"} </w:instrText>
      </w:r>
      <w:r w:rsidRPr="00016D32">
        <w:rPr>
          <w:szCs w:val="17"/>
        </w:rPr>
        <w:fldChar w:fldCharType="separate"/>
      </w:r>
      <w:r w:rsidR="001F0A79" w:rsidRPr="00016D32">
        <w:rPr>
          <w:szCs w:val="17"/>
        </w:rPr>
        <w:t xml:space="preserve">O. </w:t>
      </w:r>
      <w:r w:rsidR="001F0A79" w:rsidRPr="00016D32">
        <w:rPr>
          <w:smallCaps/>
          <w:szCs w:val="17"/>
        </w:rPr>
        <w:t>Favereau</w:t>
      </w:r>
      <w:r w:rsidR="001F0A79" w:rsidRPr="00016D32">
        <w:rPr>
          <w:szCs w:val="17"/>
        </w:rPr>
        <w:t xml:space="preserve"> et B. </w:t>
      </w:r>
      <w:r w:rsidR="001F0A79" w:rsidRPr="00016D32">
        <w:rPr>
          <w:smallCaps/>
          <w:szCs w:val="17"/>
        </w:rPr>
        <w:t>Roger</w:t>
      </w:r>
      <w:r w:rsidR="001F0A79" w:rsidRPr="00016D32">
        <w:rPr>
          <w:szCs w:val="17"/>
        </w:rPr>
        <w:t xml:space="preserve">, </w:t>
      </w:r>
      <w:r w:rsidR="001F0A79" w:rsidRPr="00016D32">
        <w:rPr>
          <w:i/>
          <w:iCs/>
          <w:szCs w:val="17"/>
        </w:rPr>
        <w:t>Penser l’entreprise: nouvel horizon du politique</w:t>
      </w:r>
      <w:r w:rsidR="001F0A79" w:rsidRPr="00016D32">
        <w:rPr>
          <w:szCs w:val="17"/>
        </w:rPr>
        <w:t>, Perspectives &amp; propositions, n° 5, Les Plans-sur-Bex, Parole et silence, 2015, p. 15.</w:t>
      </w:r>
      <w:r w:rsidRPr="00016D32">
        <w:rPr>
          <w:szCs w:val="17"/>
        </w:rPr>
        <w:fldChar w:fldCharType="end"/>
      </w:r>
    </w:p>
  </w:footnote>
  <w:footnote w:id="10">
    <w:p w14:paraId="6A2C6419" w14:textId="4AF36C9C" w:rsidR="0067182F" w:rsidRPr="00016D32" w:rsidRDefault="0067182F" w:rsidP="001209B3">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{"citationID":"ytni6Tjo","properties":{"formattedCitation":"I. {\\scaps Ferreras}, {\\i{}Gouverner le capitalisme\\uc0\\u8239{}? Pour le bicam\\uc0\\u233{}risme \\uc0\\u233{}conomique}, Paris, PUF, 2012\\uc0\\u160{}; J.J. {\\scaps Abrantes}, {\\i{}Contrat de travail et droits fondamentaux\\uc0\\u8239{}: contribution \\uc0\\u225{} une dogmatique commune europ\\uc0\\u233{}enne, avec r\\uc0\\u233{}f\\uc0\\u233{}rence sp\\uc0\\u233{}ciale au droit allemand et au droit portugais}, Recht der Arbeit und der sozialen Sicherheit, n\\uc0\\u176{} Bd. 14, Frankfurt Main\\uc0\\u8239{}; New York, Peter Lang, 2000, pp. 55\\uc0\\u8209{}58.","plainCitation":"I. Ferreras, Gouverner le capitalisme ? Pour le bicamérisme économique, Paris, PUF, 2012 ; J.J. Abrantes, Contrat de travail et droits fondamentaux : contribution á une dogmatique commune européenne, avec référence spéciale au droit allemand et au droit portugais, Recht der Arbeit und der sozialen Sicherheit, n° Bd. 14, Frankfurt Main ; New York, Peter Lang, 2000, pp. 55‑58.","noteIndex":8},"citationItems":[{"id":338,"uris":["http://zotero.org/users/5133869/items/QEC2QKSI"],"uri":["http://zotero.org/users/5133869/items/QEC2QKSI"],"itemData":{"id":338,"type":"book","call-number":"HD2741 .F47 2012","edition":"1re édition","event-place":"Paris","ISBN":"978-2-13-060674-1","number-of-pages":"292","publisher":"PUF","publisher-place":"Paris","source":"Library of Congress ISBN","title":"Gouverner le capitalisme ? Pour le bicamérisme économique","title-short":"Gouverner le capitalisme?","author":[{"family":"Ferreras","given":"Isabelle"}],"issued":{"date-parts":[["2012"]]}}},{"id":2261,"uris":["http://zotero.org/users/5133869/items/Y6EBU8SH"],"uri":["http://zotero.org/users/5133869/items/Y6EBU8SH"],"itemData":{"id":2261,"type":"book","call-number":"KJC2870 .A92 2000","collection-number":"Bd. 14","collection-title":"Recht der Arbeit und der sozialen Sicherheit","event-place":"Frankfurt Main ; New York","ISBN":"978-3-631-36730-8","language":"freger","number-of-pages":"225","publisher":"Peter Lang","publisher-place":"Frankfurt Main ; New York","source":"Library of Congress ISBN","title":"Contrat de travail et droits fondamentaux : contribution á une dogmatique commune européenne, avec référence spéciale au droit allemand et au droit portugais","title-short":"Contrat de travail et droits fondamentaux","author":[{"family":"Abrantes","given":"José João"}],"issued":{"date-parts":[["2000"]]}},"locator":"55-58"}],"schema":"https://github.com/citation-style-language/schema/raw/master/csl-citation.json"} </w:instrText>
      </w:r>
      <w:r w:rsidRPr="00016D32">
        <w:rPr>
          <w:szCs w:val="17"/>
        </w:rPr>
        <w:fldChar w:fldCharType="separate"/>
      </w:r>
      <w:r w:rsidR="001F0A79" w:rsidRPr="00016D32">
        <w:rPr>
          <w:szCs w:val="17"/>
        </w:rPr>
        <w:t xml:space="preserve">I. </w:t>
      </w:r>
      <w:r w:rsidR="001F0A79" w:rsidRPr="00016D32">
        <w:rPr>
          <w:smallCaps/>
          <w:szCs w:val="17"/>
        </w:rPr>
        <w:t>Ferreras</w:t>
      </w:r>
      <w:r w:rsidR="001F0A79" w:rsidRPr="00016D32">
        <w:rPr>
          <w:szCs w:val="17"/>
        </w:rPr>
        <w:t xml:space="preserve">, </w:t>
      </w:r>
      <w:r w:rsidR="001F0A79" w:rsidRPr="00016D32">
        <w:rPr>
          <w:i/>
          <w:iCs/>
          <w:szCs w:val="17"/>
        </w:rPr>
        <w:t>Gouverner le capitalisme ? Pour le bicamérisme économique</w:t>
      </w:r>
      <w:r w:rsidR="001F0A79" w:rsidRPr="00016D32">
        <w:rPr>
          <w:szCs w:val="17"/>
        </w:rPr>
        <w:t xml:space="preserve">, Paris, PUF, 2012 ; J.J. </w:t>
      </w:r>
      <w:r w:rsidR="001F0A79" w:rsidRPr="00016D32">
        <w:rPr>
          <w:smallCaps/>
          <w:szCs w:val="17"/>
        </w:rPr>
        <w:t>Abrantes</w:t>
      </w:r>
      <w:r w:rsidR="001F0A79" w:rsidRPr="00016D32">
        <w:rPr>
          <w:szCs w:val="17"/>
        </w:rPr>
        <w:t xml:space="preserve">, </w:t>
      </w:r>
      <w:r w:rsidR="001F0A79" w:rsidRPr="00016D32">
        <w:rPr>
          <w:i/>
          <w:iCs/>
          <w:szCs w:val="17"/>
        </w:rPr>
        <w:t>Contrat de travail et droits fondamentaux : contribution á une dogmatique commune européenne, avec référence spéciale au droit allemand et au droit portugais</w:t>
      </w:r>
      <w:r w:rsidR="001F0A79" w:rsidRPr="00016D32">
        <w:rPr>
          <w:szCs w:val="17"/>
        </w:rPr>
        <w:t>, Recht der Arbeit und der sozialen Sicherheit, n° Bd. 14, Frankfurt Main ; New York, Peter Lang, 2000, pp. 55‑58.</w:t>
      </w:r>
      <w:r w:rsidRPr="00016D32">
        <w:rPr>
          <w:szCs w:val="17"/>
        </w:rPr>
        <w:fldChar w:fldCharType="end"/>
      </w:r>
    </w:p>
  </w:footnote>
  <w:footnote w:id="11">
    <w:p w14:paraId="1E886F69" w14:textId="1D70EBBB"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{"citationID":"VGyg7OHX","properties":{"formattedCitation":"R. {\\scaps de} {\\scaps Quenaudon}, \\uc0\\u171{}\\uc0\\u160{}Panorama en droit social\\uc0\\u160{}\\uc0\\u187{}, {\\i{}in} K. {\\scaps Martin-Chenut} et R. {\\scaps de} {\\scaps Quenaudon} (\\uc0\\u233{}ds.), {\\i{}La RSE saisie par le droit. Perspectives interne et internationale}, Paris, Pedone, s.d., p. 88\\uc0\\u160{}; R. {\\scaps Delaye}, M. {\\scaps Peretti} et P. {\\scaps Terramorsi}, \\uc0\\u171{}\\uc0\\u160{}RSE et diversit\\uc0\\u233{} convictionnelle\\uc0\\u8239{}: une responsabilit\\uc0\\u233{} en clair-obscur\\uc0\\u160{}\\uc0\\u187{}, {\\i{}Tamara Journal}, 2007, vol. 6, n\\uc0\\u176{} 3, pp. 83\\uc0\\u8209{}97.","plainCitation":"R. de Quenaudon, « Panorama en droit social », in K. Martin-Chenut et R. de Quenaudon (éds.), La RSE saisie par le droit. Perspectives interne et internationale, Paris, Pedone, s.d., p. 88 ; R. Delaye, M. Peretti et P. Terramorsi, « RSE et diversité convictionnelle : une responsabilité en clair-obscur », Tamara Journal, 2007, vol. 6, n° 3, pp. 83‑97.","noteIndex":9},"citationItems":[{"id":1828,"uris":["http://zotero.org/users/5133869/items/5NHM9SEZ"],"uri":["http://zotero.org/users/5133869/items/5NHM9SEZ"],"itemData":{"id":1828,"type":"chapter","container-title":"La RSE saisie par le droit. Perspectives interne et internationale","event-place":"Paris","page":"81-95","publisher":"Pedone","publisher-place":"Paris","title":"Panorama en droit social","author":[{"family":"Quenaudon","given":"René","non-dropping-particle":"de"}],"editor":[{"family":"Martin-Chenut","given":"Kathia"},{"family":"Quenaudon","given":"René","non-dropping-particle":"de"}]},"locator":"88"},{"id":2421,"uris":["http://zotero.org/users/5133869/items/I379MADM"],"uri":["http://zotero.org/users/5133869/items/I379MADM"],"itemData":{"id":2421,"type":"article-journal","container-title":"Tamara Journal","issue":"3","page":"83-97","title":"RSE et diversité convictionnelle : une responsabilité en clair-obscur","volume":"6","author":[{"family":"Delaye","given":"Richard"},{"family":"Peretti","given":"Marie"},{"family":"Terramorsi","given":"Patrice"}],"issued":{"date-parts":[["2007"]]}}}],"schema":"https://github.com/citation-style-language/schema/raw/master/csl-citation.json"} </w:instrText>
      </w:r>
      <w:r w:rsidRPr="00016D32">
        <w:rPr>
          <w:szCs w:val="17"/>
        </w:rPr>
        <w:fldChar w:fldCharType="separate"/>
      </w:r>
      <w:r w:rsidR="001F0A79" w:rsidRPr="00016D32">
        <w:rPr>
          <w:szCs w:val="17"/>
        </w:rPr>
        <w:t xml:space="preserve">R. </w:t>
      </w:r>
      <w:r w:rsidR="001F0A79" w:rsidRPr="00016D32">
        <w:rPr>
          <w:smallCaps/>
          <w:szCs w:val="17"/>
        </w:rPr>
        <w:t>de</w:t>
      </w:r>
      <w:r w:rsidR="001F0A79" w:rsidRPr="00016D32">
        <w:rPr>
          <w:szCs w:val="17"/>
        </w:rPr>
        <w:t xml:space="preserve"> </w:t>
      </w:r>
      <w:r w:rsidR="001F0A79" w:rsidRPr="00016D32">
        <w:rPr>
          <w:smallCaps/>
          <w:szCs w:val="17"/>
        </w:rPr>
        <w:t>Quenaudon</w:t>
      </w:r>
      <w:r w:rsidR="001F0A79" w:rsidRPr="00016D32">
        <w:rPr>
          <w:szCs w:val="17"/>
        </w:rPr>
        <w:t xml:space="preserve">, « Panorama en droit social », </w:t>
      </w:r>
      <w:r w:rsidR="001F0A79" w:rsidRPr="00016D32">
        <w:rPr>
          <w:i/>
          <w:iCs/>
          <w:szCs w:val="17"/>
        </w:rPr>
        <w:t>in</w:t>
      </w:r>
      <w:r w:rsidR="001F0A79" w:rsidRPr="00016D32">
        <w:rPr>
          <w:szCs w:val="17"/>
        </w:rPr>
        <w:t xml:space="preserve"> K. </w:t>
      </w:r>
      <w:r w:rsidR="001F0A79" w:rsidRPr="00016D32">
        <w:rPr>
          <w:smallCaps/>
          <w:szCs w:val="17"/>
        </w:rPr>
        <w:t>Martin-Chenut</w:t>
      </w:r>
      <w:r w:rsidR="001F0A79" w:rsidRPr="00016D32">
        <w:rPr>
          <w:szCs w:val="17"/>
        </w:rPr>
        <w:t xml:space="preserve"> et R. </w:t>
      </w:r>
      <w:r w:rsidR="001F0A79" w:rsidRPr="00016D32">
        <w:rPr>
          <w:smallCaps/>
          <w:szCs w:val="17"/>
        </w:rPr>
        <w:t>de</w:t>
      </w:r>
      <w:r w:rsidR="001F0A79" w:rsidRPr="00016D32">
        <w:rPr>
          <w:szCs w:val="17"/>
        </w:rPr>
        <w:t xml:space="preserve"> </w:t>
      </w:r>
      <w:r w:rsidR="001F0A79" w:rsidRPr="00016D32">
        <w:rPr>
          <w:smallCaps/>
          <w:szCs w:val="17"/>
        </w:rPr>
        <w:t>Quenaudon</w:t>
      </w:r>
      <w:r w:rsidR="001F0A79" w:rsidRPr="00016D32">
        <w:rPr>
          <w:szCs w:val="17"/>
        </w:rPr>
        <w:t xml:space="preserve"> (éds.), </w:t>
      </w:r>
      <w:r w:rsidR="001F0A79" w:rsidRPr="00016D32">
        <w:rPr>
          <w:i/>
          <w:iCs/>
          <w:szCs w:val="17"/>
        </w:rPr>
        <w:t>La RSE saisie par le droit. Perspectives interne et internationale</w:t>
      </w:r>
      <w:r w:rsidR="001F0A79" w:rsidRPr="00016D32">
        <w:rPr>
          <w:szCs w:val="17"/>
        </w:rPr>
        <w:t xml:space="preserve">, Paris, Pedone, s.d., p. 88 ; R. </w:t>
      </w:r>
      <w:r w:rsidR="001F0A79" w:rsidRPr="00016D32">
        <w:rPr>
          <w:smallCaps/>
          <w:szCs w:val="17"/>
        </w:rPr>
        <w:t>Delaye</w:t>
      </w:r>
      <w:r w:rsidR="001F0A79" w:rsidRPr="00016D32">
        <w:rPr>
          <w:szCs w:val="17"/>
        </w:rPr>
        <w:t xml:space="preserve">, M. </w:t>
      </w:r>
      <w:r w:rsidR="001F0A79" w:rsidRPr="00016D32">
        <w:rPr>
          <w:smallCaps/>
          <w:szCs w:val="17"/>
        </w:rPr>
        <w:t>Peretti</w:t>
      </w:r>
      <w:r w:rsidR="001F0A79" w:rsidRPr="00016D32">
        <w:rPr>
          <w:szCs w:val="17"/>
        </w:rPr>
        <w:t xml:space="preserve"> et P. </w:t>
      </w:r>
      <w:r w:rsidR="001F0A79" w:rsidRPr="00016D32">
        <w:rPr>
          <w:smallCaps/>
          <w:szCs w:val="17"/>
        </w:rPr>
        <w:t>Terramorsi</w:t>
      </w:r>
      <w:r w:rsidR="001F0A79" w:rsidRPr="00016D32">
        <w:rPr>
          <w:szCs w:val="17"/>
        </w:rPr>
        <w:t xml:space="preserve">, « RSE et diversité convictionnelle : une responsabilité en clair-obscur », </w:t>
      </w:r>
      <w:r w:rsidR="001F0A79" w:rsidRPr="00016D32">
        <w:rPr>
          <w:i/>
          <w:iCs/>
          <w:szCs w:val="17"/>
        </w:rPr>
        <w:t>Tamara Journal</w:t>
      </w:r>
      <w:r w:rsidR="001F0A79" w:rsidRPr="00016D32">
        <w:rPr>
          <w:szCs w:val="17"/>
        </w:rPr>
        <w:t>, 2007, vol. 6, n° 3, pp. 83‑97.</w:t>
      </w:r>
      <w:r w:rsidRPr="00016D32">
        <w:rPr>
          <w:szCs w:val="17"/>
        </w:rPr>
        <w:fldChar w:fldCharType="end"/>
      </w:r>
    </w:p>
  </w:footnote>
  <w:footnote w:id="12">
    <w:p w14:paraId="6B9AA307" w14:textId="7B46CF59"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{"citationID":"UE8H5J12","properties":{"formattedCitation":"A. {\\scaps Sol\\uc0\\u233{}}, \\uc0\\u171{}\\uc0\\u160{}L\\uc0\\u8217{}entreprisation du monde\\uc0\\u160{}\\uc0\\u187{}, {\\i{}in} J. {\\scaps Chaize} et F. {\\scaps Torres} (\\uc0\\u233{}ds.), {\\i{}Repenser l\\uc0\\u8217{}entreprise\\uc0\\u8239{}: saisir ce qui commence, vingt regards sur un id\\uc0\\u233{}e neuve}, Paris, Le cherche midi, 2008, pp. 27\\uc0\\u8209{}54.","plainCitation":"A. Solé, « L’entreprisation du monde », in J. Chaize et F. Torres (éds.), Repenser l’entreprise : saisir ce qui commence, vingt regards sur un idée neuve, Paris, Le cherche midi, 2008, pp. 27‑54.","noteIndex":10},"citationItems":[{"id":2390,"uris":["http://zotero.org/users/5133869/items/NMHL7PTL"],"uri":["http://zotero.org/users/5133869/items/NMHL7PTL"],"itemData":{"id":2390,"type":"chapter","call-number":"HD33 .R45 2008","container-title":"Repenser l'entreprise : saisir ce qui commence, vingt regards sur un idée neuve","event-place":"Paris","ISBN":"978-2-7491-1166-7","page":"27-54","publisher":"Le cherche midi","publisher-place":"Paris","source":"Library of Congress ISBN","title":"L'entreprisation du monde","editor":[{"family":"Chaize","given":"Jacques"},{"family":"Torres","given":"Félix"}],"author":[{"family":"Solé","given":"Andreu"}],"issued":{"date-parts":[["2008"]]}}}],"schema":"https://github.com/citation-style-language/schema/raw/master/csl-citation.json"} </w:instrText>
      </w:r>
      <w:r w:rsidRPr="00016D32">
        <w:rPr>
          <w:szCs w:val="17"/>
        </w:rPr>
        <w:fldChar w:fldCharType="separate"/>
      </w:r>
      <w:r w:rsidR="001F0A79" w:rsidRPr="00016D32">
        <w:rPr>
          <w:szCs w:val="17"/>
        </w:rPr>
        <w:t xml:space="preserve">A. </w:t>
      </w:r>
      <w:r w:rsidR="001F0A79" w:rsidRPr="00016D32">
        <w:rPr>
          <w:smallCaps/>
          <w:szCs w:val="17"/>
        </w:rPr>
        <w:t>Solé</w:t>
      </w:r>
      <w:r w:rsidR="001F0A79" w:rsidRPr="00016D32">
        <w:rPr>
          <w:szCs w:val="17"/>
        </w:rPr>
        <w:t xml:space="preserve">, « L’entreprisation du monde », </w:t>
      </w:r>
      <w:r w:rsidR="001F0A79" w:rsidRPr="00016D32">
        <w:rPr>
          <w:i/>
          <w:iCs/>
          <w:szCs w:val="17"/>
        </w:rPr>
        <w:t>in</w:t>
      </w:r>
      <w:r w:rsidR="001F0A79" w:rsidRPr="00016D32">
        <w:rPr>
          <w:szCs w:val="17"/>
        </w:rPr>
        <w:t xml:space="preserve"> J. </w:t>
      </w:r>
      <w:r w:rsidR="001F0A79" w:rsidRPr="00016D32">
        <w:rPr>
          <w:smallCaps/>
          <w:szCs w:val="17"/>
        </w:rPr>
        <w:t>Chaize</w:t>
      </w:r>
      <w:r w:rsidR="001F0A79" w:rsidRPr="00016D32">
        <w:rPr>
          <w:szCs w:val="17"/>
        </w:rPr>
        <w:t xml:space="preserve"> et F. </w:t>
      </w:r>
      <w:r w:rsidR="001F0A79" w:rsidRPr="00016D32">
        <w:rPr>
          <w:smallCaps/>
          <w:szCs w:val="17"/>
        </w:rPr>
        <w:t>Torres</w:t>
      </w:r>
      <w:r w:rsidR="001F0A79" w:rsidRPr="00016D32">
        <w:rPr>
          <w:szCs w:val="17"/>
        </w:rPr>
        <w:t xml:space="preserve"> (éds.), </w:t>
      </w:r>
      <w:r w:rsidR="001F0A79" w:rsidRPr="00016D32">
        <w:rPr>
          <w:i/>
          <w:iCs/>
          <w:szCs w:val="17"/>
        </w:rPr>
        <w:t>Repenser l’entreprise : saisir ce qui commence, vingt regards sur un idée neuve</w:t>
      </w:r>
      <w:r w:rsidR="001F0A79" w:rsidRPr="00016D32">
        <w:rPr>
          <w:szCs w:val="17"/>
        </w:rPr>
        <w:t>, Paris, Le cherche midi, 2008, pp. 27‑54.</w:t>
      </w:r>
      <w:r w:rsidRPr="00016D32">
        <w:rPr>
          <w:szCs w:val="17"/>
        </w:rPr>
        <w:fldChar w:fldCharType="end"/>
      </w:r>
    </w:p>
  </w:footnote>
  <w:footnote w:id="13">
    <w:p w14:paraId="5571E322" w14:textId="6A96BEFA" w:rsidR="0067182F" w:rsidRPr="00016D32" w:rsidRDefault="0067182F" w:rsidP="00C840F8">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{"citationID":"A4Q42tCD","properties":{"formattedCitation":"L. {\\scaps Bruni}, {\\i{}La blessure de la rencontre\\uc0\\u8239{}: L\\uc0\\u8217{}\\uc0\\u233{}conomie au risque de la relation}, Bruy\\uc0\\u232{}res-le-Ch\\uc0\\u226{}tel, Nouvelle cit\\uc0\\u233{}, 2014, p. 64.","plainCitation":"L. Bruni, La blessure de la rencontre : L’économie au risque de la relation, Bruyères-le-Châtel, Nouvelle cité, 2014, p. 64.","noteIndex":11},"citationItems":[{"id":342,"uris":["http://zotero.org/users/5133869/items/LE9X9WRB"],"uri":["http://zotero.org/users/5133869/items/LE9X9WRB"],"itemData":{"id":342,"type":"book","event-place":"Bruyères-le-Châtel","ISBN":"978-2-85313-738-6","language":"French","note":"OCLC: 892730803","publisher":"Nouvelle cité","publisher-place":"Bruyères-le-Châtel","source":"Open WorldCat","title":"La blessure de la rencontre : L'économie au risque de la relation","author":[{"family":"Bruni","given":"Luigino"}],"issued":{"date-parts":[["2014"]]}},"locator":"64"}],"schema":"https://github.com/citation-style-language/schema/raw/master/csl-citation.json"} </w:instrText>
      </w:r>
      <w:r w:rsidRPr="00016D32">
        <w:rPr>
          <w:szCs w:val="17"/>
        </w:rPr>
        <w:fldChar w:fldCharType="separate"/>
      </w:r>
      <w:r w:rsidR="001F0A79" w:rsidRPr="00016D32">
        <w:rPr>
          <w:szCs w:val="17"/>
        </w:rPr>
        <w:t xml:space="preserve">L. </w:t>
      </w:r>
      <w:r w:rsidR="001F0A79" w:rsidRPr="00016D32">
        <w:rPr>
          <w:smallCaps/>
          <w:szCs w:val="17"/>
        </w:rPr>
        <w:t>Bruni</w:t>
      </w:r>
      <w:r w:rsidR="001F0A79" w:rsidRPr="00016D32">
        <w:rPr>
          <w:szCs w:val="17"/>
        </w:rPr>
        <w:t xml:space="preserve">, </w:t>
      </w:r>
      <w:r w:rsidR="001F0A79" w:rsidRPr="00016D32">
        <w:rPr>
          <w:i/>
          <w:iCs/>
          <w:szCs w:val="17"/>
        </w:rPr>
        <w:t>La blessure de la rencontre : L’économie au risque de la relation</w:t>
      </w:r>
      <w:r w:rsidR="001F0A79" w:rsidRPr="00016D32">
        <w:rPr>
          <w:szCs w:val="17"/>
        </w:rPr>
        <w:t>, Bruyères-le-Châtel, Nouvelle cité, 2014, p. 64.</w:t>
      </w:r>
      <w:r w:rsidRPr="00016D32">
        <w:rPr>
          <w:szCs w:val="17"/>
        </w:rPr>
        <w:fldChar w:fldCharType="end"/>
      </w:r>
    </w:p>
  </w:footnote>
  <w:footnote w:id="14">
    <w:p w14:paraId="2066AF37" w14:textId="655B2A0C" w:rsidR="0067182F" w:rsidRPr="00016D32" w:rsidRDefault="0067182F" w:rsidP="005D34A0">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{"citationID":"JmCmGAXX","properties":{"formattedCitation":"M. {\\scaps de} {\\scaps Nanteuil}, \\uc0\\u171{}\\uc0\\u160{}L\\uc0\\u8217{}\\uc0\\u233{}thique de responsabilit\\uc0\\u233{}... contre la RSE\\uc0\\u8239{}?\\uc0\\u160{}\\uc0\\u187{}, {\\i{}Sociologies pratiques}, 2009, vol. 18, n\\uc0\\u176{} 1, pp. 65\\uc0\\u8209{}66.","plainCitation":"M. de Nanteuil, « L’éthique de responsabilité... contre la RSE ? », Sociologies pratiques, 2009, vol. 18, n° 1, pp. 65‑66.","noteIndex":14},"citationItems":[{"id":339,"uris":["http://zotero.org/users/5133869/items/MCQJGJLQ"],"uri":["http://zotero.org/users/5133869/items/MCQJGJLQ"],"itemData":{"id":339,"type":"article-journal","container-title":"Sociologies pratiques","DOI":"10.3917/sopr.018.0065","ISSN":"1295-9278, 2104-3787","issue":"1","language":"fr","page":"65-77","source":"Crossref","title":"L'éthique de responsabilité... contre la RSE ?","volume":"18","author":[{"family":"Nanteuil","given":"Matthieu","non-dropping-particle":"de"}],"issued":{"date-parts":[["2009"]]}},"locator":"65-66"}],"schema":"https://github.com/citation-style-language/schema/raw/master/csl-citation.json"} </w:instrText>
      </w:r>
      <w:r w:rsidRPr="00016D32">
        <w:rPr>
          <w:szCs w:val="17"/>
        </w:rPr>
        <w:fldChar w:fldCharType="separate"/>
      </w:r>
      <w:r w:rsidR="001F0A79" w:rsidRPr="00016D32">
        <w:rPr>
          <w:szCs w:val="17"/>
        </w:rPr>
        <w:t xml:space="preserve">M. </w:t>
      </w:r>
      <w:r w:rsidR="001F0A79" w:rsidRPr="00016D32">
        <w:rPr>
          <w:smallCaps/>
          <w:szCs w:val="17"/>
        </w:rPr>
        <w:t>de</w:t>
      </w:r>
      <w:r w:rsidR="001F0A79" w:rsidRPr="00016D32">
        <w:rPr>
          <w:szCs w:val="17"/>
        </w:rPr>
        <w:t xml:space="preserve"> </w:t>
      </w:r>
      <w:r w:rsidR="001F0A79" w:rsidRPr="00016D32">
        <w:rPr>
          <w:smallCaps/>
          <w:szCs w:val="17"/>
        </w:rPr>
        <w:t>Nanteuil</w:t>
      </w:r>
      <w:r w:rsidR="001F0A79" w:rsidRPr="00016D32">
        <w:rPr>
          <w:szCs w:val="17"/>
        </w:rPr>
        <w:t xml:space="preserve">, « L’éthique de responsabilité... contre la RSE ? », </w:t>
      </w:r>
      <w:r w:rsidR="001F0A79" w:rsidRPr="00016D32">
        <w:rPr>
          <w:i/>
          <w:iCs/>
          <w:szCs w:val="17"/>
        </w:rPr>
        <w:t>Sociologies pratiques</w:t>
      </w:r>
      <w:r w:rsidR="001F0A79" w:rsidRPr="00016D32">
        <w:rPr>
          <w:szCs w:val="17"/>
        </w:rPr>
        <w:t>, 2009, vol. 18, n° 1, pp. 65‑66.</w:t>
      </w:r>
      <w:r w:rsidRPr="00016D32">
        <w:rPr>
          <w:szCs w:val="17"/>
        </w:rPr>
        <w:fldChar w:fldCharType="end"/>
      </w:r>
    </w:p>
  </w:footnote>
  <w:footnote w:id="15">
    <w:p w14:paraId="0FC81709" w14:textId="5E533CE0" w:rsidR="0067182F" w:rsidRPr="00016D32" w:rsidRDefault="0067182F" w:rsidP="005D34A0">
      <w:pPr>
        <w:pStyle w:val="Notedebasdepage"/>
        <w:rPr>
          <w:i/>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{"citationID":"NIrlTOEr","properties":{"formattedCitation":"I. {\\scaps Daugareilh}, \\uc0\\u171{}\\uc0\\u160{}La responsabilit\\uc0\\u233{} sociale des entreprises en qu\\uc0\\u234{}te d\\uc0\\u8217{}opposabilit\\uc0\\u233{}\\uc0\\u160{}\\uc0\\u187{}, in {\\i{}Prendre la responsabilit\\uc0\\u233{} au s\\uc0\\u233{}rieux}, Paris, Presses universitaires de France, 2015, pp. 183\\uc0\\u8209{}199\\uc0\\u160{}; S. {\\scaps Chassagnard-Pinet} et G. {\\scaps Delalieux}, \\uc0\\u171{}\\uc0\\u160{}La privatisation des normes de l\\uc0\\u8217{}entreprise\\uc0\\u8239{}: codes de conduite, chartes priv\\uc0\\u233{}es, m\\uc0\\u233{}canismes et certification sociale et environnementale\\uc0\\u160{}\\uc0\\u187{}, {\\i{}op. cit.}, p. 90.","plainCitation":"I. Daugareilh, « La responsabilité sociale des entreprises en quête d’opposabilité », in Prendre la responsabilité au sérieux, Paris, Presses universitaires de France, 2015, pp. 183‑199 ; S. Chassagnard-Pinet et G. Delalieux, « La privatisation des normes de l’entreprise : codes de conduite, chartes privées, mécanismes et certification sociale et environnementale », op. cit., p. 90.","noteIndex":13},"citationItems":[{"id":340,"uris":["http://zotero.org/users/5133869/items/BAXH9YSY"],"uri":["http://zotero.org/users/5133869/items/BAXH9YSY"],"itemData":{"id":340,"type":"chapter","container-title":"Prendre la responsabilité au sérieux","event-place":"Paris","page":"183-199","publisher":"Presses universitaires de France","publisher-place":"Paris","title":"La responsabilité sociale des entreprises en quête d'opposabilité","author":[{"family":"Daugareilh","given":"Isabelle"}],"issued":{"date-parts":[["2015"]]}},"locator":"183-199"},{"id":1351,"uris":["http://zotero.org/users/5133869/items/QPIT9X8Z"],"uri":["http://zotero.org/users/5133869/items/QPIT9X8Z"],"itemData":{"id":1351,"type":"article-journal","container-title":"Journal européen des droits de l'homme","issue":"1","page":"83-100","title":"La privatisation des normes de l’entreprise : codes de conduite, chartes privées, mécanismes et certification sociale et environnementale","author":[{"family":"Chassagnard-Pinet","given":"S"},{"family":"Delalieux","given":"G"}],"issued":{"date-parts":[["2013"]]}},"locator":"90"}],"schema":"https://github.com/citation-style-language/schema/raw/master/csl-citation.json"} </w:instrText>
      </w:r>
      <w:r w:rsidRPr="00016D32">
        <w:rPr>
          <w:szCs w:val="17"/>
        </w:rPr>
        <w:fldChar w:fldCharType="separate"/>
      </w:r>
      <w:r w:rsidR="001F0A79" w:rsidRPr="00016D32">
        <w:rPr>
          <w:szCs w:val="17"/>
        </w:rPr>
        <w:t xml:space="preserve">I. </w:t>
      </w:r>
      <w:r w:rsidR="001F0A79" w:rsidRPr="00016D32">
        <w:rPr>
          <w:smallCaps/>
          <w:szCs w:val="17"/>
        </w:rPr>
        <w:t>Daugareilh</w:t>
      </w:r>
      <w:r w:rsidR="001F0A79" w:rsidRPr="00016D32">
        <w:rPr>
          <w:szCs w:val="17"/>
        </w:rPr>
        <w:t xml:space="preserve">, « La responsabilité sociale des entreprises en quête d’opposabilité », in </w:t>
      </w:r>
      <w:r w:rsidR="001F0A79" w:rsidRPr="00016D32">
        <w:rPr>
          <w:i/>
          <w:iCs/>
          <w:szCs w:val="17"/>
        </w:rPr>
        <w:t>Prendre la responsabilité au sérieux</w:t>
      </w:r>
      <w:r w:rsidR="001F0A79" w:rsidRPr="00016D32">
        <w:rPr>
          <w:szCs w:val="17"/>
        </w:rPr>
        <w:t xml:space="preserve">, Paris, Presses universitaires de France, 2015, pp. 183‑199 ; S. </w:t>
      </w:r>
      <w:r w:rsidR="001F0A79" w:rsidRPr="00016D32">
        <w:rPr>
          <w:smallCaps/>
          <w:szCs w:val="17"/>
        </w:rPr>
        <w:t>Chassagnard-Pinet</w:t>
      </w:r>
      <w:r w:rsidR="001F0A79" w:rsidRPr="00016D32">
        <w:rPr>
          <w:szCs w:val="17"/>
        </w:rPr>
        <w:t xml:space="preserve"> et G. </w:t>
      </w:r>
      <w:r w:rsidR="001F0A79" w:rsidRPr="00016D32">
        <w:rPr>
          <w:smallCaps/>
          <w:szCs w:val="17"/>
        </w:rPr>
        <w:t>Delalieux</w:t>
      </w:r>
      <w:r w:rsidR="001F0A79" w:rsidRPr="00016D32">
        <w:rPr>
          <w:szCs w:val="17"/>
        </w:rPr>
        <w:t xml:space="preserve">, « La privatisation des normes de l’entreprise : codes de conduite, chartes privées, mécanismes et certification sociale et environnementale », </w:t>
      </w:r>
      <w:r w:rsidR="001F0A79" w:rsidRPr="00016D32">
        <w:rPr>
          <w:i/>
          <w:iCs/>
          <w:szCs w:val="17"/>
        </w:rPr>
        <w:t>op. cit.</w:t>
      </w:r>
      <w:r w:rsidR="001F0A79" w:rsidRPr="00016D32">
        <w:rPr>
          <w:szCs w:val="17"/>
        </w:rPr>
        <w:t>, p. 90.</w:t>
      </w:r>
      <w:r w:rsidRPr="00016D32">
        <w:rPr>
          <w:szCs w:val="17"/>
        </w:rPr>
        <w:fldChar w:fldCharType="end"/>
      </w:r>
    </w:p>
  </w:footnote>
  <w:footnote w:id="16">
    <w:p w14:paraId="30A9DFB7" w14:textId="3959DF17" w:rsidR="0067182F" w:rsidRPr="00016D32" w:rsidRDefault="0067182F" w:rsidP="006032EA">
      <w:pPr>
        <w:pStyle w:val="Notedebasdepage"/>
        <w:rPr>
          <w:szCs w:val="17"/>
        </w:rPr>
      </w:pPr>
      <w:r w:rsidRPr="00016D32">
        <w:rPr>
          <w:rStyle w:val="Appelnotedebasdep"/>
          <w:szCs w:val="17"/>
        </w:rPr>
        <w:footnoteRef/>
      </w:r>
      <w:r w:rsidRPr="00016D32">
        <w:rPr>
          <w:szCs w:val="17"/>
        </w:rPr>
        <w:t xml:space="preserve"> Sur ce point, </w:t>
      </w:r>
      <w:proofErr w:type="spellStart"/>
      <w:r w:rsidRPr="00016D32">
        <w:rPr>
          <w:szCs w:val="17"/>
        </w:rPr>
        <w:t>voy</w:t>
      </w:r>
      <w:proofErr w:type="spellEnd"/>
      <w:r w:rsidRPr="00016D32">
        <w:rPr>
          <w:szCs w:val="17"/>
        </w:rPr>
        <w:t>. </w:t>
      </w:r>
      <w:r w:rsidRPr="00016D32">
        <w:rPr>
          <w:szCs w:val="17"/>
        </w:rPr>
        <w:fldChar w:fldCharType="begin"/>
      </w:r>
      <w:r w:rsidR="001F0A79" w:rsidRPr="00016D32">
        <w:rPr>
          <w:szCs w:val="17"/>
        </w:rPr>
        <w:instrText xml:space="preserve"> ADDIN ZOTERO_ITEM CSL_CITATION {"citationID":"fhn5EUGM","properties":{"formattedCitation":"A. {\\scaps Martens}, \\uc0\\u171{}\\uc0\\u160{}Des neutralit\\uc0\\u233{}s \\uc0\\u224{} \\uc0\\u8220{}(re)construire\\uc0\\u8221{}\\uc0\\u8239{}: d\\uc0\\u233{}fis de la d\\uc0\\u233{}mographie future\\uc0\\u8239{}?\\uc0\\u160{}\\uc0\\u187{}, in {\\i{}Neutralit\\uc0\\u233{} et faits religieux. Quelles interactions dans les services publics\\uc0\\u8239{}?}, Louvain-la-Neuve, Academia, 2014, pp. 195\\uc0\\u8209{}205\\uc0\\u160{}; J. {\\scaps Ringelheim} et V. {\\scaps van der} {\\scaps Plancke}, \\uc0\\u171{}\\uc0\\u160{}Plans de diversit\\uc0\\u233{} dans l\\uc0\\u8217{}entreprise\\uc0\\u8239{}: action positive ou communication positive\\uc0\\u8239{}? \\uc0\\u8211{} Le cas de la R\\uc0\\u233{}gion de Bruxelles-Capitale\\uc0\\u160{}\\uc0\\u187{}, in {\\i{}Actualit\\uc0\\u233{}s du droit de la lutte contre la discrimination}, Bruges, La Charte, 2010, pp. 311\\uc0\\u8209{}352\\uc0\\u160{}; O. {\\scaps De Schutter}, {\\i{}Discriminations et march\\uc0\\u233{} du travail. Libert\\uc0\\u233{} et \\uc0\\u233{}galit\\uc0\\u233{} dans les rapports d\\uc0\\u8217{}emploi}, Bruxelles, P.I.E. - Peter Lang, 2001, p. 27.","plainCitation":"A. Martens, « Des neutralités à “(re)construire” : défis de la démographie future ? », in Neutralité et faits religieux. Quelles interactions dans les services publics ?, Louvain-la-Neuve, Academia, 2014, pp. 195‑205 ; J. Ringelheim et V. van der Plancke, « Plans de diversité dans l’entreprise : action positive ou communication positive ? – Le cas de la Région de Bruxelles-Capitale », in Actualités du droit de la lutte contre la discrimination, Bruges, La Charte, 2010, pp. 311‑352 ; O. De Schutter, Discriminations et marché du travail. Liberté et égalité dans les rapports d’emploi, Bruxelles, P.I.E. - Peter Lang, 2001, p. 27.","noteIndex":14},"citationItems":[{"id":506,"uris":["http://zotero.org/users/5133869/items/ADALVRRM"],"uri":["http://zotero.org/users/5133869/items/ADALVRRM"],"itemData":{"id":506,"type":"chapter","container-title":"Neutralité et faits religieux. Quelles interactions dans les services publics ?","event-place":"Louvain-la-Neuve","page":"195-205","publisher":"Academia","publisher-place":"Louvain-la-Neuve","title":"Des neutralités à \"(re)construire\" : défis de la démographie future ?","author":[{"family":"Martens","given":"Albert"}],"issued":{"date-parts":[["2014"]]}}},{"id":948,"uris":["http://zotero.org/users/5133869/items/ERD5F67T"],"uri":["http://zotero.org/users/5133869/items/ERD5F67T"],"itemData":{"id":948,"type":"chapter","container-title":"Actualités du droit de la lutte contre la discrimination","event-place":"Bruges","page":"311-352","publisher":"La Charte","publisher-place":"Bruges","title":"Plans de diversité dans l’entreprise : action positive ou communication positive ? – Le cas de la Région de Bruxelles-Capitale","author":[{"family":"Ringelheim","given":"Julie"},{"family":"Plancke","given":"Véronique","non-dropping-particle":"van der"}],"issued":{"date-parts":[["2010"]]}}},{"id":711,"uris":["http://zotero.org/users/5133869/items/MAECPTZY"],"uri":["http://zotero.org/users/5133869/items/MAECPTZY"],"itemData":{"id":711,"type":"book","event-place":"Bruxelles","publisher":"P.I.E. - Peter Lang","publisher-place":"Bruxelles","title":"Discriminations et marché du travail. Liberté et égalité dans les rapports d’emploi","author":[{"family":"De Schutter","given":"Olivier"}],"issued":{"date-parts":[["2001"]]}},"locator":"27"}],"schema":"https://github.com/citation-style-language/schema/raw/master/csl-citation.json"} </w:instrText>
      </w:r>
      <w:r w:rsidRPr="00016D32">
        <w:rPr>
          <w:szCs w:val="17"/>
        </w:rPr>
        <w:fldChar w:fldCharType="separate"/>
      </w:r>
      <w:r w:rsidR="001F0A79" w:rsidRPr="00016D32">
        <w:rPr>
          <w:szCs w:val="17"/>
        </w:rPr>
        <w:t xml:space="preserve">A. </w:t>
      </w:r>
      <w:r w:rsidR="001F0A79" w:rsidRPr="00016D32">
        <w:rPr>
          <w:smallCaps/>
          <w:szCs w:val="17"/>
        </w:rPr>
        <w:t>Martens</w:t>
      </w:r>
      <w:r w:rsidR="001F0A79" w:rsidRPr="00016D32">
        <w:rPr>
          <w:szCs w:val="17"/>
        </w:rPr>
        <w:t xml:space="preserve">, « Des neutralités à “(re)construire” : défis de la démographie future ? », in </w:t>
      </w:r>
      <w:r w:rsidR="001F0A79" w:rsidRPr="00016D32">
        <w:rPr>
          <w:i/>
          <w:iCs/>
          <w:szCs w:val="17"/>
        </w:rPr>
        <w:t>Neutralité et faits religieux. Quelles interactions dans les services publics ?</w:t>
      </w:r>
      <w:r w:rsidR="001F0A79" w:rsidRPr="00016D32">
        <w:rPr>
          <w:szCs w:val="17"/>
        </w:rPr>
        <w:t xml:space="preserve">, Louvain-la-Neuve, Academia, 2014, pp. 195‑205 ; J. </w:t>
      </w:r>
      <w:r w:rsidR="001F0A79" w:rsidRPr="00016D32">
        <w:rPr>
          <w:smallCaps/>
          <w:szCs w:val="17"/>
        </w:rPr>
        <w:t>Ringelheim</w:t>
      </w:r>
      <w:r w:rsidR="001F0A79" w:rsidRPr="00016D32">
        <w:rPr>
          <w:szCs w:val="17"/>
        </w:rPr>
        <w:t xml:space="preserve"> et V. </w:t>
      </w:r>
      <w:r w:rsidR="001F0A79" w:rsidRPr="00016D32">
        <w:rPr>
          <w:smallCaps/>
          <w:szCs w:val="17"/>
        </w:rPr>
        <w:t>van der</w:t>
      </w:r>
      <w:r w:rsidR="001F0A79" w:rsidRPr="00016D32">
        <w:rPr>
          <w:szCs w:val="17"/>
        </w:rPr>
        <w:t xml:space="preserve"> </w:t>
      </w:r>
      <w:r w:rsidR="001F0A79" w:rsidRPr="00016D32">
        <w:rPr>
          <w:smallCaps/>
          <w:szCs w:val="17"/>
        </w:rPr>
        <w:t>Plancke</w:t>
      </w:r>
      <w:r w:rsidR="001F0A79" w:rsidRPr="00016D32">
        <w:rPr>
          <w:szCs w:val="17"/>
        </w:rPr>
        <w:t xml:space="preserve">, « Plans de diversité dans l’entreprise : action positive ou communication positive ? – Le cas de la Région de Bruxelles-Capitale », in </w:t>
      </w:r>
      <w:r w:rsidR="001F0A79" w:rsidRPr="00016D32">
        <w:rPr>
          <w:i/>
          <w:iCs/>
          <w:szCs w:val="17"/>
        </w:rPr>
        <w:t>Actualités du droit de la lutte contre la discrimination</w:t>
      </w:r>
      <w:r w:rsidR="001F0A79" w:rsidRPr="00016D32">
        <w:rPr>
          <w:szCs w:val="17"/>
        </w:rPr>
        <w:t xml:space="preserve">, Bruges, La Charte, 2010, pp. 311‑352 ; O. </w:t>
      </w:r>
      <w:r w:rsidR="001F0A79" w:rsidRPr="00016D32">
        <w:rPr>
          <w:smallCaps/>
          <w:szCs w:val="17"/>
        </w:rPr>
        <w:t>De Schutter</w:t>
      </w:r>
      <w:r w:rsidR="001F0A79" w:rsidRPr="00016D32">
        <w:rPr>
          <w:szCs w:val="17"/>
        </w:rPr>
        <w:t xml:space="preserve">, </w:t>
      </w:r>
      <w:r w:rsidR="001F0A79" w:rsidRPr="00016D32">
        <w:rPr>
          <w:i/>
          <w:iCs/>
          <w:szCs w:val="17"/>
        </w:rPr>
        <w:t>Discriminations et marché du travail. Liberté et égalité dans les rapports d’emploi</w:t>
      </w:r>
      <w:r w:rsidR="001F0A79" w:rsidRPr="00016D32">
        <w:rPr>
          <w:szCs w:val="17"/>
        </w:rPr>
        <w:t>, Bruxelles, P.I.E. - Peter Lang, 2001, p. 27.</w:t>
      </w:r>
      <w:r w:rsidRPr="00016D32">
        <w:rPr>
          <w:szCs w:val="17"/>
        </w:rPr>
        <w:fldChar w:fldCharType="end"/>
      </w:r>
    </w:p>
  </w:footnote>
  <w:footnote w:id="17">
    <w:p w14:paraId="630E1DA5" w14:textId="7B9F7EC1"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{"citationID":"vavDJIGw","properties":{"formattedCitation":"P. {\\scaps van} {\\scaps Parijs} (\\uc0\\u233{}d.), {\\i{}Ni ghetto ni tour d\\uc0\\u8217{}ivoire\\uc0\\u8239{}: l\\uc0\\u8217{}\\uc0\\u233{}thique \\uc0\\u233{}conomique et sociale aujourd\\uc0\\u8217{}hui}, Louvain-la-Neuve, Academia, 1993, p. 98\\uc0\\u160{}; O. {\\scaps Favereau} et B. {\\scaps Roger}, {\\i{}Penser l\\uc0\\u8217{}entreprise}, {\\i{}op. cit.}, p. 22.","plainCitation":"P. van Parijs (éd.), Ni ghetto ni tour d’ivoire : l’éthique économique et sociale aujourd’hui, Louvain-la-Neuve, Academia, 1993, p. 98 ; O. Favereau et B. Roger, Penser l’entreprise, op. cit., p. 22.","noteIndex":17},"citationItems":[{"id":2567,"uris":["http://zotero.org/users/5133869/items/QBKPY96S"],"uri":["http://zotero.org/users/5133869/items/QBKPY96S"],"itemData":{"id":2567,"type":"book","call-number":"HB72 .N5 1993","event-place":"Louvain-la-Neuve","ISBN":"978-2-87209-200-0","number-of-pages":"137","publisher":"Academia","publisher-place":"Louvain-la-Neuve","source":"Library of Congress ISBN","title":"Ni ghetto ni tour d'ivoire : l'éthique économique et sociale aujourd'hui","title-short":"Ni ghetto ni tour d'ivoire","editor":[{"family":"Parijs","given":"Philippe","non-dropping-particle":"van"}],"issued":{"date-parts":[["1993"]]}},"locator":"98"},{"id":327,"uris":["http://zotero.org/users/5133869/items/MC3N5ZYB"],"uri":["http://zotero.org/users/5133869/items/MC3N5ZYB"],"itemData":{"id":327,"type":"book","call-number":"HD33 .F37 2015","collection-number":"5","collection-title":"Perspectives &amp; propositions","event-place":"Les Plans-sur-Bex","ISBN":"978-2-88918-530-6","language":"fre eng","number-of-pages":"120","publisher":"Parole et silence","publisher-place":"Les Plans-sur-Bex","source":"Library of Congress ISBN","title":"Penser l'entreprise: nouvel horizon du politique","title-short":"Penser l'entreprise","author":[{"family":"Favereau","given":"Olivier"},{"family":"Roger","given":"Baudoin"}],"issued":{"date-parts":[["2015"]]}},"locator":"22"}],"schema":"https://github.com/citation-style-language/schema/raw/master/csl-citation.json"} </w:instrText>
      </w:r>
      <w:r w:rsidRPr="00016D32">
        <w:rPr>
          <w:szCs w:val="17"/>
        </w:rPr>
        <w:fldChar w:fldCharType="separate"/>
      </w:r>
      <w:r w:rsidR="001F0A79" w:rsidRPr="00016D32">
        <w:rPr>
          <w:szCs w:val="17"/>
        </w:rPr>
        <w:t xml:space="preserve">P. </w:t>
      </w:r>
      <w:r w:rsidR="001F0A79" w:rsidRPr="00016D32">
        <w:rPr>
          <w:smallCaps/>
          <w:szCs w:val="17"/>
        </w:rPr>
        <w:t>van</w:t>
      </w:r>
      <w:r w:rsidR="001F0A79" w:rsidRPr="00016D32">
        <w:rPr>
          <w:szCs w:val="17"/>
        </w:rPr>
        <w:t xml:space="preserve"> </w:t>
      </w:r>
      <w:r w:rsidR="001F0A79" w:rsidRPr="00016D32">
        <w:rPr>
          <w:smallCaps/>
          <w:szCs w:val="17"/>
        </w:rPr>
        <w:t>Parijs</w:t>
      </w:r>
      <w:r w:rsidR="001F0A79" w:rsidRPr="00016D32">
        <w:rPr>
          <w:szCs w:val="17"/>
        </w:rPr>
        <w:t xml:space="preserve"> (éd.), </w:t>
      </w:r>
      <w:r w:rsidR="001F0A79" w:rsidRPr="00016D32">
        <w:rPr>
          <w:i/>
          <w:iCs/>
          <w:szCs w:val="17"/>
        </w:rPr>
        <w:t>Ni ghetto ni tour d’ivoire : l’éthique économique et sociale aujourd’hui</w:t>
      </w:r>
      <w:r w:rsidR="001F0A79" w:rsidRPr="00016D32">
        <w:rPr>
          <w:szCs w:val="17"/>
        </w:rPr>
        <w:t xml:space="preserve">, Louvain-la-Neuve, Academia, 1993, p. 98 ; O. </w:t>
      </w:r>
      <w:r w:rsidR="001F0A79" w:rsidRPr="00016D32">
        <w:rPr>
          <w:smallCaps/>
          <w:szCs w:val="17"/>
        </w:rPr>
        <w:t>Favereau</w:t>
      </w:r>
      <w:r w:rsidR="001F0A79" w:rsidRPr="00016D32">
        <w:rPr>
          <w:szCs w:val="17"/>
        </w:rPr>
        <w:t xml:space="preserve"> et B. </w:t>
      </w:r>
      <w:r w:rsidR="001F0A79" w:rsidRPr="00016D32">
        <w:rPr>
          <w:smallCaps/>
          <w:szCs w:val="17"/>
        </w:rPr>
        <w:t>Roger</w:t>
      </w:r>
      <w:r w:rsidR="001F0A79" w:rsidRPr="00016D32">
        <w:rPr>
          <w:szCs w:val="17"/>
        </w:rPr>
        <w:t xml:space="preserve">, </w:t>
      </w:r>
      <w:r w:rsidR="001F0A79" w:rsidRPr="00016D32">
        <w:rPr>
          <w:i/>
          <w:iCs/>
          <w:szCs w:val="17"/>
        </w:rPr>
        <w:t>Penser l’entreprise</w:t>
      </w:r>
      <w:r w:rsidR="001F0A79" w:rsidRPr="00016D32">
        <w:rPr>
          <w:szCs w:val="17"/>
        </w:rPr>
        <w:t xml:space="preserve">, </w:t>
      </w:r>
      <w:r w:rsidR="001F0A79" w:rsidRPr="00016D32">
        <w:rPr>
          <w:i/>
          <w:iCs/>
          <w:szCs w:val="17"/>
        </w:rPr>
        <w:t>op. cit.</w:t>
      </w:r>
      <w:r w:rsidR="001F0A79" w:rsidRPr="00016D32">
        <w:rPr>
          <w:szCs w:val="17"/>
        </w:rPr>
        <w:t>, p. 22.</w:t>
      </w:r>
      <w:r w:rsidRPr="00016D32">
        <w:rPr>
          <w:szCs w:val="17"/>
        </w:rPr>
        <w:fldChar w:fldCharType="end"/>
      </w:r>
    </w:p>
  </w:footnote>
  <w:footnote w:id="18">
    <w:p w14:paraId="26573F91" w14:textId="62DD2759" w:rsidR="0018559C" w:rsidRPr="00016D32" w:rsidRDefault="0018559C" w:rsidP="0018559C">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Pr>
          <w:szCs w:val="17"/>
        </w:rPr>
        <w:instrText xml:space="preserve"> ADDIN ZOTERO_ITEM CSL_CITATION {"citationID":"oKC3hfcQ","properties":{"formattedCitation":"M. {\\scaps de} {\\scaps Nanteuil}, \\uc0\\u171{}\\uc0\\u160{}L\\uc0\\u8217{}\\uc0\\u233{}thique de responsabilit\\uc0\\u233{}... contre la RSE\\uc0\\u8239{}?\\uc0\\u160{}\\uc0\\u187{}, {\\i{}op. cit.}, pp. 67\\uc0\\u8209{}68.","plainCitation":"M. de Nanteuil, « L’éthique de responsabilité... contre la RSE ? », op. cit., pp. 67‑68.","noteIndex":18},"citationItems":[{"id":339,"uris":["http://zotero.org/users/5133869/items/MCQJGJLQ"],"uri":["http://zotero.org/users/5133869/items/MCQJGJLQ"],"itemData":{"id":339,"type":"article-journal","container-title":"Sociologies pratiques","DOI":"10.3917/sopr.018.0065","ISSN":"1295-9278, 2104-3787","issue":"1","language":"fr","page":"65-77","source":"Crossref","title":"L'éthique de responsabilité... contre la RSE ?","volume":"18","author":[{"family":"Nanteuil","given":"Matthieu","non-dropping-particle":"de"}],"issued":{"date-parts":[["2009"]]}},"locator":"67-68"}],"schema":"https://github.com/citation-style-language/schema/raw/master/csl-citation.json"} </w:instrText>
      </w:r>
      <w:r w:rsidRPr="00016D32">
        <w:rPr>
          <w:szCs w:val="17"/>
        </w:rPr>
        <w:fldChar w:fldCharType="separate"/>
      </w:r>
      <w:r w:rsidRPr="0018559C">
        <w:rPr>
          <w:szCs w:val="24"/>
        </w:rPr>
        <w:t xml:space="preserve">M. </w:t>
      </w:r>
      <w:r w:rsidRPr="0018559C">
        <w:rPr>
          <w:smallCaps/>
          <w:szCs w:val="24"/>
        </w:rPr>
        <w:t>de</w:t>
      </w:r>
      <w:r w:rsidRPr="0018559C">
        <w:rPr>
          <w:szCs w:val="24"/>
        </w:rPr>
        <w:t xml:space="preserve"> </w:t>
      </w:r>
      <w:r w:rsidRPr="0018559C">
        <w:rPr>
          <w:smallCaps/>
          <w:szCs w:val="24"/>
        </w:rPr>
        <w:t>Nanteuil</w:t>
      </w:r>
      <w:r w:rsidRPr="0018559C">
        <w:rPr>
          <w:szCs w:val="24"/>
        </w:rPr>
        <w:t xml:space="preserve">, « L’éthique de responsabilité... contre la RSE ? », </w:t>
      </w:r>
      <w:r w:rsidRPr="0018559C">
        <w:rPr>
          <w:i/>
          <w:iCs/>
          <w:szCs w:val="24"/>
        </w:rPr>
        <w:t>op. cit.</w:t>
      </w:r>
      <w:r w:rsidRPr="0018559C">
        <w:rPr>
          <w:szCs w:val="24"/>
        </w:rPr>
        <w:t>, pp. 67‑68.</w:t>
      </w:r>
      <w:r w:rsidRPr="00016D32">
        <w:rPr>
          <w:szCs w:val="17"/>
        </w:rPr>
        <w:fldChar w:fldCharType="end"/>
      </w:r>
    </w:p>
  </w:footnote>
  <w:footnote w:id="19">
    <w:p w14:paraId="5686A9CA" w14:textId="643217CB" w:rsidR="0067182F" w:rsidRPr="00016D32" w:rsidRDefault="0067182F" w:rsidP="009466B7">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8559C">
        <w:rPr>
          <w:szCs w:val="17"/>
        </w:rPr>
        <w:instrText xml:space="preserve"> ADDIN ZOTERO_ITEM CSL_CITATION {"citationID":"Yv1dzTIC","properties":{"formattedCitation":"O. {\\scaps Favereau} et B. {\\scaps Roger}, {\\i{}Penser l\\uc0\\u8217{}entreprise}, {\\i{}op. cit.}, p. 22.","plainCitation":"O. Favereau et B. Roger, Penser l’entreprise, op. cit., p. 22.","noteIndex":19},"citationItems":[{"id":327,"uris":["http://zotero.org/users/5133869/items/MC3N5ZYB"],"uri":["http://zotero.org/users/5133869/items/MC3N5ZYB"],"itemData":{"id":327,"type":"book","call-number":"HD33 .F37 2015","collection-number":"5","collection-title":"Perspectives &amp; propositions","event-place":"Les Plans-sur-Bex","ISBN":"978-2-88918-530-6","language":"fre eng","number-of-pages":"120","publisher":"Parole et silence","publisher-place":"Les Plans-sur-Bex","source":"Library of Congress ISBN","title":"Penser l'entreprise: nouvel horizon du politique","title-short":"Penser l'entreprise","author":[{"family":"Favereau","given":"Olivier"},{"family":"Roger","given":"Baudoin"}],"issued":{"date-parts":[["2015"]]}},"locator":"22"}],"schema":"https://github.com/citation-style-language/schema/raw/master/csl-citation.json"} </w:instrText>
      </w:r>
      <w:r w:rsidRPr="00016D32">
        <w:rPr>
          <w:szCs w:val="17"/>
        </w:rPr>
        <w:fldChar w:fldCharType="separate"/>
      </w:r>
      <w:r w:rsidR="0018559C" w:rsidRPr="0018559C">
        <w:rPr>
          <w:szCs w:val="24"/>
        </w:rPr>
        <w:t xml:space="preserve">O. </w:t>
      </w:r>
      <w:r w:rsidR="0018559C" w:rsidRPr="0018559C">
        <w:rPr>
          <w:smallCaps/>
          <w:szCs w:val="24"/>
        </w:rPr>
        <w:t>Favereau</w:t>
      </w:r>
      <w:r w:rsidR="0018559C" w:rsidRPr="0018559C">
        <w:rPr>
          <w:szCs w:val="24"/>
        </w:rPr>
        <w:t xml:space="preserve"> et B. </w:t>
      </w:r>
      <w:r w:rsidR="0018559C" w:rsidRPr="0018559C">
        <w:rPr>
          <w:smallCaps/>
          <w:szCs w:val="24"/>
        </w:rPr>
        <w:t>Roger</w:t>
      </w:r>
      <w:r w:rsidR="0018559C" w:rsidRPr="0018559C">
        <w:rPr>
          <w:szCs w:val="24"/>
        </w:rPr>
        <w:t xml:space="preserve">, </w:t>
      </w:r>
      <w:r w:rsidR="0018559C" w:rsidRPr="0018559C">
        <w:rPr>
          <w:i/>
          <w:iCs/>
          <w:szCs w:val="24"/>
        </w:rPr>
        <w:t>Penser l’entreprise</w:t>
      </w:r>
      <w:r w:rsidR="0018559C" w:rsidRPr="0018559C">
        <w:rPr>
          <w:szCs w:val="24"/>
        </w:rPr>
        <w:t xml:space="preserve">, </w:t>
      </w:r>
      <w:r w:rsidR="0018559C" w:rsidRPr="0018559C">
        <w:rPr>
          <w:i/>
          <w:iCs/>
          <w:szCs w:val="24"/>
        </w:rPr>
        <w:t>op. cit.</w:t>
      </w:r>
      <w:r w:rsidR="0018559C" w:rsidRPr="0018559C">
        <w:rPr>
          <w:szCs w:val="24"/>
        </w:rPr>
        <w:t>, p. 22.</w:t>
      </w:r>
      <w:r w:rsidRPr="00016D32">
        <w:rPr>
          <w:szCs w:val="17"/>
        </w:rPr>
        <w:fldChar w:fldCharType="end"/>
      </w:r>
    </w:p>
  </w:footnote>
  <w:footnote w:id="20">
    <w:p w14:paraId="17E0AE3A" w14:textId="31C6A6B7" w:rsidR="0067182F" w:rsidRPr="00016D32" w:rsidRDefault="0067182F" w:rsidP="00E240DF">
      <w:pPr>
        <w:pStyle w:val="Notedebasdepage"/>
        <w:rPr>
          <w:szCs w:val="17"/>
        </w:rPr>
      </w:pPr>
      <w:r w:rsidRPr="00016D32">
        <w:rPr>
          <w:rStyle w:val="Appelnotedebasdep"/>
          <w:szCs w:val="17"/>
        </w:rPr>
        <w:footnoteRef/>
      </w:r>
      <w:r w:rsidRPr="00016D32">
        <w:rPr>
          <w:szCs w:val="17"/>
        </w:rPr>
        <w:t xml:space="preserve"> Cette hypothèse d’entreprise à visée non prioritairement lucrative se retrouve par exemple dans la figure de l</w:t>
      </w:r>
      <w:proofErr w:type="gramStart"/>
      <w:r w:rsidRPr="00016D32">
        <w:rPr>
          <w:szCs w:val="17"/>
        </w:rPr>
        <w:t>’«</w:t>
      </w:r>
      <w:proofErr w:type="gramEnd"/>
      <w:r w:rsidRPr="00016D32">
        <w:rPr>
          <w:szCs w:val="17"/>
        </w:rPr>
        <w:t xml:space="preserve"> entreprise sociale », prévue par le nouveau Code belge des sociétés </w:t>
      </w:r>
      <w:r w:rsidR="0018559C" w:rsidRPr="00016D32">
        <w:rPr>
          <w:szCs w:val="17"/>
        </w:rPr>
        <w:t xml:space="preserve">et associations </w:t>
      </w:r>
      <w:r w:rsidRPr="00016D32">
        <w:rPr>
          <w:szCs w:val="17"/>
        </w:rPr>
        <w:t>(art. 8:5) en tant que forme particulière de société coopérative. En France, ce type d’entreprise fait écho au secteur dit de « l’économie sociale et solidaire », dont les entreprises ont pour principe l’absence de lucre ou, à tout le moins, une lucrativité limitée.</w:t>
      </w:r>
    </w:p>
  </w:footnote>
  <w:footnote w:id="21">
    <w:p w14:paraId="6D3CEC5F" w14:textId="045B7B12" w:rsidR="0067182F" w:rsidRPr="00016D32" w:rsidRDefault="0067182F" w:rsidP="00F80504">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{"citationID":"Rpt8fIWI","properties":{"formattedCitation":"K. {\\scaps Levillain}, \\uc0\\u171{}\\uc0\\u160{}L\\uc0\\u8217{}exemple am\\uc0\\u233{}ricain\\uc0\\u8239{}: les flexible purpose corporations\\uc0\\u160{}\\uc0\\u187{}, in {\\i{}La \\uc0\\u171{}\\uc0\\u8239{}Soci\\uc0\\u233{}t\\uc0\\u233{} \\uc0\\u224{} Objet Social Etendu\\uc0\\u8239{}\\uc0\\u187{}\\uc0\\u8239{}: un nouveau statut pour l\\uc0\\u8217{}entreprise}, Paris, Presses des Mines, 2015, p. XXX.","plainCitation":"K. Levillain, « L’exemple américain : les flexible purpose corporations », in La « Société à Objet Social Etendu » : un nouveau statut pour l’entreprise, Paris, Presses des Mines, 2015, p. XXX.","noteIndex":19},"citationItems":[{"id":328,"uris":["http://zotero.org/users/5133869/items/FW6YCN2E"],"uri":["http://zotero.org/users/5133869/items/FW6YCN2E"],"itemData":{"id":328,"type":"chapter","container-title":"La « Société à Objet Social Etendu » : un nouveau statut pour l'entreprise","event-place":"Paris","publisher":"Presses des Mines","publisher-place":"Paris","title":"L’exemple américain : les flexible purpose corporations","author":[{"family":"Levillain","given":"Kevin"}],"issued":{"date-parts":[["2015"]]}},"locator":"XXX"}],"schema":"https://github.com/citation-style-language/schema/raw/master/csl-citation.json"} </w:instrText>
      </w:r>
      <w:r w:rsidRPr="00016D32">
        <w:rPr>
          <w:szCs w:val="17"/>
        </w:rPr>
        <w:fldChar w:fldCharType="separate"/>
      </w:r>
      <w:r w:rsidR="001F0A79" w:rsidRPr="00016D32">
        <w:rPr>
          <w:szCs w:val="17"/>
        </w:rPr>
        <w:t xml:space="preserve">K. </w:t>
      </w:r>
      <w:r w:rsidR="001F0A79" w:rsidRPr="00016D32">
        <w:rPr>
          <w:smallCaps/>
          <w:szCs w:val="17"/>
        </w:rPr>
        <w:t>Levillain</w:t>
      </w:r>
      <w:r w:rsidR="001F0A79" w:rsidRPr="00016D32">
        <w:rPr>
          <w:szCs w:val="17"/>
        </w:rPr>
        <w:t xml:space="preserve">, « L’exemple américain : les flexible purpose corporations », in </w:t>
      </w:r>
      <w:r w:rsidR="001F0A79" w:rsidRPr="00016D32">
        <w:rPr>
          <w:i/>
          <w:iCs/>
          <w:szCs w:val="17"/>
        </w:rPr>
        <w:t>La « Société à Objet Social Etendu » : un nouveau statut pour l’entreprise</w:t>
      </w:r>
      <w:r w:rsidR="001F0A79" w:rsidRPr="00016D32">
        <w:rPr>
          <w:szCs w:val="17"/>
        </w:rPr>
        <w:t>, Paris, Presses des Mines, 2015, p. XXX.</w:t>
      </w:r>
      <w:r w:rsidRPr="00016D32">
        <w:rPr>
          <w:szCs w:val="17"/>
        </w:rPr>
        <w:fldChar w:fldCharType="end"/>
      </w:r>
    </w:p>
  </w:footnote>
  <w:footnote w:id="22">
    <w:p w14:paraId="0B2870B7" w14:textId="2676375D" w:rsidR="0067182F" w:rsidRPr="00016D32" w:rsidRDefault="0067182F" w:rsidP="00F80504">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{"citationID":"zHBA0ZFN","properties":{"formattedCitation":"N. {\\scaps Notat} et J.-D. {\\scaps Senard}, \\uc0\\u171{}\\uc0\\u160{}L\\uc0\\u8217{}entreprise, objet d\\uc0\\u8217{}int\\uc0\\u233{}r\\uc0\\u234{}t collectif \\uc0\\u8211{} Rapport\\uc0\\u160{}\\uc0\\u187{}, mars 2018, p. 71.","plainCitation":"N. Notat et J.-D. Senard, « L’entreprise, objet d’intérêt collectif – Rapport », mars 2018, p. 71.","noteIndex":20},"citationItems":[{"id":329,"uris":["http://zotero.org/users/5133869/items/425X6AFR"],"uri":["http://zotero.org/users/5133869/items/425X6AFR"],"itemData":{"id":329,"type":"article","title":"L’entreprise, objet d’intérêt collectif – Rapport","author":[{"family":"Notat","given":"Nicolas"},{"family":"Senard","given":"Jean-Dominique"}],"issued":{"date-parts":[["2018",3]]}},"locator":"71"}],"schema":"https://github.com/citation-style-language/schema/raw/master/csl-citation.json"} </w:instrText>
      </w:r>
      <w:r w:rsidRPr="00016D32">
        <w:rPr>
          <w:szCs w:val="17"/>
        </w:rPr>
        <w:fldChar w:fldCharType="separate"/>
      </w:r>
      <w:r w:rsidR="001F0A79" w:rsidRPr="00016D32">
        <w:rPr>
          <w:szCs w:val="17"/>
        </w:rPr>
        <w:t xml:space="preserve">N. </w:t>
      </w:r>
      <w:r w:rsidR="001F0A79" w:rsidRPr="00016D32">
        <w:rPr>
          <w:smallCaps/>
          <w:szCs w:val="17"/>
        </w:rPr>
        <w:t>Notat</w:t>
      </w:r>
      <w:r w:rsidR="001F0A79" w:rsidRPr="00016D32">
        <w:rPr>
          <w:szCs w:val="17"/>
        </w:rPr>
        <w:t xml:space="preserve"> et J.-D. </w:t>
      </w:r>
      <w:r w:rsidR="001F0A79" w:rsidRPr="00016D32">
        <w:rPr>
          <w:smallCaps/>
          <w:szCs w:val="17"/>
        </w:rPr>
        <w:t>Senard</w:t>
      </w:r>
      <w:r w:rsidR="001F0A79" w:rsidRPr="00016D32">
        <w:rPr>
          <w:szCs w:val="17"/>
        </w:rPr>
        <w:t>, « L’entreprise, objet d’intérêt collectif – Rapport », mars 2018, p. 71.</w:t>
      </w:r>
      <w:r w:rsidRPr="00016D32">
        <w:rPr>
          <w:szCs w:val="17"/>
        </w:rPr>
        <w:fldChar w:fldCharType="end"/>
      </w:r>
    </w:p>
  </w:footnote>
  <w:footnote w:id="23">
    <w:p w14:paraId="68B35F92" w14:textId="63125CFE" w:rsidR="0067182F" w:rsidRPr="00016D32" w:rsidRDefault="0067182F" w:rsidP="008356A5">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{"citationID":"rnqcswfb","properties":{"formattedCitation":"B. {\\scaps Segrestin}, \\uc0\\u171{}\\uc0\\u160{}La mission, un nouveau contrat social pour l\\uc0\\u8217{}entreprise\\uc0\\u160{}\\uc0\\u187{}, {\\i{}Esprit}, 2018, n\\uc0\\u176{} 3, pp. 90\\uc0\\u8209{}101.","plainCitation":"B. Segrestin, « La mission, un nouveau contrat social pour l’entreprise », Esprit, 2018, n° 3, pp. 90‑101.","noteIndex":21},"citationItems":[{"id":344,"uris":["http://zotero.org/users/5133869/items/66562UCL"],"uri":["http://zotero.org/users/5133869/items/66562UCL"],"itemData":{"id":344,"type":"article-journal","container-title":"Esprit","DOI":"10.3917/espri.1803.0090","ISSN":"0014-0759, 2111-4579","issue":"3","language":"fr","page":"90-101","source":"Crossref","title":"La mission, un nouveau contrat social pour l’entreprise","volume":"Mars","author":[{"family":"Segrestin","given":"Blanche"}],"issued":{"date-parts":[["2018"]]}}}],"schema":"https://github.com/citation-style-language/schema/raw/master/csl-citation.json"} </w:instrText>
      </w:r>
      <w:r w:rsidRPr="00016D32">
        <w:rPr>
          <w:szCs w:val="17"/>
        </w:rPr>
        <w:fldChar w:fldCharType="separate"/>
      </w:r>
      <w:r w:rsidR="001F0A79" w:rsidRPr="00016D32">
        <w:rPr>
          <w:szCs w:val="17"/>
        </w:rPr>
        <w:t xml:space="preserve">B. </w:t>
      </w:r>
      <w:r w:rsidR="001F0A79" w:rsidRPr="00016D32">
        <w:rPr>
          <w:smallCaps/>
          <w:szCs w:val="17"/>
        </w:rPr>
        <w:t>Segrestin</w:t>
      </w:r>
      <w:r w:rsidR="001F0A79" w:rsidRPr="00016D32">
        <w:rPr>
          <w:szCs w:val="17"/>
        </w:rPr>
        <w:t xml:space="preserve">, « La mission, un nouveau contrat social pour l’entreprise », </w:t>
      </w:r>
      <w:r w:rsidR="001F0A79" w:rsidRPr="00016D32">
        <w:rPr>
          <w:i/>
          <w:iCs/>
          <w:szCs w:val="17"/>
        </w:rPr>
        <w:t>Esprit</w:t>
      </w:r>
      <w:r w:rsidR="001F0A79" w:rsidRPr="00016D32">
        <w:rPr>
          <w:szCs w:val="17"/>
        </w:rPr>
        <w:t>, 2018, n° 3, pp. 90‑101.</w:t>
      </w:r>
      <w:r w:rsidRPr="00016D32">
        <w:rPr>
          <w:szCs w:val="17"/>
        </w:rPr>
        <w:fldChar w:fldCharType="end"/>
      </w:r>
      <w:r w:rsidRPr="00016D32">
        <w:rPr>
          <w:szCs w:val="17"/>
        </w:rPr>
        <w:t xml:space="preserve"> </w:t>
      </w:r>
      <w:proofErr w:type="spellStart"/>
      <w:r w:rsidRPr="00016D32">
        <w:rPr>
          <w:szCs w:val="17"/>
        </w:rPr>
        <w:t>Voy</w:t>
      </w:r>
      <w:proofErr w:type="spellEnd"/>
      <w:r w:rsidRPr="00016D32">
        <w:rPr>
          <w:szCs w:val="17"/>
        </w:rPr>
        <w:t xml:space="preserve">. aussi </w:t>
      </w:r>
      <w:r w:rsidRPr="00016D32">
        <w:rPr>
          <w:szCs w:val="17"/>
        </w:rPr>
        <w:fldChar w:fldCharType="begin"/>
      </w:r>
      <w:r w:rsidR="001F0A79" w:rsidRPr="00016D32">
        <w:rPr>
          <w:szCs w:val="17"/>
        </w:rPr>
        <w:instrText xml:space="preserve"> ADDIN ZOTERO_ITEM CSL_CITATION {"citationID":"8dBSB5jt","properties":{"formattedCitation":"K. {\\scaps Levillain}, B. {\\scaps Segrestin} et A. {\\scaps Hatchuel}, \\uc0\\u171{}\\uc0\\u160{}Repenser les finalit\\uc0\\u233{}s de l\\uc0\\u8217{}entreprise. La contribution des sciences de gestion dans un monde post-h\\uc0\\u233{}g\\uc0\\u233{}lien\\uc0\\u160{}\\uc0\\u187{}, {\\i{}Revue fran\\uc0\\u231{}aise de gestion}, d\\uc0\\u233{}cembre 2014, vol. 40, n\\uc0\\u176{} 245, pp. 181\\uc0\\u8209{}184.","plainCitation":"K. Levillain, B. Segrestin et A. Hatchuel, « Repenser les finalités de l’entreprise. La contribution des sciences de gestion dans un monde post-hégélien », Revue française de gestion, décembre 2014, vol. 40, n° 245, pp. 181‑184.","noteIndex":21},"citationItems":[{"id":335,"uris":["http://zotero.org/users/5133869/items/NCHQYE5S"],"uri":["http://zotero.org/users/5133869/items/NCHQYE5S"],"itemData":{"id":335,"type":"article-journal","container-title":"Revue française de gestion","DOI":"10.3166/rfg.245.179-200","ISSN":"03384551","issue":"245","language":"fr","page":"179-200","source":"Crossref","title":"Repenser les finalités de l’entreprise. La contribution des sciences de gestion dans un monde post-hégélien","volume":"40","author":[{"family":"Levillain","given":"Kevin"},{"family":"Segrestin","given":"Blanche"},{"family":"Hatchuel","given":"Armand"}],"issued":{"date-parts":[["2014",12,28]]}},"locator":"181-184"}],"schema":"https://github.com/citation-style-language/schema/raw/master/csl-citation.json"} </w:instrText>
      </w:r>
      <w:r w:rsidRPr="00016D32">
        <w:rPr>
          <w:szCs w:val="17"/>
        </w:rPr>
        <w:fldChar w:fldCharType="separate"/>
      </w:r>
      <w:r w:rsidR="001F0A79" w:rsidRPr="00016D32">
        <w:rPr>
          <w:szCs w:val="17"/>
        </w:rPr>
        <w:t xml:space="preserve">K. </w:t>
      </w:r>
      <w:r w:rsidR="001F0A79" w:rsidRPr="00016D32">
        <w:rPr>
          <w:smallCaps/>
          <w:szCs w:val="17"/>
        </w:rPr>
        <w:t>Levillain</w:t>
      </w:r>
      <w:r w:rsidR="001F0A79" w:rsidRPr="00016D32">
        <w:rPr>
          <w:szCs w:val="17"/>
        </w:rPr>
        <w:t xml:space="preserve">, B. </w:t>
      </w:r>
      <w:r w:rsidR="001F0A79" w:rsidRPr="00016D32">
        <w:rPr>
          <w:smallCaps/>
          <w:szCs w:val="17"/>
        </w:rPr>
        <w:t>Segrestin</w:t>
      </w:r>
      <w:r w:rsidR="001F0A79" w:rsidRPr="00016D32">
        <w:rPr>
          <w:szCs w:val="17"/>
        </w:rPr>
        <w:t xml:space="preserve"> et A. </w:t>
      </w:r>
      <w:r w:rsidR="001F0A79" w:rsidRPr="00016D32">
        <w:rPr>
          <w:smallCaps/>
          <w:szCs w:val="17"/>
        </w:rPr>
        <w:t>Hatchuel</w:t>
      </w:r>
      <w:r w:rsidR="001F0A79" w:rsidRPr="00016D32">
        <w:rPr>
          <w:szCs w:val="17"/>
        </w:rPr>
        <w:t xml:space="preserve">, « Repenser les finalités de l’entreprise. La contribution des sciences de gestion dans un monde post-hégélien », </w:t>
      </w:r>
      <w:r w:rsidR="001F0A79" w:rsidRPr="00016D32">
        <w:rPr>
          <w:i/>
          <w:iCs/>
          <w:szCs w:val="17"/>
        </w:rPr>
        <w:t>Revue française de gestion</w:t>
      </w:r>
      <w:r w:rsidR="001F0A79" w:rsidRPr="00016D32">
        <w:rPr>
          <w:szCs w:val="17"/>
        </w:rPr>
        <w:t>, décembre 2014, vol. 40, n° 245, pp. 181‑184.</w:t>
      </w:r>
      <w:r w:rsidRPr="00016D32">
        <w:rPr>
          <w:szCs w:val="17"/>
        </w:rPr>
        <w:fldChar w:fldCharType="end"/>
      </w:r>
    </w:p>
  </w:footnote>
  <w:footnote w:id="24">
    <w:p w14:paraId="01873552" w14:textId="71DD8807" w:rsidR="0067182F" w:rsidRPr="00016D32" w:rsidRDefault="0067182F" w:rsidP="00286920">
      <w:pPr>
        <w:pStyle w:val="Notedebasdepage"/>
        <w:rPr>
          <w:szCs w:val="17"/>
        </w:rPr>
      </w:pPr>
      <w:r w:rsidRPr="00016D32">
        <w:rPr>
          <w:rStyle w:val="Appelnotedebasdep"/>
          <w:szCs w:val="17"/>
        </w:rPr>
        <w:footnoteRef/>
      </w:r>
      <w:r w:rsidRPr="00016D32">
        <w:rPr>
          <w:szCs w:val="17"/>
        </w:rPr>
        <w:t xml:space="preserve"> Directive 2000/78 UE du 27 novembre 2000 portant création d'un cadre général en faveur de l'égalité de traitement en matière d'emploi et de travail, art. 4.2.</w:t>
      </w:r>
    </w:p>
  </w:footnote>
  <w:footnote w:id="25">
    <w:p w14:paraId="4994E484" w14:textId="394F3944" w:rsidR="0067182F" w:rsidRPr="00016D32" w:rsidRDefault="0067182F" w:rsidP="0003526C">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{"citationID":"36F3m03D","properties":{"formattedCitation":"M. {\\scaps Hunyadi}, \\uc0\\u171{}\\uc0\\u160{}Des entreprises posts\\uc0\\u233{}culi\\uc0\\u232{}res\\uc0\\u8239{}?\\uc0\\u160{}\\uc0\\u187{}, {\\i{}in} S. {\\scaps Marti} {\\i{}et al.} (\\uc0\\u233{}ds.), {\\i{}L\\uc0\\u8217{}expression religieuse en entreprise}, Lormont, Le Bord de l\\uc0\\u8217{}eau, 2016.","plainCitation":"M. Hunyadi, « Des entreprises postséculières ? », in S. Marti et al. (éds.), L’expression religieuse en entreprise, Lormont, Le Bord de l’eau, 2016.","noteIndex":25},"citationItems":[{"id":1237,"uris":["http://zotero.org/users/5133869/items/8Z7VT3WE"],"uri":["http://zotero.org/users/5133869/items/8Z7VT3WE"],"itemData":{"id":1237,"type":"chapter","container-title":"L'expression religieuse en entreprise","event-place":"Lormont","publisher":"Le Bord de l'eau","publisher-place":"Lormont","title":"Des entreprises postséculières ?","author":[{"family":"Hunyadi","given":"Mark"}],"editor":[{"family":"Marti","given":"Serge"},{"family":"Fortier","given":"Vincente"},{"family":"Maïla","given":"Joseph"},{"family":"Hunyadi","given":"Mark"}],"issued":{"date-parts":[["2016"]]}}}],"schema":"https://github.com/citation-style-language/schema/raw/master/csl-citation.json"} </w:instrText>
      </w:r>
      <w:r w:rsidRPr="00016D32">
        <w:rPr>
          <w:szCs w:val="17"/>
        </w:rPr>
        <w:fldChar w:fldCharType="separate"/>
      </w:r>
      <w:r w:rsidR="001F0A79" w:rsidRPr="00016D32">
        <w:rPr>
          <w:szCs w:val="17"/>
        </w:rPr>
        <w:t xml:space="preserve">M. </w:t>
      </w:r>
      <w:r w:rsidR="001F0A79" w:rsidRPr="00016D32">
        <w:rPr>
          <w:smallCaps/>
          <w:szCs w:val="17"/>
        </w:rPr>
        <w:t>Hunyadi</w:t>
      </w:r>
      <w:r w:rsidR="001F0A79" w:rsidRPr="00016D32">
        <w:rPr>
          <w:szCs w:val="17"/>
        </w:rPr>
        <w:t xml:space="preserve">, « Des entreprises postséculières ? », </w:t>
      </w:r>
      <w:r w:rsidR="001F0A79" w:rsidRPr="00016D32">
        <w:rPr>
          <w:i/>
          <w:iCs/>
          <w:szCs w:val="17"/>
        </w:rPr>
        <w:t>in</w:t>
      </w:r>
      <w:r w:rsidR="001F0A79" w:rsidRPr="00016D32">
        <w:rPr>
          <w:szCs w:val="17"/>
        </w:rPr>
        <w:t xml:space="preserve"> S. </w:t>
      </w:r>
      <w:r w:rsidR="001F0A79" w:rsidRPr="00016D32">
        <w:rPr>
          <w:smallCaps/>
          <w:szCs w:val="17"/>
        </w:rPr>
        <w:t>Marti</w:t>
      </w:r>
      <w:r w:rsidR="001F0A79" w:rsidRPr="00016D32">
        <w:rPr>
          <w:szCs w:val="17"/>
        </w:rPr>
        <w:t xml:space="preserve"> </w:t>
      </w:r>
      <w:r w:rsidR="001F0A79" w:rsidRPr="00016D32">
        <w:rPr>
          <w:i/>
          <w:iCs/>
          <w:szCs w:val="17"/>
        </w:rPr>
        <w:t>et al.</w:t>
      </w:r>
      <w:r w:rsidR="001F0A79" w:rsidRPr="00016D32">
        <w:rPr>
          <w:szCs w:val="17"/>
        </w:rPr>
        <w:t xml:space="preserve"> (éds.), </w:t>
      </w:r>
      <w:r w:rsidR="001F0A79" w:rsidRPr="00016D32">
        <w:rPr>
          <w:i/>
          <w:iCs/>
          <w:szCs w:val="17"/>
        </w:rPr>
        <w:t>L’expression religieuse en entreprise</w:t>
      </w:r>
      <w:r w:rsidR="001F0A79" w:rsidRPr="00016D32">
        <w:rPr>
          <w:szCs w:val="17"/>
        </w:rPr>
        <w:t>, Lormont, Le Bord de l’eau, 2016.</w:t>
      </w:r>
      <w:r w:rsidRPr="00016D32">
        <w:rPr>
          <w:szCs w:val="17"/>
        </w:rPr>
        <w:fldChar w:fldCharType="end"/>
      </w:r>
    </w:p>
  </w:footnote>
  <w:footnote w:id="26">
    <w:p w14:paraId="0E0DB3A7" w14:textId="0F75E7E3" w:rsidR="0067182F" w:rsidRPr="00016D32" w:rsidRDefault="0067182F" w:rsidP="00736688">
      <w:pPr>
        <w:pStyle w:val="Notedebasdepage"/>
        <w:rPr>
          <w:i/>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{"citationID":"mNSDs1Jq","properties":{"formattedCitation":"V. {\\scaps Valentin}, \\uc0\\u171{}\\uc0\\u160{}La notion d\\uc0\\u8217{}entreprise de conviction \\uc0\\u8220{}la\\uc0\\u239{}que\\uc0\\u8221{}\\uc0\\u160{}\\uc0\\u187{}, {\\i{}in} B. {\\scaps Callebat}, H. de {\\scaps Courr\\uc0\\u232{}ges} et V. {\\scaps Louvel-Parisot} (\\uc0\\u233{}ds.), {\\i{}Les religions et le droit du travail\\uc0\\u8239{}: regards crois\\uc0\\u233{}s, d\\uc0\\u8217{}ici et d\\uc0\\u8217{}ailleurs: [actes du colloque international, Universit\\uc0\\u233{} de Rouen, 20 et 21 octobre 2016]}, Collection Droit et religion, n\\uc0\\u176{} 9, Bruxelles, Bruylant, 2017, p. 274.","plainCitation":"V. Valentin, « La notion d’entreprise de conviction “laïque” », in B. Callebat, H. de Courrèges et V. Louvel-Parisot (éds.), Les religions et le droit du travail : regards croisés, d’ici et d’ailleurs: [actes du colloque international, Université de Rouen, 20 et 21 octobre 2016], Collection Droit et religion, n° 9, Bruxelles, Bruylant, 2017, p. 274.","noteIndex":26},"citationItems":[{"id":2164,"uris":["http://zotero.org/users/5133869/items/2L2HSTKE"],"uri":["http://zotero.org/users/5133869/items/2L2HSTKE"],"itemData":{"id":2164,"type":"chapter","collection-number":"9","collection-title":"Collection Droit et religion","container-title":"Les religions et le droit du travail : regards croisés, d'ici et d'ailleurs: [actes du colloque international, Université de Rouen, 20 et 21 octobre 2016]","event-place":"Bruxelles","ISBN":"978-2-8027-5913-3","language":"mul spa","note":"OCLC: 1057455736","page":"271-284","publisher":"Bruylant","publisher-place":"Bruxelles","source":"Gemeinsamer Bibliotheksverbund ISBN","title":"La notion d'entreprise de conviction 'laïque'","editor":[{"family":"Callebat","given":"Bernard"},{"family":"Courrèges","given":"Hélène","dropping-particle":"de"},{"family":"Louvel-Parisot","given":"Valérie"}],"author":[{"family":"Valentin","given":"Vincent"}],"issued":{"date-parts":[["2017"]]}},"locator":"274"}],"schema":"https://github.com/citation-style-language/schema/raw/master/csl-citation.json"} </w:instrText>
      </w:r>
      <w:r w:rsidRPr="00016D32">
        <w:rPr>
          <w:szCs w:val="17"/>
        </w:rPr>
        <w:fldChar w:fldCharType="separate"/>
      </w:r>
      <w:r w:rsidR="001F0A79" w:rsidRPr="00016D32">
        <w:rPr>
          <w:szCs w:val="17"/>
        </w:rPr>
        <w:t xml:space="preserve">V. </w:t>
      </w:r>
      <w:r w:rsidR="001F0A79" w:rsidRPr="00016D32">
        <w:rPr>
          <w:smallCaps/>
          <w:szCs w:val="17"/>
        </w:rPr>
        <w:t>Valentin</w:t>
      </w:r>
      <w:r w:rsidR="001F0A79" w:rsidRPr="00016D32">
        <w:rPr>
          <w:szCs w:val="17"/>
        </w:rPr>
        <w:t xml:space="preserve">, « La notion d’entreprise de conviction “laïque” », </w:t>
      </w:r>
      <w:r w:rsidR="001F0A79" w:rsidRPr="00016D32">
        <w:rPr>
          <w:i/>
          <w:iCs/>
          <w:szCs w:val="17"/>
        </w:rPr>
        <w:t>in</w:t>
      </w:r>
      <w:r w:rsidR="001F0A79" w:rsidRPr="00016D32">
        <w:rPr>
          <w:szCs w:val="17"/>
        </w:rPr>
        <w:t xml:space="preserve"> B. </w:t>
      </w:r>
      <w:r w:rsidR="001F0A79" w:rsidRPr="00016D32">
        <w:rPr>
          <w:smallCaps/>
          <w:szCs w:val="17"/>
        </w:rPr>
        <w:t>Callebat</w:t>
      </w:r>
      <w:r w:rsidR="001F0A79" w:rsidRPr="00016D32">
        <w:rPr>
          <w:szCs w:val="17"/>
        </w:rPr>
        <w:t xml:space="preserve">, H. de </w:t>
      </w:r>
      <w:r w:rsidR="001F0A79" w:rsidRPr="00016D32">
        <w:rPr>
          <w:smallCaps/>
          <w:szCs w:val="17"/>
        </w:rPr>
        <w:t>Courrèges</w:t>
      </w:r>
      <w:r w:rsidR="001F0A79" w:rsidRPr="00016D32">
        <w:rPr>
          <w:szCs w:val="17"/>
        </w:rPr>
        <w:t xml:space="preserve"> et V. </w:t>
      </w:r>
      <w:r w:rsidR="001F0A79" w:rsidRPr="00016D32">
        <w:rPr>
          <w:smallCaps/>
          <w:szCs w:val="17"/>
        </w:rPr>
        <w:t>Louvel-Parisot</w:t>
      </w:r>
      <w:r w:rsidR="001F0A79" w:rsidRPr="00016D32">
        <w:rPr>
          <w:szCs w:val="17"/>
        </w:rPr>
        <w:t xml:space="preserve"> (éds.), </w:t>
      </w:r>
      <w:r w:rsidR="001F0A79" w:rsidRPr="00016D32">
        <w:rPr>
          <w:i/>
          <w:iCs/>
          <w:szCs w:val="17"/>
        </w:rPr>
        <w:t>Les religions et le droit du travail : regards croisés, d’ici et d’ailleurs: [actes du colloque international, Université de Rouen, 20 et 21 octobre 2016]</w:t>
      </w:r>
      <w:r w:rsidR="001F0A79" w:rsidRPr="00016D32">
        <w:rPr>
          <w:szCs w:val="17"/>
        </w:rPr>
        <w:t>, Collection Droit et religion, n° 9, Bruxelles, Bruylant, 2017, p. 274.</w:t>
      </w:r>
      <w:r w:rsidRPr="00016D32">
        <w:rPr>
          <w:szCs w:val="17"/>
        </w:rPr>
        <w:fldChar w:fldCharType="end"/>
      </w:r>
      <w:r w:rsidRPr="00016D32">
        <w:rPr>
          <w:i/>
          <w:szCs w:val="17"/>
        </w:rPr>
        <w:t xml:space="preserve"> </w:t>
      </w:r>
    </w:p>
  </w:footnote>
  <w:footnote w:id="27">
    <w:p w14:paraId="30347E84" w14:textId="3FE8F5B7"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{"citationID":"Cbtatns0","properties":{"formattedCitation":"A. {\\scaps Supiot}, \\uc0\\u171{}\\uc0\\u160{}Note sur l\\uc0\\u8217{}avis de la CNCDH sur la la\\uc0\\u239{}cit\\uc0\\u233{}\\uc0\\u160{}\\uc0\\u187{}, 26 septembre 2013.","plainCitation":"A. Supiot, « Note sur l’avis de la CNCDH sur la laïcité », 26 septembre 2013.","noteIndex":25},"citationItems":[{"id":467,"uris":["http://zotero.org/users/5133869/items/468WKD29"],"uri":["http://zotero.org/users/5133869/items/468WKD29"],"itemData":{"id":467,"type":"article","title":"Note sur l'avis de la CNCDH sur la laïcité","author":[{"family":"Supiot","given":"Alain"}],"issued":{"date-parts":[["2013",9,26]]}}}],"schema":"https://github.com/citation-style-language/schema/raw/master/csl-citation.json"} </w:instrText>
      </w:r>
      <w:r w:rsidRPr="00016D32">
        <w:rPr>
          <w:szCs w:val="17"/>
        </w:rPr>
        <w:fldChar w:fldCharType="separate"/>
      </w:r>
      <w:r w:rsidR="001F0A79" w:rsidRPr="00016D32">
        <w:rPr>
          <w:szCs w:val="17"/>
        </w:rPr>
        <w:t xml:space="preserve">A. </w:t>
      </w:r>
      <w:r w:rsidR="001F0A79" w:rsidRPr="00016D32">
        <w:rPr>
          <w:smallCaps/>
          <w:szCs w:val="17"/>
        </w:rPr>
        <w:t>Supiot</w:t>
      </w:r>
      <w:r w:rsidR="001F0A79" w:rsidRPr="00016D32">
        <w:rPr>
          <w:szCs w:val="17"/>
        </w:rPr>
        <w:t>, « Note sur l’avis de la CNCDH sur la laïcité », 26 septembre 2013.</w:t>
      </w:r>
      <w:r w:rsidRPr="00016D32">
        <w:rPr>
          <w:szCs w:val="17"/>
        </w:rPr>
        <w:fldChar w:fldCharType="end"/>
      </w:r>
    </w:p>
  </w:footnote>
  <w:footnote w:id="28">
    <w:p w14:paraId="714FF1E7" w14:textId="6945C83C" w:rsidR="0067182F" w:rsidRPr="00016D32" w:rsidRDefault="0067182F" w:rsidP="0003526C">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{"citationID":"7dgHRCZn","properties":{"formattedCitation":"F. {\\scaps K\\uc0\\u233{}fer}, \\uc0\\u171{}\\uc0\\u160{}L\\uc0\\u8217{}expression des convictions religieuses dans les relations de travail\\uc0\\u160{}\\uc0\\u187{}, {\\i{}Revue de Droit Social}, 2017, n\\uc0\\u176{} 3, pp. 540\\uc0\\u8209{}541\\uc0\\u160{}; D. {\\scaps Bouzar} et L. {\\scaps Bouzar}, {\\i{}Allah a-t-il sa place dans l\\uc0\\u8217{}entreprise\\uc0\\u8239{}?}, Paris, Albin Michel, 2009, p. 115.","plainCitation":"F. Kéfer, « L’expression des convictions religieuses dans les relations de travail », Revue de Droit Social, 2017, n° 3, pp. 540‑541 ; D. Bouzar et L. Bouzar, Allah a-t-il sa place dans l’entreprise ?, Paris, Albin Michel, 2009, p. 115.","noteIndex":26},"citationItems":[{"id":1427,"uris":["http://zotero.org/users/5133869/items/C7TEAJD8"],"uri":["http://zotero.org/users/5133869/items/C7TEAJD8"],"itemData":{"id":1427,"type":"article-journal","container-title":"Revue de Droit Social","issue":"3","page":"528-583","title":"L’expression des convictions religieuses dans les relations de travail","author":[{"family":"Kéfer","given":"Fabienne"}],"issued":{"date-parts":[["2017"]]}},"locator":"540-541"},{"id":1696,"uris":["http://zotero.org/users/5133869/items/KZEGFGWF"],"uri":["http://zotero.org/users/5133869/items/KZEGFGWF"],"itemData":{"id":1696,"type":"book","call-number":"HF5387 .B677 2009","event-place":"Paris","ISBN":"978-2-226-19324-7","number-of-pages":"215","publisher":"Albin Michel","publisher-place":"Paris","source":"Library of Congress ISBN","title":"Allah a-t-il sa place dans l'entreprise ?","author":[{"family":"Bouzar","given":"Dounia"},{"family":"Bouzar","given":"Lylia"}],"issued":{"date-parts":[["2009"]]}},"locator":"115"}],"schema":"https://github.com/citation-style-language/schema/raw/master/csl-citation.json"} </w:instrText>
      </w:r>
      <w:r w:rsidRPr="00016D32">
        <w:rPr>
          <w:szCs w:val="17"/>
        </w:rPr>
        <w:fldChar w:fldCharType="separate"/>
      </w:r>
      <w:r w:rsidR="001F0A79" w:rsidRPr="00016D32">
        <w:rPr>
          <w:szCs w:val="17"/>
        </w:rPr>
        <w:t xml:space="preserve">F. </w:t>
      </w:r>
      <w:r w:rsidR="001F0A79" w:rsidRPr="00016D32">
        <w:rPr>
          <w:smallCaps/>
          <w:szCs w:val="17"/>
        </w:rPr>
        <w:t>Kéfer</w:t>
      </w:r>
      <w:r w:rsidR="001F0A79" w:rsidRPr="00016D32">
        <w:rPr>
          <w:szCs w:val="17"/>
        </w:rPr>
        <w:t xml:space="preserve">, « L’expression des convictions religieuses dans les relations de travail », </w:t>
      </w:r>
      <w:r w:rsidR="001F0A79" w:rsidRPr="00016D32">
        <w:rPr>
          <w:i/>
          <w:iCs/>
          <w:szCs w:val="17"/>
        </w:rPr>
        <w:t>Revue de Droit Social</w:t>
      </w:r>
      <w:r w:rsidR="001F0A79" w:rsidRPr="00016D32">
        <w:rPr>
          <w:szCs w:val="17"/>
        </w:rPr>
        <w:t xml:space="preserve">, 2017, n° 3, pp. 540‑541 ; D. </w:t>
      </w:r>
      <w:r w:rsidR="001F0A79" w:rsidRPr="00016D32">
        <w:rPr>
          <w:smallCaps/>
          <w:szCs w:val="17"/>
        </w:rPr>
        <w:t>Bouzar</w:t>
      </w:r>
      <w:r w:rsidR="001F0A79" w:rsidRPr="00016D32">
        <w:rPr>
          <w:szCs w:val="17"/>
        </w:rPr>
        <w:t xml:space="preserve"> et L. </w:t>
      </w:r>
      <w:r w:rsidR="001F0A79" w:rsidRPr="00016D32">
        <w:rPr>
          <w:smallCaps/>
          <w:szCs w:val="17"/>
        </w:rPr>
        <w:t>Bouzar</w:t>
      </w:r>
      <w:r w:rsidR="001F0A79" w:rsidRPr="00016D32">
        <w:rPr>
          <w:szCs w:val="17"/>
        </w:rPr>
        <w:t xml:space="preserve">, </w:t>
      </w:r>
      <w:r w:rsidR="001F0A79" w:rsidRPr="00016D32">
        <w:rPr>
          <w:i/>
          <w:iCs/>
          <w:szCs w:val="17"/>
        </w:rPr>
        <w:t>Allah a-t-il sa place dans l’entreprise ?</w:t>
      </w:r>
      <w:r w:rsidR="001F0A79" w:rsidRPr="00016D32">
        <w:rPr>
          <w:szCs w:val="17"/>
        </w:rPr>
        <w:t>, Paris, Albin Michel, 2009, p. 115.</w:t>
      </w:r>
      <w:r w:rsidRPr="00016D32">
        <w:rPr>
          <w:szCs w:val="17"/>
        </w:rPr>
        <w:fldChar w:fldCharType="end"/>
      </w:r>
    </w:p>
  </w:footnote>
  <w:footnote w:id="29">
    <w:p w14:paraId="51D8C13B" w14:textId="77777777" w:rsidR="0067182F" w:rsidRPr="00016D32" w:rsidRDefault="0067182F" w:rsidP="00C03416">
      <w:pPr>
        <w:pStyle w:val="Notedebasdepage"/>
        <w:rPr>
          <w:szCs w:val="17"/>
        </w:rPr>
      </w:pPr>
      <w:r w:rsidRPr="00016D32">
        <w:rPr>
          <w:rStyle w:val="Appelnotedebasdep"/>
          <w:szCs w:val="17"/>
        </w:rPr>
        <w:footnoteRef/>
      </w:r>
      <w:r w:rsidRPr="00016D32">
        <w:rPr>
          <w:szCs w:val="17"/>
        </w:rPr>
        <w:t xml:space="preserve"> Cass. </w:t>
      </w:r>
      <w:proofErr w:type="spellStart"/>
      <w:r w:rsidRPr="00016D32">
        <w:rPr>
          <w:szCs w:val="17"/>
        </w:rPr>
        <w:t>fr.</w:t>
      </w:r>
      <w:proofErr w:type="spellEnd"/>
      <w:r w:rsidRPr="00016D32">
        <w:rPr>
          <w:szCs w:val="17"/>
        </w:rPr>
        <w:t xml:space="preserve"> (</w:t>
      </w:r>
      <w:proofErr w:type="spellStart"/>
      <w:r w:rsidRPr="00016D32">
        <w:rPr>
          <w:szCs w:val="17"/>
        </w:rPr>
        <w:t>ass</w:t>
      </w:r>
      <w:proofErr w:type="spellEnd"/>
      <w:r w:rsidRPr="00016D32">
        <w:rPr>
          <w:szCs w:val="17"/>
        </w:rPr>
        <w:t xml:space="preserve">. </w:t>
      </w:r>
      <w:proofErr w:type="spellStart"/>
      <w:r w:rsidRPr="00016D32">
        <w:rPr>
          <w:szCs w:val="17"/>
        </w:rPr>
        <w:t>plén</w:t>
      </w:r>
      <w:proofErr w:type="spellEnd"/>
      <w:r w:rsidRPr="00016D32">
        <w:rPr>
          <w:szCs w:val="17"/>
        </w:rPr>
        <w:t xml:space="preserve">.), 25 juin 2014, n° 13-28.369, </w:t>
      </w:r>
      <w:r w:rsidRPr="00016D32">
        <w:rPr>
          <w:i/>
          <w:szCs w:val="17"/>
        </w:rPr>
        <w:t>R.F.D.A.</w:t>
      </w:r>
      <w:r w:rsidRPr="00016D32">
        <w:rPr>
          <w:szCs w:val="17"/>
        </w:rPr>
        <w:t>, 2014, p. 962 : « en tant que mode d’organisation de l’entreprise destiné à ‘transcender le multiculturalisme’ des personnes à qui elle s’adresse, la neutralité n’exprime et n’impose aux salariés l’adhésion à aucun choix politique, philosophique ou idéologique ».</w:t>
      </w:r>
    </w:p>
  </w:footnote>
  <w:footnote w:id="30">
    <w:p w14:paraId="78D507B3" w14:textId="32136430" w:rsidR="0067182F" w:rsidRPr="00016D32" w:rsidRDefault="0067182F">
      <w:pPr>
        <w:pStyle w:val="Notedebasdepage"/>
        <w:rPr>
          <w:szCs w:val="17"/>
        </w:rPr>
      </w:pPr>
      <w:r w:rsidRPr="00016D32">
        <w:rPr>
          <w:rStyle w:val="Appelnotedebasdep"/>
          <w:szCs w:val="17"/>
        </w:rPr>
        <w:footnoteRef/>
      </w:r>
      <w:r w:rsidRPr="00016D32">
        <w:rPr>
          <w:szCs w:val="17"/>
        </w:rPr>
        <w:t xml:space="preserve"> Pour une discussion sur le sens et la portée de cet article, </w:t>
      </w:r>
      <w:proofErr w:type="spellStart"/>
      <w:r w:rsidRPr="00016D32">
        <w:rPr>
          <w:szCs w:val="17"/>
        </w:rPr>
        <w:t>voy</w:t>
      </w:r>
      <w:proofErr w:type="spellEnd"/>
      <w:r w:rsidRPr="00016D32">
        <w:rPr>
          <w:szCs w:val="17"/>
        </w:rPr>
        <w:t xml:space="preserve">. notamment </w:t>
      </w:r>
      <w:r w:rsidRPr="00016D32">
        <w:rPr>
          <w:szCs w:val="17"/>
        </w:rPr>
        <w:fldChar w:fldCharType="begin"/>
      </w:r>
      <w:r w:rsidR="008163ED">
        <w:rPr>
          <w:szCs w:val="17"/>
        </w:rPr>
        <w:instrText xml:space="preserve"> ADDIN ZOTERO_ITEM CSL_CITATION {"citationID":"OAGONZnm","properties":{"formattedCitation":"C. {\\scaps Wolmark}, \\uc0\\u171{}\\uc0\\u160{}Neutralit\\uc0\\u233{} dans l\\uc0\\u8217{}entreprise ou neutralisation des travailleurs\\uc0\\u8239{}?\\uc0\\u160{}\\uc0\\u187{}, {\\i{}Droit ouvrier}, 2017, n\\uc0\\u176{} 825, pp. 226\\uc0\\u8209{}232\\uc0\\u160{}; J.-L. {\\scaps Bianco} et N. {\\scaps Cad\\uc0\\u232{}ne}, \\uc0\\u171{}\\uc0\\u160{}La neutralit\\uc0\\u233{} en entreprise doit \\uc0\\u234{}tre objectivement justifi\\uc0\\u233{}e\\uc0\\u160{}\\uc0\\u187{}, {\\i{}Revue de Droit du Travail}, 2017, pp. 235\\uc0\\u8209{}238\\uc0\\u160{}; J. {\\scaps Mouly}, \\uc0\\u171{}\\uc0\\u160{}Le principe de neutralit\\uc0\\u233{} dans l\\uc0\\u8217{}entreprise. Entretien\\uc0\\u160{}\\uc0\\u187{}, {\\i{}Recueil Dalloz}, octobre 2016, n\\uc0\\u176{} 33\\uc0\\u160{}; V. {\\scaps Valentin}, \\uc0\\u171{}\\uc0\\u160{}La notion d\\uc0\\u8217{}entreprise de conviction \\uc0\\u8220{}la\\uc0\\u239{}que\\uc0\\u8221{}\\uc0\\u160{}\\uc0\\u187{}, {\\i{}op. cit.}, pp. 272\\uc0\\u8209{}274\\uc0\\u160{}; N. {\\scaps Moizard}, \\uc0\\u171{}\\uc0\\u160{}La neutralit\\uc0\\u233{} des salari\\uc0\\u233{}s dans l\\uc0\\u8217{}entreprise\\uc0\\u160{}\\uc0\\u187{}, {\\i{}Revue de Droit du Travail}, 2016, pp. 817\\uc0\\u8209{}818.","plainCitation":"C. Wolmark, « Neutralité dans l’entreprise ou neutralisation des travailleurs ? », Droit ouvrier, 2017, n° 825, pp. 226‑232 ; J.-L. Bianco et N. Cadène, « La neutralité en entreprise doit être objectivement justifiée », Revue de Droit du Travail, 2017, pp. 235‑238 ; J. Mouly, « Le principe de neutralité dans l’entreprise. Entretien », Recueil Dalloz, octobre 2016, n° 33 ; V. Valentin, « La notion d’entreprise de conviction “laïque” », op. cit., pp. 272‑274 ; N. Moizard, « La neutralité des salariés dans l’entreprise », Revue de Droit du Travail, 2016, pp. 817‑818.","noteIndex":30},"citationItems":[{"id":1119,"uris":["http://zotero.org/users/5133869/items/6NYDFDYU"],"uri":["http://zotero.org/users/5133869/items/6NYDFDYU"],"itemData":{"id":1119,"type":"article-journal","container-title":"Droit ouvrier","issue":"825","page":"226-232","title":"Neutralité dans l'entreprise ou neutralisation des travailleurs ?","author":[{"family":"Wolmark","given":"Cyril"}],"issued":{"date-parts":[["2017"]]}}},{"id":237,"uris":["http://zotero.org/users/5133869/items/LTBKAWWQ"],"uri":["http://zotero.org/users/5133869/items/LTBKAWWQ"],"itemData":{"id":237,"type":"article-journal","container-title":"Revue de Droit du Travail","page":"235-238","title":"La neutralité en entreprise doit être objectivement justifiée","author":[{"family":"Bianco","given":"Jean-Louis"},{"family":"Cadène","given":"Nicolas"}],"issued":{"date-parts":[["2017"]]}}},{"id":1465,"uris":["http://zotero.org/users/5133869/items/ZLBN4Q6H"],"uri":["http://zotero.org/users/5133869/items/ZLBN4Q6H"],"itemData":{"id":1465,"type":"article-journal","container-title":"Recueil Dalloz","issue":"33","title":"Le principe de neutralité dans l’entreprise. Entretien","author":[{"family":"Mouly","given":"Jean"}],"issued":{"date-parts":[["2016",10,6]]}}},{"id":2164,"uris":["http://zotero.org/users/5133869/items/2L2HSTKE"],"uri":["http://zotero.org/users/5133869/items/2L2HSTKE"],"itemData":{"id":2164,"type":"chapter","collection-number":"9","collection-title":"Collection Droit et religion","container-title":"Les religions et le droit du travail : regards croisés, d'ici et d'ailleurs: [actes du colloque international, Université de Rouen, 20 et 21 octobre 2016]","event-place":"Bruxelles","ISBN":"978-2-8027-5913-3","language":"mul spa","note":"OCLC: 1057455736","page":"271-284","publisher":"Bruylant","publisher-place":"Bruxelles","source":"Gemeinsamer Bibliotheksverbund ISBN","title":"La notion d'entreprise de conviction 'laïque'","editor":[{"family":"Callebat","given":"Bernard"},{"family":"Courrèges","given":"Hélène","dropping-particle":"de"},{"family":"Louvel-Parisot","given":"Valérie"}],"author":[{"family":"Valentin","given":"Vincent"}],"issued":{"date-parts":[["2017"]]}},"locator":"272-274"},{"id":1291,"uris":["http://zotero.org/users/5133869/items/U538HL85"],"uri":["http://zotero.org/users/5133869/items/U538HL85"],"itemData":{"id":1291,"type":"article-journal","container-title":"Revue de Droit du Travail","page":"817-818","title":"La neutralité des salariés dans l’entreprise","author":[{"family":"Moizard","given":"Nicolas"}],"issued":{"date-parts":[["2016"]]}}}],"schema":"https://github.com/citation-style-language/schema/raw/master/csl-citation.json"} </w:instrText>
      </w:r>
      <w:r w:rsidRPr="00016D32">
        <w:rPr>
          <w:szCs w:val="17"/>
        </w:rPr>
        <w:fldChar w:fldCharType="separate"/>
      </w:r>
      <w:r w:rsidR="001F0A79" w:rsidRPr="00016D32">
        <w:rPr>
          <w:szCs w:val="17"/>
        </w:rPr>
        <w:t xml:space="preserve">C. </w:t>
      </w:r>
      <w:r w:rsidR="001F0A79" w:rsidRPr="00016D32">
        <w:rPr>
          <w:smallCaps/>
          <w:szCs w:val="17"/>
        </w:rPr>
        <w:t>Wolmark</w:t>
      </w:r>
      <w:r w:rsidR="001F0A79" w:rsidRPr="00016D32">
        <w:rPr>
          <w:szCs w:val="17"/>
        </w:rPr>
        <w:t xml:space="preserve">, « Neutralité dans l’entreprise ou neutralisation des travailleurs ? », </w:t>
      </w:r>
      <w:r w:rsidR="001F0A79" w:rsidRPr="00016D32">
        <w:rPr>
          <w:i/>
          <w:iCs/>
          <w:szCs w:val="17"/>
        </w:rPr>
        <w:t>Droit ouvrier</w:t>
      </w:r>
      <w:r w:rsidR="001F0A79" w:rsidRPr="00016D32">
        <w:rPr>
          <w:szCs w:val="17"/>
        </w:rPr>
        <w:t xml:space="preserve">, 2017, n° 825, pp. 226‑232 ; J.-L. </w:t>
      </w:r>
      <w:r w:rsidR="001F0A79" w:rsidRPr="00016D32">
        <w:rPr>
          <w:smallCaps/>
          <w:szCs w:val="17"/>
        </w:rPr>
        <w:t>Bianco</w:t>
      </w:r>
      <w:r w:rsidR="001F0A79" w:rsidRPr="00016D32">
        <w:rPr>
          <w:szCs w:val="17"/>
        </w:rPr>
        <w:t xml:space="preserve"> et N. </w:t>
      </w:r>
      <w:r w:rsidR="001F0A79" w:rsidRPr="00016D32">
        <w:rPr>
          <w:smallCaps/>
          <w:szCs w:val="17"/>
        </w:rPr>
        <w:t>Cadène</w:t>
      </w:r>
      <w:r w:rsidR="001F0A79" w:rsidRPr="00016D32">
        <w:rPr>
          <w:szCs w:val="17"/>
        </w:rPr>
        <w:t xml:space="preserve">, « La neutralité en entreprise doit être objectivement justifiée », </w:t>
      </w:r>
      <w:r w:rsidR="001F0A79" w:rsidRPr="00016D32">
        <w:rPr>
          <w:i/>
          <w:iCs/>
          <w:szCs w:val="17"/>
        </w:rPr>
        <w:t>Revue de Droit du Travail</w:t>
      </w:r>
      <w:r w:rsidR="001F0A79" w:rsidRPr="00016D32">
        <w:rPr>
          <w:szCs w:val="17"/>
        </w:rPr>
        <w:t xml:space="preserve">, 2017, pp. 235‑238 ; J. </w:t>
      </w:r>
      <w:r w:rsidR="001F0A79" w:rsidRPr="00016D32">
        <w:rPr>
          <w:smallCaps/>
          <w:szCs w:val="17"/>
        </w:rPr>
        <w:t>Mouly</w:t>
      </w:r>
      <w:r w:rsidR="001F0A79" w:rsidRPr="00016D32">
        <w:rPr>
          <w:szCs w:val="17"/>
        </w:rPr>
        <w:t xml:space="preserve">, « Le principe de neutralité dans l’entreprise. Entretien », </w:t>
      </w:r>
      <w:r w:rsidR="001F0A79" w:rsidRPr="00016D32">
        <w:rPr>
          <w:i/>
          <w:iCs/>
          <w:szCs w:val="17"/>
        </w:rPr>
        <w:t>Recueil Dalloz</w:t>
      </w:r>
      <w:r w:rsidR="001F0A79" w:rsidRPr="00016D32">
        <w:rPr>
          <w:szCs w:val="17"/>
        </w:rPr>
        <w:t xml:space="preserve">, octobre 2016, n° 33 ; V. </w:t>
      </w:r>
      <w:r w:rsidR="001F0A79" w:rsidRPr="00016D32">
        <w:rPr>
          <w:smallCaps/>
          <w:szCs w:val="17"/>
        </w:rPr>
        <w:t>Valentin</w:t>
      </w:r>
      <w:r w:rsidR="001F0A79" w:rsidRPr="00016D32">
        <w:rPr>
          <w:szCs w:val="17"/>
        </w:rPr>
        <w:t xml:space="preserve">, « La notion d’entreprise de conviction “laïque” », </w:t>
      </w:r>
      <w:r w:rsidR="001F0A79" w:rsidRPr="00016D32">
        <w:rPr>
          <w:i/>
          <w:iCs/>
          <w:szCs w:val="17"/>
        </w:rPr>
        <w:t>op. cit.</w:t>
      </w:r>
      <w:r w:rsidR="001F0A79" w:rsidRPr="00016D32">
        <w:rPr>
          <w:szCs w:val="17"/>
        </w:rPr>
        <w:t xml:space="preserve">, pp. 272‑274 ; N. </w:t>
      </w:r>
      <w:r w:rsidR="001F0A79" w:rsidRPr="00016D32">
        <w:rPr>
          <w:smallCaps/>
          <w:szCs w:val="17"/>
        </w:rPr>
        <w:t>Moizard</w:t>
      </w:r>
      <w:r w:rsidR="001F0A79" w:rsidRPr="00016D32">
        <w:rPr>
          <w:szCs w:val="17"/>
        </w:rPr>
        <w:t xml:space="preserve">, « La neutralité des salariés dans l’entreprise », </w:t>
      </w:r>
      <w:r w:rsidR="001F0A79" w:rsidRPr="00016D32">
        <w:rPr>
          <w:i/>
          <w:iCs/>
          <w:szCs w:val="17"/>
        </w:rPr>
        <w:t>Revue de Droit du Travail</w:t>
      </w:r>
      <w:r w:rsidR="001F0A79" w:rsidRPr="00016D32">
        <w:rPr>
          <w:szCs w:val="17"/>
        </w:rPr>
        <w:t>, 2016, pp. 817‑818.</w:t>
      </w:r>
      <w:r w:rsidRPr="00016D32">
        <w:rPr>
          <w:szCs w:val="17"/>
        </w:rPr>
        <w:fldChar w:fldCharType="end"/>
      </w:r>
    </w:p>
  </w:footnote>
  <w:footnote w:id="31">
    <w:p w14:paraId="27D29235" w14:textId="5673E911" w:rsidR="0067182F" w:rsidRPr="00016D32" w:rsidRDefault="0067182F" w:rsidP="00A437A8">
      <w:pPr>
        <w:pStyle w:val="Notedebasdepage"/>
        <w:rPr>
          <w:szCs w:val="17"/>
        </w:rPr>
      </w:pPr>
      <w:r w:rsidRPr="00016D32">
        <w:rPr>
          <w:rStyle w:val="Appelnotedebasdep"/>
          <w:szCs w:val="17"/>
        </w:rPr>
        <w:footnoteRef/>
      </w:r>
      <w:r w:rsidRPr="00016D32">
        <w:rPr>
          <w:szCs w:val="17"/>
        </w:rPr>
        <w:t xml:space="preserve"> Sur ce point, </w:t>
      </w:r>
      <w:proofErr w:type="spellStart"/>
      <w:r w:rsidRPr="00016D32">
        <w:rPr>
          <w:szCs w:val="17"/>
        </w:rPr>
        <w:t>voy</w:t>
      </w:r>
      <w:proofErr w:type="spellEnd"/>
      <w:r w:rsidRPr="00016D32">
        <w:rPr>
          <w:szCs w:val="17"/>
        </w:rPr>
        <w:t xml:space="preserve">. </w:t>
      </w:r>
      <w:r w:rsidRPr="00016D32">
        <w:rPr>
          <w:szCs w:val="17"/>
        </w:rPr>
        <w:fldChar w:fldCharType="begin"/>
      </w:r>
      <w:r w:rsidR="001F0A79" w:rsidRPr="00016D32">
        <w:rPr>
          <w:szCs w:val="17"/>
        </w:rPr>
        <w:instrText xml:space="preserve"> ADDIN ZOTERO_ITEM CSL_CITATION {"citationID":"6QJkcU1z","properties":{"formattedCitation":"L.-L. {\\scaps Christians}, \\uc0\\u171{}\\uc0\\u160{}Radicalit\\uc0\\u233{} religieuse et pente glissante face aux politiques de l\\uc0\\u8217{}implicite et du \\uc0\\u8217{}signe faible\\uc0\\u8217{}\\uc0\\u8239{}: faiblesse de l\\uc0\\u8217{}expertise ou fragilit\\uc0\\u233{} du droit\\uc0\\u160{}\\uc0\\u187{}, in {\\i{}Tol\\uc0\\u233{}rances et radicalismes\\uc0\\u8239{}: que n\\uc0\\u8217{}avons-nous pas compris\\uc0\\u8239{}? Le terrorisme islamiste en Europe}, Mons, Couleur Livres, 2016, pp. 111\\uc0\\u8209{}119\\uc0\\u160{}; Y. {\\scaps Pagnerre}, \\uc0\\u171{}\\uc0\\u160{}La radicalisation religieuse saisie en droit du travail\\uc0\\u160{}\\uc0\\u187{}, {\\i{}in} O. {\\scaps Bui-Xuan} (\\uc0\\u233{}d.), {\\i{}La radicalisation religieuse saisie par le droit}, Colloques &amp; essais, n\\uc0\\u176{} 62, Bayonne, Institut Universitaire Varenne, 2018, pp. 211\\uc0\\u8209{}225\\uc0\\u160{}; L. {\\scaps Honor\\uc0\\u233{}}, \\uc0\\u171{}\\uc0\\u160{}L\\uc0\\u8217{}entreprise et les managers face \\uc0\\u224{} la radicalisation religieuse au travail\\uc0\\u160{}\\uc0\\u187{}, {\\i{}Revue Management &amp; avenir}, 2016, n\\uc0\\u176{} 90, pp. 39\\uc0\\u8209{}59.","plainCitation":"L.-L. Christians, « Radicalité religieuse et pente glissante face aux politiques de l’implicite et du ’signe faible’ : faiblesse de l’expertise ou fragilité du droit », in Tolérances et radicalismes : que n’avons-nous pas compris ? Le terrorisme islamiste en Europe, Mons, Couleur Livres, 2016, pp. 111‑119 ; Y. Pagnerre, « La radicalisation religieuse saisie en droit du travail », in O. Bui-Xuan (éd.), La radicalisation religieuse saisie par le droit, Colloques &amp; essais, n° 62, Bayonne, Institut Universitaire Varenne, 2018, pp. 211‑225 ; L. Honoré, « L’entreprise et les managers face à la radicalisation religieuse au travail », Revue Management &amp; avenir, 2016, n° 90, pp. 39‑59.","noteIndex":29},"citationItems":[{"id":656,"uris":["http://zotero.org/users/5133869/items/AJXLICUK"],"uri":["http://zotero.org/users/5133869/items/AJXLICUK"],"itemData":{"id":656,"type":"chapter","container-title":"Tolérances et radicalismes : que n'avons-nous pas compris ? Le terrorisme islamiste en Europe","event-place":"Mons","page":"111-119","publisher":"Couleur Livres","publisher-place":"Mons","title":"Radicalité religieuse et pente glissante face aux politiques de l'implicite et du 'signe faible' : faiblesse de l'expertise ou fragilité du droit","author":[{"family":"Christians","given":"Louis-Léon"}],"issued":{"date-parts":[["2016"]]}}},{"id":2239,"uris":["http://zotero.org/users/5133869/items/ZC2QPH76"],"uri":["http://zotero.org/users/5133869/items/ZC2QPH76"],"itemData":{"id":2239,"type":"chapter","collection-number":"62","collection-title":"Colloques &amp; essais","container-title":"La radicalisation religieuse saisie par le droit","event-place":"Bayonne","ISBN":"978-2-37032-165-7","page":"211-225","publisher":"Institut Universitaire Varenne","publisher-place":"Bayonne","source":"Library of Congress ISBN","title":"La radicalisation religieuse saisie en droit du travail","editor":[{"family":"Bui-Xuan","given":"Olivia"}],"author":[{"family":"Pagnerre","given":"Yannick"}],"issued":{"date-parts":[["2018"]]}}},{"id":2416,"uris":["http://zotero.org/users/5133869/items/K8PRETKF"],"uri":["http://zotero.org/users/5133869/items/K8PRETKF"],"itemData":{"id":2416,"type":"article-journal","container-title":"Revue Management &amp; avenir","issue":"90","page":"39-59","title":"L'entreprise et les managers face à la radicalisation religieuse au travail","author":[{"family":"Honoré","given":"Lionel"}],"issued":{"date-parts":[["2016"]]}}}],"schema":"https://github.com/citation-style-language/schema/raw/master/csl-citation.json"} </w:instrText>
      </w:r>
      <w:r w:rsidRPr="00016D32">
        <w:rPr>
          <w:szCs w:val="17"/>
        </w:rPr>
        <w:fldChar w:fldCharType="separate"/>
      </w:r>
      <w:r w:rsidR="001F0A79" w:rsidRPr="00016D32">
        <w:rPr>
          <w:szCs w:val="17"/>
        </w:rPr>
        <w:t xml:space="preserve">L.-L. </w:t>
      </w:r>
      <w:r w:rsidR="001F0A79" w:rsidRPr="00016D32">
        <w:rPr>
          <w:smallCaps/>
          <w:szCs w:val="17"/>
        </w:rPr>
        <w:t>Christians</w:t>
      </w:r>
      <w:r w:rsidR="001F0A79" w:rsidRPr="00016D32">
        <w:rPr>
          <w:szCs w:val="17"/>
        </w:rPr>
        <w:t xml:space="preserve">, « Radicalité religieuse et pente glissante face aux politiques de l’implicite et du ’signe faible’ : faiblesse de l’expertise ou fragilité du droit », in </w:t>
      </w:r>
      <w:r w:rsidR="001F0A79" w:rsidRPr="00016D32">
        <w:rPr>
          <w:i/>
          <w:iCs/>
          <w:szCs w:val="17"/>
        </w:rPr>
        <w:t>Tolérances et radicalismes : que n’avons-nous pas compris ? Le terrorisme islamiste en Europe</w:t>
      </w:r>
      <w:r w:rsidR="001F0A79" w:rsidRPr="00016D32">
        <w:rPr>
          <w:szCs w:val="17"/>
        </w:rPr>
        <w:t xml:space="preserve">, Mons, Couleur Livres, 2016, pp. 111‑119 ; Y. </w:t>
      </w:r>
      <w:r w:rsidR="001F0A79" w:rsidRPr="00016D32">
        <w:rPr>
          <w:smallCaps/>
          <w:szCs w:val="17"/>
        </w:rPr>
        <w:t>Pagnerre</w:t>
      </w:r>
      <w:r w:rsidR="001F0A79" w:rsidRPr="00016D32">
        <w:rPr>
          <w:szCs w:val="17"/>
        </w:rPr>
        <w:t xml:space="preserve">, « La radicalisation religieuse saisie en droit du travail », </w:t>
      </w:r>
      <w:r w:rsidR="001F0A79" w:rsidRPr="00016D32">
        <w:rPr>
          <w:i/>
          <w:iCs/>
          <w:szCs w:val="17"/>
        </w:rPr>
        <w:t>in</w:t>
      </w:r>
      <w:r w:rsidR="001F0A79" w:rsidRPr="00016D32">
        <w:rPr>
          <w:szCs w:val="17"/>
        </w:rPr>
        <w:t xml:space="preserve"> O. </w:t>
      </w:r>
      <w:r w:rsidR="001F0A79" w:rsidRPr="00016D32">
        <w:rPr>
          <w:smallCaps/>
          <w:szCs w:val="17"/>
        </w:rPr>
        <w:t>Bui-Xuan</w:t>
      </w:r>
      <w:r w:rsidR="001F0A79" w:rsidRPr="00016D32">
        <w:rPr>
          <w:szCs w:val="17"/>
        </w:rPr>
        <w:t xml:space="preserve"> (éd.), </w:t>
      </w:r>
      <w:r w:rsidR="001F0A79" w:rsidRPr="00016D32">
        <w:rPr>
          <w:i/>
          <w:iCs/>
          <w:szCs w:val="17"/>
        </w:rPr>
        <w:t>La radicalisation religieuse saisie par le droit</w:t>
      </w:r>
      <w:r w:rsidR="001F0A79" w:rsidRPr="00016D32">
        <w:rPr>
          <w:szCs w:val="17"/>
        </w:rPr>
        <w:t xml:space="preserve">, Colloques &amp; essais, n° 62, Bayonne, Institut Universitaire Varenne, 2018, pp. 211‑225 ; L. </w:t>
      </w:r>
      <w:r w:rsidR="001F0A79" w:rsidRPr="00016D32">
        <w:rPr>
          <w:smallCaps/>
          <w:szCs w:val="17"/>
        </w:rPr>
        <w:t>Honoré</w:t>
      </w:r>
      <w:r w:rsidR="001F0A79" w:rsidRPr="00016D32">
        <w:rPr>
          <w:szCs w:val="17"/>
        </w:rPr>
        <w:t xml:space="preserve">, « L’entreprise et les managers face à la radicalisation religieuse au travail », </w:t>
      </w:r>
      <w:r w:rsidR="001F0A79" w:rsidRPr="00016D32">
        <w:rPr>
          <w:i/>
          <w:iCs/>
          <w:szCs w:val="17"/>
        </w:rPr>
        <w:t>Revue Management &amp; avenir</w:t>
      </w:r>
      <w:r w:rsidR="001F0A79" w:rsidRPr="00016D32">
        <w:rPr>
          <w:szCs w:val="17"/>
        </w:rPr>
        <w:t>, 2016, n° 90, pp. 39‑59.</w:t>
      </w:r>
      <w:r w:rsidRPr="00016D32">
        <w:rPr>
          <w:szCs w:val="17"/>
        </w:rPr>
        <w:fldChar w:fldCharType="end"/>
      </w:r>
    </w:p>
  </w:footnote>
  <w:footnote w:id="32">
    <w:p w14:paraId="71652CB2" w14:textId="6401C632"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00267E5B">
        <w:rPr>
          <w:szCs w:val="17"/>
        </w:rPr>
        <w:fldChar w:fldCharType="begin"/>
      </w:r>
      <w:r w:rsidR="00267E5B">
        <w:rPr>
          <w:szCs w:val="17"/>
        </w:rPr>
        <w:instrText xml:space="preserve"> ADDIN ZOTERO_ITEM CSL_CITATION {"citationID":"x6j2UIXd","properties":{"formattedCitation":"F. {\\scaps G\\uc0\\u233{}a}, \\uc0\\u171{}\\uc0\\u160{}Communautarisme (religieux) et droit du travail\\uc0\\u160{}\\uc0\\u187{}, {\\i{}Droit social}, 2015, n\\uc0\\u176{} 9, pp. 661\\uc0\\u8209{}663.","plainCitation":"F. Géa, « Communautarisme (religieux) et droit du travail », Droit social, 2015, n° 9, pp. 661‑663.","noteIndex":32},"citationItems":[{"id":665,"uris":["http://zotero.org/users/5133869/items/XPUZAEJJ"],"uri":["http://zotero.org/users/5133869/items/XPUZAEJJ"],"itemData":{"id":665,"type":"article-journal","container-title":"Droit social","issue":"9","page":"661-663","title":"Communautarisme (religieux) et droit du travail","author":[{"family":"Géa","given":"Frédéric"}],"issued":{"date-parts":[["2015"]]}}}],"schema":"https://github.com/citation-style-language/schema/raw/master/csl-citation.json"} </w:instrText>
      </w:r>
      <w:r w:rsidR="00267E5B">
        <w:rPr>
          <w:szCs w:val="17"/>
        </w:rPr>
        <w:fldChar w:fldCharType="separate"/>
      </w:r>
      <w:r w:rsidR="00267E5B" w:rsidRPr="00267E5B">
        <w:rPr>
          <w:szCs w:val="24"/>
        </w:rPr>
        <w:t xml:space="preserve">F. </w:t>
      </w:r>
      <w:r w:rsidR="00267E5B" w:rsidRPr="00267E5B">
        <w:rPr>
          <w:smallCaps/>
          <w:szCs w:val="24"/>
        </w:rPr>
        <w:t>Géa</w:t>
      </w:r>
      <w:r w:rsidR="00267E5B" w:rsidRPr="00267E5B">
        <w:rPr>
          <w:szCs w:val="24"/>
        </w:rPr>
        <w:t xml:space="preserve">, « Communautarisme (religieux) et droit du travail », </w:t>
      </w:r>
      <w:r w:rsidR="00267E5B" w:rsidRPr="00267E5B">
        <w:rPr>
          <w:i/>
          <w:iCs/>
          <w:szCs w:val="24"/>
        </w:rPr>
        <w:t>Droit social</w:t>
      </w:r>
      <w:r w:rsidR="00267E5B" w:rsidRPr="00267E5B">
        <w:rPr>
          <w:szCs w:val="24"/>
        </w:rPr>
        <w:t>, 2015, n° 9, pp. 661‑663.</w:t>
      </w:r>
      <w:r w:rsidR="00267E5B">
        <w:rPr>
          <w:szCs w:val="17"/>
        </w:rPr>
        <w:fldChar w:fldCharType="end"/>
      </w:r>
      <w:r w:rsidR="00267E5B">
        <w:rPr>
          <w:szCs w:val="17"/>
        </w:rPr>
        <w:t xml:space="preserve"> </w:t>
      </w:r>
      <w:r w:rsidRPr="00016D32">
        <w:rPr>
          <w:szCs w:val="17"/>
        </w:rPr>
        <w:t>Le risque existe toutefois que des expressions auparavant anodines ne soient plus examinées sous l’angle de la liberté d’expression ou de religion, mais soient automatiquement suspectées d’illustrer une attitude de repli, voire de radicalisme vis-à-vis de l’environnement qui l’entoure.</w:t>
      </w:r>
    </w:p>
  </w:footnote>
  <w:footnote w:id="33">
    <w:p w14:paraId="359A1BFD" w14:textId="4F87A4DA" w:rsidR="0067182F" w:rsidRPr="00016D32" w:rsidRDefault="0067182F">
      <w:pPr>
        <w:pStyle w:val="Notedebasdepage"/>
        <w:rPr>
          <w:szCs w:val="17"/>
        </w:rPr>
      </w:pPr>
      <w:r w:rsidRPr="00016D32">
        <w:rPr>
          <w:rStyle w:val="Appelnotedebasdep"/>
          <w:szCs w:val="17"/>
        </w:rPr>
        <w:footnoteRef/>
      </w:r>
      <w:r w:rsidRPr="00016D32">
        <w:rPr>
          <w:szCs w:val="17"/>
        </w:rPr>
        <w:t xml:space="preserve"> </w:t>
      </w:r>
      <w:proofErr w:type="spellStart"/>
      <w:r w:rsidRPr="00016D32">
        <w:rPr>
          <w:szCs w:val="17"/>
        </w:rPr>
        <w:t>Voy</w:t>
      </w:r>
      <w:proofErr w:type="spellEnd"/>
      <w:r w:rsidRPr="00016D32">
        <w:rPr>
          <w:szCs w:val="17"/>
        </w:rPr>
        <w:t xml:space="preserve">. en ce sens l’arrêt de la Cour de cassation française dans l’affaire </w:t>
      </w:r>
      <w:r w:rsidRPr="00016D32">
        <w:rPr>
          <w:i/>
          <w:iCs/>
          <w:szCs w:val="17"/>
        </w:rPr>
        <w:t>Bougnaoui</w:t>
      </w:r>
      <w:r w:rsidRPr="00016D32">
        <w:rPr>
          <w:szCs w:val="17"/>
        </w:rPr>
        <w:t xml:space="preserve">, faisant suite à l’arrêt rendu par la Cour de justice de l’UE (14 mars 2017, C-188/15), à travers lequel celle-ci indique que « l’employeur, investi de la mission de faire respecter au sein de la communauté de travail l’ensemble des libertés et droits fondamentaux de chaque salarié, peut prévoir dans le règlement intérieur de l’entreprise […] une clause de neutralité interdisant le port visible de tout signe politique, philosophique ou religieux sur le lieu de travail » (Cass. </w:t>
      </w:r>
      <w:proofErr w:type="spellStart"/>
      <w:r w:rsidRPr="00016D32">
        <w:rPr>
          <w:szCs w:val="17"/>
        </w:rPr>
        <w:t>fr.</w:t>
      </w:r>
      <w:proofErr w:type="spellEnd"/>
      <w:r w:rsidRPr="00016D32">
        <w:rPr>
          <w:szCs w:val="17"/>
        </w:rPr>
        <w:t xml:space="preserve"> (ch. soc.), 22 novembre 2017, </w:t>
      </w:r>
      <w:proofErr w:type="spellStart"/>
      <w:r w:rsidRPr="00016D32">
        <w:rPr>
          <w:szCs w:val="17"/>
        </w:rPr>
        <w:t>req</w:t>
      </w:r>
      <w:proofErr w:type="spellEnd"/>
      <w:r w:rsidRPr="00016D32">
        <w:rPr>
          <w:szCs w:val="17"/>
        </w:rPr>
        <w:t xml:space="preserve">. n° 13-19.855). A propos de cet arrêt, S. </w:t>
      </w:r>
      <w:proofErr w:type="spellStart"/>
      <w:r w:rsidRPr="00016D32">
        <w:rPr>
          <w:smallCaps/>
          <w:szCs w:val="17"/>
        </w:rPr>
        <w:t>Hennion</w:t>
      </w:r>
      <w:proofErr w:type="spellEnd"/>
      <w:r w:rsidRPr="00016D32">
        <w:rPr>
          <w:szCs w:val="17"/>
        </w:rPr>
        <w:t xml:space="preserve"> note avec pertinence que « [ce] langage remet au goût du jour une conception institutionnelle de l’entreprise selon laquelle l’employeur, en tant que responsable, ne dispose de pouvoirs qu’en raison de la fonction qu’il occupe. La théorie institutionnelle a fondé les pouvoirs du chef d’entreprise sur ses fonctions et responsabilités à l’égard de la collectivité de travail. Cette ‘mission’ de l’employeur prend toute son ampleur en matière de respect des droits et libertés fondamentaux » </w:t>
      </w:r>
      <w:r w:rsidRPr="00016D32">
        <w:rPr>
          <w:szCs w:val="17"/>
        </w:rPr>
        <w:fldChar w:fldCharType="begin"/>
      </w:r>
      <w:r w:rsidR="001F0A79" w:rsidRPr="00016D32">
        <w:rPr>
          <w:szCs w:val="17"/>
        </w:rPr>
        <w:instrText xml:space="preserve"> ADDIN ZOTERO_ITEM CSL_CITATION {"citationID":"fnl7QpLE","properties":{"formattedCitation":"(\\uc0\\u171{}\\uc0\\u160{}Les clauses de neutralit\\uc0\\u233{} dans l\\uc0\\u8217{}entreprise\\uc0\\u160{}\\uc0\\u187{}, {\\i{}La Semaine Juridique - Edition G\\uc0\\u233{}n\\uc0\\u233{}rale}, janvier 2018, vol. 1\\uc0\\u8209{}2, n\\uc0\\u176{} 21, p. 31).","plainCitation":"(« Les clauses de neutralité dans l’entreprise », La Semaine Juridique - Edition Générale, janvier 2018, vol. 1‑2, n° 21, p. 31).","noteIndex":31},"citationItems":[{"id":2693,"uris":["http://zotero.org/users/5133869/items/4H6MUA8I"],"uri":["http://zotero.org/users/5133869/items/4H6MUA8I"],"itemData":{"id":2693,"type":"article-journal","container-title":"La Semaine Juridique - Edition Générale","issue":"21","page":"30-34","title":"Les clauses de neutralité dans l'entreprise","volume":"1-2","author":[{"family":"Hennion","given":"Sylvie"}],"issued":{"date-parts":[["2018",1,8]]}},"locator":"31","suppress-author":true,"prefix":"(","suffix":")"}],"schema":"https://github.com/citation-style-language/schema/raw/master/csl-citation.json"} </w:instrText>
      </w:r>
      <w:r w:rsidRPr="00016D32">
        <w:rPr>
          <w:szCs w:val="17"/>
        </w:rPr>
        <w:fldChar w:fldCharType="separate"/>
      </w:r>
      <w:r w:rsidR="001F0A79" w:rsidRPr="00016D32">
        <w:rPr>
          <w:szCs w:val="17"/>
        </w:rPr>
        <w:t xml:space="preserve">(« Les clauses de neutralité dans l’entreprise », </w:t>
      </w:r>
      <w:r w:rsidR="001F0A79" w:rsidRPr="00016D32">
        <w:rPr>
          <w:i/>
          <w:iCs/>
          <w:szCs w:val="17"/>
        </w:rPr>
        <w:t>La Semaine Juridique - Edition Générale</w:t>
      </w:r>
      <w:r w:rsidR="001F0A79" w:rsidRPr="00016D32">
        <w:rPr>
          <w:szCs w:val="17"/>
        </w:rPr>
        <w:t>, janvier 2018, vol. 1‑2, n° 21, p. 31).</w:t>
      </w:r>
      <w:r w:rsidRPr="00016D32">
        <w:rPr>
          <w:szCs w:val="17"/>
        </w:rPr>
        <w:fldChar w:fldCharType="end"/>
      </w:r>
    </w:p>
  </w:footnote>
  <w:footnote w:id="34">
    <w:p w14:paraId="364D3C2A" w14:textId="0E40FAD3" w:rsidR="0067182F" w:rsidRPr="00016D32" w:rsidRDefault="0067182F" w:rsidP="001209B3">
      <w:pPr>
        <w:pStyle w:val="Notedebasdepage"/>
        <w:rPr>
          <w:szCs w:val="17"/>
        </w:rPr>
      </w:pPr>
      <w:r w:rsidRPr="00016D32">
        <w:rPr>
          <w:rStyle w:val="Appelnotedebasdep"/>
          <w:szCs w:val="17"/>
        </w:rPr>
        <w:footnoteRef/>
      </w:r>
      <w:r w:rsidRPr="00016D32">
        <w:rPr>
          <w:szCs w:val="17"/>
        </w:rPr>
        <w:t xml:space="preserve"> Citons à cet égard le cas de l’entreprise de recyclage Paprec, dont l’adoption – polémique – de la Charte de la laïcité en 2014 est issue d’un référendum organisé au sein de l’entreprise : </w:t>
      </w:r>
      <w:r w:rsidRPr="00016D32">
        <w:rPr>
          <w:szCs w:val="17"/>
        </w:rPr>
        <w:fldChar w:fldCharType="begin"/>
      </w:r>
      <w:r w:rsidR="001F0A79" w:rsidRPr="00016D32">
        <w:rPr>
          <w:szCs w:val="17"/>
        </w:rPr>
        <w:instrText xml:space="preserve"> ADDIN ZOTERO_ITEM CSL_CITATION {"citationID":"48MIykVp","properties":{"formattedCitation":"{\\scaps Groupe Paprec}, \\uc0\\u171{}\\uc0\\u160{}Charte de la la\\uc0\\u239{}cit\\uc0\\u233{} et de la diversit\\uc0\\u233{}\\uc0\\u160{}\\uc0\\u187{}, 2014, disponible sur www.paprec.com (Consult\\uc0\\u233{} le 13 ao\\uc0\\u251{}t 2018).","plainCitation":"Groupe Paprec, « Charte de la laïcité et de la diversité », 2014, disponible sur www.paprec.com (Consulté le 13 août 2018).","noteIndex":32},"citationItems":[{"id":2084,"uris":["http://zotero.org/users/5133869/items/CD42GMGD"],"uri":["http://zotero.org/users/5133869/items/CD42GMGD"],"itemData":{"id":2084,"type":"article","title":"Charte de la laïcité et de la diversité","URL":"www.paprec.com","author":[{"family":"Groupe Paprec","given":""}],"accessed":{"date-parts":[["2018",8,13]]},"issued":{"date-parts":[["2014"]]}}}],"schema":"https://github.com/citation-style-language/schema/raw/master/csl-citation.json"} </w:instrText>
      </w:r>
      <w:r w:rsidRPr="00016D32">
        <w:rPr>
          <w:szCs w:val="17"/>
        </w:rPr>
        <w:fldChar w:fldCharType="separate"/>
      </w:r>
      <w:r w:rsidR="001F0A79" w:rsidRPr="00016D32">
        <w:rPr>
          <w:smallCaps/>
          <w:szCs w:val="17"/>
        </w:rPr>
        <w:t>Groupe Paprec</w:t>
      </w:r>
      <w:r w:rsidR="001F0A79" w:rsidRPr="00016D32">
        <w:rPr>
          <w:szCs w:val="17"/>
        </w:rPr>
        <w:t>, « Charte de la laïcité et de la diversité », 2014, disponible sur www.paprec.com (Consulté le 13 août 2018).</w:t>
      </w:r>
      <w:r w:rsidRPr="00016D32">
        <w:rPr>
          <w:szCs w:val="17"/>
        </w:rPr>
        <w:fldChar w:fldCharType="end"/>
      </w:r>
      <w:r w:rsidRPr="00016D32">
        <w:rPr>
          <w:szCs w:val="17"/>
        </w:rPr>
        <w:t xml:space="preserve"> Sur cette question, </w:t>
      </w:r>
      <w:proofErr w:type="spellStart"/>
      <w:r w:rsidRPr="00016D32">
        <w:rPr>
          <w:szCs w:val="17"/>
        </w:rPr>
        <w:t>voy</w:t>
      </w:r>
      <w:proofErr w:type="spellEnd"/>
      <w:r w:rsidRPr="00016D32">
        <w:rPr>
          <w:szCs w:val="17"/>
        </w:rPr>
        <w:t xml:space="preserve">. les remarques critiques de </w:t>
      </w:r>
      <w:r w:rsidRPr="00016D32">
        <w:rPr>
          <w:smallCaps/>
          <w:szCs w:val="17"/>
        </w:rPr>
        <w:t xml:space="preserve">Ch. Radé, </w:t>
      </w:r>
      <w:r w:rsidRPr="00016D32">
        <w:rPr>
          <w:szCs w:val="17"/>
        </w:rPr>
        <w:t xml:space="preserve">selon lequel </w:t>
      </w:r>
      <w:r w:rsidR="00267E5B">
        <w:rPr>
          <w:szCs w:val="17"/>
        </w:rPr>
        <w:t>« </w:t>
      </w:r>
      <w:r w:rsidRPr="00016D32">
        <w:rPr>
          <w:szCs w:val="17"/>
        </w:rPr>
        <w:t xml:space="preserve">ce retour de la ‘culture d’entreprise’, dans une version postmoderne, est d’autant plus problématique qu’elle vise à imposer le modèle d’une communauté aseptisée fondée sur une conception ‘dure’ de la laïcité […] » et « que certaines entreprises pourraient se croire investies d’un pouvoir d’autodétermination en matière de droits et de libertés individuelles, l’onction démocratique semblant désormais se substituer à la légalité même des mesures envisagées dans le prolongement d’un certain discours exaltant la démocratie sociale et l’autonomie normative des entreprises » </w:t>
      </w:r>
      <w:r w:rsidRPr="00016D32">
        <w:rPr>
          <w:szCs w:val="17"/>
        </w:rPr>
        <w:fldChar w:fldCharType="begin"/>
      </w:r>
      <w:r w:rsidR="001F0A79" w:rsidRPr="00016D32">
        <w:rPr>
          <w:szCs w:val="17"/>
        </w:rPr>
        <w:instrText xml:space="preserve"> ADDIN ZOTERO_ITEM CSL_CITATION {"citationID":"K15iAEkH","properties":{"formattedCitation":"(\\uc0\\u171{}\\uc0\\u160{}L\\uc0\\u8217{}entreprise et les chartes de la\\uc0\\u239{}cit\\uc0\\u233{}\\uc0\\u160{}\\uc0\\u187{}, {\\i{}Recueil Dalloz}, avril 2014, n\\uc0\\u176{} 13, p. 816).","plainCitation":"(« L’entreprise et les chartes de laïcité », Recueil Dalloz, avril 2014, n° 13, p. 816).","noteIndex":32},"citationItems":[{"id":2677,"uris":["http://zotero.org/users/5133869/items/6Z3GFCRM"],"uri":["http://zotero.org/users/5133869/items/6Z3GFCRM"],"itemData":{"id":2677,"type":"article-journal","container-title":"Recueil Dalloz","issue":"13","page":"816","title":"L'entreprise et les chartes de laïcité","author":[{"family":"Radé","given":"Christophe"}],"issued":{"date-parts":[["2014",4,3]]}},"suppress-author":true,"prefix":"(","suffix":")"}],"schema":"https://github.com/citation-style-language/schema/raw/master/csl-citation.json"} </w:instrText>
      </w:r>
      <w:r w:rsidRPr="00016D32">
        <w:rPr>
          <w:szCs w:val="17"/>
        </w:rPr>
        <w:fldChar w:fldCharType="separate"/>
      </w:r>
      <w:r w:rsidR="001F0A79" w:rsidRPr="00016D32">
        <w:rPr>
          <w:szCs w:val="17"/>
        </w:rPr>
        <w:t xml:space="preserve">(« L’entreprise et les chartes de laïcité », </w:t>
      </w:r>
      <w:r w:rsidR="001F0A79" w:rsidRPr="00016D32">
        <w:rPr>
          <w:i/>
          <w:iCs/>
          <w:szCs w:val="17"/>
        </w:rPr>
        <w:t>Recueil Dalloz</w:t>
      </w:r>
      <w:r w:rsidR="001F0A79" w:rsidRPr="00016D32">
        <w:rPr>
          <w:szCs w:val="17"/>
        </w:rPr>
        <w:t>, avril 2014, n° 13, p. 816).</w:t>
      </w:r>
      <w:r w:rsidRPr="00016D32">
        <w:rPr>
          <w:szCs w:val="17"/>
        </w:rPr>
        <w:fldChar w:fldCharType="end"/>
      </w:r>
    </w:p>
  </w:footnote>
  <w:footnote w:id="35">
    <w:p w14:paraId="5B85C8A0" w14:textId="2AF0DCB3" w:rsidR="0067182F" w:rsidRPr="00016D32" w:rsidRDefault="0067182F" w:rsidP="00FE1EB2">
      <w:pPr>
        <w:pStyle w:val="Notedebasdepage"/>
        <w:rPr>
          <w:szCs w:val="17"/>
        </w:rPr>
      </w:pPr>
      <w:r w:rsidRPr="00016D32">
        <w:rPr>
          <w:rStyle w:val="Appelnotedebasdep"/>
          <w:szCs w:val="17"/>
        </w:rPr>
        <w:footnoteRef/>
      </w:r>
      <w:r w:rsidRPr="00016D32">
        <w:rPr>
          <w:szCs w:val="17"/>
        </w:rPr>
        <w:t xml:space="preserve"> CJUE, 14 mars 2017 (</w:t>
      </w:r>
      <w:r w:rsidRPr="00016D32">
        <w:rPr>
          <w:i/>
          <w:iCs/>
          <w:szCs w:val="17"/>
        </w:rPr>
        <w:t xml:space="preserve">Samira </w:t>
      </w:r>
      <w:proofErr w:type="spellStart"/>
      <w:r w:rsidRPr="00016D32">
        <w:rPr>
          <w:i/>
          <w:iCs/>
          <w:szCs w:val="17"/>
        </w:rPr>
        <w:t>Achbita</w:t>
      </w:r>
      <w:proofErr w:type="spellEnd"/>
      <w:r w:rsidRPr="00016D32">
        <w:rPr>
          <w:i/>
          <w:iCs/>
          <w:szCs w:val="17"/>
        </w:rPr>
        <w:t>, Centre pour l’égalité des chances et la lutte contre le racisme c. G4S Secure Solutions NV</w:t>
      </w:r>
      <w:r w:rsidRPr="00016D32">
        <w:rPr>
          <w:szCs w:val="17"/>
        </w:rPr>
        <w:t>), C-157/15.</w:t>
      </w:r>
    </w:p>
  </w:footnote>
  <w:footnote w:id="36">
    <w:p w14:paraId="5F9DEACB" w14:textId="6D21B3B4" w:rsidR="0067182F" w:rsidRPr="00016D32" w:rsidRDefault="0067182F">
      <w:pPr>
        <w:pStyle w:val="Notedebasdepage"/>
        <w:rPr>
          <w:szCs w:val="17"/>
        </w:rPr>
      </w:pPr>
      <w:r w:rsidRPr="00016D32">
        <w:rPr>
          <w:rStyle w:val="Appelnotedebasdep"/>
          <w:szCs w:val="17"/>
        </w:rPr>
        <w:footnoteRef/>
      </w:r>
      <w:r w:rsidRPr="00016D32">
        <w:rPr>
          <w:szCs w:val="17"/>
        </w:rPr>
        <w:t xml:space="preserve"> CJUE, 14 mars 2017 (</w:t>
      </w:r>
      <w:r w:rsidRPr="00016D32">
        <w:rPr>
          <w:i/>
          <w:iCs/>
          <w:szCs w:val="17"/>
        </w:rPr>
        <w:t xml:space="preserve">Asma Bougnaoui, Association de défense des droits de l’homme c. </w:t>
      </w:r>
      <w:proofErr w:type="spellStart"/>
      <w:r w:rsidRPr="00016D32">
        <w:rPr>
          <w:i/>
          <w:iCs/>
          <w:szCs w:val="17"/>
        </w:rPr>
        <w:t>Micropole</w:t>
      </w:r>
      <w:proofErr w:type="spellEnd"/>
      <w:r w:rsidRPr="00016D32">
        <w:rPr>
          <w:i/>
          <w:iCs/>
          <w:szCs w:val="17"/>
        </w:rPr>
        <w:t xml:space="preserve"> S.A.</w:t>
      </w:r>
      <w:r w:rsidRPr="00016D32">
        <w:rPr>
          <w:szCs w:val="17"/>
        </w:rPr>
        <w:t>), C-188/15.</w:t>
      </w:r>
    </w:p>
  </w:footnote>
  <w:footnote w:id="37">
    <w:p w14:paraId="041C25E7" w14:textId="3E8A39C8" w:rsidR="0067182F" w:rsidRPr="00016D32" w:rsidRDefault="0067182F">
      <w:pPr>
        <w:pStyle w:val="Notedebasdepage"/>
        <w:rPr>
          <w:szCs w:val="17"/>
        </w:rPr>
      </w:pPr>
      <w:r w:rsidRPr="00016D32">
        <w:rPr>
          <w:rStyle w:val="Appelnotedebasdep"/>
          <w:szCs w:val="17"/>
        </w:rPr>
        <w:footnoteRef/>
      </w:r>
      <w:r w:rsidRPr="00016D32">
        <w:rPr>
          <w:szCs w:val="17"/>
        </w:rPr>
        <w:t xml:space="preserve"> CJUE, </w:t>
      </w:r>
      <w:r w:rsidRPr="00016D32">
        <w:rPr>
          <w:i/>
          <w:iCs/>
          <w:szCs w:val="17"/>
        </w:rPr>
        <w:t>Bougnaoui</w:t>
      </w:r>
      <w:r w:rsidRPr="00016D32">
        <w:rPr>
          <w:szCs w:val="17"/>
        </w:rPr>
        <w:t>, para. 41.</w:t>
      </w:r>
    </w:p>
  </w:footnote>
  <w:footnote w:id="38">
    <w:p w14:paraId="116EEF49" w14:textId="77777777" w:rsidR="0067182F" w:rsidRPr="00016D32" w:rsidRDefault="0067182F" w:rsidP="001C685D">
      <w:pPr>
        <w:pStyle w:val="Notedebasdepage"/>
        <w:rPr>
          <w:szCs w:val="17"/>
        </w:rPr>
      </w:pPr>
      <w:r w:rsidRPr="00016D32">
        <w:rPr>
          <w:rStyle w:val="Appelnotedebasdep"/>
          <w:szCs w:val="17"/>
        </w:rPr>
        <w:footnoteRef/>
      </w:r>
      <w:r w:rsidRPr="00016D32">
        <w:rPr>
          <w:szCs w:val="17"/>
        </w:rPr>
        <w:t xml:space="preserve"> </w:t>
      </w:r>
      <w:proofErr w:type="spellStart"/>
      <w:r w:rsidRPr="00016D32">
        <w:rPr>
          <w:szCs w:val="17"/>
        </w:rPr>
        <w:t>CJUE</w:t>
      </w:r>
      <w:proofErr w:type="spellEnd"/>
      <w:r w:rsidRPr="00016D32">
        <w:rPr>
          <w:szCs w:val="17"/>
        </w:rPr>
        <w:t xml:space="preserve">, </w:t>
      </w:r>
      <w:proofErr w:type="spellStart"/>
      <w:r w:rsidRPr="00016D32">
        <w:rPr>
          <w:i/>
          <w:iCs/>
          <w:szCs w:val="17"/>
        </w:rPr>
        <w:t>Achbita</w:t>
      </w:r>
      <w:proofErr w:type="spellEnd"/>
      <w:r w:rsidRPr="00016D32">
        <w:rPr>
          <w:szCs w:val="17"/>
        </w:rPr>
        <w:t>, para. 37.</w:t>
      </w:r>
    </w:p>
  </w:footnote>
  <w:footnote w:id="39">
    <w:p w14:paraId="15DA9493" w14:textId="0201F280" w:rsidR="0067182F" w:rsidRPr="00016D32" w:rsidRDefault="0067182F">
      <w:pPr>
        <w:pStyle w:val="Notedebasdepage"/>
        <w:rPr>
          <w:szCs w:val="17"/>
        </w:rPr>
      </w:pPr>
      <w:r w:rsidRPr="00016D32">
        <w:rPr>
          <w:rStyle w:val="Appelnotedebasdep"/>
          <w:szCs w:val="17"/>
        </w:rPr>
        <w:footnoteRef/>
      </w:r>
      <w:r w:rsidRPr="00016D32">
        <w:rPr>
          <w:szCs w:val="17"/>
        </w:rPr>
        <w:t xml:space="preserve"> Article 16 de la Charte des droits fondamentaux de l’UE.</w:t>
      </w:r>
    </w:p>
  </w:footnote>
  <w:footnote w:id="40">
    <w:p w14:paraId="2D7505F2" w14:textId="3A9AA13B" w:rsidR="0067182F" w:rsidRPr="00016D32" w:rsidRDefault="0067182F">
      <w:pPr>
        <w:pStyle w:val="Notedebasdepage"/>
        <w:rPr>
          <w:szCs w:val="17"/>
        </w:rPr>
      </w:pPr>
      <w:r w:rsidRPr="00016D32">
        <w:rPr>
          <w:rStyle w:val="Appelnotedebasdep"/>
          <w:szCs w:val="17"/>
        </w:rPr>
        <w:footnoteRef/>
      </w:r>
      <w:r w:rsidRPr="00016D32">
        <w:rPr>
          <w:szCs w:val="17"/>
        </w:rPr>
        <w:t xml:space="preserve"> </w:t>
      </w:r>
      <w:proofErr w:type="spellStart"/>
      <w:r w:rsidRPr="00016D32">
        <w:rPr>
          <w:szCs w:val="17"/>
        </w:rPr>
        <w:t>CJUE</w:t>
      </w:r>
      <w:proofErr w:type="spellEnd"/>
      <w:r w:rsidRPr="00016D32">
        <w:rPr>
          <w:szCs w:val="17"/>
        </w:rPr>
        <w:t xml:space="preserve">, </w:t>
      </w:r>
      <w:proofErr w:type="spellStart"/>
      <w:r w:rsidRPr="00016D32">
        <w:rPr>
          <w:i/>
          <w:iCs/>
          <w:szCs w:val="17"/>
        </w:rPr>
        <w:t>Achbita</w:t>
      </w:r>
      <w:proofErr w:type="spellEnd"/>
      <w:r w:rsidRPr="00016D32">
        <w:rPr>
          <w:szCs w:val="17"/>
        </w:rPr>
        <w:t>, para. 40-41.</w:t>
      </w:r>
    </w:p>
  </w:footnote>
  <w:footnote w:id="41">
    <w:p w14:paraId="02552D88" w14:textId="3A4825F6" w:rsidR="0067182F" w:rsidRPr="00016D32" w:rsidRDefault="0067182F" w:rsidP="002129B3">
      <w:pPr>
        <w:pStyle w:val="Notedebasdepage"/>
        <w:rPr>
          <w:szCs w:val="17"/>
        </w:rPr>
      </w:pPr>
      <w:r w:rsidRPr="00016D32">
        <w:rPr>
          <w:rStyle w:val="Appelnotedebasdep"/>
          <w:szCs w:val="17"/>
        </w:rPr>
        <w:footnoteRef/>
      </w:r>
      <w:r w:rsidRPr="00016D32">
        <w:rPr>
          <w:szCs w:val="17"/>
        </w:rPr>
        <w:t xml:space="preserve"> L’impossibilité d’accéder, pour les travailleurs exprimant leurs convictions religieuses, aux fonctions en contact avec l’extérieur pose en particulier la question de l’</w:t>
      </w:r>
      <w:r w:rsidRPr="00016D32">
        <w:rPr>
          <w:i/>
          <w:iCs/>
          <w:szCs w:val="17"/>
        </w:rPr>
        <w:t>invisibilisation</w:t>
      </w:r>
      <w:r w:rsidRPr="00016D32">
        <w:rPr>
          <w:szCs w:val="17"/>
        </w:rPr>
        <w:t xml:space="preserve"> de ces travailleurs au sein de fonctions, sinon subalternes, en tout cas situées en arrière-boutique. En ce sens, </w:t>
      </w:r>
      <w:proofErr w:type="spellStart"/>
      <w:r w:rsidRPr="00016D32">
        <w:rPr>
          <w:szCs w:val="17"/>
        </w:rPr>
        <w:t>voy</w:t>
      </w:r>
      <w:proofErr w:type="spellEnd"/>
      <w:r w:rsidRPr="00016D32">
        <w:rPr>
          <w:szCs w:val="17"/>
        </w:rPr>
        <w:t xml:space="preserve">. </w:t>
      </w:r>
      <w:r w:rsidRPr="00016D32">
        <w:rPr>
          <w:szCs w:val="17"/>
        </w:rPr>
        <w:fldChar w:fldCharType="begin"/>
      </w:r>
      <w:r w:rsidR="001F0A79" w:rsidRPr="00016D32">
        <w:rPr>
          <w:szCs w:val="17"/>
        </w:rPr>
        <w:instrText xml:space="preserve"> ADDIN ZOTERO_ITEM CSL_CITATION {"citationID":"fQmjlLFY","properties":{"formattedCitation":"D. {\\scaps Martin}, \\uc0\\u171{}\\uc0\\u160{}Cachez ce voile que je ne saurais voir\\uc0\\u8239{}! L\\uc0\\u8217{}interdiction de discrimination fond\\uc0\\u233{}e sur la religion vue par la CJUE\\uc0\\u160{}\\uc0\\u187{}, {\\i{}Droit social}, 2018, n\\uc0\\u176{} 4, p. 322\\uc0\\u160{}; E. {\\scaps Bribosi} et I. {\\scaps Rorive}, \\uc0\\u171{}\\uc0\\u160{}Affaires Achbita et Bougnaoui\\uc0\\u8239{}: entre neutralit\\uc0\\u233{} et pr\\uc0\\u233{}jug\\uc0\\u233{}s (obs. sous C.J.U.E., Gde Ch., arr\\uc0\\u234{}ts Achbita et Bougnaoui, 14 mars 2017)\\uc0\\u160{}\\uc0\\u187{}, {\\i{}Rev. trim. dr. h.}, 2017, n\\uc0\\u176{} 112, p. 1035\\uc0\\u160{}; E. {\\scaps Brems}, \\uc0\\u171{}\\uc0\\u160{}Analysis: European Court of Justice Allows Bans on Religious Dress in the Workplace\\uc0\\u160{}\\uc0\\u187{}, {\\i{}Blog de l\\uc0\\u8217{}Association Internationale de Droit Constitutionnel}, 25 mars 2017, disponible sur www.iacl-aidc-blog.org (Consult\\uc0\\u233{} le 16 avril 2017).","plainCitation":"D. Martin, « Cachez ce voile que je ne saurais voir ! L’interdiction de discrimination fondée sur la religion vue par la CJUE », Droit social, 2018, n° 4, p. 322 ; E. Bribosi et I. Rorive, « Affaires Achbita et Bougnaoui : entre neutralité et préjugés (obs. sous C.J.U.E., Gde Ch., arrêts Achbita et Bougnaoui, 14 mars 2017) », Rev. trim. dr. h., 2017, n° 112, p. 1035 ; E. Brems, « Analysis: European Court of Justice Allows Bans on Religious Dress in the Workplace », Blog de l’Association Internationale de Droit Constitutionnel, 25 mars 2017, disponible sur www.iacl-aidc-blog.org (Consulté le 16 avril 2017).","noteIndex":39},"citationItems":[{"id":215,"uris":["http://zotero.org/users/5133869/items/UVHIJSB5"],"uri":["http://zotero.org/users/5133869/items/UVHIJSB5"],"itemData":{"id":215,"type":"article-journal","container-title":"Droit social","issue":"4","page":"314-322","title":"Cachez ce voile que je ne saurais voir ! L'interdiction de discrimination fondée sur la religion vue par la CJUE","author":[{"family":"Martin","given":"Denis"}],"issued":{"date-parts":[["2018"]]}},"locator":"322"},{"id":235,"uris":["http://zotero.org/users/5133869/items/U9PZ7BMG"],"uri":["http://zotero.org/users/5133869/items/U9PZ7BMG"],"itemData":{"id":235,"type":"article-journal","container-title":"Rev. trim. dr. h.","issue":"112","page":"1017-1037","title":"Affaires Achbita et Bougnaoui : entre neutralité et préjugés (obs. sous C.J.U.E., Gde Ch., arrêts Achbita et Bougnaoui, 14 mars 2017)","author":[{"family":"Bribosi","given":"Emmanuelle"},{"family":"Rorive","given":"Isabelle"}],"issued":{"date-parts":[["2017"]]}},"locator":"1035"},{"id":2577,"uris":["http://zotero.org/users/5133869/items/K8FY8KIS"],"uri":["http://zotero.org/users/5133869/items/K8FY8KIS"],"itemData":{"id":2577,"type":"post-weblog","container-title":"Blog de l’Association Internationale de Droit Constitutionnel","title":"Analysis: European Court of Justice Allows Bans on Religious Dress in the Workplace","URL":"www.iacl-aidc-blog.org","author":[{"family":"Brems","given":"Eva"}],"accessed":{"date-parts":[["2017",4,16]]},"issued":{"date-parts":[["2017",3,25]]}}}],"schema":"https://github.com/citation-style-language/schema/raw/master/csl-citation.json"} </w:instrText>
      </w:r>
      <w:r w:rsidRPr="00016D32">
        <w:rPr>
          <w:szCs w:val="17"/>
        </w:rPr>
        <w:fldChar w:fldCharType="separate"/>
      </w:r>
      <w:r w:rsidR="001F0A79" w:rsidRPr="00016D32">
        <w:rPr>
          <w:szCs w:val="17"/>
        </w:rPr>
        <w:t xml:space="preserve">D. </w:t>
      </w:r>
      <w:r w:rsidR="001F0A79" w:rsidRPr="00016D32">
        <w:rPr>
          <w:smallCaps/>
          <w:szCs w:val="17"/>
        </w:rPr>
        <w:t>Martin</w:t>
      </w:r>
      <w:r w:rsidR="001F0A79" w:rsidRPr="00016D32">
        <w:rPr>
          <w:szCs w:val="17"/>
        </w:rPr>
        <w:t xml:space="preserve">, « Cachez ce voile que je ne saurais voir ! L’interdiction de discrimination fondée sur la religion vue par la CJUE », </w:t>
      </w:r>
      <w:r w:rsidR="001F0A79" w:rsidRPr="00016D32">
        <w:rPr>
          <w:i/>
          <w:iCs/>
          <w:szCs w:val="17"/>
        </w:rPr>
        <w:t>Droit social</w:t>
      </w:r>
      <w:r w:rsidR="001F0A79" w:rsidRPr="00016D32">
        <w:rPr>
          <w:szCs w:val="17"/>
        </w:rPr>
        <w:t xml:space="preserve">, 2018, n° 4, p. 322 ; E. </w:t>
      </w:r>
      <w:r w:rsidR="001F0A79" w:rsidRPr="00016D32">
        <w:rPr>
          <w:smallCaps/>
          <w:szCs w:val="17"/>
        </w:rPr>
        <w:t>Bribosi</w:t>
      </w:r>
      <w:r w:rsidR="001F0A79" w:rsidRPr="00016D32">
        <w:rPr>
          <w:szCs w:val="17"/>
        </w:rPr>
        <w:t xml:space="preserve"> et I. </w:t>
      </w:r>
      <w:r w:rsidR="001F0A79" w:rsidRPr="00016D32">
        <w:rPr>
          <w:smallCaps/>
          <w:szCs w:val="17"/>
        </w:rPr>
        <w:t>Rorive</w:t>
      </w:r>
      <w:r w:rsidR="001F0A79" w:rsidRPr="00016D32">
        <w:rPr>
          <w:szCs w:val="17"/>
        </w:rPr>
        <w:t xml:space="preserve">, « Affaires Achbita et Bougnaoui : entre neutralité et préjugés (obs. sous C.J.U.E., Gde Ch., arrêts Achbita et Bougnaoui, 14 mars 2017) », </w:t>
      </w:r>
      <w:r w:rsidR="001F0A79" w:rsidRPr="00016D32">
        <w:rPr>
          <w:i/>
          <w:iCs/>
          <w:szCs w:val="17"/>
        </w:rPr>
        <w:t>Rev. trim. dr. h.</w:t>
      </w:r>
      <w:r w:rsidR="001F0A79" w:rsidRPr="00016D32">
        <w:rPr>
          <w:szCs w:val="17"/>
        </w:rPr>
        <w:t xml:space="preserve">, 2017, n° 112, p. 1035 ; E. </w:t>
      </w:r>
      <w:r w:rsidR="001F0A79" w:rsidRPr="00016D32">
        <w:rPr>
          <w:smallCaps/>
          <w:szCs w:val="17"/>
        </w:rPr>
        <w:t>Brems</w:t>
      </w:r>
      <w:r w:rsidR="001F0A79" w:rsidRPr="00016D32">
        <w:rPr>
          <w:szCs w:val="17"/>
        </w:rPr>
        <w:t xml:space="preserve">, « Analysis: European Court of Justice Allows Bans on Religious Dress in the Workplace », </w:t>
      </w:r>
      <w:r w:rsidR="001F0A79" w:rsidRPr="00016D32">
        <w:rPr>
          <w:i/>
          <w:iCs/>
          <w:szCs w:val="17"/>
        </w:rPr>
        <w:t>Blog de l’Association Internationale de Droit Constitutionnel</w:t>
      </w:r>
      <w:r w:rsidR="001F0A79" w:rsidRPr="00016D32">
        <w:rPr>
          <w:szCs w:val="17"/>
        </w:rPr>
        <w:t>, 25 mars 2017, disponible sur www.iacl-aidc-blog.org (Consulté le 16 avril 2017).</w:t>
      </w:r>
      <w:r w:rsidRPr="00016D32">
        <w:rPr>
          <w:szCs w:val="17"/>
        </w:rPr>
        <w:fldChar w:fldCharType="end"/>
      </w:r>
    </w:p>
  </w:footnote>
  <w:footnote w:id="42">
    <w:p w14:paraId="0D9CB932" w14:textId="7AE876F8" w:rsidR="0067182F" w:rsidRPr="00016D32" w:rsidRDefault="0067182F" w:rsidP="00153E39">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{"citationID":"lv5dTRzl","properties":{"formattedCitation":"S. {\\scaps Hennette-Vauchez} et V. {\\scaps Valentin}, {\\i{}L\\uc0\\u8217{}affaire Baby Loup ou la Nouvelle La\\uc0\\u239{}cit\\uc0\\u233{}}, Paris, LGDJ, 2014, p. 59.","plainCitation":"S. Hennette-Vauchez et V. Valentin, L’affaire Baby Loup ou la Nouvelle Laïcité, Paris, LGDJ, 2014, p. 59.","noteIndex":42},"citationItems":[{"id":1189,"uris":["http://zotero.org/users/5133869/items/H2JFE7DP"],"uri":["http://zotero.org/users/5133869/items/H2JFE7DP"],"itemData":{"id":1189,"type":"book","event-place":"Paris","ISBN":"978-2-275-04446-0","language":"fre","number-of-pages":"115","publisher":"LGDJ","publisher-place":"Paris","source":"Gemeinsamer Bibliotheksverbund ISBN","title":"L'affaire Baby Loup ou la Nouvelle Laïcité","author":[{"family":"Hennette-Vauchez","given":"Stéphanie"},{"family":"Valentin","given":"Vincent"}],"issued":{"date-parts":[["2014"]]}},"locator":"59"}],"schema":"https://github.com/citation-style-language/schema/raw/master/csl-citation.json"} </w:instrText>
      </w:r>
      <w:r w:rsidRPr="00016D32">
        <w:rPr>
          <w:szCs w:val="17"/>
        </w:rPr>
        <w:fldChar w:fldCharType="separate"/>
      </w:r>
      <w:r w:rsidR="001F0A79" w:rsidRPr="00016D32">
        <w:rPr>
          <w:szCs w:val="17"/>
        </w:rPr>
        <w:t xml:space="preserve">S. </w:t>
      </w:r>
      <w:r w:rsidR="001F0A79" w:rsidRPr="00016D32">
        <w:rPr>
          <w:smallCaps/>
          <w:szCs w:val="17"/>
        </w:rPr>
        <w:t>Hennette-Vauchez</w:t>
      </w:r>
      <w:r w:rsidR="001F0A79" w:rsidRPr="00016D32">
        <w:rPr>
          <w:szCs w:val="17"/>
        </w:rPr>
        <w:t xml:space="preserve"> et V. </w:t>
      </w:r>
      <w:r w:rsidR="001F0A79" w:rsidRPr="00016D32">
        <w:rPr>
          <w:smallCaps/>
          <w:szCs w:val="17"/>
        </w:rPr>
        <w:t>Valentin</w:t>
      </w:r>
      <w:r w:rsidR="001F0A79" w:rsidRPr="00016D32">
        <w:rPr>
          <w:szCs w:val="17"/>
        </w:rPr>
        <w:t xml:space="preserve">, </w:t>
      </w:r>
      <w:r w:rsidR="001F0A79" w:rsidRPr="00016D32">
        <w:rPr>
          <w:i/>
          <w:iCs/>
          <w:szCs w:val="17"/>
        </w:rPr>
        <w:t>L’affaire Baby Loup ou la Nouvelle Laïcité</w:t>
      </w:r>
      <w:r w:rsidR="001F0A79" w:rsidRPr="00016D32">
        <w:rPr>
          <w:szCs w:val="17"/>
        </w:rPr>
        <w:t>, Paris, LGDJ, 2014, p. 59.</w:t>
      </w:r>
      <w:r w:rsidRPr="00016D32">
        <w:rPr>
          <w:szCs w:val="17"/>
        </w:rPr>
        <w:fldChar w:fldCharType="end"/>
      </w:r>
      <w:r w:rsidRPr="00016D32">
        <w:rPr>
          <w:szCs w:val="17"/>
        </w:rPr>
        <w:t xml:space="preserve"> Selon les auteurs, la neutralité transposée de l’Etat à l’entreprise traduit, dans un certain sens, une tendance selon laquelle « le privé se publicise » </w:t>
      </w:r>
      <w:r w:rsidRPr="00016D32">
        <w:rPr>
          <w:szCs w:val="17"/>
        </w:rPr>
        <w:fldChar w:fldCharType="begin"/>
      </w:r>
      <w:r w:rsidR="008163ED">
        <w:rPr>
          <w:szCs w:val="17"/>
        </w:rPr>
        <w:instrText xml:space="preserve"> ADDIN ZOTERO_ITEM CSL_CITATION {"citationID":"2qvXRFq2","properties":{"formattedCitation":"({\\i{}ibid.}, p. 22).","plainCitation":"(ibid., p. 22).","noteIndex":42},"citationItems":[{"id":1189,"uris":["http://zotero.org/users/5133869/items/H2JFE7DP"],"uri":["http://zotero.org/users/5133869/items/H2JFE7DP"],"itemData":{"id":1189,"type":"book","event-place":"Paris","ISBN":"978-2-275-04446-0","language":"fre","number-of-pages":"115","publisher":"LGDJ","publisher-place":"Paris","source":"Gemeinsamer Bibliotheksverbund ISBN","title":"L'affaire Baby Loup ou la Nouvelle Laïcité","author":[{"family":"Hennette-Vauchez","given":"Stéphanie"},{"family":"Valentin","given":"Vincent"}],"issued":{"date-parts":[["2014"]]}},"locator":"22","prefix":"(","suffix":")"}],"schema":"https://github.com/citation-style-language/schema/raw/master/csl-citation.json"} </w:instrText>
      </w:r>
      <w:r w:rsidRPr="00016D32">
        <w:rPr>
          <w:szCs w:val="17"/>
        </w:rPr>
        <w:fldChar w:fldCharType="separate"/>
      </w:r>
      <w:r w:rsidR="001F0A79" w:rsidRPr="00016D32">
        <w:rPr>
          <w:szCs w:val="17"/>
        </w:rPr>
        <w:t>(</w:t>
      </w:r>
      <w:r w:rsidR="001F0A79" w:rsidRPr="00016D32">
        <w:rPr>
          <w:i/>
          <w:iCs/>
          <w:szCs w:val="17"/>
        </w:rPr>
        <w:t>ibid.</w:t>
      </w:r>
      <w:r w:rsidR="001F0A79" w:rsidRPr="00016D32">
        <w:rPr>
          <w:szCs w:val="17"/>
        </w:rPr>
        <w:t>, p. 22).</w:t>
      </w:r>
      <w:r w:rsidRPr="00016D32">
        <w:rPr>
          <w:szCs w:val="17"/>
        </w:rPr>
        <w:fldChar w:fldCharType="end"/>
      </w:r>
    </w:p>
  </w:footnote>
  <w:footnote w:id="43">
    <w:p w14:paraId="5C94C0CC" w14:textId="51D695F3" w:rsidR="0067182F" w:rsidRPr="00016D32" w:rsidRDefault="0067182F">
      <w:pPr>
        <w:pStyle w:val="Notedebasdepage"/>
        <w:rPr>
          <w:szCs w:val="17"/>
        </w:rPr>
      </w:pPr>
      <w:r w:rsidRPr="00016D32">
        <w:rPr>
          <w:rStyle w:val="Appelnotedebasdep"/>
          <w:szCs w:val="17"/>
        </w:rPr>
        <w:footnoteRef/>
      </w:r>
      <w:r w:rsidRPr="00016D32">
        <w:rPr>
          <w:szCs w:val="17"/>
        </w:rPr>
        <w:t xml:space="preserve"> Cass. (ch. soc.), 19 mars 2013, </w:t>
      </w:r>
      <w:proofErr w:type="spellStart"/>
      <w:r w:rsidRPr="00016D32">
        <w:rPr>
          <w:szCs w:val="17"/>
        </w:rPr>
        <w:t>req</w:t>
      </w:r>
      <w:proofErr w:type="spellEnd"/>
      <w:r w:rsidRPr="00016D32">
        <w:rPr>
          <w:szCs w:val="17"/>
        </w:rPr>
        <w:t xml:space="preserve">. n°12-11.690. Pour une analyse critique de cet arrêt, </w:t>
      </w:r>
      <w:proofErr w:type="spellStart"/>
      <w:r w:rsidRPr="00016D32">
        <w:rPr>
          <w:szCs w:val="17"/>
        </w:rPr>
        <w:t>voy</w:t>
      </w:r>
      <w:proofErr w:type="spellEnd"/>
      <w:r w:rsidRPr="00016D32">
        <w:rPr>
          <w:szCs w:val="17"/>
        </w:rPr>
        <w:t xml:space="preserve">. </w:t>
      </w:r>
      <w:r w:rsidRPr="00016D32">
        <w:rPr>
          <w:szCs w:val="17"/>
        </w:rPr>
        <w:fldChar w:fldCharType="begin"/>
      </w:r>
      <w:r w:rsidR="008163ED">
        <w:rPr>
          <w:szCs w:val="17"/>
        </w:rPr>
        <w:instrText xml:space="preserve"> ADDIN ZOTERO_ITEM CSL_CITATION {"citationID":"khgyEl1a","properties":{"formattedCitation":"S. {\\scaps Hennette-Vauchez} et V. {\\scaps Valentin}, {\\i{}L\\uc0\\u8217{}affaire Baby Loup ou la Nouvelle La\\uc0\\u239{}cit\\uc0\\u233{}}, {\\i{}op. cit.}, p. 32.","plainCitation":"S. Hennette-Vauchez et V. Valentin, L’affaire Baby Loup ou la Nouvelle Laïcité, op. cit., p. 32.","noteIndex":43},"citationItems":[{"id":1189,"uris":["http://zotero.org/users/5133869/items/H2JFE7DP"],"uri":["http://zotero.org/users/5133869/items/H2JFE7DP"],"itemData":{"id":1189,"type":"book","event-place":"Paris","ISBN":"978-2-275-04446-0","language":"fre","number-of-pages":"115","publisher":"LGDJ","publisher-place":"Paris","source":"Gemeinsamer Bibliotheksverbund ISBN","title":"L'affaire Baby Loup ou la Nouvelle Laïcité","author":[{"family":"Hennette-Vauchez","given":"Stéphanie"},{"family":"Valentin","given":"Vincent"}],"issued":{"date-parts":[["2014"]]}},"locator":"32"}],"schema":"https://github.com/citation-style-language/schema/raw/master/csl-citation.json"} </w:instrText>
      </w:r>
      <w:r w:rsidRPr="00016D32">
        <w:rPr>
          <w:szCs w:val="17"/>
        </w:rPr>
        <w:fldChar w:fldCharType="separate"/>
      </w:r>
      <w:r w:rsidR="001F0A79" w:rsidRPr="00016D32">
        <w:rPr>
          <w:szCs w:val="17"/>
        </w:rPr>
        <w:t xml:space="preserve">S. </w:t>
      </w:r>
      <w:r w:rsidR="001F0A79" w:rsidRPr="00016D32">
        <w:rPr>
          <w:smallCaps/>
          <w:szCs w:val="17"/>
        </w:rPr>
        <w:t>Hennette-Vauchez</w:t>
      </w:r>
      <w:r w:rsidR="001F0A79" w:rsidRPr="00016D32">
        <w:rPr>
          <w:szCs w:val="17"/>
        </w:rPr>
        <w:t xml:space="preserve"> et V. </w:t>
      </w:r>
      <w:r w:rsidR="001F0A79" w:rsidRPr="00016D32">
        <w:rPr>
          <w:smallCaps/>
          <w:szCs w:val="17"/>
        </w:rPr>
        <w:t>Valentin</w:t>
      </w:r>
      <w:r w:rsidR="001F0A79" w:rsidRPr="00016D32">
        <w:rPr>
          <w:szCs w:val="17"/>
        </w:rPr>
        <w:t xml:space="preserve">, </w:t>
      </w:r>
      <w:r w:rsidR="001F0A79" w:rsidRPr="00016D32">
        <w:rPr>
          <w:i/>
          <w:iCs/>
          <w:szCs w:val="17"/>
        </w:rPr>
        <w:t>L’affaire Baby Loup ou la Nouvelle Laïcité</w:t>
      </w:r>
      <w:r w:rsidR="001F0A79" w:rsidRPr="00016D32">
        <w:rPr>
          <w:szCs w:val="17"/>
        </w:rPr>
        <w:t xml:space="preserve">, </w:t>
      </w:r>
      <w:r w:rsidR="001F0A79" w:rsidRPr="00016D32">
        <w:rPr>
          <w:i/>
          <w:iCs/>
          <w:szCs w:val="17"/>
        </w:rPr>
        <w:t>op. cit.</w:t>
      </w:r>
      <w:r w:rsidR="001F0A79" w:rsidRPr="00016D32">
        <w:rPr>
          <w:szCs w:val="17"/>
        </w:rPr>
        <w:t>, p. 32.</w:t>
      </w:r>
      <w:r w:rsidRPr="00016D32">
        <w:rPr>
          <w:szCs w:val="17"/>
        </w:rPr>
        <w:fldChar w:fldCharType="end"/>
      </w:r>
    </w:p>
  </w:footnote>
  <w:footnote w:id="44">
    <w:p w14:paraId="5DB804C6" w14:textId="580C8AE7" w:rsidR="0067182F" w:rsidRPr="00016D32" w:rsidRDefault="0067182F">
      <w:pPr>
        <w:pStyle w:val="Notedebasdepage"/>
        <w:rPr>
          <w:szCs w:val="17"/>
        </w:rPr>
      </w:pPr>
      <w:r w:rsidRPr="00016D32">
        <w:rPr>
          <w:rStyle w:val="Appelnotedebasdep"/>
          <w:szCs w:val="17"/>
        </w:rPr>
        <w:footnoteRef/>
      </w:r>
      <w:r w:rsidRPr="00016D32">
        <w:rPr>
          <w:szCs w:val="17"/>
        </w:rPr>
        <w:t xml:space="preserve"> Trib. trav. Bruxelles (</w:t>
      </w:r>
      <w:proofErr w:type="spellStart"/>
      <w:r w:rsidRPr="00016D32">
        <w:rPr>
          <w:szCs w:val="17"/>
        </w:rPr>
        <w:t>cess</w:t>
      </w:r>
      <w:proofErr w:type="spellEnd"/>
      <w:r w:rsidRPr="00016D32">
        <w:rPr>
          <w:szCs w:val="17"/>
        </w:rPr>
        <w:t xml:space="preserve">.), 9 juin 2016, n° 15/7170/A, disponible sur </w:t>
      </w:r>
      <w:hyperlink r:id="rId1" w:history="1">
        <w:r w:rsidRPr="00016D32">
          <w:rPr>
            <w:rStyle w:val="Lienhypertexte"/>
            <w:szCs w:val="17"/>
          </w:rPr>
          <w:t>www.unia.be</w:t>
        </w:r>
      </w:hyperlink>
      <w:r w:rsidRPr="00016D32">
        <w:rPr>
          <w:szCs w:val="17"/>
        </w:rPr>
        <w:t xml:space="preserve">. </w:t>
      </w:r>
    </w:p>
  </w:footnote>
  <w:footnote w:id="45">
    <w:p w14:paraId="26B52E95" w14:textId="310CA9CB" w:rsidR="0067182F" w:rsidRPr="00016D32" w:rsidRDefault="0067182F" w:rsidP="00D53673">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{"citationID":"l6dAixV1","properties":{"formattedCitation":"F. {\\scaps Lombard}, \\uc0\\u171{}\\uc0\\u160{}La notion de la\\uc0\\u239{}cit\\uc0\\u233{}, l\\uc0\\u8217{}\\uc0\\u233{}clairage du publiciste\\uc0\\u160{}\\uc0\\u187{}, {\\i{}in} V. {\\scaps Renaux-Personnic} et J. {\\scaps Colonna} (\\uc0\\u233{}ds.), {\\i{}Le fait religieux dans l\\uc0\\u8217{}entreprise}, Aix-en-Provence, Presses universitaires d\\uc0\\u8217{}Aix-Marseille, 2018, p. 15.","plainCitation":"F. Lombard, « La notion de laïcité, l’éclairage du publiciste », in V. Renaux-Personnic et J. Colonna (éds.), Le fait religieux dans l’entreprise, Aix-en-Provence, Presses universitaires d’Aix-Marseille, 2018, p. 15.","noteIndex":43},"citationItems":[{"id":473,"uris":["http://zotero.org/users/5133869/items/E3MUADEP"],"uri":["http://zotero.org/users/5133869/items/E3MUADEP"],"itemData":{"id":473,"type":"chapter","container-title":"Le fait religieux dans l'entreprise","event-place":"Aix-en-Provence","page":"15-24","publisher":"Presses universitaires d'Aix-Marseille","publisher-place":"Aix-en-Provence","title":"La notion de laïcité, l'éclairage du publiciste","author":[{"family":"Lombard","given":"Frédéric"}],"editor":[{"family":"Renaux-Personnic","given":"Virginie"},{"family":"Colonna","given":"Joël"}],"issued":{"date-parts":[["2018"]]}},"locator":"15","label":"page"}],"schema":"https://github.com/citation-style-language/schema/raw/master/csl-citation.json"} </w:instrText>
      </w:r>
      <w:r w:rsidRPr="00016D32">
        <w:rPr>
          <w:szCs w:val="17"/>
        </w:rPr>
        <w:fldChar w:fldCharType="separate"/>
      </w:r>
      <w:r w:rsidR="001F0A79" w:rsidRPr="00016D32">
        <w:rPr>
          <w:szCs w:val="17"/>
        </w:rPr>
        <w:t xml:space="preserve">F. </w:t>
      </w:r>
      <w:r w:rsidR="001F0A79" w:rsidRPr="00016D32">
        <w:rPr>
          <w:smallCaps/>
          <w:szCs w:val="17"/>
        </w:rPr>
        <w:t>Lombard</w:t>
      </w:r>
      <w:r w:rsidR="001F0A79" w:rsidRPr="00016D32">
        <w:rPr>
          <w:szCs w:val="17"/>
        </w:rPr>
        <w:t xml:space="preserve">, « La notion de laïcité, l’éclairage du publiciste », </w:t>
      </w:r>
      <w:r w:rsidR="001F0A79" w:rsidRPr="00016D32">
        <w:rPr>
          <w:i/>
          <w:iCs/>
          <w:szCs w:val="17"/>
        </w:rPr>
        <w:t>in</w:t>
      </w:r>
      <w:r w:rsidR="001F0A79" w:rsidRPr="00016D32">
        <w:rPr>
          <w:szCs w:val="17"/>
        </w:rPr>
        <w:t xml:space="preserve"> V. </w:t>
      </w:r>
      <w:r w:rsidR="001F0A79" w:rsidRPr="00016D32">
        <w:rPr>
          <w:smallCaps/>
          <w:szCs w:val="17"/>
        </w:rPr>
        <w:t>Renaux-Personnic</w:t>
      </w:r>
      <w:r w:rsidR="001F0A79" w:rsidRPr="00016D32">
        <w:rPr>
          <w:szCs w:val="17"/>
        </w:rPr>
        <w:t xml:space="preserve"> et J. </w:t>
      </w:r>
      <w:r w:rsidR="001F0A79" w:rsidRPr="00016D32">
        <w:rPr>
          <w:smallCaps/>
          <w:szCs w:val="17"/>
        </w:rPr>
        <w:t>Colonna</w:t>
      </w:r>
      <w:r w:rsidR="001F0A79" w:rsidRPr="00016D32">
        <w:rPr>
          <w:szCs w:val="17"/>
        </w:rPr>
        <w:t xml:space="preserve"> (éds.), </w:t>
      </w:r>
      <w:r w:rsidR="001F0A79" w:rsidRPr="00016D32">
        <w:rPr>
          <w:i/>
          <w:iCs/>
          <w:szCs w:val="17"/>
        </w:rPr>
        <w:t>Le fait religieux dans l’entreprise</w:t>
      </w:r>
      <w:r w:rsidR="001F0A79" w:rsidRPr="00016D32">
        <w:rPr>
          <w:szCs w:val="17"/>
        </w:rPr>
        <w:t>, Aix-en-Provence, Presses universitaires d’Aix-Marseille, 2018, p. 15.</w:t>
      </w:r>
      <w:r w:rsidRPr="00016D32">
        <w:rPr>
          <w:szCs w:val="17"/>
        </w:rPr>
        <w:fldChar w:fldCharType="end"/>
      </w:r>
      <w:r w:rsidRPr="00016D32">
        <w:rPr>
          <w:szCs w:val="17"/>
        </w:rPr>
        <w:t xml:space="preserve"> Aux yeux de l’auteur, « considérer que l’entreprise commerciale n’est pas un lieu clos, étanche aux valeurs et lois communes qui l’entourent ce que, du reste, le droit positif et le discours ambiant suggèrent en imposant une ‘responsabilité sociale et environnementale’ aux entreprises. Il devient alors possible d’exiger des salariés (ou d’autoriser les chefs d’entreprise) à organiser le respect du principe de laïcité au sein de l’entreprise au besoin de manière moins exigeante que s’agissant des services publics mais selon la même logique générale de neutralité » </w:t>
      </w:r>
      <w:r w:rsidRPr="00016D32">
        <w:rPr>
          <w:szCs w:val="17"/>
        </w:rPr>
        <w:fldChar w:fldCharType="begin"/>
      </w:r>
      <w:r w:rsidR="001F0A79" w:rsidRPr="00016D32">
        <w:rPr>
          <w:szCs w:val="17"/>
        </w:rPr>
        <w:instrText xml:space="preserve"> ADDIN ZOTERO_ITEM CSL_CITATION {"citationID":"JDplm1nI","properties":{"formattedCitation":"({\\i{}ibid.}, p. 24).","plainCitation":"(ibid., p. 24).","noteIndex":43},"citationItems":[{"id":473,"uris":["http://zotero.org/users/5133869/items/E3MUADEP"],"uri":["http://zotero.org/users/5133869/items/E3MUADEP"],"itemData":{"id":473,"type":"chapter","container-title":"Le fait religieux dans l'entreprise","event-place":"Aix-en-Provence","page":"15-24","publisher":"Presses universitaires d'Aix-Marseille","publisher-place":"Aix-en-Provence","title":"La notion de laïcité, l'éclairage du publiciste","author":[{"family":"Lombard","given":"Frédéric"}],"editor":[{"family":"Renaux-Personnic","given":"Virginie"},{"family":"Colonna","given":"Joël"}],"issued":{"date-parts":[["2018"]]}},"locator":"24","suppress-author":true,"prefix":"(","suffix":")"}],"schema":"https://github.com/citation-style-language/schema/raw/master/csl-citation.json"} </w:instrText>
      </w:r>
      <w:r w:rsidRPr="00016D32">
        <w:rPr>
          <w:szCs w:val="17"/>
        </w:rPr>
        <w:fldChar w:fldCharType="separate"/>
      </w:r>
      <w:r w:rsidR="001F0A79" w:rsidRPr="00016D32">
        <w:rPr>
          <w:szCs w:val="17"/>
        </w:rPr>
        <w:t>(</w:t>
      </w:r>
      <w:r w:rsidR="001F0A79" w:rsidRPr="00016D32">
        <w:rPr>
          <w:i/>
          <w:iCs/>
          <w:szCs w:val="17"/>
        </w:rPr>
        <w:t>ibid.</w:t>
      </w:r>
      <w:r w:rsidR="001F0A79" w:rsidRPr="00016D32">
        <w:rPr>
          <w:szCs w:val="17"/>
        </w:rPr>
        <w:t>, p. 24).</w:t>
      </w:r>
      <w:r w:rsidRPr="00016D32">
        <w:rPr>
          <w:szCs w:val="17"/>
        </w:rPr>
        <w:fldChar w:fldCharType="end"/>
      </w:r>
    </w:p>
  </w:footnote>
  <w:footnote w:id="46">
    <w:p w14:paraId="009C7C80" w14:textId="344CF378" w:rsidR="0067182F" w:rsidRPr="00016D32" w:rsidRDefault="0067182F">
      <w:pPr>
        <w:pStyle w:val="Notedebasdepage"/>
        <w:rPr>
          <w:szCs w:val="17"/>
        </w:rPr>
      </w:pPr>
      <w:r w:rsidRPr="00016D32">
        <w:rPr>
          <w:rStyle w:val="Appelnotedebasdep"/>
          <w:szCs w:val="17"/>
        </w:rPr>
        <w:footnoteRef/>
      </w:r>
      <w:r w:rsidRPr="00016D32">
        <w:rPr>
          <w:szCs w:val="17"/>
        </w:rPr>
        <w:t xml:space="preserve"> Sur cette comparaison, </w:t>
      </w:r>
      <w:proofErr w:type="spellStart"/>
      <w:r w:rsidRPr="00016D32">
        <w:rPr>
          <w:szCs w:val="17"/>
        </w:rPr>
        <w:t>voy</w:t>
      </w:r>
      <w:proofErr w:type="spellEnd"/>
      <w:r w:rsidRPr="00016D32">
        <w:rPr>
          <w:szCs w:val="17"/>
        </w:rPr>
        <w:t xml:space="preserve">. </w:t>
      </w:r>
      <w:r w:rsidRPr="00016D32">
        <w:rPr>
          <w:szCs w:val="17"/>
        </w:rPr>
        <w:fldChar w:fldCharType="begin"/>
      </w:r>
      <w:r w:rsidR="008163ED">
        <w:rPr>
          <w:szCs w:val="17"/>
        </w:rPr>
        <w:instrText xml:space="preserve"> ADDIN ZOTERO_ITEM CSL_CITATION {"citationID":"XW6M2yrv","properties":{"formattedCitation":"M. {\\scaps Hunyadi}, \\uc0\\u171{}\\uc0\\u160{}Des entreprises posts\\uc0\\u233{}culi\\uc0\\u232{}res\\uc0\\u8239{}?\\uc0\\u160{}\\uc0\\u187{}, {\\i{}op. cit.}, p. 167.","plainCitation":"M. Hunyadi, « Des entreprises postséculières ? », op. cit., p. 167.","noteIndex":46},"citationItems":[{"id":1237,"uris":["http://zotero.org/users/5133869/items/8Z7VT3WE"],"uri":["http://zotero.org/users/5133869/items/8Z7VT3WE"],"itemData":{"id":1237,"type":"chapter","container-title":"L'expression religieuse en entreprise","event-place":"Lormont","publisher":"Le Bord de l'eau","publisher-place":"Lormont","title":"Des entreprises postséculières ?","author":[{"family":"Hunyadi","given":"Mark"}],"editor":[{"family":"Marti","given":"Serge"},{"family":"Fortier","given":"Vincente"},{"family":"Maïla","given":"Joseph"},{"family":"Hunyadi","given":"Mark"}],"issued":{"date-parts":[["2016"]]}},"locator":"167"}],"schema":"https://github.com/citation-style-language/schema/raw/master/csl-citation.json"} </w:instrText>
      </w:r>
      <w:r w:rsidRPr="00016D32">
        <w:rPr>
          <w:szCs w:val="17"/>
        </w:rPr>
        <w:fldChar w:fldCharType="separate"/>
      </w:r>
      <w:r w:rsidR="001F0A79" w:rsidRPr="00016D32">
        <w:rPr>
          <w:szCs w:val="17"/>
        </w:rPr>
        <w:t xml:space="preserve">M. </w:t>
      </w:r>
      <w:r w:rsidR="001F0A79" w:rsidRPr="00016D32">
        <w:rPr>
          <w:smallCaps/>
          <w:szCs w:val="17"/>
        </w:rPr>
        <w:t>Hunyadi</w:t>
      </w:r>
      <w:r w:rsidR="001F0A79" w:rsidRPr="00016D32">
        <w:rPr>
          <w:szCs w:val="17"/>
        </w:rPr>
        <w:t xml:space="preserve">, « Des entreprises postséculières ? », </w:t>
      </w:r>
      <w:r w:rsidR="001F0A79" w:rsidRPr="00016D32">
        <w:rPr>
          <w:i/>
          <w:iCs/>
          <w:szCs w:val="17"/>
        </w:rPr>
        <w:t>op. cit.</w:t>
      </w:r>
      <w:r w:rsidR="001F0A79" w:rsidRPr="00016D32">
        <w:rPr>
          <w:szCs w:val="17"/>
        </w:rPr>
        <w:t>, p. 167.</w:t>
      </w:r>
      <w:r w:rsidRPr="00016D32">
        <w:rPr>
          <w:szCs w:val="17"/>
        </w:rPr>
        <w:fldChar w:fldCharType="end"/>
      </w:r>
    </w:p>
  </w:footnote>
  <w:footnote w:id="47">
    <w:p w14:paraId="5BFB1AD3" w14:textId="1DAFEFD0" w:rsidR="0067182F" w:rsidRPr="00016D32" w:rsidRDefault="0067182F" w:rsidP="00D53673">
      <w:pPr>
        <w:pStyle w:val="Notedebasdepage"/>
        <w:rPr>
          <w:szCs w:val="17"/>
        </w:rPr>
      </w:pPr>
      <w:r w:rsidRPr="00016D32">
        <w:rPr>
          <w:rStyle w:val="Appelnotedebasdep"/>
          <w:szCs w:val="17"/>
        </w:rPr>
        <w:footnoteRef/>
      </w:r>
      <w:r w:rsidRPr="00016D32">
        <w:rPr>
          <w:szCs w:val="17"/>
        </w:rPr>
        <w:t xml:space="preserve"> Ph. </w:t>
      </w:r>
      <w:proofErr w:type="spellStart"/>
      <w:r w:rsidRPr="00016D32">
        <w:rPr>
          <w:smallCaps/>
          <w:szCs w:val="17"/>
        </w:rPr>
        <w:t>Auvergnon</w:t>
      </w:r>
      <w:proofErr w:type="spellEnd"/>
      <w:r w:rsidRPr="00016D32">
        <w:rPr>
          <w:szCs w:val="17"/>
        </w:rPr>
        <w:t xml:space="preserve"> note à cet égard qu’ « au regard des enjeux économiques et sociaux de la gestion de la diversité des convictions sur le lieu de travail, il est permis de se demander si l’entreprise n’est pas appelée à pratiquer une forme de laïcité plus ‘ouverte’, plus politique que juridique » </w:t>
      </w:r>
      <w:r w:rsidRPr="00016D32">
        <w:rPr>
          <w:szCs w:val="17"/>
        </w:rPr>
        <w:fldChar w:fldCharType="begin"/>
      </w:r>
      <w:r w:rsidR="001F0A79" w:rsidRPr="00016D32">
        <w:rPr>
          <w:szCs w:val="17"/>
        </w:rPr>
        <w:instrText xml:space="preserve"> ADDIN ZOTERO_ITEM CSL_CITATION {"citationID":"S0vII6U9","properties":{"formattedCitation":"(\\uc0\\u171{}\\uc0\\u160{}L\\uc0\\u8217{}expression des convictions religieuses sur le lieu de travail\\uc0\\u160{}\\uc0\\u187{}, {\\i{}in} {\\scaps Messner, Francis} (\\uc0\\u233{}d.), {\\i{}Droit et religion en Europe. \\uc0\\u201{}tudes en l\\uc0\\u8217{}honneur de Francis Messner}, Strasbourg, Presses universitaires de Strasbourg, 2014, p. 50).","plainCitation":"(« L’expression des convictions religieuses sur le lieu de travail », in Messner, Francis (éd.), Droit et religion en Europe. Études en l’honneur de Francis Messner, Strasbourg, Presses universitaires de Strasbourg, 2014, p. 50).","noteIndex":45},"citationItems":[{"id":1127,"uris":["http://zotero.org/users/5133869/items/2TURREXT"],"uri":["http://zotero.org/users/5133869/items/2TURREXT"],"itemData":{"id":1127,"type":"chapter","container-title":"Droit et religion en Europe. Études en l’honneur de Francis Messner","event-place":"Strasbourg","page":"31-61","publisher":"Presses universitaires de Strasbourg","publisher-place":"Strasbourg","title":"L’expression des convictions religieuses sur le lieu de travail","author":[{"family":"Auvergnon","given":"Philippe"}],"editor":[{"family":"Messner, Francis","given":""}],"issued":{"date-parts":[["2014"]]}},"locator":"50","suppress-author":true,"prefix":"(","suffix":")"}],"schema":"https://github.com/citation-style-language/schema/raw/master/csl-citation.json"} </w:instrText>
      </w:r>
      <w:r w:rsidRPr="00016D32">
        <w:rPr>
          <w:szCs w:val="17"/>
        </w:rPr>
        <w:fldChar w:fldCharType="separate"/>
      </w:r>
      <w:r w:rsidR="001F0A79" w:rsidRPr="00016D32">
        <w:rPr>
          <w:szCs w:val="17"/>
        </w:rPr>
        <w:t xml:space="preserve">(« L’expression des convictions religieuses sur le lieu de travail », </w:t>
      </w:r>
      <w:r w:rsidR="001F0A79" w:rsidRPr="00016D32">
        <w:rPr>
          <w:i/>
          <w:iCs/>
          <w:szCs w:val="17"/>
        </w:rPr>
        <w:t>in</w:t>
      </w:r>
      <w:r w:rsidR="001F0A79" w:rsidRPr="00016D32">
        <w:rPr>
          <w:szCs w:val="17"/>
        </w:rPr>
        <w:t xml:space="preserve"> </w:t>
      </w:r>
      <w:r w:rsidR="001F0A79" w:rsidRPr="00016D32">
        <w:rPr>
          <w:smallCaps/>
          <w:szCs w:val="17"/>
        </w:rPr>
        <w:t>Messner, Francis</w:t>
      </w:r>
      <w:r w:rsidR="001F0A79" w:rsidRPr="00016D32">
        <w:rPr>
          <w:szCs w:val="17"/>
        </w:rPr>
        <w:t xml:space="preserve"> (éd.), </w:t>
      </w:r>
      <w:r w:rsidR="001F0A79" w:rsidRPr="00016D32">
        <w:rPr>
          <w:i/>
          <w:iCs/>
          <w:szCs w:val="17"/>
        </w:rPr>
        <w:t>Droit et religion en Europe. Études en l’honneur de Francis Messner</w:t>
      </w:r>
      <w:r w:rsidR="001F0A79" w:rsidRPr="00016D32">
        <w:rPr>
          <w:szCs w:val="17"/>
        </w:rPr>
        <w:t>, Strasbourg, Presses universitaires de Strasbourg, 2014, p. 50).</w:t>
      </w:r>
      <w:r w:rsidRPr="00016D32">
        <w:rPr>
          <w:szCs w:val="17"/>
        </w:rPr>
        <w:fldChar w:fldCharType="end"/>
      </w:r>
    </w:p>
  </w:footnote>
  <w:footnote w:id="48">
    <w:p w14:paraId="6B093C83" w14:textId="578E9B94" w:rsidR="0067182F" w:rsidRPr="00016D32" w:rsidRDefault="0067182F" w:rsidP="009662CC">
      <w:pPr>
        <w:pStyle w:val="Notedebasdepage"/>
        <w:rPr>
          <w:szCs w:val="17"/>
        </w:rPr>
      </w:pPr>
      <w:r w:rsidRPr="00016D32">
        <w:rPr>
          <w:rStyle w:val="Appelnotedebasdep"/>
          <w:szCs w:val="17"/>
        </w:rPr>
        <w:footnoteRef/>
      </w:r>
      <w:r w:rsidRPr="00016D32">
        <w:rPr>
          <w:szCs w:val="17"/>
        </w:rPr>
        <w:t xml:space="preserve"> L’entreprise de tendance trouve une double consécration en droit européen : d’une part, tel qu’interprété par la Cour de Strasbourg, l’article 9 de la Convention européenne des droits de l’homme protège la liberté de religion dans sa dimension collective et institutionnelle ; en outre, la Directive 2000/78 de l’UE prévoit</w:t>
      </w:r>
      <w:r w:rsidR="00556648">
        <w:rPr>
          <w:szCs w:val="17"/>
        </w:rPr>
        <w:t>, en son article 4.2,</w:t>
      </w:r>
      <w:r w:rsidRPr="00016D32">
        <w:rPr>
          <w:szCs w:val="17"/>
        </w:rPr>
        <w:t xml:space="preserve"> une exception au principe de non-discrimination sur base de la religion, dans le cas des « églises et d'autres organisations publiques ou privées dont l'éthique est fondée sur la religion ou les convictions » lorsque, « par la nature de ces activités ou par le contexte dans lequel elles sont exercées, la religion ou les convictions constituent une exigence professionnelle essentielle, légitime et justifiée eu égard à l'éthique de l'organisation ».</w:t>
      </w:r>
    </w:p>
  </w:footnote>
  <w:footnote w:id="49">
    <w:p w14:paraId="0B0C460A" w14:textId="6AA7671B"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8163ED">
        <w:rPr>
          <w:szCs w:val="17"/>
        </w:rPr>
        <w:instrText xml:space="preserve"> ADDIN ZOTERO_ITEM CSL_CITATION {"citationID":"WBieiEyu","properties":{"formattedCitation":"F. {\\scaps Gaudu}, \\uc0\\u171{}\\uc0\\u160{}L\\uc0\\u8217{}entreprise de tendance la\\uc0\\u239{}que\\uc0\\u160{}\\uc0\\u187{}, {\\i{}Droit social}, 2011, n\\uc0\\u176{} 12, pp. 1186\\uc0\\u8209{}1189\\uc0\\u160{}; V. {\\scaps Valentin}, \\uc0\\u171{}\\uc0\\u160{}La notion d\\uc0\\u8217{}entreprise de conviction \\uc0\\u8220{}la\\uc0\\u239{}que\\uc0\\u8221{}\\uc0\\u160{}\\uc0\\u187{}, {\\i{}op. cit.}, pp. 275\\uc0\\u8209{}276\\uc0\\u160{}; R. {\\scaps Debray} et D. {\\scaps Leschi}, {\\i{}La la\\uc0\\u239{}cit\\uc0\\u233{} au quotidien\\uc0\\u8239{}: guide pratique}, Paris, Gallimard, 2016, pp. 68\\uc0\\u8209{}70.","plainCitation":"F. Gaudu, « L’entreprise de tendance laïque », Droit social, 2011, n° 12, pp. 1186‑1189 ; V. Valentin, « La notion d’entreprise de conviction “laïque” », op. cit., pp. 275‑276 ; R. Debray et D. Leschi, La laïcité au quotidien : guide pratique, Paris, Gallimard, 2016, pp. 68‑70.","noteIndex":49},"citationItems":[{"id":113,"uris":["http://zotero.org/users/5133869/items/ABWJTQ9D"],"uri":["http://zotero.org/users/5133869/items/ABWJTQ9D"],"itemData":{"id":113,"type":"article-journal","container-title":"Droit social","issue":"12","page":"1186-1189","title":"L'entreprise de tendance laïque","author":[{"family":"Gaudu","given":"François"}],"issued":{"date-parts":[["2011"]]}}},{"id":2164,"uris":["http://zotero.org/users/5133869/items/2L2HSTKE"],"uri":["http://zotero.org/users/5133869/items/2L2HSTKE"],"itemData":{"id":2164,"type":"chapter","collection-number":"9","collection-title":"Collection Droit et religion","container-title":"Les religions et le droit du travail : regards croisés, d'ici et d'ailleurs: [actes du colloque international, Université de Rouen, 20 et 21 octobre 2016]","event-place":"Bruxelles","ISBN":"978-2-8027-5913-3","language":"mul spa","note":"OCLC: 1057455736","page":"271-284","publisher":"Bruylant","publisher-place":"Bruxelles","source":"Gemeinsamer Bibliotheksverbund ISBN","title":"La notion d'entreprise de conviction 'laïque'","editor":[{"family":"Callebat","given":"Bernard"},{"family":"Courrèges","given":"Hélène","dropping-particle":"de"},{"family":"Louvel-Parisot","given":"Valérie"}],"author":[{"family":"Valentin","given":"Vincent"}],"issued":{"date-parts":[["2017"]]}},"locator":"275-276"},{"id":1006,"uris":["http://zotero.org/users/5133869/items/DNWHCTQI"],"uri":["http://zotero.org/users/5133869/items/DNWHCTQI"],"itemData":{"id":1006,"type":"book","call-number":"BL2765.F8 D43 2016","event-place":"Paris","ISBN":"978-2-07-046962-8","number-of-pages":"154","publisher":"Gallimard","publisher-place":"Paris","source":"Library of Congress ISBN","title":"La laïcité au quotidien : guide pratique","title-short":"La laïcité au quotidien","author":[{"family":"Debray","given":"Régis"},{"family":"Leschi","given":"Didier"}],"issued":{"date-parts":[["2016"]]}},"locator":"68-70"}],"schema":"https://github.com/citation-style-language/schema/raw/master/csl-citation.json"} </w:instrText>
      </w:r>
      <w:r w:rsidRPr="00016D32">
        <w:rPr>
          <w:szCs w:val="17"/>
        </w:rPr>
        <w:fldChar w:fldCharType="separate"/>
      </w:r>
      <w:r w:rsidR="001F0A79" w:rsidRPr="00016D32">
        <w:rPr>
          <w:szCs w:val="17"/>
        </w:rPr>
        <w:t xml:space="preserve">F. </w:t>
      </w:r>
      <w:r w:rsidR="001F0A79" w:rsidRPr="00016D32">
        <w:rPr>
          <w:smallCaps/>
          <w:szCs w:val="17"/>
        </w:rPr>
        <w:t>Gaudu</w:t>
      </w:r>
      <w:r w:rsidR="001F0A79" w:rsidRPr="00016D32">
        <w:rPr>
          <w:szCs w:val="17"/>
        </w:rPr>
        <w:t xml:space="preserve">, « L’entreprise de tendance laïque », </w:t>
      </w:r>
      <w:r w:rsidR="001F0A79" w:rsidRPr="00016D32">
        <w:rPr>
          <w:i/>
          <w:iCs/>
          <w:szCs w:val="17"/>
        </w:rPr>
        <w:t>Droit social</w:t>
      </w:r>
      <w:r w:rsidR="001F0A79" w:rsidRPr="00016D32">
        <w:rPr>
          <w:szCs w:val="17"/>
        </w:rPr>
        <w:t xml:space="preserve">, 2011, n° 12, pp. 1186‑1189 ; V. </w:t>
      </w:r>
      <w:r w:rsidR="001F0A79" w:rsidRPr="00016D32">
        <w:rPr>
          <w:smallCaps/>
          <w:szCs w:val="17"/>
        </w:rPr>
        <w:t>Valentin</w:t>
      </w:r>
      <w:r w:rsidR="001F0A79" w:rsidRPr="00016D32">
        <w:rPr>
          <w:szCs w:val="17"/>
        </w:rPr>
        <w:t xml:space="preserve">, « La notion d’entreprise de conviction “laïque” », </w:t>
      </w:r>
      <w:r w:rsidR="001F0A79" w:rsidRPr="00016D32">
        <w:rPr>
          <w:i/>
          <w:iCs/>
          <w:szCs w:val="17"/>
        </w:rPr>
        <w:t>op. cit.</w:t>
      </w:r>
      <w:r w:rsidR="001F0A79" w:rsidRPr="00016D32">
        <w:rPr>
          <w:szCs w:val="17"/>
        </w:rPr>
        <w:t xml:space="preserve">, pp. 275‑276 ; R. </w:t>
      </w:r>
      <w:r w:rsidR="001F0A79" w:rsidRPr="00016D32">
        <w:rPr>
          <w:smallCaps/>
          <w:szCs w:val="17"/>
        </w:rPr>
        <w:t>Debray</w:t>
      </w:r>
      <w:r w:rsidR="001F0A79" w:rsidRPr="00016D32">
        <w:rPr>
          <w:szCs w:val="17"/>
        </w:rPr>
        <w:t xml:space="preserve"> et D. </w:t>
      </w:r>
      <w:r w:rsidR="001F0A79" w:rsidRPr="00016D32">
        <w:rPr>
          <w:smallCaps/>
          <w:szCs w:val="17"/>
        </w:rPr>
        <w:t>Leschi</w:t>
      </w:r>
      <w:r w:rsidR="001F0A79" w:rsidRPr="00016D32">
        <w:rPr>
          <w:szCs w:val="17"/>
        </w:rPr>
        <w:t xml:space="preserve">, </w:t>
      </w:r>
      <w:r w:rsidR="001F0A79" w:rsidRPr="00016D32">
        <w:rPr>
          <w:i/>
          <w:iCs/>
          <w:szCs w:val="17"/>
        </w:rPr>
        <w:t>La laïcité au quotidien : guide pratique</w:t>
      </w:r>
      <w:r w:rsidR="001F0A79" w:rsidRPr="00016D32">
        <w:rPr>
          <w:szCs w:val="17"/>
        </w:rPr>
        <w:t>, Paris, Gallimard, 2016, pp. 68‑70.</w:t>
      </w:r>
      <w:r w:rsidRPr="00016D32">
        <w:rPr>
          <w:szCs w:val="17"/>
        </w:rPr>
        <w:fldChar w:fldCharType="end"/>
      </w:r>
    </w:p>
  </w:footnote>
  <w:footnote w:id="50">
    <w:p w14:paraId="66ED1AFE" w14:textId="2020C563"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{"citationID":"FMUEbPjd","properties":{"formattedCitation":"{\\scaps Commission nationale consultative des droits de l\\uc0\\u8217{}homme}, \\uc0\\u171{}\\uc0\\u160{}Avis sur la la\\uc0\\u239{}cit\\uc0\\u233{}\\uc0\\u160{}\\uc0\\u187{}, 26 septembre 2013\\uc0\\u160{}; J. {\\scaps Mouly}, \\uc0\\u171{}\\uc0\\u160{}L\\uc0\\u8217{}affaire Baby-Loup devant la Cour de renvoi\\uc0\\u8239{}: la revanche de la la\\uc0\\u239{}cit\\uc0\\u233{}\\uc0\\u8239{}?\\uc0\\u160{}\\uc0\\u187{}, {\\i{}Recueil Dalloz}, 2014, p. 69\\uc0\\u160{}; J.-G. {\\scaps Huglo}, \\uc0\\u171{}\\uc0\\u160{}Le juge ne tranche pas les questions de soci\\uc0\\u233{}t\\uc0\\u233{}\\uc0\\u160{}\\uc0\\u187{}, {\\i{}Semaine sociale Lamy}, mars 2013, p. 1577\\uc0\\u160{}; N. {\\scaps Cad\\uc0\\u232{}ne}, \\uc0\\u171{}\\uc0\\u160{}Le silence religieux dans l\\uc0\\u8217{}entreprise. Pr\\uc0\\u233{}sentation g\\uc0\\u233{}n\\uc0\\u233{}rale\\uc0\\u160{}\\uc0\\u187{}, {\\i{}La Semaine Juridique - Edition Sociale}, septembre 2017, n\\uc0\\u176{} 35, p. 1260.","plainCitation":"Commission nationale consultative des droits de l’homme, « Avis sur la laïcité », 26 septembre 2013 ; J. Mouly, « L’affaire Baby-Loup devant la Cour de renvoi : la revanche de la laïcité ? », Recueil Dalloz, 2014, p. 69 ; J.-G. Huglo, « Le juge ne tranche pas les questions de société », Semaine sociale Lamy, mars 2013, p. 1577 ; N. Cadène, « Le silence religieux dans l’entreprise. Présentation générale », La Semaine Juridique - Edition Sociale, septembre 2017, n° 35, p. 1260.","noteIndex":48},"citationItems":[{"id":158,"uris":["http://zotero.org/users/5133869/items/58IUD3LV"],"uri":["http://zotero.org/users/5133869/items/58IUD3LV"],"itemData":{"id":158,"type":"article","title":"Avis sur la laïcité","author":[{"family":"Commission nationale consultative des droits de l'homme","given":""}],"issued":{"date-parts":[["2013",9,26]]}}},{"id":2615,"uris":["http://zotero.org/users/5133869/items/JX5N5W2Z"],"uri":["http://zotero.org/users/5133869/items/JX5N5W2Z"],"itemData":{"id":2615,"type":"article-journal","container-title":"Recueil Dalloz","page":"69","title":"L'affaire Baby-Loup devant la Cour de renvoi : la revanche de la laïcité ?","author":[{"family":"Mouly","given":"Jean"}],"issued":{"date-parts":[["2014"]]}}},{"id":112,"uris":["http://zotero.org/users/5133869/items/9JPSBZAV"],"uri":["http://zotero.org/users/5133869/items/9JPSBZAV"],"itemData":{"id":112,"type":"article-journal","container-title":"Semaine sociale Lamy","page":"1577","title":"Le juge ne tranche pas les questions de société","author":[{"family":"Huglo","given":"Jean-Guy"}],"issued":{"date-parts":[["2013",3,25]]}}},{"id":201,"uris":["http://zotero.org/users/5133869/items/6RMM9845"],"uri":["http://zotero.org/users/5133869/items/6RMM9845"],"itemData":{"id":201,"type":"article-journal","container-title":"La Semaine Juridique - Edition Sociale","issue":"35","page":"1260","title":"Le silence religieux dans l’entreprise. Présentation générale","author":[{"family":"Cadène","given":"Nicolas"}],"issued":{"date-parts":[["2017",9,5]]}}}],"schema":"https://github.com/citation-style-language/schema/raw/master/csl-citation.json"} </w:instrText>
      </w:r>
      <w:r w:rsidRPr="00016D32">
        <w:rPr>
          <w:szCs w:val="17"/>
        </w:rPr>
        <w:fldChar w:fldCharType="separate"/>
      </w:r>
      <w:r w:rsidR="001F0A79" w:rsidRPr="00016D32">
        <w:rPr>
          <w:smallCaps/>
          <w:szCs w:val="17"/>
        </w:rPr>
        <w:t>Commission nationale consultative des droits de l’homme</w:t>
      </w:r>
      <w:r w:rsidR="001F0A79" w:rsidRPr="00016D32">
        <w:rPr>
          <w:szCs w:val="17"/>
        </w:rPr>
        <w:t xml:space="preserve">, « Avis sur la laïcité », 26 septembre 2013 ; J. </w:t>
      </w:r>
      <w:r w:rsidR="001F0A79" w:rsidRPr="00016D32">
        <w:rPr>
          <w:smallCaps/>
          <w:szCs w:val="17"/>
        </w:rPr>
        <w:t>Mouly</w:t>
      </w:r>
      <w:r w:rsidR="001F0A79" w:rsidRPr="00016D32">
        <w:rPr>
          <w:szCs w:val="17"/>
        </w:rPr>
        <w:t xml:space="preserve">, « L’affaire Baby-Loup devant la Cour de renvoi : la revanche de la laïcité ? », </w:t>
      </w:r>
      <w:r w:rsidR="001F0A79" w:rsidRPr="00016D32">
        <w:rPr>
          <w:i/>
          <w:iCs/>
          <w:szCs w:val="17"/>
        </w:rPr>
        <w:t>Recueil Dalloz</w:t>
      </w:r>
      <w:r w:rsidR="001F0A79" w:rsidRPr="00016D32">
        <w:rPr>
          <w:szCs w:val="17"/>
        </w:rPr>
        <w:t xml:space="preserve">, 2014, p. 69 ; J.-G. </w:t>
      </w:r>
      <w:r w:rsidR="001F0A79" w:rsidRPr="00016D32">
        <w:rPr>
          <w:smallCaps/>
          <w:szCs w:val="17"/>
        </w:rPr>
        <w:t>Huglo</w:t>
      </w:r>
      <w:r w:rsidR="001F0A79" w:rsidRPr="00016D32">
        <w:rPr>
          <w:szCs w:val="17"/>
        </w:rPr>
        <w:t xml:space="preserve">, « Le juge ne tranche pas les questions de société », </w:t>
      </w:r>
      <w:r w:rsidR="001F0A79" w:rsidRPr="00016D32">
        <w:rPr>
          <w:i/>
          <w:iCs/>
          <w:szCs w:val="17"/>
        </w:rPr>
        <w:t>Semaine sociale Lamy</w:t>
      </w:r>
      <w:r w:rsidR="001F0A79" w:rsidRPr="00016D32">
        <w:rPr>
          <w:szCs w:val="17"/>
        </w:rPr>
        <w:t xml:space="preserve">, mars 2013, p. 1577 ; N. </w:t>
      </w:r>
      <w:r w:rsidR="001F0A79" w:rsidRPr="00016D32">
        <w:rPr>
          <w:smallCaps/>
          <w:szCs w:val="17"/>
        </w:rPr>
        <w:t>Cadène</w:t>
      </w:r>
      <w:r w:rsidR="001F0A79" w:rsidRPr="00016D32">
        <w:rPr>
          <w:szCs w:val="17"/>
        </w:rPr>
        <w:t xml:space="preserve">, « Le silence religieux dans l’entreprise. Présentation générale », </w:t>
      </w:r>
      <w:r w:rsidR="001F0A79" w:rsidRPr="00016D32">
        <w:rPr>
          <w:i/>
          <w:iCs/>
          <w:szCs w:val="17"/>
        </w:rPr>
        <w:t>La Semaine Juridique - Edition Sociale</w:t>
      </w:r>
      <w:r w:rsidR="001F0A79" w:rsidRPr="00016D32">
        <w:rPr>
          <w:szCs w:val="17"/>
        </w:rPr>
        <w:t>, septembre 2017, n° 35, p. 1260.</w:t>
      </w:r>
      <w:r w:rsidRPr="00016D32">
        <w:rPr>
          <w:szCs w:val="17"/>
        </w:rPr>
        <w:fldChar w:fldCharType="end"/>
      </w:r>
    </w:p>
  </w:footnote>
  <w:footnote w:id="51">
    <w:p w14:paraId="6D90CD86" w14:textId="4DF2B069" w:rsidR="0067182F" w:rsidRPr="00016D32" w:rsidRDefault="0067182F">
      <w:pPr>
        <w:pStyle w:val="Notedebasdepage"/>
        <w:rPr>
          <w:szCs w:val="17"/>
        </w:rPr>
      </w:pPr>
      <w:r w:rsidRPr="00016D32">
        <w:rPr>
          <w:rStyle w:val="Appelnotedebasdep"/>
          <w:szCs w:val="17"/>
        </w:rPr>
        <w:footnoteRef/>
      </w:r>
      <w:r w:rsidRPr="00016D32">
        <w:rPr>
          <w:szCs w:val="17"/>
        </w:rPr>
        <w:t xml:space="preserve"> C.A. Paris, 27 novembre 2013, n° S 13/02981.</w:t>
      </w:r>
    </w:p>
  </w:footnote>
  <w:footnote w:id="52">
    <w:p w14:paraId="097B3FC4" w14:textId="42617D74" w:rsidR="0067182F" w:rsidRPr="00016D32" w:rsidRDefault="0067182F" w:rsidP="00D04417">
      <w:pPr>
        <w:pStyle w:val="Notedebasdepage"/>
        <w:rPr>
          <w:szCs w:val="17"/>
        </w:rPr>
      </w:pPr>
      <w:r w:rsidRPr="00016D32">
        <w:rPr>
          <w:rStyle w:val="Appelnotedebasdep"/>
          <w:szCs w:val="17"/>
        </w:rPr>
        <w:footnoteRef/>
      </w:r>
      <w:r w:rsidRPr="00016D32">
        <w:rPr>
          <w:szCs w:val="17"/>
        </w:rPr>
        <w:t xml:space="preserve"> Cass. </w:t>
      </w:r>
      <w:proofErr w:type="spellStart"/>
      <w:r w:rsidRPr="00016D32">
        <w:rPr>
          <w:szCs w:val="17"/>
        </w:rPr>
        <w:t>fr.</w:t>
      </w:r>
      <w:proofErr w:type="spellEnd"/>
      <w:r w:rsidRPr="00016D32">
        <w:rPr>
          <w:szCs w:val="17"/>
        </w:rPr>
        <w:t xml:space="preserve"> (</w:t>
      </w:r>
      <w:proofErr w:type="spellStart"/>
      <w:r w:rsidRPr="00016D32">
        <w:rPr>
          <w:szCs w:val="17"/>
        </w:rPr>
        <w:t>ass</w:t>
      </w:r>
      <w:proofErr w:type="spellEnd"/>
      <w:r w:rsidRPr="00016D32">
        <w:rPr>
          <w:szCs w:val="17"/>
        </w:rPr>
        <w:t xml:space="preserve">. </w:t>
      </w:r>
      <w:proofErr w:type="spellStart"/>
      <w:r w:rsidRPr="00016D32">
        <w:rPr>
          <w:szCs w:val="17"/>
        </w:rPr>
        <w:t>plén</w:t>
      </w:r>
      <w:proofErr w:type="spellEnd"/>
      <w:r w:rsidRPr="00016D32">
        <w:rPr>
          <w:szCs w:val="17"/>
        </w:rPr>
        <w:t>.), 25 juin 2014, n° 13-28.369</w:t>
      </w:r>
      <w:r w:rsidRPr="00016D32">
        <w:rPr>
          <w:i/>
          <w:iCs/>
          <w:szCs w:val="17"/>
        </w:rPr>
        <w:t>, RFDA</w:t>
      </w:r>
      <w:r w:rsidRPr="00016D32">
        <w:rPr>
          <w:szCs w:val="17"/>
        </w:rPr>
        <w:t>., 2014, p. 962 : « la laïcité, principe constitutionnel d’organisation de l’Etat, […] ne saurait fonder une éthique philosophique dont une entreprise pourrait se prévaloir pour imposer à son personnel, de façon générale et absolue, un principe de neutralité et une interdiction de porter tout signe ostentatoire de religion ». Par ailleurs, selon la Cour, « en tant que mode d’organisation de l’entreprise destiné à ‘transcender le multiculturalisme’ des personnes à qui elle s’adresse, la neutralité n’exprime et n’impose aux salariés l’adhésion à aucun choix politique, philosophique ou idéologique ».</w:t>
      </w:r>
    </w:p>
  </w:footnote>
  <w:footnote w:id="53">
    <w:p w14:paraId="280B3D87" w14:textId="1958FE71" w:rsidR="0067182F" w:rsidRPr="00016D32" w:rsidRDefault="0067182F">
      <w:pPr>
        <w:pStyle w:val="Notedebasdepage"/>
        <w:rPr>
          <w:szCs w:val="17"/>
        </w:rPr>
      </w:pPr>
      <w:r w:rsidRPr="00016D32">
        <w:rPr>
          <w:rStyle w:val="Appelnotedebasdep"/>
          <w:szCs w:val="17"/>
        </w:rPr>
        <w:footnoteRef/>
      </w:r>
      <w:r w:rsidRPr="00016D32">
        <w:rPr>
          <w:szCs w:val="17"/>
        </w:rPr>
        <w:t xml:space="preserve"> Cour </w:t>
      </w:r>
      <w:proofErr w:type="spellStart"/>
      <w:r w:rsidRPr="00016D32">
        <w:rPr>
          <w:szCs w:val="17"/>
        </w:rPr>
        <w:t>eur</w:t>
      </w:r>
      <w:proofErr w:type="spellEnd"/>
      <w:r w:rsidRPr="00016D32">
        <w:rPr>
          <w:szCs w:val="17"/>
        </w:rPr>
        <w:t xml:space="preserve">. </w:t>
      </w:r>
      <w:proofErr w:type="spellStart"/>
      <w:r w:rsidRPr="00016D32">
        <w:rPr>
          <w:szCs w:val="17"/>
        </w:rPr>
        <w:t>D.H</w:t>
      </w:r>
      <w:proofErr w:type="spellEnd"/>
      <w:r w:rsidRPr="00016D32">
        <w:rPr>
          <w:szCs w:val="17"/>
        </w:rPr>
        <w:t xml:space="preserve">., arrêt </w:t>
      </w:r>
      <w:proofErr w:type="spellStart"/>
      <w:r w:rsidRPr="00016D32">
        <w:rPr>
          <w:i/>
          <w:iCs/>
          <w:szCs w:val="17"/>
        </w:rPr>
        <w:t>Eweida</w:t>
      </w:r>
      <w:proofErr w:type="spellEnd"/>
      <w:r w:rsidRPr="00016D32">
        <w:rPr>
          <w:i/>
          <w:iCs/>
          <w:szCs w:val="17"/>
        </w:rPr>
        <w:t xml:space="preserve"> et autres c. Royaume-Uni</w:t>
      </w:r>
      <w:r w:rsidRPr="00016D32">
        <w:rPr>
          <w:szCs w:val="17"/>
        </w:rPr>
        <w:t xml:space="preserve">, 15 janvier 2013, </w:t>
      </w:r>
      <w:proofErr w:type="spellStart"/>
      <w:r w:rsidRPr="00016D32">
        <w:rPr>
          <w:szCs w:val="17"/>
        </w:rPr>
        <w:t>req</w:t>
      </w:r>
      <w:proofErr w:type="spellEnd"/>
      <w:r w:rsidRPr="00016D32">
        <w:rPr>
          <w:szCs w:val="17"/>
        </w:rPr>
        <w:t>. n° 48420/10, 59842/10, 51671/10 et 36516/10.</w:t>
      </w:r>
    </w:p>
  </w:footnote>
  <w:footnote w:id="54">
    <w:p w14:paraId="6104F399" w14:textId="31F36161" w:rsidR="0067182F" w:rsidRPr="00016D32" w:rsidRDefault="0067182F">
      <w:pPr>
        <w:pStyle w:val="Notedebasdepage"/>
        <w:rPr>
          <w:szCs w:val="17"/>
        </w:rPr>
      </w:pPr>
      <w:r w:rsidRPr="00016D32">
        <w:rPr>
          <w:rStyle w:val="Appelnotedebasdep"/>
          <w:szCs w:val="17"/>
        </w:rPr>
        <w:footnoteRef/>
      </w:r>
      <w:r w:rsidRPr="00016D32">
        <w:rPr>
          <w:szCs w:val="17"/>
        </w:rPr>
        <w:t xml:space="preserve"> </w:t>
      </w:r>
      <w:r w:rsidRPr="00016D32">
        <w:rPr>
          <w:szCs w:val="17"/>
        </w:rPr>
        <w:fldChar w:fldCharType="begin"/>
      </w:r>
      <w:r w:rsidR="001F0A79" w:rsidRPr="00016D32">
        <w:rPr>
          <w:szCs w:val="17"/>
        </w:rPr>
        <w:instrText xml:space="preserve"> ADDIN ZOTERO_ITEM CSL_CITATION {"citationID":"Qhb8FBVK","properties":{"formattedCitation":"M. {\\scaps Hunter-Henin}, \\uc0\\u171{}\\uc0\\u160{}Impact de l\\uc0\\u8217{}arr\\uc0\\u234{}t Eweida de la Cour europ\\uc0\\u233{}enne des droits de l\\uc0\\u8217{}homme sur le droit anglais\\uc0\\u160{}\\uc0\\u187{}, {\\i{}in} B. {\\scaps Callebat}, H. de {\\scaps Courr\\uc0\\u232{}ges} et V. {\\scaps Louvel-Parisot} (\\uc0\\u233{}ds.), {\\i{}Les religions et le droit du travail\\uc0\\u8239{}: regards crois\\uc0\\u233{}s, d\\uc0\\u8217{}ici et d\\uc0\\u8217{}ailleurs\\uc0\\u8239{}: [actes du colloque international, Universit\\uc0\\u233{} de Rouen, 20 et 21 octobre 2016]}, Collection Droit et religion, n\\uc0\\u176{} 9, Bruxelles, Bruylant, 2017, pp. 346\\uc0\\u8209{}347.","plainCitation":"M. Hunter-Henin, « Impact de l’arrêt Eweida de la Cour européenne des droits de l’homme sur le droit anglais », in B. Callebat, H. de Courrèges et V. Louvel-Parisot (éds.), Les religions et le droit du travail : regards croisés, d’ici et d’ailleurs : [actes du colloque international, Université de Rouen, 20 et 21 octobre 2016], Collection Droit et religion, n° 9, Bruxelles, Bruylant, 2017, pp. 346‑347.","noteIndex":52},"citationItems":[{"id":2160,"uris":["http://zotero.org/users/5133869/items/S3FYXXYV"],"uri":["http://zotero.org/users/5133869/items/S3FYXXYV"],"itemData":{"id":2160,"type":"chapter","collection-number":"9","collection-title":"Collection Droit et religion","container-title":"Les religions et le droit du travail : regards croisés, d'ici et d'ailleurs : [actes du colloque international, Université de Rouen, 20 et 21 octobre 2016]","event-place":"Bruxelles","ISBN":"978-2-8027-5913-3","language":"mul spa","note":"OCLC: 1057455736","page":"343-364","publisher":"Bruylant","publisher-place":"Bruxelles","source":"Gemeinsamer Bibliotheksverbund ISBN","title":"Impact de l’arrêt Eweida de la Cour européenne des droits de l’homme sur le droit anglais","editor":[{"family":"Callebat","given":"Bernard"},{"family":"Courrèges","given":"Hélène","dropping-particle":"de"},{"family":"Louvel-Parisot","given":"Valérie"}],"author":[{"family":"Hunter-Henin","given":"Myriam"}],"issued":{"date-parts":[["2017"]]}},"locator":"346-347"}],"schema":"https://github.com/citation-style-language/schema/raw/master/csl-citation.json"} </w:instrText>
      </w:r>
      <w:r w:rsidRPr="00016D32">
        <w:rPr>
          <w:szCs w:val="17"/>
        </w:rPr>
        <w:fldChar w:fldCharType="separate"/>
      </w:r>
      <w:r w:rsidR="001F0A79" w:rsidRPr="00016D32">
        <w:rPr>
          <w:szCs w:val="17"/>
        </w:rPr>
        <w:t xml:space="preserve">M. </w:t>
      </w:r>
      <w:r w:rsidR="001F0A79" w:rsidRPr="00016D32">
        <w:rPr>
          <w:smallCaps/>
          <w:szCs w:val="17"/>
        </w:rPr>
        <w:t>Hunter-Henin</w:t>
      </w:r>
      <w:r w:rsidR="001F0A79" w:rsidRPr="00016D32">
        <w:rPr>
          <w:szCs w:val="17"/>
        </w:rPr>
        <w:t xml:space="preserve">, « Impact de l’arrêt Eweida de la Cour européenne des droits de l’homme sur le droit anglais », </w:t>
      </w:r>
      <w:r w:rsidR="001F0A79" w:rsidRPr="00016D32">
        <w:rPr>
          <w:i/>
          <w:iCs/>
          <w:szCs w:val="17"/>
        </w:rPr>
        <w:t>in</w:t>
      </w:r>
      <w:r w:rsidR="001F0A79" w:rsidRPr="00016D32">
        <w:rPr>
          <w:szCs w:val="17"/>
        </w:rPr>
        <w:t xml:space="preserve"> B. </w:t>
      </w:r>
      <w:r w:rsidR="001F0A79" w:rsidRPr="00016D32">
        <w:rPr>
          <w:smallCaps/>
          <w:szCs w:val="17"/>
        </w:rPr>
        <w:t>Callebat</w:t>
      </w:r>
      <w:r w:rsidR="001F0A79" w:rsidRPr="00016D32">
        <w:rPr>
          <w:szCs w:val="17"/>
        </w:rPr>
        <w:t xml:space="preserve">, H. de </w:t>
      </w:r>
      <w:r w:rsidR="001F0A79" w:rsidRPr="00016D32">
        <w:rPr>
          <w:smallCaps/>
          <w:szCs w:val="17"/>
        </w:rPr>
        <w:t>Courrèges</w:t>
      </w:r>
      <w:r w:rsidR="001F0A79" w:rsidRPr="00016D32">
        <w:rPr>
          <w:szCs w:val="17"/>
        </w:rPr>
        <w:t xml:space="preserve"> et V. </w:t>
      </w:r>
      <w:r w:rsidR="001F0A79" w:rsidRPr="00016D32">
        <w:rPr>
          <w:smallCaps/>
          <w:szCs w:val="17"/>
        </w:rPr>
        <w:t>Louvel-Parisot</w:t>
      </w:r>
      <w:r w:rsidR="001F0A79" w:rsidRPr="00016D32">
        <w:rPr>
          <w:szCs w:val="17"/>
        </w:rPr>
        <w:t xml:space="preserve"> (éds.), </w:t>
      </w:r>
      <w:r w:rsidR="001F0A79" w:rsidRPr="00016D32">
        <w:rPr>
          <w:i/>
          <w:iCs/>
          <w:szCs w:val="17"/>
        </w:rPr>
        <w:t>Les religions et le droit du travail : regards croisés, d’ici et d’ailleurs : [actes du colloque international, Université de Rouen, 20 et 21 octobre 2016]</w:t>
      </w:r>
      <w:r w:rsidR="001F0A79" w:rsidRPr="00016D32">
        <w:rPr>
          <w:szCs w:val="17"/>
        </w:rPr>
        <w:t>, Collection Droit et religion, n° 9, Bruxelles, Bruylant, 2017, pp. 346‑347.</w:t>
      </w:r>
      <w:r w:rsidRPr="00016D32">
        <w:rPr>
          <w:szCs w:val="17"/>
        </w:rPr>
        <w:fldChar w:fldCharType="end"/>
      </w:r>
    </w:p>
  </w:footnote>
  <w:footnote w:id="55">
    <w:p w14:paraId="5A5656D0" w14:textId="1E47CDC5" w:rsidR="0067182F" w:rsidRPr="00016D32" w:rsidRDefault="0067182F" w:rsidP="00335428">
      <w:pPr>
        <w:pStyle w:val="Notedebasdepage"/>
        <w:rPr>
          <w:szCs w:val="17"/>
        </w:rPr>
      </w:pPr>
      <w:r w:rsidRPr="00016D32">
        <w:rPr>
          <w:rStyle w:val="Appelnotedebasdep"/>
          <w:szCs w:val="17"/>
        </w:rPr>
        <w:footnoteRef/>
      </w:r>
      <w:r w:rsidRPr="00016D32">
        <w:rPr>
          <w:szCs w:val="17"/>
        </w:rPr>
        <w:t xml:space="preserve"> Précisons à cet égard qu’en réalité, nombre d’entreprises de tendance invoquent le caractère universaliste de leur éthique convictionnelle, là où, à l’inverse, l’on peut certainement voir dans certaines missions sociétales d’entreprise la marque d’une tendance convictionnelle. Sur ce point, </w:t>
      </w:r>
      <w:proofErr w:type="spellStart"/>
      <w:r w:rsidRPr="00016D32">
        <w:rPr>
          <w:szCs w:val="17"/>
        </w:rPr>
        <w:t>voy</w:t>
      </w:r>
      <w:proofErr w:type="spellEnd"/>
      <w:r w:rsidRPr="00016D32">
        <w:rPr>
          <w:szCs w:val="17"/>
        </w:rPr>
        <w:t xml:space="preserve">. aussi A. </w:t>
      </w:r>
      <w:proofErr w:type="spellStart"/>
      <w:r w:rsidRPr="00016D32">
        <w:rPr>
          <w:smallCaps/>
          <w:szCs w:val="17"/>
        </w:rPr>
        <w:t>Acquier</w:t>
      </w:r>
      <w:proofErr w:type="spellEnd"/>
      <w:r w:rsidRPr="00016D32">
        <w:rPr>
          <w:szCs w:val="17"/>
        </w:rPr>
        <w:t xml:space="preserve">, J.-P. </w:t>
      </w:r>
      <w:r w:rsidRPr="00016D32">
        <w:rPr>
          <w:smallCaps/>
          <w:szCs w:val="17"/>
        </w:rPr>
        <w:t>Gond</w:t>
      </w:r>
      <w:r w:rsidRPr="00016D32">
        <w:rPr>
          <w:szCs w:val="17"/>
        </w:rPr>
        <w:t xml:space="preserve"> et J. </w:t>
      </w:r>
      <w:proofErr w:type="spellStart"/>
      <w:r w:rsidRPr="00016D32">
        <w:rPr>
          <w:smallCaps/>
          <w:szCs w:val="17"/>
        </w:rPr>
        <w:t>Igalens</w:t>
      </w:r>
      <w:proofErr w:type="spellEnd"/>
      <w:r w:rsidRPr="00016D32">
        <w:rPr>
          <w:szCs w:val="17"/>
        </w:rPr>
        <w:t xml:space="preserve">, selon lesquels le « détachement apparent de toute forme d’éthique religieuse permet de requalifier la notion de responsabilité sociale de l’entreprise, en lui donnant une portée plus universelle » </w:t>
      </w:r>
      <w:r w:rsidRPr="00016D32">
        <w:rPr>
          <w:szCs w:val="17"/>
        </w:rPr>
        <w:fldChar w:fldCharType="begin"/>
      </w:r>
      <w:r w:rsidR="001F0A79" w:rsidRPr="00016D32">
        <w:rPr>
          <w:szCs w:val="17"/>
        </w:rPr>
        <w:instrText xml:space="preserve"> ADDIN ZOTERO_ITEM CSL_CITATION {"citationID":"D7trNxl5","properties":{"formattedCitation":"(\\uc0\\u171{}\\uc0\\u160{}La religion dans les affaires\\uc0\\u8239{}: la responsabilit\\uc0\\u233{} sociale de l\\uc0\\u8217{}entreprise\\uc0\\u160{}\\uc0\\u187{}, mai 2011, p. 25, disponible sur www.fondapol.org [Consult\\uc0\\u233{} le 27 avril 2020]).","plainCitation":"(« La religion dans les affaires : la responsabilité sociale de l’entreprise », mai 2011, p. 25, disponible sur www.fondapol.org [Consulté le 27 avril 2020]).","noteIndex":53},"citationItems":[{"id":337,"uris":["http://zotero.org/users/5133869/items/NCRYD9NY"],"uri":["http://zotero.org/users/5133869/items/NCRYD9NY"],"itemData":{"id":337,"type":"article","publisher":"Fondation pour l'innovation politique","title":"La religion dans les affaires : la responsabilité sociale de l'entreprise","URL":"www.fondapol.org","author":[{"family":"Acquier","given":"Aurélien"},{"family":"Gond","given":"Jean-Pascal"},{"family":"Igalens","given":"Jacques"}],"accessed":{"date-parts":[["2020",4,27]]},"issued":{"date-parts":[["2011",5]]}},"locator":"25","suppress-author":true,"prefix":"(","suffix":")"}],"schema":"https://github.com/citation-style-language/schema/raw/master/csl-citation.json"} </w:instrText>
      </w:r>
      <w:r w:rsidRPr="00016D32">
        <w:rPr>
          <w:szCs w:val="17"/>
        </w:rPr>
        <w:fldChar w:fldCharType="separate"/>
      </w:r>
      <w:r w:rsidR="001F0A79" w:rsidRPr="00016D32">
        <w:rPr>
          <w:szCs w:val="17"/>
        </w:rPr>
        <w:t>(« La religion dans les affaires : la responsabilité sociale de l’entreprise », mai 2011, p. 25, disponible sur www.fondapol.org [Consulté le 27 avril 2020]).</w:t>
      </w:r>
      <w:r w:rsidRPr="00016D32">
        <w:rPr>
          <w:szCs w:val="17"/>
        </w:rPr>
        <w:fldChar w:fldCharType="end"/>
      </w:r>
      <w:r w:rsidRPr="00016D32">
        <w:rPr>
          <w:szCs w:val="17"/>
        </w:rPr>
        <w:t xml:space="preserve"> Ainsi, poursuivent les auteurs, « à travers l’idée de développement durable, on assiste à une ‘laïcisation’ de la RSE qui a favorisé sa diffusion dans la sphère managériale européenne » : la diffusion de la RSE « procède, sur le terrain, d’une logique de neutralisation de ses dimensions morales et/ou religieuses (</w:t>
      </w:r>
      <w:r w:rsidRPr="00016D32">
        <w:rPr>
          <w:i/>
          <w:iCs/>
          <w:szCs w:val="17"/>
        </w:rPr>
        <w:t xml:space="preserve">ibid., </w:t>
      </w:r>
      <w:r w:rsidRPr="00016D32">
        <w:rPr>
          <w:szCs w:val="17"/>
        </w:rPr>
        <w:t>pp. 25-26).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EBE7DD" w14:textId="3EFF1BC4" w:rsidR="0067182F" w:rsidRPr="00CE7EC7" w:rsidRDefault="00CE7EC7" w:rsidP="00CE7EC7">
    <w:pPr>
      <w:pStyle w:val="En-tte"/>
      <w:tabs>
        <w:tab w:val="clear" w:pos="4536"/>
        <w:tab w:val="clear" w:pos="9072"/>
        <w:tab w:val="right" w:pos="5670"/>
        <w:tab w:val="right" w:pos="9639"/>
      </w:tabs>
      <w:ind w:right="-1"/>
      <w:rPr>
        <w:rFonts w:ascii="Corbel" w:hAnsi="Corbel"/>
        <w:color w:val="7F7F7F" w:themeColor="text1" w:themeTint="80"/>
        <w:sz w:val="20"/>
        <w:szCs w:val="20"/>
      </w:rPr>
    </w:pPr>
    <w:r w:rsidRPr="00CE7EC7">
      <w:rPr>
        <w:rFonts w:ascii="Corbel" w:hAnsi="Corbel"/>
        <w:color w:val="7F7F7F" w:themeColor="text1" w:themeTint="80"/>
        <w:sz w:val="20"/>
        <w:szCs w:val="20"/>
      </w:rPr>
      <w:tab/>
      <w:t>L.</w:t>
    </w:r>
    <w:r w:rsidR="0067182F" w:rsidRPr="00CE7EC7">
      <w:rPr>
        <w:rFonts w:ascii="Corbel" w:hAnsi="Corbel"/>
        <w:color w:val="7F7F7F" w:themeColor="text1" w:themeTint="80"/>
        <w:sz w:val="20"/>
        <w:szCs w:val="20"/>
      </w:rPr>
      <w:t xml:space="preserve"> </w:t>
    </w:r>
    <w:r w:rsidR="0067182F" w:rsidRPr="00CE7EC7">
      <w:rPr>
        <w:rFonts w:ascii="Corbel" w:hAnsi="Corbel"/>
        <w:smallCaps/>
        <w:color w:val="7F7F7F" w:themeColor="text1" w:themeTint="80"/>
        <w:sz w:val="20"/>
        <w:szCs w:val="20"/>
      </w:rPr>
      <w:t>Vanbellingen</w:t>
    </w:r>
    <w:r w:rsidRPr="00CE7EC7">
      <w:rPr>
        <w:rFonts w:ascii="Corbel" w:hAnsi="Corbel"/>
        <w:smallCaps/>
        <w:color w:val="7F7F7F" w:themeColor="text1" w:themeTint="80"/>
        <w:sz w:val="20"/>
        <w:szCs w:val="20"/>
      </w:rPr>
      <w:t xml:space="preserve"> – </w:t>
    </w:r>
    <w:r w:rsidR="0067182F" w:rsidRPr="00CE7EC7">
      <w:rPr>
        <w:rFonts w:ascii="Corbel" w:hAnsi="Corbel"/>
        <w:color w:val="7F7F7F" w:themeColor="text1" w:themeTint="80"/>
        <w:sz w:val="20"/>
        <w:szCs w:val="20"/>
      </w:rPr>
      <w:t>L’entreprise neutre face à ses responsabilités</w:t>
    </w:r>
    <w:r w:rsidRPr="00CE7EC7">
      <w:t xml:space="preserve"> </w:t>
    </w:r>
    <w:r>
      <w:tab/>
    </w:r>
    <w:sdt>
      <w:sdtPr>
        <w:rPr>
          <w:rFonts w:ascii="Corbel" w:hAnsi="Corbel"/>
          <w:color w:val="7F7F7F" w:themeColor="text1" w:themeTint="80"/>
          <w:sz w:val="20"/>
          <w:szCs w:val="20"/>
        </w:rPr>
        <w:id w:val="624126671"/>
        <w:docPartObj>
          <w:docPartGallery w:val="Page Numbers (Bottom of Page)"/>
          <w:docPartUnique/>
        </w:docPartObj>
      </w:sdtPr>
      <w:sdtEndPr/>
      <w:sdtContent>
        <w:r w:rsidRPr="00CE7EC7">
          <w:rPr>
            <w:rFonts w:ascii="Corbel" w:hAnsi="Corbel"/>
            <w:color w:val="7F7F7F" w:themeColor="text1" w:themeTint="80"/>
            <w:sz w:val="20"/>
            <w:szCs w:val="20"/>
          </w:rPr>
          <w:fldChar w:fldCharType="begin"/>
        </w:r>
        <w:r w:rsidRPr="00CE7EC7">
          <w:rPr>
            <w:rFonts w:ascii="Corbel" w:hAnsi="Corbel"/>
            <w:color w:val="7F7F7F" w:themeColor="text1" w:themeTint="80"/>
            <w:sz w:val="20"/>
            <w:szCs w:val="20"/>
          </w:rPr>
          <w:instrText>PAGE   \* MERGEFORMAT</w:instrText>
        </w:r>
        <w:r w:rsidRPr="00CE7EC7">
          <w:rPr>
            <w:rFonts w:ascii="Corbel" w:hAnsi="Corbel"/>
            <w:color w:val="7F7F7F" w:themeColor="text1" w:themeTint="80"/>
            <w:sz w:val="20"/>
            <w:szCs w:val="20"/>
          </w:rPr>
          <w:fldChar w:fldCharType="separate"/>
        </w:r>
        <w:r w:rsidRPr="00CE7EC7">
          <w:rPr>
            <w:rFonts w:ascii="Corbel" w:hAnsi="Corbel"/>
            <w:color w:val="7F7F7F" w:themeColor="text1" w:themeTint="80"/>
            <w:sz w:val="20"/>
            <w:szCs w:val="20"/>
          </w:rPr>
          <w:t>8</w:t>
        </w:r>
        <w:r w:rsidRPr="00CE7EC7">
          <w:rPr>
            <w:rFonts w:ascii="Corbel" w:hAnsi="Corbel"/>
            <w:color w:val="7F7F7F" w:themeColor="text1" w:themeTint="80"/>
            <w:sz w:val="20"/>
            <w:szCs w:val="20"/>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EDB508" w14:textId="3AA0589F" w:rsidR="0067182F" w:rsidRPr="00BC6838" w:rsidRDefault="0067182F" w:rsidP="00BC6838">
    <w:pPr>
      <w:pStyle w:val="En-tte"/>
      <w:rPr>
        <w:sz w:val="20"/>
        <w:szCs w:val="20"/>
      </w:rPr>
    </w:pPr>
    <w:r>
      <w:rPr>
        <w:sz w:val="20"/>
        <w:szCs w:val="2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153B5"/>
    <w:multiLevelType w:val="hybridMultilevel"/>
    <w:tmpl w:val="10A0154A"/>
    <w:lvl w:ilvl="0" w:tplc="1926053A">
      <w:start w:val="1"/>
      <w:numFmt w:val="upperLetter"/>
      <w:pStyle w:val="Titre2"/>
      <w:lvlText w:val="%1."/>
      <w:lvlJc w:val="left"/>
      <w:pPr>
        <w:ind w:left="1800" w:hanging="360"/>
      </w:p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1" w15:restartNumberingAfterBreak="0">
    <w:nsid w:val="0485024C"/>
    <w:multiLevelType w:val="hybridMultilevel"/>
    <w:tmpl w:val="A3D22084"/>
    <w:lvl w:ilvl="0" w:tplc="080C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48810D4"/>
    <w:multiLevelType w:val="hybridMultilevel"/>
    <w:tmpl w:val="075464CA"/>
    <w:lvl w:ilvl="0" w:tplc="36C48A7A">
      <w:start w:val="1"/>
      <w:numFmt w:val="upperLetter"/>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 w15:restartNumberingAfterBreak="0">
    <w:nsid w:val="07C4136C"/>
    <w:multiLevelType w:val="hybridMultilevel"/>
    <w:tmpl w:val="AC408472"/>
    <w:lvl w:ilvl="0" w:tplc="95CC629A">
      <w:numFmt w:val="bullet"/>
      <w:lvlText w:val=""/>
      <w:lvlJc w:val="left"/>
      <w:pPr>
        <w:ind w:left="720" w:hanging="360"/>
      </w:pPr>
      <w:rPr>
        <w:rFonts w:ascii="Wingdings" w:eastAsia="Calibri"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85975AE"/>
    <w:multiLevelType w:val="hybridMultilevel"/>
    <w:tmpl w:val="C0E8FBBE"/>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0BBC4CBE"/>
    <w:multiLevelType w:val="hybridMultilevel"/>
    <w:tmpl w:val="95069134"/>
    <w:lvl w:ilvl="0" w:tplc="E97846A8">
      <w:numFmt w:val="bullet"/>
      <w:lvlText w:val="◊"/>
      <w:lvlJc w:val="left"/>
      <w:pPr>
        <w:ind w:left="720" w:hanging="360"/>
      </w:pPr>
      <w:rPr>
        <w:rFonts w:ascii="Calibri" w:eastAsia="Calibri" w:hAnsi="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124A5B7F"/>
    <w:multiLevelType w:val="hybridMultilevel"/>
    <w:tmpl w:val="E3E4641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153375F8"/>
    <w:multiLevelType w:val="hybridMultilevel"/>
    <w:tmpl w:val="2FF2AEA4"/>
    <w:lvl w:ilvl="0" w:tplc="58FA02CA">
      <w:start w:val="1"/>
      <w:numFmt w:val="decimal"/>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8" w15:restartNumberingAfterBreak="0">
    <w:nsid w:val="168636EE"/>
    <w:multiLevelType w:val="hybridMultilevel"/>
    <w:tmpl w:val="093A75C4"/>
    <w:lvl w:ilvl="0" w:tplc="080C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6921514"/>
    <w:multiLevelType w:val="hybridMultilevel"/>
    <w:tmpl w:val="BB289A22"/>
    <w:lvl w:ilvl="0" w:tplc="080C0005">
      <w:start w:val="1"/>
      <w:numFmt w:val="bullet"/>
      <w:lvlText w:val=""/>
      <w:lvlJc w:val="left"/>
      <w:pPr>
        <w:ind w:left="780" w:hanging="360"/>
      </w:pPr>
      <w:rPr>
        <w:rFonts w:ascii="Wingdings" w:hAnsi="Wingdings" w:hint="default"/>
      </w:rPr>
    </w:lvl>
    <w:lvl w:ilvl="1" w:tplc="080C0003" w:tentative="1">
      <w:start w:val="1"/>
      <w:numFmt w:val="bullet"/>
      <w:lvlText w:val="o"/>
      <w:lvlJc w:val="left"/>
      <w:pPr>
        <w:ind w:left="1500" w:hanging="360"/>
      </w:pPr>
      <w:rPr>
        <w:rFonts w:ascii="Courier New" w:hAnsi="Courier New" w:cs="Courier New" w:hint="default"/>
      </w:rPr>
    </w:lvl>
    <w:lvl w:ilvl="2" w:tplc="080C0005" w:tentative="1">
      <w:start w:val="1"/>
      <w:numFmt w:val="bullet"/>
      <w:lvlText w:val=""/>
      <w:lvlJc w:val="left"/>
      <w:pPr>
        <w:ind w:left="2220" w:hanging="360"/>
      </w:pPr>
      <w:rPr>
        <w:rFonts w:ascii="Wingdings" w:hAnsi="Wingdings" w:hint="default"/>
      </w:rPr>
    </w:lvl>
    <w:lvl w:ilvl="3" w:tplc="080C0001" w:tentative="1">
      <w:start w:val="1"/>
      <w:numFmt w:val="bullet"/>
      <w:lvlText w:val=""/>
      <w:lvlJc w:val="left"/>
      <w:pPr>
        <w:ind w:left="2940" w:hanging="360"/>
      </w:pPr>
      <w:rPr>
        <w:rFonts w:ascii="Symbol" w:hAnsi="Symbol" w:hint="default"/>
      </w:rPr>
    </w:lvl>
    <w:lvl w:ilvl="4" w:tplc="080C0003" w:tentative="1">
      <w:start w:val="1"/>
      <w:numFmt w:val="bullet"/>
      <w:lvlText w:val="o"/>
      <w:lvlJc w:val="left"/>
      <w:pPr>
        <w:ind w:left="3660" w:hanging="360"/>
      </w:pPr>
      <w:rPr>
        <w:rFonts w:ascii="Courier New" w:hAnsi="Courier New" w:cs="Courier New" w:hint="default"/>
      </w:rPr>
    </w:lvl>
    <w:lvl w:ilvl="5" w:tplc="080C0005" w:tentative="1">
      <w:start w:val="1"/>
      <w:numFmt w:val="bullet"/>
      <w:lvlText w:val=""/>
      <w:lvlJc w:val="left"/>
      <w:pPr>
        <w:ind w:left="4380" w:hanging="360"/>
      </w:pPr>
      <w:rPr>
        <w:rFonts w:ascii="Wingdings" w:hAnsi="Wingdings" w:hint="default"/>
      </w:rPr>
    </w:lvl>
    <w:lvl w:ilvl="6" w:tplc="080C0001" w:tentative="1">
      <w:start w:val="1"/>
      <w:numFmt w:val="bullet"/>
      <w:lvlText w:val=""/>
      <w:lvlJc w:val="left"/>
      <w:pPr>
        <w:ind w:left="5100" w:hanging="360"/>
      </w:pPr>
      <w:rPr>
        <w:rFonts w:ascii="Symbol" w:hAnsi="Symbol" w:hint="default"/>
      </w:rPr>
    </w:lvl>
    <w:lvl w:ilvl="7" w:tplc="080C0003" w:tentative="1">
      <w:start w:val="1"/>
      <w:numFmt w:val="bullet"/>
      <w:lvlText w:val="o"/>
      <w:lvlJc w:val="left"/>
      <w:pPr>
        <w:ind w:left="5820" w:hanging="360"/>
      </w:pPr>
      <w:rPr>
        <w:rFonts w:ascii="Courier New" w:hAnsi="Courier New" w:cs="Courier New" w:hint="default"/>
      </w:rPr>
    </w:lvl>
    <w:lvl w:ilvl="8" w:tplc="080C0005" w:tentative="1">
      <w:start w:val="1"/>
      <w:numFmt w:val="bullet"/>
      <w:lvlText w:val=""/>
      <w:lvlJc w:val="left"/>
      <w:pPr>
        <w:ind w:left="6540" w:hanging="360"/>
      </w:pPr>
      <w:rPr>
        <w:rFonts w:ascii="Wingdings" w:hAnsi="Wingdings" w:hint="default"/>
      </w:rPr>
    </w:lvl>
  </w:abstractNum>
  <w:abstractNum w:abstractNumId="10" w15:restartNumberingAfterBreak="0">
    <w:nsid w:val="18AE6DC5"/>
    <w:multiLevelType w:val="hybridMultilevel"/>
    <w:tmpl w:val="B524CBC6"/>
    <w:lvl w:ilvl="0" w:tplc="95CC629A">
      <w:numFmt w:val="bullet"/>
      <w:lvlText w:val=""/>
      <w:lvlJc w:val="left"/>
      <w:pPr>
        <w:ind w:left="1080" w:hanging="360"/>
      </w:pPr>
      <w:rPr>
        <w:rFonts w:ascii="Wingdings" w:eastAsia="Calibri" w:hAnsi="Wingdings"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2091242F"/>
    <w:multiLevelType w:val="hybridMultilevel"/>
    <w:tmpl w:val="90708A00"/>
    <w:lvl w:ilvl="0" w:tplc="38E4D31C">
      <w:numFmt w:val="bullet"/>
      <w:lvlText w:val="-"/>
      <w:lvlJc w:val="left"/>
      <w:pPr>
        <w:ind w:left="720" w:hanging="360"/>
      </w:pPr>
      <w:rPr>
        <w:rFonts w:ascii="Cambria" w:eastAsiaTheme="minorHAnsi" w:hAnsi="Cambria"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248779BE"/>
    <w:multiLevelType w:val="hybridMultilevel"/>
    <w:tmpl w:val="16729552"/>
    <w:lvl w:ilvl="0" w:tplc="3FD67482">
      <w:numFmt w:val="bullet"/>
      <w:lvlText w:val=""/>
      <w:lvlJc w:val="left"/>
      <w:pPr>
        <w:ind w:left="1080" w:hanging="360"/>
      </w:pPr>
      <w:rPr>
        <w:rFonts w:ascii="Wingdings" w:eastAsiaTheme="minorHAnsi" w:hAnsi="Wingdings" w:cs="FrutigerLTStd-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6FE0AB8"/>
    <w:multiLevelType w:val="hybridMultilevel"/>
    <w:tmpl w:val="BE60E748"/>
    <w:lvl w:ilvl="0" w:tplc="6ECACCF2">
      <w:start w:val="1"/>
      <w:numFmt w:val="bullet"/>
      <w:lvlText w:val="o"/>
      <w:lvlJc w:val="left"/>
      <w:pPr>
        <w:tabs>
          <w:tab w:val="num" w:pos="720"/>
        </w:tabs>
        <w:ind w:left="720" w:hanging="360"/>
      </w:pPr>
      <w:rPr>
        <w:rFonts w:ascii="Courier New" w:hAnsi="Courier New" w:hint="default"/>
      </w:rPr>
    </w:lvl>
    <w:lvl w:ilvl="1" w:tplc="0524769A">
      <w:start w:val="1"/>
      <w:numFmt w:val="bullet"/>
      <w:lvlText w:val="o"/>
      <w:lvlJc w:val="left"/>
      <w:pPr>
        <w:tabs>
          <w:tab w:val="num" w:pos="1440"/>
        </w:tabs>
        <w:ind w:left="1440" w:hanging="360"/>
      </w:pPr>
      <w:rPr>
        <w:rFonts w:ascii="Courier New" w:hAnsi="Courier New" w:hint="default"/>
      </w:rPr>
    </w:lvl>
    <w:lvl w:ilvl="2" w:tplc="5D700F72">
      <w:start w:val="1"/>
      <w:numFmt w:val="bullet"/>
      <w:lvlText w:val="o"/>
      <w:lvlJc w:val="left"/>
      <w:pPr>
        <w:tabs>
          <w:tab w:val="num" w:pos="2160"/>
        </w:tabs>
        <w:ind w:left="2160" w:hanging="360"/>
      </w:pPr>
      <w:rPr>
        <w:rFonts w:ascii="Courier New" w:hAnsi="Courier New" w:hint="default"/>
      </w:rPr>
    </w:lvl>
    <w:lvl w:ilvl="3" w:tplc="D2BE7BD4">
      <w:start w:val="1"/>
      <w:numFmt w:val="bullet"/>
      <w:lvlText w:val="o"/>
      <w:lvlJc w:val="left"/>
      <w:pPr>
        <w:tabs>
          <w:tab w:val="num" w:pos="2880"/>
        </w:tabs>
        <w:ind w:left="2880" w:hanging="360"/>
      </w:pPr>
      <w:rPr>
        <w:rFonts w:ascii="Courier New" w:hAnsi="Courier New" w:hint="default"/>
      </w:rPr>
    </w:lvl>
    <w:lvl w:ilvl="4" w:tplc="D5E64FF6" w:tentative="1">
      <w:start w:val="1"/>
      <w:numFmt w:val="bullet"/>
      <w:lvlText w:val="o"/>
      <w:lvlJc w:val="left"/>
      <w:pPr>
        <w:tabs>
          <w:tab w:val="num" w:pos="3600"/>
        </w:tabs>
        <w:ind w:left="3600" w:hanging="360"/>
      </w:pPr>
      <w:rPr>
        <w:rFonts w:ascii="Courier New" w:hAnsi="Courier New" w:hint="default"/>
      </w:rPr>
    </w:lvl>
    <w:lvl w:ilvl="5" w:tplc="0CBE2312" w:tentative="1">
      <w:start w:val="1"/>
      <w:numFmt w:val="bullet"/>
      <w:lvlText w:val="o"/>
      <w:lvlJc w:val="left"/>
      <w:pPr>
        <w:tabs>
          <w:tab w:val="num" w:pos="4320"/>
        </w:tabs>
        <w:ind w:left="4320" w:hanging="360"/>
      </w:pPr>
      <w:rPr>
        <w:rFonts w:ascii="Courier New" w:hAnsi="Courier New" w:hint="default"/>
      </w:rPr>
    </w:lvl>
    <w:lvl w:ilvl="6" w:tplc="D8E21454" w:tentative="1">
      <w:start w:val="1"/>
      <w:numFmt w:val="bullet"/>
      <w:lvlText w:val="o"/>
      <w:lvlJc w:val="left"/>
      <w:pPr>
        <w:tabs>
          <w:tab w:val="num" w:pos="5040"/>
        </w:tabs>
        <w:ind w:left="5040" w:hanging="360"/>
      </w:pPr>
      <w:rPr>
        <w:rFonts w:ascii="Courier New" w:hAnsi="Courier New" w:hint="default"/>
      </w:rPr>
    </w:lvl>
    <w:lvl w:ilvl="7" w:tplc="58309048" w:tentative="1">
      <w:start w:val="1"/>
      <w:numFmt w:val="bullet"/>
      <w:lvlText w:val="o"/>
      <w:lvlJc w:val="left"/>
      <w:pPr>
        <w:tabs>
          <w:tab w:val="num" w:pos="5760"/>
        </w:tabs>
        <w:ind w:left="5760" w:hanging="360"/>
      </w:pPr>
      <w:rPr>
        <w:rFonts w:ascii="Courier New" w:hAnsi="Courier New" w:hint="default"/>
      </w:rPr>
    </w:lvl>
    <w:lvl w:ilvl="8" w:tplc="AA423A52" w:tentative="1">
      <w:start w:val="1"/>
      <w:numFmt w:val="bullet"/>
      <w:lvlText w:val="o"/>
      <w:lvlJc w:val="left"/>
      <w:pPr>
        <w:tabs>
          <w:tab w:val="num" w:pos="6480"/>
        </w:tabs>
        <w:ind w:left="6480" w:hanging="360"/>
      </w:pPr>
      <w:rPr>
        <w:rFonts w:ascii="Courier New" w:hAnsi="Courier New" w:hint="default"/>
      </w:rPr>
    </w:lvl>
  </w:abstractNum>
  <w:abstractNum w:abstractNumId="14" w15:restartNumberingAfterBreak="0">
    <w:nsid w:val="278304D5"/>
    <w:multiLevelType w:val="hybridMultilevel"/>
    <w:tmpl w:val="3C865E52"/>
    <w:lvl w:ilvl="0" w:tplc="875A00F6">
      <w:numFmt w:val="bullet"/>
      <w:lvlText w:val="-"/>
      <w:lvlJc w:val="left"/>
      <w:pPr>
        <w:ind w:left="720" w:hanging="360"/>
      </w:pPr>
      <w:rPr>
        <w:rFonts w:ascii="Calibri" w:eastAsia="Calibr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2805723C"/>
    <w:multiLevelType w:val="hybridMultilevel"/>
    <w:tmpl w:val="54942326"/>
    <w:lvl w:ilvl="0" w:tplc="080C0003">
      <w:start w:val="1"/>
      <w:numFmt w:val="bullet"/>
      <w:lvlText w:val="o"/>
      <w:lvlJc w:val="left"/>
      <w:pPr>
        <w:ind w:left="720" w:hanging="360"/>
      </w:pPr>
      <w:rPr>
        <w:rFonts w:ascii="Courier New" w:hAnsi="Courier New"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283C4AB1"/>
    <w:multiLevelType w:val="multilevel"/>
    <w:tmpl w:val="4AF62C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CB0BDD"/>
    <w:multiLevelType w:val="hybridMultilevel"/>
    <w:tmpl w:val="4E7438BC"/>
    <w:lvl w:ilvl="0" w:tplc="CDF0E444">
      <w:start w:val="1"/>
      <w:numFmt w:val="upperRoman"/>
      <w:pStyle w:val="Titre1"/>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3CC75185"/>
    <w:multiLevelType w:val="hybridMultilevel"/>
    <w:tmpl w:val="5F9E9982"/>
    <w:lvl w:ilvl="0" w:tplc="FF9818BC">
      <w:numFmt w:val="bullet"/>
      <w:lvlText w:val="-"/>
      <w:lvlJc w:val="left"/>
      <w:pPr>
        <w:ind w:left="720" w:hanging="360"/>
      </w:pPr>
      <w:rPr>
        <w:rFonts w:ascii="Tw Cen MT" w:eastAsiaTheme="minorHAnsi" w:hAnsi="Tw Cen MT"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F801AD"/>
    <w:multiLevelType w:val="hybridMultilevel"/>
    <w:tmpl w:val="A9A6EBEE"/>
    <w:lvl w:ilvl="0" w:tplc="F09C24BA">
      <w:start w:val="1"/>
      <w:numFmt w:val="decimal"/>
      <w:pStyle w:val="Titre3"/>
      <w:lvlText w:val="%1°"/>
      <w:lvlJc w:val="left"/>
      <w:pPr>
        <w:ind w:left="2520" w:hanging="360"/>
      </w:pPr>
      <w:rPr>
        <w:rFonts w:hint="default"/>
        <w:i/>
      </w:rPr>
    </w:lvl>
    <w:lvl w:ilvl="1" w:tplc="080C0019" w:tentative="1">
      <w:start w:val="1"/>
      <w:numFmt w:val="lowerLetter"/>
      <w:lvlText w:val="%2."/>
      <w:lvlJc w:val="left"/>
      <w:pPr>
        <w:ind w:left="3240" w:hanging="360"/>
      </w:pPr>
    </w:lvl>
    <w:lvl w:ilvl="2" w:tplc="080C001B" w:tentative="1">
      <w:start w:val="1"/>
      <w:numFmt w:val="lowerRoman"/>
      <w:lvlText w:val="%3."/>
      <w:lvlJc w:val="right"/>
      <w:pPr>
        <w:ind w:left="3960" w:hanging="180"/>
      </w:pPr>
    </w:lvl>
    <w:lvl w:ilvl="3" w:tplc="080C000F" w:tentative="1">
      <w:start w:val="1"/>
      <w:numFmt w:val="decimal"/>
      <w:lvlText w:val="%4."/>
      <w:lvlJc w:val="left"/>
      <w:pPr>
        <w:ind w:left="4680" w:hanging="360"/>
      </w:pPr>
    </w:lvl>
    <w:lvl w:ilvl="4" w:tplc="080C0019" w:tentative="1">
      <w:start w:val="1"/>
      <w:numFmt w:val="lowerLetter"/>
      <w:lvlText w:val="%5."/>
      <w:lvlJc w:val="left"/>
      <w:pPr>
        <w:ind w:left="5400" w:hanging="360"/>
      </w:pPr>
    </w:lvl>
    <w:lvl w:ilvl="5" w:tplc="080C001B" w:tentative="1">
      <w:start w:val="1"/>
      <w:numFmt w:val="lowerRoman"/>
      <w:lvlText w:val="%6."/>
      <w:lvlJc w:val="right"/>
      <w:pPr>
        <w:ind w:left="6120" w:hanging="180"/>
      </w:pPr>
    </w:lvl>
    <w:lvl w:ilvl="6" w:tplc="080C000F" w:tentative="1">
      <w:start w:val="1"/>
      <w:numFmt w:val="decimal"/>
      <w:lvlText w:val="%7."/>
      <w:lvlJc w:val="left"/>
      <w:pPr>
        <w:ind w:left="6840" w:hanging="360"/>
      </w:pPr>
    </w:lvl>
    <w:lvl w:ilvl="7" w:tplc="080C0019" w:tentative="1">
      <w:start w:val="1"/>
      <w:numFmt w:val="lowerLetter"/>
      <w:lvlText w:val="%8."/>
      <w:lvlJc w:val="left"/>
      <w:pPr>
        <w:ind w:left="7560" w:hanging="360"/>
      </w:pPr>
    </w:lvl>
    <w:lvl w:ilvl="8" w:tplc="080C001B" w:tentative="1">
      <w:start w:val="1"/>
      <w:numFmt w:val="lowerRoman"/>
      <w:lvlText w:val="%9."/>
      <w:lvlJc w:val="right"/>
      <w:pPr>
        <w:ind w:left="8280" w:hanging="180"/>
      </w:pPr>
    </w:lvl>
  </w:abstractNum>
  <w:abstractNum w:abstractNumId="20" w15:restartNumberingAfterBreak="0">
    <w:nsid w:val="4F0F4934"/>
    <w:multiLevelType w:val="hybridMultilevel"/>
    <w:tmpl w:val="18942576"/>
    <w:lvl w:ilvl="0" w:tplc="080C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51987A4A"/>
    <w:multiLevelType w:val="hybridMultilevel"/>
    <w:tmpl w:val="69FA0CF2"/>
    <w:lvl w:ilvl="0" w:tplc="080C0001">
      <w:start w:val="1"/>
      <w:numFmt w:val="bullet"/>
      <w:lvlText w:val=""/>
      <w:lvlJc w:val="left"/>
      <w:pPr>
        <w:ind w:left="720" w:hanging="360"/>
      </w:pPr>
      <w:rPr>
        <w:rFonts w:ascii="Symbol" w:hAnsi="Symbol" w:cs="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cs="Wingdings" w:hint="default"/>
      </w:rPr>
    </w:lvl>
    <w:lvl w:ilvl="3" w:tplc="080C0001" w:tentative="1">
      <w:start w:val="1"/>
      <w:numFmt w:val="bullet"/>
      <w:lvlText w:val=""/>
      <w:lvlJc w:val="left"/>
      <w:pPr>
        <w:ind w:left="2880" w:hanging="360"/>
      </w:pPr>
      <w:rPr>
        <w:rFonts w:ascii="Symbol" w:hAnsi="Symbol" w:cs="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cs="Wingdings" w:hint="default"/>
      </w:rPr>
    </w:lvl>
    <w:lvl w:ilvl="6" w:tplc="080C0001" w:tentative="1">
      <w:start w:val="1"/>
      <w:numFmt w:val="bullet"/>
      <w:lvlText w:val=""/>
      <w:lvlJc w:val="left"/>
      <w:pPr>
        <w:ind w:left="5040" w:hanging="360"/>
      </w:pPr>
      <w:rPr>
        <w:rFonts w:ascii="Symbol" w:hAnsi="Symbol" w:cs="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cs="Wingdings" w:hint="default"/>
      </w:rPr>
    </w:lvl>
  </w:abstractNum>
  <w:abstractNum w:abstractNumId="22" w15:restartNumberingAfterBreak="0">
    <w:nsid w:val="5B8C4434"/>
    <w:multiLevelType w:val="hybridMultilevel"/>
    <w:tmpl w:val="647A2E30"/>
    <w:lvl w:ilvl="0" w:tplc="080C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5D1D71E8"/>
    <w:multiLevelType w:val="hybridMultilevel"/>
    <w:tmpl w:val="4240F954"/>
    <w:lvl w:ilvl="0" w:tplc="080C0003">
      <w:start w:val="1"/>
      <w:numFmt w:val="bullet"/>
      <w:lvlText w:val="o"/>
      <w:lvlJc w:val="left"/>
      <w:pPr>
        <w:ind w:left="720" w:hanging="360"/>
      </w:pPr>
      <w:rPr>
        <w:rFonts w:ascii="Courier New" w:hAnsi="Courier New"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4" w15:restartNumberingAfterBreak="0">
    <w:nsid w:val="638A6D08"/>
    <w:multiLevelType w:val="hybridMultilevel"/>
    <w:tmpl w:val="5EFEC19E"/>
    <w:lvl w:ilvl="0" w:tplc="F7BC9E0A">
      <w:start w:val="12"/>
      <w:numFmt w:val="bullet"/>
      <w:lvlText w:val="-"/>
      <w:lvlJc w:val="left"/>
      <w:pPr>
        <w:ind w:left="720" w:hanging="360"/>
      </w:pPr>
      <w:rPr>
        <w:rFonts w:ascii="Calibri" w:eastAsia="Calibr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67F15F11"/>
    <w:multiLevelType w:val="hybridMultilevel"/>
    <w:tmpl w:val="BDC24B1E"/>
    <w:lvl w:ilvl="0" w:tplc="080C0003">
      <w:start w:val="1"/>
      <w:numFmt w:val="bullet"/>
      <w:lvlText w:val="o"/>
      <w:lvlJc w:val="left"/>
      <w:pPr>
        <w:ind w:left="720" w:hanging="360"/>
      </w:pPr>
      <w:rPr>
        <w:rFonts w:ascii="Courier New" w:hAnsi="Courier New"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6" w15:restartNumberingAfterBreak="0">
    <w:nsid w:val="6F9E4987"/>
    <w:multiLevelType w:val="hybridMultilevel"/>
    <w:tmpl w:val="63CAD05A"/>
    <w:lvl w:ilvl="0" w:tplc="BB9CD254">
      <w:numFmt w:val="bullet"/>
      <w:lvlText w:val="-"/>
      <w:lvlJc w:val="left"/>
      <w:pPr>
        <w:ind w:left="720" w:hanging="360"/>
      </w:pPr>
      <w:rPr>
        <w:rFonts w:ascii="Tw Cen MT" w:eastAsiaTheme="minorHAnsi" w:hAnsi="Tw Cen MT"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D10256"/>
    <w:multiLevelType w:val="hybridMultilevel"/>
    <w:tmpl w:val="BC36F608"/>
    <w:lvl w:ilvl="0" w:tplc="080C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773C7C74"/>
    <w:multiLevelType w:val="hybridMultilevel"/>
    <w:tmpl w:val="5DD0565E"/>
    <w:lvl w:ilvl="0" w:tplc="875A00F6">
      <w:numFmt w:val="bullet"/>
      <w:lvlText w:val="-"/>
      <w:lvlJc w:val="left"/>
      <w:pPr>
        <w:ind w:left="720" w:hanging="360"/>
      </w:pPr>
      <w:rPr>
        <w:rFonts w:ascii="Calibri" w:eastAsia="Calibr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78900BEA"/>
    <w:multiLevelType w:val="hybridMultilevel"/>
    <w:tmpl w:val="B4548166"/>
    <w:lvl w:ilvl="0" w:tplc="EFE81DE8">
      <w:start w:val="26"/>
      <w:numFmt w:val="bullet"/>
      <w:lvlText w:val="-"/>
      <w:lvlJc w:val="left"/>
      <w:pPr>
        <w:ind w:left="720" w:hanging="360"/>
      </w:pPr>
      <w:rPr>
        <w:rFonts w:ascii="Tw Cen MT" w:eastAsiaTheme="minorHAnsi" w:hAnsi="Tw Cen MT" w:cs="FrutigerLTStd-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0" w15:restartNumberingAfterBreak="0">
    <w:nsid w:val="79C663B9"/>
    <w:multiLevelType w:val="hybridMultilevel"/>
    <w:tmpl w:val="0D26ADC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26"/>
  </w:num>
  <w:num w:numId="4">
    <w:abstractNumId w:val="16"/>
  </w:num>
  <w:num w:numId="5">
    <w:abstractNumId w:val="29"/>
  </w:num>
  <w:num w:numId="6">
    <w:abstractNumId w:val="11"/>
  </w:num>
  <w:num w:numId="7">
    <w:abstractNumId w:val="2"/>
  </w:num>
  <w:num w:numId="8">
    <w:abstractNumId w:val="7"/>
  </w:num>
  <w:num w:numId="9">
    <w:abstractNumId w:val="7"/>
    <w:lvlOverride w:ilvl="0">
      <w:startOverride w:val="1"/>
    </w:lvlOverride>
  </w:num>
  <w:num w:numId="10">
    <w:abstractNumId w:val="8"/>
  </w:num>
  <w:num w:numId="11">
    <w:abstractNumId w:val="1"/>
  </w:num>
  <w:num w:numId="12">
    <w:abstractNumId w:val="9"/>
  </w:num>
  <w:num w:numId="13">
    <w:abstractNumId w:val="23"/>
  </w:num>
  <w:num w:numId="14">
    <w:abstractNumId w:val="25"/>
  </w:num>
  <w:num w:numId="15">
    <w:abstractNumId w:val="6"/>
  </w:num>
  <w:num w:numId="16">
    <w:abstractNumId w:val="30"/>
  </w:num>
  <w:num w:numId="17">
    <w:abstractNumId w:val="15"/>
  </w:num>
  <w:num w:numId="18">
    <w:abstractNumId w:val="2"/>
    <w:lvlOverride w:ilvl="0">
      <w:startOverride w:val="1"/>
    </w:lvlOverride>
  </w:num>
  <w:num w:numId="19">
    <w:abstractNumId w:val="14"/>
  </w:num>
  <w:num w:numId="20">
    <w:abstractNumId w:val="3"/>
  </w:num>
  <w:num w:numId="21">
    <w:abstractNumId w:val="10"/>
  </w:num>
  <w:num w:numId="22">
    <w:abstractNumId w:val="4"/>
  </w:num>
  <w:num w:numId="23">
    <w:abstractNumId w:val="5"/>
  </w:num>
  <w:num w:numId="24">
    <w:abstractNumId w:val="24"/>
  </w:num>
  <w:num w:numId="25">
    <w:abstractNumId w:val="17"/>
  </w:num>
  <w:num w:numId="26">
    <w:abstractNumId w:val="0"/>
  </w:num>
  <w:num w:numId="27">
    <w:abstractNumId w:val="0"/>
    <w:lvlOverride w:ilvl="0">
      <w:startOverride w:val="1"/>
    </w:lvlOverride>
  </w:num>
  <w:num w:numId="28">
    <w:abstractNumId w:val="27"/>
  </w:num>
  <w:num w:numId="29">
    <w:abstractNumId w:val="0"/>
    <w:lvlOverride w:ilvl="0">
      <w:startOverride w:val="1"/>
    </w:lvlOverride>
  </w:num>
  <w:num w:numId="30">
    <w:abstractNumId w:val="19"/>
  </w:num>
  <w:num w:numId="31">
    <w:abstractNumId w:val="19"/>
  </w:num>
  <w:num w:numId="32">
    <w:abstractNumId w:val="19"/>
    <w:lvlOverride w:ilvl="0">
      <w:startOverride w:val="1"/>
    </w:lvlOverride>
  </w:num>
  <w:num w:numId="33">
    <w:abstractNumId w:val="19"/>
    <w:lvlOverride w:ilvl="0">
      <w:startOverride w:val="1"/>
    </w:lvlOverride>
  </w:num>
  <w:num w:numId="34">
    <w:abstractNumId w:val="19"/>
    <w:lvlOverride w:ilvl="0">
      <w:startOverride w:val="1"/>
    </w:lvlOverride>
  </w:num>
  <w:num w:numId="35">
    <w:abstractNumId w:val="22"/>
  </w:num>
  <w:num w:numId="36">
    <w:abstractNumId w:val="28"/>
  </w:num>
  <w:num w:numId="37">
    <w:abstractNumId w:val="20"/>
  </w:num>
  <w:num w:numId="38">
    <w:abstractNumId w:val="19"/>
    <w:lvlOverride w:ilvl="0">
      <w:startOverride w:val="1"/>
    </w:lvlOverride>
  </w:num>
  <w:num w:numId="39">
    <w:abstractNumId w:val="19"/>
    <w:lvlOverride w:ilvl="0">
      <w:startOverride w:val="1"/>
    </w:lvlOverride>
  </w:num>
  <w:num w:numId="40">
    <w:abstractNumId w:val="19"/>
    <w:lvlOverride w:ilvl="0">
      <w:startOverride w:val="1"/>
    </w:lvlOverride>
  </w:num>
  <w:num w:numId="41">
    <w:abstractNumId w:val="19"/>
    <w:lvlOverride w:ilvl="0">
      <w:startOverride w:val="1"/>
    </w:lvlOverride>
  </w:num>
  <w:num w:numId="42">
    <w:abstractNumId w:val="19"/>
    <w:lvlOverride w:ilvl="0">
      <w:startOverride w:val="1"/>
    </w:lvlOverride>
  </w:num>
  <w:num w:numId="43">
    <w:abstractNumId w:val="13"/>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mirrorMargin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54A4"/>
    <w:rsid w:val="000043CA"/>
    <w:rsid w:val="00012703"/>
    <w:rsid w:val="0001497C"/>
    <w:rsid w:val="00015CA8"/>
    <w:rsid w:val="00016D32"/>
    <w:rsid w:val="00022E5C"/>
    <w:rsid w:val="000236D1"/>
    <w:rsid w:val="0003526C"/>
    <w:rsid w:val="0003606E"/>
    <w:rsid w:val="00050D1A"/>
    <w:rsid w:val="0005119B"/>
    <w:rsid w:val="00051589"/>
    <w:rsid w:val="000570B8"/>
    <w:rsid w:val="0005746C"/>
    <w:rsid w:val="00072630"/>
    <w:rsid w:val="0007570E"/>
    <w:rsid w:val="00075CD9"/>
    <w:rsid w:val="000850E1"/>
    <w:rsid w:val="0008728C"/>
    <w:rsid w:val="00092A82"/>
    <w:rsid w:val="000B00EF"/>
    <w:rsid w:val="000B0F31"/>
    <w:rsid w:val="000B1558"/>
    <w:rsid w:val="000B3DD4"/>
    <w:rsid w:val="000E1FA3"/>
    <w:rsid w:val="000F446A"/>
    <w:rsid w:val="000F7946"/>
    <w:rsid w:val="001126EF"/>
    <w:rsid w:val="001145F1"/>
    <w:rsid w:val="0011708E"/>
    <w:rsid w:val="001209B3"/>
    <w:rsid w:val="00124FA8"/>
    <w:rsid w:val="00132E8D"/>
    <w:rsid w:val="00134F42"/>
    <w:rsid w:val="001539DC"/>
    <w:rsid w:val="00153E39"/>
    <w:rsid w:val="001625E4"/>
    <w:rsid w:val="00173543"/>
    <w:rsid w:val="0018559C"/>
    <w:rsid w:val="001915E9"/>
    <w:rsid w:val="001A1D7E"/>
    <w:rsid w:val="001A22EF"/>
    <w:rsid w:val="001A68F1"/>
    <w:rsid w:val="001B05AE"/>
    <w:rsid w:val="001B2140"/>
    <w:rsid w:val="001C416C"/>
    <w:rsid w:val="001C4425"/>
    <w:rsid w:val="001C685D"/>
    <w:rsid w:val="001C77BA"/>
    <w:rsid w:val="001E23A1"/>
    <w:rsid w:val="001F0A79"/>
    <w:rsid w:val="002129B3"/>
    <w:rsid w:val="002203A4"/>
    <w:rsid w:val="00223142"/>
    <w:rsid w:val="002269A8"/>
    <w:rsid w:val="00237DA8"/>
    <w:rsid w:val="00242661"/>
    <w:rsid w:val="00263AD9"/>
    <w:rsid w:val="00267E5B"/>
    <w:rsid w:val="00273D06"/>
    <w:rsid w:val="002803D3"/>
    <w:rsid w:val="00286920"/>
    <w:rsid w:val="002931A5"/>
    <w:rsid w:val="002B3EF4"/>
    <w:rsid w:val="002B59D4"/>
    <w:rsid w:val="002B729C"/>
    <w:rsid w:val="002C1668"/>
    <w:rsid w:val="002C21A3"/>
    <w:rsid w:val="002D24B8"/>
    <w:rsid w:val="002D72CF"/>
    <w:rsid w:val="002E4F70"/>
    <w:rsid w:val="00302B70"/>
    <w:rsid w:val="00304ACD"/>
    <w:rsid w:val="003114C4"/>
    <w:rsid w:val="0031742E"/>
    <w:rsid w:val="00334A9C"/>
    <w:rsid w:val="00335428"/>
    <w:rsid w:val="003377FA"/>
    <w:rsid w:val="00343639"/>
    <w:rsid w:val="00343685"/>
    <w:rsid w:val="003445D6"/>
    <w:rsid w:val="00344F69"/>
    <w:rsid w:val="003505AA"/>
    <w:rsid w:val="00377584"/>
    <w:rsid w:val="00395826"/>
    <w:rsid w:val="003A5E52"/>
    <w:rsid w:val="003A7481"/>
    <w:rsid w:val="003B47CB"/>
    <w:rsid w:val="003D6DF8"/>
    <w:rsid w:val="003E10C1"/>
    <w:rsid w:val="003E5F31"/>
    <w:rsid w:val="003E61BD"/>
    <w:rsid w:val="00425119"/>
    <w:rsid w:val="00432868"/>
    <w:rsid w:val="00435FC5"/>
    <w:rsid w:val="00452BB0"/>
    <w:rsid w:val="00454819"/>
    <w:rsid w:val="00463E99"/>
    <w:rsid w:val="00477460"/>
    <w:rsid w:val="004779AE"/>
    <w:rsid w:val="00477AF5"/>
    <w:rsid w:val="00483D82"/>
    <w:rsid w:val="00486B56"/>
    <w:rsid w:val="00493E42"/>
    <w:rsid w:val="00494E36"/>
    <w:rsid w:val="004972FF"/>
    <w:rsid w:val="004A451E"/>
    <w:rsid w:val="004A7587"/>
    <w:rsid w:val="004C5747"/>
    <w:rsid w:val="004D45F4"/>
    <w:rsid w:val="004E0232"/>
    <w:rsid w:val="004E2E68"/>
    <w:rsid w:val="004E3E8A"/>
    <w:rsid w:val="004F5374"/>
    <w:rsid w:val="00502168"/>
    <w:rsid w:val="005050AD"/>
    <w:rsid w:val="00515C0E"/>
    <w:rsid w:val="00515F89"/>
    <w:rsid w:val="0052224E"/>
    <w:rsid w:val="00525302"/>
    <w:rsid w:val="0053031D"/>
    <w:rsid w:val="00547051"/>
    <w:rsid w:val="005502B9"/>
    <w:rsid w:val="00550E41"/>
    <w:rsid w:val="0055114E"/>
    <w:rsid w:val="00556648"/>
    <w:rsid w:val="00581E6D"/>
    <w:rsid w:val="00591DCB"/>
    <w:rsid w:val="005A51E8"/>
    <w:rsid w:val="005B1474"/>
    <w:rsid w:val="005B232A"/>
    <w:rsid w:val="005C709F"/>
    <w:rsid w:val="005D34A0"/>
    <w:rsid w:val="005D3801"/>
    <w:rsid w:val="005E2D45"/>
    <w:rsid w:val="005E667A"/>
    <w:rsid w:val="005E7560"/>
    <w:rsid w:val="006032EA"/>
    <w:rsid w:val="00612D61"/>
    <w:rsid w:val="00613618"/>
    <w:rsid w:val="0061702F"/>
    <w:rsid w:val="006218A7"/>
    <w:rsid w:val="00640F5E"/>
    <w:rsid w:val="006535DE"/>
    <w:rsid w:val="0065488E"/>
    <w:rsid w:val="00663540"/>
    <w:rsid w:val="0067182F"/>
    <w:rsid w:val="006829E5"/>
    <w:rsid w:val="00685A6F"/>
    <w:rsid w:val="00693F89"/>
    <w:rsid w:val="00695FE2"/>
    <w:rsid w:val="006A1593"/>
    <w:rsid w:val="006A1C18"/>
    <w:rsid w:val="006A7405"/>
    <w:rsid w:val="006D278A"/>
    <w:rsid w:val="006D3460"/>
    <w:rsid w:val="006D7FC7"/>
    <w:rsid w:val="006E21DC"/>
    <w:rsid w:val="006F0EEB"/>
    <w:rsid w:val="006F1F06"/>
    <w:rsid w:val="00700CE4"/>
    <w:rsid w:val="00702A22"/>
    <w:rsid w:val="00707AA8"/>
    <w:rsid w:val="00716DE5"/>
    <w:rsid w:val="00717646"/>
    <w:rsid w:val="00720AFC"/>
    <w:rsid w:val="00723C8A"/>
    <w:rsid w:val="00736688"/>
    <w:rsid w:val="00744A76"/>
    <w:rsid w:val="00750A66"/>
    <w:rsid w:val="007559DB"/>
    <w:rsid w:val="00757BB9"/>
    <w:rsid w:val="00776034"/>
    <w:rsid w:val="007801BE"/>
    <w:rsid w:val="00785A3E"/>
    <w:rsid w:val="00794554"/>
    <w:rsid w:val="007C034D"/>
    <w:rsid w:val="007C2F63"/>
    <w:rsid w:val="007C406A"/>
    <w:rsid w:val="007C4A8A"/>
    <w:rsid w:val="007E4292"/>
    <w:rsid w:val="007F78BE"/>
    <w:rsid w:val="00806FFC"/>
    <w:rsid w:val="008163ED"/>
    <w:rsid w:val="008356A5"/>
    <w:rsid w:val="008600CF"/>
    <w:rsid w:val="00865006"/>
    <w:rsid w:val="008737EC"/>
    <w:rsid w:val="00877220"/>
    <w:rsid w:val="008957B4"/>
    <w:rsid w:val="008A4373"/>
    <w:rsid w:val="008A79E8"/>
    <w:rsid w:val="008B3729"/>
    <w:rsid w:val="008C1256"/>
    <w:rsid w:val="008C26BC"/>
    <w:rsid w:val="008C350A"/>
    <w:rsid w:val="008C3F02"/>
    <w:rsid w:val="008C4382"/>
    <w:rsid w:val="008C52D2"/>
    <w:rsid w:val="008D0D2F"/>
    <w:rsid w:val="008D3149"/>
    <w:rsid w:val="008D3558"/>
    <w:rsid w:val="008D7587"/>
    <w:rsid w:val="008E33D0"/>
    <w:rsid w:val="00905B86"/>
    <w:rsid w:val="009111AC"/>
    <w:rsid w:val="00914629"/>
    <w:rsid w:val="009152D1"/>
    <w:rsid w:val="00915994"/>
    <w:rsid w:val="00925C8D"/>
    <w:rsid w:val="0093607E"/>
    <w:rsid w:val="009466B7"/>
    <w:rsid w:val="00946755"/>
    <w:rsid w:val="00951910"/>
    <w:rsid w:val="009527FA"/>
    <w:rsid w:val="00953E41"/>
    <w:rsid w:val="009662CC"/>
    <w:rsid w:val="00970BB8"/>
    <w:rsid w:val="00976D3A"/>
    <w:rsid w:val="00980F50"/>
    <w:rsid w:val="00982261"/>
    <w:rsid w:val="009854A4"/>
    <w:rsid w:val="009914F5"/>
    <w:rsid w:val="009A1EAF"/>
    <w:rsid w:val="009C0329"/>
    <w:rsid w:val="009C54F1"/>
    <w:rsid w:val="009D2857"/>
    <w:rsid w:val="009D4FE7"/>
    <w:rsid w:val="009E4A07"/>
    <w:rsid w:val="009F3B96"/>
    <w:rsid w:val="00A007E4"/>
    <w:rsid w:val="00A04FE2"/>
    <w:rsid w:val="00A21FB4"/>
    <w:rsid w:val="00A21FDA"/>
    <w:rsid w:val="00A42390"/>
    <w:rsid w:val="00A437A8"/>
    <w:rsid w:val="00A7356D"/>
    <w:rsid w:val="00AC0640"/>
    <w:rsid w:val="00AC3148"/>
    <w:rsid w:val="00AC59AD"/>
    <w:rsid w:val="00AD7ECC"/>
    <w:rsid w:val="00AF0000"/>
    <w:rsid w:val="00B023A2"/>
    <w:rsid w:val="00B024B7"/>
    <w:rsid w:val="00B06A49"/>
    <w:rsid w:val="00B21280"/>
    <w:rsid w:val="00B26ADB"/>
    <w:rsid w:val="00B34190"/>
    <w:rsid w:val="00B35CBB"/>
    <w:rsid w:val="00B372F8"/>
    <w:rsid w:val="00B42B39"/>
    <w:rsid w:val="00B45357"/>
    <w:rsid w:val="00B71F41"/>
    <w:rsid w:val="00B72624"/>
    <w:rsid w:val="00B77A99"/>
    <w:rsid w:val="00B80E7C"/>
    <w:rsid w:val="00B8462D"/>
    <w:rsid w:val="00B85899"/>
    <w:rsid w:val="00B8622E"/>
    <w:rsid w:val="00BA1E4A"/>
    <w:rsid w:val="00BB344D"/>
    <w:rsid w:val="00BC1CFA"/>
    <w:rsid w:val="00BC6838"/>
    <w:rsid w:val="00BC7048"/>
    <w:rsid w:val="00BD23D7"/>
    <w:rsid w:val="00BE3113"/>
    <w:rsid w:val="00BE3BD0"/>
    <w:rsid w:val="00BF3967"/>
    <w:rsid w:val="00C03416"/>
    <w:rsid w:val="00C07790"/>
    <w:rsid w:val="00C078EB"/>
    <w:rsid w:val="00C10AF8"/>
    <w:rsid w:val="00C1529B"/>
    <w:rsid w:val="00C27887"/>
    <w:rsid w:val="00C32831"/>
    <w:rsid w:val="00C37512"/>
    <w:rsid w:val="00C42776"/>
    <w:rsid w:val="00C54F49"/>
    <w:rsid w:val="00C61421"/>
    <w:rsid w:val="00C626B2"/>
    <w:rsid w:val="00C65400"/>
    <w:rsid w:val="00C65D37"/>
    <w:rsid w:val="00C840F8"/>
    <w:rsid w:val="00C84BF0"/>
    <w:rsid w:val="00C91F3B"/>
    <w:rsid w:val="00C93D2F"/>
    <w:rsid w:val="00CA76D3"/>
    <w:rsid w:val="00CB756F"/>
    <w:rsid w:val="00CC6AB1"/>
    <w:rsid w:val="00CE040E"/>
    <w:rsid w:val="00CE4741"/>
    <w:rsid w:val="00CE7EC7"/>
    <w:rsid w:val="00CF59CD"/>
    <w:rsid w:val="00D04417"/>
    <w:rsid w:val="00D141A4"/>
    <w:rsid w:val="00D37E03"/>
    <w:rsid w:val="00D47709"/>
    <w:rsid w:val="00D477B8"/>
    <w:rsid w:val="00D53673"/>
    <w:rsid w:val="00D6072A"/>
    <w:rsid w:val="00D63C04"/>
    <w:rsid w:val="00D6733A"/>
    <w:rsid w:val="00D74F0C"/>
    <w:rsid w:val="00D75559"/>
    <w:rsid w:val="00D835CC"/>
    <w:rsid w:val="00D94BFA"/>
    <w:rsid w:val="00D94C6C"/>
    <w:rsid w:val="00DA188C"/>
    <w:rsid w:val="00DA2FCA"/>
    <w:rsid w:val="00DA33C7"/>
    <w:rsid w:val="00DA397B"/>
    <w:rsid w:val="00DA505E"/>
    <w:rsid w:val="00DA56F3"/>
    <w:rsid w:val="00DD168F"/>
    <w:rsid w:val="00DE1B3B"/>
    <w:rsid w:val="00DE4DE1"/>
    <w:rsid w:val="00DE5A42"/>
    <w:rsid w:val="00DF303A"/>
    <w:rsid w:val="00DF5A2B"/>
    <w:rsid w:val="00E00CB7"/>
    <w:rsid w:val="00E208BF"/>
    <w:rsid w:val="00E2180C"/>
    <w:rsid w:val="00E240DF"/>
    <w:rsid w:val="00E25BFF"/>
    <w:rsid w:val="00E46F23"/>
    <w:rsid w:val="00E633DA"/>
    <w:rsid w:val="00E63CBC"/>
    <w:rsid w:val="00E775AB"/>
    <w:rsid w:val="00E837AE"/>
    <w:rsid w:val="00E86C05"/>
    <w:rsid w:val="00E91018"/>
    <w:rsid w:val="00E943F0"/>
    <w:rsid w:val="00EA0A07"/>
    <w:rsid w:val="00EB08C7"/>
    <w:rsid w:val="00EB0A27"/>
    <w:rsid w:val="00EB18F7"/>
    <w:rsid w:val="00EB66F9"/>
    <w:rsid w:val="00EC2060"/>
    <w:rsid w:val="00EC5278"/>
    <w:rsid w:val="00EC5A41"/>
    <w:rsid w:val="00ED483F"/>
    <w:rsid w:val="00ED6832"/>
    <w:rsid w:val="00EE4C48"/>
    <w:rsid w:val="00EF1335"/>
    <w:rsid w:val="00EF3584"/>
    <w:rsid w:val="00EF5D13"/>
    <w:rsid w:val="00F04A73"/>
    <w:rsid w:val="00F05168"/>
    <w:rsid w:val="00F13E8E"/>
    <w:rsid w:val="00F14305"/>
    <w:rsid w:val="00F2096C"/>
    <w:rsid w:val="00F248E9"/>
    <w:rsid w:val="00F3327B"/>
    <w:rsid w:val="00F34D1B"/>
    <w:rsid w:val="00F3514F"/>
    <w:rsid w:val="00F52B6E"/>
    <w:rsid w:val="00F72505"/>
    <w:rsid w:val="00F76F1C"/>
    <w:rsid w:val="00F80504"/>
    <w:rsid w:val="00F825B4"/>
    <w:rsid w:val="00FB5A6B"/>
    <w:rsid w:val="00FC33D8"/>
    <w:rsid w:val="00FC4439"/>
    <w:rsid w:val="00FC4E45"/>
    <w:rsid w:val="00FD23CB"/>
    <w:rsid w:val="00FD5BEA"/>
    <w:rsid w:val="00FD6A66"/>
    <w:rsid w:val="00FE1971"/>
    <w:rsid w:val="00FE1E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8F910E"/>
  <w15:docId w15:val="{A2E6F06C-8B6F-4E44-92AD-E6FC03A66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EC7"/>
    <w:pPr>
      <w:spacing w:before="120" w:after="0" w:line="264" w:lineRule="auto"/>
      <w:jc w:val="both"/>
    </w:pPr>
    <w:rPr>
      <w:rFonts w:ascii="Times New Roman" w:eastAsia="Calibri" w:hAnsi="Times New Roman" w:cs="Times New Roman"/>
      <w:lang w:val="fr-BE"/>
    </w:rPr>
  </w:style>
  <w:style w:type="paragraph" w:styleId="Titre1">
    <w:name w:val="heading 1"/>
    <w:basedOn w:val="Normal"/>
    <w:next w:val="Normal"/>
    <w:link w:val="Titre1Car"/>
    <w:uiPriority w:val="9"/>
    <w:qFormat/>
    <w:rsid w:val="00CE7EC7"/>
    <w:pPr>
      <w:keepNext/>
      <w:keepLines/>
      <w:numPr>
        <w:numId w:val="25"/>
      </w:numPr>
      <w:spacing w:before="240" w:after="120"/>
      <w:ind w:left="709"/>
      <w:outlineLvl w:val="0"/>
    </w:pPr>
    <w:rPr>
      <w:rFonts w:ascii="Arial" w:hAnsi="Arial" w:cs="Calibri"/>
      <w:b/>
      <w:sz w:val="24"/>
      <w:szCs w:val="32"/>
    </w:rPr>
  </w:style>
  <w:style w:type="paragraph" w:styleId="Titre2">
    <w:name w:val="heading 2"/>
    <w:basedOn w:val="Normal"/>
    <w:next w:val="Normal"/>
    <w:link w:val="Titre2Car"/>
    <w:uiPriority w:val="9"/>
    <w:unhideWhenUsed/>
    <w:qFormat/>
    <w:rsid w:val="00CE7EC7"/>
    <w:pPr>
      <w:keepNext/>
      <w:keepLines/>
      <w:numPr>
        <w:numId w:val="26"/>
      </w:numPr>
      <w:spacing w:before="480"/>
      <w:ind w:left="1797" w:hanging="357"/>
      <w:contextualSpacing/>
      <w:outlineLvl w:val="1"/>
    </w:pPr>
    <w:rPr>
      <w:rFonts w:ascii="Arial" w:hAnsi="Arial" w:cs="Calibri"/>
      <w:b/>
      <w:szCs w:val="28"/>
    </w:rPr>
  </w:style>
  <w:style w:type="paragraph" w:styleId="Titre3">
    <w:name w:val="heading 3"/>
    <w:basedOn w:val="Paragraphedeliste"/>
    <w:next w:val="Normal"/>
    <w:link w:val="Titre3Car"/>
    <w:uiPriority w:val="9"/>
    <w:unhideWhenUsed/>
    <w:qFormat/>
    <w:rsid w:val="00CE7EC7"/>
    <w:pPr>
      <w:keepNext/>
      <w:keepLines/>
      <w:numPr>
        <w:numId w:val="31"/>
      </w:numPr>
      <w:spacing w:before="360"/>
      <w:ind w:left="2517" w:hanging="357"/>
      <w:outlineLvl w:val="2"/>
    </w:pPr>
    <w:rPr>
      <w:rFonts w:ascii="Arial" w:hAnsi="Arial"/>
      <w: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15994"/>
    <w:pPr>
      <w:ind w:left="720"/>
      <w:contextualSpacing/>
    </w:pPr>
  </w:style>
  <w:style w:type="paragraph" w:styleId="En-tte">
    <w:name w:val="header"/>
    <w:basedOn w:val="Normal"/>
    <w:link w:val="En-tteCar"/>
    <w:uiPriority w:val="99"/>
    <w:unhideWhenUsed/>
    <w:rsid w:val="00EC5A41"/>
    <w:pPr>
      <w:tabs>
        <w:tab w:val="center" w:pos="4536"/>
        <w:tab w:val="right" w:pos="9072"/>
      </w:tabs>
      <w:spacing w:line="240" w:lineRule="auto"/>
    </w:pPr>
  </w:style>
  <w:style w:type="character" w:customStyle="1" w:styleId="En-tteCar">
    <w:name w:val="En-tête Car"/>
    <w:basedOn w:val="Policepardfaut"/>
    <w:link w:val="En-tte"/>
    <w:uiPriority w:val="99"/>
    <w:rsid w:val="00EC5A41"/>
    <w:rPr>
      <w:lang w:val="fr-BE"/>
    </w:rPr>
  </w:style>
  <w:style w:type="paragraph" w:styleId="Pieddepage">
    <w:name w:val="footer"/>
    <w:basedOn w:val="Normal"/>
    <w:link w:val="PieddepageCar"/>
    <w:uiPriority w:val="99"/>
    <w:unhideWhenUsed/>
    <w:rsid w:val="00EC5A41"/>
    <w:pPr>
      <w:tabs>
        <w:tab w:val="center" w:pos="4536"/>
        <w:tab w:val="right" w:pos="9072"/>
      </w:tabs>
      <w:spacing w:line="240" w:lineRule="auto"/>
    </w:pPr>
  </w:style>
  <w:style w:type="character" w:customStyle="1" w:styleId="PieddepageCar">
    <w:name w:val="Pied de page Car"/>
    <w:basedOn w:val="Policepardfaut"/>
    <w:link w:val="Pieddepage"/>
    <w:uiPriority w:val="99"/>
    <w:rsid w:val="00EC5A41"/>
    <w:rPr>
      <w:lang w:val="fr-BE"/>
    </w:rPr>
  </w:style>
  <w:style w:type="paragraph" w:styleId="Textedebulles">
    <w:name w:val="Balloon Text"/>
    <w:basedOn w:val="Normal"/>
    <w:link w:val="TextedebullesCar"/>
    <w:uiPriority w:val="99"/>
    <w:semiHidden/>
    <w:unhideWhenUsed/>
    <w:rsid w:val="0007570E"/>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7570E"/>
    <w:rPr>
      <w:rFonts w:ascii="Segoe UI" w:hAnsi="Segoe UI" w:cs="Segoe UI"/>
      <w:sz w:val="18"/>
      <w:szCs w:val="18"/>
      <w:lang w:val="fr-BE"/>
    </w:rPr>
  </w:style>
  <w:style w:type="character" w:styleId="Lienhypertexte">
    <w:name w:val="Hyperlink"/>
    <w:basedOn w:val="Policepardfaut"/>
    <w:uiPriority w:val="99"/>
    <w:unhideWhenUsed/>
    <w:rsid w:val="00685A6F"/>
    <w:rPr>
      <w:color w:val="0000FF" w:themeColor="hyperlink"/>
      <w:u w:val="single"/>
    </w:rPr>
  </w:style>
  <w:style w:type="character" w:styleId="Marquedecommentaire">
    <w:name w:val="annotation reference"/>
    <w:basedOn w:val="Policepardfaut"/>
    <w:uiPriority w:val="99"/>
    <w:semiHidden/>
    <w:unhideWhenUsed/>
    <w:rsid w:val="00EB18F7"/>
    <w:rPr>
      <w:sz w:val="16"/>
      <w:szCs w:val="16"/>
    </w:rPr>
  </w:style>
  <w:style w:type="paragraph" w:styleId="Commentaire">
    <w:name w:val="annotation text"/>
    <w:basedOn w:val="Normal"/>
    <w:link w:val="CommentaireCar"/>
    <w:uiPriority w:val="99"/>
    <w:semiHidden/>
    <w:unhideWhenUsed/>
    <w:rsid w:val="00EB18F7"/>
    <w:pPr>
      <w:spacing w:line="240" w:lineRule="auto"/>
    </w:pPr>
    <w:rPr>
      <w:sz w:val="20"/>
      <w:szCs w:val="20"/>
    </w:rPr>
  </w:style>
  <w:style w:type="character" w:customStyle="1" w:styleId="CommentaireCar">
    <w:name w:val="Commentaire Car"/>
    <w:basedOn w:val="Policepardfaut"/>
    <w:link w:val="Commentaire"/>
    <w:uiPriority w:val="99"/>
    <w:semiHidden/>
    <w:rsid w:val="00EB18F7"/>
    <w:rPr>
      <w:sz w:val="20"/>
      <w:szCs w:val="20"/>
      <w:lang w:val="fr-BE"/>
    </w:rPr>
  </w:style>
  <w:style w:type="paragraph" w:styleId="Objetducommentaire">
    <w:name w:val="annotation subject"/>
    <w:basedOn w:val="Commentaire"/>
    <w:next w:val="Commentaire"/>
    <w:link w:val="ObjetducommentaireCar"/>
    <w:uiPriority w:val="99"/>
    <w:semiHidden/>
    <w:unhideWhenUsed/>
    <w:rsid w:val="00EB18F7"/>
    <w:rPr>
      <w:b/>
      <w:bCs/>
    </w:rPr>
  </w:style>
  <w:style w:type="character" w:customStyle="1" w:styleId="ObjetducommentaireCar">
    <w:name w:val="Objet du commentaire Car"/>
    <w:basedOn w:val="CommentaireCar"/>
    <w:link w:val="Objetducommentaire"/>
    <w:uiPriority w:val="99"/>
    <w:semiHidden/>
    <w:rsid w:val="00EB18F7"/>
    <w:rPr>
      <w:b/>
      <w:bCs/>
      <w:sz w:val="20"/>
      <w:szCs w:val="20"/>
      <w:lang w:val="fr-BE"/>
    </w:rPr>
  </w:style>
  <w:style w:type="character" w:customStyle="1" w:styleId="Titre1Car">
    <w:name w:val="Titre 1 Car"/>
    <w:basedOn w:val="Policepardfaut"/>
    <w:link w:val="Titre1"/>
    <w:uiPriority w:val="9"/>
    <w:rsid w:val="00CE7EC7"/>
    <w:rPr>
      <w:rFonts w:ascii="Arial" w:eastAsia="Calibri" w:hAnsi="Arial" w:cs="Calibri"/>
      <w:b/>
      <w:sz w:val="24"/>
      <w:szCs w:val="32"/>
      <w:lang w:val="fr-BE"/>
    </w:rPr>
  </w:style>
  <w:style w:type="character" w:customStyle="1" w:styleId="Titre2Car">
    <w:name w:val="Titre 2 Car"/>
    <w:basedOn w:val="Policepardfaut"/>
    <w:link w:val="Titre2"/>
    <w:uiPriority w:val="9"/>
    <w:rsid w:val="00CE7EC7"/>
    <w:rPr>
      <w:rFonts w:ascii="Arial" w:eastAsia="Calibri" w:hAnsi="Arial" w:cs="Calibri"/>
      <w:b/>
      <w:szCs w:val="28"/>
      <w:lang w:val="fr-BE"/>
    </w:rPr>
  </w:style>
  <w:style w:type="character" w:customStyle="1" w:styleId="Titre3Car">
    <w:name w:val="Titre 3 Car"/>
    <w:basedOn w:val="Policepardfaut"/>
    <w:link w:val="Titre3"/>
    <w:uiPriority w:val="9"/>
    <w:rsid w:val="00CE7EC7"/>
    <w:rPr>
      <w:rFonts w:ascii="Arial" w:eastAsia="Calibri" w:hAnsi="Arial" w:cs="Times New Roman"/>
      <w:i/>
      <w:lang w:val="fr-BE"/>
    </w:rPr>
  </w:style>
  <w:style w:type="paragraph" w:styleId="Notedebasdepage">
    <w:name w:val="footnote text"/>
    <w:basedOn w:val="Normal"/>
    <w:link w:val="NotedebasdepageCar"/>
    <w:uiPriority w:val="99"/>
    <w:unhideWhenUsed/>
    <w:rsid w:val="008163ED"/>
    <w:pPr>
      <w:spacing w:before="0" w:line="240" w:lineRule="auto"/>
    </w:pPr>
    <w:rPr>
      <w:sz w:val="17"/>
      <w:szCs w:val="20"/>
    </w:rPr>
  </w:style>
  <w:style w:type="character" w:customStyle="1" w:styleId="NotedebasdepageCar">
    <w:name w:val="Note de bas de page Car"/>
    <w:basedOn w:val="Policepardfaut"/>
    <w:link w:val="Notedebasdepage"/>
    <w:uiPriority w:val="99"/>
    <w:rsid w:val="008163ED"/>
    <w:rPr>
      <w:rFonts w:ascii="Times New Roman" w:eastAsia="Calibri" w:hAnsi="Times New Roman" w:cs="Times New Roman"/>
      <w:sz w:val="17"/>
      <w:szCs w:val="20"/>
      <w:lang w:val="fr-BE"/>
    </w:rPr>
  </w:style>
  <w:style w:type="character" w:styleId="Appelnotedebasdep">
    <w:name w:val="footnote reference"/>
    <w:basedOn w:val="Policepardfaut"/>
    <w:uiPriority w:val="99"/>
    <w:unhideWhenUsed/>
    <w:rsid w:val="00FD5BEA"/>
    <w:rPr>
      <w:vertAlign w:val="superscript"/>
    </w:rPr>
  </w:style>
  <w:style w:type="paragraph" w:styleId="NormalWeb">
    <w:name w:val="Normal (Web)"/>
    <w:basedOn w:val="Normal"/>
    <w:uiPriority w:val="99"/>
    <w:semiHidden/>
    <w:unhideWhenUsed/>
    <w:rsid w:val="008A79E8"/>
    <w:pPr>
      <w:spacing w:before="100" w:beforeAutospacing="1" w:after="100" w:afterAutospacing="1" w:line="240" w:lineRule="auto"/>
      <w:jc w:val="left"/>
    </w:pPr>
    <w:rPr>
      <w:rFonts w:eastAsia="Times New Roman"/>
      <w:szCs w:val="24"/>
      <w:lang w:eastAsia="fr-BE"/>
    </w:rPr>
  </w:style>
  <w:style w:type="paragraph" w:customStyle="1" w:styleId="Citation1">
    <w:name w:val="Citation1"/>
    <w:basedOn w:val="Normal"/>
    <w:next w:val="Normal"/>
    <w:link w:val="QuoteCar"/>
    <w:qFormat/>
    <w:rsid w:val="00A21FB4"/>
    <w:pPr>
      <w:tabs>
        <w:tab w:val="left" w:pos="1635"/>
      </w:tabs>
      <w:spacing w:before="0" w:after="240" w:line="240" w:lineRule="auto"/>
      <w:ind w:left="567"/>
    </w:pPr>
    <w:rPr>
      <w:rFonts w:eastAsiaTheme="minorEastAsia"/>
      <w:sz w:val="21"/>
      <w:szCs w:val="20"/>
    </w:rPr>
  </w:style>
  <w:style w:type="character" w:customStyle="1" w:styleId="QuoteCar">
    <w:name w:val="Quote Car"/>
    <w:basedOn w:val="Policepardfaut"/>
    <w:link w:val="Citation1"/>
    <w:rsid w:val="00A21FB4"/>
    <w:rPr>
      <w:rFonts w:ascii="Cambria" w:eastAsiaTheme="minorEastAsia" w:hAnsi="Cambria" w:cs="Times New Roman"/>
      <w:sz w:val="21"/>
      <w:szCs w:val="20"/>
      <w:lang w:val="fr-BE"/>
    </w:rPr>
  </w:style>
  <w:style w:type="character" w:styleId="Mentionnonrsolue">
    <w:name w:val="Unresolved Mention"/>
    <w:basedOn w:val="Policepardfaut"/>
    <w:uiPriority w:val="99"/>
    <w:semiHidden/>
    <w:unhideWhenUsed/>
    <w:rsid w:val="000236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2632195">
      <w:bodyDiv w:val="1"/>
      <w:marLeft w:val="0"/>
      <w:marRight w:val="0"/>
      <w:marTop w:val="0"/>
      <w:marBottom w:val="0"/>
      <w:divBdr>
        <w:top w:val="none" w:sz="0" w:space="0" w:color="auto"/>
        <w:left w:val="none" w:sz="0" w:space="0" w:color="auto"/>
        <w:bottom w:val="none" w:sz="0" w:space="0" w:color="auto"/>
        <w:right w:val="none" w:sz="0" w:space="0" w:color="auto"/>
      </w:divBdr>
    </w:div>
    <w:div w:id="299267802">
      <w:bodyDiv w:val="1"/>
      <w:marLeft w:val="0"/>
      <w:marRight w:val="0"/>
      <w:marTop w:val="0"/>
      <w:marBottom w:val="0"/>
      <w:divBdr>
        <w:top w:val="none" w:sz="0" w:space="0" w:color="auto"/>
        <w:left w:val="none" w:sz="0" w:space="0" w:color="auto"/>
        <w:bottom w:val="none" w:sz="0" w:space="0" w:color="auto"/>
        <w:right w:val="none" w:sz="0" w:space="0" w:color="auto"/>
      </w:divBdr>
    </w:div>
    <w:div w:id="676931930">
      <w:bodyDiv w:val="1"/>
      <w:marLeft w:val="0"/>
      <w:marRight w:val="0"/>
      <w:marTop w:val="0"/>
      <w:marBottom w:val="0"/>
      <w:divBdr>
        <w:top w:val="none" w:sz="0" w:space="0" w:color="auto"/>
        <w:left w:val="none" w:sz="0" w:space="0" w:color="auto"/>
        <w:bottom w:val="none" w:sz="0" w:space="0" w:color="auto"/>
        <w:right w:val="none" w:sz="0" w:space="0" w:color="auto"/>
      </w:divBdr>
    </w:div>
    <w:div w:id="730152836">
      <w:bodyDiv w:val="1"/>
      <w:marLeft w:val="0"/>
      <w:marRight w:val="0"/>
      <w:marTop w:val="0"/>
      <w:marBottom w:val="0"/>
      <w:divBdr>
        <w:top w:val="none" w:sz="0" w:space="0" w:color="auto"/>
        <w:left w:val="none" w:sz="0" w:space="0" w:color="auto"/>
        <w:bottom w:val="none" w:sz="0" w:space="0" w:color="auto"/>
        <w:right w:val="none" w:sz="0" w:space="0" w:color="auto"/>
      </w:divBdr>
    </w:div>
    <w:div w:id="932322853">
      <w:bodyDiv w:val="1"/>
      <w:marLeft w:val="0"/>
      <w:marRight w:val="0"/>
      <w:marTop w:val="0"/>
      <w:marBottom w:val="0"/>
      <w:divBdr>
        <w:top w:val="none" w:sz="0" w:space="0" w:color="auto"/>
        <w:left w:val="none" w:sz="0" w:space="0" w:color="auto"/>
        <w:bottom w:val="none" w:sz="0" w:space="0" w:color="auto"/>
        <w:right w:val="none" w:sz="0" w:space="0" w:color="auto"/>
      </w:divBdr>
    </w:div>
    <w:div w:id="1188593196">
      <w:bodyDiv w:val="1"/>
      <w:marLeft w:val="0"/>
      <w:marRight w:val="0"/>
      <w:marTop w:val="0"/>
      <w:marBottom w:val="0"/>
      <w:divBdr>
        <w:top w:val="none" w:sz="0" w:space="0" w:color="auto"/>
        <w:left w:val="none" w:sz="0" w:space="0" w:color="auto"/>
        <w:bottom w:val="none" w:sz="0" w:space="0" w:color="auto"/>
        <w:right w:val="none" w:sz="0" w:space="0" w:color="auto"/>
      </w:divBdr>
    </w:div>
    <w:div w:id="1799954833">
      <w:bodyDiv w:val="1"/>
      <w:marLeft w:val="0"/>
      <w:marRight w:val="0"/>
      <w:marTop w:val="0"/>
      <w:marBottom w:val="0"/>
      <w:divBdr>
        <w:top w:val="none" w:sz="0" w:space="0" w:color="auto"/>
        <w:left w:val="none" w:sz="0" w:space="0" w:color="auto"/>
        <w:bottom w:val="none" w:sz="0" w:space="0" w:color="auto"/>
        <w:right w:val="none" w:sz="0" w:space="0" w:color="auto"/>
      </w:divBdr>
    </w:div>
    <w:div w:id="1834763256">
      <w:bodyDiv w:val="1"/>
      <w:marLeft w:val="0"/>
      <w:marRight w:val="0"/>
      <w:marTop w:val="0"/>
      <w:marBottom w:val="0"/>
      <w:divBdr>
        <w:top w:val="none" w:sz="0" w:space="0" w:color="auto"/>
        <w:left w:val="none" w:sz="0" w:space="0" w:color="auto"/>
        <w:bottom w:val="none" w:sz="0" w:space="0" w:color="auto"/>
        <w:right w:val="none" w:sz="0" w:space="0" w:color="auto"/>
      </w:divBdr>
    </w:div>
    <w:div w:id="2046131636">
      <w:bodyDiv w:val="1"/>
      <w:marLeft w:val="0"/>
      <w:marRight w:val="0"/>
      <w:marTop w:val="0"/>
      <w:marBottom w:val="0"/>
      <w:divBdr>
        <w:top w:val="none" w:sz="0" w:space="0" w:color="auto"/>
        <w:left w:val="none" w:sz="0" w:space="0" w:color="auto"/>
        <w:bottom w:val="none" w:sz="0" w:space="0" w:color="auto"/>
        <w:right w:val="none" w:sz="0" w:space="0" w:color="auto"/>
      </w:divBdr>
      <w:divsChild>
        <w:div w:id="1553731461">
          <w:marLeft w:val="1714"/>
          <w:marRight w:val="0"/>
          <w:marTop w:val="120"/>
          <w:marBottom w:val="0"/>
          <w:divBdr>
            <w:top w:val="none" w:sz="0" w:space="0" w:color="auto"/>
            <w:left w:val="none" w:sz="0" w:space="0" w:color="auto"/>
            <w:bottom w:val="none" w:sz="0" w:space="0" w:color="auto"/>
            <w:right w:val="none" w:sz="0" w:space="0" w:color="auto"/>
          </w:divBdr>
        </w:div>
        <w:div w:id="1544561626">
          <w:marLeft w:val="1714"/>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www.unia.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D29E45-E6FB-4AE8-8838-1583484FF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6340</Words>
  <Characters>34870</Characters>
  <Application>Microsoft Office Word</Application>
  <DocSecurity>0</DocSecurity>
  <Lines>290</Lines>
  <Paragraphs>82</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41128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Leopold Vanbellingen</dc:creator>
  <cp:lastModifiedBy>Léopold Vanbellingen</cp:lastModifiedBy>
  <cp:revision>2</cp:revision>
  <cp:lastPrinted>2019-06-11T14:23:00Z</cp:lastPrinted>
  <dcterms:created xsi:type="dcterms:W3CDTF">2020-11-16T09:27:00Z</dcterms:created>
  <dcterms:modified xsi:type="dcterms:W3CDTF">2020-11-16T09:27:00Z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zotero-version="5.0.85"&gt;&lt;session id="4urO2vDG"/&gt;&lt;style id="http://www.zotero.org/styles/universite-de-liege-droit" hasBibliography="1" bibliographyStyleHasBeenSet="0"/&gt;&lt;prefs&gt;&lt;pref name="noteType" value="1"/&gt;&lt;pref name="fieldType" v</vt:lpwstr>
  </property>
  <property fmtid="{D5CDD505-2E9C-101B-9397-08002B2CF9AE}" pid="3" name="ZOTERO_PREF_2">
    <vt:lpwstr>alue="Field"/&gt;&lt;/prefs&gt;&lt;/data&gt;</vt:lpwstr>
  </property>
</Properties>
</file>