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E1E99" w14:textId="77777777" w:rsidR="00D213C9" w:rsidRDefault="009937FC" w:rsidP="00D213C9">
      <w:pPr>
        <w:ind w:left="284" w:hanging="284"/>
        <w:jc w:val="both"/>
      </w:pPr>
      <w:r>
        <w:rPr>
          <w:lang w:val="nl-BE"/>
        </w:rPr>
        <w:t>Lieven B</w:t>
      </w:r>
      <w:r w:rsidRPr="00D213C9">
        <w:rPr>
          <w:smallCaps/>
          <w:lang w:val="nl-BE"/>
        </w:rPr>
        <w:t>oeve</w:t>
      </w:r>
      <w:r>
        <w:rPr>
          <w:lang w:val="nl-BE"/>
        </w:rPr>
        <w:t>, Mathijs L</w:t>
      </w:r>
      <w:r w:rsidRPr="00D213C9">
        <w:rPr>
          <w:smallCaps/>
          <w:lang w:val="nl-BE"/>
        </w:rPr>
        <w:t>amberigts</w:t>
      </w:r>
      <w:r>
        <w:rPr>
          <w:lang w:val="nl-BE"/>
        </w:rPr>
        <w:t>, Terrence M</w:t>
      </w:r>
      <w:r w:rsidRPr="00D213C9">
        <w:rPr>
          <w:smallCaps/>
          <w:lang w:val="nl-BE"/>
        </w:rPr>
        <w:t>errigan</w:t>
      </w:r>
      <w:r>
        <w:rPr>
          <w:lang w:val="nl-BE"/>
        </w:rPr>
        <w:t xml:space="preserve"> (eds.), </w:t>
      </w:r>
      <w:r w:rsidRPr="00993FC4">
        <w:rPr>
          <w:i/>
          <w:lang w:val="nl-BE"/>
        </w:rPr>
        <w:t xml:space="preserve">The </w:t>
      </w:r>
      <w:r w:rsidR="00D213C9" w:rsidRPr="00993FC4">
        <w:rPr>
          <w:i/>
          <w:lang w:val="nl-BE"/>
        </w:rPr>
        <w:t>Normativity of History. Theological Truth and Tradition in the Tension between Church History and Systematic Theology</w:t>
      </w:r>
      <w:r w:rsidR="00D213C9">
        <w:rPr>
          <w:lang w:val="nl-BE"/>
        </w:rPr>
        <w:t xml:space="preserve"> </w:t>
      </w:r>
      <w:r w:rsidR="00D213C9" w:rsidRPr="008A18CB">
        <w:t xml:space="preserve">(Bibliotheca Ephemeridum Theologicarum Lovaniensium, </w:t>
      </w:r>
      <w:r w:rsidR="00D213C9">
        <w:t>282</w:t>
      </w:r>
      <w:r w:rsidR="00D213C9" w:rsidRPr="008A18CB">
        <w:t>). Leuven – Paris – Bristol, CT, Peeters, 20</w:t>
      </w:r>
      <w:r w:rsidR="00D213C9">
        <w:t>16</w:t>
      </w:r>
      <w:r w:rsidR="00D213C9" w:rsidRPr="008A18CB">
        <w:t xml:space="preserve">. (16x24,5), </w:t>
      </w:r>
      <w:r w:rsidR="00D213C9" w:rsidRPr="008A18CB">
        <w:rPr>
          <w:smallCaps/>
        </w:rPr>
        <w:t>i</w:t>
      </w:r>
      <w:r w:rsidR="00D213C9">
        <w:rPr>
          <w:smallCaps/>
        </w:rPr>
        <w:t>x</w:t>
      </w:r>
      <w:r w:rsidR="00D213C9" w:rsidRPr="008A18CB">
        <w:t>-</w:t>
      </w:r>
      <w:r w:rsidR="00D213C9">
        <w:t>273</w:t>
      </w:r>
      <w:r w:rsidR="00D213C9" w:rsidRPr="008A18CB">
        <w:t xml:space="preserve"> p. ISBN 978-90-429-</w:t>
      </w:r>
      <w:r w:rsidR="00D213C9">
        <w:t>3319-4 ; D/2016/0602/48</w:t>
      </w:r>
    </w:p>
    <w:p w14:paraId="0A48BD9C" w14:textId="77777777" w:rsidR="00993FC4" w:rsidRDefault="00993FC4" w:rsidP="00D213C9">
      <w:pPr>
        <w:ind w:left="284" w:hanging="284"/>
        <w:jc w:val="both"/>
      </w:pPr>
    </w:p>
    <w:p w14:paraId="239EBDF9" w14:textId="21DC61FE" w:rsidR="00993FC4" w:rsidRDefault="0018746A" w:rsidP="00993FC4">
      <w:pPr>
        <w:ind w:firstLine="142"/>
        <w:jc w:val="both"/>
      </w:pPr>
      <w:r>
        <w:t xml:space="preserve">Voici un très beau et indispensable sujet de recherche : la normativité de l’histoire </w:t>
      </w:r>
      <w:r w:rsidR="00794DEC">
        <w:t>pour la</w:t>
      </w:r>
      <w:r>
        <w:t xml:space="preserve"> théologie</w:t>
      </w:r>
      <w:r w:rsidR="00EC0863">
        <w:t> ;</w:t>
      </w:r>
      <w:r w:rsidR="004D78BA">
        <w:t xml:space="preserve"> la vérité théologique et la t</w:t>
      </w:r>
      <w:r w:rsidR="00EC0863">
        <w:t>radition ; la tension entre histoire de l’Église et théologie systématique.</w:t>
      </w:r>
      <w:r w:rsidR="005D44D6">
        <w:t xml:space="preserve"> C’est le fruit de trois groupes de recherche</w:t>
      </w:r>
      <w:r w:rsidR="006675F8">
        <w:t xml:space="preserve"> coordonnés</w:t>
      </w:r>
      <w:r w:rsidR="005D44D6">
        <w:t xml:space="preserve"> qui est ici </w:t>
      </w:r>
      <w:r w:rsidR="00E756D0">
        <w:t>publié</w:t>
      </w:r>
      <w:r w:rsidR="005D44D6">
        <w:t>.</w:t>
      </w:r>
      <w:r w:rsidR="004E6259">
        <w:t xml:space="preserve"> Le </w:t>
      </w:r>
      <w:r w:rsidR="002D4AF5">
        <w:t>ca</w:t>
      </w:r>
      <w:r w:rsidR="004E6259">
        <w:t>dre de recherche thématique est unique</w:t>
      </w:r>
      <w:r w:rsidR="00E756D0">
        <w:t> : le passé (l’appel à l’histoire) offre une explication pour le présent comme pour le futur</w:t>
      </w:r>
      <w:r w:rsidR="007523E5">
        <w:t xml:space="preserve"> ; ainsi tradition et histoire se déterminent-elles mutuellement, non sans tension ; </w:t>
      </w:r>
      <w:r w:rsidR="00CA5C80">
        <w:t>en outre, théologiquement parlant, l’histoire</w:t>
      </w:r>
      <w:r w:rsidR="006A090A">
        <w:t xml:space="preserve"> est le lieu où Dieu s’est révélé et se révèle lui-même à l’humanité et au monde</w:t>
      </w:r>
      <w:r w:rsidR="00DF574D">
        <w:t xml:space="preserve"> (autorité d’un passé</w:t>
      </w:r>
      <w:r w:rsidR="0040111D">
        <w:t xml:space="preserve"> [ou tradition]</w:t>
      </w:r>
      <w:r w:rsidR="00DF574D">
        <w:t xml:space="preserve"> éprouvé</w:t>
      </w:r>
      <w:r w:rsidR="0040111D">
        <w:t>[e]</w:t>
      </w:r>
      <w:r w:rsidR="00DF574D">
        <w:t xml:space="preserve"> et expression de l’engagement de Dieu)</w:t>
      </w:r>
      <w:r w:rsidR="00ED768E">
        <w:t xml:space="preserve"> </w:t>
      </w:r>
      <w:r w:rsidR="00333C05">
        <w:t>…</w:t>
      </w:r>
      <w:r w:rsidR="00D7238B">
        <w:t xml:space="preserve"> L’histoire est utilisée comme l’argument ultime pour authentifier l’orth</w:t>
      </w:r>
      <w:r w:rsidR="00BB575D">
        <w:t>o</w:t>
      </w:r>
      <w:r w:rsidR="00D7238B">
        <w:t xml:space="preserve">doxie et </w:t>
      </w:r>
      <w:r w:rsidR="00BB575D">
        <w:t>la validité de la tradition théologique. Inversement, l’histoire est aussi utilisée</w:t>
      </w:r>
      <w:r w:rsidR="00F2171A">
        <w:t xml:space="preserve"> comme la source ultime à partir de laquelle il est possible de critiquer la tradition théologique.</w:t>
      </w:r>
      <w:r w:rsidR="0058548E">
        <w:t xml:space="preserve"> On découvre alors que la </w:t>
      </w:r>
      <w:r w:rsidR="008E2F0A">
        <w:t>t</w:t>
      </w:r>
      <w:r w:rsidR="0058548E">
        <w:t>radition elle-même a une histoire, faite de continuité et de discontinuité</w:t>
      </w:r>
      <w:r w:rsidR="00C62991">
        <w:t xml:space="preserve"> en fonction des contextes nouveaux</w:t>
      </w:r>
      <w:r w:rsidR="0058548E">
        <w:t>.</w:t>
      </w:r>
      <w:r w:rsidR="006C3088">
        <w:t xml:space="preserve"> L’argumentation sur la base du passé implique toujours une certaine interprétation</w:t>
      </w:r>
      <w:r w:rsidR="000F5901">
        <w:t>, dont il faut être critiquement conscient.</w:t>
      </w:r>
    </w:p>
    <w:p w14:paraId="6AEA1D33" w14:textId="41FDAF31" w:rsidR="00B77A91" w:rsidRDefault="00B77A91" w:rsidP="00993FC4">
      <w:pPr>
        <w:ind w:firstLine="142"/>
        <w:jc w:val="both"/>
      </w:pPr>
      <w:r>
        <w:t xml:space="preserve">La question de </w:t>
      </w:r>
      <w:r w:rsidR="002644A3">
        <w:t>l’épistémologie théologique doit donc être posée en permanence</w:t>
      </w:r>
      <w:r w:rsidR="008816C2">
        <w:t> : quelle est celle qui émerge d’un positionnement théologique conscient de la tension</w:t>
      </w:r>
      <w:r w:rsidR="00F44FEF">
        <w:t xml:space="preserve"> découlant du double type d’appel de la théologie à l’histoire ? Comment la tension entre l’histoire de l’Église et la théologie systématique</w:t>
      </w:r>
      <w:r w:rsidR="00BF7716">
        <w:t xml:space="preserve"> quant à l’autorité de l’histoire pourrait-elle être féconde dans la réflexion sur la vérité théologique ?</w:t>
      </w:r>
      <w:r w:rsidR="000910A3">
        <w:t xml:space="preserve"> (C</w:t>
      </w:r>
      <w:r w:rsidR="008A00BB">
        <w:t>f. p. 1-11</w:t>
      </w:r>
      <w:r w:rsidR="00B20AB1">
        <w:t> : Introduction générale des trois éditeurs</w:t>
      </w:r>
      <w:r w:rsidR="008A00BB">
        <w:t>)</w:t>
      </w:r>
    </w:p>
    <w:p w14:paraId="06C3613B" w14:textId="1D25FE4B" w:rsidR="00F3496C" w:rsidRDefault="00FA251A" w:rsidP="00993FC4">
      <w:pPr>
        <w:ind w:firstLine="142"/>
        <w:jc w:val="both"/>
      </w:pPr>
      <w:r>
        <w:t>Avant même les trois parties de l’ouvrage, rassemblant chacune les interventions au sein d</w:t>
      </w:r>
      <w:r w:rsidR="001610FA">
        <w:t>’un</w:t>
      </w:r>
      <w:r w:rsidR="008475DD">
        <w:t xml:space="preserve"> des trois</w:t>
      </w:r>
      <w:r>
        <w:t xml:space="preserve"> groupe</w:t>
      </w:r>
      <w:r w:rsidR="008475DD">
        <w:t>s</w:t>
      </w:r>
      <w:r>
        <w:t xml:space="preserve"> de recherche, nous est proposé </w:t>
      </w:r>
      <w:r w:rsidR="00AC6F7E">
        <w:t xml:space="preserve">en avant-goût </w:t>
      </w:r>
      <w:r w:rsidR="00A9746F">
        <w:t>l’article de Ward De Pril, traitant la problématique à l’époque emblématique du modernisme</w:t>
      </w:r>
      <w:r w:rsidR="00556406">
        <w:t>, entre historicisme et extrinsécisme dogmatique</w:t>
      </w:r>
      <w:r w:rsidR="00A9746F">
        <w:t> : « </w:t>
      </w:r>
      <w:r w:rsidR="00AC6F7E">
        <w:t>Conflicting Truth Claims : The Historical and Theological Approach of the Christian Past at the Time of the Modernist Crisis and Beyond »</w:t>
      </w:r>
      <w:r w:rsidR="008A00BB">
        <w:t xml:space="preserve"> (p. 13-25)</w:t>
      </w:r>
      <w:r w:rsidR="00AC6F7E">
        <w:t>.</w:t>
      </w:r>
    </w:p>
    <w:p w14:paraId="27AAA09C" w14:textId="21E5FACA" w:rsidR="00AC6F7E" w:rsidRDefault="00AC6F7E" w:rsidP="00993FC4">
      <w:pPr>
        <w:ind w:firstLine="142"/>
        <w:jc w:val="both"/>
      </w:pPr>
      <w:r>
        <w:t>Vient alors la première partie de la recherche : « Can Tradition change ? Tradition and its Development »</w:t>
      </w:r>
      <w:r w:rsidR="008A00BB">
        <w:t xml:space="preserve"> (p. </w:t>
      </w:r>
      <w:r w:rsidR="00B20AB1">
        <w:t>29-114)</w:t>
      </w:r>
      <w:r>
        <w:t xml:space="preserve">. </w:t>
      </w:r>
      <w:r w:rsidR="0006353D">
        <w:t xml:space="preserve">On se focalise ici sur la manière dont un appel à la tradition </w:t>
      </w:r>
      <w:r w:rsidR="00170269">
        <w:t>intervient</w:t>
      </w:r>
      <w:r w:rsidR="0006353D">
        <w:t xml:space="preserve"> au sein du développement de la tradition</w:t>
      </w:r>
      <w:r w:rsidR="00170269">
        <w:t>, et on se demande quelle est la normativité de la tradition (et du type de tradition) au sein de l’histoire de l’Église et de la théologie.</w:t>
      </w:r>
      <w:r w:rsidR="00616AA8">
        <w:t xml:space="preserve"> Ce sont les écrits </w:t>
      </w:r>
      <w:r w:rsidR="00D1604A">
        <w:t xml:space="preserve">respectivement </w:t>
      </w:r>
      <w:r w:rsidR="00616AA8">
        <w:t>de Anthony Dupont, Matthew Alan Gamer, Mathijs Lamberigts, « Cyprian in Augustine : From Criticized Predecessor to Uncontested Authority », de Karim Schelkens, « </w:t>
      </w:r>
      <w:r w:rsidR="00D1604A">
        <w:t>Re-I</w:t>
      </w:r>
      <w:r w:rsidR="00616AA8">
        <w:t>nterpreting Historical Dividedness : The Hierarchy of Councils as a Means for Christian Unity »</w:t>
      </w:r>
      <w:r w:rsidR="00D1604A">
        <w:t>, et Lieven Boeve, « Paradigm Change in Theology ? Assessing the 1983 Küng-Tracy Symposium ».</w:t>
      </w:r>
      <w:r w:rsidR="003A6824">
        <w:t xml:space="preserve"> Le développement de la tradition y</w:t>
      </w:r>
      <w:r w:rsidR="00DF53A6">
        <w:t xml:space="preserve"> apparaît comme une recontextualisation permanente.</w:t>
      </w:r>
    </w:p>
    <w:p w14:paraId="0C41F0F5" w14:textId="559944A8" w:rsidR="00993F45" w:rsidRDefault="00993F45" w:rsidP="00993FC4">
      <w:pPr>
        <w:ind w:firstLine="142"/>
        <w:jc w:val="both"/>
      </w:pPr>
      <w:r>
        <w:t>La deuxième orientation de recherche s’intitule : « </w:t>
      </w:r>
      <w:r w:rsidR="004248CB">
        <w:t>Tradition and I</w:t>
      </w:r>
      <w:r>
        <w:t xml:space="preserve">ncarnation : Towards a Theological Epistemology of Tradition-Bound Truth in the Context of Plurality » (p. </w:t>
      </w:r>
      <w:r w:rsidR="004248CB">
        <w:t>117-207).</w:t>
      </w:r>
      <w:r w:rsidR="009E6911">
        <w:t xml:space="preserve"> La recherche sur la normativité</w:t>
      </w:r>
      <w:r w:rsidR="00757586">
        <w:t xml:space="preserve"> de l’histoire et la vérité théologique</w:t>
      </w:r>
      <w:r w:rsidR="00A81115">
        <w:t xml:space="preserve"> est liée aux présuppositions d’épistémologie théologique de celui qui en appelle au passé au sein d’une argumentation historique et/ou théologique</w:t>
      </w:r>
      <w:r w:rsidR="00B96986">
        <w:t>. Ce sont ces présuppositions qui sont ici examinées spécifiquement d’un point de vue de théologie fondamentale.</w:t>
      </w:r>
      <w:r w:rsidR="00157C87">
        <w:t xml:space="preserve"> Les traditions sont toujours particulières et donc les revendications de vérité qui en jaillissent sont marquées par c</w:t>
      </w:r>
      <w:r w:rsidR="006C7A49">
        <w:t>e</w:t>
      </w:r>
      <w:r w:rsidR="00E74A97">
        <w:t xml:space="preserve">tte particularité contextuelle, </w:t>
      </w:r>
      <w:r w:rsidR="006C7A49">
        <w:t>faite de pluralité à l’</w:t>
      </w:r>
      <w:r w:rsidR="00E74A97">
        <w:t>époque contemporaine</w:t>
      </w:r>
      <w:r w:rsidR="006C7A49">
        <w:t>.</w:t>
      </w:r>
      <w:r w:rsidR="002C2E12">
        <w:t xml:space="preserve"> Dans ce contexte </w:t>
      </w:r>
      <w:r w:rsidR="002C2E12">
        <w:lastRenderedPageBreak/>
        <w:t>de pluralité, l’universalité de la vérité</w:t>
      </w:r>
      <w:r w:rsidR="00FA3318">
        <w:t>, spécialement d’une vérité liée à une tradition nécessairement historique,</w:t>
      </w:r>
      <w:r w:rsidR="002C2E12">
        <w:t xml:space="preserve"> est-elle encore possible</w:t>
      </w:r>
      <w:r w:rsidR="00FA3318">
        <w:t> ?</w:t>
      </w:r>
      <w:r w:rsidR="00F85EDD">
        <w:t xml:space="preserve"> Est-il encore possible de communiquer d’une manière qui mène à une plus grande compréhension, voire coopération</w:t>
      </w:r>
      <w:r w:rsidR="008475DD">
        <w:t>,</w:t>
      </w:r>
      <w:r w:rsidR="00F85EDD">
        <w:t xml:space="preserve"> mutuelle ?</w:t>
      </w:r>
      <w:r w:rsidR="00EA5A3B">
        <w:t xml:space="preserve"> C’est dans cette perspective qu’ont été rédigés les « essais » de cette deuxième partie</w:t>
      </w:r>
      <w:r w:rsidR="000829D8">
        <w:t>, respectivement de Colby Dickinson, « The Three Faces of the O/other : Negotiating the Self, the Other and Other Possible Sites of Revelation », de John Friday, « </w:t>
      </w:r>
      <w:r w:rsidR="000829D8" w:rsidRPr="000829D8">
        <w:rPr>
          <w:i/>
        </w:rPr>
        <w:t>Intra Ecclesiam, salus non certa est</w:t>
      </w:r>
      <w:r w:rsidR="000829D8">
        <w:t xml:space="preserve"> : Revisiting </w:t>
      </w:r>
      <w:r w:rsidR="000829D8" w:rsidRPr="000829D8">
        <w:rPr>
          <w:i/>
        </w:rPr>
        <w:t>Extra Ecclesiam nulla salus</w:t>
      </w:r>
      <w:r w:rsidR="000829D8">
        <w:t xml:space="preserve"> », de Ashlee Kirk, « Between </w:t>
      </w:r>
      <w:r w:rsidR="000829D8" w:rsidRPr="00AA3820">
        <w:rPr>
          <w:i/>
        </w:rPr>
        <w:t>Novitas</w:t>
      </w:r>
      <w:r w:rsidR="000829D8">
        <w:t xml:space="preserve"> and </w:t>
      </w:r>
      <w:r w:rsidR="000829D8" w:rsidRPr="00AA3820">
        <w:rPr>
          <w:i/>
        </w:rPr>
        <w:t>Traditio</w:t>
      </w:r>
      <w:r w:rsidR="000829D8">
        <w:t> ? Analyzing Francis Clooney’s Comparati</w:t>
      </w:r>
      <w:r w:rsidR="00AA3820">
        <w:t>ve Theology in Light of Doctrinal Roman Catholic Theology of R</w:t>
      </w:r>
      <w:r w:rsidR="000829D8">
        <w:t>eligions »,</w:t>
      </w:r>
      <w:r w:rsidR="00AA3820">
        <w:t xml:space="preserve"> et Wouter Biesbrouck, « Theological Themes in Gavin D’Costa’s Theology of Religions ».</w:t>
      </w:r>
      <w:r w:rsidR="00EA2DDC">
        <w:t xml:space="preserve"> </w:t>
      </w:r>
      <w:r w:rsidR="00E5604F">
        <w:t xml:space="preserve">Il </w:t>
      </w:r>
      <w:r w:rsidR="00211F8D">
        <w:t>est revendiqué</w:t>
      </w:r>
      <w:r w:rsidR="00E5604F">
        <w:t>, entre autres, que des doctrines relevant spécifiquement de la tradition informent significativement à la fois l’autocompréhension du christianisme et donc l’identité chrétienne, et la compréhension des « autres</w:t>
      </w:r>
      <w:r w:rsidR="00802436">
        <w:t> »</w:t>
      </w:r>
      <w:r w:rsidR="00E5604F">
        <w:t xml:space="preserve"> religieux</w:t>
      </w:r>
      <w:r w:rsidR="00802436">
        <w:t>.</w:t>
      </w:r>
    </w:p>
    <w:p w14:paraId="29E831AD" w14:textId="5F299E86" w:rsidR="00E457C5" w:rsidRDefault="00A749F8" w:rsidP="00E457C5">
      <w:pPr>
        <w:ind w:firstLine="142"/>
        <w:jc w:val="both"/>
      </w:pPr>
      <w:r>
        <w:t>Une troisième ligne de recherche est énoncée comme suit : « Tradition and the Religious ‘Other’</w:t>
      </w:r>
      <w:r w:rsidR="004B2703">
        <w:t xml:space="preserve"> f</w:t>
      </w:r>
      <w:r>
        <w:t>rom ‘Les vertus des païens’ to the ‘Bona moralia et spiritualia’ of Non-Christian Humanity » (p. 212-256)</w:t>
      </w:r>
      <w:r w:rsidR="00DF4EE7">
        <w:t>.</w:t>
      </w:r>
      <w:r w:rsidR="00BD7A33">
        <w:t xml:space="preserve"> Il s’agit </w:t>
      </w:r>
      <w:r w:rsidR="000458B0">
        <w:t xml:space="preserve">d’offrir une réponse historiquement responsable et théologiquement pertinente à la question de savoir si la doctrine actuelle de l’Église à propos des non-chrétiens doit être comprise comme </w:t>
      </w:r>
      <w:r w:rsidR="000458B0" w:rsidRPr="000458B0">
        <w:rPr>
          <w:i/>
        </w:rPr>
        <w:t>novitas</w:t>
      </w:r>
      <w:r w:rsidR="000458B0">
        <w:t xml:space="preserve"> ou développement légitime de la </w:t>
      </w:r>
      <w:r w:rsidR="000458B0" w:rsidRPr="000458B0">
        <w:rPr>
          <w:i/>
        </w:rPr>
        <w:t>traditio</w:t>
      </w:r>
      <w:r w:rsidR="000458B0">
        <w:t>.</w:t>
      </w:r>
      <w:r w:rsidR="00E420A5">
        <w:t xml:space="preserve"> C’est une occasion unique</w:t>
      </w:r>
      <w:r w:rsidR="00DA6EA8">
        <w:t xml:space="preserve"> d</w:t>
      </w:r>
      <w:r w:rsidR="00765F2B">
        <w:t>e faire une recherche</w:t>
      </w:r>
      <w:r w:rsidR="00DA6EA8">
        <w:t xml:space="preserve"> sur la dynamique qui est à l’œuvre entre développement de la tradition et herméneutique de celle-ci.</w:t>
      </w:r>
      <w:r w:rsidR="00BC0DB4">
        <w:t xml:space="preserve"> Vatican II est-il une pierre milliaire dans le développement de la doctrine des religions non chrétiennes ?</w:t>
      </w:r>
      <w:r w:rsidR="00E457C5">
        <w:t xml:space="preserve"> En ce qui concerne l’herméneutique, le changement d’attitude de l’Église vis-à-vis des non-chrétiens devient spécialement net dans les tentatives de quelques éminents théologiens contemporains ; </w:t>
      </w:r>
      <w:r w:rsidR="004B1034">
        <w:t>la quête d’</w:t>
      </w:r>
      <w:r w:rsidR="00E457C5">
        <w:t xml:space="preserve">une nouvelle herméneutique de la tradition elle-même </w:t>
      </w:r>
      <w:r w:rsidR="00852EAB">
        <w:t>a</w:t>
      </w:r>
      <w:r w:rsidR="00E457C5">
        <w:t xml:space="preserve"> ainsi </w:t>
      </w:r>
      <w:r w:rsidR="00852EAB">
        <w:t xml:space="preserve">été </w:t>
      </w:r>
      <w:r w:rsidR="00E457C5">
        <w:t>entreprise.</w:t>
      </w:r>
      <w:r w:rsidR="00CD0B72">
        <w:t xml:space="preserve"> </w:t>
      </w:r>
      <w:r w:rsidR="00224A4A">
        <w:t>Le lien intrinsèque entre discours théologique et contexte particulier a conduit de fait à une réduction</w:t>
      </w:r>
      <w:r w:rsidR="00260373">
        <w:t>, dans la considération théologique,</w:t>
      </w:r>
      <w:r w:rsidR="00D552D9">
        <w:t xml:space="preserve"> de la question de la continuité dans la tradition</w:t>
      </w:r>
      <w:r w:rsidR="00260373">
        <w:t>.</w:t>
      </w:r>
      <w:r w:rsidR="00984533">
        <w:t xml:space="preserve"> </w:t>
      </w:r>
      <w:r w:rsidR="00F33A8B">
        <w:t>Cette recherche complexe a été abordée</w:t>
      </w:r>
      <w:r w:rsidR="00B11BFF">
        <w:t>,</w:t>
      </w:r>
      <w:r w:rsidR="00F33A8B">
        <w:t xml:space="preserve"> d</w:t>
      </w:r>
      <w:r w:rsidR="00FC36FE">
        <w:t>u</w:t>
      </w:r>
      <w:r w:rsidR="00F33A8B">
        <w:t xml:space="preserve"> point de vue</w:t>
      </w:r>
      <w:r w:rsidR="00FC36FE">
        <w:t xml:space="preserve"> d’une réflexion</w:t>
      </w:r>
      <w:r w:rsidR="00F33A8B">
        <w:t xml:space="preserve"> </w:t>
      </w:r>
      <w:r w:rsidR="00FC36FE">
        <w:t xml:space="preserve">intégrée de théologie systématique et </w:t>
      </w:r>
      <w:r w:rsidR="00F33A8B">
        <w:t>d’histoire de l’Église et de la théologie</w:t>
      </w:r>
      <w:r w:rsidR="00B11BFF">
        <w:t>,</w:t>
      </w:r>
      <w:r w:rsidR="00DE6EA0">
        <w:t xml:space="preserve"> dans les deux contributions respectives de Joke Lambelin, « Violence Past ? Catholic Narratives of Muslim-Christian History : A Gender Jihadi Perspective », et John Friday, « Considering the ‘Religious Other’ : Revisiting </w:t>
      </w:r>
      <w:r w:rsidR="00DE6EA0" w:rsidRPr="00DE6EA0">
        <w:rPr>
          <w:i/>
        </w:rPr>
        <w:t>Dominus Iesus</w:t>
      </w:r>
      <w:r w:rsidR="00DE6EA0">
        <w:t xml:space="preserve"> in the Light of Functional Specialization ».</w:t>
      </w:r>
    </w:p>
    <w:p w14:paraId="70A22A9E" w14:textId="709AC054" w:rsidR="002B62B4" w:rsidRDefault="002B62B4" w:rsidP="00E457C5">
      <w:pPr>
        <w:ind w:firstLine="142"/>
        <w:jc w:val="both"/>
      </w:pPr>
      <w:r>
        <w:t>Les réflexions conclusives des trois éditeurs scientifiques et promoteurs de la recherche (Lieven Boeve, Mathijs Lamberigts, Terrence Merrigan</w:t>
      </w:r>
      <w:r w:rsidR="00D57021">
        <w:t>)</w:t>
      </w:r>
      <w:r>
        <w:t xml:space="preserve"> viennent clôturer cette belle réflexion collective</w:t>
      </w:r>
      <w:r w:rsidR="00D57021">
        <w:t xml:space="preserve"> (p. 257-263)</w:t>
      </w:r>
      <w:r>
        <w:t>, avant un épilogue annonçant la suite de la recherche et un utile index onomastique.</w:t>
      </w:r>
      <w:r w:rsidR="00AD4B85">
        <w:t xml:space="preserve"> Ces réflexions conclusives ont le mérite de reprendre </w:t>
      </w:r>
      <w:r w:rsidR="00321BBF">
        <w:t xml:space="preserve">pour elle-même </w:t>
      </w:r>
      <w:r w:rsidR="00AD4B85">
        <w:t>la question redoutable à la base de cette publication : l’histoire peut-elle être considérée ou non comme normative, et si oui, à quelles conditions et dans quelle mesure ?</w:t>
      </w:r>
      <w:r w:rsidR="009B0AA1">
        <w:t xml:space="preserve"> Les </w:t>
      </w:r>
      <w:r w:rsidR="00AF4894">
        <w:t>édi</w:t>
      </w:r>
      <w:r w:rsidR="009B0AA1">
        <w:t>teurs, en repartant de chacune des contributions antérieures, insistent sur le caractère unique de la réponse à la question posée</w:t>
      </w:r>
      <w:r w:rsidR="00464BE7">
        <w:t>,</w:t>
      </w:r>
      <w:r w:rsidR="009B0AA1">
        <w:t xml:space="preserve"> en fonction précisément de la particularité de chaque contexte où elle se pose</w:t>
      </w:r>
      <w:r w:rsidR="00AA5A52">
        <w:t>.</w:t>
      </w:r>
      <w:r w:rsidR="00787D3C">
        <w:t xml:space="preserve"> En ce sens, l’histoire est certainement normative</w:t>
      </w:r>
      <w:r w:rsidR="00DB299B">
        <w:t xml:space="preserve"> pour une part, même si les solutions qu’elle a éprouvées appellent une recontextualisation et </w:t>
      </w:r>
      <w:r w:rsidR="00D55878">
        <w:t>une réinterprétation proprement théologique.</w:t>
      </w:r>
      <w:r w:rsidR="000D104F">
        <w:t xml:space="preserve"> Outre l’historicité intrinsèque de tout discours théologique, il faudrait aussi réfléchir sur la normativité en tan</w:t>
      </w:r>
      <w:r w:rsidR="00635EAA">
        <w:t>t que telle de la</w:t>
      </w:r>
      <w:r w:rsidR="000D104F">
        <w:t xml:space="preserve"> pério</w:t>
      </w:r>
      <w:r w:rsidR="00635EAA">
        <w:t>de fondatrice</w:t>
      </w:r>
      <w:r w:rsidR="000D104F">
        <w:t xml:space="preserve"> du christianisme : je pense bien sûr à l’époque apostolique telle qu’</w:t>
      </w:r>
      <w:r w:rsidR="00CF2968">
        <w:t>elle est reflétée dans le</w:t>
      </w:r>
      <w:r w:rsidR="000D104F">
        <w:t xml:space="preserve"> Nouveau Testament (</w:t>
      </w:r>
      <w:r w:rsidR="004E35C7" w:rsidRPr="004E35C7">
        <w:rPr>
          <w:i/>
        </w:rPr>
        <w:t>Scriptura,</w:t>
      </w:r>
      <w:r w:rsidR="004E35C7">
        <w:t xml:space="preserve"> </w:t>
      </w:r>
      <w:r w:rsidR="000D104F" w:rsidRPr="000D104F">
        <w:rPr>
          <w:i/>
        </w:rPr>
        <w:t>norma normans non normata</w:t>
      </w:r>
      <w:r w:rsidR="000D104F">
        <w:t>), mais aussi aux premiers siècles postapostoliques ou patristiques</w:t>
      </w:r>
      <w:r w:rsidR="00EB01B4">
        <w:t>, d’</w:t>
      </w:r>
      <w:r w:rsidR="004E53A8">
        <w:t>une normativité certes seconde</w:t>
      </w:r>
      <w:r w:rsidR="00EB01B4">
        <w:t xml:space="preserve"> par rapport aux Écritures, </w:t>
      </w:r>
      <w:r w:rsidR="004E53A8">
        <w:t>au</w:t>
      </w:r>
      <w:r w:rsidR="00EB01B4">
        <w:t xml:space="preserve"> sens </w:t>
      </w:r>
      <w:r w:rsidR="004E53A8">
        <w:t xml:space="preserve">où ils sont le moment du </w:t>
      </w:r>
      <w:r w:rsidR="004E53A8" w:rsidRPr="004E53A8">
        <w:rPr>
          <w:i/>
        </w:rPr>
        <w:t>consensus Patrum et conciliorum</w:t>
      </w:r>
      <w:r w:rsidR="004E53A8">
        <w:t xml:space="preserve"> (je pense aux </w:t>
      </w:r>
      <w:r w:rsidR="00832362">
        <w:t xml:space="preserve">grands </w:t>
      </w:r>
      <w:r w:rsidR="004E53A8">
        <w:t>conciles anciens, christologiques et trinitaires), et de la fixation des institutions ecclésiales les plus fondamentales</w:t>
      </w:r>
      <w:r w:rsidR="002B4C0A">
        <w:t xml:space="preserve"> (ministères, liturgies, conciles œcuméniques…). Je pense aussi à la normativité plus largement de la Tradition ecclésiale postapostolique, comme tradition conciliaire et dogmatique, une normativité</w:t>
      </w:r>
      <w:r w:rsidR="002D6BD8">
        <w:t xml:space="preserve"> </w:t>
      </w:r>
      <w:r w:rsidR="00574717">
        <w:t xml:space="preserve">certes </w:t>
      </w:r>
      <w:r w:rsidR="002D6BD8">
        <w:t>à réinterpréter sans cesse par rapport à la Tradition apostolique telle qu’elle est consignée dans l’Écriture</w:t>
      </w:r>
      <w:r w:rsidR="00832362">
        <w:t>,</w:t>
      </w:r>
      <w:r w:rsidR="002D6BD8">
        <w:t xml:space="preserve"> et en dialogue </w:t>
      </w:r>
      <w:r w:rsidR="00574717">
        <w:t xml:space="preserve">critique </w:t>
      </w:r>
      <w:r w:rsidR="00870665">
        <w:t>avec l’histoire de l’Église et avec le monde contemporain dans sa diversité culturelle.</w:t>
      </w:r>
      <w:r w:rsidR="00D73AF6">
        <w:t xml:space="preserve"> </w:t>
      </w:r>
      <w:r w:rsidR="00777271">
        <w:t>Dans un autre sens, l’histoire (</w:t>
      </w:r>
      <w:r w:rsidR="005B4512">
        <w:t>grâce à</w:t>
      </w:r>
      <w:r w:rsidR="00777271">
        <w:t xml:space="preserve"> sa diversité temporelle </w:t>
      </w:r>
      <w:r w:rsidR="005B4512">
        <w:t>et</w:t>
      </w:r>
      <w:r w:rsidR="00777271">
        <w:t xml:space="preserve"> culturelle) peut être normative </w:t>
      </w:r>
      <w:r w:rsidR="006A58AA">
        <w:t xml:space="preserve">aussi </w:t>
      </w:r>
      <w:r w:rsidR="00777271">
        <w:t xml:space="preserve">en ce qu’elle </w:t>
      </w:r>
      <w:r w:rsidR="005B4512">
        <w:t>permet de découvrir</w:t>
      </w:r>
      <w:r w:rsidR="00777271">
        <w:t xml:space="preserve"> de nouvelles facettes </w:t>
      </w:r>
      <w:r w:rsidR="005B4512">
        <w:t xml:space="preserve">et virtualités </w:t>
      </w:r>
      <w:r w:rsidR="00777271">
        <w:t>de la foi chrétienne</w:t>
      </w:r>
      <w:r w:rsidR="005B4512">
        <w:t>, jusque-là peu mises en valeur, voire ignorées.</w:t>
      </w:r>
    </w:p>
    <w:p w14:paraId="71FD4F9F" w14:textId="77777777" w:rsidR="00574717" w:rsidRDefault="00574717" w:rsidP="00E457C5">
      <w:pPr>
        <w:ind w:firstLine="142"/>
        <w:jc w:val="both"/>
      </w:pPr>
    </w:p>
    <w:p w14:paraId="1DE4740C" w14:textId="63EE9257" w:rsidR="00574717" w:rsidRDefault="00ED768E" w:rsidP="00574717">
      <w:pPr>
        <w:ind w:firstLine="142"/>
        <w:jc w:val="right"/>
      </w:pPr>
      <w:r>
        <w:t>J.</w:t>
      </w:r>
      <w:r w:rsidR="00574717">
        <w:t xml:space="preserve"> F</w:t>
      </w:r>
      <w:r w:rsidR="00574717" w:rsidRPr="00574717">
        <w:rPr>
          <w:smallCaps/>
        </w:rPr>
        <w:t>amerée</w:t>
      </w:r>
      <w:r w:rsidR="00EE61A4">
        <w:rPr>
          <w:smallCaps/>
        </w:rPr>
        <w:tab/>
      </w:r>
      <w:bookmarkStart w:id="0" w:name="_GoBack"/>
      <w:bookmarkEnd w:id="0"/>
    </w:p>
    <w:p w14:paraId="41F0D68D" w14:textId="77777777" w:rsidR="00802436" w:rsidRPr="008A18CB" w:rsidRDefault="00802436" w:rsidP="00993FC4">
      <w:pPr>
        <w:ind w:firstLine="142"/>
        <w:jc w:val="both"/>
      </w:pPr>
    </w:p>
    <w:p w14:paraId="1BEACB0E" w14:textId="77777777" w:rsidR="004039B0" w:rsidRPr="009937FC" w:rsidRDefault="00AC19F0" w:rsidP="00D213C9">
      <w:pPr>
        <w:ind w:left="284" w:hanging="284"/>
        <w:rPr>
          <w:lang w:val="nl-BE"/>
        </w:rPr>
      </w:pPr>
    </w:p>
    <w:sectPr w:rsidR="004039B0" w:rsidRPr="009937FC" w:rsidSect="007C3195">
      <w:headerReference w:type="even" r:id="rId6"/>
      <w:headerReference w:type="default" r:id="rId7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B6706" w14:textId="77777777" w:rsidR="00AC19F0" w:rsidRDefault="00AC19F0" w:rsidP="009937FC">
      <w:r>
        <w:separator/>
      </w:r>
    </w:p>
  </w:endnote>
  <w:endnote w:type="continuationSeparator" w:id="0">
    <w:p w14:paraId="6E1157CD" w14:textId="77777777" w:rsidR="00AC19F0" w:rsidRDefault="00AC19F0" w:rsidP="0099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918A2" w14:textId="77777777" w:rsidR="00AC19F0" w:rsidRDefault="00AC19F0" w:rsidP="009937FC">
      <w:r>
        <w:separator/>
      </w:r>
    </w:p>
  </w:footnote>
  <w:footnote w:type="continuationSeparator" w:id="0">
    <w:p w14:paraId="00FFB505" w14:textId="77777777" w:rsidR="00AC19F0" w:rsidRDefault="00AC19F0" w:rsidP="009937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07081" w14:textId="77777777" w:rsidR="007C3195" w:rsidRDefault="007C3195" w:rsidP="00AB67B5">
    <w:pPr>
      <w:pStyle w:val="En-tt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E0D5C09" w14:textId="77777777" w:rsidR="007C3195" w:rsidRDefault="007C3195" w:rsidP="007C3195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75907" w14:textId="77777777" w:rsidR="007C3195" w:rsidRDefault="007C3195" w:rsidP="00AB67B5">
    <w:pPr>
      <w:pStyle w:val="En-tt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E61A4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58A7DDDD" w14:textId="77777777" w:rsidR="007C3195" w:rsidRDefault="007C3195" w:rsidP="007C3195">
    <w:pPr>
      <w:pStyle w:val="En-tt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FC"/>
    <w:rsid w:val="000458B0"/>
    <w:rsid w:val="0006353D"/>
    <w:rsid w:val="000829D8"/>
    <w:rsid w:val="000910A3"/>
    <w:rsid w:val="000A7F85"/>
    <w:rsid w:val="000D104F"/>
    <w:rsid w:val="000F5901"/>
    <w:rsid w:val="00157C87"/>
    <w:rsid w:val="001610FA"/>
    <w:rsid w:val="00170269"/>
    <w:rsid w:val="0018746A"/>
    <w:rsid w:val="001F472F"/>
    <w:rsid w:val="00211F8D"/>
    <w:rsid w:val="00224A4A"/>
    <w:rsid w:val="00260373"/>
    <w:rsid w:val="002644A3"/>
    <w:rsid w:val="002B4C0A"/>
    <w:rsid w:val="002B62B4"/>
    <w:rsid w:val="002C2E12"/>
    <w:rsid w:val="002D4AF5"/>
    <w:rsid w:val="002D6BD8"/>
    <w:rsid w:val="00321BBF"/>
    <w:rsid w:val="00333C05"/>
    <w:rsid w:val="003A6824"/>
    <w:rsid w:val="0040111D"/>
    <w:rsid w:val="004248CB"/>
    <w:rsid w:val="00464BE7"/>
    <w:rsid w:val="00484FAE"/>
    <w:rsid w:val="004B1034"/>
    <w:rsid w:val="004B2703"/>
    <w:rsid w:val="004D78BA"/>
    <w:rsid w:val="004E35C7"/>
    <w:rsid w:val="004E53A8"/>
    <w:rsid w:val="004E6259"/>
    <w:rsid w:val="00556406"/>
    <w:rsid w:val="00574717"/>
    <w:rsid w:val="0058548E"/>
    <w:rsid w:val="005B4512"/>
    <w:rsid w:val="005D44D6"/>
    <w:rsid w:val="00616AA8"/>
    <w:rsid w:val="00635EAA"/>
    <w:rsid w:val="006675F8"/>
    <w:rsid w:val="006A090A"/>
    <w:rsid w:val="006A58AA"/>
    <w:rsid w:val="006C3088"/>
    <w:rsid w:val="006C7A49"/>
    <w:rsid w:val="006D3DB7"/>
    <w:rsid w:val="007523E5"/>
    <w:rsid w:val="00757586"/>
    <w:rsid w:val="00765F2B"/>
    <w:rsid w:val="00777271"/>
    <w:rsid w:val="00787D3C"/>
    <w:rsid w:val="00794DEC"/>
    <w:rsid w:val="007C3195"/>
    <w:rsid w:val="00802436"/>
    <w:rsid w:val="00813E3E"/>
    <w:rsid w:val="00832362"/>
    <w:rsid w:val="008475DD"/>
    <w:rsid w:val="00852EAB"/>
    <w:rsid w:val="00870665"/>
    <w:rsid w:val="008816C2"/>
    <w:rsid w:val="008A00BB"/>
    <w:rsid w:val="008E2F0A"/>
    <w:rsid w:val="009004E6"/>
    <w:rsid w:val="00984533"/>
    <w:rsid w:val="009937FC"/>
    <w:rsid w:val="00993F45"/>
    <w:rsid w:val="00993FC4"/>
    <w:rsid w:val="009B0AA1"/>
    <w:rsid w:val="009C1B0D"/>
    <w:rsid w:val="009C1CBD"/>
    <w:rsid w:val="009E6911"/>
    <w:rsid w:val="00A749F8"/>
    <w:rsid w:val="00A81115"/>
    <w:rsid w:val="00A9746F"/>
    <w:rsid w:val="00AA3820"/>
    <w:rsid w:val="00AA5A52"/>
    <w:rsid w:val="00AC19F0"/>
    <w:rsid w:val="00AC6F7E"/>
    <w:rsid w:val="00AD4B85"/>
    <w:rsid w:val="00AF4894"/>
    <w:rsid w:val="00B11BFF"/>
    <w:rsid w:val="00B20AB1"/>
    <w:rsid w:val="00B77A91"/>
    <w:rsid w:val="00B96986"/>
    <w:rsid w:val="00BB575D"/>
    <w:rsid w:val="00BC0DB4"/>
    <w:rsid w:val="00BD7A33"/>
    <w:rsid w:val="00BF7716"/>
    <w:rsid w:val="00C62991"/>
    <w:rsid w:val="00CA5C80"/>
    <w:rsid w:val="00CD0B72"/>
    <w:rsid w:val="00CF2968"/>
    <w:rsid w:val="00D1604A"/>
    <w:rsid w:val="00D213C9"/>
    <w:rsid w:val="00D552D9"/>
    <w:rsid w:val="00D55878"/>
    <w:rsid w:val="00D57021"/>
    <w:rsid w:val="00D7238B"/>
    <w:rsid w:val="00D73AF6"/>
    <w:rsid w:val="00DA6EA8"/>
    <w:rsid w:val="00DB299B"/>
    <w:rsid w:val="00DE6EA0"/>
    <w:rsid w:val="00DF4EE7"/>
    <w:rsid w:val="00DF53A6"/>
    <w:rsid w:val="00DF574D"/>
    <w:rsid w:val="00E420A5"/>
    <w:rsid w:val="00E457C5"/>
    <w:rsid w:val="00E5604F"/>
    <w:rsid w:val="00E74A97"/>
    <w:rsid w:val="00E756D0"/>
    <w:rsid w:val="00E952E7"/>
    <w:rsid w:val="00EA2DDC"/>
    <w:rsid w:val="00EA5A3B"/>
    <w:rsid w:val="00EB01B4"/>
    <w:rsid w:val="00EC0863"/>
    <w:rsid w:val="00ED768E"/>
    <w:rsid w:val="00EE61A4"/>
    <w:rsid w:val="00F2171A"/>
    <w:rsid w:val="00F33A8B"/>
    <w:rsid w:val="00F3496C"/>
    <w:rsid w:val="00F44FEF"/>
    <w:rsid w:val="00F85EDD"/>
    <w:rsid w:val="00FA251A"/>
    <w:rsid w:val="00FA3318"/>
    <w:rsid w:val="00FC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5A16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13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937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37FC"/>
  </w:style>
  <w:style w:type="paragraph" w:styleId="Pieddepage">
    <w:name w:val="footer"/>
    <w:basedOn w:val="Normal"/>
    <w:link w:val="PieddepageCar"/>
    <w:uiPriority w:val="99"/>
    <w:unhideWhenUsed/>
    <w:rsid w:val="009937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37FC"/>
  </w:style>
  <w:style w:type="character" w:styleId="Numrodepage">
    <w:name w:val="page number"/>
    <w:basedOn w:val="Policepardfaut"/>
    <w:uiPriority w:val="99"/>
    <w:semiHidden/>
    <w:unhideWhenUsed/>
    <w:rsid w:val="007C3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1395</Words>
  <Characters>7675</Characters>
  <Application>Microsoft Macintosh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30</cp:revision>
  <dcterms:created xsi:type="dcterms:W3CDTF">2023-04-03T08:57:00Z</dcterms:created>
  <dcterms:modified xsi:type="dcterms:W3CDTF">2023-04-23T20:46:00Z</dcterms:modified>
</cp:coreProperties>
</file>