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106" w:rsidRPr="00631F8A" w:rsidRDefault="009A1106" w:rsidP="009A1106">
      <w:pPr>
        <w:spacing w:line="360" w:lineRule="auto"/>
        <w:ind w:left="708"/>
        <w:jc w:val="center"/>
        <w:rPr>
          <w:rFonts w:ascii="Times New Roman" w:eastAsia="Arial" w:hAnsi="Times New Roman" w:cs="Times New Roman"/>
          <w:color w:val="000000" w:themeColor="text1"/>
          <w:sz w:val="24"/>
          <w:szCs w:val="24"/>
          <w:lang w:val="fr-FR"/>
        </w:rPr>
      </w:pPr>
      <w:r w:rsidRPr="00631F8A">
        <w:rPr>
          <w:rFonts w:ascii="Times New Roman" w:hAnsi="Times New Roman" w:cs="Times New Roman"/>
          <w:smallCaps/>
          <w:color w:val="000000" w:themeColor="text1"/>
          <w:lang w:val="fr-FR"/>
        </w:rPr>
        <w:tab/>
      </w:r>
    </w:p>
    <w:p w:rsidR="009A1106" w:rsidRPr="00631F8A" w:rsidRDefault="009A1106" w:rsidP="009A1106">
      <w:pPr>
        <w:spacing w:line="360" w:lineRule="auto"/>
        <w:ind w:left="100"/>
        <w:jc w:val="center"/>
        <w:rPr>
          <w:rFonts w:ascii="Times New Roman" w:eastAsia="Arial" w:hAnsi="Times New Roman" w:cs="Times New Roman"/>
          <w:color w:val="000000" w:themeColor="text1"/>
          <w:sz w:val="24"/>
          <w:szCs w:val="24"/>
          <w:lang w:val="fr-FR"/>
        </w:rPr>
      </w:pPr>
      <w:r w:rsidRPr="00631F8A">
        <w:rPr>
          <w:rFonts w:ascii="Times New Roman" w:eastAsia="Arial" w:hAnsi="Times New Roman" w:cs="Times New Roman"/>
          <w:noProof/>
          <w:color w:val="000000" w:themeColor="text1"/>
          <w:sz w:val="24"/>
          <w:szCs w:val="24"/>
          <w:lang w:val="fr-FR"/>
        </w:rPr>
        <w:drawing>
          <wp:inline distT="0" distB="0" distL="0" distR="0" wp14:anchorId="4C9B5165" wp14:editId="7D8E5D77">
            <wp:extent cx="2833100" cy="1252855"/>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 of europe.png"/>
                    <pic:cNvPicPr/>
                  </pic:nvPicPr>
                  <pic:blipFill>
                    <a:blip r:embed="rId8">
                      <a:extLst>
                        <a:ext uri="{28A0092B-C50C-407E-A947-70E740481C1C}">
                          <a14:useLocalDpi xmlns:a14="http://schemas.microsoft.com/office/drawing/2010/main" val="0"/>
                        </a:ext>
                      </a:extLst>
                    </a:blip>
                    <a:stretch>
                      <a:fillRect/>
                    </a:stretch>
                  </pic:blipFill>
                  <pic:spPr>
                    <a:xfrm>
                      <a:off x="0" y="0"/>
                      <a:ext cx="2858960" cy="1264291"/>
                    </a:xfrm>
                    <a:prstGeom prst="rect">
                      <a:avLst/>
                    </a:prstGeom>
                  </pic:spPr>
                </pic:pic>
              </a:graphicData>
            </a:graphic>
          </wp:inline>
        </w:drawing>
      </w:r>
    </w:p>
    <w:p w:rsidR="009A1106" w:rsidRPr="00631F8A" w:rsidRDefault="009A1106" w:rsidP="009A1106">
      <w:pPr>
        <w:spacing w:line="276" w:lineRule="auto"/>
        <w:ind w:left="100"/>
        <w:jc w:val="center"/>
        <w:rPr>
          <w:rFonts w:ascii="Times New Roman" w:eastAsia="Arial" w:hAnsi="Times New Roman" w:cs="Times New Roman"/>
          <w:smallCaps/>
          <w:color w:val="000000" w:themeColor="text1"/>
          <w:sz w:val="24"/>
          <w:szCs w:val="24"/>
          <w:lang w:val="fr-FR"/>
        </w:rPr>
      </w:pPr>
      <w:r w:rsidRPr="00631F8A">
        <w:rPr>
          <w:rFonts w:ascii="Times New Roman" w:eastAsia="Arial" w:hAnsi="Times New Roman" w:cs="Times New Roman"/>
          <w:smallCaps/>
          <w:color w:val="000000" w:themeColor="text1"/>
          <w:sz w:val="24"/>
          <w:szCs w:val="24"/>
          <w:lang w:val="fr-FR"/>
        </w:rPr>
        <w:t>Collège d’Europe</w:t>
      </w:r>
    </w:p>
    <w:p w:rsidR="009A1106" w:rsidRPr="00631F8A" w:rsidRDefault="009A1106" w:rsidP="009A1106">
      <w:pPr>
        <w:spacing w:line="276" w:lineRule="auto"/>
        <w:ind w:left="100"/>
        <w:jc w:val="center"/>
        <w:rPr>
          <w:rFonts w:ascii="Times New Roman" w:eastAsia="Arial" w:hAnsi="Times New Roman" w:cs="Times New Roman"/>
          <w:smallCaps/>
          <w:color w:val="000000" w:themeColor="text1"/>
          <w:sz w:val="24"/>
          <w:szCs w:val="24"/>
          <w:lang w:val="fr-FR"/>
        </w:rPr>
      </w:pPr>
      <w:r w:rsidRPr="00631F8A">
        <w:rPr>
          <w:rFonts w:ascii="Times New Roman" w:eastAsia="Arial" w:hAnsi="Times New Roman" w:cs="Times New Roman"/>
          <w:smallCaps/>
          <w:color w:val="000000" w:themeColor="text1"/>
          <w:sz w:val="24"/>
          <w:szCs w:val="24"/>
          <w:lang w:val="fr-FR"/>
        </w:rPr>
        <w:t>Campus de Bruges</w:t>
      </w:r>
    </w:p>
    <w:p w:rsidR="009A1106" w:rsidRPr="00631F8A" w:rsidRDefault="009A1106" w:rsidP="009A1106">
      <w:pPr>
        <w:spacing w:line="276" w:lineRule="auto"/>
        <w:ind w:left="100"/>
        <w:jc w:val="center"/>
        <w:rPr>
          <w:rFonts w:ascii="Times New Roman" w:eastAsia="Arial" w:hAnsi="Times New Roman" w:cs="Times New Roman"/>
          <w:smallCaps/>
          <w:color w:val="000000" w:themeColor="text1"/>
          <w:sz w:val="24"/>
          <w:szCs w:val="24"/>
          <w:lang w:val="fr-FR"/>
        </w:rPr>
      </w:pPr>
      <w:r w:rsidRPr="00631F8A">
        <w:rPr>
          <w:rFonts w:ascii="Times New Roman" w:eastAsia="Arial" w:hAnsi="Times New Roman" w:cs="Times New Roman"/>
          <w:smallCaps/>
          <w:color w:val="000000" w:themeColor="text1"/>
          <w:sz w:val="24"/>
          <w:szCs w:val="24"/>
          <w:lang w:val="fr-FR"/>
        </w:rPr>
        <w:t>Département d’études juridiques européennes</w:t>
      </w:r>
    </w:p>
    <w:p w:rsidR="009A1106" w:rsidRPr="00631F8A" w:rsidRDefault="009A1106" w:rsidP="009A1106">
      <w:pPr>
        <w:spacing w:line="360" w:lineRule="auto"/>
        <w:rPr>
          <w:rFonts w:ascii="Times New Roman" w:eastAsia="Times New Roman" w:hAnsi="Times New Roman" w:cs="Times New Roman"/>
          <w:color w:val="000000" w:themeColor="text1"/>
          <w:sz w:val="24"/>
          <w:szCs w:val="24"/>
          <w:lang w:val="fr-FR"/>
        </w:rPr>
      </w:pPr>
    </w:p>
    <w:p w:rsidR="009A1106" w:rsidRPr="00631F8A" w:rsidRDefault="009A1106" w:rsidP="009A1106">
      <w:pPr>
        <w:spacing w:line="360" w:lineRule="auto"/>
        <w:rPr>
          <w:rFonts w:ascii="Times New Roman" w:eastAsia="Times New Roman" w:hAnsi="Times New Roman" w:cs="Times New Roman"/>
          <w:color w:val="000000" w:themeColor="text1"/>
          <w:sz w:val="24"/>
          <w:szCs w:val="24"/>
          <w:lang w:val="fr-FR"/>
        </w:rPr>
      </w:pPr>
    </w:p>
    <w:p w:rsidR="009A1106" w:rsidRPr="00631F8A" w:rsidRDefault="009A1106" w:rsidP="009A1106">
      <w:pPr>
        <w:spacing w:line="360" w:lineRule="auto"/>
        <w:rPr>
          <w:rFonts w:ascii="Times New Roman" w:eastAsia="Times New Roman" w:hAnsi="Times New Roman" w:cs="Times New Roman"/>
          <w:color w:val="000000" w:themeColor="text1"/>
          <w:sz w:val="24"/>
          <w:szCs w:val="24"/>
          <w:lang w:val="fr-FR"/>
        </w:rPr>
      </w:pPr>
    </w:p>
    <w:p w:rsidR="009A1106" w:rsidRPr="00631F8A" w:rsidRDefault="009A1106" w:rsidP="009A1106">
      <w:pPr>
        <w:spacing w:line="360" w:lineRule="auto"/>
        <w:rPr>
          <w:rFonts w:ascii="Times New Roman" w:eastAsia="Times New Roman" w:hAnsi="Times New Roman" w:cs="Times New Roman"/>
          <w:color w:val="000000" w:themeColor="text1"/>
          <w:sz w:val="24"/>
          <w:szCs w:val="24"/>
          <w:lang w:val="fr-FR"/>
        </w:rPr>
      </w:pPr>
    </w:p>
    <w:p w:rsidR="009A1106" w:rsidRPr="00631F8A" w:rsidRDefault="009A1106" w:rsidP="009A1106">
      <w:pPr>
        <w:spacing w:line="360" w:lineRule="auto"/>
        <w:jc w:val="center"/>
        <w:rPr>
          <w:rFonts w:ascii="Times New Roman" w:eastAsia="Times New Roman" w:hAnsi="Times New Roman" w:cs="Times New Roman"/>
          <w:b/>
          <w:color w:val="000000" w:themeColor="text1"/>
          <w:sz w:val="32"/>
          <w:szCs w:val="32"/>
          <w:lang w:val="fr-FR"/>
        </w:rPr>
      </w:pPr>
      <w:r w:rsidRPr="00631F8A">
        <w:rPr>
          <w:rFonts w:ascii="Times New Roman" w:eastAsia="Times New Roman" w:hAnsi="Times New Roman" w:cs="Times New Roman"/>
          <w:b/>
          <w:color w:val="000000" w:themeColor="text1"/>
          <w:sz w:val="32"/>
          <w:szCs w:val="32"/>
          <w:lang w:val="fr-FR"/>
        </w:rPr>
        <w:t xml:space="preserve">L’âge du feu : réflexions relatives à l’avènement d’un pouvoir d’initiative législative direct du Parlement européen </w:t>
      </w:r>
    </w:p>
    <w:p w:rsidR="009A1106" w:rsidRPr="009A1106" w:rsidRDefault="009A1106" w:rsidP="009A1106">
      <w:pPr>
        <w:spacing w:line="360" w:lineRule="auto"/>
        <w:jc w:val="center"/>
        <w:rPr>
          <w:rFonts w:ascii="Times New Roman" w:eastAsia="Times New Roman" w:hAnsi="Times New Roman" w:cs="Times New Roman"/>
          <w:i/>
          <w:color w:val="000000" w:themeColor="text1"/>
          <w:sz w:val="28"/>
          <w:szCs w:val="28"/>
          <w:lang w:val="en-US"/>
        </w:rPr>
      </w:pPr>
      <w:r w:rsidRPr="009A1106">
        <w:rPr>
          <w:rFonts w:ascii="Times New Roman" w:eastAsia="Times New Roman" w:hAnsi="Times New Roman" w:cs="Times New Roman"/>
          <w:i/>
          <w:color w:val="000000" w:themeColor="text1"/>
          <w:sz w:val="28"/>
          <w:szCs w:val="28"/>
          <w:lang w:val="en-US"/>
        </w:rPr>
        <w:t>Research Papers in Law</w:t>
      </w:r>
    </w:p>
    <w:p w:rsidR="009A1106" w:rsidRPr="009A1106" w:rsidRDefault="009A1106" w:rsidP="009A1106">
      <w:pPr>
        <w:spacing w:line="360" w:lineRule="auto"/>
        <w:rPr>
          <w:rFonts w:ascii="Times New Roman" w:eastAsia="Times New Roman" w:hAnsi="Times New Roman" w:cs="Times New Roman"/>
          <w:color w:val="000000" w:themeColor="text1"/>
          <w:sz w:val="24"/>
          <w:szCs w:val="24"/>
          <w:lang w:val="en-US"/>
        </w:rPr>
      </w:pPr>
    </w:p>
    <w:p w:rsidR="009A1106" w:rsidRPr="009A1106" w:rsidRDefault="009A1106" w:rsidP="009A1106">
      <w:pPr>
        <w:spacing w:line="360" w:lineRule="auto"/>
        <w:rPr>
          <w:rFonts w:ascii="Times New Roman" w:eastAsia="Times New Roman" w:hAnsi="Times New Roman" w:cs="Times New Roman"/>
          <w:color w:val="000000" w:themeColor="text1"/>
          <w:sz w:val="24"/>
          <w:szCs w:val="24"/>
          <w:lang w:val="en-US"/>
        </w:rPr>
      </w:pPr>
    </w:p>
    <w:p w:rsidR="009A1106" w:rsidRPr="009A1106" w:rsidRDefault="009A1106" w:rsidP="009A1106">
      <w:pPr>
        <w:spacing w:line="360" w:lineRule="auto"/>
        <w:rPr>
          <w:rFonts w:ascii="Times New Roman" w:eastAsia="Times New Roman" w:hAnsi="Times New Roman" w:cs="Times New Roman"/>
          <w:color w:val="000000" w:themeColor="text1"/>
          <w:sz w:val="24"/>
          <w:szCs w:val="24"/>
          <w:lang w:val="en-US"/>
        </w:rPr>
      </w:pPr>
    </w:p>
    <w:p w:rsidR="009A1106" w:rsidRPr="009A1106" w:rsidRDefault="009A1106" w:rsidP="009A1106">
      <w:pPr>
        <w:spacing w:line="360" w:lineRule="auto"/>
        <w:rPr>
          <w:rFonts w:ascii="Times New Roman" w:eastAsia="Times New Roman" w:hAnsi="Times New Roman" w:cs="Times New Roman"/>
          <w:color w:val="000000" w:themeColor="text1"/>
          <w:sz w:val="24"/>
          <w:szCs w:val="24"/>
          <w:lang w:val="en-US"/>
        </w:rPr>
      </w:pPr>
    </w:p>
    <w:p w:rsidR="009A1106" w:rsidRPr="009A1106" w:rsidRDefault="009A1106" w:rsidP="009A1106">
      <w:pPr>
        <w:spacing w:line="360" w:lineRule="auto"/>
        <w:rPr>
          <w:rFonts w:ascii="Times New Roman" w:eastAsia="Times New Roman" w:hAnsi="Times New Roman" w:cs="Times New Roman"/>
          <w:color w:val="000000" w:themeColor="text1"/>
          <w:sz w:val="24"/>
          <w:szCs w:val="24"/>
          <w:lang w:val="en-US"/>
        </w:rPr>
      </w:pPr>
    </w:p>
    <w:p w:rsidR="009A1106" w:rsidRPr="00540659" w:rsidRDefault="009A1106" w:rsidP="009A1106">
      <w:pPr>
        <w:tabs>
          <w:tab w:val="left" w:pos="4600"/>
        </w:tabs>
        <w:spacing w:line="240" w:lineRule="auto"/>
        <w:rPr>
          <w:rFonts w:ascii="Times New Roman" w:eastAsia="Times New Roman" w:hAnsi="Times New Roman" w:cs="Times New Roman"/>
          <w:color w:val="000000" w:themeColor="text1"/>
          <w:sz w:val="24"/>
          <w:szCs w:val="24"/>
          <w:lang w:val="en-US"/>
        </w:rPr>
      </w:pPr>
      <w:r w:rsidRPr="009A1106">
        <w:rPr>
          <w:rFonts w:ascii="Times New Roman" w:eastAsia="Times New Roman" w:hAnsi="Times New Roman" w:cs="Times New Roman"/>
          <w:color w:val="000000" w:themeColor="text1"/>
          <w:sz w:val="24"/>
          <w:szCs w:val="24"/>
          <w:lang w:val="en-US"/>
        </w:rPr>
        <w:tab/>
      </w:r>
      <w:r w:rsidRPr="009A1106">
        <w:rPr>
          <w:rFonts w:ascii="Times New Roman" w:eastAsia="Times New Roman" w:hAnsi="Times New Roman" w:cs="Times New Roman"/>
          <w:color w:val="000000" w:themeColor="text1"/>
          <w:sz w:val="24"/>
          <w:szCs w:val="24"/>
          <w:lang w:val="en-US"/>
        </w:rPr>
        <w:tab/>
        <w:t xml:space="preserve">                                 </w:t>
      </w:r>
    </w:p>
    <w:p w:rsidR="009A1106" w:rsidRDefault="009A1106" w:rsidP="00540659">
      <w:pPr>
        <w:spacing w:line="240" w:lineRule="auto"/>
        <w:ind w:left="4536" w:hanging="2409"/>
        <w:jc w:val="right"/>
        <w:rPr>
          <w:rFonts w:ascii="Times New Roman" w:eastAsia="Arial" w:hAnsi="Times New Roman" w:cs="Times New Roman"/>
          <w:b/>
          <w:color w:val="000000" w:themeColor="text1"/>
          <w:sz w:val="24"/>
          <w:szCs w:val="24"/>
          <w:lang w:val="en-US"/>
        </w:rPr>
      </w:pPr>
      <w:r w:rsidRPr="009A1106">
        <w:rPr>
          <w:rFonts w:ascii="Times New Roman" w:eastAsia="Arial" w:hAnsi="Times New Roman" w:cs="Times New Roman"/>
          <w:b/>
          <w:color w:val="000000" w:themeColor="text1"/>
          <w:sz w:val="24"/>
          <w:szCs w:val="24"/>
          <w:lang w:val="en-US"/>
        </w:rPr>
        <w:t xml:space="preserve">Victor </w:t>
      </w:r>
      <w:r w:rsidRPr="00682BB8">
        <w:rPr>
          <w:rFonts w:ascii="Times New Roman" w:eastAsia="Arial" w:hAnsi="Times New Roman" w:cs="Times New Roman"/>
          <w:b/>
          <w:smallCaps/>
          <w:color w:val="000000" w:themeColor="text1"/>
          <w:sz w:val="24"/>
          <w:szCs w:val="24"/>
          <w:lang w:val="en-US"/>
        </w:rPr>
        <w:t>Davio</w:t>
      </w:r>
      <w:r w:rsidRPr="009A1106">
        <w:rPr>
          <w:rFonts w:ascii="Times New Roman" w:eastAsia="Arial" w:hAnsi="Times New Roman" w:cs="Times New Roman"/>
          <w:b/>
          <w:color w:val="000000" w:themeColor="text1"/>
          <w:sz w:val="24"/>
          <w:szCs w:val="24"/>
          <w:lang w:val="en-US"/>
        </w:rPr>
        <w:t xml:space="preserve"> </w:t>
      </w:r>
    </w:p>
    <w:p w:rsidR="00540659" w:rsidRPr="00540659" w:rsidRDefault="00540659" w:rsidP="00540659">
      <w:pPr>
        <w:spacing w:line="240" w:lineRule="auto"/>
        <w:ind w:left="4536" w:hanging="2409"/>
        <w:jc w:val="right"/>
        <w:rPr>
          <w:rFonts w:ascii="Times New Roman" w:eastAsia="Arial" w:hAnsi="Times New Roman" w:cs="Times New Roman"/>
          <w:color w:val="000000" w:themeColor="text1"/>
          <w:sz w:val="24"/>
          <w:szCs w:val="24"/>
          <w:lang w:val="fr-BE"/>
        </w:rPr>
      </w:pPr>
      <w:r w:rsidRPr="00540659">
        <w:rPr>
          <w:rFonts w:ascii="Times New Roman" w:eastAsia="Arial" w:hAnsi="Times New Roman" w:cs="Times New Roman"/>
          <w:color w:val="000000" w:themeColor="text1"/>
          <w:sz w:val="24"/>
          <w:szCs w:val="24"/>
          <w:lang w:val="fr-BE"/>
        </w:rPr>
        <w:t>Diplômé du Collège d’Europe, Bruges 2018-2019</w:t>
      </w:r>
    </w:p>
    <w:p w:rsidR="009A1106" w:rsidRDefault="00540659" w:rsidP="00A568CE">
      <w:pPr>
        <w:spacing w:line="240" w:lineRule="auto"/>
        <w:ind w:left="4536" w:hanging="2409"/>
        <w:jc w:val="right"/>
        <w:rPr>
          <w:rFonts w:ascii="Times New Roman" w:eastAsia="Arial" w:hAnsi="Times New Roman" w:cs="Times New Roman"/>
          <w:color w:val="000000" w:themeColor="text1"/>
          <w:sz w:val="24"/>
          <w:szCs w:val="24"/>
          <w:lang w:val="fr-BE"/>
        </w:rPr>
      </w:pPr>
      <w:r w:rsidRPr="00540659">
        <w:rPr>
          <w:rFonts w:ascii="Times New Roman" w:eastAsia="Arial" w:hAnsi="Times New Roman" w:cs="Times New Roman"/>
          <w:color w:val="000000" w:themeColor="text1"/>
          <w:sz w:val="24"/>
          <w:szCs w:val="24"/>
          <w:lang w:val="fr-BE"/>
        </w:rPr>
        <w:t>Assistant en droit constitutionnel à l’Université Saint-Louis Bruxelle</w:t>
      </w:r>
      <w:r w:rsidR="00A568CE">
        <w:rPr>
          <w:rFonts w:ascii="Times New Roman" w:eastAsia="Arial" w:hAnsi="Times New Roman" w:cs="Times New Roman"/>
          <w:color w:val="000000" w:themeColor="text1"/>
          <w:sz w:val="24"/>
          <w:szCs w:val="24"/>
          <w:lang w:val="fr-BE"/>
        </w:rPr>
        <w:t>s</w:t>
      </w:r>
    </w:p>
    <w:p w:rsidR="00A568CE" w:rsidRPr="00A568CE" w:rsidRDefault="00A568CE" w:rsidP="00A568CE">
      <w:pPr>
        <w:spacing w:line="240" w:lineRule="auto"/>
        <w:ind w:left="4536" w:hanging="2409"/>
        <w:jc w:val="right"/>
        <w:rPr>
          <w:rFonts w:ascii="Times New Roman" w:eastAsia="Arial" w:hAnsi="Times New Roman" w:cs="Times New Roman"/>
          <w:color w:val="000000" w:themeColor="text1"/>
          <w:sz w:val="24"/>
          <w:szCs w:val="24"/>
          <w:lang w:val="fr-BE"/>
        </w:rPr>
        <w:sectPr w:rsidR="00A568CE" w:rsidRPr="00A568CE" w:rsidSect="009A1106">
          <w:headerReference w:type="even" r:id="rId9"/>
          <w:footerReference w:type="even" r:id="rId10"/>
          <w:pgSz w:w="11900" w:h="16840"/>
          <w:pgMar w:top="1418" w:right="1134" w:bottom="1418" w:left="1701" w:header="708" w:footer="708" w:gutter="0"/>
          <w:cols w:space="708"/>
          <w:docGrid w:linePitch="360"/>
        </w:sectPr>
      </w:pPr>
    </w:p>
    <w:p w:rsidR="009A1106" w:rsidRDefault="009A1106" w:rsidP="009A1106">
      <w:pPr>
        <w:pStyle w:val="Titre1"/>
        <w:spacing w:before="120" w:after="120" w:line="360" w:lineRule="auto"/>
        <w:jc w:val="both"/>
        <w:rPr>
          <w:rFonts w:ascii="Times New Roman" w:hAnsi="Times New Roman" w:cs="Times New Roman"/>
          <w:b/>
          <w:smallCaps/>
          <w:color w:val="000000" w:themeColor="text1"/>
          <w:sz w:val="24"/>
          <w:szCs w:val="24"/>
          <w:lang w:val="fr-FR"/>
        </w:rPr>
        <w:sectPr w:rsidR="009A1106" w:rsidSect="009A1106">
          <w:headerReference w:type="default" r:id="rId11"/>
          <w:pgSz w:w="11900" w:h="16840"/>
          <w:pgMar w:top="1418" w:right="1418" w:bottom="1418" w:left="1701" w:header="709" w:footer="709" w:gutter="0"/>
          <w:pgNumType w:start="1"/>
          <w:cols w:space="708"/>
          <w:docGrid w:linePitch="360"/>
        </w:sectPr>
      </w:pPr>
      <w:bookmarkStart w:id="0" w:name="_Toc7535834"/>
    </w:p>
    <w:p w:rsidR="00151706" w:rsidRDefault="009A1106" w:rsidP="00151706">
      <w:pPr>
        <w:pStyle w:val="Titre1"/>
        <w:spacing w:before="120" w:after="120" w:line="360" w:lineRule="auto"/>
        <w:jc w:val="both"/>
        <w:rPr>
          <w:rFonts w:ascii="Times New Roman" w:hAnsi="Times New Roman" w:cs="Times New Roman"/>
          <w:b/>
          <w:smallCaps/>
          <w:color w:val="000000" w:themeColor="text1"/>
          <w:sz w:val="24"/>
          <w:szCs w:val="24"/>
          <w:lang w:val="fr-FR"/>
        </w:rPr>
      </w:pPr>
      <w:r w:rsidRPr="00631F8A">
        <w:rPr>
          <w:rFonts w:ascii="Times New Roman" w:hAnsi="Times New Roman" w:cs="Times New Roman"/>
          <w:b/>
          <w:smallCaps/>
          <w:color w:val="000000" w:themeColor="text1"/>
          <w:sz w:val="24"/>
          <w:szCs w:val="24"/>
          <w:lang w:val="fr-FR"/>
        </w:rPr>
        <w:lastRenderedPageBreak/>
        <w:t>Introduction</w:t>
      </w:r>
      <w:bookmarkEnd w:id="0"/>
    </w:p>
    <w:p w:rsidR="00A568CE" w:rsidRDefault="00A568CE" w:rsidP="00A568CE">
      <w:pPr>
        <w:pStyle w:val="Paragraphedeliste"/>
        <w:tabs>
          <w:tab w:val="left" w:pos="284"/>
        </w:tabs>
        <w:spacing w:before="120" w:after="120" w:line="360" w:lineRule="auto"/>
        <w:ind w:left="0"/>
        <w:contextualSpacing w:val="0"/>
        <w:jc w:val="both"/>
        <w:rPr>
          <w:rFonts w:ascii="Times New Roman" w:hAnsi="Times New Roman" w:cs="Times New Roman"/>
          <w:color w:val="000000" w:themeColor="text1"/>
          <w:sz w:val="22"/>
          <w:szCs w:val="22"/>
          <w:lang w:val="fr-BE"/>
        </w:rPr>
      </w:pPr>
      <w:r>
        <w:rPr>
          <w:rFonts w:ascii="Times New Roman" w:hAnsi="Times New Roman" w:cs="Times New Roman"/>
          <w:color w:val="000000" w:themeColor="text1"/>
        </w:rPr>
        <w:tab/>
      </w:r>
      <w:r w:rsidR="00151706" w:rsidRPr="00151706">
        <w:rPr>
          <w:rFonts w:ascii="Times New Roman" w:hAnsi="Times New Roman" w:cs="Times New Roman"/>
          <w:color w:val="000000" w:themeColor="text1"/>
        </w:rPr>
        <w:t>Dans ses orientations politiques pour la prochaine Commission européenne 2019-2024, intitulées « Une Union plus ambitieuse, Mon programme pour l’Europe », présentées le 16 juillet devant le Parlement européen, Mme Ursula Von der Leyen, fraichement élue présidente de la Commission européenne, fait de la démocratie une thématique centrale de son futur mandat.</w:t>
      </w:r>
      <w:r w:rsidR="00151706">
        <w:rPr>
          <w:rStyle w:val="Appelnotedebasdep"/>
          <w:rFonts w:ascii="Times New Roman" w:hAnsi="Times New Roman" w:cs="Times New Roman"/>
          <w:color w:val="000000" w:themeColor="text1"/>
        </w:rPr>
        <w:footnoteReference w:id="1"/>
      </w:r>
      <w:r w:rsidR="00151706" w:rsidRPr="00151706">
        <w:rPr>
          <w:rFonts w:ascii="Times New Roman" w:hAnsi="Times New Roman" w:cs="Times New Roman"/>
          <w:color w:val="000000" w:themeColor="text1"/>
        </w:rPr>
        <w:t xml:space="preserve"> Voulant insuffler, selon ses propres termes, « un nouvel élan pour la démocratie européenne », l’ancienne Ministre fédérale de la Défense allemande entend</w:t>
      </w:r>
      <w:r w:rsidR="00F5222E">
        <w:rPr>
          <w:rFonts w:ascii="Times New Roman" w:hAnsi="Times New Roman" w:cs="Times New Roman"/>
          <w:color w:val="000000" w:themeColor="text1"/>
        </w:rPr>
        <w:t xml:space="preserve"> </w:t>
      </w:r>
      <w:r w:rsidR="00151706" w:rsidRPr="00151706">
        <w:rPr>
          <w:rFonts w:ascii="Times New Roman" w:hAnsi="Times New Roman" w:cs="Times New Roman"/>
          <w:color w:val="000000" w:themeColor="text1"/>
        </w:rPr>
        <w:t xml:space="preserve">renforcer substantiellement le rôle du Parlement européen </w:t>
      </w:r>
      <w:r w:rsidR="00D21C41">
        <w:rPr>
          <w:rFonts w:ascii="Times New Roman" w:hAnsi="Times New Roman" w:cs="Times New Roman"/>
          <w:color w:val="000000" w:themeColor="text1"/>
        </w:rPr>
        <w:t>au sein de</w:t>
      </w:r>
      <w:r w:rsidR="00790234">
        <w:rPr>
          <w:rFonts w:ascii="Times New Roman" w:hAnsi="Times New Roman" w:cs="Times New Roman"/>
          <w:color w:val="000000" w:themeColor="text1"/>
        </w:rPr>
        <w:t xml:space="preserve"> la structure </w:t>
      </w:r>
      <w:r w:rsidR="00151706" w:rsidRPr="00151706">
        <w:rPr>
          <w:rFonts w:ascii="Times New Roman" w:hAnsi="Times New Roman" w:cs="Times New Roman"/>
          <w:color w:val="000000" w:themeColor="text1"/>
        </w:rPr>
        <w:t>institutionnel</w:t>
      </w:r>
      <w:r w:rsidR="00790234">
        <w:rPr>
          <w:rFonts w:ascii="Times New Roman" w:hAnsi="Times New Roman" w:cs="Times New Roman"/>
          <w:color w:val="000000" w:themeColor="text1"/>
        </w:rPr>
        <w:t>le</w:t>
      </w:r>
      <w:r w:rsidR="00151706" w:rsidRPr="00151706">
        <w:rPr>
          <w:rFonts w:ascii="Times New Roman" w:hAnsi="Times New Roman" w:cs="Times New Roman"/>
          <w:color w:val="000000" w:themeColor="text1"/>
        </w:rPr>
        <w:t xml:space="preserve"> </w:t>
      </w:r>
      <w:r w:rsidR="00F5222E">
        <w:rPr>
          <w:rFonts w:ascii="Times New Roman" w:hAnsi="Times New Roman" w:cs="Times New Roman"/>
          <w:color w:val="000000" w:themeColor="text1"/>
        </w:rPr>
        <w:t xml:space="preserve">de l’Union européenne </w:t>
      </w:r>
      <w:r w:rsidR="00151706" w:rsidRPr="00151706">
        <w:rPr>
          <w:rFonts w:ascii="Times New Roman" w:hAnsi="Times New Roman" w:cs="Times New Roman"/>
          <w:color w:val="000000" w:themeColor="text1"/>
        </w:rPr>
        <w:t xml:space="preserve">au cours des </w:t>
      </w:r>
      <w:r w:rsidR="00AD7EAF">
        <w:rPr>
          <w:rFonts w:ascii="Times New Roman" w:hAnsi="Times New Roman" w:cs="Times New Roman"/>
          <w:color w:val="000000" w:themeColor="text1"/>
        </w:rPr>
        <w:t xml:space="preserve">prochaines </w:t>
      </w:r>
      <w:r w:rsidR="00151706" w:rsidRPr="00151706">
        <w:rPr>
          <w:rFonts w:ascii="Times New Roman" w:hAnsi="Times New Roman" w:cs="Times New Roman"/>
          <w:color w:val="000000" w:themeColor="text1"/>
        </w:rPr>
        <w:t>années.</w:t>
      </w:r>
      <w:r w:rsidR="00151706">
        <w:rPr>
          <w:rStyle w:val="Appelnotedebasdep"/>
          <w:rFonts w:ascii="Times New Roman" w:hAnsi="Times New Roman" w:cs="Times New Roman"/>
          <w:color w:val="000000" w:themeColor="text1"/>
        </w:rPr>
        <w:footnoteReference w:id="2"/>
      </w:r>
      <w:r w:rsidR="00151706" w:rsidRPr="00151706">
        <w:rPr>
          <w:rFonts w:ascii="Times New Roman" w:hAnsi="Times New Roman" w:cs="Times New Roman"/>
          <w:color w:val="000000" w:themeColor="text1"/>
        </w:rPr>
        <w:t xml:space="preserve"> Dans cette perspective, peut-on </w:t>
      </w:r>
      <w:r w:rsidR="00186DCE">
        <w:rPr>
          <w:rFonts w:ascii="Times New Roman" w:hAnsi="Times New Roman" w:cs="Times New Roman"/>
          <w:color w:val="000000" w:themeColor="text1"/>
        </w:rPr>
        <w:t xml:space="preserve">notamment </w:t>
      </w:r>
      <w:r w:rsidR="00151706" w:rsidRPr="00151706">
        <w:rPr>
          <w:rFonts w:ascii="Times New Roman" w:hAnsi="Times New Roman" w:cs="Times New Roman"/>
          <w:color w:val="000000" w:themeColor="text1"/>
        </w:rPr>
        <w:t xml:space="preserve">lire au sein de </w:t>
      </w:r>
      <w:r w:rsidR="00186DCE">
        <w:rPr>
          <w:rFonts w:ascii="Times New Roman" w:hAnsi="Times New Roman" w:cs="Times New Roman"/>
          <w:color w:val="000000" w:themeColor="text1"/>
        </w:rPr>
        <w:t>s</w:t>
      </w:r>
      <w:r w:rsidR="00151706" w:rsidRPr="00151706">
        <w:rPr>
          <w:rFonts w:ascii="Times New Roman" w:hAnsi="Times New Roman" w:cs="Times New Roman"/>
          <w:color w:val="000000" w:themeColor="text1"/>
        </w:rPr>
        <w:t xml:space="preserve">es orientations politiques : « J'ai la conviction que nous devrions accorder un rôle plus important au Parlement européen, qui est la voix des citoyens. Je suis favorable à </w:t>
      </w:r>
      <w:r w:rsidR="00151706" w:rsidRPr="00151706">
        <w:rPr>
          <w:rFonts w:ascii="Times New Roman" w:hAnsi="Times New Roman" w:cs="Times New Roman"/>
          <w:i/>
          <w:iCs/>
          <w:color w:val="000000" w:themeColor="text1"/>
        </w:rPr>
        <w:t>un droit d’initiative pour le Parlement européen</w:t>
      </w:r>
      <w:r w:rsidR="00151706" w:rsidRPr="00151706">
        <w:rPr>
          <w:rFonts w:ascii="Times New Roman" w:hAnsi="Times New Roman" w:cs="Times New Roman"/>
          <w:color w:val="000000" w:themeColor="text1"/>
        </w:rPr>
        <w:t>. »</w:t>
      </w:r>
      <w:r w:rsidR="00151706">
        <w:rPr>
          <w:rStyle w:val="Appelnotedebasdep"/>
          <w:rFonts w:ascii="Times New Roman" w:hAnsi="Times New Roman" w:cs="Times New Roman"/>
          <w:color w:val="000000" w:themeColor="text1"/>
        </w:rPr>
        <w:footnoteReference w:id="3"/>
      </w:r>
      <w:r w:rsidR="00151706" w:rsidRPr="00151706">
        <w:rPr>
          <w:rFonts w:ascii="Times New Roman" w:hAnsi="Times New Roman" w:cs="Times New Roman"/>
          <w:color w:val="000000" w:themeColor="text1"/>
        </w:rPr>
        <w:t xml:space="preserve"> Dans la même veine, </w:t>
      </w:r>
      <w:r w:rsidR="001112D3">
        <w:rPr>
          <w:rFonts w:ascii="Times New Roman" w:hAnsi="Times New Roman" w:cs="Times New Roman"/>
          <w:color w:val="000000" w:themeColor="text1"/>
        </w:rPr>
        <w:t xml:space="preserve">la nouvelle </w:t>
      </w:r>
      <w:r w:rsidR="00D14BCB">
        <w:rPr>
          <w:rFonts w:ascii="Times New Roman" w:hAnsi="Times New Roman" w:cs="Times New Roman"/>
          <w:color w:val="000000" w:themeColor="text1"/>
        </w:rPr>
        <w:t>p</w:t>
      </w:r>
      <w:r w:rsidR="001112D3">
        <w:rPr>
          <w:rFonts w:ascii="Times New Roman" w:hAnsi="Times New Roman" w:cs="Times New Roman"/>
          <w:color w:val="000000" w:themeColor="text1"/>
        </w:rPr>
        <w:t>résidente de la Commission</w:t>
      </w:r>
      <w:r w:rsidR="00151706" w:rsidRPr="00151706">
        <w:rPr>
          <w:rFonts w:ascii="Times New Roman" w:hAnsi="Times New Roman" w:cs="Times New Roman"/>
          <w:color w:val="000000" w:themeColor="text1"/>
        </w:rPr>
        <w:t xml:space="preserve"> </w:t>
      </w:r>
      <w:r w:rsidR="00F5222E">
        <w:rPr>
          <w:rFonts w:ascii="Times New Roman" w:hAnsi="Times New Roman" w:cs="Times New Roman"/>
          <w:color w:val="000000" w:themeColor="text1"/>
        </w:rPr>
        <w:t>avance</w:t>
      </w:r>
      <w:r w:rsidR="00151706" w:rsidRPr="00151706">
        <w:rPr>
          <w:rFonts w:ascii="Times New Roman" w:hAnsi="Times New Roman" w:cs="Times New Roman"/>
          <w:color w:val="000000" w:themeColor="text1"/>
        </w:rPr>
        <w:t xml:space="preserve"> que : « [lorsque] le Parlement, statuant à la majorité de ses membres, adoptera des résolutions demandant à la Commission de présenter des propositions législatives, je m’engage à répondre par un acte législatif, dans le plein respect des principes de proportionnalité et de subsidiarité ainsi que de l'accord « Mieux légiférer ». »</w:t>
      </w:r>
      <w:r w:rsidR="00151706">
        <w:rPr>
          <w:rStyle w:val="Appelnotedebasdep"/>
          <w:rFonts w:ascii="Times New Roman" w:hAnsi="Times New Roman" w:cs="Times New Roman"/>
          <w:color w:val="000000" w:themeColor="text1"/>
        </w:rPr>
        <w:footnoteReference w:id="4"/>
      </w:r>
      <w:r>
        <w:rPr>
          <w:rFonts w:ascii="Times New Roman" w:hAnsi="Times New Roman" w:cs="Times New Roman"/>
          <w:color w:val="000000" w:themeColor="text1"/>
          <w:sz w:val="22"/>
          <w:szCs w:val="22"/>
          <w:lang w:val="fr-BE"/>
        </w:rPr>
        <w:t xml:space="preserve"> </w:t>
      </w:r>
    </w:p>
    <w:p w:rsidR="009A1106" w:rsidRPr="00F5222E" w:rsidRDefault="00F5222E" w:rsidP="00151706">
      <w:pPr>
        <w:pStyle w:val="Paragraphedeliste"/>
        <w:tabs>
          <w:tab w:val="left" w:pos="284"/>
        </w:tabs>
        <w:spacing w:before="120" w:after="120" w:line="360" w:lineRule="auto"/>
        <w:ind w:left="0"/>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ab/>
      </w:r>
      <w:r w:rsidRPr="00151706">
        <w:rPr>
          <w:rFonts w:ascii="Times New Roman" w:hAnsi="Times New Roman" w:cs="Times New Roman"/>
          <w:color w:val="000000" w:themeColor="text1"/>
        </w:rPr>
        <w:t xml:space="preserve">Ces </w:t>
      </w:r>
      <w:r>
        <w:rPr>
          <w:rFonts w:ascii="Times New Roman" w:hAnsi="Times New Roman" w:cs="Times New Roman"/>
          <w:color w:val="000000" w:themeColor="text1"/>
        </w:rPr>
        <w:t>déclarations</w:t>
      </w:r>
      <w:r w:rsidR="00B87E37">
        <w:rPr>
          <w:rFonts w:ascii="Times New Roman" w:hAnsi="Times New Roman" w:cs="Times New Roman"/>
          <w:color w:val="000000" w:themeColor="text1"/>
        </w:rPr>
        <w:t xml:space="preserve"> </w:t>
      </w:r>
      <w:r w:rsidRPr="00151706">
        <w:rPr>
          <w:rFonts w:ascii="Times New Roman" w:hAnsi="Times New Roman" w:cs="Times New Roman"/>
          <w:color w:val="000000" w:themeColor="text1"/>
        </w:rPr>
        <w:t xml:space="preserve">ne sont pas sans rappeler </w:t>
      </w:r>
      <w:r w:rsidR="003B0941">
        <w:rPr>
          <w:rFonts w:ascii="Times New Roman" w:hAnsi="Times New Roman" w:cs="Times New Roman"/>
          <w:color w:val="000000" w:themeColor="text1"/>
        </w:rPr>
        <w:t>le</w:t>
      </w:r>
      <w:r w:rsidRPr="00151706">
        <w:rPr>
          <w:rFonts w:ascii="Times New Roman" w:hAnsi="Times New Roman" w:cs="Times New Roman"/>
          <w:color w:val="000000" w:themeColor="text1"/>
        </w:rPr>
        <w:t xml:space="preserve"> discours</w:t>
      </w:r>
      <w:r w:rsidR="003B0941">
        <w:rPr>
          <w:rFonts w:ascii="Times New Roman" w:hAnsi="Times New Roman" w:cs="Times New Roman"/>
          <w:color w:val="000000" w:themeColor="text1"/>
        </w:rPr>
        <w:t xml:space="preserve"> </w:t>
      </w:r>
      <w:r w:rsidRPr="00151706">
        <w:rPr>
          <w:rFonts w:ascii="Times New Roman" w:hAnsi="Times New Roman" w:cs="Times New Roman"/>
          <w:color w:val="000000" w:themeColor="text1"/>
        </w:rPr>
        <w:t xml:space="preserve">du </w:t>
      </w:r>
      <w:r w:rsidR="00B87E37">
        <w:rPr>
          <w:rFonts w:ascii="Times New Roman" w:hAnsi="Times New Roman" w:cs="Times New Roman"/>
          <w:color w:val="000000" w:themeColor="text1"/>
        </w:rPr>
        <w:t>p</w:t>
      </w:r>
      <w:r w:rsidRPr="00151706">
        <w:rPr>
          <w:rFonts w:ascii="Times New Roman" w:hAnsi="Times New Roman" w:cs="Times New Roman"/>
          <w:color w:val="000000" w:themeColor="text1"/>
        </w:rPr>
        <w:t>résident sortant du Parlement européen, Mr. Antonio Tajani, prononcé à l’occasion de l’ouverture solennelle de l’année universitaire 2018-2019 au Collège d’Europe.</w:t>
      </w:r>
      <w:r>
        <w:rPr>
          <w:rFonts w:ascii="Times New Roman" w:hAnsi="Times New Roman" w:cs="Times New Roman"/>
          <w:color w:val="000000" w:themeColor="text1"/>
        </w:rPr>
        <w:t xml:space="preserve"> En effet, ce dernier </w:t>
      </w:r>
      <w:r w:rsidR="009A1106" w:rsidRPr="00631F8A">
        <w:rPr>
          <w:rFonts w:ascii="Times New Roman" w:hAnsi="Times New Roman" w:cs="Times New Roman"/>
          <w:color w:val="000000" w:themeColor="text1"/>
        </w:rPr>
        <w:t xml:space="preserve">arguait qu’il était grand temps de réfléchir à l’octroi d’un pouvoir d’initiative législative « direct » au Parlement européen, étant entendu que </w:t>
      </w:r>
      <w:r w:rsidR="002160DD">
        <w:rPr>
          <w:rFonts w:ascii="Times New Roman" w:hAnsi="Times New Roman" w:cs="Times New Roman"/>
          <w:color w:val="000000" w:themeColor="text1"/>
        </w:rPr>
        <w:t>ce dernier</w:t>
      </w:r>
      <w:r w:rsidR="009A1106" w:rsidRPr="00631F8A">
        <w:rPr>
          <w:rFonts w:ascii="Times New Roman" w:hAnsi="Times New Roman" w:cs="Times New Roman"/>
          <w:color w:val="000000" w:themeColor="text1"/>
        </w:rPr>
        <w:t xml:space="preserve"> aspire à « se situer au centre des démocraties » et est « l’unique parlement au monde à ne pas disposer d’un tel pouvoir d’initiative législative ».</w:t>
      </w:r>
      <w:r w:rsidR="009A1106" w:rsidRPr="00631F8A">
        <w:rPr>
          <w:rStyle w:val="Appelnotedebasdep"/>
          <w:rFonts w:ascii="Times New Roman" w:hAnsi="Times New Roman" w:cs="Times New Roman"/>
          <w:color w:val="000000" w:themeColor="text1"/>
        </w:rPr>
        <w:footnoteReference w:id="5"/>
      </w:r>
      <w:r w:rsidR="009A1106" w:rsidRPr="00631F8A">
        <w:rPr>
          <w:rFonts w:ascii="Times New Roman" w:hAnsi="Times New Roman" w:cs="Times New Roman"/>
          <w:color w:val="000000" w:themeColor="text1"/>
        </w:rPr>
        <w:t xml:space="preserve"> Ces mots font écho aux revendications exprimées par le Parlement européen dans de récentes résolutions. En ce sens, dans sa résolution du 16 février 2017 sur les évolutions et adaptations possibles de la structure institutionnelle actuelle de l'Union européenne, le Parlement européen proposait que « les deux chambres de la branche législative de l’Union, à savoir </w:t>
      </w:r>
      <w:r w:rsidR="009A1106" w:rsidRPr="00631F8A">
        <w:rPr>
          <w:rFonts w:ascii="Times New Roman" w:eastAsia="Times New Roman" w:hAnsi="Times New Roman" w:cs="Times New Roman"/>
          <w:color w:val="000000" w:themeColor="text1"/>
          <w:lang w:eastAsia="fr-FR"/>
        </w:rPr>
        <w:t xml:space="preserve">le Conseil et en particulier le Parlement, en tant que seule </w:t>
      </w:r>
      <w:r w:rsidR="009A1106" w:rsidRPr="00631F8A">
        <w:rPr>
          <w:rFonts w:ascii="Times New Roman" w:eastAsia="Times New Roman" w:hAnsi="Times New Roman" w:cs="Times New Roman"/>
          <w:color w:val="000000" w:themeColor="text1"/>
          <w:lang w:eastAsia="fr-FR"/>
        </w:rPr>
        <w:lastRenderedPageBreak/>
        <w:t>institution directement élue par les citoyens, obtiennent le droit d'initiative législative, sans préjudice de la prérogative législative de base de la Commission ».</w:t>
      </w:r>
      <w:r w:rsidR="009A1106" w:rsidRPr="00631F8A">
        <w:rPr>
          <w:rStyle w:val="Appelnotedebasdep"/>
          <w:rFonts w:ascii="Times New Roman" w:eastAsia="Times New Roman" w:hAnsi="Times New Roman" w:cs="Times New Roman"/>
          <w:color w:val="000000" w:themeColor="text1"/>
          <w:lang w:eastAsia="fr-FR"/>
        </w:rPr>
        <w:footnoteReference w:id="6"/>
      </w:r>
      <w:r w:rsidR="009A1106" w:rsidRPr="00631F8A">
        <w:rPr>
          <w:rFonts w:ascii="Times New Roman" w:eastAsia="Times New Roman" w:hAnsi="Times New Roman" w:cs="Times New Roman"/>
          <w:color w:val="000000" w:themeColor="text1"/>
          <w:lang w:eastAsia="fr-FR"/>
        </w:rPr>
        <w:t xml:space="preserve"> Plus récemment encore, dans des résolutions </w:t>
      </w:r>
      <w:r w:rsidR="009A1106" w:rsidRPr="00631F8A">
        <w:rPr>
          <w:rFonts w:ascii="Times New Roman" w:eastAsia="Times New Roman" w:hAnsi="Times New Roman" w:cs="Times New Roman"/>
          <w:bCs/>
          <w:color w:val="000000" w:themeColor="text1"/>
          <w:shd w:val="clear" w:color="auto" w:fill="FFFFFF"/>
          <w:lang w:eastAsia="fr-FR"/>
        </w:rPr>
        <w:t>des 12</w:t>
      </w:r>
      <w:r w:rsidR="009A1106" w:rsidRPr="00631F8A">
        <w:rPr>
          <w:rStyle w:val="Appelnotedebasdep"/>
          <w:rFonts w:ascii="Times New Roman" w:eastAsia="Times New Roman" w:hAnsi="Times New Roman" w:cs="Times New Roman"/>
          <w:bCs/>
          <w:color w:val="000000" w:themeColor="text1"/>
          <w:shd w:val="clear" w:color="auto" w:fill="FFFFFF"/>
          <w:lang w:eastAsia="fr-FR"/>
        </w:rPr>
        <w:footnoteReference w:id="7"/>
      </w:r>
      <w:r w:rsidR="009A1106" w:rsidRPr="00631F8A">
        <w:rPr>
          <w:rFonts w:ascii="Times New Roman" w:eastAsia="Times New Roman" w:hAnsi="Times New Roman" w:cs="Times New Roman"/>
          <w:bCs/>
          <w:color w:val="000000" w:themeColor="text1"/>
          <w:shd w:val="clear" w:color="auto" w:fill="FFFFFF"/>
          <w:lang w:eastAsia="fr-FR"/>
        </w:rPr>
        <w:t xml:space="preserve"> et 13 février 2019,</w:t>
      </w:r>
      <w:r w:rsidR="009A1106" w:rsidRPr="00631F8A">
        <w:rPr>
          <w:rStyle w:val="Appelnotedebasdep"/>
          <w:rFonts w:ascii="Times New Roman" w:eastAsia="Times New Roman" w:hAnsi="Times New Roman" w:cs="Times New Roman"/>
          <w:bCs/>
          <w:color w:val="000000" w:themeColor="text1"/>
          <w:shd w:val="clear" w:color="auto" w:fill="FFFFFF"/>
          <w:lang w:eastAsia="fr-FR"/>
        </w:rPr>
        <w:footnoteReference w:id="8"/>
      </w:r>
      <w:r w:rsidR="009A1106" w:rsidRPr="00631F8A">
        <w:rPr>
          <w:rFonts w:ascii="Times New Roman" w:eastAsia="Times New Roman" w:hAnsi="Times New Roman" w:cs="Times New Roman"/>
          <w:bCs/>
          <w:color w:val="000000" w:themeColor="text1"/>
          <w:shd w:val="clear" w:color="auto" w:fill="FFFFFF"/>
          <w:lang w:eastAsia="fr-FR"/>
        </w:rPr>
        <w:t xml:space="preserve"> le Parlement européen estimait que la possibilité d’octroyer un droit d’initiative législative « direct » au Parlement devrait être </w:t>
      </w:r>
      <w:r w:rsidR="009A1106">
        <w:rPr>
          <w:rFonts w:ascii="Times New Roman" w:eastAsia="Times New Roman" w:hAnsi="Times New Roman" w:cs="Times New Roman"/>
          <w:bCs/>
          <w:color w:val="000000" w:themeColor="text1"/>
          <w:shd w:val="clear" w:color="auto" w:fill="FFFFFF"/>
          <w:lang w:eastAsia="fr-FR"/>
        </w:rPr>
        <w:t>envisagée</w:t>
      </w:r>
      <w:r w:rsidR="009A1106" w:rsidRPr="00631F8A">
        <w:rPr>
          <w:rFonts w:ascii="Times New Roman" w:eastAsia="Times New Roman" w:hAnsi="Times New Roman" w:cs="Times New Roman"/>
          <w:bCs/>
          <w:color w:val="000000" w:themeColor="text1"/>
          <w:shd w:val="clear" w:color="auto" w:fill="FFFFFF"/>
          <w:lang w:eastAsia="fr-FR"/>
        </w:rPr>
        <w:t xml:space="preserve"> </w:t>
      </w:r>
      <w:r w:rsidR="009A1106">
        <w:rPr>
          <w:rFonts w:ascii="Times New Roman" w:eastAsia="Times New Roman" w:hAnsi="Times New Roman" w:cs="Times New Roman"/>
          <w:bCs/>
          <w:color w:val="000000" w:themeColor="text1"/>
          <w:shd w:val="clear" w:color="auto" w:fill="FFFFFF"/>
          <w:lang w:eastAsia="fr-FR"/>
        </w:rPr>
        <w:t>en vue d’une future</w:t>
      </w:r>
      <w:r w:rsidR="009A1106" w:rsidRPr="00631F8A">
        <w:rPr>
          <w:rFonts w:ascii="Times New Roman" w:eastAsia="Times New Roman" w:hAnsi="Times New Roman" w:cs="Times New Roman"/>
          <w:bCs/>
          <w:color w:val="000000" w:themeColor="text1"/>
          <w:shd w:val="clear" w:color="auto" w:fill="FFFFFF"/>
          <w:lang w:eastAsia="fr-FR"/>
        </w:rPr>
        <w:t xml:space="preserve"> modificati</w:t>
      </w:r>
      <w:r w:rsidR="009A1106">
        <w:rPr>
          <w:rFonts w:ascii="Times New Roman" w:eastAsia="Times New Roman" w:hAnsi="Times New Roman" w:cs="Times New Roman"/>
          <w:bCs/>
          <w:color w:val="000000" w:themeColor="text1"/>
          <w:shd w:val="clear" w:color="auto" w:fill="FFFFFF"/>
          <w:lang w:eastAsia="fr-FR"/>
        </w:rPr>
        <w:t>on</w:t>
      </w:r>
      <w:r w:rsidR="009A1106" w:rsidRPr="00631F8A">
        <w:rPr>
          <w:rFonts w:ascii="Times New Roman" w:eastAsia="Times New Roman" w:hAnsi="Times New Roman" w:cs="Times New Roman"/>
          <w:bCs/>
          <w:color w:val="000000" w:themeColor="text1"/>
          <w:shd w:val="clear" w:color="auto" w:fill="FFFFFF"/>
          <w:lang w:eastAsia="fr-FR"/>
        </w:rPr>
        <w:t xml:space="preserve"> des traités.</w:t>
      </w:r>
    </w:p>
    <w:p w:rsidR="009A1106" w:rsidRDefault="009A1106" w:rsidP="009A1106">
      <w:pPr>
        <w:pStyle w:val="Paragraphedeliste"/>
        <w:tabs>
          <w:tab w:val="left" w:pos="284"/>
        </w:tabs>
        <w:spacing w:before="120" w:after="120" w:line="360" w:lineRule="auto"/>
        <w:ind w:left="0"/>
        <w:contextualSpacing w:val="0"/>
        <w:jc w:val="both"/>
        <w:rPr>
          <w:rFonts w:ascii="Times New Roman" w:hAnsi="Times New Roman" w:cs="Times New Roman"/>
          <w:color w:val="000000" w:themeColor="text1"/>
        </w:rPr>
      </w:pPr>
      <w:r w:rsidRPr="00631F8A">
        <w:rPr>
          <w:rFonts w:ascii="Times New Roman" w:hAnsi="Times New Roman" w:cs="Times New Roman"/>
          <w:color w:val="000000" w:themeColor="text1"/>
        </w:rPr>
        <w:tab/>
        <w:t>À cet égard, il convient de rappeler que l’élaboration des politiques publiques est un procédé complexe qui peut être divisé en quatre étapes, à savoir (a) la définition de l’agenda, (b) la spécification des alternatives à partir desquelles un choix est opéré, (c) le choix faisant autorité parmi les alternatives, (d) la mise en œuvre de la décision.</w:t>
      </w:r>
      <w:r w:rsidRPr="00631F8A">
        <w:rPr>
          <w:rStyle w:val="Appelnotedebasdep"/>
          <w:rFonts w:ascii="Times New Roman" w:hAnsi="Times New Roman" w:cs="Times New Roman"/>
          <w:color w:val="000000" w:themeColor="text1"/>
        </w:rPr>
        <w:footnoteReference w:id="9"/>
      </w:r>
      <w:r w:rsidRPr="00631F8A">
        <w:rPr>
          <w:rFonts w:ascii="Times New Roman" w:hAnsi="Times New Roman" w:cs="Times New Roman"/>
          <w:color w:val="000000" w:themeColor="text1"/>
        </w:rPr>
        <w:t xml:space="preserve"> La capacité d’intervenir lors de la première étape est d’une importance capitale. Tout d’abord, les décideurs de l’agenda déterminent les arènes du discours politique et établissent les contours du débat législatif.</w:t>
      </w:r>
      <w:r w:rsidRPr="00631F8A">
        <w:rPr>
          <w:rStyle w:val="Appelnotedebasdep"/>
          <w:rFonts w:ascii="Times New Roman" w:hAnsi="Times New Roman" w:cs="Times New Roman"/>
          <w:color w:val="000000" w:themeColor="text1"/>
        </w:rPr>
        <w:footnoteReference w:id="10"/>
      </w:r>
      <w:r w:rsidRPr="00631F8A">
        <w:rPr>
          <w:rFonts w:ascii="Times New Roman" w:hAnsi="Times New Roman" w:cs="Times New Roman"/>
          <w:color w:val="000000" w:themeColor="text1"/>
        </w:rPr>
        <w:t xml:space="preserve"> Ensuite, la possibilité de définir l’agenda constitue un ultime pouvoir de véto, en ce sens que les propositions qui ne font pas partie du processus de décision ne risquent pas d’être adoptées.</w:t>
      </w:r>
      <w:r w:rsidRPr="00631F8A">
        <w:rPr>
          <w:rStyle w:val="Appelnotedebasdep"/>
          <w:rFonts w:ascii="Times New Roman" w:hAnsi="Times New Roman" w:cs="Times New Roman"/>
          <w:color w:val="000000" w:themeColor="text1"/>
        </w:rPr>
        <w:footnoteReference w:id="11"/>
      </w:r>
      <w:r w:rsidRPr="00631F8A">
        <w:rPr>
          <w:rFonts w:ascii="Times New Roman" w:hAnsi="Times New Roman" w:cs="Times New Roman"/>
          <w:color w:val="000000" w:themeColor="text1"/>
        </w:rPr>
        <w:t xml:space="preserve"> Enfin, les responsables de l’agenda peuvent, à travers des propositions ciblées de manière stratégique, maximiser leurs intérêts.</w:t>
      </w:r>
      <w:r w:rsidRPr="00631F8A">
        <w:rPr>
          <w:rStyle w:val="Appelnotedebasdep"/>
          <w:rFonts w:ascii="Times New Roman" w:hAnsi="Times New Roman" w:cs="Times New Roman"/>
          <w:color w:val="000000" w:themeColor="text1"/>
        </w:rPr>
        <w:footnoteReference w:id="12"/>
      </w:r>
      <w:r w:rsidRPr="00631F8A">
        <w:rPr>
          <w:rFonts w:ascii="Times New Roman" w:hAnsi="Times New Roman" w:cs="Times New Roman"/>
          <w:color w:val="000000" w:themeColor="text1"/>
        </w:rPr>
        <w:t xml:space="preserve"> </w:t>
      </w:r>
    </w:p>
    <w:p w:rsidR="00A568CE" w:rsidRPr="008662F1" w:rsidRDefault="008662F1" w:rsidP="009A1106">
      <w:pPr>
        <w:pStyle w:val="Paragraphedeliste"/>
        <w:tabs>
          <w:tab w:val="left" w:pos="284"/>
        </w:tabs>
        <w:spacing w:before="120" w:after="120" w:line="360" w:lineRule="auto"/>
        <w:ind w:left="0"/>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ab/>
      </w:r>
      <w:r w:rsidR="00A94E2A">
        <w:rPr>
          <w:rFonts w:ascii="Times New Roman" w:hAnsi="Times New Roman" w:cs="Times New Roman"/>
          <w:color w:val="000000" w:themeColor="text1"/>
        </w:rPr>
        <w:t>E</w:t>
      </w:r>
      <w:r>
        <w:rPr>
          <w:rFonts w:ascii="Times New Roman" w:hAnsi="Times New Roman" w:cs="Times New Roman"/>
          <w:color w:val="000000" w:themeColor="text1"/>
        </w:rPr>
        <w:t>n raison du quasi-monopole de l’initiative législative d</w:t>
      </w:r>
      <w:r w:rsidR="00B05A70">
        <w:rPr>
          <w:rFonts w:ascii="Times New Roman" w:hAnsi="Times New Roman" w:cs="Times New Roman"/>
          <w:color w:val="000000" w:themeColor="text1"/>
        </w:rPr>
        <w:t xml:space="preserve">e </w:t>
      </w:r>
      <w:r>
        <w:rPr>
          <w:rFonts w:ascii="Times New Roman" w:hAnsi="Times New Roman" w:cs="Times New Roman"/>
          <w:color w:val="000000" w:themeColor="text1"/>
        </w:rPr>
        <w:t>la Commission,</w:t>
      </w:r>
      <w:r w:rsidRPr="00631F8A">
        <w:rPr>
          <w:rStyle w:val="Appelnotedebasdep"/>
          <w:rFonts w:ascii="Times New Roman" w:hAnsi="Times New Roman" w:cs="Times New Roman"/>
          <w:color w:val="000000" w:themeColor="text1"/>
        </w:rPr>
        <w:footnoteReference w:id="13"/>
      </w:r>
      <w:r>
        <w:rPr>
          <w:rFonts w:ascii="Times New Roman" w:hAnsi="Times New Roman" w:cs="Times New Roman"/>
          <w:color w:val="000000" w:themeColor="text1"/>
        </w:rPr>
        <w:t xml:space="preserve"> le Parlement européen ne </w:t>
      </w:r>
      <w:r w:rsidR="00B05A70">
        <w:rPr>
          <w:rFonts w:ascii="Times New Roman" w:hAnsi="Times New Roman" w:cs="Times New Roman"/>
          <w:color w:val="000000" w:themeColor="text1"/>
        </w:rPr>
        <w:t>dispose</w:t>
      </w:r>
      <w:r>
        <w:rPr>
          <w:rFonts w:ascii="Times New Roman" w:hAnsi="Times New Roman" w:cs="Times New Roman"/>
          <w:color w:val="000000" w:themeColor="text1"/>
        </w:rPr>
        <w:t xml:space="preserve"> pas d’un pouvoir d’initiative législative « direct ». </w:t>
      </w:r>
      <w:r w:rsidR="00146A83">
        <w:rPr>
          <w:rFonts w:ascii="Times New Roman" w:hAnsi="Times New Roman" w:cs="Times New Roman"/>
          <w:color w:val="000000" w:themeColor="text1"/>
        </w:rPr>
        <w:t>Néanmoins</w:t>
      </w:r>
      <w:r>
        <w:rPr>
          <w:rFonts w:ascii="Times New Roman" w:hAnsi="Times New Roman" w:cs="Times New Roman"/>
          <w:color w:val="000000" w:themeColor="text1"/>
        </w:rPr>
        <w:t xml:space="preserve">, ce dernier </w:t>
      </w:r>
      <w:r w:rsidR="00B87E37">
        <w:rPr>
          <w:rFonts w:ascii="Times New Roman" w:hAnsi="Times New Roman" w:cs="Times New Roman"/>
          <w:color w:val="000000" w:themeColor="text1"/>
        </w:rPr>
        <w:t>jouit</w:t>
      </w:r>
      <w:r w:rsidR="00AD7EAF">
        <w:rPr>
          <w:rFonts w:ascii="Times New Roman" w:hAnsi="Times New Roman" w:cs="Times New Roman"/>
          <w:color w:val="000000" w:themeColor="text1"/>
        </w:rPr>
        <w:t>,</w:t>
      </w:r>
      <w:r w:rsidRPr="00631F8A">
        <w:rPr>
          <w:rFonts w:ascii="Times New Roman" w:hAnsi="Times New Roman" w:cs="Times New Roman"/>
          <w:color w:val="000000" w:themeColor="text1"/>
        </w:rPr>
        <w:t xml:space="preserve"> de</w:t>
      </w:r>
      <w:bookmarkStart w:id="1" w:name="_GoBack"/>
      <w:bookmarkEnd w:id="1"/>
      <w:r w:rsidRPr="00631F8A">
        <w:rPr>
          <w:rFonts w:ascii="Times New Roman" w:hAnsi="Times New Roman" w:cs="Times New Roman"/>
          <w:color w:val="000000" w:themeColor="text1"/>
        </w:rPr>
        <w:t>puis le traité de Maastricht</w:t>
      </w:r>
      <w:r w:rsidR="00AD7EAF">
        <w:rPr>
          <w:rFonts w:ascii="Times New Roman" w:hAnsi="Times New Roman" w:cs="Times New Roman"/>
          <w:color w:val="000000" w:themeColor="text1"/>
        </w:rPr>
        <w:t>,</w:t>
      </w:r>
      <w:r w:rsidRPr="00631F8A">
        <w:rPr>
          <w:rFonts w:ascii="Times New Roman" w:hAnsi="Times New Roman" w:cs="Times New Roman"/>
          <w:color w:val="000000" w:themeColor="text1"/>
        </w:rPr>
        <w:t xml:space="preserve"> d’un pouvoir d’initiative</w:t>
      </w:r>
      <w:r w:rsidR="00AD7EAF">
        <w:rPr>
          <w:rFonts w:ascii="Times New Roman" w:hAnsi="Times New Roman" w:cs="Times New Roman"/>
          <w:color w:val="000000" w:themeColor="text1"/>
        </w:rPr>
        <w:t xml:space="preserve"> </w:t>
      </w:r>
      <w:r w:rsidR="00AD7EAF">
        <w:rPr>
          <w:rFonts w:ascii="Times New Roman" w:hAnsi="Times New Roman" w:cs="Times New Roman"/>
          <w:color w:val="000000" w:themeColor="text1"/>
        </w:rPr>
        <w:t>« indirect »</w:t>
      </w:r>
      <w:r w:rsidR="00AD7EAF">
        <w:rPr>
          <w:rFonts w:ascii="Times New Roman" w:hAnsi="Times New Roman" w:cs="Times New Roman"/>
          <w:color w:val="000000" w:themeColor="text1"/>
        </w:rPr>
        <w:t xml:space="preserve"> ou</w:t>
      </w:r>
      <w:r w:rsidRPr="00631F8A">
        <w:rPr>
          <w:rFonts w:ascii="Times New Roman" w:hAnsi="Times New Roman" w:cs="Times New Roman"/>
          <w:color w:val="000000" w:themeColor="text1"/>
        </w:rPr>
        <w:t xml:space="preserve"> « de l’initiative ».</w:t>
      </w:r>
      <w:r w:rsidRPr="00631F8A">
        <w:rPr>
          <w:rStyle w:val="Appelnotedebasdep"/>
          <w:rFonts w:ascii="Times New Roman" w:hAnsi="Times New Roman" w:cs="Times New Roman"/>
          <w:color w:val="000000" w:themeColor="text1"/>
        </w:rPr>
        <w:footnoteReference w:id="14"/>
      </w:r>
      <w:r w:rsidRPr="00631F8A">
        <w:rPr>
          <w:rFonts w:ascii="Times New Roman" w:hAnsi="Times New Roman" w:cs="Times New Roman"/>
          <w:color w:val="000000" w:themeColor="text1"/>
        </w:rPr>
        <w:t xml:space="preserve"> </w:t>
      </w:r>
      <w:r>
        <w:rPr>
          <w:rFonts w:ascii="Times New Roman" w:hAnsi="Times New Roman" w:cs="Times New Roman"/>
          <w:color w:val="000000" w:themeColor="text1"/>
        </w:rPr>
        <w:t>En vertu de l’article 225 TFUE, l</w:t>
      </w:r>
      <w:r w:rsidRPr="00631F8A">
        <w:rPr>
          <w:rFonts w:ascii="Times New Roman" w:hAnsi="Times New Roman" w:cs="Times New Roman"/>
          <w:color w:val="000000" w:themeColor="text1"/>
        </w:rPr>
        <w:t xml:space="preserve">e Parlement européen peut </w:t>
      </w:r>
      <w:r>
        <w:rPr>
          <w:rFonts w:ascii="Times New Roman" w:hAnsi="Times New Roman" w:cs="Times New Roman"/>
          <w:color w:val="000000" w:themeColor="text1"/>
        </w:rPr>
        <w:t>« </w:t>
      </w:r>
      <w:r w:rsidRPr="00631F8A">
        <w:rPr>
          <w:rFonts w:ascii="Times New Roman" w:hAnsi="Times New Roman" w:cs="Times New Roman"/>
          <w:color w:val="000000" w:themeColor="text1"/>
        </w:rPr>
        <w:t>à la majorité des membres qui le composent, demander à la Commission de soumettre toute proposition appropriée sur les questions qui lui paraissent nécessiter l'élaboration d'un acte de l'Union pour la mise en œuvre des traités</w:t>
      </w:r>
      <w:r>
        <w:rPr>
          <w:rFonts w:ascii="Times New Roman" w:hAnsi="Times New Roman" w:cs="Times New Roman"/>
          <w:color w:val="000000" w:themeColor="text1"/>
        </w:rPr>
        <w:t> »</w:t>
      </w:r>
      <w:r w:rsidRPr="00631F8A">
        <w:rPr>
          <w:rFonts w:ascii="Times New Roman" w:hAnsi="Times New Roman" w:cs="Times New Roman"/>
          <w:color w:val="000000" w:themeColor="text1"/>
        </w:rPr>
        <w:t>.</w:t>
      </w:r>
      <w:r w:rsidRPr="00631F8A">
        <w:rPr>
          <w:rStyle w:val="Appelnotedebasdep"/>
          <w:rFonts w:ascii="Times New Roman" w:hAnsi="Times New Roman" w:cs="Times New Roman"/>
          <w:color w:val="000000" w:themeColor="text1"/>
        </w:rPr>
        <w:footnoteReference w:id="15"/>
      </w:r>
      <w:r w:rsidRPr="00631F8A">
        <w:rPr>
          <w:rFonts w:ascii="Times New Roman" w:hAnsi="Times New Roman" w:cs="Times New Roman"/>
          <w:color w:val="000000" w:themeColor="text1"/>
        </w:rPr>
        <w:t xml:space="preserve"> Ainsi, le Parlement dispose d’une capacité à inciter la </w:t>
      </w:r>
      <w:r w:rsidRPr="00631F8A">
        <w:rPr>
          <w:rFonts w:ascii="Times New Roman" w:hAnsi="Times New Roman" w:cs="Times New Roman"/>
          <w:color w:val="000000" w:themeColor="text1"/>
        </w:rPr>
        <w:lastRenderedPageBreak/>
        <w:t>Commission à faire usage de son pouvoir de proposition.</w:t>
      </w:r>
      <w:r w:rsidRPr="00631F8A">
        <w:rPr>
          <w:rStyle w:val="Appelnotedebasdep"/>
          <w:rFonts w:ascii="Times New Roman" w:hAnsi="Times New Roman" w:cs="Times New Roman"/>
          <w:color w:val="000000" w:themeColor="text1"/>
        </w:rPr>
        <w:footnoteReference w:id="16"/>
      </w:r>
      <w:r w:rsidRPr="00631F8A">
        <w:rPr>
          <w:rFonts w:ascii="Times New Roman" w:hAnsi="Times New Roman" w:cs="Times New Roman"/>
          <w:color w:val="000000" w:themeColor="text1"/>
        </w:rPr>
        <w:t xml:space="preserve"> La Commission conserve toutefois un pouvoir d’appréciation quant aux propositions émises par le Parlement européen, et si la Commission refuse de soumettre une proposition, </w:t>
      </w:r>
      <w:r>
        <w:rPr>
          <w:rFonts w:ascii="Times New Roman" w:hAnsi="Times New Roman" w:cs="Times New Roman"/>
          <w:color w:val="000000" w:themeColor="text1"/>
        </w:rPr>
        <w:t>« </w:t>
      </w:r>
      <w:r w:rsidRPr="00631F8A">
        <w:rPr>
          <w:rFonts w:ascii="Times New Roman" w:hAnsi="Times New Roman" w:cs="Times New Roman"/>
          <w:color w:val="000000" w:themeColor="text1"/>
        </w:rPr>
        <w:t>elle en communique les raisons au Parlement européen</w:t>
      </w:r>
      <w:r>
        <w:rPr>
          <w:rFonts w:ascii="Times New Roman" w:hAnsi="Times New Roman" w:cs="Times New Roman"/>
          <w:color w:val="000000" w:themeColor="text1"/>
        </w:rPr>
        <w:t> »</w:t>
      </w:r>
      <w:r w:rsidRPr="00631F8A">
        <w:rPr>
          <w:rFonts w:ascii="Times New Roman" w:hAnsi="Times New Roman" w:cs="Times New Roman"/>
          <w:color w:val="000000" w:themeColor="text1"/>
        </w:rPr>
        <w:t>.</w:t>
      </w:r>
      <w:r w:rsidRPr="00631F8A">
        <w:rPr>
          <w:rStyle w:val="Appelnotedebasdep"/>
          <w:rFonts w:ascii="Times New Roman" w:hAnsi="Times New Roman" w:cs="Times New Roman"/>
          <w:color w:val="000000" w:themeColor="text1"/>
        </w:rPr>
        <w:footnoteReference w:id="17"/>
      </w:r>
    </w:p>
    <w:p w:rsidR="009A1106" w:rsidRDefault="009A1106" w:rsidP="009A1106">
      <w:pPr>
        <w:pStyle w:val="Paragraphedeliste"/>
        <w:tabs>
          <w:tab w:val="left" w:pos="284"/>
        </w:tabs>
        <w:spacing w:before="120" w:after="120" w:line="360" w:lineRule="auto"/>
        <w:ind w:left="0"/>
        <w:contextualSpacing w:val="0"/>
        <w:jc w:val="both"/>
        <w:rPr>
          <w:rFonts w:ascii="Times New Roman" w:hAnsi="Times New Roman" w:cs="Times New Roman"/>
          <w:color w:val="000000" w:themeColor="text1"/>
        </w:rPr>
      </w:pPr>
      <w:r w:rsidRPr="00631F8A">
        <w:rPr>
          <w:rFonts w:ascii="Times New Roman" w:eastAsia="Times New Roman" w:hAnsi="Times New Roman" w:cs="Times New Roman"/>
          <w:bCs/>
          <w:color w:val="000000" w:themeColor="text1"/>
          <w:shd w:val="clear" w:color="auto" w:fill="FFFFFF"/>
          <w:lang w:eastAsia="fr-FR"/>
        </w:rPr>
        <w:tab/>
      </w:r>
      <w:r w:rsidR="0043361E">
        <w:rPr>
          <w:rFonts w:ascii="Times New Roman" w:eastAsia="Times New Roman" w:hAnsi="Times New Roman" w:cs="Times New Roman"/>
          <w:bCs/>
          <w:color w:val="000000" w:themeColor="text1"/>
          <w:shd w:val="clear" w:color="auto" w:fill="FFFFFF"/>
          <w:lang w:eastAsia="fr-FR"/>
        </w:rPr>
        <w:t>E</w:t>
      </w:r>
      <w:r w:rsidRPr="00631F8A">
        <w:rPr>
          <w:rFonts w:ascii="Times New Roman" w:eastAsia="Times New Roman" w:hAnsi="Times New Roman" w:cs="Times New Roman"/>
          <w:bCs/>
          <w:color w:val="000000" w:themeColor="text1"/>
          <w:shd w:val="clear" w:color="auto" w:fill="FFFFFF"/>
          <w:lang w:eastAsia="fr-FR"/>
        </w:rPr>
        <w:t>n dépit d’une histoire marquée par l’accroissement progressif de ses pouvoirs,</w:t>
      </w:r>
      <w:r w:rsidRPr="00631F8A">
        <w:rPr>
          <w:rStyle w:val="Appelnotedebasdep"/>
          <w:rFonts w:ascii="Times New Roman" w:eastAsia="Times New Roman" w:hAnsi="Times New Roman" w:cs="Times New Roman"/>
          <w:bCs/>
          <w:color w:val="000000" w:themeColor="text1"/>
          <w:shd w:val="clear" w:color="auto" w:fill="FFFFFF"/>
          <w:lang w:eastAsia="fr-FR"/>
        </w:rPr>
        <w:footnoteReference w:id="18"/>
      </w:r>
      <w:r w:rsidRPr="00631F8A">
        <w:rPr>
          <w:rFonts w:ascii="Times New Roman" w:eastAsia="Times New Roman" w:hAnsi="Times New Roman" w:cs="Times New Roman"/>
          <w:bCs/>
          <w:color w:val="000000" w:themeColor="text1"/>
          <w:shd w:val="clear" w:color="auto" w:fill="FFFFFF"/>
          <w:lang w:eastAsia="fr-FR"/>
        </w:rPr>
        <w:t xml:space="preserve"> et singulièrement de son autorité législative,</w:t>
      </w:r>
      <w:r w:rsidRPr="00631F8A">
        <w:rPr>
          <w:rStyle w:val="Appelnotedebasdep"/>
          <w:rFonts w:ascii="Times New Roman" w:eastAsia="Times New Roman" w:hAnsi="Times New Roman" w:cs="Times New Roman"/>
          <w:bCs/>
          <w:color w:val="000000" w:themeColor="text1"/>
          <w:shd w:val="clear" w:color="auto" w:fill="FFFFFF"/>
          <w:lang w:eastAsia="fr-FR"/>
        </w:rPr>
        <w:footnoteReference w:id="19"/>
      </w:r>
      <w:r w:rsidRPr="00631F8A">
        <w:rPr>
          <w:rFonts w:ascii="Times New Roman" w:eastAsia="Times New Roman" w:hAnsi="Times New Roman" w:cs="Times New Roman"/>
          <w:bCs/>
          <w:color w:val="000000" w:themeColor="text1"/>
          <w:shd w:val="clear" w:color="auto" w:fill="FFFFFF"/>
          <w:lang w:eastAsia="fr-FR"/>
        </w:rPr>
        <w:t xml:space="preserve"> </w:t>
      </w:r>
      <w:r w:rsidRPr="00631F8A">
        <w:rPr>
          <w:rFonts w:ascii="Times New Roman" w:hAnsi="Times New Roman" w:cs="Times New Roman"/>
          <w:color w:val="000000" w:themeColor="text1"/>
        </w:rPr>
        <w:t xml:space="preserve">le Parlement européen est considéré comme ayant été exclu, à tout le moins sur le plan formel, de la définition directe de l’agenda </w:t>
      </w:r>
      <w:r>
        <w:rPr>
          <w:rFonts w:ascii="Times New Roman" w:hAnsi="Times New Roman" w:cs="Times New Roman"/>
          <w:color w:val="000000" w:themeColor="text1"/>
        </w:rPr>
        <w:t>législatif</w:t>
      </w:r>
      <w:r w:rsidRPr="00631F8A">
        <w:rPr>
          <w:rFonts w:ascii="Times New Roman" w:hAnsi="Times New Roman" w:cs="Times New Roman"/>
          <w:color w:val="000000" w:themeColor="text1"/>
        </w:rPr>
        <w:t>.</w:t>
      </w:r>
      <w:r w:rsidRPr="00631F8A">
        <w:rPr>
          <w:rStyle w:val="Appelnotedebasdep"/>
          <w:rFonts w:ascii="Times New Roman" w:hAnsi="Times New Roman" w:cs="Times New Roman"/>
          <w:color w:val="000000" w:themeColor="text1"/>
        </w:rPr>
        <w:footnoteReference w:id="20"/>
      </w:r>
      <w:r w:rsidRPr="00631F8A">
        <w:rPr>
          <w:rFonts w:ascii="Times New Roman" w:hAnsi="Times New Roman" w:cs="Times New Roman"/>
          <w:color w:val="000000" w:themeColor="text1"/>
        </w:rPr>
        <w:t xml:space="preserve"> Le Parlement européen est ainsi perçu comme un parlement « faible » ne répondant pas aux définitions d’un parlement « ordinaire » ou un « véritable » parlement au sens commun du terme.</w:t>
      </w:r>
      <w:r w:rsidRPr="00631F8A">
        <w:rPr>
          <w:rStyle w:val="Appelnotedebasdep"/>
          <w:rFonts w:ascii="Times New Roman" w:hAnsi="Times New Roman" w:cs="Times New Roman"/>
          <w:color w:val="000000" w:themeColor="text1"/>
        </w:rPr>
        <w:footnoteReference w:id="21"/>
      </w:r>
      <w:r w:rsidRPr="00631F8A">
        <w:rPr>
          <w:rFonts w:ascii="Times New Roman" w:hAnsi="Times New Roman" w:cs="Times New Roman"/>
          <w:color w:val="000000" w:themeColor="text1"/>
        </w:rPr>
        <w:t xml:space="preserve"> Le Parlement européen ne possèderait pas la capacité de traduire les préférences électorales en un programme législatif.</w:t>
      </w:r>
      <w:r w:rsidRPr="00631F8A">
        <w:rPr>
          <w:rStyle w:val="Appelnotedebasdep"/>
          <w:rFonts w:ascii="Times New Roman" w:hAnsi="Times New Roman" w:cs="Times New Roman"/>
          <w:color w:val="000000" w:themeColor="text1"/>
        </w:rPr>
        <w:footnoteReference w:id="22"/>
      </w:r>
      <w:r w:rsidRPr="00631F8A">
        <w:rPr>
          <w:rFonts w:ascii="Times New Roman" w:hAnsi="Times New Roman" w:cs="Times New Roman"/>
          <w:color w:val="000000" w:themeColor="text1"/>
        </w:rPr>
        <w:t xml:space="preserve"> Plus particulièrement, c’est à travers un jeu de miroir avec les parlements nationaux que les critiques les plus vives sont adressées à l’égard du Parlement européen. L’absence de pouvoir d’initiative législative « direct » du Parlement européen est considérée comme une anomalie parmi les assemblées législatives des systèmes démocratiques, qui ont généralement le droit formel d’initiative législative « direct ».</w:t>
      </w:r>
      <w:r w:rsidRPr="00631F8A">
        <w:rPr>
          <w:rStyle w:val="Appelnotedebasdep"/>
          <w:rFonts w:ascii="Times New Roman" w:hAnsi="Times New Roman" w:cs="Times New Roman"/>
          <w:color w:val="000000" w:themeColor="text1"/>
        </w:rPr>
        <w:footnoteReference w:id="23"/>
      </w:r>
      <w:r w:rsidRPr="00631F8A">
        <w:rPr>
          <w:rFonts w:ascii="Times New Roman" w:hAnsi="Times New Roman" w:cs="Times New Roman"/>
          <w:color w:val="000000" w:themeColor="text1"/>
        </w:rPr>
        <w:t xml:space="preserve"> </w:t>
      </w:r>
    </w:p>
    <w:p w:rsidR="009A1106" w:rsidRPr="00631F8A" w:rsidRDefault="009A1106" w:rsidP="009A1106">
      <w:pPr>
        <w:pStyle w:val="Paragraphedeliste"/>
        <w:tabs>
          <w:tab w:val="left" w:pos="284"/>
        </w:tabs>
        <w:spacing w:before="120" w:after="120" w:line="360" w:lineRule="auto"/>
        <w:ind w:left="0"/>
        <w:contextualSpacing w:val="0"/>
        <w:jc w:val="both"/>
        <w:rPr>
          <w:rFonts w:ascii="Times New Roman" w:eastAsia="Times New Roman" w:hAnsi="Times New Roman" w:cs="Times New Roman"/>
          <w:color w:val="000000" w:themeColor="text1"/>
          <w:lang w:eastAsia="fr-FR"/>
        </w:rPr>
      </w:pPr>
      <w:r w:rsidRPr="00631F8A">
        <w:rPr>
          <w:rFonts w:ascii="Times New Roman" w:eastAsia="Times New Roman" w:hAnsi="Times New Roman" w:cs="Times New Roman"/>
          <w:color w:val="000000" w:themeColor="text1"/>
          <w:lang w:eastAsia="fr-FR"/>
        </w:rPr>
        <w:tab/>
        <w:t xml:space="preserve">L’analogie avec les parlements nationaux semble </w:t>
      </w:r>
      <w:r w:rsidRPr="00631F8A">
        <w:rPr>
          <w:rFonts w:ascii="Times New Roman" w:eastAsia="Times New Roman" w:hAnsi="Times New Roman" w:cs="Times New Roman"/>
          <w:i/>
          <w:color w:val="000000" w:themeColor="text1"/>
          <w:lang w:eastAsia="fr-FR"/>
        </w:rPr>
        <w:t>prima facie</w:t>
      </w:r>
      <w:r w:rsidRPr="00631F8A">
        <w:rPr>
          <w:rFonts w:ascii="Times New Roman" w:eastAsia="Times New Roman" w:hAnsi="Times New Roman" w:cs="Times New Roman"/>
          <w:color w:val="000000" w:themeColor="text1"/>
          <w:lang w:eastAsia="fr-FR"/>
        </w:rPr>
        <w:t xml:space="preserve"> couler de source : l'institution qui ressemble le plus à un parlement national, à savoir un organe représentatif élu directement par les citoyens, est naturellement le Parlement européen.</w:t>
      </w:r>
      <w:r w:rsidRPr="00631F8A">
        <w:rPr>
          <w:rStyle w:val="Appelnotedebasdep"/>
          <w:rFonts w:ascii="Times New Roman" w:eastAsia="Times New Roman" w:hAnsi="Times New Roman" w:cs="Times New Roman"/>
          <w:color w:val="000000" w:themeColor="text1"/>
          <w:lang w:eastAsia="fr-FR"/>
        </w:rPr>
        <w:footnoteReference w:id="24"/>
      </w:r>
      <w:r w:rsidRPr="00631F8A">
        <w:rPr>
          <w:rFonts w:ascii="Times New Roman" w:eastAsia="Times New Roman" w:hAnsi="Times New Roman" w:cs="Times New Roman"/>
          <w:color w:val="000000" w:themeColor="text1"/>
          <w:lang w:eastAsia="fr-FR"/>
        </w:rPr>
        <w:t xml:space="preserve"> Alors que la Communauté européenne du charbon et de l’acier instituait une Assemblée composée « des représentants des peuples des </w:t>
      </w:r>
      <w:r w:rsidRPr="00631F8A">
        <w:rPr>
          <w:rFonts w:ascii="Times New Roman" w:hAnsi="Times New Roman" w:cs="Times New Roman"/>
          <w:color w:val="000000" w:themeColor="text1"/>
        </w:rPr>
        <w:t>États</w:t>
      </w:r>
      <w:r w:rsidRPr="00631F8A">
        <w:rPr>
          <w:rFonts w:ascii="Times New Roman" w:eastAsia="Times New Roman" w:hAnsi="Times New Roman" w:cs="Times New Roman"/>
          <w:color w:val="000000" w:themeColor="text1"/>
          <w:lang w:eastAsia="fr-FR"/>
        </w:rPr>
        <w:t xml:space="preserve"> réunis dans la Communauté »,</w:t>
      </w:r>
      <w:r w:rsidRPr="00631F8A">
        <w:rPr>
          <w:rStyle w:val="Appelnotedebasdep"/>
          <w:rFonts w:ascii="Times New Roman" w:eastAsia="Times New Roman" w:hAnsi="Times New Roman" w:cs="Times New Roman"/>
          <w:color w:val="000000" w:themeColor="text1"/>
          <w:lang w:eastAsia="fr-FR"/>
        </w:rPr>
        <w:footnoteReference w:id="25"/>
      </w:r>
      <w:r w:rsidRPr="00631F8A">
        <w:rPr>
          <w:rFonts w:ascii="Times New Roman" w:eastAsia="Times New Roman" w:hAnsi="Times New Roman" w:cs="Times New Roman"/>
          <w:color w:val="000000" w:themeColor="text1"/>
          <w:lang w:eastAsia="fr-FR"/>
        </w:rPr>
        <w:t xml:space="preserve"> le Parlement européen </w:t>
      </w:r>
      <w:r w:rsidRPr="00631F8A">
        <w:rPr>
          <w:rFonts w:ascii="Times New Roman" w:eastAsia="Times New Roman" w:hAnsi="Times New Roman" w:cs="Times New Roman"/>
          <w:color w:val="000000" w:themeColor="text1"/>
          <w:lang w:eastAsia="fr-FR"/>
        </w:rPr>
        <w:lastRenderedPageBreak/>
        <w:t>est aujourd’hui composé de représentants des citoyens de l’Union,</w:t>
      </w:r>
      <w:r w:rsidRPr="00631F8A">
        <w:rPr>
          <w:rStyle w:val="Appelnotedebasdep"/>
          <w:rFonts w:ascii="Times New Roman" w:eastAsia="Times New Roman" w:hAnsi="Times New Roman" w:cs="Times New Roman"/>
          <w:color w:val="000000" w:themeColor="text1"/>
          <w:lang w:eastAsia="fr-FR"/>
        </w:rPr>
        <w:footnoteReference w:id="26"/>
      </w:r>
      <w:r w:rsidRPr="00631F8A">
        <w:rPr>
          <w:rFonts w:ascii="Times New Roman" w:eastAsia="Times New Roman" w:hAnsi="Times New Roman" w:cs="Times New Roman"/>
          <w:color w:val="000000" w:themeColor="text1"/>
          <w:lang w:eastAsia="fr-FR"/>
        </w:rPr>
        <w:t xml:space="preserve"> élus au suffrage universel direct.</w:t>
      </w:r>
      <w:r w:rsidRPr="00631F8A">
        <w:rPr>
          <w:rStyle w:val="Appelnotedebasdep"/>
          <w:rFonts w:ascii="Times New Roman" w:eastAsia="Times New Roman" w:hAnsi="Times New Roman" w:cs="Times New Roman"/>
          <w:color w:val="000000" w:themeColor="text1"/>
          <w:lang w:eastAsia="fr-FR"/>
        </w:rPr>
        <w:footnoteReference w:id="27"/>
      </w:r>
      <w:r w:rsidRPr="00631F8A">
        <w:rPr>
          <w:rFonts w:ascii="Times New Roman" w:eastAsia="Times New Roman" w:hAnsi="Times New Roman" w:cs="Times New Roman"/>
          <w:color w:val="000000" w:themeColor="text1"/>
          <w:lang w:eastAsia="fr-FR"/>
        </w:rPr>
        <w:t xml:space="preserve"> Toutefois, le rapprochement avec les parlements nationaux pose question : est-il si évident de conférer un pouvoir d’initiative législative « direct » au Parlement européen dans un système institutionnel bien moins caractérisé par le principe de séparation des pouvoirs que par celui d’équilibre institutionnel ?</w:t>
      </w:r>
      <w:r w:rsidRPr="00631F8A">
        <w:rPr>
          <w:rStyle w:val="Appelnotedebasdep"/>
          <w:rFonts w:ascii="Times New Roman" w:eastAsia="Times New Roman" w:hAnsi="Times New Roman" w:cs="Times New Roman"/>
          <w:color w:val="000000" w:themeColor="text1"/>
          <w:lang w:eastAsia="fr-FR"/>
        </w:rPr>
        <w:footnoteReference w:id="28"/>
      </w:r>
      <w:r w:rsidRPr="00631F8A">
        <w:rPr>
          <w:rFonts w:ascii="Times New Roman" w:eastAsia="Times New Roman" w:hAnsi="Times New Roman" w:cs="Times New Roman"/>
          <w:color w:val="000000" w:themeColor="text1"/>
          <w:lang w:eastAsia="fr-FR"/>
        </w:rPr>
        <w:t xml:space="preserve"> De manière provocatrice, la volonté d’octroyer un pouvoir d’initiative législative « direct » au Parlement européen ne repose-t-elle pas sur une version « fantasmée » d’un tel pouvoir au sein des systèmes nationaux ? Sur un autre volet, il semble pertinent de questionner la prétention selon laquelle le Parlement européen ne participe pas ou peu à </w:t>
      </w:r>
      <w:r w:rsidRPr="00631F8A">
        <w:rPr>
          <w:rFonts w:ascii="Times New Roman" w:hAnsi="Times New Roman" w:cs="Times New Roman"/>
          <w:color w:val="000000" w:themeColor="text1"/>
        </w:rPr>
        <w:t xml:space="preserve">la définition de l’agenda </w:t>
      </w:r>
      <w:r>
        <w:rPr>
          <w:rFonts w:ascii="Times New Roman" w:hAnsi="Times New Roman" w:cs="Times New Roman"/>
          <w:color w:val="000000" w:themeColor="text1"/>
        </w:rPr>
        <w:t>législatif</w:t>
      </w:r>
      <w:r w:rsidRPr="00631F8A">
        <w:rPr>
          <w:rFonts w:ascii="Times New Roman" w:hAnsi="Times New Roman" w:cs="Times New Roman"/>
          <w:color w:val="000000" w:themeColor="text1"/>
        </w:rPr>
        <w:t xml:space="preserve"> de l’Union européenne, en raison de l’absence </w:t>
      </w:r>
      <w:r w:rsidRPr="00631F8A">
        <w:rPr>
          <w:rFonts w:ascii="Times New Roman" w:eastAsia="Times New Roman" w:hAnsi="Times New Roman" w:cs="Times New Roman"/>
          <w:color w:val="000000" w:themeColor="text1"/>
          <w:lang w:eastAsia="fr-FR"/>
        </w:rPr>
        <w:t>d’un pouvoir d’initiative législative « direct »</w:t>
      </w:r>
      <w:r w:rsidRPr="00631F8A">
        <w:rPr>
          <w:rFonts w:ascii="Times New Roman" w:hAnsi="Times New Roman" w:cs="Times New Roman"/>
          <w:color w:val="000000" w:themeColor="text1"/>
        </w:rPr>
        <w:t xml:space="preserve">. Singulièrement, deux aspects méritent toute notre attention : d’une part, </w:t>
      </w:r>
      <w:r w:rsidRPr="00631F8A">
        <w:rPr>
          <w:rFonts w:ascii="Times New Roman" w:eastAsia="Times New Roman" w:hAnsi="Times New Roman" w:cs="Times New Roman"/>
          <w:color w:val="000000" w:themeColor="text1"/>
          <w:lang w:eastAsia="fr-FR"/>
        </w:rPr>
        <w:t>quel rôle le pouvoir d’initiative législative « indirect » du Parlement européen joue-t-il dans la capacité du Parlement européen à définir l’agenda des politiques européennes (</w:t>
      </w:r>
      <w:r>
        <w:rPr>
          <w:rFonts w:ascii="Times New Roman" w:eastAsia="Times New Roman" w:hAnsi="Times New Roman" w:cs="Times New Roman"/>
          <w:b/>
          <w:color w:val="000000" w:themeColor="text1"/>
          <w:lang w:eastAsia="fr-FR"/>
        </w:rPr>
        <w:t>Section</w:t>
      </w:r>
      <w:r w:rsidRPr="00631F8A">
        <w:rPr>
          <w:rFonts w:ascii="Times New Roman" w:eastAsia="Times New Roman" w:hAnsi="Times New Roman" w:cs="Times New Roman"/>
          <w:b/>
          <w:color w:val="000000" w:themeColor="text1"/>
          <w:lang w:eastAsia="fr-FR"/>
        </w:rPr>
        <w:t xml:space="preserve"> 1</w:t>
      </w:r>
      <w:r w:rsidRPr="00631F8A">
        <w:rPr>
          <w:rFonts w:ascii="Times New Roman" w:eastAsia="Times New Roman" w:hAnsi="Times New Roman" w:cs="Times New Roman"/>
          <w:color w:val="000000" w:themeColor="text1"/>
          <w:lang w:eastAsia="fr-FR"/>
        </w:rPr>
        <w:t>) ? D’autre part, dans quelle mesure un pouvoir d’initiative législative « direct » du Parlement européen serait-il souhaitable et envisageable et en quoi pourrait-il suppléer aux carences du pouvoir d’initiative législative « indirect » (</w:t>
      </w:r>
      <w:r>
        <w:rPr>
          <w:rFonts w:ascii="Times New Roman" w:eastAsia="Times New Roman" w:hAnsi="Times New Roman" w:cs="Times New Roman"/>
          <w:b/>
          <w:color w:val="000000" w:themeColor="text1"/>
          <w:lang w:eastAsia="fr-FR"/>
        </w:rPr>
        <w:t>Section</w:t>
      </w:r>
      <w:r w:rsidRPr="00631F8A">
        <w:rPr>
          <w:rFonts w:ascii="Times New Roman" w:eastAsia="Times New Roman" w:hAnsi="Times New Roman" w:cs="Times New Roman"/>
          <w:b/>
          <w:color w:val="000000" w:themeColor="text1"/>
          <w:lang w:eastAsia="fr-FR"/>
        </w:rPr>
        <w:t xml:space="preserve"> 2</w:t>
      </w:r>
      <w:r w:rsidRPr="00631F8A">
        <w:rPr>
          <w:rFonts w:ascii="Times New Roman" w:eastAsia="Times New Roman" w:hAnsi="Times New Roman" w:cs="Times New Roman"/>
          <w:color w:val="000000" w:themeColor="text1"/>
          <w:lang w:eastAsia="fr-FR"/>
        </w:rPr>
        <w:t>) ?</w:t>
      </w:r>
    </w:p>
    <w:p w:rsidR="009A1106" w:rsidRPr="00631F8A" w:rsidRDefault="009A1106" w:rsidP="009A1106">
      <w:pPr>
        <w:pStyle w:val="Titre1"/>
        <w:spacing w:before="120" w:after="120" w:line="360" w:lineRule="auto"/>
        <w:jc w:val="both"/>
        <w:rPr>
          <w:rFonts w:ascii="Times New Roman" w:hAnsi="Times New Roman" w:cs="Times New Roman"/>
          <w:b/>
          <w:color w:val="000000" w:themeColor="text1"/>
          <w:sz w:val="24"/>
          <w:szCs w:val="24"/>
          <w:lang w:val="fr-FR"/>
        </w:rPr>
      </w:pPr>
      <w:bookmarkStart w:id="2" w:name="_Toc7535835"/>
      <w:r>
        <w:rPr>
          <w:rFonts w:ascii="Times New Roman" w:hAnsi="Times New Roman" w:cs="Times New Roman"/>
          <w:b/>
          <w:color w:val="000000" w:themeColor="text1"/>
          <w:sz w:val="24"/>
          <w:szCs w:val="24"/>
          <w:lang w:val="fr-FR"/>
        </w:rPr>
        <w:t>Section</w:t>
      </w:r>
      <w:r w:rsidRPr="00631F8A">
        <w:rPr>
          <w:rFonts w:ascii="Times New Roman" w:hAnsi="Times New Roman" w:cs="Times New Roman"/>
          <w:b/>
          <w:color w:val="000000" w:themeColor="text1"/>
          <w:sz w:val="24"/>
          <w:szCs w:val="24"/>
          <w:lang w:val="fr-FR"/>
        </w:rPr>
        <w:t xml:space="preserve"> 1. Le pouvoir d’initiative législative indirect du Parlement européen : un instrument infructueux ?</w:t>
      </w:r>
      <w:bookmarkEnd w:id="2"/>
    </w:p>
    <w:p w:rsidR="009A1106" w:rsidRPr="00631F8A"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color w:val="000000" w:themeColor="text1"/>
          <w:lang w:val="fr-FR"/>
        </w:rPr>
        <w:tab/>
        <w:t>En dépit d’un pouvoir d’initiative législative direct, le Parlement européen dispose d’une capacité à inciter la Commission à présenter une proposition législative en vertu de l’article 225 TFUE</w:t>
      </w:r>
      <w:r w:rsidR="00B87E37">
        <w:rPr>
          <w:color w:val="000000" w:themeColor="text1"/>
          <w:lang w:val="fr-FR"/>
        </w:rPr>
        <w:t xml:space="preserve"> susmentionné</w:t>
      </w:r>
      <w:r w:rsidRPr="00631F8A">
        <w:rPr>
          <w:color w:val="000000" w:themeColor="text1"/>
          <w:lang w:val="fr-FR"/>
        </w:rPr>
        <w:t>. S’il est indéniable qu’un tel pouvoir d’initiative indirect présente un potentiel remarquable en vue de la participation du Parlement européen à la définition de l’agenda des politiques européennes (</w:t>
      </w:r>
      <w:r w:rsidRPr="00631F8A">
        <w:rPr>
          <w:b/>
          <w:color w:val="000000" w:themeColor="text1"/>
          <w:lang w:val="fr-FR"/>
        </w:rPr>
        <w:t>§1</w:t>
      </w:r>
      <w:r w:rsidRPr="00631F8A">
        <w:rPr>
          <w:color w:val="000000" w:themeColor="text1"/>
          <w:lang w:val="fr-FR"/>
        </w:rPr>
        <w:t>), les maintes carences liées à ce pouvoir font de ce dernier un instrument passablement infructueux (</w:t>
      </w:r>
      <w:r w:rsidRPr="00631F8A">
        <w:rPr>
          <w:b/>
          <w:color w:val="000000" w:themeColor="text1"/>
          <w:lang w:val="fr-FR"/>
        </w:rPr>
        <w:t>§2</w:t>
      </w:r>
      <w:r w:rsidRPr="00631F8A">
        <w:rPr>
          <w:color w:val="000000" w:themeColor="text1"/>
          <w:lang w:val="fr-FR"/>
        </w:rPr>
        <w:t>).</w:t>
      </w:r>
    </w:p>
    <w:p w:rsidR="009A1106" w:rsidRPr="00631F8A" w:rsidRDefault="009A1106" w:rsidP="009A1106">
      <w:pPr>
        <w:pStyle w:val="Titre1"/>
        <w:spacing w:before="120" w:after="120" w:line="360" w:lineRule="auto"/>
        <w:jc w:val="both"/>
        <w:rPr>
          <w:rFonts w:ascii="Times New Roman" w:hAnsi="Times New Roman" w:cs="Times New Roman"/>
          <w:b/>
          <w:color w:val="000000" w:themeColor="text1"/>
          <w:sz w:val="24"/>
          <w:szCs w:val="24"/>
          <w:lang w:val="fr-FR"/>
        </w:rPr>
      </w:pPr>
      <w:bookmarkStart w:id="3" w:name="_Toc7535836"/>
      <w:r w:rsidRPr="00631F8A">
        <w:rPr>
          <w:rFonts w:ascii="Times New Roman" w:hAnsi="Times New Roman" w:cs="Times New Roman"/>
          <w:b/>
          <w:color w:val="000000" w:themeColor="text1"/>
          <w:sz w:val="24"/>
          <w:szCs w:val="24"/>
          <w:lang w:val="fr-FR"/>
        </w:rPr>
        <w:t>§1. La reconnaissance d’un pouvoir d’initiative législative indirect</w:t>
      </w:r>
      <w:bookmarkEnd w:id="3"/>
    </w:p>
    <w:p w:rsidR="009A1106" w:rsidRPr="00631F8A"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color w:val="000000" w:themeColor="text1"/>
          <w:lang w:val="fr-FR"/>
        </w:rPr>
        <w:tab/>
        <w:t xml:space="preserve">Avant de considérer l’impact du pouvoir d’initiative législative indirect, il convient au préalable de mettre en exergue deux dimensions fondamentales de ce pouvoir, à savoir son </w:t>
      </w:r>
      <w:r w:rsidRPr="00631F8A">
        <w:rPr>
          <w:color w:val="000000" w:themeColor="text1"/>
          <w:lang w:val="fr-FR"/>
        </w:rPr>
        <w:lastRenderedPageBreak/>
        <w:t>émergence au sein du système institutionnel de l’Union européenne (</w:t>
      </w:r>
      <w:r w:rsidRPr="00631F8A">
        <w:rPr>
          <w:b/>
          <w:color w:val="000000" w:themeColor="text1"/>
          <w:lang w:val="fr-FR"/>
        </w:rPr>
        <w:t>A</w:t>
      </w:r>
      <w:r w:rsidRPr="00631F8A">
        <w:rPr>
          <w:color w:val="000000" w:themeColor="text1"/>
          <w:lang w:val="fr-FR"/>
        </w:rPr>
        <w:t>) ainsi que sa nature indirecte (</w:t>
      </w:r>
      <w:r w:rsidRPr="00631F8A">
        <w:rPr>
          <w:b/>
          <w:color w:val="000000" w:themeColor="text1"/>
          <w:lang w:val="fr-FR"/>
        </w:rPr>
        <w:t>B</w:t>
      </w:r>
      <w:r w:rsidRPr="00631F8A">
        <w:rPr>
          <w:color w:val="000000" w:themeColor="text1"/>
          <w:lang w:val="fr-FR"/>
        </w:rPr>
        <w:t xml:space="preserve">).  </w:t>
      </w:r>
    </w:p>
    <w:p w:rsidR="009A1106" w:rsidRPr="00144098" w:rsidRDefault="009A1106" w:rsidP="009A1106">
      <w:pPr>
        <w:pStyle w:val="Titre2"/>
        <w:spacing w:before="120" w:after="120" w:line="360" w:lineRule="auto"/>
        <w:rPr>
          <w:rFonts w:ascii="Times New Roman" w:hAnsi="Times New Roman" w:cs="Times New Roman"/>
          <w:b/>
          <w:smallCaps/>
          <w:color w:val="000000" w:themeColor="text1"/>
          <w:sz w:val="24"/>
          <w:szCs w:val="24"/>
          <w:lang w:val="fr-FR"/>
        </w:rPr>
      </w:pPr>
      <w:r w:rsidRPr="00144098">
        <w:rPr>
          <w:rFonts w:ascii="Times New Roman" w:hAnsi="Times New Roman" w:cs="Times New Roman"/>
          <w:b/>
          <w:color w:val="000000" w:themeColor="text1"/>
          <w:sz w:val="24"/>
          <w:szCs w:val="24"/>
          <w:lang w:val="fr-FR"/>
        </w:rPr>
        <w:tab/>
      </w:r>
      <w:bookmarkStart w:id="4" w:name="_Toc7535837"/>
      <w:r w:rsidRPr="00144098">
        <w:rPr>
          <w:rFonts w:ascii="Times New Roman" w:hAnsi="Times New Roman" w:cs="Times New Roman"/>
          <w:b/>
          <w:color w:val="000000" w:themeColor="text1"/>
          <w:sz w:val="24"/>
          <w:szCs w:val="24"/>
          <w:lang w:val="fr-FR"/>
        </w:rPr>
        <w:t>A.</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L’émergence du pouvoir d’initiative indirect</w:t>
      </w:r>
      <w:bookmarkEnd w:id="4"/>
      <w:r w:rsidRPr="00144098">
        <w:rPr>
          <w:rFonts w:ascii="Times New Roman" w:hAnsi="Times New Roman" w:cs="Times New Roman"/>
          <w:b/>
          <w:color w:val="000000" w:themeColor="text1"/>
          <w:sz w:val="24"/>
          <w:szCs w:val="24"/>
          <w:lang w:val="fr-FR"/>
        </w:rPr>
        <w:t xml:space="preserve"> </w:t>
      </w:r>
    </w:p>
    <w:p w:rsidR="009A1106" w:rsidRPr="00631F8A"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color w:val="000000" w:themeColor="text1"/>
          <w:lang w:val="fr-FR"/>
        </w:rPr>
        <w:tab/>
        <w:t xml:space="preserve">C’est sous l’aphorisme « la Commission propose, le Conseil dispose » que l’organisation du pouvoir législatif dans le système institutionnel européen mis </w:t>
      </w:r>
      <w:r>
        <w:rPr>
          <w:color w:val="000000" w:themeColor="text1"/>
          <w:lang w:val="fr-FR"/>
        </w:rPr>
        <w:t>sur pied</w:t>
      </w:r>
      <w:r w:rsidRPr="00631F8A">
        <w:rPr>
          <w:color w:val="000000" w:themeColor="text1"/>
          <w:lang w:val="fr-FR"/>
        </w:rPr>
        <w:t xml:space="preserve"> en 1951 et 1957 est sans doute l</w:t>
      </w:r>
      <w:r w:rsidR="002160DD">
        <w:rPr>
          <w:color w:val="000000" w:themeColor="text1"/>
          <w:lang w:val="fr-FR"/>
        </w:rPr>
        <w:t>a</w:t>
      </w:r>
      <w:r w:rsidRPr="00631F8A">
        <w:rPr>
          <w:color w:val="000000" w:themeColor="text1"/>
          <w:lang w:val="fr-FR"/>
        </w:rPr>
        <w:t xml:space="preserve"> mieux schématisé</w:t>
      </w:r>
      <w:r w:rsidR="00627C2C">
        <w:rPr>
          <w:color w:val="000000" w:themeColor="text1"/>
          <w:lang w:val="fr-FR"/>
        </w:rPr>
        <w:t>e</w:t>
      </w:r>
      <w:r w:rsidRPr="00631F8A">
        <w:rPr>
          <w:color w:val="000000" w:themeColor="text1"/>
          <w:lang w:val="fr-FR"/>
        </w:rPr>
        <w:t>.</w:t>
      </w:r>
      <w:r w:rsidRPr="00631F8A">
        <w:rPr>
          <w:rStyle w:val="Appelnotedebasdep"/>
          <w:color w:val="000000" w:themeColor="text1"/>
          <w:lang w:val="fr-FR"/>
        </w:rPr>
        <w:footnoteReference w:id="29"/>
      </w:r>
      <w:r w:rsidRPr="00631F8A">
        <w:rPr>
          <w:color w:val="000000" w:themeColor="text1"/>
          <w:lang w:val="fr-FR"/>
        </w:rPr>
        <w:t xml:space="preserve"> En effet, à l’origine de la construction européenne, le pouvoir législatif était l’apanage du Conseil, détenteur du pouvoir décisionnel, et de la Commission, détentrice du monopole de l’initiative.</w:t>
      </w:r>
      <w:r w:rsidRPr="00631F8A">
        <w:rPr>
          <w:rStyle w:val="Appelnotedebasdep"/>
          <w:color w:val="000000" w:themeColor="text1"/>
          <w:lang w:val="fr-FR"/>
        </w:rPr>
        <w:footnoteReference w:id="30"/>
      </w:r>
      <w:r w:rsidRPr="00631F8A">
        <w:rPr>
          <w:color w:val="000000" w:themeColor="text1"/>
          <w:lang w:val="fr-FR"/>
        </w:rPr>
        <w:t xml:space="preserve"> S’inscrivant dans le climat de méfiance à l’égard du processus politique dans l'Europe de l'après-guerre,</w:t>
      </w:r>
      <w:r w:rsidRPr="00631F8A">
        <w:rPr>
          <w:rStyle w:val="Appelnotedebasdep"/>
          <w:color w:val="000000" w:themeColor="text1"/>
          <w:lang w:val="fr-FR"/>
        </w:rPr>
        <w:footnoteReference w:id="31"/>
      </w:r>
      <w:r w:rsidRPr="00631F8A">
        <w:rPr>
          <w:color w:val="000000" w:themeColor="text1"/>
          <w:lang w:val="fr-FR"/>
        </w:rPr>
        <w:t xml:space="preserve"> la construction européenne et la protection de l'intérêt général de l’Union étaient confiées à une autorité technocratique indépendante, dont les décisions devaient être légitimées par son expertise et son efficacité.</w:t>
      </w:r>
      <w:r w:rsidRPr="00631F8A">
        <w:rPr>
          <w:rStyle w:val="Appelnotedebasdep"/>
          <w:color w:val="000000" w:themeColor="text1"/>
          <w:lang w:val="fr-FR"/>
        </w:rPr>
        <w:footnoteReference w:id="32"/>
      </w:r>
      <w:r w:rsidRPr="00631F8A">
        <w:rPr>
          <w:color w:val="000000" w:themeColor="text1"/>
          <w:lang w:val="fr-FR"/>
        </w:rPr>
        <w:t xml:space="preserve"> En exerçant son pouvoir d’initiative, la Commission était chargée d’exprimer et de veiller sur l’intérêt général de l’Union, qui ne pouvait être confondu avec les intérêts des États membres fondateurs ou encore les intérêts des États membres dominants.</w:t>
      </w:r>
      <w:r w:rsidRPr="00631F8A">
        <w:rPr>
          <w:rStyle w:val="Appelnotedebasdep"/>
          <w:color w:val="000000" w:themeColor="text1"/>
          <w:lang w:val="fr-FR"/>
        </w:rPr>
        <w:footnoteReference w:id="33"/>
      </w:r>
      <w:r w:rsidRPr="00631F8A">
        <w:rPr>
          <w:color w:val="000000" w:themeColor="text1"/>
          <w:lang w:val="fr-FR"/>
        </w:rPr>
        <w:t xml:space="preserve"> En conférant un monopole d’initiative à la Commission, il était attendu que cette dernière serait à même de tenir compte des intérêts de tous les États membres</w:t>
      </w:r>
      <w:r w:rsidRPr="00631F8A">
        <w:rPr>
          <w:rStyle w:val="Appelnotedebasdep"/>
          <w:color w:val="000000" w:themeColor="text1"/>
          <w:lang w:val="fr-FR"/>
        </w:rPr>
        <w:footnoteReference w:id="34"/>
      </w:r>
      <w:r w:rsidRPr="00631F8A">
        <w:rPr>
          <w:bCs/>
          <w:color w:val="000000" w:themeColor="text1"/>
          <w:lang w:val="fr-FR"/>
        </w:rPr>
        <w:t xml:space="preserve"> et</w:t>
      </w:r>
      <w:r w:rsidRPr="00631F8A">
        <w:rPr>
          <w:color w:val="000000" w:themeColor="text1"/>
          <w:lang w:val="fr-FR"/>
        </w:rPr>
        <w:t xml:space="preserve"> d’adopter des propositions législatives s’inspirant des législations nationales les plus avancées.</w:t>
      </w:r>
      <w:r w:rsidRPr="00631F8A">
        <w:rPr>
          <w:rStyle w:val="Appelnotedebasdep"/>
          <w:color w:val="000000" w:themeColor="text1"/>
          <w:lang w:val="fr-FR"/>
        </w:rPr>
        <w:footnoteReference w:id="35"/>
      </w:r>
      <w:r w:rsidRPr="00631F8A">
        <w:rPr>
          <w:color w:val="000000" w:themeColor="text1"/>
          <w:lang w:val="fr-FR"/>
        </w:rPr>
        <w:t xml:space="preserve"> </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Parallèlement, le Parlement européen n’intervenait au plan législatif que de manière très limitée. Comme le rappelle à juste titre le professeur C</w:t>
      </w:r>
      <w:r w:rsidRPr="00631F8A">
        <w:rPr>
          <w:smallCaps/>
          <w:color w:val="000000" w:themeColor="text1"/>
          <w:lang w:val="fr-FR"/>
        </w:rPr>
        <w:t xml:space="preserve">osta, </w:t>
      </w:r>
      <w:r w:rsidRPr="00631F8A">
        <w:rPr>
          <w:color w:val="000000" w:themeColor="text1"/>
          <w:lang w:val="fr-FR"/>
        </w:rPr>
        <w:t>l’Assemblée était initialement conçue comme une institution de contrôle et non comme une institution titulaire d’une capacité normative.</w:t>
      </w:r>
      <w:r w:rsidRPr="00631F8A">
        <w:rPr>
          <w:rStyle w:val="Appelnotedebasdep"/>
          <w:color w:val="000000" w:themeColor="text1"/>
          <w:lang w:val="fr-FR"/>
        </w:rPr>
        <w:footnoteReference w:id="36"/>
      </w:r>
      <w:r w:rsidRPr="00631F8A">
        <w:rPr>
          <w:color w:val="000000" w:themeColor="text1"/>
          <w:lang w:val="fr-FR"/>
        </w:rPr>
        <w:t xml:space="preserve"> Loin de partager sur un pied d’égalité avec le Conseil la fonction législative, le Parlement ne disposait que d’un rôle consultatif.</w:t>
      </w:r>
      <w:r w:rsidRPr="00631F8A">
        <w:rPr>
          <w:color w:val="000000" w:themeColor="text1"/>
          <w:vertAlign w:val="superscript"/>
          <w:lang w:val="fr-FR"/>
        </w:rPr>
        <w:footnoteReference w:id="37"/>
      </w:r>
      <w:r w:rsidRPr="00631F8A">
        <w:rPr>
          <w:color w:val="000000" w:themeColor="text1"/>
          <w:lang w:val="fr-FR"/>
        </w:rPr>
        <w:t xml:space="preserve"> Malgré cela, depuis 1957, </w:t>
      </w:r>
      <w:r w:rsidRPr="00631F8A">
        <w:rPr>
          <w:color w:val="000000" w:themeColor="text1"/>
          <w:lang w:val="fr-FR"/>
        </w:rPr>
        <w:lastRenderedPageBreak/>
        <w:t>ce dernier disposait d’un droit d’adopter des résolutions « d’initiative »,</w:t>
      </w:r>
      <w:r w:rsidRPr="00631F8A">
        <w:rPr>
          <w:rStyle w:val="Appelnotedebasdep"/>
          <w:color w:val="000000" w:themeColor="text1"/>
          <w:lang w:val="fr-FR"/>
        </w:rPr>
        <w:footnoteReference w:id="38"/>
      </w:r>
      <w:r w:rsidRPr="00631F8A">
        <w:rPr>
          <w:color w:val="000000" w:themeColor="text1"/>
          <w:lang w:val="fr-FR"/>
        </w:rPr>
        <w:t xml:space="preserve"> en sus des résolutions « portant avis du Parlement européen ».</w:t>
      </w:r>
      <w:r w:rsidRPr="00631F8A">
        <w:rPr>
          <w:rStyle w:val="Appelnotedebasdep"/>
          <w:color w:val="000000" w:themeColor="text1"/>
          <w:lang w:val="fr-FR"/>
        </w:rPr>
        <w:footnoteReference w:id="39"/>
      </w:r>
      <w:r w:rsidRPr="00631F8A">
        <w:rPr>
          <w:color w:val="000000" w:themeColor="text1"/>
          <w:lang w:val="fr-FR"/>
        </w:rPr>
        <w:t xml:space="preserve"> En effet, les commissions parlementaires disposaient de la possibilité de rédiger un rapport accompagné d’une proposition de résolution destinée à être soumise au vote en séance plénière.</w:t>
      </w:r>
      <w:r w:rsidRPr="00631F8A">
        <w:rPr>
          <w:rStyle w:val="Appelnotedebasdep"/>
          <w:color w:val="000000" w:themeColor="text1"/>
          <w:lang w:val="fr-FR"/>
        </w:rPr>
        <w:footnoteReference w:id="40"/>
      </w:r>
      <w:r w:rsidRPr="00631F8A">
        <w:rPr>
          <w:color w:val="000000" w:themeColor="text1"/>
          <w:lang w:val="fr-FR"/>
        </w:rPr>
        <w:t xml:space="preserve"> Comme en témoigne l’article 28 du Règlement du Parlement européen de 1962, tout représentant pouvait déposer une proposition de résolution </w:t>
      </w:r>
      <w:r w:rsidRPr="00631F8A">
        <w:rPr>
          <w:iCs/>
          <w:color w:val="000000" w:themeColor="text1"/>
          <w:lang w:val="fr-FR"/>
        </w:rPr>
        <w:t>à l’adresse de la Haute Autorité, des Commissions européennes ou des Conseils, à la seule condition que celle-ci</w:t>
      </w:r>
      <w:r w:rsidRPr="00631F8A">
        <w:rPr>
          <w:color w:val="000000" w:themeColor="text1"/>
          <w:lang w:val="fr-FR"/>
        </w:rPr>
        <w:t xml:space="preserve"> soit </w:t>
      </w:r>
      <w:r w:rsidRPr="00631F8A">
        <w:rPr>
          <w:iCs/>
          <w:color w:val="000000" w:themeColor="text1"/>
          <w:lang w:val="fr-FR"/>
        </w:rPr>
        <w:t>imprimée, distribuée et renvoyée à la commission compétente</w:t>
      </w:r>
      <w:r w:rsidRPr="00631F8A">
        <w:rPr>
          <w:color w:val="000000" w:themeColor="text1"/>
          <w:lang w:val="fr-FR"/>
        </w:rPr>
        <w:t>.</w:t>
      </w:r>
      <w:r w:rsidRPr="00631F8A">
        <w:rPr>
          <w:rStyle w:val="Appelnotedebasdep"/>
          <w:color w:val="000000" w:themeColor="text1"/>
          <w:lang w:val="fr-FR"/>
        </w:rPr>
        <w:footnoteReference w:id="41"/>
      </w:r>
      <w:r w:rsidRPr="00631F8A">
        <w:rPr>
          <w:color w:val="000000" w:themeColor="text1"/>
          <w:lang w:val="fr-FR"/>
        </w:rPr>
        <w:t xml:space="preserve"> </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Quoique les députés européens se soient auto-conférés le droit d’adopter ces résolutions, en se basant sur leurs pouvoirs de délibération et d’organisation interne,</w:t>
      </w:r>
      <w:r w:rsidRPr="00631F8A">
        <w:rPr>
          <w:rStyle w:val="Appelnotedebasdep"/>
          <w:color w:val="000000" w:themeColor="text1"/>
          <w:lang w:val="fr-FR"/>
        </w:rPr>
        <w:footnoteReference w:id="42"/>
      </w:r>
      <w:r w:rsidRPr="00631F8A">
        <w:rPr>
          <w:color w:val="000000" w:themeColor="text1"/>
          <w:lang w:val="fr-FR"/>
        </w:rPr>
        <w:t xml:space="preserve"> la Commission s’est progressivement engagée à donner suite aux initiatives du Parlement européen. Ainsi, </w:t>
      </w:r>
      <w:r w:rsidRPr="00631F8A">
        <w:rPr>
          <w:bCs/>
          <w:color w:val="000000" w:themeColor="text1"/>
          <w:lang w:val="fr-FR"/>
        </w:rPr>
        <w:t xml:space="preserve">en 1982, la Commission, dans un rapport sur les relations interinstitutionnelles, dit rapport </w:t>
      </w:r>
      <w:r w:rsidRPr="00631F8A">
        <w:rPr>
          <w:bCs/>
          <w:i/>
          <w:color w:val="000000" w:themeColor="text1"/>
          <w:lang w:val="fr-FR"/>
        </w:rPr>
        <w:t>Andriessen</w:t>
      </w:r>
      <w:r w:rsidRPr="00631F8A">
        <w:rPr>
          <w:bCs/>
          <w:color w:val="000000" w:themeColor="text1"/>
          <w:lang w:val="fr-FR"/>
        </w:rPr>
        <w:t>, a rappelé attacher « la plus grande importance aux idées adoptées par le Parlement sous forme de projets de propositions formelles », et s’est engagée à s’inspirer de ces propositions dans la mesure où ces dernières ne soulevaient aucune objection substantielle.</w:t>
      </w:r>
      <w:r w:rsidRPr="00631F8A">
        <w:rPr>
          <w:rStyle w:val="Appelnotedebasdep"/>
          <w:bCs/>
          <w:color w:val="000000" w:themeColor="text1"/>
          <w:lang w:val="fr-FR"/>
        </w:rPr>
        <w:footnoteReference w:id="43"/>
      </w:r>
      <w:r w:rsidRPr="00631F8A">
        <w:rPr>
          <w:bCs/>
          <w:color w:val="000000" w:themeColor="text1"/>
          <w:lang w:val="fr-FR"/>
        </w:rPr>
        <w:t xml:space="preserve">  Dans le cas contraire, la Commission exposait de façon détaillée au Parlement les raisons qui déterminent son attitude.</w:t>
      </w:r>
      <w:r w:rsidRPr="00631F8A">
        <w:rPr>
          <w:rStyle w:val="Appelnotedebasdep"/>
          <w:bCs/>
          <w:color w:val="000000" w:themeColor="text1"/>
          <w:lang w:val="fr-FR"/>
        </w:rPr>
        <w:footnoteReference w:id="44"/>
      </w:r>
      <w:r w:rsidRPr="00631F8A">
        <w:rPr>
          <w:bCs/>
          <w:color w:val="000000" w:themeColor="text1"/>
          <w:lang w:val="fr-FR"/>
        </w:rPr>
        <w:t xml:space="preserve"> En outre, en mars 1983, </w:t>
      </w:r>
      <w:r w:rsidRPr="00631F8A">
        <w:rPr>
          <w:color w:val="000000" w:themeColor="text1"/>
          <w:lang w:val="fr-FR"/>
        </w:rPr>
        <w:t>la Commission s’est engagée à élaborer des rapports semestriels adressés au Parlement sur les suites données à ses résolutions « d'initiative ».</w:t>
      </w:r>
      <w:r w:rsidRPr="00631F8A">
        <w:rPr>
          <w:rStyle w:val="Appelnotedebasdep"/>
          <w:color w:val="000000" w:themeColor="text1"/>
          <w:lang w:val="fr-FR"/>
        </w:rPr>
        <w:footnoteReference w:id="45"/>
      </w:r>
      <w:r w:rsidRPr="00631F8A">
        <w:rPr>
          <w:color w:val="000000" w:themeColor="text1"/>
          <w:lang w:val="fr-FR"/>
        </w:rPr>
        <w:t xml:space="preserve"> </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Un célèbre exemple de résolution « d’initiative » est la résolution du Parlement européen prise en 1982 concernant l’interdiction de l’importation de peaux de bébés phoques.</w:t>
      </w:r>
      <w:r w:rsidRPr="00631F8A">
        <w:rPr>
          <w:rStyle w:val="Appelnotedebasdep"/>
          <w:color w:val="000000" w:themeColor="text1"/>
          <w:lang w:val="fr-FR"/>
        </w:rPr>
        <w:footnoteReference w:id="46"/>
      </w:r>
      <w:r w:rsidRPr="00631F8A">
        <w:rPr>
          <w:color w:val="000000" w:themeColor="text1"/>
          <w:lang w:val="fr-FR"/>
        </w:rPr>
        <w:t xml:space="preserve"> </w:t>
      </w:r>
      <w:r w:rsidRPr="00631F8A">
        <w:rPr>
          <w:bCs/>
          <w:color w:val="000000" w:themeColor="text1"/>
          <w:lang w:val="fr-FR"/>
        </w:rPr>
        <w:t>Malgré les réticences initiales du Conseil et de la Commission, la résolution, abondamment soutenue par l’opinion publique, connut un sort favorable en 1983 avec l’adoption de la  directive 83/129/CEE du Conseil concernant l'importation dans les États membres de peaux de certains bébés-phoques et de produits dérivés.</w:t>
      </w:r>
      <w:r w:rsidRPr="00631F8A">
        <w:rPr>
          <w:rStyle w:val="Appelnotedebasdep"/>
          <w:bCs/>
          <w:color w:val="000000" w:themeColor="text1"/>
          <w:lang w:val="fr-FR"/>
        </w:rPr>
        <w:footnoteReference w:id="47"/>
      </w:r>
      <w:r w:rsidRPr="00631F8A">
        <w:rPr>
          <w:bCs/>
          <w:color w:val="000000" w:themeColor="text1"/>
          <w:lang w:val="fr-FR"/>
        </w:rPr>
        <w:t xml:space="preserve"> Cependant, l’issue favorable de cette </w:t>
      </w:r>
      <w:r w:rsidRPr="00631F8A">
        <w:rPr>
          <w:bCs/>
          <w:color w:val="000000" w:themeColor="text1"/>
          <w:lang w:val="fr-FR"/>
        </w:rPr>
        <w:lastRenderedPageBreak/>
        <w:t>initiative relevait plus de l’exception que de la règle ; nombreuses étaient les résolutions « d’initiative » qui étaient déboutées par la Commission.</w:t>
      </w:r>
      <w:r w:rsidRPr="00631F8A">
        <w:rPr>
          <w:rStyle w:val="Appelnotedebasdep"/>
          <w:bCs/>
          <w:color w:val="000000" w:themeColor="text1"/>
          <w:lang w:val="fr-FR"/>
        </w:rPr>
        <w:footnoteReference w:id="48"/>
      </w:r>
      <w:r w:rsidRPr="00631F8A">
        <w:rPr>
          <w:bCs/>
          <w:color w:val="000000" w:themeColor="text1"/>
          <w:lang w:val="fr-FR"/>
        </w:rPr>
        <w:t xml:space="preserve"> Simultanément, le Parlement européen se voyait contrarié de plus belle en raison de l’approche de la Commission à l’égard du pouvoir d’initiative indirect du Conseil</w:t>
      </w:r>
      <w:r w:rsidRPr="00631F8A">
        <w:rPr>
          <w:color w:val="000000" w:themeColor="text1"/>
          <w:lang w:val="fr-FR"/>
        </w:rPr>
        <w:t>,</w:t>
      </w:r>
      <w:r w:rsidRPr="00631F8A">
        <w:rPr>
          <w:rStyle w:val="Appelnotedebasdep"/>
          <w:color w:val="000000" w:themeColor="text1"/>
          <w:lang w:val="fr-FR"/>
        </w:rPr>
        <w:footnoteReference w:id="49"/>
      </w:r>
      <w:r w:rsidRPr="00631F8A">
        <w:rPr>
          <w:color w:val="000000" w:themeColor="text1"/>
          <w:lang w:val="fr-FR"/>
        </w:rPr>
        <w:t xml:space="preserve"> étant entendu que celle-ci avait de grandes difficultés à refuser les demandes du Conseil, conférant ainsi un droit d’initiative quasi automatique au Conseil.</w:t>
      </w:r>
      <w:r w:rsidRPr="00631F8A">
        <w:rPr>
          <w:rStyle w:val="Appelnotedebasdep"/>
          <w:color w:val="000000" w:themeColor="text1"/>
          <w:lang w:val="fr-FR"/>
        </w:rPr>
        <w:footnoteReference w:id="50"/>
      </w:r>
      <w:r w:rsidRPr="00631F8A">
        <w:rPr>
          <w:color w:val="000000" w:themeColor="text1"/>
          <w:lang w:val="fr-FR"/>
        </w:rPr>
        <w:t xml:space="preserve"> </w:t>
      </w:r>
    </w:p>
    <w:p w:rsidR="009A1106" w:rsidRPr="00631F8A"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color w:val="000000" w:themeColor="text1"/>
          <w:lang w:val="fr-FR"/>
        </w:rPr>
        <w:tab/>
        <w:t>Dans ce contexte d’insatisfaction, exacerbé par les accusations croissantes de déficit démocratique de l’Union européenne, le Parlement adoptait, au sein de sa résolution du 22 novembre 1990 portant sur la préparation de la réforme des traités, une position nouvelle en revendiquant un pouvoir d’initiative législative direct.</w:t>
      </w:r>
      <w:r w:rsidRPr="00631F8A">
        <w:rPr>
          <w:rStyle w:val="Appelnotedebasdep"/>
          <w:color w:val="000000" w:themeColor="text1"/>
          <w:lang w:val="fr-FR"/>
        </w:rPr>
        <w:footnoteReference w:id="51"/>
      </w:r>
      <w:r w:rsidRPr="00631F8A">
        <w:rPr>
          <w:color w:val="000000" w:themeColor="text1"/>
          <w:lang w:val="fr-FR"/>
        </w:rPr>
        <w:t xml:space="preserve"> Singulièrement, le Parlement européen considérait que la Commission devait disposer du pouvoir d’initiative mais que celle-ci, en cas de demande du Parlement, était obligée de </w:t>
      </w:r>
      <w:r>
        <w:rPr>
          <w:color w:val="000000" w:themeColor="text1"/>
          <w:lang w:val="fr-FR"/>
        </w:rPr>
        <w:t>« </w:t>
      </w:r>
      <w:r w:rsidRPr="00631F8A">
        <w:rPr>
          <w:color w:val="000000" w:themeColor="text1"/>
          <w:lang w:val="fr-FR"/>
        </w:rPr>
        <w:t>présenter une proposition législative conforme à cette demande</w:t>
      </w:r>
      <w:r>
        <w:rPr>
          <w:color w:val="000000" w:themeColor="text1"/>
          <w:lang w:val="fr-FR"/>
        </w:rPr>
        <w:t> »</w:t>
      </w:r>
      <w:r w:rsidRPr="00631F8A">
        <w:rPr>
          <w:color w:val="000000" w:themeColor="text1"/>
          <w:lang w:val="fr-FR"/>
        </w:rPr>
        <w:t>.</w:t>
      </w:r>
      <w:r w:rsidRPr="00631F8A">
        <w:rPr>
          <w:rStyle w:val="Appelnotedebasdep"/>
          <w:color w:val="000000" w:themeColor="text1"/>
          <w:lang w:val="fr-FR"/>
        </w:rPr>
        <w:footnoteReference w:id="52"/>
      </w:r>
      <w:r w:rsidRPr="00631F8A">
        <w:rPr>
          <w:color w:val="000000" w:themeColor="text1"/>
          <w:lang w:val="fr-FR"/>
        </w:rPr>
        <w:t xml:space="preserve"> En cas de refus de la Commission ou de silence pendant un délai de six mois, le Parlement pourrait alors </w:t>
      </w:r>
      <w:r>
        <w:rPr>
          <w:color w:val="000000" w:themeColor="text1"/>
          <w:lang w:val="fr-FR"/>
        </w:rPr>
        <w:t>« </w:t>
      </w:r>
      <w:r w:rsidRPr="00631F8A">
        <w:rPr>
          <w:color w:val="000000" w:themeColor="text1"/>
          <w:lang w:val="fr-FR"/>
        </w:rPr>
        <w:t xml:space="preserve">déposer une proposition conforme </w:t>
      </w:r>
      <w:proofErr w:type="spellStart"/>
      <w:r w:rsidRPr="00631F8A">
        <w:rPr>
          <w:color w:val="000000" w:themeColor="text1"/>
          <w:lang w:val="fr-FR"/>
        </w:rPr>
        <w:t>a</w:t>
      </w:r>
      <w:proofErr w:type="spellEnd"/>
      <w:r w:rsidRPr="00631F8A">
        <w:rPr>
          <w:color w:val="000000" w:themeColor="text1"/>
          <w:lang w:val="fr-FR"/>
        </w:rPr>
        <w:t>̀ sa demande initiale</w:t>
      </w:r>
      <w:r>
        <w:rPr>
          <w:color w:val="000000" w:themeColor="text1"/>
          <w:lang w:val="fr-FR"/>
        </w:rPr>
        <w:t> »</w:t>
      </w:r>
      <w:r w:rsidRPr="00631F8A">
        <w:rPr>
          <w:color w:val="000000" w:themeColor="text1"/>
          <w:lang w:val="fr-FR"/>
        </w:rPr>
        <w:t>.</w:t>
      </w:r>
      <w:r w:rsidRPr="00631F8A">
        <w:rPr>
          <w:rStyle w:val="Appelnotedebasdep"/>
          <w:color w:val="000000" w:themeColor="text1"/>
          <w:lang w:val="fr-FR"/>
        </w:rPr>
        <w:footnoteReference w:id="53"/>
      </w:r>
      <w:r w:rsidRPr="00631F8A">
        <w:rPr>
          <w:color w:val="000000" w:themeColor="text1"/>
          <w:lang w:val="fr-FR"/>
        </w:rPr>
        <w:t xml:space="preserve"> Toutefois, confrontés au risque de devoir conférer un droit similaire au Conseil, ce qui aurait affaibli le pouvoir d’initiative de la Commission et complexifié la procédure législative, les négociateurs du Parlement européen ont abandonné cette voie.</w:t>
      </w:r>
      <w:r w:rsidRPr="00631F8A">
        <w:rPr>
          <w:rStyle w:val="Appelnotedebasdep"/>
          <w:color w:val="000000" w:themeColor="text1"/>
          <w:lang w:val="fr-FR"/>
        </w:rPr>
        <w:footnoteReference w:id="54"/>
      </w:r>
      <w:r w:rsidRPr="00631F8A">
        <w:rPr>
          <w:color w:val="000000" w:themeColor="text1"/>
          <w:lang w:val="fr-FR"/>
        </w:rPr>
        <w:t xml:space="preserve"> Bien que le traité de Maastricht n’ait pas modifié le monopole de l’initiative de la Commission, le Parlement européen a tout de même obtenu une satisfaction partielle, à savoir l’introduction du pouvoir d’initiative indirect au sein du second paragraphe de l’article 138 B TCE, renuméroté par la suite article 192 TCE.</w:t>
      </w:r>
      <w:r w:rsidRPr="00631F8A">
        <w:rPr>
          <w:rStyle w:val="Appelnotedebasdep"/>
          <w:color w:val="000000" w:themeColor="text1"/>
          <w:lang w:val="fr-FR"/>
        </w:rPr>
        <w:footnoteReference w:id="55"/>
      </w:r>
      <w:r w:rsidRPr="00631F8A">
        <w:rPr>
          <w:color w:val="000000" w:themeColor="text1"/>
          <w:lang w:val="fr-FR"/>
        </w:rPr>
        <w:t xml:space="preserve"> Comme mis en exergue </w:t>
      </w:r>
      <w:r w:rsidRPr="00631F8A">
        <w:rPr>
          <w:i/>
          <w:color w:val="000000" w:themeColor="text1"/>
          <w:lang w:val="fr-FR"/>
        </w:rPr>
        <w:t>infra</w:t>
      </w:r>
      <w:r w:rsidRPr="00631F8A">
        <w:rPr>
          <w:color w:val="000000" w:themeColor="text1"/>
          <w:lang w:val="fr-FR"/>
        </w:rPr>
        <w:t xml:space="preserve">, cette disposition n’a été que peu contestée par la suite, si l’on excepte les récentes résolutions en faveur de l’octroi d’un pouvoir d’initiative législative direct au Parlement européen, ce dernier affirmant à plusieurs reprises son hostilité à toute remise en </w:t>
      </w:r>
      <w:r>
        <w:rPr>
          <w:color w:val="000000" w:themeColor="text1"/>
          <w:lang w:val="fr-FR"/>
        </w:rPr>
        <w:t>question</w:t>
      </w:r>
      <w:r w:rsidRPr="00631F8A">
        <w:rPr>
          <w:color w:val="000000" w:themeColor="text1"/>
          <w:lang w:val="fr-FR"/>
        </w:rPr>
        <w:t xml:space="preserve"> du monopole </w:t>
      </w:r>
      <w:r w:rsidRPr="00631F8A">
        <w:rPr>
          <w:color w:val="000000" w:themeColor="text1"/>
          <w:lang w:val="fr-FR"/>
        </w:rPr>
        <w:lastRenderedPageBreak/>
        <w:t>de l’initiative de la Commission.</w:t>
      </w:r>
      <w:r w:rsidRPr="00631F8A">
        <w:rPr>
          <w:rStyle w:val="Appelnotedebasdep"/>
          <w:color w:val="000000" w:themeColor="text1"/>
          <w:lang w:val="fr-FR"/>
        </w:rPr>
        <w:footnoteReference w:id="56"/>
      </w:r>
      <w:r w:rsidRPr="00631F8A">
        <w:rPr>
          <w:color w:val="000000" w:themeColor="text1"/>
          <w:lang w:val="fr-FR"/>
        </w:rPr>
        <w:t xml:space="preserve"> De surcroît, cette disposition n’a été modifiée qu’à une seule reprise depuis son introduction par le traité de Maastricht, avec l’insertion d’une phrase supplémentaire par le traité de Lisbonne qui prévoit l’obligation de motivation de la Commission en cas de refus de proposer une initiative législative.</w:t>
      </w:r>
      <w:r w:rsidRPr="00631F8A">
        <w:rPr>
          <w:rStyle w:val="Appelnotedebasdep"/>
          <w:color w:val="000000" w:themeColor="text1"/>
          <w:lang w:val="fr-FR"/>
        </w:rPr>
        <w:footnoteReference w:id="57"/>
      </w:r>
    </w:p>
    <w:p w:rsidR="009A1106" w:rsidRPr="00144098" w:rsidRDefault="009A1106" w:rsidP="009A1106">
      <w:pPr>
        <w:pStyle w:val="Titre2"/>
        <w:spacing w:before="120" w:after="120" w:line="360" w:lineRule="auto"/>
        <w:rPr>
          <w:rFonts w:ascii="Times New Roman" w:hAnsi="Times New Roman" w:cs="Times New Roman"/>
          <w:b/>
          <w:color w:val="000000" w:themeColor="text1"/>
          <w:sz w:val="24"/>
          <w:szCs w:val="24"/>
          <w:lang w:val="fr-FR"/>
        </w:rPr>
      </w:pPr>
      <w:r w:rsidRPr="00144098">
        <w:rPr>
          <w:rFonts w:ascii="Times New Roman" w:hAnsi="Times New Roman" w:cs="Times New Roman"/>
          <w:b/>
          <w:color w:val="000000" w:themeColor="text1"/>
          <w:sz w:val="24"/>
          <w:szCs w:val="24"/>
          <w:lang w:val="fr-FR"/>
        </w:rPr>
        <w:tab/>
      </w:r>
      <w:bookmarkStart w:id="5" w:name="_Toc7535838"/>
      <w:r w:rsidRPr="00144098">
        <w:rPr>
          <w:rFonts w:ascii="Times New Roman" w:hAnsi="Times New Roman" w:cs="Times New Roman"/>
          <w:b/>
          <w:color w:val="000000" w:themeColor="text1"/>
          <w:sz w:val="24"/>
          <w:szCs w:val="24"/>
          <w:lang w:val="fr-FR"/>
        </w:rPr>
        <w:t>B.</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La nature indirecte du pouvoir d’initiative</w:t>
      </w:r>
      <w:bookmarkEnd w:id="5"/>
      <w:r w:rsidRPr="00144098">
        <w:rPr>
          <w:rFonts w:ascii="Times New Roman" w:hAnsi="Times New Roman" w:cs="Times New Roman"/>
          <w:b/>
          <w:color w:val="000000" w:themeColor="text1"/>
          <w:sz w:val="24"/>
          <w:szCs w:val="24"/>
          <w:lang w:val="fr-FR"/>
        </w:rPr>
        <w:t>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Aujourd’hui consacré à l’article 225 TFUE, le pouvoir d’initiative indirect du Parlement européen est à juste titre qualifié de pouvoir d’initiative « de l’initiative ».</w:t>
      </w:r>
      <w:r w:rsidRPr="00631F8A">
        <w:rPr>
          <w:rStyle w:val="Appelnotedebasdep"/>
          <w:rFonts w:ascii="Times New Roman" w:hAnsi="Times New Roman" w:cs="Times New Roman"/>
          <w:color w:val="000000" w:themeColor="text1"/>
          <w:sz w:val="24"/>
          <w:szCs w:val="24"/>
          <w:lang w:val="fr-FR"/>
        </w:rPr>
        <w:footnoteReference w:id="58"/>
      </w:r>
      <w:r w:rsidRPr="00631F8A">
        <w:rPr>
          <w:rFonts w:ascii="Times New Roman" w:hAnsi="Times New Roman" w:cs="Times New Roman"/>
          <w:color w:val="000000" w:themeColor="text1"/>
          <w:sz w:val="24"/>
          <w:szCs w:val="24"/>
          <w:lang w:val="fr-FR"/>
        </w:rPr>
        <w:t xml:space="preserve"> En effet, ce pouvoir « indirect » peut se comprendre comme une invitation ou une incitation à présenter une proposition législative adressée à la Commission.</w:t>
      </w:r>
      <w:r w:rsidRPr="00631F8A">
        <w:rPr>
          <w:rStyle w:val="Appelnotedebasdep"/>
          <w:rFonts w:ascii="Times New Roman" w:hAnsi="Times New Roman" w:cs="Times New Roman"/>
          <w:color w:val="000000" w:themeColor="text1"/>
          <w:sz w:val="24"/>
          <w:szCs w:val="24"/>
          <w:lang w:val="fr-FR"/>
        </w:rPr>
        <w:footnoteReference w:id="59"/>
      </w:r>
      <w:r w:rsidRPr="00631F8A">
        <w:rPr>
          <w:rFonts w:ascii="Times New Roman" w:hAnsi="Times New Roman" w:cs="Times New Roman"/>
          <w:color w:val="000000" w:themeColor="text1"/>
          <w:sz w:val="24"/>
          <w:szCs w:val="24"/>
          <w:lang w:val="fr-FR"/>
        </w:rPr>
        <w:t xml:space="preserve"> Il est remarquable que certains auteurs, antérieurement au traité de Lisbonne, aient suggéré qu’une obligation légale reposait sur la Commission d’élaborer une proposition législative en cas de demande formelle du Parlement européen.</w:t>
      </w:r>
      <w:r w:rsidRPr="00631F8A">
        <w:rPr>
          <w:rStyle w:val="Appelnotedebasdep"/>
          <w:rFonts w:ascii="Times New Roman" w:hAnsi="Times New Roman" w:cs="Times New Roman"/>
          <w:color w:val="000000" w:themeColor="text1"/>
          <w:sz w:val="24"/>
          <w:szCs w:val="24"/>
          <w:lang w:val="fr-FR"/>
        </w:rPr>
        <w:footnoteReference w:id="60"/>
      </w:r>
      <w:r w:rsidRPr="00631F8A">
        <w:rPr>
          <w:rFonts w:ascii="Times New Roman" w:hAnsi="Times New Roman" w:cs="Times New Roman"/>
          <w:color w:val="000000" w:themeColor="text1"/>
          <w:sz w:val="24"/>
          <w:szCs w:val="24"/>
          <w:lang w:val="fr-FR"/>
        </w:rPr>
        <w:t xml:space="preserve"> Selon eux, la disposition serait dénuée de sens si tel n’était pas le cas, étant entendu que le Parlement européen disposait déjà du droit d’adopter des résolutions « d’initiative ».</w:t>
      </w:r>
      <w:r w:rsidRPr="00631F8A">
        <w:rPr>
          <w:rStyle w:val="Appelnotedebasdep"/>
          <w:rFonts w:ascii="Times New Roman" w:hAnsi="Times New Roman" w:cs="Times New Roman"/>
          <w:color w:val="000000" w:themeColor="text1"/>
          <w:sz w:val="24"/>
          <w:szCs w:val="24"/>
          <w:lang w:val="fr-FR"/>
        </w:rPr>
        <w:footnoteReference w:id="61"/>
      </w:r>
      <w:r w:rsidRPr="00631F8A">
        <w:rPr>
          <w:rFonts w:ascii="Times New Roman" w:hAnsi="Times New Roman" w:cs="Times New Roman"/>
          <w:color w:val="000000" w:themeColor="text1"/>
          <w:sz w:val="24"/>
          <w:szCs w:val="24"/>
          <w:lang w:val="fr-FR"/>
        </w:rPr>
        <w:t xml:space="preserve"> Aujourd’hui, avec l’introduction formelle de l’obligation de motivation en cas de refus de faire une proposition, il paraît incontestable que la Commission n’est pas tenue d’y réserver une suite positive.</w:t>
      </w:r>
      <w:r w:rsidRPr="00631F8A">
        <w:rPr>
          <w:rStyle w:val="Appelnotedebasdep"/>
          <w:rFonts w:ascii="Times New Roman" w:hAnsi="Times New Roman" w:cs="Times New Roman"/>
          <w:color w:val="000000" w:themeColor="text1"/>
          <w:sz w:val="24"/>
          <w:szCs w:val="24"/>
          <w:lang w:val="fr-FR"/>
        </w:rPr>
        <w:footnoteReference w:id="62"/>
      </w:r>
      <w:r w:rsidRPr="00631F8A">
        <w:rPr>
          <w:rFonts w:ascii="Times New Roman" w:hAnsi="Times New Roman" w:cs="Times New Roman"/>
          <w:color w:val="000000" w:themeColor="text1"/>
          <w:sz w:val="24"/>
          <w:szCs w:val="24"/>
          <w:lang w:val="fr-FR"/>
        </w:rPr>
        <w:t xml:space="preserve"> Notons encore que le droit d’initiative du Parlement s’applique à l’ensemble des actes de l’Union européenne et, partant, ne se limite pas aux domaines politiques pour lesquels la procédure législative ordinaire est applicable, à condition toutefois que la Commission soit en mesure d’adopter une proposition législative dans le domaine visé.</w:t>
      </w:r>
      <w:r w:rsidRPr="00631F8A">
        <w:rPr>
          <w:rStyle w:val="Appelnotedebasdep"/>
          <w:rFonts w:ascii="Times New Roman" w:hAnsi="Times New Roman" w:cs="Times New Roman"/>
          <w:color w:val="000000" w:themeColor="text1"/>
          <w:sz w:val="24"/>
          <w:szCs w:val="24"/>
          <w:lang w:val="fr-FR"/>
        </w:rPr>
        <w:footnoteReference w:id="63"/>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Si le Parlement européen jouit d’un pouvoir d’initiative indirect, il n’est pas le seul dans le système institutionnel européen ; des pouvoirs similaires sont conférés au Conseil et aux citoyens de l’Union européenne. Pour sa part, le Conseil dispose, depuis le traité de Rome, d’une capacité à inciter la Commission à faire usage de son pouvoir de proposition.</w:t>
      </w:r>
      <w:r w:rsidRPr="00631F8A">
        <w:rPr>
          <w:rStyle w:val="Appelnotedebasdep"/>
          <w:rFonts w:ascii="Times New Roman" w:hAnsi="Times New Roman" w:cs="Times New Roman"/>
          <w:color w:val="000000" w:themeColor="text1"/>
          <w:sz w:val="24"/>
          <w:szCs w:val="24"/>
          <w:lang w:val="fr-FR"/>
        </w:rPr>
        <w:footnoteReference w:id="64"/>
      </w:r>
      <w:r w:rsidRPr="00631F8A">
        <w:rPr>
          <w:rFonts w:ascii="Times New Roman" w:hAnsi="Times New Roman" w:cs="Times New Roman"/>
          <w:color w:val="000000" w:themeColor="text1"/>
          <w:sz w:val="24"/>
          <w:szCs w:val="24"/>
          <w:lang w:val="fr-FR"/>
        </w:rPr>
        <w:t xml:space="preserve"> Ainsi, le Conseil peut </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 xml:space="preserve">demander à la Commission de procéder à toutes études qu’il juge </w:t>
      </w:r>
      <w:r w:rsidRPr="00631F8A">
        <w:rPr>
          <w:rFonts w:ascii="Times New Roman" w:hAnsi="Times New Roman" w:cs="Times New Roman"/>
          <w:color w:val="000000" w:themeColor="text1"/>
          <w:sz w:val="24"/>
          <w:szCs w:val="24"/>
          <w:lang w:val="fr-FR"/>
        </w:rPr>
        <w:lastRenderedPageBreak/>
        <w:t>opportunes pour la réalisation des objectifs communs et de lui soumettre toutes propositions appropriées</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65"/>
      </w:r>
      <w:r w:rsidRPr="00631F8A">
        <w:rPr>
          <w:rFonts w:ascii="Times New Roman" w:hAnsi="Times New Roman" w:cs="Times New Roman"/>
          <w:color w:val="000000" w:themeColor="text1"/>
          <w:sz w:val="24"/>
          <w:szCs w:val="24"/>
          <w:lang w:val="fr-FR"/>
        </w:rPr>
        <w:t xml:space="preserve"> C’est notamment à la suite d’une demande du Conseil que le Règlement concernant l’enregistrement, l’évaluation et l’autorisation des substances chimiques (</w:t>
      </w:r>
      <w:r w:rsidRPr="00631F8A">
        <w:rPr>
          <w:rFonts w:ascii="Times New Roman" w:hAnsi="Times New Roman" w:cs="Times New Roman"/>
          <w:smallCaps/>
          <w:color w:val="000000" w:themeColor="text1"/>
          <w:sz w:val="24"/>
          <w:szCs w:val="24"/>
          <w:lang w:val="fr-FR"/>
        </w:rPr>
        <w:t>Reach</w:t>
      </w:r>
      <w:r w:rsidRPr="00631F8A">
        <w:rPr>
          <w:rFonts w:ascii="Times New Roman" w:hAnsi="Times New Roman" w:cs="Times New Roman"/>
          <w:color w:val="000000" w:themeColor="text1"/>
          <w:sz w:val="24"/>
          <w:szCs w:val="24"/>
          <w:lang w:val="fr-FR"/>
        </w:rPr>
        <w:t>) a été adopté.</w:t>
      </w:r>
      <w:r w:rsidRPr="00631F8A">
        <w:rPr>
          <w:rStyle w:val="Appelnotedebasdep"/>
          <w:rFonts w:ascii="Times New Roman" w:hAnsi="Times New Roman" w:cs="Times New Roman"/>
          <w:color w:val="000000" w:themeColor="text1"/>
          <w:sz w:val="24"/>
          <w:szCs w:val="24"/>
          <w:lang w:val="fr-FR"/>
        </w:rPr>
        <w:footnoteReference w:id="66"/>
      </w:r>
      <w:r w:rsidRPr="00631F8A">
        <w:rPr>
          <w:rFonts w:ascii="Times New Roman" w:hAnsi="Times New Roman" w:cs="Times New Roman"/>
          <w:color w:val="000000" w:themeColor="text1"/>
          <w:sz w:val="24"/>
          <w:szCs w:val="24"/>
          <w:lang w:val="fr-FR"/>
        </w:rPr>
        <w:t xml:space="preserve"> Innovation du traité de Lisbonne, l’initiative citoyenne européenne, quant à elle, permet à un million de citoyens européens issu d’au moins sept pays de l’Union européenne d’inviter la Commission européenne à proposer des mesures législatives dans un domaine relevant de sa compétence.</w:t>
      </w:r>
      <w:r w:rsidRPr="00631F8A">
        <w:rPr>
          <w:rStyle w:val="Appelnotedebasdep"/>
          <w:rFonts w:ascii="Times New Roman" w:hAnsi="Times New Roman" w:cs="Times New Roman"/>
          <w:color w:val="000000" w:themeColor="text1"/>
          <w:sz w:val="24"/>
          <w:szCs w:val="24"/>
          <w:lang w:val="fr-FR"/>
        </w:rPr>
        <w:footnoteReference w:id="67"/>
      </w:r>
      <w:r w:rsidRPr="00631F8A">
        <w:rPr>
          <w:rFonts w:ascii="Times New Roman" w:hAnsi="Times New Roman" w:cs="Times New Roman"/>
          <w:color w:val="000000" w:themeColor="text1"/>
          <w:sz w:val="24"/>
          <w:szCs w:val="24"/>
          <w:lang w:val="fr-FR"/>
        </w:rPr>
        <w:t xml:space="preserve"> Les modalités de mise en œuvre de ce droit, définis strictement par un Règlement du 16 février 2011, ont rendu difficilement recevables les initiatives citoyennes européennes.</w:t>
      </w:r>
      <w:r w:rsidRPr="00631F8A">
        <w:rPr>
          <w:rStyle w:val="Appelnotedebasdep"/>
          <w:rFonts w:ascii="Times New Roman" w:hAnsi="Times New Roman" w:cs="Times New Roman"/>
          <w:color w:val="000000" w:themeColor="text1"/>
          <w:sz w:val="24"/>
          <w:szCs w:val="24"/>
          <w:lang w:val="fr-FR"/>
        </w:rPr>
        <w:footnoteReference w:id="68"/>
      </w:r>
      <w:r w:rsidRPr="00631F8A">
        <w:rPr>
          <w:rFonts w:ascii="Times New Roman" w:hAnsi="Times New Roman" w:cs="Times New Roman"/>
          <w:color w:val="000000" w:themeColor="text1"/>
          <w:sz w:val="24"/>
          <w:szCs w:val="24"/>
          <w:lang w:val="fr-FR"/>
        </w:rPr>
        <w:t xml:space="preserve"> Ce faisant, seules quatre initiatives ont franchi le stade de la recevabilité à ce jour.</w:t>
      </w:r>
      <w:r w:rsidRPr="00631F8A">
        <w:rPr>
          <w:rFonts w:ascii="Times New Roman" w:hAnsi="Times New Roman" w:cs="Times New Roman"/>
          <w:color w:val="000000" w:themeColor="text1"/>
          <w:sz w:val="24"/>
          <w:szCs w:val="24"/>
          <w:vertAlign w:val="superscript"/>
          <w:lang w:val="fr-FR"/>
        </w:rPr>
        <w:footnoteReference w:id="69"/>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Si la Commission dispose d’un pouvoir d’appréciation, ce dernier n’est toutefois pas illimité. Au fil des années, la Commission s’est engagée à donner suite aux initiatives législatives par le biais d’accords interinstitutionnels.</w:t>
      </w:r>
      <w:r w:rsidRPr="00631F8A">
        <w:rPr>
          <w:rStyle w:val="Appelnotedebasdep"/>
          <w:rFonts w:ascii="Times New Roman" w:hAnsi="Times New Roman" w:cs="Times New Roman"/>
          <w:color w:val="000000" w:themeColor="text1"/>
          <w:sz w:val="24"/>
          <w:szCs w:val="24"/>
          <w:lang w:val="fr-FR"/>
        </w:rPr>
        <w:footnoteReference w:id="70"/>
      </w:r>
      <w:r w:rsidRPr="00631F8A">
        <w:rPr>
          <w:rFonts w:ascii="Times New Roman" w:hAnsi="Times New Roman" w:cs="Times New Roman"/>
          <w:color w:val="000000" w:themeColor="text1"/>
          <w:sz w:val="24"/>
          <w:szCs w:val="24"/>
          <w:lang w:val="fr-FR"/>
        </w:rPr>
        <w:t xml:space="preserve"> À titre d’exemple, dans l’accord-cadre du 5 juillet 2000, la Commission s'engageait « à apporter une réponse rapide et suffisamment détaillée à toutes demandes du Parlement européen présentées conformément à l'article 192 TCE ».</w:t>
      </w:r>
      <w:r w:rsidRPr="00631F8A">
        <w:rPr>
          <w:rStyle w:val="Appelnotedebasdep"/>
          <w:rFonts w:ascii="Times New Roman" w:hAnsi="Times New Roman" w:cs="Times New Roman"/>
          <w:color w:val="000000" w:themeColor="text1"/>
          <w:sz w:val="24"/>
          <w:szCs w:val="24"/>
          <w:lang w:val="fr-FR"/>
        </w:rPr>
        <w:footnoteReference w:id="71"/>
      </w:r>
      <w:r w:rsidRPr="00631F8A">
        <w:rPr>
          <w:rFonts w:ascii="Times New Roman" w:hAnsi="Times New Roman" w:cs="Times New Roman"/>
          <w:color w:val="000000" w:themeColor="text1"/>
          <w:sz w:val="24"/>
          <w:szCs w:val="24"/>
          <w:lang w:val="fr-FR"/>
        </w:rPr>
        <w:t xml:space="preserve"> Aujourd’hui, les engagements de la Commission sont cristallisés dans l’accord-cadre du 20 octobre 2010,</w:t>
      </w:r>
      <w:r w:rsidRPr="00631F8A">
        <w:rPr>
          <w:rStyle w:val="Appelnotedebasdep"/>
          <w:rFonts w:ascii="Times New Roman" w:hAnsi="Times New Roman" w:cs="Times New Roman"/>
          <w:color w:val="000000" w:themeColor="text1"/>
          <w:sz w:val="24"/>
          <w:szCs w:val="24"/>
          <w:lang w:val="fr-FR"/>
        </w:rPr>
        <w:footnoteReference w:id="72"/>
      </w:r>
      <w:r w:rsidRPr="00631F8A">
        <w:rPr>
          <w:rFonts w:ascii="Times New Roman" w:hAnsi="Times New Roman" w:cs="Times New Roman"/>
          <w:color w:val="000000" w:themeColor="text1"/>
          <w:sz w:val="24"/>
          <w:szCs w:val="24"/>
          <w:lang w:val="fr-FR"/>
        </w:rPr>
        <w:t xml:space="preserve"> par lequel la Commission s’engage à </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rendre compte des suites concrètes données à toute demande</w:t>
      </w:r>
      <w:r>
        <w:rPr>
          <w:rFonts w:ascii="Times New Roman" w:hAnsi="Times New Roman" w:cs="Times New Roman"/>
          <w:color w:val="000000" w:themeColor="text1"/>
          <w:sz w:val="24"/>
          <w:szCs w:val="24"/>
          <w:lang w:val="fr-FR"/>
        </w:rPr>
        <w:t> </w:t>
      </w:r>
      <w:r w:rsidRPr="00354C2B">
        <w:rPr>
          <w:rFonts w:ascii="Times New Roman" w:hAnsi="Times New Roman" w:cs="Times New Roman"/>
          <w:color w:val="000000" w:themeColor="text1"/>
          <w:sz w:val="24"/>
          <w:szCs w:val="24"/>
          <w:lang w:val="fr-FR"/>
        </w:rPr>
        <w:t>visant à soumettre une proposition au titre de l'article 225 du traité sur le fonctionnement de l'Union européenne (rapport d'initiative législative)</w:t>
      </w:r>
      <w:r w:rsidRPr="00631F8A">
        <w:rPr>
          <w:rFonts w:ascii="Times New Roman" w:hAnsi="Times New Roman" w:cs="Times New Roman"/>
          <w:color w:val="000000" w:themeColor="text1"/>
          <w:sz w:val="24"/>
          <w:szCs w:val="24"/>
          <w:lang w:val="fr-FR"/>
        </w:rPr>
        <w:t xml:space="preserve"> dans les trois mois suivant l'adoption de la résolution correspondante en séance plénière</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73"/>
      </w:r>
      <w:r w:rsidRPr="00631F8A">
        <w:rPr>
          <w:rFonts w:ascii="Times New Roman" w:hAnsi="Times New Roman" w:cs="Times New Roman"/>
          <w:color w:val="000000" w:themeColor="text1"/>
          <w:sz w:val="24"/>
          <w:szCs w:val="24"/>
          <w:lang w:val="fr-FR"/>
        </w:rPr>
        <w:t xml:space="preserve"> Ce délai, considéré comme une restriction décisive du pouvoir d’appréciation de la Commission, entend remédier à l’attitude de cette dernière, ayant à </w:t>
      </w:r>
      <w:r w:rsidRPr="00631F8A">
        <w:rPr>
          <w:rFonts w:ascii="Times New Roman" w:hAnsi="Times New Roman" w:cs="Times New Roman"/>
          <w:color w:val="000000" w:themeColor="text1"/>
          <w:sz w:val="24"/>
          <w:szCs w:val="24"/>
          <w:lang w:val="fr-FR"/>
        </w:rPr>
        <w:lastRenderedPageBreak/>
        <w:t>plusieurs reprises par le passé fait attendre le Parlement durant des périodes prolongées.</w:t>
      </w:r>
      <w:r w:rsidRPr="00631F8A">
        <w:rPr>
          <w:rStyle w:val="Appelnotedebasdep"/>
          <w:rFonts w:ascii="Times New Roman" w:hAnsi="Times New Roman" w:cs="Times New Roman"/>
          <w:color w:val="000000" w:themeColor="text1"/>
          <w:sz w:val="24"/>
          <w:szCs w:val="24"/>
          <w:lang w:val="fr-FR"/>
        </w:rPr>
        <w:footnoteReference w:id="74"/>
      </w:r>
      <w:r w:rsidRPr="00631F8A">
        <w:rPr>
          <w:rFonts w:ascii="Times New Roman" w:hAnsi="Times New Roman" w:cs="Times New Roman"/>
          <w:color w:val="000000" w:themeColor="text1"/>
          <w:sz w:val="24"/>
          <w:szCs w:val="24"/>
          <w:lang w:val="fr-FR"/>
        </w:rPr>
        <w:t xml:space="preserve"> En outre, la Commission est tenue de présenter </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une proposition législative dans un délai d'un an ou d’inscrire cette proposition dans son programme de travail de l'année suivante</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 xml:space="preserve"> ; dans le cas contraire, la Commission doit exposer </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les motifs circonstanciés au Parlement</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75"/>
      </w:r>
      <w:r w:rsidRPr="00631F8A">
        <w:rPr>
          <w:rFonts w:ascii="Times New Roman" w:hAnsi="Times New Roman" w:cs="Times New Roman"/>
          <w:color w:val="000000" w:themeColor="text1"/>
          <w:sz w:val="24"/>
          <w:szCs w:val="24"/>
          <w:lang w:val="fr-FR"/>
        </w:rPr>
        <w:t xml:space="preserve"> À cet égard, le nouvel accord interinstitutionnel « Mieux légiférer » du 13 avril 2016 précise que la Commission, en cas de refus de soumettre une proposition, doit fournir « une analyse des autres solutions possibles et répondre à toutes questions soulevées par les colégislateurs au regard des analyses concernant la « valeur ajoutée européenne » et le « coût de la non-Europe » ».</w:t>
      </w:r>
      <w:r w:rsidRPr="00631F8A">
        <w:rPr>
          <w:rStyle w:val="Appelnotedebasdep"/>
          <w:rFonts w:ascii="Times New Roman" w:hAnsi="Times New Roman" w:cs="Times New Roman"/>
          <w:color w:val="000000" w:themeColor="text1"/>
          <w:sz w:val="24"/>
          <w:szCs w:val="24"/>
          <w:lang w:val="fr-FR"/>
        </w:rPr>
        <w:footnoteReference w:id="76"/>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En dépit de sa liberté de donner une suite positive aux demandes du Parlement, la Commission doit expliquer toute décision négative.</w:t>
      </w:r>
      <w:r w:rsidRPr="00631F8A">
        <w:rPr>
          <w:rStyle w:val="Appelnotedebasdep"/>
          <w:rFonts w:ascii="Times New Roman" w:hAnsi="Times New Roman" w:cs="Times New Roman"/>
          <w:color w:val="000000" w:themeColor="text1"/>
          <w:sz w:val="24"/>
          <w:szCs w:val="24"/>
          <w:lang w:val="fr-FR"/>
        </w:rPr>
        <w:footnoteReference w:id="77"/>
      </w:r>
      <w:r w:rsidRPr="00631F8A">
        <w:rPr>
          <w:rFonts w:ascii="Times New Roman" w:hAnsi="Times New Roman" w:cs="Times New Roman"/>
          <w:color w:val="000000" w:themeColor="text1"/>
          <w:sz w:val="24"/>
          <w:szCs w:val="24"/>
          <w:lang w:val="fr-FR"/>
        </w:rPr>
        <w:t xml:space="preserve"> Par conséquent, le Parlement peut introduire un recours en carence devant la Cour de justice lorsque la Commission ne s'acquitte pas de son obligation de motivation,</w:t>
      </w:r>
      <w:r w:rsidRPr="00631F8A">
        <w:rPr>
          <w:rStyle w:val="Appelnotedebasdep"/>
          <w:rFonts w:ascii="Times New Roman" w:hAnsi="Times New Roman" w:cs="Times New Roman"/>
          <w:color w:val="000000" w:themeColor="text1"/>
          <w:sz w:val="24"/>
          <w:szCs w:val="24"/>
          <w:lang w:val="fr-FR"/>
        </w:rPr>
        <w:footnoteReference w:id="78"/>
      </w:r>
      <w:r w:rsidRPr="00631F8A">
        <w:rPr>
          <w:rFonts w:ascii="Times New Roman" w:hAnsi="Times New Roman" w:cs="Times New Roman"/>
          <w:color w:val="000000" w:themeColor="text1"/>
          <w:sz w:val="24"/>
          <w:szCs w:val="24"/>
          <w:lang w:val="fr-FR"/>
        </w:rPr>
        <w:t xml:space="preserve"> qui n’aboutira pas à forcer la Commission à soumettre une proposition, mais obligera cette dernière à examiner la demande du Parlement.</w:t>
      </w:r>
      <w:r w:rsidRPr="00631F8A">
        <w:rPr>
          <w:rFonts w:ascii="Times New Roman" w:hAnsi="Times New Roman" w:cs="Times New Roman"/>
          <w:color w:val="000000" w:themeColor="text1"/>
          <w:sz w:val="24"/>
          <w:szCs w:val="24"/>
          <w:vertAlign w:val="superscript"/>
          <w:lang w:val="fr-FR"/>
        </w:rPr>
        <w:footnoteReference w:id="79"/>
      </w:r>
      <w:r w:rsidRPr="00631F8A">
        <w:rPr>
          <w:rFonts w:ascii="Times New Roman" w:hAnsi="Times New Roman" w:cs="Times New Roman"/>
          <w:color w:val="000000" w:themeColor="text1"/>
          <w:sz w:val="24"/>
          <w:szCs w:val="24"/>
          <w:lang w:val="fr-FR"/>
        </w:rPr>
        <w:t xml:space="preserve"> Notons encore qu’un manquement à l’obligation de motivation pourrait constituer un motif pour introduire une motion de censure à l’encontre de la Commission.</w:t>
      </w:r>
      <w:r w:rsidRPr="00631F8A">
        <w:rPr>
          <w:rStyle w:val="Appelnotedebasdep"/>
          <w:rFonts w:ascii="Times New Roman" w:hAnsi="Times New Roman" w:cs="Times New Roman"/>
          <w:color w:val="000000" w:themeColor="text1"/>
          <w:sz w:val="24"/>
          <w:szCs w:val="24"/>
          <w:lang w:val="fr-FR"/>
        </w:rPr>
        <w:footnoteReference w:id="80"/>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pStyle w:val="Titre1"/>
        <w:spacing w:before="120" w:after="120" w:line="360" w:lineRule="auto"/>
        <w:jc w:val="both"/>
        <w:rPr>
          <w:rFonts w:ascii="Times New Roman" w:hAnsi="Times New Roman" w:cs="Times New Roman"/>
          <w:b/>
          <w:color w:val="000000" w:themeColor="text1"/>
          <w:sz w:val="24"/>
          <w:szCs w:val="24"/>
          <w:lang w:val="fr-FR"/>
        </w:rPr>
      </w:pPr>
      <w:bookmarkStart w:id="6" w:name="_Toc7535839"/>
      <w:r w:rsidRPr="00631F8A">
        <w:rPr>
          <w:rFonts w:ascii="Times New Roman" w:hAnsi="Times New Roman" w:cs="Times New Roman"/>
          <w:b/>
          <w:color w:val="000000" w:themeColor="text1"/>
          <w:sz w:val="24"/>
          <w:szCs w:val="24"/>
          <w:lang w:val="fr-FR"/>
        </w:rPr>
        <w:t>§2. Mise en évidence des carences du pouvoir d’initiative législative indirect</w:t>
      </w:r>
      <w:bookmarkEnd w:id="6"/>
      <w:r w:rsidRPr="00631F8A">
        <w:rPr>
          <w:rFonts w:ascii="Times New Roman" w:hAnsi="Times New Roman" w:cs="Times New Roman"/>
          <w:b/>
          <w:color w:val="000000" w:themeColor="text1"/>
          <w:sz w:val="24"/>
          <w:szCs w:val="24"/>
          <w:lang w:val="fr-FR"/>
        </w:rPr>
        <w:t xml:space="preserve"> </w:t>
      </w:r>
    </w:p>
    <w:p w:rsidR="009A1106" w:rsidRPr="00631F8A"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color w:val="000000" w:themeColor="text1"/>
          <w:lang w:val="fr-FR"/>
        </w:rPr>
        <w:tab/>
        <w:t>Bien que le pouvoir d’initiative législative indirecte présente une potentialité certaine pour le Parlement européen de définir l’agenda des politiques européennes, la portée de ce pouvoir est fortement limitée en raison du faible recours à celui-ci (</w:t>
      </w:r>
      <w:r w:rsidRPr="00631F8A">
        <w:rPr>
          <w:b/>
          <w:color w:val="000000" w:themeColor="text1"/>
          <w:lang w:val="fr-FR"/>
        </w:rPr>
        <w:t>A</w:t>
      </w:r>
      <w:r w:rsidRPr="00631F8A">
        <w:rPr>
          <w:color w:val="000000" w:themeColor="text1"/>
          <w:lang w:val="fr-FR"/>
        </w:rPr>
        <w:t xml:space="preserve">) ainsi que </w:t>
      </w:r>
      <w:r w:rsidR="00627C2C">
        <w:rPr>
          <w:color w:val="000000" w:themeColor="text1"/>
          <w:lang w:val="fr-FR"/>
        </w:rPr>
        <w:t xml:space="preserve">de </w:t>
      </w:r>
      <w:r w:rsidRPr="00631F8A">
        <w:rPr>
          <w:color w:val="000000" w:themeColor="text1"/>
          <w:lang w:val="fr-FR"/>
        </w:rPr>
        <w:t>l’impact restreint des résolutions d’initiative législative (</w:t>
      </w:r>
      <w:r w:rsidRPr="00631F8A">
        <w:rPr>
          <w:b/>
          <w:color w:val="000000" w:themeColor="text1"/>
          <w:lang w:val="fr-FR"/>
        </w:rPr>
        <w:t>B</w:t>
      </w:r>
      <w:r w:rsidRPr="00631F8A">
        <w:rPr>
          <w:color w:val="000000" w:themeColor="text1"/>
          <w:lang w:val="fr-FR"/>
        </w:rPr>
        <w:t xml:space="preserve">). </w:t>
      </w:r>
    </w:p>
    <w:p w:rsidR="009A1106" w:rsidRPr="00144098" w:rsidRDefault="009A1106" w:rsidP="009A1106">
      <w:pPr>
        <w:pStyle w:val="Titre2"/>
        <w:spacing w:before="120" w:after="120" w:line="360" w:lineRule="auto"/>
        <w:rPr>
          <w:rFonts w:ascii="Times New Roman" w:hAnsi="Times New Roman" w:cs="Times New Roman"/>
          <w:b/>
          <w:color w:val="000000" w:themeColor="text1"/>
          <w:sz w:val="24"/>
          <w:szCs w:val="24"/>
          <w:lang w:val="fr-FR"/>
        </w:rPr>
      </w:pPr>
      <w:r w:rsidRPr="00144098">
        <w:rPr>
          <w:rFonts w:ascii="Times New Roman" w:hAnsi="Times New Roman" w:cs="Times New Roman"/>
          <w:b/>
          <w:color w:val="000000" w:themeColor="text1"/>
          <w:sz w:val="24"/>
          <w:szCs w:val="24"/>
          <w:lang w:val="fr-FR"/>
        </w:rPr>
        <w:tab/>
      </w:r>
      <w:bookmarkStart w:id="7" w:name="_Toc7535840"/>
      <w:r w:rsidRPr="00144098">
        <w:rPr>
          <w:rFonts w:ascii="Times New Roman" w:hAnsi="Times New Roman" w:cs="Times New Roman"/>
          <w:b/>
          <w:color w:val="000000" w:themeColor="text1"/>
          <w:sz w:val="24"/>
          <w:szCs w:val="24"/>
          <w:lang w:val="fr-FR"/>
        </w:rPr>
        <w:t>A.</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Le faible recours au pouvoir d’initiative indirect</w:t>
      </w:r>
      <w:bookmarkEnd w:id="7"/>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Le bilan du recours au pouvoir d’initiative indirect par le Parlement européen depuis son insertion par le traité de Maastricht en 1992, est pour le moins maigre. Jusqu’à aujourd’hui, le Parlement européen a utilisé de manière parcimonieuse sa faculté d’initiative.</w:t>
      </w:r>
      <w:r w:rsidRPr="00631F8A">
        <w:rPr>
          <w:rStyle w:val="Appelnotedebasdep"/>
          <w:rFonts w:ascii="Times New Roman" w:hAnsi="Times New Roman" w:cs="Times New Roman"/>
          <w:color w:val="000000" w:themeColor="text1"/>
          <w:sz w:val="24"/>
          <w:szCs w:val="24"/>
          <w:lang w:val="fr-FR"/>
        </w:rPr>
        <w:footnoteReference w:id="81"/>
      </w:r>
      <w:r w:rsidRPr="00631F8A">
        <w:rPr>
          <w:rFonts w:ascii="Times New Roman" w:hAnsi="Times New Roman" w:cs="Times New Roman"/>
          <w:color w:val="000000" w:themeColor="text1"/>
          <w:sz w:val="24"/>
          <w:szCs w:val="24"/>
          <w:lang w:val="fr-FR"/>
        </w:rPr>
        <w:t xml:space="preserve"> Ainsi, seulement 56 résolutions du Parlement européen basées sur l’article 225 TFUE peuvent être </w:t>
      </w:r>
      <w:r w:rsidRPr="00631F8A">
        <w:rPr>
          <w:rFonts w:ascii="Times New Roman" w:hAnsi="Times New Roman" w:cs="Times New Roman"/>
          <w:color w:val="000000" w:themeColor="text1"/>
          <w:sz w:val="24"/>
          <w:szCs w:val="24"/>
          <w:lang w:val="fr-FR"/>
        </w:rPr>
        <w:lastRenderedPageBreak/>
        <w:t>dénombrées.</w:t>
      </w:r>
      <w:r w:rsidRPr="00631F8A">
        <w:rPr>
          <w:rStyle w:val="Appelnotedebasdep"/>
          <w:rFonts w:ascii="Times New Roman" w:hAnsi="Times New Roman" w:cs="Times New Roman"/>
          <w:color w:val="000000" w:themeColor="text1"/>
          <w:sz w:val="24"/>
          <w:szCs w:val="24"/>
          <w:lang w:val="fr-FR"/>
        </w:rPr>
        <w:footnoteReference w:id="82"/>
      </w:r>
      <w:r w:rsidRPr="00631F8A">
        <w:rPr>
          <w:rFonts w:ascii="Times New Roman" w:hAnsi="Times New Roman" w:cs="Times New Roman"/>
          <w:color w:val="000000" w:themeColor="text1"/>
          <w:sz w:val="24"/>
          <w:szCs w:val="24"/>
          <w:lang w:val="fr-FR"/>
        </w:rPr>
        <w:t xml:space="preserve"> Toutefois, une augmentation progressive du recours à cette disposition s’opère depuis le début des années 2000</w:t>
      </w:r>
      <w:r w:rsidRPr="00631F8A">
        <w:rPr>
          <w:rStyle w:val="Appelnotedebasdep"/>
          <w:rFonts w:ascii="Times New Roman" w:hAnsi="Times New Roman" w:cs="Times New Roman"/>
          <w:color w:val="000000" w:themeColor="text1"/>
          <w:sz w:val="24"/>
          <w:szCs w:val="24"/>
          <w:lang w:val="fr-FR"/>
        </w:rPr>
        <w:footnoteReference w:id="83"/>
      </w:r>
      <w:r w:rsidRPr="00631F8A">
        <w:rPr>
          <w:rFonts w:ascii="Times New Roman" w:hAnsi="Times New Roman" w:cs="Times New Roman"/>
          <w:color w:val="000000" w:themeColor="text1"/>
          <w:sz w:val="24"/>
          <w:szCs w:val="24"/>
          <w:lang w:val="fr-FR"/>
        </w:rPr>
        <w:t xml:space="preserve"> </w:t>
      </w:r>
      <w:r w:rsidR="00627C2C">
        <w:rPr>
          <w:rFonts w:ascii="Times New Roman" w:hAnsi="Times New Roman" w:cs="Times New Roman"/>
          <w:color w:val="000000" w:themeColor="text1"/>
          <w:sz w:val="24"/>
          <w:szCs w:val="24"/>
          <w:lang w:val="fr-FR"/>
        </w:rPr>
        <w:t xml:space="preserve">puisque </w:t>
      </w:r>
      <w:r w:rsidRPr="00631F8A">
        <w:rPr>
          <w:rFonts w:ascii="Times New Roman" w:hAnsi="Times New Roman" w:cs="Times New Roman"/>
          <w:color w:val="000000" w:themeColor="text1"/>
          <w:sz w:val="24"/>
          <w:szCs w:val="24"/>
          <w:lang w:val="fr-FR"/>
        </w:rPr>
        <w:t xml:space="preserve">le Parlement européen n’avait fait recours à son pouvoir que huit fois durant les dix premières années </w:t>
      </w:r>
      <w:r w:rsidR="00627C2C">
        <w:rPr>
          <w:rFonts w:ascii="Times New Roman" w:hAnsi="Times New Roman" w:cs="Times New Roman"/>
          <w:color w:val="000000" w:themeColor="text1"/>
          <w:sz w:val="24"/>
          <w:szCs w:val="24"/>
          <w:lang w:val="fr-FR"/>
        </w:rPr>
        <w:t>suivant</w:t>
      </w:r>
      <w:r w:rsidRPr="00631F8A">
        <w:rPr>
          <w:rFonts w:ascii="Times New Roman" w:hAnsi="Times New Roman" w:cs="Times New Roman"/>
          <w:color w:val="000000" w:themeColor="text1"/>
          <w:sz w:val="24"/>
          <w:szCs w:val="24"/>
          <w:lang w:val="fr-FR"/>
        </w:rPr>
        <w:t xml:space="preserve"> son insertion par le traité de Maastricht. À cet égard, une mise en perspective avec le recours </w:t>
      </w:r>
      <w:r w:rsidR="00627C2C" w:rsidRPr="00631F8A">
        <w:rPr>
          <w:rFonts w:ascii="Times New Roman" w:hAnsi="Times New Roman" w:cs="Times New Roman"/>
          <w:color w:val="000000" w:themeColor="text1"/>
          <w:sz w:val="24"/>
          <w:szCs w:val="24"/>
          <w:lang w:val="fr-FR"/>
        </w:rPr>
        <w:t xml:space="preserve">par le Parlement européen </w:t>
      </w:r>
      <w:r w:rsidRPr="00631F8A">
        <w:rPr>
          <w:rFonts w:ascii="Times New Roman" w:hAnsi="Times New Roman" w:cs="Times New Roman"/>
          <w:color w:val="000000" w:themeColor="text1"/>
          <w:sz w:val="24"/>
          <w:szCs w:val="24"/>
          <w:lang w:val="fr-FR"/>
        </w:rPr>
        <w:t xml:space="preserve">à ses autres instruments législatifs est poignante. Ainsi, </w:t>
      </w:r>
      <w:r>
        <w:rPr>
          <w:rFonts w:ascii="Times New Roman" w:hAnsi="Times New Roman" w:cs="Times New Roman"/>
          <w:color w:val="000000" w:themeColor="text1"/>
          <w:sz w:val="24"/>
          <w:szCs w:val="24"/>
          <w:lang w:val="fr-FR"/>
        </w:rPr>
        <w:t xml:space="preserve">A. </w:t>
      </w:r>
      <w:r w:rsidRPr="00631F8A">
        <w:rPr>
          <w:rFonts w:ascii="Times New Roman" w:hAnsi="Times New Roman" w:cs="Times New Roman"/>
          <w:color w:val="000000" w:themeColor="text1"/>
          <w:sz w:val="24"/>
          <w:szCs w:val="24"/>
          <w:lang w:val="fr-FR"/>
        </w:rPr>
        <w:t>M</w:t>
      </w:r>
      <w:r w:rsidRPr="00631F8A">
        <w:rPr>
          <w:rFonts w:ascii="Times New Roman" w:hAnsi="Times New Roman" w:cs="Times New Roman"/>
          <w:smallCaps/>
          <w:color w:val="000000" w:themeColor="text1"/>
          <w:sz w:val="24"/>
          <w:szCs w:val="24"/>
          <w:lang w:val="fr-FR"/>
        </w:rPr>
        <w:t xml:space="preserve">aurer </w:t>
      </w:r>
      <w:r w:rsidRPr="00631F8A">
        <w:rPr>
          <w:rFonts w:ascii="Times New Roman" w:hAnsi="Times New Roman" w:cs="Times New Roman"/>
          <w:color w:val="000000" w:themeColor="text1"/>
          <w:sz w:val="24"/>
          <w:szCs w:val="24"/>
          <w:lang w:val="fr-FR"/>
        </w:rPr>
        <w:t>et</w:t>
      </w:r>
      <w:r>
        <w:rPr>
          <w:rFonts w:ascii="Times New Roman" w:hAnsi="Times New Roman" w:cs="Times New Roman"/>
          <w:color w:val="000000" w:themeColor="text1"/>
          <w:sz w:val="24"/>
          <w:szCs w:val="24"/>
          <w:lang w:val="fr-FR"/>
        </w:rPr>
        <w:t xml:space="preserve"> M.</w:t>
      </w:r>
      <w:r w:rsidRPr="00631F8A">
        <w:rPr>
          <w:rFonts w:ascii="Times New Roman" w:hAnsi="Times New Roman" w:cs="Times New Roman"/>
          <w:color w:val="000000" w:themeColor="text1"/>
          <w:sz w:val="24"/>
          <w:szCs w:val="24"/>
          <w:lang w:val="fr-FR"/>
        </w:rPr>
        <w:t xml:space="preserve"> </w:t>
      </w:r>
      <w:r w:rsidRPr="00631F8A">
        <w:rPr>
          <w:rFonts w:ascii="Times New Roman" w:hAnsi="Times New Roman" w:cs="Times New Roman"/>
          <w:smallCaps/>
          <w:color w:val="000000" w:themeColor="text1"/>
          <w:sz w:val="24"/>
          <w:szCs w:val="24"/>
          <w:lang w:val="fr-FR"/>
        </w:rPr>
        <w:t xml:space="preserve">Wolf </w:t>
      </w:r>
      <w:r w:rsidRPr="00631F8A">
        <w:rPr>
          <w:rFonts w:ascii="Times New Roman" w:hAnsi="Times New Roman" w:cs="Times New Roman"/>
          <w:color w:val="000000" w:themeColor="text1"/>
          <w:sz w:val="24"/>
          <w:szCs w:val="24"/>
          <w:lang w:val="fr-FR"/>
        </w:rPr>
        <w:t xml:space="preserve">dénombrent 2051 résolutions d’initiative </w:t>
      </w:r>
      <w:r w:rsidR="00627C2C">
        <w:rPr>
          <w:rFonts w:ascii="Times New Roman" w:hAnsi="Times New Roman" w:cs="Times New Roman"/>
          <w:color w:val="000000" w:themeColor="text1"/>
          <w:sz w:val="24"/>
          <w:szCs w:val="24"/>
          <w:lang w:val="fr-FR"/>
        </w:rPr>
        <w:t xml:space="preserve">adoptées par le Parlement européen </w:t>
      </w:r>
      <w:r w:rsidRPr="00631F8A">
        <w:rPr>
          <w:rFonts w:ascii="Times New Roman" w:hAnsi="Times New Roman" w:cs="Times New Roman"/>
          <w:color w:val="000000" w:themeColor="text1"/>
          <w:sz w:val="24"/>
          <w:szCs w:val="24"/>
          <w:lang w:val="fr-FR"/>
        </w:rPr>
        <w:t>entre 1994 et 2017.</w:t>
      </w:r>
      <w:r w:rsidRPr="00631F8A">
        <w:rPr>
          <w:rStyle w:val="Appelnotedebasdep"/>
          <w:rFonts w:ascii="Times New Roman" w:hAnsi="Times New Roman" w:cs="Times New Roman"/>
          <w:color w:val="000000" w:themeColor="text1"/>
          <w:sz w:val="24"/>
          <w:szCs w:val="24"/>
          <w:lang w:val="fr-FR"/>
        </w:rPr>
        <w:footnoteReference w:id="84"/>
      </w:r>
      <w:r w:rsidRPr="00631F8A">
        <w:rPr>
          <w:rFonts w:ascii="Times New Roman" w:hAnsi="Times New Roman" w:cs="Times New Roman"/>
          <w:color w:val="000000" w:themeColor="text1"/>
          <w:sz w:val="24"/>
          <w:szCs w:val="24"/>
          <w:lang w:val="fr-FR"/>
        </w:rPr>
        <w:t xml:space="preserve"> Dans la même veine, P</w:t>
      </w:r>
      <w:r>
        <w:rPr>
          <w:rFonts w:ascii="Times New Roman" w:hAnsi="Times New Roman" w:cs="Times New Roman"/>
          <w:color w:val="000000" w:themeColor="text1"/>
          <w:sz w:val="24"/>
          <w:szCs w:val="24"/>
          <w:lang w:val="fr-FR"/>
        </w:rPr>
        <w:t>eter</w:t>
      </w:r>
      <w:r w:rsidRPr="00631F8A">
        <w:rPr>
          <w:rFonts w:ascii="Times New Roman" w:hAnsi="Times New Roman" w:cs="Times New Roman"/>
          <w:color w:val="000000" w:themeColor="text1"/>
          <w:sz w:val="24"/>
          <w:szCs w:val="24"/>
          <w:lang w:val="fr-FR"/>
        </w:rPr>
        <w:t xml:space="preserve"> </w:t>
      </w:r>
      <w:r w:rsidRPr="00631F8A">
        <w:rPr>
          <w:rFonts w:ascii="Times New Roman" w:hAnsi="Times New Roman" w:cs="Times New Roman"/>
          <w:smallCaps/>
          <w:color w:val="000000" w:themeColor="text1"/>
          <w:sz w:val="24"/>
          <w:szCs w:val="24"/>
          <w:lang w:val="fr-FR"/>
        </w:rPr>
        <w:t xml:space="preserve">Vavrik </w:t>
      </w:r>
      <w:r w:rsidRPr="00631F8A">
        <w:rPr>
          <w:rFonts w:ascii="Times New Roman" w:hAnsi="Times New Roman" w:cs="Times New Roman"/>
          <w:color w:val="000000" w:themeColor="text1"/>
          <w:sz w:val="24"/>
          <w:szCs w:val="24"/>
          <w:lang w:val="fr-FR"/>
        </w:rPr>
        <w:t>remarque qu’au cours de la septième législature (2009-2014), 44 472 amendements ont été déposés en plénière, dont près de la moitié ont été adoptés.</w:t>
      </w:r>
      <w:r w:rsidRPr="00631F8A">
        <w:rPr>
          <w:rStyle w:val="Appelnotedebasdep"/>
          <w:rFonts w:ascii="Times New Roman" w:hAnsi="Times New Roman" w:cs="Times New Roman"/>
          <w:color w:val="000000" w:themeColor="text1"/>
          <w:sz w:val="24"/>
          <w:szCs w:val="24"/>
          <w:lang w:val="fr-FR"/>
        </w:rPr>
        <w:footnoteReference w:id="85"/>
      </w:r>
      <w:r w:rsidRPr="00631F8A">
        <w:rPr>
          <w:rFonts w:ascii="Times New Roman" w:hAnsi="Times New Roman" w:cs="Times New Roman"/>
          <w:color w:val="000000" w:themeColor="text1"/>
          <w:sz w:val="24"/>
          <w:szCs w:val="24"/>
          <w:lang w:val="fr-FR"/>
        </w:rPr>
        <w:t xml:space="preserve"> Enfin, la Commission a pris en moyenne 480 propositions législatives par an entre 1990 et 2016.</w:t>
      </w:r>
      <w:r w:rsidRPr="00631F8A">
        <w:rPr>
          <w:rStyle w:val="Appelnotedebasdep"/>
          <w:rFonts w:ascii="Times New Roman" w:hAnsi="Times New Roman" w:cs="Times New Roman"/>
          <w:color w:val="000000" w:themeColor="text1"/>
          <w:sz w:val="24"/>
          <w:szCs w:val="24"/>
          <w:lang w:val="fr-FR"/>
        </w:rPr>
        <w:footnoteReference w:id="86"/>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 xml:space="preserve">Dans leur récente étude, </w:t>
      </w:r>
      <w:r>
        <w:rPr>
          <w:rFonts w:ascii="Times New Roman" w:hAnsi="Times New Roman" w:cs="Times New Roman"/>
          <w:color w:val="000000" w:themeColor="text1"/>
          <w:sz w:val="24"/>
          <w:szCs w:val="24"/>
          <w:lang w:val="fr-FR"/>
        </w:rPr>
        <w:t>A.</w:t>
      </w:r>
      <w:r w:rsidRPr="00631F8A">
        <w:rPr>
          <w:rFonts w:ascii="Times New Roman" w:hAnsi="Times New Roman" w:cs="Times New Roman"/>
          <w:color w:val="000000" w:themeColor="text1"/>
          <w:sz w:val="24"/>
          <w:szCs w:val="24"/>
          <w:lang w:val="fr-FR"/>
        </w:rPr>
        <w:t xml:space="preserve"> M</w:t>
      </w:r>
      <w:r w:rsidRPr="00631F8A">
        <w:rPr>
          <w:rFonts w:ascii="Times New Roman" w:hAnsi="Times New Roman" w:cs="Times New Roman"/>
          <w:smallCaps/>
          <w:color w:val="000000" w:themeColor="text1"/>
          <w:sz w:val="24"/>
          <w:szCs w:val="24"/>
          <w:lang w:val="fr-FR"/>
        </w:rPr>
        <w:t xml:space="preserve">aurer </w:t>
      </w:r>
      <w:r w:rsidRPr="00631F8A">
        <w:rPr>
          <w:rFonts w:ascii="Times New Roman" w:hAnsi="Times New Roman" w:cs="Times New Roman"/>
          <w:color w:val="000000" w:themeColor="text1"/>
          <w:sz w:val="24"/>
          <w:szCs w:val="24"/>
          <w:lang w:val="fr-FR"/>
        </w:rPr>
        <w:t>et</w:t>
      </w:r>
      <w:r>
        <w:rPr>
          <w:rFonts w:ascii="Times New Roman" w:hAnsi="Times New Roman" w:cs="Times New Roman"/>
          <w:color w:val="000000" w:themeColor="text1"/>
          <w:sz w:val="24"/>
          <w:szCs w:val="24"/>
          <w:lang w:val="fr-FR"/>
        </w:rPr>
        <w:t xml:space="preserve"> M.</w:t>
      </w:r>
      <w:r w:rsidRPr="00631F8A">
        <w:rPr>
          <w:rFonts w:ascii="Times New Roman" w:hAnsi="Times New Roman" w:cs="Times New Roman"/>
          <w:color w:val="000000" w:themeColor="text1"/>
          <w:sz w:val="24"/>
          <w:szCs w:val="24"/>
          <w:lang w:val="fr-FR"/>
        </w:rPr>
        <w:t xml:space="preserve"> </w:t>
      </w:r>
      <w:r w:rsidRPr="00631F8A">
        <w:rPr>
          <w:rFonts w:ascii="Times New Roman" w:hAnsi="Times New Roman" w:cs="Times New Roman"/>
          <w:smallCaps/>
          <w:color w:val="000000" w:themeColor="text1"/>
          <w:sz w:val="24"/>
          <w:szCs w:val="24"/>
          <w:lang w:val="fr-FR"/>
        </w:rPr>
        <w:t xml:space="preserve">Wolf  </w:t>
      </w:r>
      <w:r w:rsidRPr="00631F8A">
        <w:rPr>
          <w:rFonts w:ascii="Times New Roman" w:hAnsi="Times New Roman" w:cs="Times New Roman"/>
          <w:color w:val="000000" w:themeColor="text1"/>
          <w:sz w:val="24"/>
          <w:szCs w:val="24"/>
          <w:lang w:val="fr-FR"/>
        </w:rPr>
        <w:t>mettent également en exergue la forte disparité existante entre les différentes commissions parlementaires quant au recours au pouvoir d’initiative indirect.</w:t>
      </w:r>
      <w:r w:rsidRPr="00631F8A">
        <w:rPr>
          <w:rStyle w:val="Appelnotedebasdep"/>
          <w:rFonts w:ascii="Times New Roman" w:hAnsi="Times New Roman" w:cs="Times New Roman"/>
          <w:color w:val="000000" w:themeColor="text1"/>
          <w:sz w:val="24"/>
          <w:szCs w:val="24"/>
          <w:lang w:val="fr-FR"/>
        </w:rPr>
        <w:footnoteReference w:id="87"/>
      </w:r>
      <w:r w:rsidRPr="00631F8A">
        <w:rPr>
          <w:rFonts w:ascii="Times New Roman" w:hAnsi="Times New Roman" w:cs="Times New Roman"/>
          <w:color w:val="000000" w:themeColor="text1"/>
          <w:sz w:val="24"/>
          <w:szCs w:val="24"/>
          <w:lang w:val="fr-FR"/>
        </w:rPr>
        <w:t xml:space="preserve"> Selon cette étude réalisée sur la base de 48 rapports d’initiative législative, la commission des affaires juridiques (</w:t>
      </w:r>
      <w:r w:rsidRPr="00631F8A">
        <w:rPr>
          <w:rFonts w:ascii="Times New Roman" w:hAnsi="Times New Roman" w:cs="Times New Roman"/>
          <w:smallCaps/>
          <w:color w:val="000000" w:themeColor="text1"/>
          <w:sz w:val="24"/>
          <w:szCs w:val="24"/>
          <w:lang w:val="fr-FR"/>
        </w:rPr>
        <w:t>Juri)</w:t>
      </w:r>
      <w:r w:rsidRPr="00631F8A">
        <w:rPr>
          <w:rFonts w:ascii="Times New Roman" w:hAnsi="Times New Roman" w:cs="Times New Roman"/>
          <w:color w:val="000000" w:themeColor="text1"/>
          <w:sz w:val="24"/>
          <w:szCs w:val="24"/>
          <w:lang w:val="fr-FR"/>
        </w:rPr>
        <w:t xml:space="preserve"> est responsable de plus d’un tiers des rapports d’initiative législative (37,5%).</w:t>
      </w:r>
      <w:r w:rsidRPr="00631F8A">
        <w:rPr>
          <w:rStyle w:val="Appelnotedebasdep"/>
          <w:rFonts w:ascii="Times New Roman" w:hAnsi="Times New Roman" w:cs="Times New Roman"/>
          <w:color w:val="000000" w:themeColor="text1"/>
          <w:sz w:val="24"/>
          <w:szCs w:val="24"/>
          <w:lang w:val="fr-FR"/>
        </w:rPr>
        <w:footnoteReference w:id="88"/>
      </w:r>
      <w:r w:rsidRPr="00631F8A">
        <w:rPr>
          <w:rFonts w:ascii="Times New Roman" w:hAnsi="Times New Roman" w:cs="Times New Roman"/>
          <w:color w:val="000000" w:themeColor="text1"/>
          <w:sz w:val="24"/>
          <w:szCs w:val="24"/>
          <w:lang w:val="fr-FR"/>
        </w:rPr>
        <w:t xml:space="preserve"> La commission des affaires économiques et monétaires (</w:t>
      </w:r>
      <w:r w:rsidRPr="00631F8A">
        <w:rPr>
          <w:rFonts w:ascii="Times New Roman" w:hAnsi="Times New Roman" w:cs="Times New Roman"/>
          <w:smallCaps/>
          <w:color w:val="000000" w:themeColor="text1"/>
          <w:sz w:val="24"/>
          <w:szCs w:val="24"/>
          <w:lang w:val="fr-FR"/>
        </w:rPr>
        <w:t>Econ</w:t>
      </w:r>
      <w:r w:rsidRPr="00631F8A">
        <w:rPr>
          <w:rFonts w:ascii="Times New Roman" w:hAnsi="Times New Roman" w:cs="Times New Roman"/>
          <w:color w:val="000000" w:themeColor="text1"/>
          <w:sz w:val="24"/>
          <w:szCs w:val="24"/>
          <w:lang w:val="fr-FR"/>
        </w:rPr>
        <w:t>) est à l’origine de 18,75% des rapports d’initiative législative.</w:t>
      </w:r>
      <w:r w:rsidRPr="00631F8A">
        <w:rPr>
          <w:rStyle w:val="Appelnotedebasdep"/>
          <w:rFonts w:ascii="Times New Roman" w:hAnsi="Times New Roman" w:cs="Times New Roman"/>
          <w:color w:val="000000" w:themeColor="text1"/>
          <w:sz w:val="24"/>
          <w:szCs w:val="24"/>
          <w:lang w:val="fr-FR"/>
        </w:rPr>
        <w:footnoteReference w:id="89"/>
      </w:r>
      <w:r w:rsidRPr="00631F8A">
        <w:rPr>
          <w:rFonts w:ascii="Times New Roman" w:hAnsi="Times New Roman" w:cs="Times New Roman"/>
          <w:color w:val="000000" w:themeColor="text1"/>
          <w:sz w:val="24"/>
          <w:szCs w:val="24"/>
          <w:lang w:val="fr-FR"/>
        </w:rPr>
        <w:t xml:space="preserve"> La commission de l’environnement, de la santé publique et de la sécurité alimentaire (</w:t>
      </w:r>
      <w:r w:rsidRPr="00631F8A">
        <w:rPr>
          <w:rFonts w:ascii="Times New Roman" w:hAnsi="Times New Roman" w:cs="Times New Roman"/>
          <w:smallCaps/>
          <w:color w:val="000000" w:themeColor="text1"/>
          <w:sz w:val="24"/>
          <w:szCs w:val="24"/>
          <w:lang w:val="fr-FR"/>
        </w:rPr>
        <w:t>Envi</w:t>
      </w:r>
      <w:r w:rsidRPr="00631F8A">
        <w:rPr>
          <w:rFonts w:ascii="Times New Roman" w:hAnsi="Times New Roman" w:cs="Times New Roman"/>
          <w:color w:val="000000" w:themeColor="text1"/>
          <w:sz w:val="24"/>
          <w:szCs w:val="24"/>
          <w:lang w:val="fr-FR"/>
        </w:rPr>
        <w:t>) et la commission des droits de la femme et de l’égalité des genres (</w:t>
      </w:r>
      <w:r w:rsidRPr="00631F8A">
        <w:rPr>
          <w:rFonts w:ascii="Times New Roman" w:hAnsi="Times New Roman" w:cs="Times New Roman"/>
          <w:smallCaps/>
          <w:color w:val="000000" w:themeColor="text1"/>
          <w:sz w:val="24"/>
          <w:szCs w:val="24"/>
          <w:lang w:val="fr-FR"/>
        </w:rPr>
        <w:t xml:space="preserve">Femm) </w:t>
      </w:r>
      <w:r w:rsidRPr="00631F8A">
        <w:rPr>
          <w:rFonts w:ascii="Times New Roman" w:hAnsi="Times New Roman" w:cs="Times New Roman"/>
          <w:color w:val="000000" w:themeColor="text1"/>
          <w:sz w:val="24"/>
          <w:szCs w:val="24"/>
          <w:lang w:val="fr-FR"/>
        </w:rPr>
        <w:t>ont respectivement rédigé 8% et 6,25% des rapports d’initiative législative.</w:t>
      </w:r>
      <w:r w:rsidRPr="00631F8A">
        <w:rPr>
          <w:rStyle w:val="Appelnotedebasdep"/>
          <w:rFonts w:ascii="Times New Roman" w:hAnsi="Times New Roman" w:cs="Times New Roman"/>
          <w:color w:val="000000" w:themeColor="text1"/>
          <w:sz w:val="24"/>
          <w:szCs w:val="24"/>
          <w:lang w:val="fr-FR"/>
        </w:rPr>
        <w:footnoteReference w:id="90"/>
      </w:r>
      <w:r w:rsidRPr="00631F8A">
        <w:rPr>
          <w:rFonts w:ascii="Times New Roman" w:hAnsi="Times New Roman" w:cs="Times New Roman"/>
          <w:color w:val="000000" w:themeColor="text1"/>
          <w:sz w:val="24"/>
          <w:szCs w:val="24"/>
          <w:lang w:val="fr-FR"/>
        </w:rPr>
        <w:t xml:space="preserve"> Enfin, dix comités supplémentaires ont rédigé et voté au moins un rapport d’initiative législative depuis 1993.</w:t>
      </w:r>
      <w:r w:rsidRPr="00631F8A">
        <w:rPr>
          <w:rStyle w:val="Appelnotedebasdep"/>
          <w:rFonts w:ascii="Times New Roman" w:hAnsi="Times New Roman" w:cs="Times New Roman"/>
          <w:color w:val="000000" w:themeColor="text1"/>
          <w:sz w:val="24"/>
          <w:szCs w:val="24"/>
          <w:lang w:val="fr-FR"/>
        </w:rPr>
        <w:footnoteReference w:id="91"/>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L’explication du recours limité par le Parlement à son pouvoir d’initiative indirect est loin d’être univoque. Toutefois, un facteur prédominant consiste en ce que le Parlement européen</w:t>
      </w:r>
      <w:r w:rsidR="00627C2C">
        <w:rPr>
          <w:rFonts w:ascii="Times New Roman" w:hAnsi="Times New Roman" w:cs="Times New Roman"/>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 xml:space="preserve">ferait le choix délibéré d’utiliser son pouvoir de manière responsable et parcimonieuse afin </w:t>
      </w:r>
      <w:r w:rsidRPr="00631F8A">
        <w:rPr>
          <w:rFonts w:ascii="Times New Roman" w:hAnsi="Times New Roman" w:cs="Times New Roman"/>
          <w:color w:val="000000" w:themeColor="text1"/>
          <w:sz w:val="24"/>
          <w:szCs w:val="24"/>
          <w:lang w:val="fr-FR"/>
        </w:rPr>
        <w:lastRenderedPageBreak/>
        <w:t>que celui-ci ne soit pas « dilué ».</w:t>
      </w:r>
      <w:r w:rsidRPr="00631F8A">
        <w:rPr>
          <w:rStyle w:val="Appelnotedebasdep"/>
          <w:rFonts w:ascii="Times New Roman" w:hAnsi="Times New Roman" w:cs="Times New Roman"/>
          <w:color w:val="000000" w:themeColor="text1"/>
          <w:sz w:val="24"/>
          <w:szCs w:val="24"/>
          <w:lang w:val="fr-FR"/>
        </w:rPr>
        <w:footnoteReference w:id="92"/>
      </w:r>
      <w:r w:rsidRPr="00631F8A">
        <w:rPr>
          <w:rFonts w:ascii="Times New Roman" w:hAnsi="Times New Roman" w:cs="Times New Roman"/>
          <w:color w:val="000000" w:themeColor="text1"/>
          <w:sz w:val="24"/>
          <w:szCs w:val="24"/>
          <w:lang w:val="fr-FR"/>
        </w:rPr>
        <w:t xml:space="preserve"> Voulant empêcher que les demandes formelles soient affaiblies par leur usage excessif, le Parlement imposerait des conditions strictes aux fins d’exercer le pouvoir d’initiative « </w:t>
      </w:r>
      <w:r>
        <w:rPr>
          <w:rFonts w:ascii="Times New Roman" w:hAnsi="Times New Roman" w:cs="Times New Roman"/>
          <w:color w:val="000000" w:themeColor="text1"/>
          <w:sz w:val="24"/>
          <w:szCs w:val="24"/>
          <w:lang w:val="fr-FR"/>
        </w:rPr>
        <w:t>de l’</w:t>
      </w:r>
      <w:r w:rsidRPr="00631F8A">
        <w:rPr>
          <w:rFonts w:ascii="Times New Roman" w:hAnsi="Times New Roman" w:cs="Times New Roman"/>
          <w:color w:val="000000" w:themeColor="text1"/>
          <w:sz w:val="24"/>
          <w:szCs w:val="24"/>
          <w:lang w:val="fr-FR"/>
        </w:rPr>
        <w:t>initiative ».</w:t>
      </w:r>
      <w:r w:rsidRPr="00631F8A">
        <w:rPr>
          <w:rStyle w:val="Appelnotedebasdep"/>
          <w:rFonts w:ascii="Times New Roman" w:hAnsi="Times New Roman" w:cs="Times New Roman"/>
          <w:color w:val="000000" w:themeColor="text1"/>
          <w:sz w:val="24"/>
          <w:szCs w:val="24"/>
          <w:lang w:val="fr-FR"/>
        </w:rPr>
        <w:footnoteReference w:id="93"/>
      </w:r>
      <w:r w:rsidRPr="00631F8A">
        <w:rPr>
          <w:rFonts w:ascii="Times New Roman" w:hAnsi="Times New Roman" w:cs="Times New Roman"/>
          <w:color w:val="000000" w:themeColor="text1"/>
          <w:sz w:val="24"/>
          <w:szCs w:val="24"/>
          <w:lang w:val="fr-FR"/>
        </w:rPr>
        <w:t xml:space="preserve"> À cet égard, la procédure pour la présentation d’une demande à la Commission, fixée par le Règlement intérieur du Parlement, se caractérise par sa grande complexité. De manière générale, afin de faire une demande à la Commission en vue de l’adoption d’un acte nouveau ou de la modification d’un acte existant, le Parlement doit adopter une résolution sur la base d’un rapport d’initiative législative de la commission compétente.</w:t>
      </w:r>
      <w:r w:rsidRPr="00631F8A">
        <w:rPr>
          <w:rStyle w:val="Appelnotedebasdep"/>
          <w:rFonts w:ascii="Times New Roman" w:hAnsi="Times New Roman" w:cs="Times New Roman"/>
          <w:color w:val="000000" w:themeColor="text1"/>
          <w:sz w:val="24"/>
          <w:szCs w:val="24"/>
          <w:lang w:val="fr-FR"/>
        </w:rPr>
        <w:footnoteReference w:id="94"/>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Avant l’adoption d’une telle résolution, deux procédures peuvent être empruntées. La procédure courante est qu’une commission parlementaire prenne l’initiative de déclencher le pouvoir d’initiative indirect.</w:t>
      </w:r>
      <w:r w:rsidRPr="00631F8A">
        <w:rPr>
          <w:rStyle w:val="Appelnotedebasdep"/>
          <w:rFonts w:ascii="Times New Roman" w:hAnsi="Times New Roman" w:cs="Times New Roman"/>
          <w:color w:val="000000" w:themeColor="text1"/>
          <w:sz w:val="24"/>
          <w:szCs w:val="24"/>
          <w:lang w:val="fr-FR"/>
        </w:rPr>
        <w:footnoteReference w:id="95"/>
      </w:r>
      <w:r w:rsidRPr="00631F8A">
        <w:rPr>
          <w:rFonts w:ascii="Times New Roman" w:hAnsi="Times New Roman" w:cs="Times New Roman"/>
          <w:color w:val="000000" w:themeColor="text1"/>
          <w:sz w:val="24"/>
          <w:szCs w:val="24"/>
          <w:lang w:val="fr-FR"/>
        </w:rPr>
        <w:t xml:space="preserve"> Cette dernière doit alors demander l’autorisation préalable de la Conférence des présidents, dont la décision doit être prise dans un délai de deux mois.</w:t>
      </w:r>
      <w:r w:rsidRPr="00631F8A">
        <w:rPr>
          <w:rStyle w:val="Appelnotedebasdep"/>
          <w:rFonts w:ascii="Times New Roman" w:hAnsi="Times New Roman" w:cs="Times New Roman"/>
          <w:color w:val="000000" w:themeColor="text1"/>
          <w:sz w:val="24"/>
          <w:szCs w:val="24"/>
          <w:lang w:val="fr-FR"/>
        </w:rPr>
        <w:footnoteReference w:id="96"/>
      </w:r>
      <w:r w:rsidRPr="00631F8A">
        <w:rPr>
          <w:rFonts w:ascii="Times New Roman" w:hAnsi="Times New Roman" w:cs="Times New Roman"/>
          <w:color w:val="000000" w:themeColor="text1"/>
          <w:sz w:val="24"/>
          <w:szCs w:val="24"/>
          <w:lang w:val="fr-FR"/>
        </w:rPr>
        <w:t xml:space="preserve"> Si la Conférence des présidents accepte, la commission parlementaire rédige un rapport d’initiative législative accompagné d’une proposition de résolution, texte qui sera débattu et voté au sein de la commission parlementaire avant d’être soumis au débat et vote en plénière. Alternativement, un député peut agir comme catalyseur du pouvoir d’initiative</w:t>
      </w:r>
      <w:r>
        <w:rPr>
          <w:rFonts w:ascii="Times New Roman" w:hAnsi="Times New Roman" w:cs="Times New Roman"/>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indirect.</w:t>
      </w:r>
      <w:r w:rsidRPr="00631F8A">
        <w:rPr>
          <w:rStyle w:val="Appelnotedebasdep"/>
          <w:rFonts w:ascii="Times New Roman" w:hAnsi="Times New Roman" w:cs="Times New Roman"/>
          <w:color w:val="000000" w:themeColor="text1"/>
          <w:sz w:val="24"/>
          <w:szCs w:val="24"/>
          <w:lang w:val="fr-FR"/>
        </w:rPr>
        <w:footnoteReference w:id="97"/>
      </w:r>
      <w:r w:rsidRPr="00631F8A">
        <w:rPr>
          <w:rFonts w:ascii="Times New Roman" w:hAnsi="Times New Roman" w:cs="Times New Roman"/>
          <w:color w:val="000000" w:themeColor="text1"/>
          <w:sz w:val="24"/>
          <w:szCs w:val="24"/>
          <w:lang w:val="fr-FR"/>
        </w:rPr>
        <w:t xml:space="preserve"> Une proposition d’acte, qui peut être déposée par un ou plusieurs députés avec un maximum de 10 députés, est soumise au Président du Parlement, qui vérifie si celle-ci satisfait aux conditions juridiques applicables.</w:t>
      </w:r>
      <w:r w:rsidRPr="00631F8A">
        <w:rPr>
          <w:rStyle w:val="Appelnotedebasdep"/>
          <w:rFonts w:ascii="Times New Roman" w:hAnsi="Times New Roman" w:cs="Times New Roman"/>
          <w:color w:val="000000" w:themeColor="text1"/>
          <w:sz w:val="24"/>
          <w:szCs w:val="24"/>
          <w:lang w:val="fr-FR"/>
        </w:rPr>
        <w:footnoteReference w:id="98"/>
      </w:r>
      <w:r w:rsidRPr="00631F8A">
        <w:rPr>
          <w:rFonts w:ascii="Times New Roman" w:hAnsi="Times New Roman" w:cs="Times New Roman"/>
          <w:color w:val="000000" w:themeColor="text1"/>
          <w:sz w:val="24"/>
          <w:szCs w:val="24"/>
          <w:lang w:val="fr-FR"/>
        </w:rPr>
        <w:t xml:space="preserve"> Si le Président estime que la proposition est recevable, il la transmet à la commission compétente qui décide, dans un délai de trois mois, de la suite à donner à la proposition, et rédige, en cas de réponse positive, un rapport d’initiative législative accompagné d’une proposition de résolution soumis au vote du Parlement.</w:t>
      </w:r>
      <w:r w:rsidRPr="00631F8A">
        <w:rPr>
          <w:rStyle w:val="Appelnotedebasdep"/>
          <w:rFonts w:ascii="Times New Roman" w:hAnsi="Times New Roman" w:cs="Times New Roman"/>
          <w:color w:val="000000" w:themeColor="text1"/>
          <w:sz w:val="24"/>
          <w:szCs w:val="24"/>
          <w:lang w:val="fr-FR"/>
        </w:rPr>
        <w:footnoteReference w:id="99"/>
      </w:r>
      <w:r w:rsidRPr="00631F8A">
        <w:rPr>
          <w:rFonts w:ascii="Times New Roman" w:hAnsi="Times New Roman" w:cs="Times New Roman"/>
          <w:color w:val="000000" w:themeColor="text1"/>
          <w:sz w:val="24"/>
          <w:szCs w:val="24"/>
          <w:lang w:val="fr-FR"/>
        </w:rPr>
        <w:t xml:space="preserve"> Qu’importe la procédure suivie, la proposition de résolution d’initiative législative</w:t>
      </w:r>
      <w:r w:rsidRPr="00631F8A">
        <w:rPr>
          <w:rStyle w:val="Appelnotedebasdep"/>
          <w:rFonts w:ascii="Times New Roman" w:hAnsi="Times New Roman" w:cs="Times New Roman"/>
          <w:color w:val="000000" w:themeColor="text1"/>
          <w:sz w:val="24"/>
          <w:szCs w:val="24"/>
          <w:lang w:val="fr-FR"/>
        </w:rPr>
        <w:footnoteReference w:id="100"/>
      </w:r>
      <w:r w:rsidRPr="00631F8A">
        <w:rPr>
          <w:rFonts w:ascii="Times New Roman" w:hAnsi="Times New Roman" w:cs="Times New Roman"/>
          <w:color w:val="000000" w:themeColor="text1"/>
          <w:sz w:val="24"/>
          <w:szCs w:val="24"/>
          <w:lang w:val="fr-FR"/>
        </w:rPr>
        <w:t xml:space="preserve"> sera soumise à un vote à la majorité des membres du Parlement, et non à la majorité des suffrages </w:t>
      </w:r>
      <w:r w:rsidRPr="00631F8A">
        <w:rPr>
          <w:rFonts w:ascii="Times New Roman" w:hAnsi="Times New Roman" w:cs="Times New Roman"/>
          <w:color w:val="000000" w:themeColor="text1"/>
          <w:sz w:val="24"/>
          <w:szCs w:val="24"/>
          <w:lang w:val="fr-FR"/>
        </w:rPr>
        <w:lastRenderedPageBreak/>
        <w:t>exprimés,</w:t>
      </w:r>
      <w:r w:rsidRPr="00631F8A">
        <w:rPr>
          <w:rFonts w:ascii="Times New Roman" w:hAnsi="Times New Roman" w:cs="Times New Roman"/>
          <w:color w:val="000000" w:themeColor="text1"/>
          <w:sz w:val="24"/>
          <w:szCs w:val="24"/>
          <w:vertAlign w:val="superscript"/>
          <w:lang w:val="fr-FR"/>
        </w:rPr>
        <w:footnoteReference w:id="101"/>
      </w:r>
      <w:r w:rsidRPr="00631F8A">
        <w:rPr>
          <w:rFonts w:ascii="Times New Roman" w:hAnsi="Times New Roman" w:cs="Times New Roman"/>
          <w:color w:val="000000" w:themeColor="text1"/>
          <w:sz w:val="24"/>
          <w:szCs w:val="24"/>
          <w:lang w:val="fr-FR"/>
        </w:rPr>
        <w:t xml:space="preserve"> ce qui constitue un frein considérable à la possibilité de recourir au pouvoir d’initiative indirect.</w:t>
      </w:r>
      <w:r w:rsidRPr="00631F8A">
        <w:rPr>
          <w:rStyle w:val="Appelnotedebasdep"/>
          <w:rFonts w:ascii="Times New Roman" w:hAnsi="Times New Roman" w:cs="Times New Roman"/>
          <w:color w:val="000000" w:themeColor="text1"/>
          <w:sz w:val="24"/>
          <w:szCs w:val="24"/>
          <w:lang w:val="fr-FR"/>
        </w:rPr>
        <w:footnoteReference w:id="102"/>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Si le choix délibéré du Parlement européen de limiter le recours au pouvoir d’initiative</w:t>
      </w:r>
      <w:r>
        <w:rPr>
          <w:rFonts w:ascii="Times New Roman" w:hAnsi="Times New Roman" w:cs="Times New Roman"/>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indirect peut en expliquer le faible emploi, d’autres facteurs jouent conjointement un rôle déterminant. Tout d’abord, le Parlement européen ne jouit pas de ressources – en termes d’expertise et de temps – comparables à celle de la Commission pour s’adonner à l’élaboration de propositions législatives. En effet, la Commission dispose d’une expertise sans égale pour évaluer les situations à l’échelle de l’Union européenne.</w:t>
      </w:r>
      <w:r w:rsidRPr="00631F8A">
        <w:rPr>
          <w:rStyle w:val="Appelnotedebasdep"/>
          <w:rFonts w:ascii="Times New Roman" w:hAnsi="Times New Roman" w:cs="Times New Roman"/>
          <w:color w:val="000000" w:themeColor="text1"/>
          <w:sz w:val="24"/>
          <w:szCs w:val="24"/>
          <w:lang w:val="fr-FR"/>
        </w:rPr>
        <w:footnoteReference w:id="103"/>
      </w:r>
      <w:r w:rsidRPr="00631F8A">
        <w:rPr>
          <w:rFonts w:ascii="Times New Roman" w:hAnsi="Times New Roman" w:cs="Times New Roman"/>
          <w:color w:val="000000" w:themeColor="text1"/>
          <w:sz w:val="24"/>
          <w:szCs w:val="24"/>
          <w:lang w:val="fr-FR"/>
        </w:rPr>
        <w:t xml:space="preserve"> </w:t>
      </w:r>
      <w:r w:rsidRPr="00631F8A">
        <w:rPr>
          <w:rFonts w:ascii="Times New Roman" w:hAnsi="Times New Roman" w:cs="Times New Roman"/>
          <w:smallCaps/>
          <w:color w:val="000000" w:themeColor="text1"/>
          <w:sz w:val="24"/>
          <w:szCs w:val="24"/>
          <w:lang w:val="fr-FR"/>
        </w:rPr>
        <w:t>E.-M. Poptcheva,</w:t>
      </w:r>
      <w:r w:rsidRPr="00631F8A">
        <w:rPr>
          <w:rFonts w:ascii="Times New Roman" w:hAnsi="Times New Roman" w:cs="Times New Roman"/>
          <w:color w:val="000000" w:themeColor="text1"/>
          <w:sz w:val="24"/>
          <w:szCs w:val="24"/>
          <w:lang w:val="fr-FR"/>
        </w:rPr>
        <w:t xml:space="preserve"> quant à elle, observe que le nombre d’initiatives – formelles et informelles – est inversement proportionnel à l’accroissement des compétences législatives du Parlement européen.</w:t>
      </w:r>
      <w:r w:rsidRPr="00631F8A">
        <w:rPr>
          <w:rStyle w:val="Appelnotedebasdep"/>
          <w:rFonts w:ascii="Times New Roman" w:hAnsi="Times New Roman" w:cs="Times New Roman"/>
          <w:color w:val="000000" w:themeColor="text1"/>
          <w:sz w:val="24"/>
          <w:szCs w:val="24"/>
          <w:lang w:val="fr-FR"/>
        </w:rPr>
        <w:footnoteReference w:id="104"/>
      </w:r>
      <w:r w:rsidRPr="00631F8A">
        <w:rPr>
          <w:rFonts w:ascii="Times New Roman" w:hAnsi="Times New Roman" w:cs="Times New Roman"/>
          <w:color w:val="000000" w:themeColor="text1"/>
          <w:sz w:val="24"/>
          <w:szCs w:val="24"/>
          <w:lang w:val="fr-FR"/>
        </w:rPr>
        <w:t xml:space="preserve"> En raison de la charge de travail et la responsabilité découlant de ses nouvelles compétences législatives, le Parlement européen consacre moins de temps à l’élaboration de nouvelles propositions.</w:t>
      </w:r>
      <w:r w:rsidRPr="00631F8A">
        <w:rPr>
          <w:rStyle w:val="Appelnotedebasdep"/>
          <w:rFonts w:ascii="Times New Roman" w:hAnsi="Times New Roman" w:cs="Times New Roman"/>
          <w:color w:val="000000" w:themeColor="text1"/>
          <w:sz w:val="24"/>
          <w:szCs w:val="24"/>
          <w:lang w:val="fr-FR"/>
        </w:rPr>
        <w:footnoteReference w:id="105"/>
      </w:r>
      <w:r w:rsidRPr="00631F8A">
        <w:rPr>
          <w:rFonts w:ascii="Times New Roman" w:hAnsi="Times New Roman" w:cs="Times New Roman"/>
          <w:color w:val="000000" w:themeColor="text1"/>
          <w:sz w:val="24"/>
          <w:szCs w:val="24"/>
          <w:lang w:val="fr-FR"/>
        </w:rPr>
        <w:t xml:space="preserve"> Ensuite, comme mis en exergue </w:t>
      </w:r>
      <w:r w:rsidRPr="00631F8A">
        <w:rPr>
          <w:rFonts w:ascii="Times New Roman" w:hAnsi="Times New Roman" w:cs="Times New Roman"/>
          <w:i/>
          <w:color w:val="000000" w:themeColor="text1"/>
          <w:sz w:val="24"/>
          <w:szCs w:val="24"/>
          <w:lang w:val="fr-FR"/>
        </w:rPr>
        <w:t>infra</w:t>
      </w:r>
      <w:r w:rsidRPr="00631F8A">
        <w:rPr>
          <w:rFonts w:ascii="Times New Roman" w:hAnsi="Times New Roman" w:cs="Times New Roman"/>
          <w:color w:val="000000" w:themeColor="text1"/>
          <w:sz w:val="24"/>
          <w:szCs w:val="24"/>
          <w:lang w:val="fr-FR"/>
        </w:rPr>
        <w:t>, le Parlement dispose d’autres opportunités de définir l’agenda des politiques européennes.</w:t>
      </w:r>
      <w:r w:rsidRPr="00631F8A">
        <w:rPr>
          <w:rStyle w:val="Appelnotedebasdep"/>
          <w:rFonts w:ascii="Times New Roman" w:hAnsi="Times New Roman" w:cs="Times New Roman"/>
          <w:color w:val="000000" w:themeColor="text1"/>
          <w:sz w:val="24"/>
          <w:szCs w:val="24"/>
          <w:lang w:val="fr-FR"/>
        </w:rPr>
        <w:footnoteReference w:id="106"/>
      </w:r>
      <w:r w:rsidRPr="00631F8A">
        <w:rPr>
          <w:rFonts w:ascii="Times New Roman" w:hAnsi="Times New Roman" w:cs="Times New Roman"/>
          <w:color w:val="000000" w:themeColor="text1"/>
          <w:sz w:val="24"/>
          <w:szCs w:val="24"/>
          <w:lang w:val="fr-FR"/>
        </w:rPr>
        <w:t xml:space="preserve"> À titre d’exemple, la collaboration toujours plus étroite entre le Parlement européen et la Commission dans l’élaboration du programme annuel de travail de la Commission conduit le Parlement à se concentrer sur ce canal plutôt que sur les demandes formelles fondées sur l’article 225 TFUE.</w:t>
      </w:r>
      <w:r w:rsidRPr="00631F8A">
        <w:rPr>
          <w:rStyle w:val="Appelnotedebasdep"/>
          <w:rFonts w:ascii="Times New Roman" w:hAnsi="Times New Roman" w:cs="Times New Roman"/>
          <w:color w:val="000000" w:themeColor="text1"/>
          <w:sz w:val="24"/>
          <w:szCs w:val="24"/>
          <w:lang w:val="fr-FR"/>
        </w:rPr>
        <w:footnoteReference w:id="107"/>
      </w:r>
      <w:r w:rsidRPr="00631F8A">
        <w:rPr>
          <w:rFonts w:ascii="Times New Roman" w:hAnsi="Times New Roman" w:cs="Times New Roman"/>
          <w:color w:val="000000" w:themeColor="text1"/>
          <w:sz w:val="24"/>
          <w:szCs w:val="24"/>
          <w:lang w:val="fr-FR"/>
        </w:rPr>
        <w:t xml:space="preserve"> Enfin, le fait que la Commission dispose d’un pouvoir d’appréciation à l’égard des demandes du Parlement influe indubitablement sur le recours au pouvoir d’initiative. </w:t>
      </w:r>
    </w:p>
    <w:p w:rsidR="009A1106" w:rsidRPr="00144098" w:rsidRDefault="009A1106" w:rsidP="009A1106">
      <w:pPr>
        <w:pStyle w:val="Titre2"/>
        <w:spacing w:before="120" w:after="120" w:line="360" w:lineRule="auto"/>
        <w:rPr>
          <w:rFonts w:ascii="Times New Roman" w:hAnsi="Times New Roman" w:cs="Times New Roman"/>
          <w:b/>
          <w:color w:val="000000" w:themeColor="text1"/>
          <w:sz w:val="24"/>
          <w:szCs w:val="24"/>
          <w:lang w:val="fr-FR"/>
        </w:rPr>
      </w:pPr>
      <w:r>
        <w:rPr>
          <w:rFonts w:ascii="Times New Roman" w:eastAsia="Times New Roman" w:hAnsi="Times New Roman" w:cs="Times New Roman"/>
          <w:b/>
          <w:color w:val="000000" w:themeColor="text1"/>
          <w:sz w:val="24"/>
          <w:szCs w:val="24"/>
          <w:lang w:val="fr-FR" w:eastAsia="fr-FR"/>
        </w:rPr>
        <w:tab/>
      </w:r>
      <w:bookmarkStart w:id="8" w:name="_Toc7535841"/>
      <w:r w:rsidRPr="00144098">
        <w:rPr>
          <w:rFonts w:ascii="Times New Roman" w:eastAsia="Times New Roman" w:hAnsi="Times New Roman" w:cs="Times New Roman"/>
          <w:b/>
          <w:color w:val="000000" w:themeColor="text1"/>
          <w:sz w:val="24"/>
          <w:szCs w:val="24"/>
          <w:lang w:val="fr-FR" w:eastAsia="fr-FR"/>
        </w:rPr>
        <w:t>B.</w:t>
      </w:r>
      <w:r>
        <w:rPr>
          <w:rFonts w:ascii="Times New Roman" w:eastAsia="Times New Roman" w:hAnsi="Times New Roman" w:cs="Times New Roman"/>
          <w:b/>
          <w:color w:val="000000" w:themeColor="text1"/>
          <w:sz w:val="24"/>
          <w:szCs w:val="24"/>
          <w:lang w:val="fr-FR" w:eastAsia="fr-FR"/>
        </w:rPr>
        <w:t xml:space="preserve"> </w:t>
      </w:r>
      <w:r w:rsidRPr="00144098">
        <w:rPr>
          <w:rFonts w:ascii="Times New Roman" w:eastAsia="Times New Roman" w:hAnsi="Times New Roman" w:cs="Times New Roman"/>
          <w:b/>
          <w:color w:val="000000" w:themeColor="text1"/>
          <w:sz w:val="24"/>
          <w:szCs w:val="24"/>
          <w:lang w:val="fr-FR" w:eastAsia="fr-FR"/>
        </w:rPr>
        <w:t>L’impact limité mais croissant des résolutions d’initiative législative</w:t>
      </w:r>
      <w:bookmarkEnd w:id="8"/>
      <w:r w:rsidRPr="00144098">
        <w:rPr>
          <w:rFonts w:ascii="Times New Roman" w:eastAsia="Times New Roman" w:hAnsi="Times New Roman" w:cs="Times New Roman"/>
          <w:b/>
          <w:color w:val="000000" w:themeColor="text1"/>
          <w:sz w:val="24"/>
          <w:szCs w:val="24"/>
          <w:lang w:val="fr-FR" w:eastAsia="fr-FR"/>
        </w:rPr>
        <w:t xml:space="preserve"> </w:t>
      </w:r>
    </w:p>
    <w:p w:rsidR="009A1106" w:rsidRPr="00631F8A" w:rsidRDefault="009A1106" w:rsidP="009A1106">
      <w:pPr>
        <w:spacing w:before="120" w:after="120" w:line="360" w:lineRule="auto"/>
        <w:ind w:firstLine="284"/>
        <w:jc w:val="both"/>
        <w:rPr>
          <w:rFonts w:ascii="Times New Roman" w:hAnsi="Times New Roman" w:cs="Times New Roman"/>
          <w:color w:val="000000" w:themeColor="text1"/>
          <w:sz w:val="24"/>
          <w:szCs w:val="24"/>
          <w:lang w:val="fr-FR"/>
        </w:rPr>
      </w:pPr>
      <w:r w:rsidRPr="00631F8A">
        <w:rPr>
          <w:rFonts w:ascii="Times New Roman" w:eastAsia="Times New Roman" w:hAnsi="Times New Roman" w:cs="Times New Roman"/>
          <w:color w:val="000000" w:themeColor="text1"/>
          <w:sz w:val="24"/>
          <w:szCs w:val="24"/>
          <w:lang w:val="fr-FR" w:eastAsia="fr-FR"/>
        </w:rPr>
        <w:t xml:space="preserve">Comme déjà précisé </w:t>
      </w:r>
      <w:r w:rsidRPr="00631F8A">
        <w:rPr>
          <w:rFonts w:ascii="Times New Roman" w:eastAsia="Times New Roman" w:hAnsi="Times New Roman" w:cs="Times New Roman"/>
          <w:i/>
          <w:color w:val="000000" w:themeColor="text1"/>
          <w:sz w:val="24"/>
          <w:szCs w:val="24"/>
          <w:lang w:val="fr-FR" w:eastAsia="fr-FR"/>
        </w:rPr>
        <w:t>supra</w:t>
      </w:r>
      <w:r w:rsidRPr="00631F8A">
        <w:rPr>
          <w:rFonts w:ascii="Times New Roman" w:eastAsia="Times New Roman" w:hAnsi="Times New Roman" w:cs="Times New Roman"/>
          <w:color w:val="000000" w:themeColor="text1"/>
          <w:sz w:val="24"/>
          <w:szCs w:val="24"/>
          <w:lang w:val="fr-FR" w:eastAsia="fr-FR"/>
        </w:rPr>
        <w:t>, lorsqu’une résolution d’initiative législative a été débattue et votée au sein de la commission parlementaire compétente ainsi qu’en séance plénière, c'est à la Commission de décider du sort des résolutions du Parlement européen.</w:t>
      </w:r>
      <w:r w:rsidRPr="00631F8A">
        <w:rPr>
          <w:rFonts w:ascii="Times New Roman" w:eastAsia="Times New Roman" w:hAnsi="Times New Roman" w:cs="Times New Roman"/>
          <w:color w:val="000000" w:themeColor="text1"/>
          <w:sz w:val="24"/>
          <w:szCs w:val="24"/>
          <w:vertAlign w:val="superscript"/>
          <w:lang w:val="fr-FR" w:eastAsia="fr-FR"/>
        </w:rPr>
        <w:footnoteReference w:id="108"/>
      </w:r>
      <w:r w:rsidRPr="00631F8A">
        <w:rPr>
          <w:rFonts w:ascii="Times New Roman" w:eastAsia="Times New Roman" w:hAnsi="Times New Roman" w:cs="Times New Roman"/>
          <w:color w:val="000000" w:themeColor="text1"/>
          <w:sz w:val="24"/>
          <w:szCs w:val="24"/>
          <w:lang w:val="fr-FR" w:eastAsia="fr-FR"/>
        </w:rPr>
        <w:t xml:space="preserve"> La Commission, n’étant soumise à aucune obligation </w:t>
      </w:r>
      <w:r w:rsidRPr="00631F8A">
        <w:rPr>
          <w:rFonts w:ascii="Times New Roman" w:hAnsi="Times New Roman" w:cs="Times New Roman"/>
          <w:color w:val="000000" w:themeColor="text1"/>
          <w:sz w:val="24"/>
          <w:szCs w:val="24"/>
          <w:lang w:val="fr-FR"/>
        </w:rPr>
        <w:t xml:space="preserve">légale d’élaborer une proposition législative, dispose d’un vaste pouvoir d’appréciation en ce qui concerne le caractère </w:t>
      </w:r>
      <w:r w:rsidRPr="00631F8A">
        <w:rPr>
          <w:rFonts w:ascii="Times New Roman" w:hAnsi="Times New Roman" w:cs="Times New Roman"/>
          <w:color w:val="000000" w:themeColor="text1"/>
          <w:sz w:val="24"/>
          <w:szCs w:val="24"/>
          <w:lang w:val="fr-FR"/>
        </w:rPr>
        <w:lastRenderedPageBreak/>
        <w:t>approprié des demandes du Parlement européen.</w:t>
      </w:r>
      <w:r w:rsidRPr="00631F8A">
        <w:rPr>
          <w:rFonts w:ascii="Times New Roman" w:eastAsia="Times New Roman" w:hAnsi="Times New Roman" w:cs="Times New Roman"/>
          <w:color w:val="000000" w:themeColor="text1"/>
          <w:sz w:val="24"/>
          <w:szCs w:val="24"/>
          <w:vertAlign w:val="superscript"/>
          <w:lang w:val="fr-FR" w:eastAsia="fr-FR"/>
        </w:rPr>
        <w:footnoteReference w:id="109"/>
      </w:r>
      <w:r w:rsidRPr="00631F8A">
        <w:rPr>
          <w:rFonts w:ascii="Times New Roman" w:hAnsi="Times New Roman" w:cs="Times New Roman"/>
          <w:color w:val="000000" w:themeColor="text1"/>
          <w:sz w:val="24"/>
          <w:szCs w:val="24"/>
          <w:lang w:val="fr-FR"/>
        </w:rPr>
        <w:t xml:space="preserve"> À ce stade, se pose la question de savoir comment la Commission exerce </w:t>
      </w:r>
      <w:r w:rsidRPr="00631F8A">
        <w:rPr>
          <w:rFonts w:ascii="Times New Roman" w:hAnsi="Times New Roman" w:cs="Times New Roman"/>
          <w:i/>
          <w:color w:val="000000" w:themeColor="text1"/>
          <w:sz w:val="24"/>
          <w:szCs w:val="24"/>
          <w:lang w:val="fr-FR"/>
        </w:rPr>
        <w:t>in concreto</w:t>
      </w:r>
      <w:r w:rsidRPr="00631F8A">
        <w:rPr>
          <w:rFonts w:ascii="Times New Roman" w:hAnsi="Times New Roman" w:cs="Times New Roman"/>
          <w:color w:val="000000" w:themeColor="text1"/>
          <w:sz w:val="24"/>
          <w:szCs w:val="24"/>
          <w:lang w:val="fr-FR"/>
        </w:rPr>
        <w:t xml:space="preserve"> son pouvoir d’appréciation et dans quelle mesure cette dernière soumet des propositions législatives à la suite de l’exercice par le Parlement européen de son pouvoir d’initiative indirect. </w:t>
      </w:r>
    </w:p>
    <w:p w:rsidR="009A1106" w:rsidRPr="00631F8A" w:rsidRDefault="009A1106" w:rsidP="009A1106">
      <w:pPr>
        <w:spacing w:before="120" w:after="120" w:line="360" w:lineRule="auto"/>
        <w:ind w:firstLine="284"/>
        <w:jc w:val="both"/>
        <w:rPr>
          <w:rFonts w:ascii="Times New Roman" w:eastAsia="Times New Roman" w:hAnsi="Times New Roman" w:cs="Times New Roman"/>
          <w:bCs/>
          <w:color w:val="000000" w:themeColor="text1"/>
          <w:sz w:val="24"/>
          <w:szCs w:val="24"/>
          <w:shd w:val="clear" w:color="auto" w:fill="FFFFFF"/>
          <w:lang w:val="fr-FR" w:eastAsia="fr-FR"/>
        </w:rPr>
      </w:pPr>
      <w:r w:rsidRPr="00631F8A">
        <w:rPr>
          <w:rFonts w:ascii="Times New Roman" w:hAnsi="Times New Roman" w:cs="Times New Roman"/>
          <w:color w:val="000000" w:themeColor="text1"/>
          <w:sz w:val="24"/>
          <w:szCs w:val="24"/>
          <w:lang w:val="fr-FR"/>
        </w:rPr>
        <w:t xml:space="preserve">De manière liminaire, notons que les résolutions d’initiative législative du Parlement européen ont trait à des matières fort diverses. À titre illustratif, </w:t>
      </w:r>
      <w:r w:rsidRPr="00631F8A">
        <w:rPr>
          <w:rFonts w:ascii="Times New Roman" w:eastAsia="Times New Roman" w:hAnsi="Times New Roman" w:cs="Times New Roman"/>
          <w:color w:val="000000" w:themeColor="text1"/>
          <w:sz w:val="24"/>
          <w:szCs w:val="24"/>
          <w:lang w:val="fr-FR" w:eastAsia="fr-FR"/>
        </w:rPr>
        <w:t xml:space="preserve">durant la législature 2014-2019, les résolutions d’initiative législative ont porté </w:t>
      </w:r>
      <w:r w:rsidRPr="00631F8A">
        <w:rPr>
          <w:rFonts w:ascii="Times New Roman" w:eastAsia="Times New Roman" w:hAnsi="Times New Roman" w:cs="Times New Roman"/>
          <w:i/>
          <w:color w:val="000000" w:themeColor="text1"/>
          <w:sz w:val="24"/>
          <w:szCs w:val="24"/>
          <w:lang w:val="fr-FR" w:eastAsia="fr-FR"/>
        </w:rPr>
        <w:t>inter alia</w:t>
      </w:r>
      <w:r w:rsidRPr="00631F8A">
        <w:rPr>
          <w:rFonts w:ascii="Times New Roman" w:eastAsia="Times New Roman" w:hAnsi="Times New Roman" w:cs="Times New Roman"/>
          <w:color w:val="000000" w:themeColor="text1"/>
          <w:sz w:val="24"/>
          <w:szCs w:val="24"/>
          <w:lang w:val="fr-FR" w:eastAsia="fr-FR"/>
        </w:rPr>
        <w:t xml:space="preserve"> sur la création d'un mécanisme de l'Union pour la démocratie, l'État de droit et les droits fondamentaux,</w:t>
      </w:r>
      <w:r w:rsidRPr="00631F8A">
        <w:rPr>
          <w:rStyle w:val="Appelnotedebasdep"/>
          <w:rFonts w:ascii="Times New Roman" w:eastAsia="Times New Roman" w:hAnsi="Times New Roman" w:cs="Times New Roman"/>
          <w:color w:val="000000" w:themeColor="text1"/>
          <w:sz w:val="24"/>
          <w:szCs w:val="24"/>
          <w:lang w:val="fr-FR" w:eastAsia="fr-FR"/>
        </w:rPr>
        <w:footnoteReference w:id="110"/>
      </w:r>
      <w:r w:rsidRPr="00631F8A">
        <w:rPr>
          <w:rFonts w:ascii="Times New Roman" w:eastAsia="Times New Roman" w:hAnsi="Times New Roman" w:cs="Times New Roman"/>
          <w:color w:val="000000" w:themeColor="text1"/>
          <w:sz w:val="24"/>
          <w:szCs w:val="24"/>
          <w:lang w:val="fr-FR" w:eastAsia="fr-FR"/>
        </w:rPr>
        <w:t xml:space="preserve"> les normes minimales communes pour les procédures civiles dans l’Union européenne,</w:t>
      </w:r>
      <w:r w:rsidRPr="00631F8A">
        <w:rPr>
          <w:rStyle w:val="Appelnotedebasdep"/>
          <w:rFonts w:ascii="Times New Roman" w:eastAsia="Times New Roman" w:hAnsi="Times New Roman" w:cs="Times New Roman"/>
          <w:color w:val="000000" w:themeColor="text1"/>
          <w:sz w:val="24"/>
          <w:szCs w:val="24"/>
          <w:lang w:val="fr-FR" w:eastAsia="fr-FR"/>
        </w:rPr>
        <w:footnoteReference w:id="111"/>
      </w:r>
      <w:r w:rsidRPr="00631F8A">
        <w:rPr>
          <w:rFonts w:ascii="Times New Roman" w:eastAsia="Times New Roman" w:hAnsi="Times New Roman" w:cs="Times New Roman"/>
          <w:color w:val="000000" w:themeColor="text1"/>
          <w:sz w:val="24"/>
          <w:szCs w:val="24"/>
          <w:lang w:val="fr-FR" w:eastAsia="fr-FR"/>
        </w:rPr>
        <w:t xml:space="preserve"> la protection des adultes vulnérables,</w:t>
      </w:r>
      <w:r w:rsidRPr="00631F8A">
        <w:rPr>
          <w:rStyle w:val="Appelnotedebasdep"/>
          <w:rFonts w:ascii="Times New Roman" w:eastAsia="Times New Roman" w:hAnsi="Times New Roman" w:cs="Times New Roman"/>
          <w:color w:val="000000" w:themeColor="text1"/>
          <w:sz w:val="24"/>
          <w:szCs w:val="24"/>
          <w:lang w:val="fr-FR" w:eastAsia="fr-FR"/>
        </w:rPr>
        <w:footnoteReference w:id="112"/>
      </w:r>
      <w:r w:rsidRPr="00631F8A">
        <w:rPr>
          <w:rFonts w:ascii="Times New Roman" w:eastAsia="Times New Roman" w:hAnsi="Times New Roman" w:cs="Times New Roman"/>
          <w:color w:val="000000" w:themeColor="text1"/>
          <w:sz w:val="24"/>
          <w:szCs w:val="24"/>
          <w:lang w:val="fr-FR" w:eastAsia="fr-FR"/>
        </w:rPr>
        <w:t xml:space="preserve"> des règles de droit civil sur la robotique</w:t>
      </w:r>
      <w:r w:rsidRPr="00631F8A">
        <w:rPr>
          <w:rStyle w:val="Appelnotedebasdep"/>
          <w:rFonts w:ascii="Times New Roman" w:eastAsia="Times New Roman" w:hAnsi="Times New Roman" w:cs="Times New Roman"/>
          <w:color w:val="000000" w:themeColor="text1"/>
          <w:sz w:val="24"/>
          <w:szCs w:val="24"/>
          <w:lang w:val="fr-FR" w:eastAsia="fr-FR"/>
        </w:rPr>
        <w:footnoteReference w:id="113"/>
      </w:r>
      <w:r w:rsidRPr="00631F8A">
        <w:rPr>
          <w:rFonts w:ascii="Times New Roman" w:eastAsia="Times New Roman" w:hAnsi="Times New Roman" w:cs="Times New Roman"/>
          <w:color w:val="000000" w:themeColor="text1"/>
          <w:sz w:val="24"/>
          <w:szCs w:val="24"/>
          <w:lang w:val="fr-FR" w:eastAsia="fr-FR"/>
        </w:rPr>
        <w:t xml:space="preserve"> ou encore sur </w:t>
      </w:r>
      <w:r w:rsidRPr="00631F8A">
        <w:rPr>
          <w:rFonts w:ascii="Times New Roman" w:eastAsia="Times New Roman" w:hAnsi="Times New Roman" w:cs="Times New Roman"/>
          <w:bCs/>
          <w:color w:val="000000" w:themeColor="text1"/>
          <w:sz w:val="24"/>
          <w:szCs w:val="24"/>
          <w:shd w:val="clear" w:color="auto" w:fill="FFFFFF"/>
          <w:lang w:val="fr-FR" w:eastAsia="fr-FR"/>
        </w:rPr>
        <w:t>un statut pour les entreprises de l’économie sociale et solidaire.</w:t>
      </w:r>
      <w:r w:rsidRPr="00631F8A">
        <w:rPr>
          <w:rStyle w:val="Appelnotedebasdep"/>
          <w:rFonts w:ascii="Times New Roman" w:eastAsia="Times New Roman" w:hAnsi="Times New Roman" w:cs="Times New Roman"/>
          <w:bCs/>
          <w:color w:val="000000" w:themeColor="text1"/>
          <w:sz w:val="24"/>
          <w:szCs w:val="24"/>
          <w:shd w:val="clear" w:color="auto" w:fill="FFFFFF"/>
          <w:lang w:val="fr-FR" w:eastAsia="fr-FR"/>
        </w:rPr>
        <w:footnoteReference w:id="114"/>
      </w:r>
    </w:p>
    <w:p w:rsidR="009A1106" w:rsidRPr="00631F8A" w:rsidRDefault="009A1106" w:rsidP="009A1106">
      <w:pPr>
        <w:spacing w:before="120" w:after="120" w:line="360" w:lineRule="auto"/>
        <w:ind w:firstLine="284"/>
        <w:jc w:val="both"/>
        <w:rPr>
          <w:rFonts w:ascii="Times New Roman" w:eastAsia="Times New Roman" w:hAnsi="Times New Roman" w:cs="Times New Roman"/>
          <w:color w:val="000000" w:themeColor="text1"/>
          <w:sz w:val="24"/>
          <w:szCs w:val="24"/>
          <w:lang w:val="fr-FR" w:eastAsia="fr-FR"/>
        </w:rPr>
      </w:pPr>
      <w:r w:rsidRPr="00631F8A">
        <w:rPr>
          <w:rFonts w:ascii="Times New Roman" w:eastAsia="Times New Roman" w:hAnsi="Times New Roman" w:cs="Times New Roman"/>
          <w:bCs/>
          <w:color w:val="000000" w:themeColor="text1"/>
          <w:sz w:val="24"/>
          <w:szCs w:val="24"/>
          <w:shd w:val="clear" w:color="auto" w:fill="FFFFFF"/>
          <w:lang w:val="fr-FR" w:eastAsia="fr-FR"/>
        </w:rPr>
        <w:t>À cet égard, l’</w:t>
      </w:r>
      <w:r w:rsidRPr="00631F8A">
        <w:rPr>
          <w:rFonts w:ascii="Times New Roman" w:eastAsia="Times New Roman" w:hAnsi="Times New Roman" w:cs="Times New Roman"/>
          <w:color w:val="000000" w:themeColor="text1"/>
          <w:sz w:val="24"/>
          <w:szCs w:val="24"/>
          <w:lang w:val="fr-FR" w:eastAsia="fr-FR"/>
        </w:rPr>
        <w:t xml:space="preserve">analyse détaillée </w:t>
      </w:r>
      <w:r>
        <w:rPr>
          <w:rFonts w:ascii="Times New Roman" w:hAnsi="Times New Roman" w:cs="Times New Roman"/>
          <w:color w:val="000000" w:themeColor="text1"/>
          <w:sz w:val="24"/>
          <w:szCs w:val="24"/>
          <w:lang w:val="fr-FR"/>
        </w:rPr>
        <w:t xml:space="preserve">d’A. </w:t>
      </w:r>
      <w:r w:rsidRPr="00631F8A">
        <w:rPr>
          <w:rFonts w:ascii="Times New Roman" w:hAnsi="Times New Roman" w:cs="Times New Roman"/>
          <w:color w:val="000000" w:themeColor="text1"/>
          <w:sz w:val="24"/>
          <w:szCs w:val="24"/>
          <w:lang w:val="fr-FR"/>
        </w:rPr>
        <w:t>M</w:t>
      </w:r>
      <w:r w:rsidRPr="00631F8A">
        <w:rPr>
          <w:rFonts w:ascii="Times New Roman" w:hAnsi="Times New Roman" w:cs="Times New Roman"/>
          <w:smallCaps/>
          <w:color w:val="000000" w:themeColor="text1"/>
          <w:sz w:val="24"/>
          <w:szCs w:val="24"/>
          <w:lang w:val="fr-FR"/>
        </w:rPr>
        <w:t xml:space="preserve">aurer </w:t>
      </w:r>
      <w:r w:rsidRPr="00631F8A">
        <w:rPr>
          <w:rFonts w:ascii="Times New Roman" w:hAnsi="Times New Roman" w:cs="Times New Roman"/>
          <w:color w:val="000000" w:themeColor="text1"/>
          <w:sz w:val="24"/>
          <w:szCs w:val="24"/>
          <w:lang w:val="fr-FR"/>
        </w:rPr>
        <w:t>et</w:t>
      </w:r>
      <w:r>
        <w:rPr>
          <w:rFonts w:ascii="Times New Roman" w:hAnsi="Times New Roman" w:cs="Times New Roman"/>
          <w:color w:val="000000" w:themeColor="text1"/>
          <w:sz w:val="24"/>
          <w:szCs w:val="24"/>
          <w:lang w:val="fr-FR"/>
        </w:rPr>
        <w:t xml:space="preserve"> M.</w:t>
      </w:r>
      <w:r w:rsidRPr="00631F8A">
        <w:rPr>
          <w:rFonts w:ascii="Times New Roman" w:hAnsi="Times New Roman" w:cs="Times New Roman"/>
          <w:color w:val="000000" w:themeColor="text1"/>
          <w:sz w:val="24"/>
          <w:szCs w:val="24"/>
          <w:lang w:val="fr-FR"/>
        </w:rPr>
        <w:t xml:space="preserve"> </w:t>
      </w:r>
      <w:r w:rsidRPr="00631F8A">
        <w:rPr>
          <w:rFonts w:ascii="Times New Roman" w:hAnsi="Times New Roman" w:cs="Times New Roman"/>
          <w:smallCaps/>
          <w:color w:val="000000" w:themeColor="text1"/>
          <w:sz w:val="24"/>
          <w:szCs w:val="24"/>
          <w:lang w:val="fr-FR"/>
        </w:rPr>
        <w:t xml:space="preserve">Wolf </w:t>
      </w:r>
      <w:r w:rsidRPr="00631F8A">
        <w:rPr>
          <w:rFonts w:ascii="Times New Roman" w:eastAsia="Times New Roman" w:hAnsi="Times New Roman" w:cs="Times New Roman"/>
          <w:color w:val="000000" w:themeColor="text1"/>
          <w:sz w:val="24"/>
          <w:szCs w:val="24"/>
          <w:lang w:val="fr-FR" w:eastAsia="fr-FR"/>
        </w:rPr>
        <w:t>est particulièrement éclairante. En se basant sur 42 résolutions d’initiative législative, ils concluent qu’à 20 reprises, la Commission a suivi une ou plusieurs propositions législatives conformément aux recommandations élaborées par le Parlement européen.</w:t>
      </w:r>
      <w:r w:rsidRPr="00631F8A">
        <w:rPr>
          <w:rStyle w:val="Appelnotedebasdep"/>
          <w:rFonts w:ascii="Times New Roman" w:eastAsia="Times New Roman" w:hAnsi="Times New Roman" w:cs="Times New Roman"/>
          <w:color w:val="000000" w:themeColor="text1"/>
          <w:sz w:val="24"/>
          <w:szCs w:val="24"/>
          <w:lang w:val="fr-FR" w:eastAsia="fr-FR"/>
        </w:rPr>
        <w:footnoteReference w:id="115"/>
      </w:r>
      <w:r w:rsidRPr="00631F8A">
        <w:rPr>
          <w:rFonts w:ascii="Times New Roman" w:eastAsia="Times New Roman" w:hAnsi="Times New Roman" w:cs="Times New Roman"/>
          <w:color w:val="000000" w:themeColor="text1"/>
          <w:sz w:val="24"/>
          <w:szCs w:val="24"/>
          <w:lang w:val="fr-FR" w:eastAsia="fr-FR"/>
        </w:rPr>
        <w:t xml:space="preserve"> En outre, lorsque la Commission a rédigé une proposition sur la base d’une résolution d’initiative législative, dans 17 cas sur 19, un accord politique a été conclu avec le Conseil, ce qui a conduit à l’adoption de l’acte souhaité.</w:t>
      </w:r>
      <w:r w:rsidRPr="00631F8A">
        <w:rPr>
          <w:rFonts w:ascii="Times New Roman" w:eastAsia="Times New Roman" w:hAnsi="Times New Roman" w:cs="Times New Roman"/>
          <w:color w:val="000000" w:themeColor="text1"/>
          <w:sz w:val="24"/>
          <w:szCs w:val="24"/>
          <w:vertAlign w:val="superscript"/>
          <w:lang w:val="fr-FR" w:eastAsia="fr-FR"/>
        </w:rPr>
        <w:footnoteReference w:id="116"/>
      </w:r>
      <w:r w:rsidRPr="00631F8A">
        <w:rPr>
          <w:rFonts w:ascii="Times New Roman" w:eastAsia="Times New Roman" w:hAnsi="Times New Roman" w:cs="Times New Roman"/>
          <w:color w:val="000000" w:themeColor="text1"/>
          <w:sz w:val="24"/>
          <w:szCs w:val="24"/>
          <w:lang w:val="fr-FR" w:eastAsia="fr-FR"/>
        </w:rPr>
        <w:t xml:space="preserve"> Aussi, à ce jour, dans une situation seulement, la Commission a déclaré qu'il n'existait aucun argument économique pour présenter une proposition législative, à la suite de la demande du Parlement européen concernant la 14</w:t>
      </w:r>
      <w:r w:rsidRPr="00631F8A">
        <w:rPr>
          <w:rFonts w:ascii="Times New Roman" w:eastAsia="Times New Roman" w:hAnsi="Times New Roman" w:cs="Times New Roman"/>
          <w:color w:val="000000" w:themeColor="text1"/>
          <w:sz w:val="24"/>
          <w:szCs w:val="24"/>
          <w:vertAlign w:val="superscript"/>
          <w:lang w:val="fr-FR" w:eastAsia="fr-FR"/>
        </w:rPr>
        <w:t>e</w:t>
      </w:r>
      <w:r w:rsidRPr="00631F8A">
        <w:rPr>
          <w:rFonts w:ascii="Times New Roman" w:eastAsia="Times New Roman" w:hAnsi="Times New Roman" w:cs="Times New Roman"/>
          <w:color w:val="000000" w:themeColor="text1"/>
          <w:sz w:val="24"/>
          <w:szCs w:val="24"/>
          <w:lang w:val="fr-FR" w:eastAsia="fr-FR"/>
        </w:rPr>
        <w:t xml:space="preserve"> </w:t>
      </w:r>
      <w:r w:rsidRPr="00631F8A">
        <w:rPr>
          <w:rFonts w:ascii="Times New Roman" w:eastAsia="Times New Roman" w:hAnsi="Times New Roman" w:cs="Times New Roman"/>
          <w:bCs/>
          <w:color w:val="000000" w:themeColor="text1"/>
          <w:sz w:val="24"/>
          <w:szCs w:val="24"/>
          <w:shd w:val="clear" w:color="auto" w:fill="FFFFFF"/>
          <w:lang w:val="fr-FR" w:eastAsia="fr-FR"/>
        </w:rPr>
        <w:t>directive sur le droit des sociétés relative au transfert transfrontalier du siège statutaire,</w:t>
      </w:r>
      <w:r w:rsidRPr="00631F8A">
        <w:rPr>
          <w:rStyle w:val="Appelnotedebasdep"/>
          <w:rFonts w:ascii="Times New Roman" w:eastAsia="Times New Roman" w:hAnsi="Times New Roman" w:cs="Times New Roman"/>
          <w:bCs/>
          <w:color w:val="000000" w:themeColor="text1"/>
          <w:sz w:val="24"/>
          <w:szCs w:val="24"/>
          <w:shd w:val="clear" w:color="auto" w:fill="FFFFFF"/>
          <w:lang w:val="fr-FR" w:eastAsia="fr-FR"/>
        </w:rPr>
        <w:footnoteReference w:id="117"/>
      </w:r>
      <w:r w:rsidRPr="00631F8A">
        <w:rPr>
          <w:rFonts w:ascii="Times New Roman" w:eastAsia="Times New Roman" w:hAnsi="Times New Roman" w:cs="Times New Roman"/>
          <w:color w:val="000000" w:themeColor="text1"/>
          <w:sz w:val="24"/>
          <w:szCs w:val="24"/>
          <w:lang w:val="fr-FR" w:eastAsia="fr-FR"/>
        </w:rPr>
        <w:t xml:space="preserve"> considérant que « le cadre juridique existant permet déjà la mobilité des entreprises ».</w:t>
      </w:r>
      <w:r w:rsidRPr="00631F8A">
        <w:rPr>
          <w:rFonts w:ascii="Times New Roman" w:eastAsia="Times New Roman" w:hAnsi="Times New Roman" w:cs="Times New Roman"/>
          <w:color w:val="000000" w:themeColor="text1"/>
          <w:sz w:val="24"/>
          <w:szCs w:val="24"/>
          <w:vertAlign w:val="superscript"/>
          <w:lang w:val="fr-FR" w:eastAsia="fr-FR"/>
        </w:rPr>
        <w:footnoteReference w:id="118"/>
      </w:r>
      <w:r w:rsidRPr="00631F8A">
        <w:rPr>
          <w:rFonts w:ascii="Times New Roman" w:eastAsia="Times New Roman" w:hAnsi="Times New Roman" w:cs="Times New Roman"/>
          <w:color w:val="000000" w:themeColor="text1"/>
          <w:sz w:val="24"/>
          <w:szCs w:val="24"/>
          <w:lang w:val="fr-FR" w:eastAsia="fr-FR"/>
        </w:rPr>
        <w:t xml:space="preserve"> </w:t>
      </w:r>
    </w:p>
    <w:p w:rsidR="009A1106" w:rsidRPr="00631F8A" w:rsidRDefault="009A1106" w:rsidP="009A1106">
      <w:pPr>
        <w:spacing w:before="120" w:after="120" w:line="360" w:lineRule="auto"/>
        <w:ind w:firstLine="284"/>
        <w:contextualSpacing/>
        <w:jc w:val="both"/>
        <w:rPr>
          <w:rFonts w:ascii="Times New Roman" w:eastAsia="Times New Roman" w:hAnsi="Times New Roman" w:cs="Times New Roman"/>
          <w:bCs/>
          <w:color w:val="000000" w:themeColor="text1"/>
          <w:sz w:val="24"/>
          <w:szCs w:val="24"/>
          <w:shd w:val="clear" w:color="auto" w:fill="FFFFFF"/>
          <w:lang w:val="fr-FR" w:eastAsia="fr-FR"/>
        </w:rPr>
      </w:pPr>
      <w:r w:rsidRPr="00631F8A">
        <w:rPr>
          <w:rFonts w:ascii="Times New Roman" w:eastAsia="Times New Roman" w:hAnsi="Times New Roman" w:cs="Times New Roman"/>
          <w:bCs/>
          <w:color w:val="000000" w:themeColor="text1"/>
          <w:sz w:val="24"/>
          <w:szCs w:val="24"/>
          <w:shd w:val="clear" w:color="auto" w:fill="FFFFFF"/>
          <w:lang w:val="fr-FR" w:eastAsia="fr-FR"/>
        </w:rPr>
        <w:lastRenderedPageBreak/>
        <w:t>En dépit de cet impact limité, quoique non-négligeable, il est à noter que le respect accordé aux initiatives du Parlement par la Commission a positivement évolué dans le temps. Initialement, l’impact des résolutions d’initiative législative était considéré comme tout à fait minime.</w:t>
      </w:r>
      <w:r w:rsidRPr="00631F8A">
        <w:rPr>
          <w:rStyle w:val="Appelnotedebasdep"/>
          <w:rFonts w:ascii="Times New Roman" w:eastAsia="Times New Roman" w:hAnsi="Times New Roman" w:cs="Times New Roman"/>
          <w:bCs/>
          <w:color w:val="000000" w:themeColor="text1"/>
          <w:sz w:val="24"/>
          <w:szCs w:val="24"/>
          <w:shd w:val="clear" w:color="auto" w:fill="FFFFFF"/>
          <w:lang w:val="fr-FR" w:eastAsia="fr-FR"/>
        </w:rPr>
        <w:footnoteReference w:id="119"/>
      </w:r>
      <w:r w:rsidRPr="00631F8A">
        <w:rPr>
          <w:rFonts w:ascii="Times New Roman" w:eastAsia="Times New Roman" w:hAnsi="Times New Roman" w:cs="Times New Roman"/>
          <w:bCs/>
          <w:color w:val="000000" w:themeColor="text1"/>
          <w:sz w:val="24"/>
          <w:szCs w:val="24"/>
          <w:shd w:val="clear" w:color="auto" w:fill="FFFFFF"/>
          <w:lang w:val="fr-FR" w:eastAsia="fr-FR"/>
        </w:rPr>
        <w:t xml:space="preserve"> En témoigne, la résolution du Parlement européen sur le programme législatif de la Commission pour l'année 2000, au sein de laquelle le Parlement blâmait l’attitude de la Commission, cette dernière s’étant « montrée très peu empressée à donner suite aux demandes faites par le Parlement dans une proposition législative ».</w:t>
      </w:r>
      <w:r w:rsidRPr="00631F8A">
        <w:rPr>
          <w:rStyle w:val="Appelnotedebasdep"/>
          <w:rFonts w:ascii="Times New Roman" w:eastAsia="Times New Roman" w:hAnsi="Times New Roman" w:cs="Times New Roman"/>
          <w:bCs/>
          <w:color w:val="000000" w:themeColor="text1"/>
          <w:sz w:val="24"/>
          <w:szCs w:val="24"/>
          <w:shd w:val="clear" w:color="auto" w:fill="FFFFFF"/>
          <w:lang w:val="fr-FR" w:eastAsia="fr-FR"/>
        </w:rPr>
        <w:footnoteReference w:id="120"/>
      </w:r>
      <w:r w:rsidRPr="00631F8A">
        <w:rPr>
          <w:rFonts w:ascii="Times New Roman" w:eastAsia="Times New Roman" w:hAnsi="Times New Roman" w:cs="Times New Roman"/>
          <w:bCs/>
          <w:color w:val="000000" w:themeColor="text1"/>
          <w:sz w:val="24"/>
          <w:szCs w:val="24"/>
          <w:shd w:val="clear" w:color="auto" w:fill="FFFFFF"/>
          <w:lang w:val="fr-FR" w:eastAsia="fr-FR"/>
        </w:rPr>
        <w:t xml:space="preserve"> Cette résolution contraste de manière saisissante avec une étude de 2009, qui révélait que les fonctionnaires parlementaires considèrent que la Commission avait réagi rapidement et positivement aux initiatives parlementaires durant la législature 2004-2009.</w:t>
      </w:r>
      <w:r w:rsidRPr="00631F8A">
        <w:rPr>
          <w:rFonts w:ascii="Times New Roman" w:eastAsia="Times New Roman" w:hAnsi="Times New Roman" w:cs="Times New Roman"/>
          <w:color w:val="000000" w:themeColor="text1"/>
          <w:sz w:val="24"/>
          <w:szCs w:val="24"/>
          <w:vertAlign w:val="superscript"/>
          <w:lang w:val="fr-FR" w:eastAsia="fr-FR"/>
        </w:rPr>
        <w:footnoteReference w:id="121"/>
      </w:r>
      <w:r w:rsidRPr="00631F8A">
        <w:rPr>
          <w:rFonts w:ascii="Times New Roman" w:eastAsia="Times New Roman" w:hAnsi="Times New Roman" w:cs="Times New Roman"/>
          <w:bCs/>
          <w:color w:val="000000" w:themeColor="text1"/>
          <w:sz w:val="24"/>
          <w:szCs w:val="24"/>
          <w:shd w:val="clear" w:color="auto" w:fill="FFFFFF"/>
          <w:lang w:val="fr-FR" w:eastAsia="fr-FR"/>
        </w:rPr>
        <w:t xml:space="preserve"> Plus récemment encore, conscient de la valeur croissante du pouvoir d’initiative indirect, le Parlement européen, dans sa décision du 13 décembre 2012 sur la modification du règlement du Parlement, invitait explicitement les députés à faire usage de ce pouvoir, « </w:t>
      </w:r>
      <w:r w:rsidRPr="00631F8A">
        <w:rPr>
          <w:rFonts w:ascii="Times New Roman" w:eastAsia="Times New Roman" w:hAnsi="Times New Roman" w:cs="Times New Roman"/>
          <w:bCs/>
          <w:i/>
          <w:color w:val="000000" w:themeColor="text1"/>
          <w:sz w:val="24"/>
          <w:szCs w:val="24"/>
          <w:shd w:val="clear" w:color="auto" w:fill="FFFFFF"/>
          <w:lang w:val="fr-FR" w:eastAsia="fr-FR"/>
        </w:rPr>
        <w:t>en ce qu'il donne à chaque député une réelle possibilité d'influer sur la législation de l'Union</w:t>
      </w:r>
      <w:r w:rsidRPr="00631F8A">
        <w:rPr>
          <w:rFonts w:ascii="Times New Roman" w:eastAsia="Times New Roman" w:hAnsi="Times New Roman" w:cs="Times New Roman"/>
          <w:bCs/>
          <w:color w:val="000000" w:themeColor="text1"/>
          <w:sz w:val="24"/>
          <w:szCs w:val="24"/>
          <w:shd w:val="clear" w:color="auto" w:fill="FFFFFF"/>
          <w:lang w:val="fr-FR" w:eastAsia="fr-FR"/>
        </w:rPr>
        <w:t xml:space="preserve"> et d’incorporer une proposition donnée dans les travaux des commissions du Parlement. »</w:t>
      </w:r>
      <w:r w:rsidRPr="00631F8A">
        <w:rPr>
          <w:rStyle w:val="Appelnotedebasdep"/>
          <w:rFonts w:ascii="Times New Roman" w:eastAsia="Times New Roman" w:hAnsi="Times New Roman" w:cs="Times New Roman"/>
          <w:bCs/>
          <w:color w:val="000000" w:themeColor="text1"/>
          <w:sz w:val="24"/>
          <w:szCs w:val="24"/>
          <w:shd w:val="clear" w:color="auto" w:fill="FFFFFF"/>
          <w:lang w:val="fr-FR" w:eastAsia="fr-FR"/>
        </w:rPr>
        <w:footnoteReference w:id="122"/>
      </w:r>
      <w:r w:rsidRPr="00631F8A">
        <w:rPr>
          <w:rFonts w:ascii="Times New Roman" w:eastAsia="Times New Roman" w:hAnsi="Times New Roman" w:cs="Times New Roman"/>
          <w:bCs/>
          <w:color w:val="000000" w:themeColor="text1"/>
          <w:sz w:val="24"/>
          <w:szCs w:val="24"/>
          <w:shd w:val="clear" w:color="auto" w:fill="FFFFFF"/>
          <w:lang w:val="fr-FR" w:eastAsia="fr-FR"/>
        </w:rPr>
        <w:t xml:space="preserve"> </w:t>
      </w:r>
    </w:p>
    <w:p w:rsidR="009A1106" w:rsidRPr="00631F8A" w:rsidRDefault="009A1106" w:rsidP="009A1106">
      <w:pPr>
        <w:pStyle w:val="Titre1"/>
        <w:spacing w:before="120" w:after="120" w:line="360" w:lineRule="auto"/>
        <w:jc w:val="both"/>
        <w:rPr>
          <w:rFonts w:ascii="Times New Roman" w:hAnsi="Times New Roman" w:cs="Times New Roman"/>
          <w:b/>
          <w:i/>
          <w:color w:val="000000" w:themeColor="text1"/>
          <w:sz w:val="24"/>
          <w:szCs w:val="24"/>
          <w:lang w:val="fr-FR"/>
        </w:rPr>
      </w:pPr>
      <w:bookmarkStart w:id="9" w:name="_Toc7535842"/>
      <w:r>
        <w:rPr>
          <w:rFonts w:ascii="Times New Roman" w:hAnsi="Times New Roman" w:cs="Times New Roman"/>
          <w:b/>
          <w:color w:val="000000" w:themeColor="text1"/>
          <w:sz w:val="24"/>
          <w:szCs w:val="24"/>
          <w:lang w:val="fr-FR"/>
        </w:rPr>
        <w:t>Section</w:t>
      </w:r>
      <w:r w:rsidRPr="00631F8A">
        <w:rPr>
          <w:rFonts w:ascii="Times New Roman" w:hAnsi="Times New Roman" w:cs="Times New Roman"/>
          <w:b/>
          <w:color w:val="000000" w:themeColor="text1"/>
          <w:sz w:val="24"/>
          <w:szCs w:val="24"/>
          <w:lang w:val="fr-FR"/>
        </w:rPr>
        <w:t xml:space="preserve"> 2. Un pouvoir d’initiative législative direct ou </w:t>
      </w:r>
      <w:r w:rsidR="00627C2C">
        <w:rPr>
          <w:rFonts w:ascii="Times New Roman" w:hAnsi="Times New Roman" w:cs="Times New Roman"/>
          <w:b/>
          <w:color w:val="000000" w:themeColor="text1"/>
          <w:sz w:val="24"/>
          <w:szCs w:val="24"/>
          <w:lang w:val="fr-FR"/>
        </w:rPr>
        <w:t>« </w:t>
      </w:r>
      <w:r w:rsidRPr="00631F8A">
        <w:rPr>
          <w:rFonts w:ascii="Times New Roman" w:hAnsi="Times New Roman" w:cs="Times New Roman"/>
          <w:b/>
          <w:color w:val="000000" w:themeColor="text1"/>
          <w:sz w:val="24"/>
          <w:szCs w:val="24"/>
          <w:lang w:val="fr-FR"/>
        </w:rPr>
        <w:t>la meilleure fausse bonne idée</w:t>
      </w:r>
      <w:r w:rsidR="00627C2C">
        <w:rPr>
          <w:rFonts w:ascii="Times New Roman" w:hAnsi="Times New Roman" w:cs="Times New Roman"/>
          <w:b/>
          <w:color w:val="000000" w:themeColor="text1"/>
          <w:sz w:val="24"/>
          <w:szCs w:val="24"/>
          <w:lang w:val="fr-FR"/>
        </w:rPr>
        <w:t> »</w:t>
      </w:r>
      <w:r w:rsidRPr="00631F8A">
        <w:rPr>
          <w:rFonts w:ascii="Times New Roman" w:hAnsi="Times New Roman" w:cs="Times New Roman"/>
          <w:b/>
          <w:color w:val="000000" w:themeColor="text1"/>
          <w:sz w:val="24"/>
          <w:szCs w:val="24"/>
          <w:lang w:val="fr-FR"/>
        </w:rPr>
        <w:t> ?</w:t>
      </w:r>
      <w:bookmarkEnd w:id="9"/>
      <w:r w:rsidRPr="00631F8A">
        <w:rPr>
          <w:rFonts w:ascii="Times New Roman" w:hAnsi="Times New Roman" w:cs="Times New Roman"/>
          <w:b/>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b/>
          <w:color w:val="000000" w:themeColor="text1"/>
          <w:sz w:val="24"/>
          <w:szCs w:val="24"/>
          <w:lang w:val="fr-FR"/>
        </w:rPr>
        <w:tab/>
        <w:t>« </w:t>
      </w:r>
      <w:r w:rsidRPr="00631F8A">
        <w:rPr>
          <w:rFonts w:ascii="Times New Roman" w:hAnsi="Times New Roman" w:cs="Times New Roman"/>
          <w:color w:val="000000" w:themeColor="text1"/>
          <w:sz w:val="24"/>
          <w:szCs w:val="24"/>
          <w:lang w:val="fr-FR"/>
        </w:rPr>
        <w:t>Une idée fausse, mais claire et précise, aura toujours plus de puissance dans le monde qu’une idée vraie, mais complexe. »</w:t>
      </w:r>
      <w:r w:rsidRPr="00631F8A">
        <w:rPr>
          <w:rStyle w:val="Appelnotedebasdep"/>
          <w:rFonts w:ascii="Times New Roman" w:hAnsi="Times New Roman" w:cs="Times New Roman"/>
          <w:color w:val="000000" w:themeColor="text1"/>
          <w:sz w:val="24"/>
          <w:szCs w:val="24"/>
          <w:lang w:val="fr-FR"/>
        </w:rPr>
        <w:footnoteReference w:id="123"/>
      </w:r>
      <w:r w:rsidRPr="00631F8A">
        <w:rPr>
          <w:rFonts w:ascii="Times New Roman" w:hAnsi="Times New Roman" w:cs="Times New Roman"/>
          <w:color w:val="000000" w:themeColor="text1"/>
          <w:sz w:val="24"/>
          <w:szCs w:val="24"/>
          <w:lang w:val="fr-FR"/>
        </w:rPr>
        <w:t xml:space="preserve"> Ces quelques mots écrits voici deux siècles par Alexis de Tocqueville, au sein de son ouvrage </w:t>
      </w:r>
      <w:r w:rsidRPr="00631F8A">
        <w:rPr>
          <w:rFonts w:ascii="Times New Roman" w:hAnsi="Times New Roman" w:cs="Times New Roman"/>
          <w:i/>
          <w:color w:val="000000" w:themeColor="text1"/>
          <w:sz w:val="24"/>
          <w:szCs w:val="24"/>
          <w:lang w:val="fr-FR"/>
        </w:rPr>
        <w:t>De la démocratie en Amérique</w:t>
      </w:r>
      <w:r w:rsidRPr="00631F8A">
        <w:rPr>
          <w:rFonts w:ascii="Times New Roman" w:hAnsi="Times New Roman" w:cs="Times New Roman"/>
          <w:color w:val="000000" w:themeColor="text1"/>
          <w:sz w:val="24"/>
          <w:szCs w:val="24"/>
          <w:lang w:val="fr-FR"/>
        </w:rPr>
        <w:t>, ne sont-ils pas d’une brûlante pertinence dans la présente réflexion ? En effet, dans notre contexte, se pose la question de savoir si l’avènement d’un pouvoir d’initiative législative direct relève de « ces idées fausses » ou encore s’il s’agit là de la « meilleure fausse bonne idée ».</w:t>
      </w:r>
      <w:r w:rsidRPr="00631F8A">
        <w:rPr>
          <w:rStyle w:val="Appelnotedebasdep"/>
          <w:rFonts w:ascii="Times New Roman" w:hAnsi="Times New Roman" w:cs="Times New Roman"/>
          <w:color w:val="000000" w:themeColor="text1"/>
          <w:sz w:val="24"/>
          <w:szCs w:val="24"/>
          <w:lang w:val="fr-FR"/>
        </w:rPr>
        <w:footnoteReference w:id="124"/>
      </w:r>
      <w:r w:rsidRPr="00631F8A">
        <w:rPr>
          <w:rFonts w:ascii="Times New Roman" w:hAnsi="Times New Roman" w:cs="Times New Roman"/>
          <w:color w:val="000000" w:themeColor="text1"/>
          <w:sz w:val="24"/>
          <w:szCs w:val="24"/>
          <w:lang w:val="fr-FR"/>
        </w:rPr>
        <w:t xml:space="preserve"> Afin d’y répondre, il convient tout d’abord d’identifier les origines de l’idée et d’en questionner les fondements (</w:t>
      </w:r>
      <w:r w:rsidRPr="00631F8A">
        <w:rPr>
          <w:rFonts w:ascii="Times New Roman" w:hAnsi="Times New Roman" w:cs="Times New Roman"/>
          <w:b/>
          <w:color w:val="000000" w:themeColor="text1"/>
          <w:sz w:val="24"/>
          <w:szCs w:val="24"/>
          <w:lang w:val="fr-FR"/>
        </w:rPr>
        <w:t>§1</w:t>
      </w:r>
      <w:r w:rsidRPr="00631F8A">
        <w:rPr>
          <w:rFonts w:ascii="Times New Roman" w:hAnsi="Times New Roman" w:cs="Times New Roman"/>
          <w:color w:val="000000" w:themeColor="text1"/>
          <w:sz w:val="24"/>
          <w:szCs w:val="24"/>
          <w:lang w:val="fr-FR"/>
        </w:rPr>
        <w:t>). Ensuite, il faut envisager les mutations profondes engendrées par une éventuelle introduction d’un tel pouvoir ainsi que ses formes concevables (</w:t>
      </w:r>
      <w:r w:rsidRPr="00631F8A">
        <w:rPr>
          <w:rFonts w:ascii="Times New Roman" w:hAnsi="Times New Roman" w:cs="Times New Roman"/>
          <w:b/>
          <w:color w:val="000000" w:themeColor="text1"/>
          <w:sz w:val="24"/>
          <w:szCs w:val="24"/>
          <w:lang w:val="fr-FR"/>
        </w:rPr>
        <w:t>§2</w:t>
      </w:r>
      <w:r w:rsidRPr="00631F8A">
        <w:rPr>
          <w:rFonts w:ascii="Times New Roman" w:hAnsi="Times New Roman" w:cs="Times New Roman"/>
          <w:color w:val="000000" w:themeColor="text1"/>
          <w:sz w:val="24"/>
          <w:szCs w:val="24"/>
          <w:lang w:val="fr-FR"/>
        </w:rPr>
        <w:t>).</w:t>
      </w:r>
    </w:p>
    <w:p w:rsidR="009A1106" w:rsidRPr="00631F8A" w:rsidRDefault="009A1106" w:rsidP="009A1106">
      <w:pPr>
        <w:pStyle w:val="Titre1"/>
        <w:spacing w:before="120" w:after="120" w:line="360" w:lineRule="auto"/>
        <w:jc w:val="both"/>
        <w:rPr>
          <w:rFonts w:ascii="Times New Roman" w:hAnsi="Times New Roman" w:cs="Times New Roman"/>
          <w:b/>
          <w:color w:val="000000" w:themeColor="text1"/>
          <w:sz w:val="24"/>
          <w:szCs w:val="24"/>
          <w:lang w:val="fr-FR"/>
        </w:rPr>
      </w:pPr>
      <w:bookmarkStart w:id="10" w:name="_Toc7535843"/>
      <w:r w:rsidRPr="00631F8A">
        <w:rPr>
          <w:rFonts w:ascii="Times New Roman" w:hAnsi="Times New Roman" w:cs="Times New Roman"/>
          <w:b/>
          <w:color w:val="000000" w:themeColor="text1"/>
          <w:sz w:val="24"/>
          <w:szCs w:val="24"/>
          <w:lang w:val="fr-FR"/>
        </w:rPr>
        <w:lastRenderedPageBreak/>
        <w:t>§1. Aux origines d’un pouvoir d’initiative législative direct</w:t>
      </w:r>
      <w:bookmarkEnd w:id="10"/>
      <w:r w:rsidRPr="00631F8A">
        <w:rPr>
          <w:rFonts w:ascii="Times New Roman" w:hAnsi="Times New Roman" w:cs="Times New Roman"/>
          <w:b/>
          <w:color w:val="000000" w:themeColor="text1"/>
          <w:sz w:val="24"/>
          <w:szCs w:val="24"/>
          <w:lang w:val="fr-FR"/>
        </w:rPr>
        <w:t xml:space="preserve"> </w:t>
      </w:r>
    </w:p>
    <w:p w:rsidR="009A1106"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Procédant de manière dialectique, nous identifierions </w:t>
      </w:r>
      <w:r w:rsidRPr="00631F8A">
        <w:rPr>
          <w:rFonts w:ascii="Times New Roman" w:hAnsi="Times New Roman" w:cs="Times New Roman"/>
          <w:i/>
          <w:color w:val="000000" w:themeColor="text1"/>
          <w:sz w:val="24"/>
          <w:szCs w:val="24"/>
          <w:lang w:val="fr-FR"/>
        </w:rPr>
        <w:t xml:space="preserve">primo </w:t>
      </w:r>
      <w:r w:rsidRPr="00631F8A">
        <w:rPr>
          <w:rFonts w:ascii="Times New Roman" w:hAnsi="Times New Roman" w:cs="Times New Roman"/>
          <w:color w:val="000000" w:themeColor="text1"/>
          <w:sz w:val="24"/>
          <w:szCs w:val="24"/>
          <w:lang w:val="fr-FR"/>
        </w:rPr>
        <w:t>l’émergence de la revendication d’un pouvoir d’initiative législative direct et le raisonnement étayant cette demande (</w:t>
      </w:r>
      <w:r w:rsidRPr="00631F8A">
        <w:rPr>
          <w:rFonts w:ascii="Times New Roman" w:hAnsi="Times New Roman" w:cs="Times New Roman"/>
          <w:b/>
          <w:color w:val="000000" w:themeColor="text1"/>
          <w:sz w:val="24"/>
          <w:szCs w:val="24"/>
          <w:lang w:val="fr-FR"/>
        </w:rPr>
        <w:t>A</w:t>
      </w:r>
      <w:r w:rsidRPr="00631F8A">
        <w:rPr>
          <w:rFonts w:ascii="Times New Roman" w:hAnsi="Times New Roman" w:cs="Times New Roman"/>
          <w:color w:val="000000" w:themeColor="text1"/>
          <w:sz w:val="24"/>
          <w:szCs w:val="24"/>
          <w:lang w:val="fr-FR"/>
        </w:rPr>
        <w:t xml:space="preserve">) et </w:t>
      </w:r>
      <w:r w:rsidRPr="00631F8A">
        <w:rPr>
          <w:rFonts w:ascii="Times New Roman" w:hAnsi="Times New Roman" w:cs="Times New Roman"/>
          <w:i/>
          <w:color w:val="000000" w:themeColor="text1"/>
          <w:sz w:val="24"/>
          <w:szCs w:val="24"/>
          <w:lang w:val="fr-FR"/>
        </w:rPr>
        <w:t>secundo</w:t>
      </w:r>
      <w:r w:rsidRPr="00631F8A">
        <w:rPr>
          <w:rFonts w:ascii="Times New Roman" w:hAnsi="Times New Roman" w:cs="Times New Roman"/>
          <w:color w:val="000000" w:themeColor="text1"/>
          <w:sz w:val="24"/>
          <w:szCs w:val="24"/>
          <w:lang w:val="fr-FR"/>
        </w:rPr>
        <w:t xml:space="preserve"> nous émettrons plusieurs contre-arguments qui sont autant de réserves à l’égard de l’avènement d’un tel pouvoir (</w:t>
      </w:r>
      <w:r w:rsidRPr="00631F8A">
        <w:rPr>
          <w:rFonts w:ascii="Times New Roman" w:hAnsi="Times New Roman" w:cs="Times New Roman"/>
          <w:b/>
          <w:color w:val="000000" w:themeColor="text1"/>
          <w:sz w:val="24"/>
          <w:szCs w:val="24"/>
          <w:lang w:val="fr-FR"/>
        </w:rPr>
        <w:t>B</w:t>
      </w:r>
      <w:r w:rsidRPr="00631F8A">
        <w:rPr>
          <w:rFonts w:ascii="Times New Roman" w:hAnsi="Times New Roman" w:cs="Times New Roman"/>
          <w:color w:val="000000" w:themeColor="text1"/>
          <w:sz w:val="24"/>
          <w:szCs w:val="24"/>
          <w:lang w:val="fr-FR"/>
        </w:rPr>
        <w:t>).</w:t>
      </w:r>
    </w:p>
    <w:p w:rsidR="009A1106" w:rsidRPr="00144098" w:rsidRDefault="009A1106" w:rsidP="009A1106">
      <w:pPr>
        <w:pStyle w:val="Titre2"/>
        <w:spacing w:before="120" w:after="120" w:line="360" w:lineRule="auto"/>
        <w:rPr>
          <w:rFonts w:ascii="Times New Roman" w:hAnsi="Times New Roman" w:cs="Times New Roman"/>
          <w:b/>
          <w:color w:val="000000" w:themeColor="text1"/>
          <w:sz w:val="24"/>
          <w:szCs w:val="24"/>
          <w:lang w:val="fr-FR"/>
        </w:rPr>
      </w:pPr>
      <w:r w:rsidRPr="00144098">
        <w:rPr>
          <w:rFonts w:ascii="Times New Roman" w:hAnsi="Times New Roman" w:cs="Times New Roman"/>
          <w:b/>
          <w:color w:val="000000" w:themeColor="text1"/>
          <w:sz w:val="24"/>
          <w:szCs w:val="24"/>
          <w:lang w:val="fr-FR"/>
        </w:rPr>
        <w:tab/>
      </w:r>
      <w:bookmarkStart w:id="11" w:name="_Toc7535844"/>
      <w:r w:rsidRPr="00144098">
        <w:rPr>
          <w:rFonts w:ascii="Times New Roman" w:hAnsi="Times New Roman" w:cs="Times New Roman"/>
          <w:b/>
          <w:color w:val="000000" w:themeColor="text1"/>
          <w:sz w:val="24"/>
          <w:szCs w:val="24"/>
          <w:lang w:val="fr-FR"/>
        </w:rPr>
        <w:t>A.</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D’une revendication récente et de ses fondements</w:t>
      </w:r>
      <w:bookmarkEnd w:id="11"/>
      <w:r w:rsidRPr="00144098">
        <w:rPr>
          <w:rFonts w:ascii="Times New Roman" w:hAnsi="Times New Roman" w:cs="Times New Roman"/>
          <w:b/>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Suite à la consécration du pouvoir d’initiative législative indirect du Parlement européen par le traité de Maastricht,</w:t>
      </w:r>
      <w:r w:rsidRPr="00631F8A">
        <w:rPr>
          <w:rStyle w:val="Appelnotedebasdep"/>
          <w:rFonts w:ascii="Times New Roman" w:hAnsi="Times New Roman" w:cs="Times New Roman"/>
          <w:color w:val="000000" w:themeColor="text1"/>
          <w:sz w:val="24"/>
          <w:szCs w:val="24"/>
          <w:lang w:val="fr-FR"/>
        </w:rPr>
        <w:footnoteReference w:id="125"/>
      </w:r>
      <w:r w:rsidRPr="00631F8A">
        <w:rPr>
          <w:rFonts w:ascii="Times New Roman" w:hAnsi="Times New Roman" w:cs="Times New Roman"/>
          <w:color w:val="000000" w:themeColor="text1"/>
          <w:sz w:val="24"/>
          <w:szCs w:val="24"/>
          <w:lang w:val="fr-FR"/>
        </w:rPr>
        <w:t xml:space="preserve"> aucune remise en cause </w:t>
      </w:r>
      <w:r>
        <w:rPr>
          <w:rFonts w:ascii="Times New Roman" w:hAnsi="Times New Roman" w:cs="Times New Roman"/>
          <w:color w:val="000000" w:themeColor="text1"/>
          <w:sz w:val="24"/>
          <w:szCs w:val="24"/>
          <w:lang w:val="fr-FR"/>
        </w:rPr>
        <w:t xml:space="preserve">significative </w:t>
      </w:r>
      <w:r w:rsidRPr="00631F8A">
        <w:rPr>
          <w:rFonts w:ascii="Times New Roman" w:hAnsi="Times New Roman" w:cs="Times New Roman"/>
          <w:color w:val="000000" w:themeColor="text1"/>
          <w:sz w:val="24"/>
          <w:szCs w:val="24"/>
          <w:lang w:val="fr-FR"/>
        </w:rPr>
        <w:t xml:space="preserve">du monopole de l’initiative législative de la Commission n’est observée pendant de longues années. En effet, les préoccupations du Parlement européen étaient </w:t>
      </w:r>
      <w:r w:rsidRPr="0077672D">
        <w:rPr>
          <w:rFonts w:ascii="Times New Roman" w:hAnsi="Times New Roman" w:cs="Times New Roman"/>
          <w:color w:val="000000" w:themeColor="text1"/>
          <w:sz w:val="24"/>
          <w:szCs w:val="24"/>
          <w:lang w:val="fr-FR"/>
        </w:rPr>
        <w:t xml:space="preserve">alors </w:t>
      </w:r>
      <w:r>
        <w:rPr>
          <w:rFonts w:ascii="Times New Roman" w:hAnsi="Times New Roman" w:cs="Times New Roman"/>
          <w:color w:val="000000" w:themeColor="text1"/>
          <w:sz w:val="24"/>
          <w:szCs w:val="24"/>
          <w:lang w:val="fr-FR"/>
        </w:rPr>
        <w:t>bien différentes</w:t>
      </w:r>
      <w:r w:rsidRPr="0077672D">
        <w:rPr>
          <w:rFonts w:ascii="Times New Roman" w:hAnsi="Times New Roman" w:cs="Times New Roman"/>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la priorité pour ce dernier consistait en l’extension de la procédure de codécision introduite par le Traité sur l’Union européenne.</w:t>
      </w:r>
      <w:r w:rsidRPr="00631F8A">
        <w:rPr>
          <w:rStyle w:val="Appelnotedebasdep"/>
          <w:rFonts w:ascii="Times New Roman" w:hAnsi="Times New Roman" w:cs="Times New Roman"/>
          <w:color w:val="000000" w:themeColor="text1"/>
          <w:sz w:val="24"/>
          <w:szCs w:val="24"/>
          <w:lang w:val="fr-FR"/>
        </w:rPr>
        <w:footnoteReference w:id="126"/>
      </w:r>
      <w:r w:rsidRPr="00631F8A">
        <w:rPr>
          <w:rFonts w:ascii="Times New Roman" w:hAnsi="Times New Roman" w:cs="Times New Roman"/>
          <w:color w:val="000000" w:themeColor="text1"/>
          <w:sz w:val="24"/>
          <w:szCs w:val="24"/>
          <w:lang w:val="fr-FR"/>
        </w:rPr>
        <w:t xml:space="preserve"> Ainsi peut-on lire, au sein d’une résolution du Parlement européen du 13 mars 1996, que, d’une part, « l’indépendance de la Commission doit être sauvegardée, son droit d'initiative doit être maintenu » et, d’autre part, que « la codécision devrait être élargie à toute la législation ».</w:t>
      </w:r>
      <w:r w:rsidRPr="00631F8A">
        <w:rPr>
          <w:rStyle w:val="Appelnotedebasdep"/>
          <w:rFonts w:ascii="Times New Roman" w:hAnsi="Times New Roman" w:cs="Times New Roman"/>
          <w:color w:val="000000" w:themeColor="text1"/>
          <w:sz w:val="24"/>
          <w:szCs w:val="24"/>
          <w:lang w:val="fr-FR"/>
        </w:rPr>
        <w:footnoteReference w:id="127"/>
      </w:r>
      <w:r w:rsidRPr="00631F8A">
        <w:rPr>
          <w:rFonts w:ascii="Times New Roman" w:hAnsi="Times New Roman" w:cs="Times New Roman"/>
          <w:color w:val="000000" w:themeColor="text1"/>
          <w:sz w:val="24"/>
          <w:szCs w:val="24"/>
          <w:lang w:val="fr-FR"/>
        </w:rPr>
        <w:t xml:space="preserve"> Dans cette veine, dans sa résolution du 19 novembre 1999, le Parlement européen, reprenant le propos de plus belle, se déclarait « hostile à toute remise en cause, lors de la CIG, du monopole de l’initiative dévolu à la Commission ».</w:t>
      </w:r>
      <w:r w:rsidRPr="00631F8A">
        <w:rPr>
          <w:rStyle w:val="Appelnotedebasdep"/>
          <w:rFonts w:ascii="Times New Roman" w:hAnsi="Times New Roman" w:cs="Times New Roman"/>
          <w:color w:val="000000" w:themeColor="text1"/>
          <w:sz w:val="24"/>
          <w:szCs w:val="24"/>
          <w:lang w:val="fr-FR"/>
        </w:rPr>
        <w:footnoteReference w:id="128"/>
      </w:r>
      <w:r w:rsidRPr="00631F8A">
        <w:rPr>
          <w:rFonts w:ascii="Times New Roman" w:hAnsi="Times New Roman" w:cs="Times New Roman"/>
          <w:color w:val="000000" w:themeColor="text1"/>
          <w:sz w:val="24"/>
          <w:szCs w:val="24"/>
          <w:lang w:val="fr-FR"/>
        </w:rPr>
        <w:t xml:space="preserve"> Par la suite, au début du 21</w:t>
      </w:r>
      <w:r w:rsidRPr="00631F8A">
        <w:rPr>
          <w:rFonts w:ascii="Times New Roman" w:hAnsi="Times New Roman" w:cs="Times New Roman"/>
          <w:color w:val="000000" w:themeColor="text1"/>
          <w:sz w:val="24"/>
          <w:szCs w:val="24"/>
          <w:vertAlign w:val="superscript"/>
          <w:lang w:val="fr-FR"/>
        </w:rPr>
        <w:t>e</w:t>
      </w:r>
      <w:r w:rsidRPr="00631F8A">
        <w:rPr>
          <w:rFonts w:ascii="Times New Roman" w:hAnsi="Times New Roman" w:cs="Times New Roman"/>
          <w:color w:val="000000" w:themeColor="text1"/>
          <w:sz w:val="24"/>
          <w:szCs w:val="24"/>
          <w:lang w:val="fr-FR"/>
        </w:rPr>
        <w:t xml:space="preserve"> siècle, des revendications ont émergé de manière sporadique, et cela notamment à l’occasion de la Convention sur l’avenir de l’Europe.</w:t>
      </w:r>
      <w:r w:rsidRPr="00631F8A">
        <w:rPr>
          <w:rStyle w:val="Appelnotedebasdep"/>
          <w:rFonts w:ascii="Times New Roman" w:hAnsi="Times New Roman" w:cs="Times New Roman"/>
          <w:color w:val="000000" w:themeColor="text1"/>
          <w:sz w:val="24"/>
          <w:szCs w:val="24"/>
          <w:lang w:val="fr-FR"/>
        </w:rPr>
        <w:footnoteReference w:id="129"/>
      </w:r>
      <w:r w:rsidRPr="00631F8A">
        <w:rPr>
          <w:rFonts w:ascii="Times New Roman" w:hAnsi="Times New Roman" w:cs="Times New Roman"/>
          <w:color w:val="000000" w:themeColor="text1"/>
          <w:sz w:val="24"/>
          <w:szCs w:val="24"/>
          <w:lang w:val="fr-FR"/>
        </w:rPr>
        <w:t xml:space="preserve"> Toutefois, la position officielle du Parlement européen ne changeait en rien ; la loi communautaire devait être adoptée, « à la seule initiative de la Commission, par les deux branches du pouvoir législatif ».</w:t>
      </w:r>
      <w:r w:rsidRPr="00631F8A">
        <w:rPr>
          <w:rStyle w:val="Appelnotedebasdep"/>
          <w:rFonts w:ascii="Times New Roman" w:hAnsi="Times New Roman" w:cs="Times New Roman"/>
          <w:color w:val="000000" w:themeColor="text1"/>
          <w:sz w:val="24"/>
          <w:szCs w:val="24"/>
          <w:lang w:val="fr-FR"/>
        </w:rPr>
        <w:footnoteReference w:id="130"/>
      </w:r>
      <w:r w:rsidRPr="00631F8A">
        <w:rPr>
          <w:rFonts w:ascii="Times New Roman" w:hAnsi="Times New Roman" w:cs="Times New Roman"/>
          <w:color w:val="000000" w:themeColor="text1"/>
          <w:sz w:val="24"/>
          <w:szCs w:val="24"/>
          <w:lang w:val="fr-FR"/>
        </w:rPr>
        <w:t xml:space="preserve"> Ce n’est en réalité que récemment, à travers </w:t>
      </w:r>
      <w:r>
        <w:rPr>
          <w:rFonts w:ascii="Times New Roman" w:hAnsi="Times New Roman" w:cs="Times New Roman"/>
          <w:color w:val="000000" w:themeColor="text1"/>
          <w:sz w:val="24"/>
          <w:szCs w:val="24"/>
          <w:lang w:val="fr-FR"/>
        </w:rPr>
        <w:t xml:space="preserve">notamment </w:t>
      </w:r>
      <w:r w:rsidRPr="00631F8A">
        <w:rPr>
          <w:rFonts w:ascii="Times New Roman" w:hAnsi="Times New Roman" w:cs="Times New Roman"/>
          <w:color w:val="000000" w:themeColor="text1"/>
          <w:sz w:val="24"/>
          <w:szCs w:val="24"/>
          <w:lang w:val="fr-FR"/>
        </w:rPr>
        <w:t xml:space="preserve">ses résolutions du 16 février 2017 et </w:t>
      </w:r>
      <w:r w:rsidRPr="00631F8A">
        <w:rPr>
          <w:rFonts w:ascii="Times New Roman" w:eastAsia="Times New Roman" w:hAnsi="Times New Roman" w:cs="Times New Roman"/>
          <w:bCs/>
          <w:color w:val="000000" w:themeColor="text1"/>
          <w:sz w:val="24"/>
          <w:szCs w:val="24"/>
          <w:shd w:val="clear" w:color="auto" w:fill="FFFFFF"/>
          <w:lang w:val="fr-FR" w:eastAsia="fr-FR"/>
        </w:rPr>
        <w:t>des 12</w:t>
      </w:r>
      <w:r>
        <w:rPr>
          <w:rFonts w:ascii="Times New Roman" w:eastAsia="Times New Roman" w:hAnsi="Times New Roman" w:cs="Times New Roman"/>
          <w:bCs/>
          <w:color w:val="000000" w:themeColor="text1"/>
          <w:sz w:val="24"/>
          <w:szCs w:val="24"/>
          <w:shd w:val="clear" w:color="auto" w:fill="FFFFFF"/>
          <w:lang w:val="fr-FR" w:eastAsia="fr-FR"/>
        </w:rPr>
        <w:t xml:space="preserve"> </w:t>
      </w:r>
      <w:r w:rsidRPr="00631F8A">
        <w:rPr>
          <w:rFonts w:ascii="Times New Roman" w:eastAsia="Times New Roman" w:hAnsi="Times New Roman" w:cs="Times New Roman"/>
          <w:bCs/>
          <w:color w:val="000000" w:themeColor="text1"/>
          <w:sz w:val="24"/>
          <w:szCs w:val="24"/>
          <w:shd w:val="clear" w:color="auto" w:fill="FFFFFF"/>
          <w:lang w:val="fr-FR" w:eastAsia="fr-FR"/>
        </w:rPr>
        <w:t>et</w:t>
      </w:r>
      <w:r>
        <w:rPr>
          <w:rFonts w:ascii="Times New Roman" w:eastAsia="Times New Roman" w:hAnsi="Times New Roman" w:cs="Times New Roman"/>
          <w:bCs/>
          <w:color w:val="000000" w:themeColor="text1"/>
          <w:sz w:val="24"/>
          <w:szCs w:val="24"/>
          <w:shd w:val="clear" w:color="auto" w:fill="FFFFFF"/>
          <w:lang w:val="fr-FR" w:eastAsia="fr-FR"/>
        </w:rPr>
        <w:t xml:space="preserve"> </w:t>
      </w:r>
      <w:r w:rsidRPr="00631F8A">
        <w:rPr>
          <w:rFonts w:ascii="Times New Roman" w:eastAsia="Times New Roman" w:hAnsi="Times New Roman" w:cs="Times New Roman"/>
          <w:bCs/>
          <w:color w:val="000000" w:themeColor="text1"/>
          <w:sz w:val="24"/>
          <w:szCs w:val="24"/>
          <w:shd w:val="clear" w:color="auto" w:fill="FFFFFF"/>
          <w:lang w:val="fr-FR" w:eastAsia="fr-FR"/>
        </w:rPr>
        <w:t>13 février 2019 susmentionnées,</w:t>
      </w:r>
      <w:r w:rsidRPr="00631F8A">
        <w:rPr>
          <w:rFonts w:ascii="Times New Roman" w:hAnsi="Times New Roman" w:cs="Times New Roman"/>
          <w:color w:val="000000" w:themeColor="text1"/>
          <w:sz w:val="24"/>
          <w:szCs w:val="24"/>
          <w:lang w:val="fr-FR"/>
        </w:rPr>
        <w:t xml:space="preserve"> que le Parlement européen a expressément revendiqué la consécration d’un pouvoir d’initiative législative direct.</w:t>
      </w:r>
      <w:r w:rsidRPr="00631F8A">
        <w:rPr>
          <w:rStyle w:val="Appelnotedebasdep"/>
          <w:rFonts w:ascii="Times New Roman" w:hAnsi="Times New Roman" w:cs="Times New Roman"/>
          <w:color w:val="000000" w:themeColor="text1"/>
          <w:sz w:val="24"/>
          <w:szCs w:val="24"/>
          <w:lang w:val="fr-FR"/>
        </w:rPr>
        <w:footnoteReference w:id="131"/>
      </w:r>
      <w:r w:rsidRPr="00631F8A">
        <w:rPr>
          <w:rFonts w:ascii="Times New Roman" w:hAnsi="Times New Roman" w:cs="Times New Roman"/>
          <w:color w:val="000000" w:themeColor="text1"/>
          <w:sz w:val="24"/>
          <w:szCs w:val="24"/>
          <w:lang w:val="fr-FR"/>
        </w:rPr>
        <w:t xml:space="preserve"> Aujourd’hui, cette revendication prend de l’ampleur et s’invite même dans le débat public. </w:t>
      </w:r>
      <w:r w:rsidRPr="00631F8A">
        <w:rPr>
          <w:rFonts w:ascii="Times New Roman" w:hAnsi="Times New Roman" w:cs="Times New Roman"/>
          <w:color w:val="000000" w:themeColor="text1"/>
          <w:sz w:val="24"/>
          <w:szCs w:val="24"/>
          <w:lang w:val="fr-FR"/>
        </w:rPr>
        <w:lastRenderedPageBreak/>
        <w:t>À cet égard, en sus d</w:t>
      </w:r>
      <w:r w:rsidR="006F74C7">
        <w:rPr>
          <w:rFonts w:ascii="Times New Roman" w:hAnsi="Times New Roman" w:cs="Times New Roman"/>
          <w:color w:val="000000" w:themeColor="text1"/>
          <w:sz w:val="24"/>
          <w:szCs w:val="24"/>
          <w:lang w:val="fr-FR"/>
        </w:rPr>
        <w:t>es orientations politiques de la présidente de la Commission, Mme Ursula Von Der Leyen et du</w:t>
      </w:r>
      <w:r w:rsidRPr="00631F8A">
        <w:rPr>
          <w:rFonts w:ascii="Times New Roman" w:hAnsi="Times New Roman" w:cs="Times New Roman"/>
          <w:color w:val="000000" w:themeColor="text1"/>
          <w:sz w:val="24"/>
          <w:szCs w:val="24"/>
          <w:lang w:val="fr-FR"/>
        </w:rPr>
        <w:t xml:space="preserve"> discours du </w:t>
      </w:r>
      <w:r w:rsidR="006F74C7">
        <w:rPr>
          <w:rFonts w:ascii="Times New Roman" w:hAnsi="Times New Roman" w:cs="Times New Roman"/>
          <w:color w:val="000000" w:themeColor="text1"/>
          <w:sz w:val="24"/>
          <w:szCs w:val="24"/>
          <w:lang w:val="fr-FR"/>
        </w:rPr>
        <w:t>p</w:t>
      </w:r>
      <w:r w:rsidRPr="00631F8A">
        <w:rPr>
          <w:rFonts w:ascii="Times New Roman" w:hAnsi="Times New Roman" w:cs="Times New Roman"/>
          <w:color w:val="000000" w:themeColor="text1"/>
          <w:sz w:val="24"/>
          <w:szCs w:val="24"/>
          <w:lang w:val="fr-FR"/>
        </w:rPr>
        <w:t>résident</w:t>
      </w:r>
      <w:r w:rsidR="006F74C7">
        <w:rPr>
          <w:rFonts w:ascii="Times New Roman" w:hAnsi="Times New Roman" w:cs="Times New Roman"/>
          <w:color w:val="000000" w:themeColor="text1"/>
          <w:sz w:val="24"/>
          <w:szCs w:val="24"/>
          <w:lang w:val="fr-FR"/>
        </w:rPr>
        <w:t xml:space="preserve"> sortant</w:t>
      </w:r>
      <w:r w:rsidRPr="00631F8A">
        <w:rPr>
          <w:rFonts w:ascii="Times New Roman" w:hAnsi="Times New Roman" w:cs="Times New Roman"/>
          <w:color w:val="000000" w:themeColor="text1"/>
          <w:sz w:val="24"/>
          <w:szCs w:val="24"/>
          <w:lang w:val="fr-FR"/>
        </w:rPr>
        <w:t xml:space="preserve"> du Parlement européen, Mr Antonio Tajani,</w:t>
      </w:r>
      <w:r w:rsidRPr="00631F8A">
        <w:rPr>
          <w:rStyle w:val="Appelnotedebasdep"/>
          <w:rFonts w:ascii="Times New Roman" w:hAnsi="Times New Roman" w:cs="Times New Roman"/>
          <w:color w:val="000000" w:themeColor="text1"/>
          <w:sz w:val="24"/>
          <w:szCs w:val="24"/>
          <w:lang w:val="fr-FR"/>
        </w:rPr>
        <w:footnoteReference w:id="132"/>
      </w:r>
      <w:r w:rsidRPr="00631F8A">
        <w:rPr>
          <w:rFonts w:ascii="Times New Roman" w:hAnsi="Times New Roman" w:cs="Times New Roman"/>
          <w:color w:val="000000" w:themeColor="text1"/>
          <w:sz w:val="24"/>
          <w:szCs w:val="24"/>
          <w:lang w:val="fr-FR"/>
        </w:rPr>
        <w:t xml:space="preserve"> l’on notera que lors du premier grand débat télévisé français relatif aux élections européennes, le 4 avril 2019, Raphaël Glucksmann, candidat du parti </w:t>
      </w:r>
      <w:r w:rsidRPr="00631F8A">
        <w:rPr>
          <w:rFonts w:ascii="Times New Roman" w:hAnsi="Times New Roman" w:cs="Times New Roman"/>
          <w:i/>
          <w:color w:val="000000" w:themeColor="text1"/>
          <w:sz w:val="24"/>
          <w:szCs w:val="24"/>
          <w:lang w:val="fr-FR"/>
        </w:rPr>
        <w:t>Place Publique</w:t>
      </w:r>
      <w:r w:rsidRPr="00631F8A">
        <w:rPr>
          <w:rFonts w:ascii="Times New Roman" w:hAnsi="Times New Roman" w:cs="Times New Roman"/>
          <w:color w:val="000000" w:themeColor="text1"/>
          <w:sz w:val="24"/>
          <w:szCs w:val="24"/>
          <w:lang w:val="fr-FR"/>
        </w:rPr>
        <w:t>, se prononçait de vive voix sur la question. Situant l’Union européenne dans une « crise de la démocratie », il arguait que les prérogatives du Parlement européen devaient être élargies, et singulièrement qu’un pouvoir d’initiative législative direct devait lui être conféré.</w:t>
      </w:r>
      <w:r w:rsidRPr="00631F8A">
        <w:rPr>
          <w:rStyle w:val="Appelnotedebasdep"/>
          <w:rFonts w:ascii="Times New Roman" w:hAnsi="Times New Roman" w:cs="Times New Roman"/>
          <w:color w:val="000000" w:themeColor="text1"/>
          <w:sz w:val="24"/>
          <w:szCs w:val="24"/>
          <w:lang w:val="fr-FR"/>
        </w:rPr>
        <w:footnoteReference w:id="133"/>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Comme élégamment souligné par le Professeur M</w:t>
      </w:r>
      <w:r w:rsidRPr="00631F8A">
        <w:rPr>
          <w:rFonts w:ascii="Times New Roman" w:hAnsi="Times New Roman" w:cs="Times New Roman"/>
          <w:smallCaps/>
          <w:color w:val="000000" w:themeColor="text1"/>
          <w:sz w:val="24"/>
          <w:szCs w:val="24"/>
          <w:lang w:val="fr-FR"/>
        </w:rPr>
        <w:t>estre</w:t>
      </w:r>
      <w:r w:rsidRPr="00631F8A">
        <w:rPr>
          <w:rFonts w:ascii="Times New Roman" w:hAnsi="Times New Roman" w:cs="Times New Roman"/>
          <w:color w:val="000000" w:themeColor="text1"/>
          <w:sz w:val="24"/>
          <w:szCs w:val="24"/>
          <w:lang w:val="fr-FR"/>
        </w:rPr>
        <w:t xml:space="preserve">, à l’heure actuelle, « il ne manque pas de propositions pour asseoir la démocratie européenne et tordre le cou au déficit démocratique, sauf que la surenchère en la matière s’assimile un peu trop facilement à une sorte de concours Lépine permanent, c’est à qui aura </w:t>
      </w:r>
      <w:r w:rsidRPr="00631F8A">
        <w:rPr>
          <w:rFonts w:ascii="Times New Roman" w:hAnsi="Times New Roman" w:cs="Times New Roman"/>
          <w:i/>
          <w:color w:val="000000" w:themeColor="text1"/>
          <w:sz w:val="24"/>
          <w:szCs w:val="24"/>
          <w:lang w:val="fr-FR"/>
        </w:rPr>
        <w:t>la meilleure fausse bonne idée</w:t>
      </w:r>
      <w:r w:rsidRPr="00631F8A">
        <w:rPr>
          <w:rFonts w:ascii="Times New Roman" w:hAnsi="Times New Roman" w:cs="Times New Roman"/>
          <w:color w:val="000000" w:themeColor="text1"/>
          <w:sz w:val="24"/>
          <w:szCs w:val="24"/>
          <w:lang w:val="fr-FR"/>
        </w:rPr>
        <w:t>. »</w:t>
      </w:r>
      <w:r w:rsidRPr="00631F8A">
        <w:rPr>
          <w:rStyle w:val="Appelnotedebasdep"/>
          <w:rFonts w:ascii="Times New Roman" w:hAnsi="Times New Roman" w:cs="Times New Roman"/>
          <w:color w:val="000000" w:themeColor="text1"/>
          <w:sz w:val="24"/>
          <w:szCs w:val="24"/>
          <w:lang w:val="fr-FR"/>
        </w:rPr>
        <w:footnoteReference w:id="134"/>
      </w:r>
      <w:r w:rsidRPr="00631F8A">
        <w:rPr>
          <w:rFonts w:ascii="Times New Roman" w:hAnsi="Times New Roman" w:cs="Times New Roman"/>
          <w:color w:val="000000" w:themeColor="text1"/>
          <w:sz w:val="24"/>
          <w:szCs w:val="24"/>
          <w:lang w:val="fr-FR"/>
        </w:rPr>
        <w:t xml:space="preserve"> </w:t>
      </w:r>
      <w:r>
        <w:rPr>
          <w:rFonts w:ascii="Times New Roman" w:hAnsi="Times New Roman" w:cs="Times New Roman"/>
          <w:color w:val="000000" w:themeColor="text1"/>
          <w:sz w:val="24"/>
          <w:szCs w:val="24"/>
          <w:lang w:val="fr-FR"/>
        </w:rPr>
        <w:t>Afin</w:t>
      </w:r>
      <w:r w:rsidRPr="00631F8A">
        <w:rPr>
          <w:rFonts w:ascii="Times New Roman" w:hAnsi="Times New Roman" w:cs="Times New Roman"/>
          <w:color w:val="000000" w:themeColor="text1"/>
          <w:sz w:val="24"/>
          <w:szCs w:val="24"/>
          <w:lang w:val="fr-FR"/>
        </w:rPr>
        <w:t xml:space="preserve"> de déterminer si l’attribution au Parlement européen d’un pouvoir d’initiative législative direct </w:t>
      </w:r>
      <w:r>
        <w:rPr>
          <w:rFonts w:ascii="Times New Roman" w:hAnsi="Times New Roman" w:cs="Times New Roman"/>
          <w:color w:val="000000" w:themeColor="text1"/>
          <w:sz w:val="24"/>
          <w:szCs w:val="24"/>
          <w:lang w:val="fr-FR"/>
        </w:rPr>
        <w:t>s’inscrit dans</w:t>
      </w:r>
      <w:r w:rsidRPr="00631F8A">
        <w:rPr>
          <w:rFonts w:ascii="Times New Roman" w:hAnsi="Times New Roman" w:cs="Times New Roman"/>
          <w:color w:val="000000" w:themeColor="text1"/>
          <w:sz w:val="24"/>
          <w:szCs w:val="24"/>
          <w:lang w:val="fr-FR"/>
        </w:rPr>
        <w:t xml:space="preserve"> cette veine, il est </w:t>
      </w:r>
      <w:r>
        <w:rPr>
          <w:rFonts w:ascii="Times New Roman" w:hAnsi="Times New Roman" w:cs="Times New Roman"/>
          <w:color w:val="000000" w:themeColor="text1"/>
          <w:sz w:val="24"/>
          <w:szCs w:val="24"/>
          <w:lang w:val="fr-FR"/>
        </w:rPr>
        <w:t>essentiel</w:t>
      </w:r>
      <w:r w:rsidRPr="00631F8A">
        <w:rPr>
          <w:rFonts w:ascii="Times New Roman" w:hAnsi="Times New Roman" w:cs="Times New Roman"/>
          <w:color w:val="000000" w:themeColor="text1"/>
          <w:sz w:val="24"/>
          <w:szCs w:val="24"/>
          <w:lang w:val="fr-FR"/>
        </w:rPr>
        <w:t xml:space="preserve"> d’identifier les fondements de cette revendication. Notons au préalable que le Parlement européen, quoiqu’il ne dispose pas d’un pouvoir « général » d’initiative législative direct, peut initier certaines procédures décisionnelles sans intervention de la Commission, celles-ci se limitant pour l’essentiel à réglementer ses activités internes.</w:t>
      </w:r>
      <w:r w:rsidRPr="00631F8A">
        <w:rPr>
          <w:rStyle w:val="Appelnotedebasdep"/>
          <w:rFonts w:ascii="Times New Roman" w:hAnsi="Times New Roman" w:cs="Times New Roman"/>
          <w:color w:val="000000" w:themeColor="text1"/>
          <w:sz w:val="24"/>
          <w:szCs w:val="24"/>
          <w:lang w:val="fr-FR"/>
        </w:rPr>
        <w:footnoteReference w:id="135"/>
      </w:r>
      <w:r w:rsidRPr="00631F8A">
        <w:rPr>
          <w:rFonts w:ascii="Times New Roman" w:hAnsi="Times New Roman" w:cs="Times New Roman"/>
          <w:color w:val="000000" w:themeColor="text1"/>
          <w:sz w:val="24"/>
          <w:szCs w:val="24"/>
          <w:lang w:val="fr-FR"/>
        </w:rPr>
        <w:t xml:space="preserve"> À titre non-exhaustif, on peut citer un pouvoir d’initiative à l’égard de la composition du Parlement européen,</w:t>
      </w:r>
      <w:r w:rsidRPr="00631F8A">
        <w:rPr>
          <w:rStyle w:val="Appelnotedebasdep"/>
          <w:rFonts w:ascii="Times New Roman" w:hAnsi="Times New Roman" w:cs="Times New Roman"/>
          <w:color w:val="000000" w:themeColor="text1"/>
          <w:sz w:val="24"/>
          <w:szCs w:val="24"/>
          <w:lang w:val="fr-FR"/>
        </w:rPr>
        <w:footnoteReference w:id="136"/>
      </w:r>
      <w:r w:rsidRPr="00631F8A">
        <w:rPr>
          <w:rFonts w:ascii="Times New Roman" w:hAnsi="Times New Roman" w:cs="Times New Roman"/>
          <w:color w:val="000000" w:themeColor="text1"/>
          <w:sz w:val="24"/>
          <w:szCs w:val="24"/>
          <w:lang w:val="fr-FR"/>
        </w:rPr>
        <w:t xml:space="preserve"> du statut et conditions générales d’exercice des fonctions de ses membres,</w:t>
      </w:r>
      <w:r w:rsidRPr="00631F8A">
        <w:rPr>
          <w:rStyle w:val="Appelnotedebasdep"/>
          <w:rFonts w:ascii="Times New Roman" w:hAnsi="Times New Roman" w:cs="Times New Roman"/>
          <w:color w:val="000000" w:themeColor="text1"/>
          <w:sz w:val="24"/>
          <w:szCs w:val="24"/>
          <w:lang w:val="fr-FR"/>
        </w:rPr>
        <w:footnoteReference w:id="137"/>
      </w:r>
      <w:r w:rsidRPr="00631F8A">
        <w:rPr>
          <w:rFonts w:ascii="Times New Roman" w:hAnsi="Times New Roman" w:cs="Times New Roman"/>
          <w:color w:val="000000" w:themeColor="text1"/>
          <w:sz w:val="24"/>
          <w:szCs w:val="24"/>
          <w:lang w:val="fr-FR"/>
        </w:rPr>
        <w:t xml:space="preserve"> du statut et conditions générales d'exercice des fonctions du médiateur</w:t>
      </w:r>
      <w:r w:rsidRPr="00631F8A">
        <w:rPr>
          <w:rStyle w:val="Appelnotedebasdep"/>
          <w:rFonts w:ascii="Times New Roman" w:hAnsi="Times New Roman" w:cs="Times New Roman"/>
          <w:color w:val="000000" w:themeColor="text1"/>
          <w:sz w:val="24"/>
          <w:szCs w:val="24"/>
          <w:lang w:val="fr-FR"/>
        </w:rPr>
        <w:footnoteReference w:id="138"/>
      </w:r>
      <w:r w:rsidRPr="00631F8A">
        <w:rPr>
          <w:rFonts w:ascii="Times New Roman" w:hAnsi="Times New Roman" w:cs="Times New Roman"/>
          <w:color w:val="000000" w:themeColor="text1"/>
          <w:sz w:val="24"/>
          <w:szCs w:val="24"/>
          <w:lang w:val="fr-FR"/>
        </w:rPr>
        <w:t xml:space="preserve"> ou encore la fixation de son règlement intérieur.</w:t>
      </w:r>
      <w:r w:rsidRPr="00631F8A">
        <w:rPr>
          <w:rStyle w:val="Appelnotedebasdep"/>
          <w:rFonts w:ascii="Times New Roman" w:hAnsi="Times New Roman" w:cs="Times New Roman"/>
          <w:color w:val="000000" w:themeColor="text1"/>
          <w:sz w:val="24"/>
          <w:szCs w:val="24"/>
          <w:lang w:val="fr-FR"/>
        </w:rPr>
        <w:footnoteReference w:id="139"/>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De manière schématique, l’avènement d’un pouvoir d’initiative législative direct est justifiée à travers trois lignes d’argumentation.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La première justification, accréditée par l’i</w:t>
      </w:r>
      <w:r>
        <w:rPr>
          <w:rFonts w:ascii="Times New Roman" w:hAnsi="Times New Roman" w:cs="Times New Roman"/>
          <w:color w:val="000000" w:themeColor="text1"/>
          <w:sz w:val="24"/>
          <w:szCs w:val="24"/>
          <w:lang w:val="fr-FR"/>
        </w:rPr>
        <w:t>nefficacité</w:t>
      </w:r>
      <w:r w:rsidRPr="00631F8A">
        <w:rPr>
          <w:rFonts w:ascii="Times New Roman" w:hAnsi="Times New Roman" w:cs="Times New Roman"/>
          <w:color w:val="000000" w:themeColor="text1"/>
          <w:sz w:val="24"/>
          <w:szCs w:val="24"/>
          <w:lang w:val="fr-FR"/>
        </w:rPr>
        <w:t xml:space="preserve"> du pouvoir d’initiative législative indirect mise en lumière </w:t>
      </w:r>
      <w:r w:rsidRPr="00631F8A">
        <w:rPr>
          <w:rFonts w:ascii="Times New Roman" w:hAnsi="Times New Roman" w:cs="Times New Roman"/>
          <w:i/>
          <w:color w:val="000000" w:themeColor="text1"/>
          <w:sz w:val="24"/>
          <w:szCs w:val="24"/>
          <w:lang w:val="fr-FR"/>
        </w:rPr>
        <w:t>supra</w:t>
      </w:r>
      <w:r w:rsidRPr="00631F8A">
        <w:rPr>
          <w:rFonts w:ascii="Times New Roman" w:hAnsi="Times New Roman" w:cs="Times New Roman"/>
          <w:color w:val="000000" w:themeColor="text1"/>
          <w:sz w:val="24"/>
          <w:szCs w:val="24"/>
          <w:lang w:val="fr-FR"/>
        </w:rPr>
        <w:t xml:space="preserve">, consiste à dire que le Parlement européen est un parlement « faible », qui dispose d’une capacité restreinte de définir l’agenda législatif des politiques </w:t>
      </w:r>
      <w:r w:rsidRPr="00631F8A">
        <w:rPr>
          <w:rFonts w:ascii="Times New Roman" w:hAnsi="Times New Roman" w:cs="Times New Roman"/>
          <w:color w:val="000000" w:themeColor="text1"/>
          <w:sz w:val="24"/>
          <w:szCs w:val="24"/>
          <w:lang w:val="fr-FR"/>
        </w:rPr>
        <w:lastRenderedPageBreak/>
        <w:t>européennes. À cet égard, bien que les pouvoirs législatifs du Parlement européen se soient élargis au fil des révisions des traités, le Parlement resterait exclu d’un aspect critique du processus législatif. En ce sens, le Professeur C</w:t>
      </w:r>
      <w:r w:rsidRPr="00631F8A">
        <w:rPr>
          <w:rFonts w:ascii="Times New Roman" w:hAnsi="Times New Roman" w:cs="Times New Roman"/>
          <w:smallCaps/>
          <w:color w:val="000000" w:themeColor="text1"/>
          <w:sz w:val="24"/>
          <w:szCs w:val="24"/>
          <w:lang w:val="fr-FR"/>
        </w:rPr>
        <w:t>hevallier</w:t>
      </w:r>
      <w:r w:rsidRPr="00631F8A">
        <w:rPr>
          <w:rFonts w:ascii="Times New Roman" w:hAnsi="Times New Roman" w:cs="Times New Roman"/>
          <w:color w:val="000000" w:themeColor="text1"/>
          <w:sz w:val="24"/>
          <w:szCs w:val="24"/>
          <w:lang w:val="fr-FR"/>
        </w:rPr>
        <w:t xml:space="preserve"> nous rappelle que « la montée en puissance incontestable du Parlement ne saurait pour autant conduire à surévaluer son influence ».</w:t>
      </w:r>
      <w:r w:rsidRPr="00631F8A">
        <w:rPr>
          <w:rStyle w:val="Appelnotedebasdep"/>
          <w:rFonts w:ascii="Times New Roman" w:hAnsi="Times New Roman" w:cs="Times New Roman"/>
          <w:color w:val="000000" w:themeColor="text1"/>
          <w:sz w:val="24"/>
          <w:szCs w:val="24"/>
          <w:lang w:val="fr-FR"/>
        </w:rPr>
        <w:footnoteReference w:id="140"/>
      </w:r>
      <w:r w:rsidRPr="00631F8A">
        <w:rPr>
          <w:rFonts w:ascii="Times New Roman" w:hAnsi="Times New Roman" w:cs="Times New Roman"/>
          <w:color w:val="000000" w:themeColor="text1"/>
          <w:sz w:val="24"/>
          <w:szCs w:val="24"/>
          <w:lang w:val="fr-FR"/>
        </w:rPr>
        <w:t xml:space="preserve"> Ainsi, puisque la Commission ne peut être tenue de présenter une initiative législative sur une question</w:t>
      </w:r>
      <w:r>
        <w:rPr>
          <w:rFonts w:ascii="Times New Roman" w:hAnsi="Times New Roman" w:cs="Times New Roman"/>
          <w:color w:val="000000" w:themeColor="text1"/>
          <w:sz w:val="24"/>
          <w:szCs w:val="24"/>
          <w:lang w:val="fr-FR"/>
        </w:rPr>
        <w:t xml:space="preserve"> spécifique</w:t>
      </w:r>
      <w:r w:rsidRPr="00631F8A">
        <w:rPr>
          <w:rFonts w:ascii="Times New Roman" w:hAnsi="Times New Roman" w:cs="Times New Roman"/>
          <w:color w:val="000000" w:themeColor="text1"/>
          <w:sz w:val="24"/>
          <w:szCs w:val="24"/>
          <w:lang w:val="fr-FR"/>
        </w:rPr>
        <w:t xml:space="preserve"> ou un domaine politique </w:t>
      </w:r>
      <w:r>
        <w:rPr>
          <w:rFonts w:ascii="Times New Roman" w:hAnsi="Times New Roman" w:cs="Times New Roman"/>
          <w:color w:val="000000" w:themeColor="text1"/>
          <w:sz w:val="24"/>
          <w:szCs w:val="24"/>
          <w:lang w:val="fr-FR"/>
        </w:rPr>
        <w:t>particulier</w:t>
      </w:r>
      <w:r w:rsidRPr="00631F8A">
        <w:rPr>
          <w:rFonts w:ascii="Times New Roman" w:hAnsi="Times New Roman" w:cs="Times New Roman"/>
          <w:color w:val="000000" w:themeColor="text1"/>
          <w:sz w:val="24"/>
          <w:szCs w:val="24"/>
          <w:lang w:val="fr-FR"/>
        </w:rPr>
        <w:t>, le Parlement européen n’a qu</w:t>
      </w:r>
      <w:r>
        <w:rPr>
          <w:rFonts w:ascii="Times New Roman" w:hAnsi="Times New Roman" w:cs="Times New Roman"/>
          <w:color w:val="000000" w:themeColor="text1"/>
          <w:sz w:val="24"/>
          <w:szCs w:val="24"/>
          <w:lang w:val="fr-FR"/>
        </w:rPr>
        <w:t>e peu d’</w:t>
      </w:r>
      <w:r w:rsidRPr="00631F8A">
        <w:rPr>
          <w:rFonts w:ascii="Times New Roman" w:hAnsi="Times New Roman" w:cs="Times New Roman"/>
          <w:color w:val="000000" w:themeColor="text1"/>
          <w:sz w:val="24"/>
          <w:szCs w:val="24"/>
          <w:lang w:val="fr-FR"/>
        </w:rPr>
        <w:t>influence à l’égard de l’agenda législatif des politiques européennes.</w:t>
      </w:r>
      <w:r w:rsidRPr="00631F8A">
        <w:rPr>
          <w:rStyle w:val="Appelnotedebasdep"/>
          <w:rFonts w:ascii="Times New Roman" w:hAnsi="Times New Roman" w:cs="Times New Roman"/>
          <w:color w:val="000000" w:themeColor="text1"/>
          <w:sz w:val="24"/>
          <w:szCs w:val="24"/>
          <w:lang w:val="fr-FR"/>
        </w:rPr>
        <w:footnoteReference w:id="141"/>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La consécration d’un pouvoir d’initiative législative direct est ensuite motivée </w:t>
      </w:r>
      <w:r>
        <w:rPr>
          <w:rFonts w:ascii="Times New Roman" w:hAnsi="Times New Roman" w:cs="Times New Roman"/>
          <w:color w:val="000000" w:themeColor="text1"/>
          <w:sz w:val="24"/>
          <w:szCs w:val="24"/>
          <w:lang w:val="fr-FR"/>
        </w:rPr>
        <w:t>par le fait</w:t>
      </w:r>
      <w:r w:rsidRPr="00631F8A">
        <w:rPr>
          <w:rFonts w:ascii="Times New Roman" w:hAnsi="Times New Roman" w:cs="Times New Roman"/>
          <w:color w:val="000000" w:themeColor="text1"/>
          <w:sz w:val="24"/>
          <w:szCs w:val="24"/>
          <w:lang w:val="fr-FR"/>
        </w:rPr>
        <w:t xml:space="preserve"> qu’un tel pouvoir est reconnu à </w:t>
      </w:r>
      <w:r>
        <w:rPr>
          <w:rFonts w:ascii="Times New Roman" w:hAnsi="Times New Roman" w:cs="Times New Roman"/>
          <w:color w:val="000000" w:themeColor="text1"/>
          <w:sz w:val="24"/>
          <w:szCs w:val="24"/>
          <w:lang w:val="fr-FR"/>
        </w:rPr>
        <w:t>tous les</w:t>
      </w:r>
      <w:r w:rsidRPr="00631F8A">
        <w:rPr>
          <w:rFonts w:ascii="Times New Roman" w:hAnsi="Times New Roman" w:cs="Times New Roman"/>
          <w:color w:val="000000" w:themeColor="text1"/>
          <w:sz w:val="24"/>
          <w:szCs w:val="24"/>
          <w:lang w:val="fr-FR"/>
        </w:rPr>
        <w:t xml:space="preserve"> parlements nationaux au sein des États membres de l’Union européenne.</w:t>
      </w:r>
      <w:r w:rsidRPr="00631F8A">
        <w:rPr>
          <w:rStyle w:val="Appelnotedebasdep"/>
          <w:rFonts w:ascii="Times New Roman" w:hAnsi="Times New Roman" w:cs="Times New Roman"/>
          <w:color w:val="000000" w:themeColor="text1"/>
          <w:sz w:val="24"/>
          <w:szCs w:val="24"/>
          <w:lang w:val="fr-FR"/>
        </w:rPr>
        <w:footnoteReference w:id="142"/>
      </w:r>
      <w:r w:rsidRPr="00631F8A">
        <w:rPr>
          <w:rFonts w:ascii="Times New Roman" w:hAnsi="Times New Roman" w:cs="Times New Roman"/>
          <w:color w:val="000000" w:themeColor="text1"/>
          <w:sz w:val="24"/>
          <w:szCs w:val="24"/>
          <w:lang w:val="fr-FR"/>
        </w:rPr>
        <w:t xml:space="preserve"> En effet, dans les systèmes institutionnels de ces derniers, les parlements nationaux sont habilités, à côté du pouvoir d’initiative de leur gouvernement, à proposer des actes législatifs, cela soit par l’intermédiaire d’un nombre de députés, d’un groupe de partis politiques ou de députés individuels.</w:t>
      </w:r>
      <w:r w:rsidRPr="00631F8A">
        <w:rPr>
          <w:rStyle w:val="Appelnotedebasdep"/>
          <w:rFonts w:ascii="Times New Roman" w:hAnsi="Times New Roman" w:cs="Times New Roman"/>
          <w:color w:val="000000" w:themeColor="text1"/>
          <w:sz w:val="24"/>
          <w:szCs w:val="24"/>
          <w:lang w:val="fr-FR"/>
        </w:rPr>
        <w:footnoteReference w:id="143"/>
      </w:r>
      <w:r w:rsidRPr="00631F8A">
        <w:rPr>
          <w:rFonts w:ascii="Times New Roman" w:hAnsi="Times New Roman" w:cs="Times New Roman"/>
          <w:color w:val="000000" w:themeColor="text1"/>
          <w:sz w:val="24"/>
          <w:szCs w:val="24"/>
          <w:lang w:val="fr-FR"/>
        </w:rPr>
        <w:t xml:space="preserve"> Dans le même ordre d’idée, l’octroi d’un pouvoir d’initiative direct est perçu comme une étape clé dans la constitution des démocraties modernes, un tel pouvoir figurerait au sein d</w:t>
      </w:r>
      <w:r>
        <w:rPr>
          <w:rFonts w:ascii="Times New Roman" w:hAnsi="Times New Roman" w:cs="Times New Roman"/>
          <w:color w:val="000000" w:themeColor="text1"/>
          <w:sz w:val="24"/>
          <w:szCs w:val="24"/>
          <w:lang w:val="fr-FR"/>
        </w:rPr>
        <w:t>es</w:t>
      </w:r>
      <w:r w:rsidRPr="00631F8A">
        <w:rPr>
          <w:rFonts w:ascii="Times New Roman" w:hAnsi="Times New Roman" w:cs="Times New Roman"/>
          <w:color w:val="000000" w:themeColor="text1"/>
          <w:sz w:val="24"/>
          <w:szCs w:val="24"/>
          <w:lang w:val="fr-FR"/>
        </w:rPr>
        <w:t xml:space="preserve"> système</w:t>
      </w:r>
      <w:r>
        <w:rPr>
          <w:rFonts w:ascii="Times New Roman" w:hAnsi="Times New Roman" w:cs="Times New Roman"/>
          <w:color w:val="000000" w:themeColor="text1"/>
          <w:sz w:val="24"/>
          <w:szCs w:val="24"/>
          <w:lang w:val="fr-FR"/>
        </w:rPr>
        <w:t>s</w:t>
      </w:r>
      <w:r w:rsidRPr="00631F8A">
        <w:rPr>
          <w:rFonts w:ascii="Times New Roman" w:hAnsi="Times New Roman" w:cs="Times New Roman"/>
          <w:color w:val="000000" w:themeColor="text1"/>
          <w:sz w:val="24"/>
          <w:szCs w:val="24"/>
          <w:lang w:val="fr-FR"/>
        </w:rPr>
        <w:t xml:space="preserve"> institutionnel</w:t>
      </w:r>
      <w:r>
        <w:rPr>
          <w:rFonts w:ascii="Times New Roman" w:hAnsi="Times New Roman" w:cs="Times New Roman"/>
          <w:color w:val="000000" w:themeColor="text1"/>
          <w:sz w:val="24"/>
          <w:szCs w:val="24"/>
          <w:lang w:val="fr-FR"/>
        </w:rPr>
        <w:t>s démocratiques</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144"/>
      </w:r>
      <w:r w:rsidRPr="00631F8A">
        <w:rPr>
          <w:rFonts w:ascii="Times New Roman" w:hAnsi="Times New Roman" w:cs="Times New Roman"/>
          <w:color w:val="000000" w:themeColor="text1"/>
          <w:sz w:val="24"/>
          <w:szCs w:val="24"/>
          <w:lang w:val="fr-FR"/>
        </w:rPr>
        <w:t xml:space="preserve"> </w:t>
      </w:r>
    </w:p>
    <w:p w:rsidR="009A1106"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Enfin, il est avancé qu’il ne peut </w:t>
      </w:r>
      <w:r w:rsidR="00627C2C">
        <w:rPr>
          <w:rFonts w:ascii="Times New Roman" w:hAnsi="Times New Roman" w:cs="Times New Roman"/>
          <w:color w:val="000000" w:themeColor="text1"/>
          <w:sz w:val="24"/>
          <w:szCs w:val="24"/>
          <w:lang w:val="fr-FR"/>
        </w:rPr>
        <w:t>y a</w:t>
      </w:r>
      <w:r w:rsidRPr="00631F8A">
        <w:rPr>
          <w:rFonts w:ascii="Times New Roman" w:hAnsi="Times New Roman" w:cs="Times New Roman"/>
          <w:color w:val="000000" w:themeColor="text1"/>
          <w:sz w:val="24"/>
          <w:szCs w:val="24"/>
          <w:lang w:val="fr-FR"/>
        </w:rPr>
        <w:t xml:space="preserve">voir une « démocratisation véritable » de l’Union européenne que si le Parlement européen, en tant qu’institution </w:t>
      </w:r>
      <w:r>
        <w:rPr>
          <w:rFonts w:ascii="Times New Roman" w:hAnsi="Times New Roman" w:cs="Times New Roman"/>
          <w:color w:val="000000" w:themeColor="text1"/>
          <w:sz w:val="24"/>
          <w:szCs w:val="24"/>
          <w:lang w:val="fr-FR"/>
        </w:rPr>
        <w:t>dotée</w:t>
      </w:r>
      <w:r w:rsidRPr="00631F8A">
        <w:rPr>
          <w:rFonts w:ascii="Times New Roman" w:hAnsi="Times New Roman" w:cs="Times New Roman"/>
          <w:color w:val="000000" w:themeColor="text1"/>
          <w:sz w:val="24"/>
          <w:szCs w:val="24"/>
          <w:lang w:val="fr-FR"/>
        </w:rPr>
        <w:t xml:space="preserve"> d’une légitimité démocratique – directe et complète – se voit </w:t>
      </w:r>
      <w:r>
        <w:rPr>
          <w:rFonts w:ascii="Times New Roman" w:hAnsi="Times New Roman" w:cs="Times New Roman"/>
          <w:color w:val="000000" w:themeColor="text1"/>
          <w:sz w:val="24"/>
          <w:szCs w:val="24"/>
          <w:lang w:val="fr-FR"/>
        </w:rPr>
        <w:t>conférer</w:t>
      </w:r>
      <w:r w:rsidRPr="00631F8A">
        <w:rPr>
          <w:rFonts w:ascii="Times New Roman" w:hAnsi="Times New Roman" w:cs="Times New Roman"/>
          <w:color w:val="000000" w:themeColor="text1"/>
          <w:sz w:val="24"/>
          <w:szCs w:val="24"/>
          <w:lang w:val="fr-FR"/>
        </w:rPr>
        <w:t xml:space="preserve"> un pouvoir d’initiative législative direct.</w:t>
      </w:r>
      <w:r w:rsidRPr="00631F8A">
        <w:rPr>
          <w:rStyle w:val="Appelnotedebasdep"/>
          <w:rFonts w:ascii="Times New Roman" w:hAnsi="Times New Roman" w:cs="Times New Roman"/>
          <w:color w:val="000000" w:themeColor="text1"/>
          <w:sz w:val="24"/>
          <w:szCs w:val="24"/>
          <w:lang w:val="fr-FR"/>
        </w:rPr>
        <w:footnoteReference w:id="145"/>
      </w:r>
      <w:r w:rsidRPr="00631F8A">
        <w:rPr>
          <w:rFonts w:ascii="Times New Roman" w:hAnsi="Times New Roman" w:cs="Times New Roman"/>
          <w:color w:val="000000" w:themeColor="text1"/>
          <w:sz w:val="24"/>
          <w:szCs w:val="24"/>
          <w:lang w:val="fr-FR"/>
        </w:rPr>
        <w:t xml:space="preserve"> À cet égard, la Cour de justice avait déjà mis en exergue en 1980, dans son arrêt </w:t>
      </w:r>
      <w:r w:rsidRPr="00631F8A">
        <w:rPr>
          <w:rFonts w:ascii="Times New Roman" w:hAnsi="Times New Roman" w:cs="Times New Roman"/>
          <w:i/>
          <w:color w:val="000000" w:themeColor="text1"/>
          <w:sz w:val="24"/>
          <w:szCs w:val="24"/>
          <w:lang w:val="fr-FR"/>
        </w:rPr>
        <w:t>Roquette</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146"/>
      </w:r>
      <w:r w:rsidRPr="00631F8A">
        <w:rPr>
          <w:rFonts w:ascii="Times New Roman" w:hAnsi="Times New Roman" w:cs="Times New Roman"/>
          <w:color w:val="000000" w:themeColor="text1"/>
          <w:sz w:val="24"/>
          <w:szCs w:val="24"/>
          <w:lang w:val="fr-FR"/>
        </w:rPr>
        <w:t xml:space="preserve"> le lien étroit unissant le Parlement européen</w:t>
      </w:r>
      <w:r>
        <w:rPr>
          <w:rFonts w:ascii="Times New Roman" w:hAnsi="Times New Roman" w:cs="Times New Roman"/>
          <w:color w:val="000000" w:themeColor="text1"/>
          <w:sz w:val="24"/>
          <w:szCs w:val="24"/>
          <w:lang w:val="fr-FR"/>
        </w:rPr>
        <w:t xml:space="preserve"> au principe de la</w:t>
      </w:r>
      <w:r w:rsidRPr="00631F8A">
        <w:rPr>
          <w:rFonts w:ascii="Times New Roman" w:hAnsi="Times New Roman" w:cs="Times New Roman"/>
          <w:color w:val="000000" w:themeColor="text1"/>
          <w:sz w:val="24"/>
          <w:szCs w:val="24"/>
          <w:lang w:val="fr-FR"/>
        </w:rPr>
        <w:t xml:space="preserve"> démocratie dans le système institutionnel communautaire. La Cour avait alors considéré que la compétence de consultation attribuée au Parlement européen était « un élément essentiel de l’équilibre institutionnel voulu par le traité. Elle est le reflet, bien que limité, au niveau de la Communauté, d’un principe démocratique fondamental, selon lequel les peuples participent </w:t>
      </w:r>
      <w:r w:rsidRPr="00631F8A">
        <w:rPr>
          <w:rFonts w:ascii="Times New Roman" w:hAnsi="Times New Roman" w:cs="Times New Roman"/>
          <w:color w:val="000000" w:themeColor="text1"/>
          <w:sz w:val="24"/>
          <w:szCs w:val="24"/>
          <w:lang w:val="fr-FR"/>
        </w:rPr>
        <w:lastRenderedPageBreak/>
        <w:t>à l’exercice du pouvoir par l’intermédiaire d’une assemblée représentative ».</w:t>
      </w:r>
      <w:r w:rsidRPr="00631F8A">
        <w:rPr>
          <w:rStyle w:val="Appelnotedebasdep"/>
          <w:rFonts w:ascii="Times New Roman" w:hAnsi="Times New Roman" w:cs="Times New Roman"/>
          <w:color w:val="000000" w:themeColor="text1"/>
          <w:sz w:val="24"/>
          <w:szCs w:val="24"/>
          <w:lang w:val="fr-FR"/>
        </w:rPr>
        <w:footnoteReference w:id="147"/>
      </w:r>
      <w:r w:rsidRPr="00631F8A">
        <w:rPr>
          <w:rFonts w:ascii="Times New Roman" w:hAnsi="Times New Roman" w:cs="Times New Roman"/>
          <w:color w:val="000000" w:themeColor="text1"/>
          <w:sz w:val="24"/>
          <w:szCs w:val="24"/>
          <w:lang w:val="fr-FR"/>
        </w:rPr>
        <w:t xml:space="preserve"> Ainsi, l</w:t>
      </w:r>
      <w:r>
        <w:rPr>
          <w:rFonts w:ascii="Times New Roman" w:hAnsi="Times New Roman" w:cs="Times New Roman"/>
          <w:color w:val="000000" w:themeColor="text1"/>
          <w:sz w:val="24"/>
          <w:szCs w:val="24"/>
          <w:lang w:val="fr-FR"/>
        </w:rPr>
        <w:t xml:space="preserve">e principe de la </w:t>
      </w:r>
      <w:r w:rsidRPr="00631F8A">
        <w:rPr>
          <w:rFonts w:ascii="Times New Roman" w:hAnsi="Times New Roman" w:cs="Times New Roman"/>
          <w:color w:val="000000" w:themeColor="text1"/>
          <w:sz w:val="24"/>
          <w:szCs w:val="24"/>
          <w:lang w:val="fr-FR"/>
        </w:rPr>
        <w:t>démocratie, élément on ne peut plus central au sein des traités,</w:t>
      </w:r>
      <w:r w:rsidRPr="00631F8A">
        <w:rPr>
          <w:rStyle w:val="Appelnotedebasdep"/>
          <w:rFonts w:ascii="Times New Roman" w:hAnsi="Times New Roman" w:cs="Times New Roman"/>
          <w:color w:val="000000" w:themeColor="text1"/>
          <w:sz w:val="24"/>
          <w:szCs w:val="24"/>
          <w:lang w:val="fr-FR"/>
        </w:rPr>
        <w:footnoteReference w:id="148"/>
      </w:r>
      <w:r w:rsidRPr="00631F8A">
        <w:rPr>
          <w:rFonts w:ascii="Times New Roman" w:hAnsi="Times New Roman" w:cs="Times New Roman"/>
          <w:color w:val="000000" w:themeColor="text1"/>
          <w:sz w:val="24"/>
          <w:szCs w:val="24"/>
          <w:lang w:val="fr-FR"/>
        </w:rPr>
        <w:t xml:space="preserve"> ne pourrait être pleinement consacré que si le Parlement européen disposait d’un véritable pouvoir d’initiative. Plus encore, l’exclusion du Parlement européen est exacerbée par le fait qu’un monopole d’initiative législative est réservé à la Commission, institution technocratique, qui ne dispose pas d’une légitimité démocratique.</w:t>
      </w:r>
      <w:r w:rsidRPr="00631F8A">
        <w:rPr>
          <w:rStyle w:val="Appelnotedebasdep"/>
          <w:rFonts w:ascii="Times New Roman" w:hAnsi="Times New Roman" w:cs="Times New Roman"/>
          <w:color w:val="000000" w:themeColor="text1"/>
          <w:sz w:val="24"/>
          <w:szCs w:val="24"/>
          <w:lang w:val="fr-FR"/>
        </w:rPr>
        <w:footnoteReference w:id="149"/>
      </w:r>
      <w:r w:rsidRPr="00631F8A">
        <w:rPr>
          <w:rFonts w:ascii="Times New Roman" w:hAnsi="Times New Roman" w:cs="Times New Roman"/>
          <w:color w:val="000000" w:themeColor="text1"/>
          <w:sz w:val="24"/>
          <w:szCs w:val="24"/>
          <w:lang w:val="fr-FR"/>
        </w:rPr>
        <w:t xml:space="preserve"> </w:t>
      </w:r>
    </w:p>
    <w:p w:rsidR="009A1106" w:rsidRPr="00C55A99" w:rsidRDefault="009A1106" w:rsidP="009A1106">
      <w:pPr>
        <w:pStyle w:val="Titre2"/>
        <w:spacing w:before="120" w:after="120" w:line="360" w:lineRule="auto"/>
        <w:jc w:val="both"/>
        <w:rPr>
          <w:rFonts w:ascii="Times New Roman" w:hAnsi="Times New Roman" w:cs="Times New Roman"/>
          <w:b/>
          <w:color w:val="000000" w:themeColor="text1"/>
          <w:sz w:val="24"/>
          <w:szCs w:val="24"/>
          <w:lang w:val="fr-FR"/>
        </w:rPr>
      </w:pPr>
      <w:r w:rsidRPr="00C55A99">
        <w:rPr>
          <w:rFonts w:ascii="Times New Roman" w:hAnsi="Times New Roman" w:cs="Times New Roman"/>
          <w:b/>
          <w:color w:val="000000" w:themeColor="text1"/>
          <w:sz w:val="24"/>
          <w:szCs w:val="24"/>
          <w:lang w:val="fr-FR"/>
        </w:rPr>
        <w:tab/>
      </w:r>
      <w:bookmarkStart w:id="12" w:name="_Toc7535845"/>
      <w:r w:rsidRPr="00C55A99">
        <w:rPr>
          <w:rFonts w:ascii="Times New Roman" w:hAnsi="Times New Roman" w:cs="Times New Roman"/>
          <w:b/>
          <w:color w:val="000000" w:themeColor="text1"/>
          <w:sz w:val="24"/>
          <w:szCs w:val="24"/>
          <w:lang w:val="fr-FR"/>
        </w:rPr>
        <w:t xml:space="preserve">B. Les fondements à l’épreuve de la spécificité du système institutionnel </w:t>
      </w:r>
      <w:r>
        <w:rPr>
          <w:rFonts w:ascii="Times New Roman" w:hAnsi="Times New Roman" w:cs="Times New Roman"/>
          <w:b/>
          <w:color w:val="000000" w:themeColor="text1"/>
          <w:sz w:val="24"/>
          <w:szCs w:val="24"/>
          <w:lang w:val="fr-FR"/>
        </w:rPr>
        <w:tab/>
      </w:r>
      <w:r w:rsidRPr="00C55A99">
        <w:rPr>
          <w:rFonts w:ascii="Times New Roman" w:hAnsi="Times New Roman" w:cs="Times New Roman"/>
          <w:b/>
          <w:color w:val="000000" w:themeColor="text1"/>
          <w:sz w:val="24"/>
          <w:szCs w:val="24"/>
          <w:lang w:val="fr-FR"/>
        </w:rPr>
        <w:t>européen</w:t>
      </w:r>
      <w:bookmarkEnd w:id="12"/>
      <w:r w:rsidRPr="00C55A99">
        <w:rPr>
          <w:rFonts w:ascii="Times New Roman" w:hAnsi="Times New Roman" w:cs="Times New Roman"/>
          <w:b/>
          <w:color w:val="000000" w:themeColor="text1"/>
          <w:sz w:val="24"/>
          <w:szCs w:val="24"/>
          <w:lang w:val="fr-FR"/>
        </w:rPr>
        <w:t xml:space="preserve"> </w:t>
      </w:r>
    </w:p>
    <w:p w:rsidR="006F74C7"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Les origines et fondements de la revendication d’un pouvoir d’initiative législative direct étant identifiés, il s’agit désormais, en vue de déterminer si l’avènement d’un tel pouvoir doit être qualifié de « meilleure fausse bonne idée », de passer au crible les arguments portés par ses partisans. Ainsi, convient-il, dans un premier de temps, de considérer si le Parlement européen est véritablement ce parlement « faible », dont la capacité de déterminer l’agenda législatif des politiques européennes est dérisoire. </w:t>
      </w:r>
    </w:p>
    <w:p w:rsidR="009A1106" w:rsidRPr="00631F8A" w:rsidRDefault="006F74C7"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r>
      <w:r w:rsidR="009A1106" w:rsidRPr="00631F8A">
        <w:rPr>
          <w:rFonts w:ascii="Times New Roman" w:hAnsi="Times New Roman" w:cs="Times New Roman"/>
          <w:color w:val="000000" w:themeColor="text1"/>
          <w:sz w:val="24"/>
          <w:szCs w:val="24"/>
          <w:lang w:val="fr-FR"/>
        </w:rPr>
        <w:t xml:space="preserve">Quoique la portée restreinte du pouvoir d’initiative législative indirect et l’absence de son homonyme direct </w:t>
      </w:r>
      <w:r w:rsidR="00627C2C">
        <w:rPr>
          <w:rFonts w:ascii="Times New Roman" w:hAnsi="Times New Roman" w:cs="Times New Roman"/>
          <w:color w:val="000000" w:themeColor="text1"/>
          <w:sz w:val="24"/>
          <w:szCs w:val="24"/>
          <w:lang w:val="fr-FR"/>
        </w:rPr>
        <w:t>aillent</w:t>
      </w:r>
      <w:r w:rsidR="009A1106" w:rsidRPr="00631F8A">
        <w:rPr>
          <w:rFonts w:ascii="Times New Roman" w:hAnsi="Times New Roman" w:cs="Times New Roman"/>
          <w:color w:val="000000" w:themeColor="text1"/>
          <w:sz w:val="24"/>
          <w:szCs w:val="24"/>
          <w:lang w:val="fr-FR"/>
        </w:rPr>
        <w:t xml:space="preserve"> en ce sens, la réalité est bien plus nuancée. À cet égard, </w:t>
      </w:r>
      <w:r w:rsidR="009A1106">
        <w:rPr>
          <w:rFonts w:ascii="Times New Roman" w:hAnsi="Times New Roman" w:cs="Times New Roman"/>
          <w:color w:val="000000" w:themeColor="text1"/>
          <w:sz w:val="24"/>
          <w:szCs w:val="24"/>
          <w:lang w:val="fr-FR"/>
        </w:rPr>
        <w:t xml:space="preserve">A. </w:t>
      </w:r>
      <w:r w:rsidR="009A1106" w:rsidRPr="00631F8A">
        <w:rPr>
          <w:rFonts w:ascii="Times New Roman" w:hAnsi="Times New Roman" w:cs="Times New Roman"/>
          <w:color w:val="000000" w:themeColor="text1"/>
          <w:sz w:val="24"/>
          <w:szCs w:val="24"/>
          <w:lang w:val="fr-FR"/>
        </w:rPr>
        <w:t>M</w:t>
      </w:r>
      <w:r w:rsidR="009A1106" w:rsidRPr="00631F8A">
        <w:rPr>
          <w:rFonts w:ascii="Times New Roman" w:hAnsi="Times New Roman" w:cs="Times New Roman"/>
          <w:smallCaps/>
          <w:color w:val="000000" w:themeColor="text1"/>
          <w:sz w:val="24"/>
          <w:szCs w:val="24"/>
          <w:lang w:val="fr-FR"/>
        </w:rPr>
        <w:t xml:space="preserve">aurer </w:t>
      </w:r>
      <w:r w:rsidR="009A1106" w:rsidRPr="00631F8A">
        <w:rPr>
          <w:rFonts w:ascii="Times New Roman" w:hAnsi="Times New Roman" w:cs="Times New Roman"/>
          <w:color w:val="000000" w:themeColor="text1"/>
          <w:sz w:val="24"/>
          <w:szCs w:val="24"/>
          <w:lang w:val="fr-FR"/>
        </w:rPr>
        <w:t xml:space="preserve">et </w:t>
      </w:r>
      <w:r w:rsidR="009A1106">
        <w:rPr>
          <w:rFonts w:ascii="Times New Roman" w:hAnsi="Times New Roman" w:cs="Times New Roman"/>
          <w:color w:val="000000" w:themeColor="text1"/>
          <w:sz w:val="24"/>
          <w:szCs w:val="24"/>
          <w:lang w:val="fr-FR"/>
        </w:rPr>
        <w:t xml:space="preserve">M. </w:t>
      </w:r>
      <w:r w:rsidR="009A1106" w:rsidRPr="00631F8A">
        <w:rPr>
          <w:rFonts w:ascii="Times New Roman" w:hAnsi="Times New Roman" w:cs="Times New Roman"/>
          <w:smallCaps/>
          <w:color w:val="000000" w:themeColor="text1"/>
          <w:sz w:val="24"/>
          <w:szCs w:val="24"/>
          <w:lang w:val="fr-FR"/>
        </w:rPr>
        <w:t xml:space="preserve">Wolf </w:t>
      </w:r>
      <w:r w:rsidR="009A1106" w:rsidRPr="00631F8A">
        <w:rPr>
          <w:rFonts w:ascii="Times New Roman" w:hAnsi="Times New Roman" w:cs="Times New Roman"/>
          <w:color w:val="000000" w:themeColor="text1"/>
          <w:sz w:val="24"/>
          <w:szCs w:val="24"/>
          <w:lang w:val="fr-FR"/>
        </w:rPr>
        <w:t>identifient cinq canaux d’initiative parlementaire indirecte,</w:t>
      </w:r>
      <w:r w:rsidR="009A1106" w:rsidRPr="00631F8A">
        <w:rPr>
          <w:rStyle w:val="Appelnotedebasdep"/>
          <w:rFonts w:ascii="Times New Roman" w:hAnsi="Times New Roman" w:cs="Times New Roman"/>
          <w:color w:val="000000" w:themeColor="text1"/>
          <w:sz w:val="24"/>
          <w:szCs w:val="24"/>
          <w:lang w:val="fr-FR"/>
        </w:rPr>
        <w:footnoteReference w:id="150"/>
      </w:r>
      <w:r w:rsidR="009A1106" w:rsidRPr="00631F8A">
        <w:rPr>
          <w:rFonts w:ascii="Times New Roman" w:hAnsi="Times New Roman" w:cs="Times New Roman"/>
          <w:color w:val="000000" w:themeColor="text1"/>
          <w:sz w:val="24"/>
          <w:szCs w:val="24"/>
          <w:lang w:val="fr-FR"/>
        </w:rPr>
        <w:t xml:space="preserve"> à savoir les résolutions d’initiative – ayant émergé</w:t>
      </w:r>
      <w:r w:rsidR="009A1106">
        <w:rPr>
          <w:rFonts w:ascii="Times New Roman" w:hAnsi="Times New Roman" w:cs="Times New Roman"/>
          <w:color w:val="000000" w:themeColor="text1"/>
          <w:sz w:val="24"/>
          <w:szCs w:val="24"/>
          <w:lang w:val="fr-FR"/>
        </w:rPr>
        <w:t xml:space="preserve"> </w:t>
      </w:r>
      <w:r w:rsidR="009A1106" w:rsidRPr="00631F8A">
        <w:rPr>
          <w:rFonts w:ascii="Times New Roman" w:hAnsi="Times New Roman" w:cs="Times New Roman"/>
          <w:color w:val="000000" w:themeColor="text1"/>
          <w:sz w:val="24"/>
          <w:szCs w:val="24"/>
          <w:lang w:val="fr-FR"/>
        </w:rPr>
        <w:t xml:space="preserve">sur la base du pouvoir d’auto-organisation du Parlement européen – et les résolutions d’initiative législative – en vertu de l’article 225 TFUE – déjà identifiées </w:t>
      </w:r>
      <w:r w:rsidR="009A1106" w:rsidRPr="00631F8A">
        <w:rPr>
          <w:rFonts w:ascii="Times New Roman" w:hAnsi="Times New Roman" w:cs="Times New Roman"/>
          <w:i/>
          <w:color w:val="000000" w:themeColor="text1"/>
          <w:sz w:val="24"/>
          <w:szCs w:val="24"/>
          <w:lang w:val="fr-FR"/>
        </w:rPr>
        <w:t>supra</w:t>
      </w:r>
      <w:r w:rsidR="009A1106" w:rsidRPr="00631F8A">
        <w:rPr>
          <w:rFonts w:ascii="Times New Roman" w:hAnsi="Times New Roman" w:cs="Times New Roman"/>
          <w:color w:val="000000" w:themeColor="text1"/>
          <w:sz w:val="24"/>
          <w:szCs w:val="24"/>
          <w:lang w:val="fr-FR"/>
        </w:rPr>
        <w:t xml:space="preserve"> ainsi que le rôle du Parlement européen à l’égard du programme pluriannuel et annuel de la Commission, l’élection du Président de la Commission et l’influence sur la révision des traités.</w:t>
      </w:r>
      <w:r w:rsidR="009A1106" w:rsidRPr="00631F8A">
        <w:rPr>
          <w:rStyle w:val="Appelnotedebasdep"/>
          <w:rFonts w:ascii="Times New Roman" w:hAnsi="Times New Roman" w:cs="Times New Roman"/>
          <w:color w:val="000000" w:themeColor="text1"/>
          <w:sz w:val="24"/>
          <w:szCs w:val="24"/>
          <w:lang w:val="fr-FR"/>
        </w:rPr>
        <w:footnoteReference w:id="151"/>
      </w:r>
      <w:r w:rsidR="009A1106" w:rsidRPr="00631F8A">
        <w:rPr>
          <w:rFonts w:ascii="Times New Roman" w:hAnsi="Times New Roman" w:cs="Times New Roman"/>
          <w:color w:val="000000" w:themeColor="text1"/>
          <w:sz w:val="24"/>
          <w:szCs w:val="24"/>
          <w:lang w:val="fr-FR"/>
        </w:rPr>
        <w:t xml:space="preserve"> À cela, il est permis de rajouter le budget qui, historiquement, fut un vecteur d’initiative particulièrement fécond.</w:t>
      </w:r>
      <w:r w:rsidR="009A1106" w:rsidRPr="00631F8A">
        <w:rPr>
          <w:rStyle w:val="Appelnotedebasdep"/>
          <w:rFonts w:ascii="Times New Roman" w:hAnsi="Times New Roman" w:cs="Times New Roman"/>
          <w:color w:val="000000" w:themeColor="text1"/>
          <w:sz w:val="24"/>
          <w:szCs w:val="24"/>
          <w:lang w:val="fr-FR"/>
        </w:rPr>
        <w:footnoteReference w:id="152"/>
      </w:r>
      <w:r w:rsidR="009A1106" w:rsidRPr="00631F8A">
        <w:rPr>
          <w:rFonts w:ascii="Times New Roman" w:hAnsi="Times New Roman" w:cs="Times New Roman"/>
          <w:color w:val="000000" w:themeColor="text1"/>
          <w:sz w:val="24"/>
          <w:szCs w:val="24"/>
          <w:lang w:val="fr-FR"/>
        </w:rPr>
        <w:t xml:space="preserve"> Comme le remarque à juste titre le Professeur </w:t>
      </w:r>
      <w:r w:rsidR="009A1106" w:rsidRPr="00631F8A">
        <w:rPr>
          <w:rFonts w:ascii="Times New Roman" w:hAnsi="Times New Roman" w:cs="Times New Roman"/>
          <w:smallCaps/>
          <w:color w:val="000000" w:themeColor="text1"/>
          <w:sz w:val="24"/>
          <w:szCs w:val="24"/>
          <w:lang w:val="fr-FR"/>
        </w:rPr>
        <w:t>Jacque,</w:t>
      </w:r>
      <w:r w:rsidR="009A1106" w:rsidRPr="00631F8A">
        <w:rPr>
          <w:rFonts w:ascii="Times New Roman" w:hAnsi="Times New Roman" w:cs="Times New Roman"/>
          <w:color w:val="000000" w:themeColor="text1"/>
          <w:sz w:val="24"/>
          <w:szCs w:val="24"/>
          <w:lang w:val="fr-FR"/>
        </w:rPr>
        <w:t xml:space="preserve"> le Parlement européen, « en votant des crédits </w:t>
      </w:r>
      <w:r w:rsidR="009A1106" w:rsidRPr="00631F8A">
        <w:rPr>
          <w:rFonts w:ascii="Times New Roman" w:hAnsi="Times New Roman" w:cs="Times New Roman"/>
          <w:color w:val="000000" w:themeColor="text1"/>
          <w:sz w:val="24"/>
          <w:szCs w:val="24"/>
          <w:lang w:val="fr-FR"/>
        </w:rPr>
        <w:lastRenderedPageBreak/>
        <w:t>dans le cadre des dépenses non-obligatoires (…) espérait pouvoir ainsi initier la mise en oeuvre de politiques nouvelles ».</w:t>
      </w:r>
      <w:r w:rsidR="009A1106" w:rsidRPr="00631F8A">
        <w:rPr>
          <w:rStyle w:val="Appelnotedebasdep"/>
          <w:rFonts w:ascii="Times New Roman" w:hAnsi="Times New Roman" w:cs="Times New Roman"/>
          <w:color w:val="000000" w:themeColor="text1"/>
          <w:sz w:val="24"/>
          <w:szCs w:val="24"/>
          <w:lang w:val="fr-FR"/>
        </w:rPr>
        <w:footnoteReference w:id="153"/>
      </w:r>
      <w:r w:rsidR="009A1106" w:rsidRPr="00631F8A">
        <w:rPr>
          <w:rFonts w:ascii="Times New Roman" w:hAnsi="Times New Roman" w:cs="Times New Roman"/>
          <w:color w:val="000000" w:themeColor="text1"/>
          <w:sz w:val="24"/>
          <w:szCs w:val="24"/>
          <w:lang w:val="fr-FR"/>
        </w:rPr>
        <w:t xml:space="preserve"> Notons que dans ce contexte, la Cour de justice a considéré que l’adoption préalable d’un acte de base législatif était requise pour l’exécution de dépenses communautaires relatives à toute action communautaire significative.</w:t>
      </w:r>
      <w:r w:rsidR="009A1106" w:rsidRPr="00631F8A">
        <w:rPr>
          <w:rStyle w:val="Appelnotedebasdep"/>
          <w:rFonts w:ascii="Times New Roman" w:hAnsi="Times New Roman" w:cs="Times New Roman"/>
          <w:color w:val="000000" w:themeColor="text1"/>
          <w:sz w:val="24"/>
          <w:szCs w:val="24"/>
          <w:lang w:val="fr-FR"/>
        </w:rPr>
        <w:footnoteReference w:id="154"/>
      </w:r>
      <w:r w:rsidR="009A1106"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Il semble primordial de revenir brièvement sur quelques aspects des canaux identifiés </w:t>
      </w:r>
      <w:r w:rsidRPr="00631F8A">
        <w:rPr>
          <w:rFonts w:ascii="Times New Roman" w:hAnsi="Times New Roman" w:cs="Times New Roman"/>
          <w:i/>
          <w:color w:val="000000" w:themeColor="text1"/>
          <w:sz w:val="24"/>
          <w:szCs w:val="24"/>
          <w:lang w:val="fr-FR"/>
        </w:rPr>
        <w:t>supra</w:t>
      </w:r>
      <w:r w:rsidRPr="00631F8A">
        <w:rPr>
          <w:rFonts w:ascii="Times New Roman" w:hAnsi="Times New Roman" w:cs="Times New Roman"/>
          <w:color w:val="000000" w:themeColor="text1"/>
          <w:sz w:val="24"/>
          <w:szCs w:val="24"/>
          <w:lang w:val="fr-FR"/>
        </w:rPr>
        <w:t>, qui mettent en évidence que le Parlement européen peut – dans une bonne mesure – façonner l’agenda législatif des politiques européennes. Tout d’abord, les résolutions d’initiative, qui sont adoptées à la majorité simple en plénière au Parlement européen,</w:t>
      </w:r>
      <w:r w:rsidRPr="00631F8A">
        <w:rPr>
          <w:rStyle w:val="Appelnotedebasdep"/>
          <w:rFonts w:ascii="Times New Roman" w:hAnsi="Times New Roman" w:cs="Times New Roman"/>
          <w:color w:val="000000" w:themeColor="text1"/>
          <w:sz w:val="24"/>
          <w:szCs w:val="24"/>
          <w:lang w:val="fr-FR"/>
        </w:rPr>
        <w:footnoteReference w:id="155"/>
      </w:r>
      <w:r w:rsidRPr="00631F8A">
        <w:rPr>
          <w:rFonts w:ascii="Times New Roman" w:hAnsi="Times New Roman" w:cs="Times New Roman"/>
          <w:color w:val="000000" w:themeColor="text1"/>
          <w:sz w:val="24"/>
          <w:szCs w:val="24"/>
          <w:lang w:val="fr-FR"/>
        </w:rPr>
        <w:t xml:space="preserve"> présentent des résultats remarquables. À la suite de l’examen de 217 </w:t>
      </w:r>
      <w:r w:rsidRPr="000E7C3E">
        <w:rPr>
          <w:rFonts w:ascii="Times New Roman" w:hAnsi="Times New Roman" w:cs="Times New Roman"/>
          <w:color w:val="000000" w:themeColor="text1"/>
          <w:sz w:val="24"/>
          <w:szCs w:val="24"/>
          <w:lang w:val="fr-FR"/>
        </w:rPr>
        <w:t>de ces résolutions</w:t>
      </w:r>
      <w:r>
        <w:rPr>
          <w:rFonts w:ascii="Times New Roman" w:hAnsi="Times New Roman" w:cs="Times New Roman"/>
          <w:color w:val="000000" w:themeColor="text1"/>
          <w:sz w:val="24"/>
          <w:szCs w:val="24"/>
          <w:lang w:val="fr-FR"/>
        </w:rPr>
        <w:t xml:space="preserve">, A. </w:t>
      </w:r>
      <w:r w:rsidRPr="00631F8A">
        <w:rPr>
          <w:rFonts w:ascii="Times New Roman" w:hAnsi="Times New Roman" w:cs="Times New Roman"/>
          <w:color w:val="000000" w:themeColor="text1"/>
          <w:sz w:val="24"/>
          <w:szCs w:val="24"/>
          <w:lang w:val="fr-FR"/>
        </w:rPr>
        <w:t>M</w:t>
      </w:r>
      <w:r w:rsidRPr="00631F8A">
        <w:rPr>
          <w:rFonts w:ascii="Times New Roman" w:hAnsi="Times New Roman" w:cs="Times New Roman"/>
          <w:smallCaps/>
          <w:color w:val="000000" w:themeColor="text1"/>
          <w:sz w:val="24"/>
          <w:szCs w:val="24"/>
          <w:lang w:val="fr-FR"/>
        </w:rPr>
        <w:t>aurer</w:t>
      </w:r>
      <w:r w:rsidRPr="00631F8A">
        <w:rPr>
          <w:rFonts w:ascii="Times New Roman" w:hAnsi="Times New Roman" w:cs="Times New Roman"/>
          <w:color w:val="000000" w:themeColor="text1"/>
          <w:sz w:val="24"/>
          <w:szCs w:val="24"/>
          <w:lang w:val="fr-FR"/>
        </w:rPr>
        <w:t xml:space="preserve"> et</w:t>
      </w:r>
      <w:r>
        <w:rPr>
          <w:rFonts w:ascii="Times New Roman" w:hAnsi="Times New Roman" w:cs="Times New Roman"/>
          <w:color w:val="000000" w:themeColor="text1"/>
          <w:sz w:val="24"/>
          <w:szCs w:val="24"/>
          <w:lang w:val="fr-FR"/>
        </w:rPr>
        <w:t xml:space="preserve"> M.</w:t>
      </w:r>
      <w:r w:rsidRPr="00631F8A">
        <w:rPr>
          <w:rFonts w:ascii="Times New Roman" w:hAnsi="Times New Roman" w:cs="Times New Roman"/>
          <w:color w:val="000000" w:themeColor="text1"/>
          <w:sz w:val="24"/>
          <w:szCs w:val="24"/>
          <w:lang w:val="fr-FR"/>
        </w:rPr>
        <w:t xml:space="preserve"> W</w:t>
      </w:r>
      <w:r w:rsidRPr="00631F8A">
        <w:rPr>
          <w:rFonts w:ascii="Times New Roman" w:hAnsi="Times New Roman" w:cs="Times New Roman"/>
          <w:smallCaps/>
          <w:color w:val="000000" w:themeColor="text1"/>
          <w:sz w:val="24"/>
          <w:szCs w:val="24"/>
          <w:lang w:val="fr-FR"/>
        </w:rPr>
        <w:t>olf</w:t>
      </w:r>
      <w:r w:rsidRPr="00631F8A">
        <w:rPr>
          <w:rFonts w:ascii="Times New Roman" w:hAnsi="Times New Roman" w:cs="Times New Roman"/>
          <w:color w:val="000000" w:themeColor="text1"/>
          <w:sz w:val="24"/>
          <w:szCs w:val="24"/>
          <w:lang w:val="fr-FR"/>
        </w:rPr>
        <w:t xml:space="preserve"> observent que la Commission a dans 37,3% de ces cas pleinement mis en œuvre les demandes du Parlement européen, dans 39,6% partiellement suivi ces demandes et seulement dans 23% refusé d’y donner suite.</w:t>
      </w:r>
      <w:r w:rsidRPr="00631F8A">
        <w:rPr>
          <w:rStyle w:val="Appelnotedebasdep"/>
          <w:rFonts w:ascii="Times New Roman" w:hAnsi="Times New Roman" w:cs="Times New Roman"/>
          <w:color w:val="000000" w:themeColor="text1"/>
          <w:sz w:val="24"/>
          <w:szCs w:val="24"/>
          <w:lang w:val="fr-FR"/>
        </w:rPr>
        <w:footnoteReference w:id="156"/>
      </w:r>
      <w:r w:rsidRPr="00631F8A">
        <w:rPr>
          <w:rFonts w:ascii="Times New Roman" w:hAnsi="Times New Roman" w:cs="Times New Roman"/>
          <w:color w:val="000000" w:themeColor="text1"/>
          <w:sz w:val="24"/>
          <w:szCs w:val="24"/>
          <w:lang w:val="fr-FR"/>
        </w:rPr>
        <w:t xml:space="preserve"> Ensuite, le programme annuel de travail de la Commission est un instrument fructueux pour le Parlement européen en vue d’influencer l’agenda législatif des politiques européennes.</w:t>
      </w:r>
      <w:r>
        <w:rPr>
          <w:rStyle w:val="Appelnotedebasdep"/>
          <w:rFonts w:ascii="Times New Roman" w:hAnsi="Times New Roman" w:cs="Times New Roman"/>
          <w:color w:val="000000" w:themeColor="text1"/>
          <w:sz w:val="24"/>
          <w:szCs w:val="24"/>
          <w:lang w:val="fr-FR"/>
        </w:rPr>
        <w:footnoteReference w:id="157"/>
      </w:r>
      <w:r w:rsidRPr="00631F8A">
        <w:rPr>
          <w:rFonts w:ascii="Times New Roman" w:hAnsi="Times New Roman" w:cs="Times New Roman"/>
          <w:color w:val="000000" w:themeColor="text1"/>
          <w:sz w:val="24"/>
          <w:szCs w:val="24"/>
          <w:lang w:val="fr-FR"/>
        </w:rPr>
        <w:t xml:space="preserve"> En vertu de l’article 17, paragraphe 1 TUE, la Commission « prend les initiatives de la programmation annuelle et pluriannuelle de l’Union pour parvenir à des accords interinstitutionnels. » </w:t>
      </w:r>
      <w:r>
        <w:rPr>
          <w:rFonts w:ascii="Times New Roman" w:hAnsi="Times New Roman" w:cs="Times New Roman"/>
          <w:color w:val="000000" w:themeColor="text1"/>
          <w:sz w:val="24"/>
          <w:szCs w:val="24"/>
          <w:lang w:val="fr-FR"/>
        </w:rPr>
        <w:t>Le Parlement européen</w:t>
      </w:r>
      <w:r w:rsidRPr="00631F8A">
        <w:rPr>
          <w:rFonts w:ascii="Times New Roman" w:hAnsi="Times New Roman" w:cs="Times New Roman"/>
          <w:color w:val="000000" w:themeColor="text1"/>
          <w:sz w:val="24"/>
          <w:szCs w:val="24"/>
          <w:lang w:val="fr-FR"/>
        </w:rPr>
        <w:t xml:space="preserve"> a interprété </w:t>
      </w:r>
      <w:r>
        <w:rPr>
          <w:rFonts w:ascii="Times New Roman" w:hAnsi="Times New Roman" w:cs="Times New Roman"/>
          <w:color w:val="000000" w:themeColor="text1"/>
          <w:sz w:val="24"/>
          <w:szCs w:val="24"/>
          <w:lang w:val="fr-FR"/>
        </w:rPr>
        <w:t xml:space="preserve">cette phrase </w:t>
      </w:r>
      <w:r w:rsidRPr="00631F8A">
        <w:rPr>
          <w:rFonts w:ascii="Times New Roman" w:hAnsi="Times New Roman" w:cs="Times New Roman"/>
          <w:color w:val="000000" w:themeColor="text1"/>
          <w:sz w:val="24"/>
          <w:szCs w:val="24"/>
          <w:lang w:val="fr-FR"/>
        </w:rPr>
        <w:t xml:space="preserve">pour affirmer que la Commission devait se montrer réceptive à </w:t>
      </w:r>
      <w:r>
        <w:rPr>
          <w:rFonts w:ascii="Times New Roman" w:hAnsi="Times New Roman" w:cs="Times New Roman"/>
          <w:color w:val="000000" w:themeColor="text1"/>
          <w:sz w:val="24"/>
          <w:szCs w:val="24"/>
          <w:lang w:val="fr-FR"/>
        </w:rPr>
        <w:t>son avis</w:t>
      </w:r>
      <w:r w:rsidRPr="00631F8A">
        <w:rPr>
          <w:rFonts w:ascii="Times New Roman" w:hAnsi="Times New Roman" w:cs="Times New Roman"/>
          <w:color w:val="000000" w:themeColor="text1"/>
          <w:sz w:val="24"/>
          <w:szCs w:val="24"/>
          <w:lang w:val="fr-FR"/>
        </w:rPr>
        <w:t xml:space="preserve"> dans l’élaboration de son programme annuel de travail.</w:t>
      </w:r>
      <w:r w:rsidRPr="00631F8A">
        <w:rPr>
          <w:rStyle w:val="Appelnotedebasdep"/>
          <w:rFonts w:ascii="Times New Roman" w:hAnsi="Times New Roman" w:cs="Times New Roman"/>
          <w:color w:val="000000" w:themeColor="text1"/>
          <w:sz w:val="24"/>
          <w:szCs w:val="24"/>
          <w:lang w:val="fr-FR"/>
        </w:rPr>
        <w:footnoteReference w:id="158"/>
      </w:r>
      <w:r w:rsidRPr="00631F8A">
        <w:rPr>
          <w:rFonts w:ascii="Times New Roman" w:hAnsi="Times New Roman" w:cs="Times New Roman"/>
          <w:color w:val="000000" w:themeColor="text1"/>
          <w:sz w:val="24"/>
          <w:szCs w:val="24"/>
          <w:lang w:val="fr-FR"/>
        </w:rPr>
        <w:t xml:space="preserve"> Singulièrement, l’accord-cadre du 20 octobre 2010 dispose que la Commission, dans l’élaboration de son programme annuel de travail, « prend en compte les priorités formulées par le Parlement ».</w:t>
      </w:r>
      <w:r w:rsidRPr="00631F8A">
        <w:rPr>
          <w:rStyle w:val="Appelnotedebasdep"/>
          <w:rFonts w:ascii="Times New Roman" w:hAnsi="Times New Roman" w:cs="Times New Roman"/>
          <w:color w:val="000000" w:themeColor="text1"/>
          <w:sz w:val="24"/>
          <w:szCs w:val="24"/>
          <w:lang w:val="fr-FR"/>
        </w:rPr>
        <w:footnoteReference w:id="159"/>
      </w:r>
      <w:r w:rsidRPr="00631F8A">
        <w:rPr>
          <w:rFonts w:ascii="Times New Roman" w:hAnsi="Times New Roman" w:cs="Times New Roman"/>
          <w:color w:val="000000" w:themeColor="text1"/>
          <w:sz w:val="24"/>
          <w:szCs w:val="24"/>
          <w:lang w:val="fr-FR"/>
        </w:rPr>
        <w:t xml:space="preserve"> Enfin, les règles de l’élection du </w:t>
      </w:r>
      <w:r>
        <w:rPr>
          <w:rFonts w:ascii="Times New Roman" w:hAnsi="Times New Roman" w:cs="Times New Roman"/>
          <w:color w:val="000000" w:themeColor="text1"/>
          <w:sz w:val="24"/>
          <w:szCs w:val="24"/>
          <w:lang w:val="fr-FR"/>
        </w:rPr>
        <w:t>P</w:t>
      </w:r>
      <w:r w:rsidRPr="00631F8A">
        <w:rPr>
          <w:rFonts w:ascii="Times New Roman" w:hAnsi="Times New Roman" w:cs="Times New Roman"/>
          <w:color w:val="000000" w:themeColor="text1"/>
          <w:sz w:val="24"/>
          <w:szCs w:val="24"/>
          <w:lang w:val="fr-FR"/>
        </w:rPr>
        <w:t xml:space="preserve">résident de la Commission </w:t>
      </w:r>
      <w:r>
        <w:rPr>
          <w:rFonts w:ascii="Times New Roman" w:hAnsi="Times New Roman" w:cs="Times New Roman"/>
          <w:color w:val="000000" w:themeColor="text1"/>
          <w:sz w:val="24"/>
          <w:szCs w:val="24"/>
          <w:lang w:val="fr-FR"/>
        </w:rPr>
        <w:t xml:space="preserve">permettent aussi indirectement au Parlement européen d’avoir une influence </w:t>
      </w:r>
      <w:r w:rsidRPr="00631F8A">
        <w:rPr>
          <w:rFonts w:ascii="Times New Roman" w:hAnsi="Times New Roman" w:cs="Times New Roman"/>
          <w:color w:val="000000" w:themeColor="text1"/>
          <w:sz w:val="24"/>
          <w:szCs w:val="24"/>
          <w:lang w:val="fr-FR"/>
        </w:rPr>
        <w:t>sur les initiatives législatives.</w:t>
      </w:r>
      <w:r w:rsidRPr="00631F8A">
        <w:rPr>
          <w:rStyle w:val="Appelnotedebasdep"/>
          <w:rFonts w:ascii="Times New Roman" w:hAnsi="Times New Roman" w:cs="Times New Roman"/>
          <w:color w:val="000000" w:themeColor="text1"/>
          <w:sz w:val="24"/>
          <w:szCs w:val="24"/>
          <w:lang w:val="fr-FR"/>
        </w:rPr>
        <w:footnoteReference w:id="160"/>
      </w:r>
      <w:r w:rsidRPr="00631F8A">
        <w:rPr>
          <w:rFonts w:ascii="Times New Roman" w:hAnsi="Times New Roman" w:cs="Times New Roman"/>
          <w:color w:val="000000" w:themeColor="text1"/>
          <w:sz w:val="24"/>
          <w:szCs w:val="24"/>
          <w:lang w:val="fr-FR"/>
        </w:rPr>
        <w:t xml:space="preserve"> Les candidats à la présidence de la Commission devant obtenir le soutien de la majorité au sein du Parlement européen, le programme législatif pour les années</w:t>
      </w:r>
      <w:r>
        <w:rPr>
          <w:rFonts w:ascii="Times New Roman" w:hAnsi="Times New Roman" w:cs="Times New Roman"/>
          <w:color w:val="000000" w:themeColor="text1"/>
          <w:sz w:val="24"/>
          <w:szCs w:val="24"/>
          <w:lang w:val="fr-FR"/>
        </w:rPr>
        <w:t xml:space="preserve"> à venir</w:t>
      </w:r>
      <w:r w:rsidRPr="00631F8A">
        <w:rPr>
          <w:rFonts w:ascii="Times New Roman" w:hAnsi="Times New Roman" w:cs="Times New Roman"/>
          <w:color w:val="000000" w:themeColor="text1"/>
          <w:sz w:val="24"/>
          <w:szCs w:val="24"/>
          <w:lang w:val="fr-FR"/>
        </w:rPr>
        <w:t xml:space="preserve"> peut être un facteur déterminant en vue de recueillir cette majorité.</w:t>
      </w:r>
      <w:r w:rsidRPr="00631F8A">
        <w:rPr>
          <w:rStyle w:val="Appelnotedebasdep"/>
          <w:rFonts w:ascii="Times New Roman" w:hAnsi="Times New Roman" w:cs="Times New Roman"/>
          <w:color w:val="000000" w:themeColor="text1"/>
          <w:sz w:val="24"/>
          <w:szCs w:val="24"/>
          <w:lang w:val="fr-FR"/>
        </w:rPr>
        <w:footnoteReference w:id="161"/>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lastRenderedPageBreak/>
        <w:tab/>
      </w:r>
      <w:r>
        <w:rPr>
          <w:rFonts w:ascii="Times New Roman" w:hAnsi="Times New Roman" w:cs="Times New Roman"/>
          <w:color w:val="000000" w:themeColor="text1"/>
          <w:sz w:val="24"/>
          <w:szCs w:val="24"/>
          <w:lang w:val="fr-FR"/>
        </w:rPr>
        <w:t>En ce qui concerne</w:t>
      </w:r>
      <w:r w:rsidRPr="00631F8A">
        <w:rPr>
          <w:rFonts w:ascii="Times New Roman" w:hAnsi="Times New Roman" w:cs="Times New Roman"/>
          <w:color w:val="000000" w:themeColor="text1"/>
          <w:sz w:val="24"/>
          <w:szCs w:val="24"/>
          <w:lang w:val="fr-FR"/>
        </w:rPr>
        <w:t xml:space="preserve"> l’argument selon lequel un pouvoir d’initiative législative direct doit être con</w:t>
      </w:r>
      <w:r>
        <w:rPr>
          <w:rFonts w:ascii="Times New Roman" w:hAnsi="Times New Roman" w:cs="Times New Roman"/>
          <w:color w:val="000000" w:themeColor="text1"/>
          <w:sz w:val="24"/>
          <w:szCs w:val="24"/>
          <w:lang w:val="fr-FR"/>
        </w:rPr>
        <w:t>féré</w:t>
      </w:r>
      <w:r w:rsidRPr="00631F8A">
        <w:rPr>
          <w:rFonts w:ascii="Times New Roman" w:hAnsi="Times New Roman" w:cs="Times New Roman"/>
          <w:color w:val="000000" w:themeColor="text1"/>
          <w:sz w:val="24"/>
          <w:szCs w:val="24"/>
          <w:lang w:val="fr-FR"/>
        </w:rPr>
        <w:t xml:space="preserve"> dans la mesure où les parlements nationaux </w:t>
      </w:r>
      <w:r>
        <w:rPr>
          <w:rFonts w:ascii="Times New Roman" w:hAnsi="Times New Roman" w:cs="Times New Roman"/>
          <w:color w:val="000000" w:themeColor="text1"/>
          <w:sz w:val="24"/>
          <w:szCs w:val="24"/>
          <w:lang w:val="fr-FR"/>
        </w:rPr>
        <w:t>disposent</w:t>
      </w:r>
      <w:r w:rsidRPr="00631F8A">
        <w:rPr>
          <w:rFonts w:ascii="Times New Roman" w:hAnsi="Times New Roman" w:cs="Times New Roman"/>
          <w:color w:val="000000" w:themeColor="text1"/>
          <w:sz w:val="24"/>
          <w:szCs w:val="24"/>
          <w:lang w:val="fr-FR"/>
        </w:rPr>
        <w:t xml:space="preserve"> d’un tel pouvoir, deux réserves majeures</w:t>
      </w:r>
      <w:r>
        <w:rPr>
          <w:rFonts w:ascii="Times New Roman" w:hAnsi="Times New Roman" w:cs="Times New Roman"/>
          <w:color w:val="000000" w:themeColor="text1"/>
          <w:sz w:val="24"/>
          <w:szCs w:val="24"/>
          <w:lang w:val="fr-FR"/>
        </w:rPr>
        <w:t xml:space="preserve"> doivent être formulées</w:t>
      </w:r>
      <w:r w:rsidRPr="00631F8A">
        <w:rPr>
          <w:rFonts w:ascii="Times New Roman" w:hAnsi="Times New Roman" w:cs="Times New Roman"/>
          <w:color w:val="000000" w:themeColor="text1"/>
          <w:sz w:val="24"/>
          <w:szCs w:val="24"/>
          <w:lang w:val="fr-FR"/>
        </w:rPr>
        <w:t>. D’une part, avec le Professeur M</w:t>
      </w:r>
      <w:r w:rsidRPr="00631F8A">
        <w:rPr>
          <w:rFonts w:ascii="Times New Roman" w:hAnsi="Times New Roman" w:cs="Times New Roman"/>
          <w:smallCaps/>
          <w:color w:val="000000" w:themeColor="text1"/>
          <w:sz w:val="24"/>
          <w:szCs w:val="24"/>
          <w:lang w:val="fr-FR"/>
        </w:rPr>
        <w:t>agnette</w:t>
      </w:r>
      <w:r w:rsidRPr="00631F8A">
        <w:rPr>
          <w:rFonts w:ascii="Times New Roman" w:hAnsi="Times New Roman" w:cs="Times New Roman"/>
          <w:color w:val="000000" w:themeColor="text1"/>
          <w:sz w:val="24"/>
          <w:szCs w:val="24"/>
          <w:lang w:val="fr-FR"/>
        </w:rPr>
        <w:t>, rappelons que « la tentation est grande, en analysant l’Union de projeter sur elle les schémas constitutionnels qui nous sont familiers ».</w:t>
      </w:r>
      <w:r w:rsidRPr="00631F8A">
        <w:rPr>
          <w:rStyle w:val="Appelnotedebasdep"/>
          <w:rFonts w:ascii="Times New Roman" w:hAnsi="Times New Roman" w:cs="Times New Roman"/>
          <w:color w:val="000000" w:themeColor="text1"/>
          <w:sz w:val="24"/>
          <w:szCs w:val="24"/>
          <w:lang w:val="fr-FR"/>
        </w:rPr>
        <w:footnoteReference w:id="162"/>
      </w:r>
      <w:r w:rsidRPr="00631F8A">
        <w:rPr>
          <w:rFonts w:ascii="Times New Roman" w:hAnsi="Times New Roman" w:cs="Times New Roman"/>
          <w:color w:val="000000" w:themeColor="text1"/>
          <w:sz w:val="24"/>
          <w:szCs w:val="24"/>
          <w:lang w:val="fr-FR"/>
        </w:rPr>
        <w:t xml:space="preserve"> En effet, bien qu</w:t>
      </w:r>
      <w:r>
        <w:rPr>
          <w:rFonts w:ascii="Times New Roman" w:hAnsi="Times New Roman" w:cs="Times New Roman"/>
          <w:color w:val="000000" w:themeColor="text1"/>
          <w:sz w:val="24"/>
          <w:szCs w:val="24"/>
          <w:lang w:val="fr-FR"/>
        </w:rPr>
        <w:t>’elle</w:t>
      </w:r>
      <w:r w:rsidRPr="00631F8A">
        <w:rPr>
          <w:rFonts w:ascii="Times New Roman" w:hAnsi="Times New Roman" w:cs="Times New Roman"/>
          <w:color w:val="000000" w:themeColor="text1"/>
          <w:sz w:val="24"/>
          <w:szCs w:val="24"/>
          <w:lang w:val="fr-FR"/>
        </w:rPr>
        <w:t xml:space="preserve"> présent</w:t>
      </w:r>
      <w:r>
        <w:rPr>
          <w:rFonts w:ascii="Times New Roman" w:hAnsi="Times New Roman" w:cs="Times New Roman"/>
          <w:color w:val="000000" w:themeColor="text1"/>
          <w:sz w:val="24"/>
          <w:szCs w:val="24"/>
          <w:lang w:val="fr-FR"/>
        </w:rPr>
        <w:t>e</w:t>
      </w:r>
      <w:r w:rsidRPr="00631F8A">
        <w:rPr>
          <w:rFonts w:ascii="Times New Roman" w:hAnsi="Times New Roman" w:cs="Times New Roman"/>
          <w:color w:val="000000" w:themeColor="text1"/>
          <w:sz w:val="24"/>
          <w:szCs w:val="24"/>
          <w:lang w:val="fr-FR"/>
        </w:rPr>
        <w:t xml:space="preserve"> </w:t>
      </w:r>
      <w:r>
        <w:rPr>
          <w:rFonts w:ascii="Times New Roman" w:hAnsi="Times New Roman" w:cs="Times New Roman"/>
          <w:color w:val="000000" w:themeColor="text1"/>
          <w:sz w:val="24"/>
          <w:szCs w:val="24"/>
          <w:lang w:val="fr-FR"/>
        </w:rPr>
        <w:t>certaines similitudes</w:t>
      </w:r>
      <w:r w:rsidRPr="00631F8A">
        <w:rPr>
          <w:rFonts w:ascii="Times New Roman" w:hAnsi="Times New Roman" w:cs="Times New Roman"/>
          <w:color w:val="000000" w:themeColor="text1"/>
          <w:sz w:val="24"/>
          <w:szCs w:val="24"/>
          <w:lang w:val="fr-FR"/>
        </w:rPr>
        <w:t xml:space="preserve"> avec les systèmes étatiques, l’Union se caractérise par son « irréductible spécificité ».</w:t>
      </w:r>
      <w:r w:rsidRPr="00631F8A">
        <w:rPr>
          <w:rStyle w:val="Appelnotedebasdep"/>
          <w:rFonts w:ascii="Times New Roman" w:hAnsi="Times New Roman" w:cs="Times New Roman"/>
          <w:color w:val="000000" w:themeColor="text1"/>
          <w:sz w:val="24"/>
          <w:szCs w:val="24"/>
          <w:lang w:val="fr-FR"/>
        </w:rPr>
        <w:footnoteReference w:id="163"/>
      </w:r>
      <w:r w:rsidRPr="00631F8A">
        <w:rPr>
          <w:rFonts w:ascii="Times New Roman" w:hAnsi="Times New Roman" w:cs="Times New Roman"/>
          <w:color w:val="000000" w:themeColor="text1"/>
          <w:sz w:val="24"/>
          <w:szCs w:val="24"/>
          <w:lang w:val="fr-FR"/>
        </w:rPr>
        <w:t xml:space="preserve"> La Cour de justice a affirmé en ce sens, dans son avis 2/13 du 18 décembre 2014, que l’Union est un « ordre juridique d’un genre nouveau, ayant une nature qui lui est spécifique, un cadre constitutionnel et des principes fondateurs qui lui sont propres (…) ».</w:t>
      </w:r>
      <w:r w:rsidRPr="00631F8A">
        <w:rPr>
          <w:rStyle w:val="Appelnotedebasdep"/>
          <w:rFonts w:ascii="Times New Roman" w:hAnsi="Times New Roman" w:cs="Times New Roman"/>
          <w:color w:val="000000" w:themeColor="text1"/>
          <w:sz w:val="24"/>
          <w:szCs w:val="24"/>
          <w:lang w:val="fr-FR"/>
        </w:rPr>
        <w:footnoteReference w:id="164"/>
      </w:r>
      <w:r w:rsidRPr="00631F8A">
        <w:rPr>
          <w:rFonts w:ascii="Times New Roman" w:hAnsi="Times New Roman" w:cs="Times New Roman"/>
          <w:color w:val="000000" w:themeColor="text1"/>
          <w:sz w:val="24"/>
          <w:szCs w:val="24"/>
          <w:lang w:val="fr-FR"/>
        </w:rPr>
        <w:t xml:space="preserve"> Ce faisant, l’analogie entre le modèle étatique et la structure de l’Union, et singulièrement entre le rôle du Parlement européen et de ses homologues nationaux, est quelque peu réductrice. En particulier, le principe de la séparation des pouvoirs – qui caractérise sur le plan formel le modèle étatique – ne trouve pas à s’appliquer dans le contexte de l’Union européenne.</w:t>
      </w:r>
      <w:r w:rsidRPr="00631F8A">
        <w:rPr>
          <w:rStyle w:val="Appelnotedebasdep"/>
          <w:rFonts w:ascii="Times New Roman" w:hAnsi="Times New Roman" w:cs="Times New Roman"/>
          <w:color w:val="000000" w:themeColor="text1"/>
          <w:sz w:val="24"/>
          <w:szCs w:val="24"/>
          <w:lang w:val="fr-FR"/>
        </w:rPr>
        <w:footnoteReference w:id="165"/>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D’autre part, les critiques portées à l’égard de la démocratie dans le système de l’Union européenne sont généralement fondées sur la comparaison avec un type idéal </w:t>
      </w:r>
      <w:r>
        <w:rPr>
          <w:rFonts w:ascii="Times New Roman" w:hAnsi="Times New Roman" w:cs="Times New Roman"/>
          <w:color w:val="000000" w:themeColor="text1"/>
          <w:sz w:val="24"/>
          <w:szCs w:val="24"/>
          <w:lang w:val="fr-FR"/>
        </w:rPr>
        <w:t xml:space="preserve">de </w:t>
      </w:r>
      <w:r w:rsidRPr="00631F8A">
        <w:rPr>
          <w:rFonts w:ascii="Times New Roman" w:hAnsi="Times New Roman" w:cs="Times New Roman"/>
          <w:color w:val="000000" w:themeColor="text1"/>
          <w:sz w:val="24"/>
          <w:szCs w:val="24"/>
          <w:lang w:val="fr-FR"/>
        </w:rPr>
        <w:t>parlementarisme, qui ne correspond pas au fonctionnement réel des démocraties nationales.</w:t>
      </w:r>
      <w:r w:rsidRPr="00631F8A">
        <w:rPr>
          <w:rStyle w:val="Appelnotedebasdep"/>
          <w:rFonts w:ascii="Times New Roman" w:hAnsi="Times New Roman" w:cs="Times New Roman"/>
          <w:color w:val="000000" w:themeColor="text1"/>
          <w:sz w:val="24"/>
          <w:szCs w:val="24"/>
          <w:lang w:val="fr-FR"/>
        </w:rPr>
        <w:footnoteReference w:id="166"/>
      </w:r>
      <w:r w:rsidRPr="00631F8A">
        <w:rPr>
          <w:rFonts w:ascii="Times New Roman" w:hAnsi="Times New Roman" w:cs="Times New Roman"/>
          <w:color w:val="000000" w:themeColor="text1"/>
          <w:sz w:val="24"/>
          <w:szCs w:val="24"/>
          <w:lang w:val="fr-FR"/>
        </w:rPr>
        <w:t xml:space="preserve"> Le modèle européen se voit ainsi souvent enfermé dans le carcan d’une « exigence de la perfection européenne ».</w:t>
      </w:r>
      <w:r w:rsidRPr="00631F8A">
        <w:rPr>
          <w:rStyle w:val="Appelnotedebasdep"/>
          <w:rFonts w:ascii="Times New Roman" w:hAnsi="Times New Roman" w:cs="Times New Roman"/>
          <w:color w:val="000000" w:themeColor="text1"/>
          <w:sz w:val="24"/>
          <w:szCs w:val="24"/>
          <w:lang w:val="fr-FR"/>
        </w:rPr>
        <w:footnoteReference w:id="167"/>
      </w:r>
      <w:r w:rsidRPr="00631F8A">
        <w:rPr>
          <w:rFonts w:ascii="Times New Roman" w:hAnsi="Times New Roman" w:cs="Times New Roman"/>
          <w:color w:val="000000" w:themeColor="text1"/>
          <w:sz w:val="24"/>
          <w:szCs w:val="24"/>
          <w:lang w:val="fr-FR"/>
        </w:rPr>
        <w:t xml:space="preserve"> </w:t>
      </w:r>
      <w:r>
        <w:rPr>
          <w:rFonts w:ascii="Times New Roman" w:hAnsi="Times New Roman" w:cs="Times New Roman"/>
          <w:color w:val="000000" w:themeColor="text1"/>
          <w:sz w:val="24"/>
          <w:szCs w:val="24"/>
          <w:lang w:val="fr-FR"/>
        </w:rPr>
        <w:t>D</w:t>
      </w:r>
      <w:r w:rsidRPr="00631F8A">
        <w:rPr>
          <w:rFonts w:ascii="Times New Roman" w:hAnsi="Times New Roman" w:cs="Times New Roman"/>
          <w:color w:val="000000" w:themeColor="text1"/>
          <w:sz w:val="24"/>
          <w:szCs w:val="24"/>
          <w:lang w:val="fr-FR"/>
        </w:rPr>
        <w:t>ans notre contexte, bien que le pouvoir d’initiative législative soit un attribut historique des assemblées représentatives,</w:t>
      </w:r>
      <w:r w:rsidRPr="00631F8A">
        <w:rPr>
          <w:rStyle w:val="Appelnotedebasdep"/>
          <w:rFonts w:ascii="Times New Roman" w:hAnsi="Times New Roman" w:cs="Times New Roman"/>
          <w:color w:val="000000" w:themeColor="text1"/>
          <w:sz w:val="24"/>
          <w:szCs w:val="24"/>
          <w:lang w:val="fr-FR"/>
        </w:rPr>
        <w:footnoteReference w:id="168"/>
      </w:r>
      <w:r w:rsidRPr="00631F8A">
        <w:rPr>
          <w:rFonts w:ascii="Times New Roman" w:hAnsi="Times New Roman" w:cs="Times New Roman"/>
          <w:color w:val="000000" w:themeColor="text1"/>
          <w:sz w:val="24"/>
          <w:szCs w:val="24"/>
          <w:lang w:val="fr-FR"/>
        </w:rPr>
        <w:t xml:space="preserve"> sa portée est toute relative dans les systèmes institutionnels des États membres.</w:t>
      </w:r>
      <w:r w:rsidRPr="00631F8A">
        <w:rPr>
          <w:rStyle w:val="Appelnotedebasdep"/>
          <w:rFonts w:ascii="Times New Roman" w:hAnsi="Times New Roman" w:cs="Times New Roman"/>
          <w:color w:val="000000" w:themeColor="text1"/>
          <w:sz w:val="24"/>
          <w:szCs w:val="24"/>
          <w:lang w:val="fr-FR"/>
        </w:rPr>
        <w:footnoteReference w:id="169"/>
      </w:r>
      <w:r w:rsidRPr="00631F8A">
        <w:rPr>
          <w:rFonts w:ascii="Times New Roman" w:hAnsi="Times New Roman" w:cs="Times New Roman"/>
          <w:color w:val="000000" w:themeColor="text1"/>
          <w:sz w:val="24"/>
          <w:szCs w:val="24"/>
          <w:lang w:val="fr-FR"/>
        </w:rPr>
        <w:t xml:space="preserve"> En effet, aujourd’hui, les assemblées nationales se limitent le plus souvent à amender les textes provenant de leur gouvernement, ne proposant des initiatives législatives que de manière sporadique.</w:t>
      </w:r>
      <w:r w:rsidRPr="00631F8A">
        <w:rPr>
          <w:rStyle w:val="Appelnotedebasdep"/>
          <w:rFonts w:ascii="Times New Roman" w:hAnsi="Times New Roman" w:cs="Times New Roman"/>
          <w:color w:val="000000" w:themeColor="text1"/>
          <w:sz w:val="24"/>
          <w:szCs w:val="24"/>
          <w:lang w:val="fr-FR"/>
        </w:rPr>
        <w:footnoteReference w:id="170"/>
      </w:r>
      <w:r w:rsidRPr="00631F8A">
        <w:rPr>
          <w:rFonts w:ascii="Times New Roman" w:hAnsi="Times New Roman" w:cs="Times New Roman"/>
          <w:color w:val="000000" w:themeColor="text1"/>
          <w:sz w:val="24"/>
          <w:szCs w:val="24"/>
          <w:lang w:val="fr-FR"/>
        </w:rPr>
        <w:t xml:space="preserve"> Qui plus est, au sein des États membres de l’Union européenne, les gouvernements ont bien plus de réussite pour faire adopter leurs propositions législatives.</w:t>
      </w:r>
      <w:r w:rsidRPr="00631F8A">
        <w:rPr>
          <w:rStyle w:val="Appelnotedebasdep"/>
          <w:rFonts w:ascii="Times New Roman" w:hAnsi="Times New Roman" w:cs="Times New Roman"/>
          <w:color w:val="000000" w:themeColor="text1"/>
          <w:sz w:val="24"/>
          <w:szCs w:val="24"/>
          <w:lang w:val="fr-FR"/>
        </w:rPr>
        <w:footnoteReference w:id="171"/>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lastRenderedPageBreak/>
        <w:tab/>
        <w:t>Quant à l’argument selon lequel la « démocratisation véritable » de l’Union ne peut aboutir que lorsqu’un pouvoir d’initiative législative direct sera conféré au Parlement européen – en raison de sa légitimité démocratique –, plusieurs observations méritent d’être formulées. Tout d’abord, soulignons que c’est au travers du prisme du Parlement européen que la question du « déficit démocratique » est communément abordée.</w:t>
      </w:r>
      <w:r w:rsidRPr="00631F8A">
        <w:rPr>
          <w:rStyle w:val="Appelnotedebasdep"/>
          <w:rFonts w:ascii="Times New Roman" w:hAnsi="Times New Roman" w:cs="Times New Roman"/>
          <w:color w:val="000000" w:themeColor="text1"/>
          <w:sz w:val="24"/>
          <w:szCs w:val="24"/>
          <w:lang w:val="fr-FR"/>
        </w:rPr>
        <w:footnoteReference w:id="172"/>
      </w:r>
      <w:r w:rsidRPr="00631F8A">
        <w:rPr>
          <w:rFonts w:ascii="Times New Roman" w:hAnsi="Times New Roman" w:cs="Times New Roman"/>
          <w:color w:val="000000" w:themeColor="text1"/>
          <w:sz w:val="24"/>
          <w:szCs w:val="24"/>
          <w:lang w:val="fr-FR"/>
        </w:rPr>
        <w:t xml:space="preserve"> En effet, la construction européenne conduirait à une érosion démocratique dès lors que les pouvoirs des parlements nationaux seraient appauvris sans pour autant que les pouvoirs du Parlement européen soient étendus en proportion.</w:t>
      </w:r>
      <w:r w:rsidRPr="00631F8A">
        <w:rPr>
          <w:rStyle w:val="Appelnotedebasdep"/>
          <w:rFonts w:ascii="Times New Roman" w:hAnsi="Times New Roman" w:cs="Times New Roman"/>
          <w:color w:val="000000" w:themeColor="text1"/>
          <w:sz w:val="24"/>
          <w:szCs w:val="24"/>
          <w:lang w:val="fr-FR"/>
        </w:rPr>
        <w:footnoteReference w:id="173"/>
      </w:r>
      <w:r w:rsidRPr="00631F8A">
        <w:rPr>
          <w:rFonts w:ascii="Times New Roman" w:hAnsi="Times New Roman" w:cs="Times New Roman"/>
          <w:color w:val="000000" w:themeColor="text1"/>
          <w:sz w:val="24"/>
          <w:szCs w:val="24"/>
          <w:lang w:val="fr-FR"/>
        </w:rPr>
        <w:t xml:space="preserve"> Ainsi, pour combler le « déficit démocratique », il suffirait d’accroître les pouvoirs du Parlement européen et de doter l’Union de quelques traits des régimes parlementaires.</w:t>
      </w:r>
      <w:r w:rsidRPr="00631F8A">
        <w:rPr>
          <w:rStyle w:val="Appelnotedebasdep"/>
          <w:rFonts w:ascii="Times New Roman" w:hAnsi="Times New Roman" w:cs="Times New Roman"/>
          <w:color w:val="000000" w:themeColor="text1"/>
          <w:sz w:val="24"/>
          <w:szCs w:val="24"/>
          <w:lang w:val="fr-FR"/>
        </w:rPr>
        <w:footnoteReference w:id="174"/>
      </w:r>
      <w:r w:rsidRPr="00631F8A">
        <w:rPr>
          <w:rFonts w:ascii="Times New Roman" w:hAnsi="Times New Roman" w:cs="Times New Roman"/>
          <w:color w:val="000000" w:themeColor="text1"/>
          <w:sz w:val="24"/>
          <w:szCs w:val="24"/>
          <w:lang w:val="fr-FR"/>
        </w:rPr>
        <w:t xml:space="preserve"> Force est de constater qu’une telle approche de « mimétisme institutionnel », déjà amplement mise en œuvre au travers de l’accroissement des pouvoirs du Parlement européen, n’a pas réussi à conférer à l’Union européenne une </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crédibilité démocratique</w:t>
      </w:r>
      <w:r>
        <w:rPr>
          <w:rFonts w:ascii="Times New Roman" w:hAnsi="Times New Roman" w:cs="Times New Roman"/>
          <w:color w:val="000000" w:themeColor="text1"/>
          <w:sz w:val="24"/>
          <w:szCs w:val="24"/>
          <w:lang w:val="fr-FR"/>
        </w:rPr>
        <w:t> »</w:t>
      </w:r>
      <w:r w:rsidRPr="00631F8A">
        <w:rPr>
          <w:rFonts w:ascii="Times New Roman" w:hAnsi="Times New Roman" w:cs="Times New Roman"/>
          <w:color w:val="000000" w:themeColor="text1"/>
          <w:sz w:val="24"/>
          <w:szCs w:val="24"/>
          <w:lang w:val="fr-FR"/>
        </w:rPr>
        <w:t>.</w:t>
      </w:r>
      <w:r w:rsidRPr="00631F8A">
        <w:rPr>
          <w:rStyle w:val="Appelnotedebasdep"/>
          <w:rFonts w:ascii="Times New Roman" w:hAnsi="Times New Roman" w:cs="Times New Roman"/>
          <w:color w:val="000000" w:themeColor="text1"/>
          <w:sz w:val="24"/>
          <w:szCs w:val="24"/>
          <w:lang w:val="fr-FR"/>
        </w:rPr>
        <w:footnoteReference w:id="175"/>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 xml:space="preserve">En outre, il </w:t>
      </w:r>
      <w:r>
        <w:rPr>
          <w:rFonts w:ascii="Times New Roman" w:hAnsi="Times New Roman" w:cs="Times New Roman"/>
          <w:color w:val="000000" w:themeColor="text1"/>
          <w:sz w:val="24"/>
          <w:szCs w:val="24"/>
          <w:lang w:val="fr-FR"/>
        </w:rPr>
        <w:t xml:space="preserve">convient </w:t>
      </w:r>
      <w:r w:rsidRPr="00631F8A">
        <w:rPr>
          <w:rFonts w:ascii="Times New Roman" w:hAnsi="Times New Roman" w:cs="Times New Roman"/>
          <w:color w:val="000000" w:themeColor="text1"/>
          <w:sz w:val="24"/>
          <w:szCs w:val="24"/>
          <w:lang w:val="fr-FR"/>
        </w:rPr>
        <w:t xml:space="preserve">de rappeler que le monopole de l’initiative législative de la Commission se justifie </w:t>
      </w:r>
      <w:r>
        <w:rPr>
          <w:rFonts w:ascii="Times New Roman" w:hAnsi="Times New Roman" w:cs="Times New Roman"/>
          <w:color w:val="000000" w:themeColor="text1"/>
          <w:sz w:val="24"/>
          <w:szCs w:val="24"/>
          <w:lang w:val="fr-FR"/>
        </w:rPr>
        <w:t>à la lumière</w:t>
      </w:r>
      <w:r w:rsidRPr="00631F8A">
        <w:rPr>
          <w:rFonts w:ascii="Times New Roman" w:hAnsi="Times New Roman" w:cs="Times New Roman"/>
          <w:color w:val="000000" w:themeColor="text1"/>
          <w:sz w:val="24"/>
          <w:szCs w:val="24"/>
          <w:lang w:val="fr-FR"/>
        </w:rPr>
        <w:t xml:space="preserve"> de plusieurs éléments. En écho à l’origine historique de ce monopole, la Commission est tout d’abord en mesure d’agir en vue de promouvoir l’intérêt général européen et, partant, de protéger les petits États membres d’une domination des grands États membres.</w:t>
      </w:r>
      <w:r w:rsidRPr="00631F8A">
        <w:rPr>
          <w:rStyle w:val="Appelnotedebasdep"/>
          <w:rFonts w:ascii="Times New Roman" w:hAnsi="Times New Roman" w:cs="Times New Roman"/>
          <w:color w:val="000000" w:themeColor="text1"/>
          <w:sz w:val="24"/>
          <w:szCs w:val="24"/>
          <w:lang w:val="fr-FR"/>
        </w:rPr>
        <w:footnoteReference w:id="176"/>
      </w:r>
      <w:r w:rsidRPr="00631F8A">
        <w:rPr>
          <w:rFonts w:ascii="Times New Roman" w:hAnsi="Times New Roman" w:cs="Times New Roman"/>
          <w:color w:val="000000" w:themeColor="text1"/>
          <w:sz w:val="24"/>
          <w:szCs w:val="24"/>
          <w:lang w:val="fr-FR"/>
        </w:rPr>
        <w:t xml:space="preserve"> Ensuite, lors de la phase de préparation des actes législatifs, la Commission procède à des analyses d’impact</w:t>
      </w:r>
      <w:r>
        <w:rPr>
          <w:rFonts w:ascii="Times New Roman" w:hAnsi="Times New Roman" w:cs="Times New Roman"/>
          <w:color w:val="000000" w:themeColor="text1"/>
          <w:sz w:val="24"/>
          <w:szCs w:val="24"/>
          <w:lang w:val="fr-FR"/>
        </w:rPr>
        <w:t xml:space="preserve"> </w:t>
      </w:r>
      <w:r w:rsidRPr="00B963D3">
        <w:rPr>
          <w:rFonts w:ascii="Times New Roman" w:hAnsi="Times New Roman" w:cs="Times New Roman"/>
          <w:color w:val="000000" w:themeColor="text1"/>
          <w:sz w:val="24"/>
          <w:szCs w:val="24"/>
          <w:lang w:val="fr-FR"/>
        </w:rPr>
        <w:t>comprenant notamment une analyse des incidences environnementales, sociales et économiques.</w:t>
      </w:r>
      <w:r w:rsidRPr="00B963D3">
        <w:rPr>
          <w:rStyle w:val="Appelnotedebasdep"/>
          <w:rFonts w:ascii="Times New Roman" w:hAnsi="Times New Roman" w:cs="Times New Roman"/>
          <w:color w:val="000000" w:themeColor="text1"/>
          <w:sz w:val="24"/>
          <w:szCs w:val="24"/>
          <w:lang w:val="fr-FR"/>
        </w:rPr>
        <w:footnoteReference w:id="177"/>
      </w:r>
      <w:r w:rsidRPr="00B963D3">
        <w:rPr>
          <w:rFonts w:ascii="Times New Roman" w:hAnsi="Times New Roman" w:cs="Times New Roman"/>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Ainsi</w:t>
      </w:r>
      <w:r>
        <w:rPr>
          <w:rFonts w:ascii="Times New Roman" w:hAnsi="Times New Roman" w:cs="Times New Roman"/>
          <w:color w:val="000000" w:themeColor="text1"/>
          <w:sz w:val="24"/>
          <w:szCs w:val="24"/>
          <w:lang w:val="fr-FR"/>
        </w:rPr>
        <w:t>,</w:t>
      </w:r>
      <w:r w:rsidRPr="00631F8A">
        <w:rPr>
          <w:rFonts w:ascii="Times New Roman" w:hAnsi="Times New Roman" w:cs="Times New Roman"/>
          <w:color w:val="000000" w:themeColor="text1"/>
          <w:sz w:val="24"/>
          <w:szCs w:val="24"/>
          <w:lang w:val="fr-FR"/>
        </w:rPr>
        <w:t xml:space="preserve"> il convient de se demander si de telles procédures pourront encore être respectées si un pouvoir d’initiative est conféré au Parlement européen. Plus généralement, les ressources du Parlement européen – en termes d’expertise et de temps – étant limitées, lui conférer un pouvoir d’initiative pourrait </w:t>
      </w:r>
      <w:r>
        <w:rPr>
          <w:rFonts w:ascii="Times New Roman" w:hAnsi="Times New Roman" w:cs="Times New Roman"/>
          <w:color w:val="000000" w:themeColor="text1"/>
          <w:sz w:val="24"/>
          <w:szCs w:val="24"/>
          <w:lang w:val="fr-FR"/>
        </w:rPr>
        <w:t>conduire</w:t>
      </w:r>
      <w:r w:rsidRPr="00631F8A">
        <w:rPr>
          <w:rFonts w:ascii="Times New Roman" w:hAnsi="Times New Roman" w:cs="Times New Roman"/>
          <w:color w:val="000000" w:themeColor="text1"/>
          <w:sz w:val="24"/>
          <w:szCs w:val="24"/>
          <w:lang w:val="fr-FR"/>
        </w:rPr>
        <w:t xml:space="preserve"> à une détérioration de la qualité législative. Enfin, le rôle de la Commission dans l’élaboration de</w:t>
      </w:r>
      <w:r>
        <w:rPr>
          <w:rFonts w:ascii="Times New Roman" w:hAnsi="Times New Roman" w:cs="Times New Roman"/>
          <w:color w:val="000000" w:themeColor="text1"/>
          <w:sz w:val="24"/>
          <w:szCs w:val="24"/>
          <w:lang w:val="fr-FR"/>
        </w:rPr>
        <w:t>s textes législatifs</w:t>
      </w:r>
      <w:r w:rsidRPr="00631F8A">
        <w:rPr>
          <w:rFonts w:ascii="Times New Roman" w:hAnsi="Times New Roman" w:cs="Times New Roman"/>
          <w:color w:val="000000" w:themeColor="text1"/>
          <w:sz w:val="24"/>
          <w:szCs w:val="24"/>
          <w:lang w:val="fr-FR"/>
        </w:rPr>
        <w:t xml:space="preserve"> a </w:t>
      </w:r>
      <w:r>
        <w:rPr>
          <w:rFonts w:ascii="Times New Roman" w:hAnsi="Times New Roman" w:cs="Times New Roman"/>
          <w:color w:val="000000" w:themeColor="text1"/>
          <w:sz w:val="24"/>
          <w:szCs w:val="24"/>
          <w:lang w:val="fr-FR"/>
        </w:rPr>
        <w:t>considérablement</w:t>
      </w:r>
      <w:r w:rsidRPr="00631F8A">
        <w:rPr>
          <w:rFonts w:ascii="Times New Roman" w:hAnsi="Times New Roman" w:cs="Times New Roman"/>
          <w:color w:val="000000" w:themeColor="text1"/>
          <w:sz w:val="24"/>
          <w:szCs w:val="24"/>
          <w:lang w:val="fr-FR"/>
        </w:rPr>
        <w:t xml:space="preserve"> changé au fil du temps.</w:t>
      </w:r>
      <w:r w:rsidRPr="00631F8A">
        <w:rPr>
          <w:rStyle w:val="Appelnotedebasdep"/>
          <w:rFonts w:ascii="Times New Roman" w:hAnsi="Times New Roman" w:cs="Times New Roman"/>
          <w:color w:val="000000" w:themeColor="text1"/>
          <w:sz w:val="24"/>
          <w:szCs w:val="24"/>
          <w:lang w:val="fr-FR"/>
        </w:rPr>
        <w:footnoteReference w:id="178"/>
      </w:r>
      <w:r w:rsidRPr="00631F8A">
        <w:rPr>
          <w:rFonts w:ascii="Times New Roman" w:hAnsi="Times New Roman" w:cs="Times New Roman"/>
          <w:color w:val="000000" w:themeColor="text1"/>
          <w:sz w:val="24"/>
          <w:szCs w:val="24"/>
          <w:lang w:val="fr-FR"/>
        </w:rPr>
        <w:t xml:space="preserve"> Aujourd’hui, la Commission joue un rôle de </w:t>
      </w:r>
      <w:r w:rsidRPr="003F7BB5">
        <w:rPr>
          <w:rFonts w:ascii="Times New Roman" w:hAnsi="Times New Roman" w:cs="Times New Roman"/>
          <w:color w:val="000000" w:themeColor="text1"/>
          <w:sz w:val="24"/>
          <w:szCs w:val="24"/>
          <w:lang w:val="fr-FR"/>
        </w:rPr>
        <w:t>médiateur</w:t>
      </w:r>
      <w:r>
        <w:rPr>
          <w:rFonts w:ascii="Times New Roman" w:hAnsi="Times New Roman" w:cs="Times New Roman"/>
          <w:color w:val="000000" w:themeColor="text1"/>
          <w:sz w:val="24"/>
          <w:szCs w:val="24"/>
          <w:lang w:val="fr-FR"/>
        </w:rPr>
        <w:t> ;</w:t>
      </w:r>
      <w:r w:rsidRPr="003F7BB5">
        <w:rPr>
          <w:rFonts w:ascii="Times New Roman" w:hAnsi="Times New Roman" w:cs="Times New Roman"/>
          <w:color w:val="000000" w:themeColor="text1"/>
          <w:sz w:val="24"/>
          <w:szCs w:val="24"/>
          <w:lang w:val="fr-FR"/>
        </w:rPr>
        <w:t xml:space="preserve"> la </w:t>
      </w:r>
      <w:r w:rsidRPr="00631F8A">
        <w:rPr>
          <w:rFonts w:ascii="Times New Roman" w:hAnsi="Times New Roman" w:cs="Times New Roman"/>
          <w:color w:val="000000" w:themeColor="text1"/>
          <w:sz w:val="24"/>
          <w:szCs w:val="24"/>
          <w:lang w:val="fr-FR"/>
        </w:rPr>
        <w:t>décision de légiférer est</w:t>
      </w:r>
      <w:r>
        <w:rPr>
          <w:rFonts w:ascii="Times New Roman" w:hAnsi="Times New Roman" w:cs="Times New Roman"/>
          <w:color w:val="000000" w:themeColor="text1"/>
          <w:sz w:val="24"/>
          <w:szCs w:val="24"/>
          <w:lang w:val="fr-FR"/>
        </w:rPr>
        <w:t xml:space="preserve"> </w:t>
      </w:r>
      <w:r>
        <w:rPr>
          <w:rFonts w:ascii="Times New Roman" w:hAnsi="Times New Roman" w:cs="Times New Roman"/>
          <w:color w:val="000000" w:themeColor="text1"/>
          <w:sz w:val="24"/>
          <w:szCs w:val="24"/>
          <w:lang w:val="fr-FR"/>
        </w:rPr>
        <w:lastRenderedPageBreak/>
        <w:t>considérée</w:t>
      </w:r>
      <w:r w:rsidRPr="00631F8A">
        <w:rPr>
          <w:rFonts w:ascii="Times New Roman" w:hAnsi="Times New Roman" w:cs="Times New Roman"/>
          <w:color w:val="000000" w:themeColor="text1"/>
          <w:sz w:val="24"/>
          <w:szCs w:val="24"/>
          <w:lang w:val="fr-FR"/>
        </w:rPr>
        <w:t xml:space="preserve"> comme une responsabilité commune entre les institutions, tandis que la Commission dispose d’un pouvoir d’appréciation en dernière instance sur le contenu des propositions</w:t>
      </w:r>
      <w:r w:rsidRPr="00F47A61">
        <w:rPr>
          <w:rFonts w:ascii="Times New Roman" w:hAnsi="Times New Roman" w:cs="Times New Roman"/>
          <w:color w:val="000000" w:themeColor="text1"/>
          <w:sz w:val="24"/>
          <w:szCs w:val="24"/>
          <w:lang w:val="fr-FR"/>
        </w:rPr>
        <w:t>.</w:t>
      </w:r>
      <w:r w:rsidRPr="00F47A61">
        <w:rPr>
          <w:rStyle w:val="Appelnotedebasdep"/>
          <w:rFonts w:ascii="Times New Roman" w:hAnsi="Times New Roman" w:cs="Times New Roman"/>
          <w:color w:val="000000" w:themeColor="text1"/>
          <w:sz w:val="24"/>
          <w:szCs w:val="24"/>
          <w:lang w:val="fr-FR"/>
        </w:rPr>
        <w:footnoteReference w:id="179"/>
      </w:r>
      <w:r w:rsidRPr="00F47A61">
        <w:rPr>
          <w:rFonts w:ascii="Times New Roman" w:hAnsi="Times New Roman" w:cs="Times New Roman"/>
          <w:color w:val="000000" w:themeColor="text1"/>
          <w:sz w:val="24"/>
          <w:szCs w:val="24"/>
          <w:lang w:val="fr-FR"/>
        </w:rPr>
        <w:t xml:space="preserve"> En témoigne, seulement 5% de</w:t>
      </w:r>
      <w:r>
        <w:rPr>
          <w:rFonts w:ascii="Times New Roman" w:hAnsi="Times New Roman" w:cs="Times New Roman"/>
          <w:color w:val="000000" w:themeColor="text1"/>
          <w:sz w:val="24"/>
          <w:szCs w:val="24"/>
          <w:lang w:val="fr-FR"/>
        </w:rPr>
        <w:t xml:space="preserve"> ses</w:t>
      </w:r>
      <w:r w:rsidRPr="00F47A61">
        <w:rPr>
          <w:rFonts w:ascii="Times New Roman" w:hAnsi="Times New Roman" w:cs="Times New Roman"/>
          <w:color w:val="000000" w:themeColor="text1"/>
          <w:sz w:val="24"/>
          <w:szCs w:val="24"/>
          <w:lang w:val="fr-FR"/>
        </w:rPr>
        <w:t xml:space="preserve"> propositions </w:t>
      </w:r>
      <w:r>
        <w:rPr>
          <w:rFonts w:ascii="Times New Roman" w:hAnsi="Times New Roman" w:cs="Times New Roman"/>
          <w:color w:val="000000" w:themeColor="text1"/>
          <w:sz w:val="24"/>
          <w:szCs w:val="24"/>
          <w:lang w:val="fr-FR"/>
        </w:rPr>
        <w:t>d’initiative</w:t>
      </w:r>
      <w:r w:rsidRPr="00F47A61">
        <w:rPr>
          <w:rFonts w:ascii="Times New Roman" w:hAnsi="Times New Roman" w:cs="Times New Roman"/>
          <w:color w:val="000000" w:themeColor="text1"/>
          <w:sz w:val="24"/>
          <w:szCs w:val="24"/>
          <w:lang w:val="fr-FR"/>
        </w:rPr>
        <w:t xml:space="preserve"> émanent d’initiatives autonomes de ses services.</w:t>
      </w:r>
      <w:r w:rsidRPr="00F47A61">
        <w:rPr>
          <w:rStyle w:val="Appelnotedebasdep"/>
          <w:rFonts w:ascii="Times New Roman" w:hAnsi="Times New Roman" w:cs="Times New Roman"/>
          <w:color w:val="000000" w:themeColor="text1"/>
          <w:sz w:val="24"/>
          <w:szCs w:val="24"/>
          <w:lang w:val="fr-FR"/>
        </w:rPr>
        <w:footnoteReference w:id="180"/>
      </w:r>
      <w:r w:rsidRPr="00F47A61">
        <w:rPr>
          <w:rFonts w:ascii="Times New Roman" w:hAnsi="Times New Roman" w:cs="Times New Roman"/>
          <w:color w:val="000000" w:themeColor="text1"/>
          <w:sz w:val="24"/>
          <w:szCs w:val="24"/>
          <w:lang w:val="fr-FR"/>
        </w:rPr>
        <w:t xml:space="preserve"> Il est </w:t>
      </w:r>
      <w:r w:rsidRPr="00631F8A">
        <w:rPr>
          <w:rFonts w:ascii="Times New Roman" w:hAnsi="Times New Roman" w:cs="Times New Roman"/>
          <w:color w:val="000000" w:themeColor="text1"/>
          <w:sz w:val="24"/>
          <w:szCs w:val="24"/>
          <w:lang w:val="fr-FR"/>
        </w:rPr>
        <w:t>à noter que le Conseil européen joue un rôle croissant à l’égard du contenu des propositions législatives, qualifié par certains de détournement politique.</w:t>
      </w:r>
      <w:r w:rsidRPr="00631F8A">
        <w:rPr>
          <w:rStyle w:val="Appelnotedebasdep"/>
          <w:rFonts w:ascii="Times New Roman" w:hAnsi="Times New Roman" w:cs="Times New Roman"/>
          <w:color w:val="000000" w:themeColor="text1"/>
          <w:sz w:val="24"/>
          <w:szCs w:val="24"/>
          <w:lang w:val="fr-FR"/>
        </w:rPr>
        <w:footnoteReference w:id="181"/>
      </w:r>
      <w:r w:rsidRPr="00631F8A">
        <w:rPr>
          <w:rFonts w:ascii="Times New Roman" w:hAnsi="Times New Roman" w:cs="Times New Roman"/>
          <w:color w:val="000000" w:themeColor="text1"/>
          <w:sz w:val="24"/>
          <w:szCs w:val="24"/>
          <w:lang w:val="fr-FR"/>
        </w:rPr>
        <w:t xml:space="preserve"> En effet, depuis la fin des années 80, les conclusions du Conseil européen tendent à inclure des demandes détaillées à l’intention de la Commission, afin que celle-ci les convertisse en proposition législative.</w:t>
      </w:r>
      <w:r w:rsidRPr="00631F8A">
        <w:rPr>
          <w:rStyle w:val="Appelnotedebasdep"/>
          <w:rFonts w:ascii="Times New Roman" w:hAnsi="Times New Roman" w:cs="Times New Roman"/>
          <w:color w:val="000000" w:themeColor="text1"/>
          <w:sz w:val="24"/>
          <w:szCs w:val="24"/>
          <w:lang w:val="fr-FR"/>
        </w:rPr>
        <w:footnoteReference w:id="182"/>
      </w:r>
      <w:r w:rsidRPr="00631F8A">
        <w:rPr>
          <w:rFonts w:ascii="Times New Roman" w:hAnsi="Times New Roman" w:cs="Times New Roman"/>
          <w:color w:val="000000" w:themeColor="text1"/>
          <w:sz w:val="24"/>
          <w:szCs w:val="24"/>
          <w:lang w:val="fr-FR"/>
        </w:rPr>
        <w:t xml:space="preserve"> </w:t>
      </w:r>
    </w:p>
    <w:p w:rsidR="009A1106" w:rsidRPr="00631F8A" w:rsidRDefault="009A1106" w:rsidP="009A1106">
      <w:pPr>
        <w:tabs>
          <w:tab w:val="left" w:pos="284"/>
        </w:tabs>
        <w:spacing w:before="120" w:after="120" w:line="360" w:lineRule="auto"/>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ab/>
        <w:t>Pour le surplus, l’opposition classique opposant la légitimé démocratique du Parlement européen à la légitimité fonctionnelle de la Commission ne semble p</w:t>
      </w:r>
      <w:r>
        <w:rPr>
          <w:rFonts w:ascii="Times New Roman" w:hAnsi="Times New Roman" w:cs="Times New Roman"/>
          <w:color w:val="000000" w:themeColor="text1"/>
          <w:sz w:val="24"/>
          <w:szCs w:val="24"/>
          <w:lang w:val="fr-FR"/>
        </w:rPr>
        <w:t>as</w:t>
      </w:r>
      <w:r w:rsidRPr="00631F8A">
        <w:rPr>
          <w:rFonts w:ascii="Times New Roman" w:hAnsi="Times New Roman" w:cs="Times New Roman"/>
          <w:color w:val="000000" w:themeColor="text1"/>
          <w:sz w:val="24"/>
          <w:szCs w:val="24"/>
          <w:lang w:val="fr-FR"/>
        </w:rPr>
        <w:t xml:space="preserve"> </w:t>
      </w:r>
      <w:r>
        <w:rPr>
          <w:rFonts w:ascii="Times New Roman" w:hAnsi="Times New Roman" w:cs="Times New Roman"/>
          <w:color w:val="000000" w:themeColor="text1"/>
          <w:sz w:val="24"/>
          <w:szCs w:val="24"/>
          <w:lang w:val="fr-FR"/>
        </w:rPr>
        <w:t>refléter</w:t>
      </w:r>
      <w:r w:rsidRPr="00631F8A">
        <w:rPr>
          <w:rFonts w:ascii="Times New Roman" w:hAnsi="Times New Roman" w:cs="Times New Roman"/>
          <w:color w:val="000000" w:themeColor="text1"/>
          <w:sz w:val="24"/>
          <w:szCs w:val="24"/>
          <w:lang w:val="fr-FR"/>
        </w:rPr>
        <w:t xml:space="preserve"> la réalité. D’une part, la Commission, souvent accusée d’être technocratique et de ne pas disposer d’une légitimité démocratique, </w:t>
      </w:r>
      <w:r>
        <w:rPr>
          <w:rFonts w:ascii="Times New Roman" w:hAnsi="Times New Roman" w:cs="Times New Roman"/>
          <w:color w:val="000000" w:themeColor="text1"/>
          <w:sz w:val="24"/>
          <w:szCs w:val="24"/>
          <w:lang w:val="fr-FR"/>
        </w:rPr>
        <w:t>demeure</w:t>
      </w:r>
      <w:r w:rsidRPr="00631F8A">
        <w:rPr>
          <w:rFonts w:ascii="Times New Roman" w:hAnsi="Times New Roman" w:cs="Times New Roman"/>
          <w:color w:val="000000" w:themeColor="text1"/>
          <w:sz w:val="24"/>
          <w:szCs w:val="24"/>
          <w:lang w:val="fr-FR"/>
        </w:rPr>
        <w:t xml:space="preserve"> responsable devant le Parlement européen.</w:t>
      </w:r>
      <w:r w:rsidRPr="00631F8A">
        <w:rPr>
          <w:rStyle w:val="Appelnotedebasdep"/>
          <w:rFonts w:ascii="Times New Roman" w:hAnsi="Times New Roman" w:cs="Times New Roman"/>
          <w:color w:val="000000" w:themeColor="text1"/>
          <w:sz w:val="24"/>
          <w:szCs w:val="24"/>
          <w:lang w:val="fr-FR"/>
        </w:rPr>
        <w:footnoteReference w:id="183"/>
      </w:r>
      <w:r w:rsidRPr="00631F8A">
        <w:rPr>
          <w:rFonts w:ascii="Times New Roman" w:hAnsi="Times New Roman" w:cs="Times New Roman"/>
          <w:color w:val="000000" w:themeColor="text1"/>
          <w:sz w:val="24"/>
          <w:szCs w:val="24"/>
          <w:lang w:val="fr-FR"/>
        </w:rPr>
        <w:t xml:space="preserve"> À cet effet, ce dernier est investi de différents pouvoirs : entre autres, le Parlement européen peut censurer la Commission,</w:t>
      </w:r>
      <w:r w:rsidRPr="00631F8A">
        <w:rPr>
          <w:rStyle w:val="Appelnotedebasdep"/>
          <w:rFonts w:ascii="Times New Roman" w:hAnsi="Times New Roman" w:cs="Times New Roman"/>
          <w:color w:val="000000" w:themeColor="text1"/>
          <w:sz w:val="24"/>
          <w:szCs w:val="24"/>
          <w:lang w:val="fr-FR"/>
        </w:rPr>
        <w:footnoteReference w:id="184"/>
      </w:r>
      <w:r w:rsidRPr="00631F8A">
        <w:rPr>
          <w:rFonts w:ascii="Times New Roman" w:hAnsi="Times New Roman" w:cs="Times New Roman"/>
          <w:color w:val="000000" w:themeColor="text1"/>
          <w:sz w:val="24"/>
          <w:szCs w:val="24"/>
          <w:lang w:val="fr-FR"/>
        </w:rPr>
        <w:t xml:space="preserve"> constituer une commission temporaire d’enquête afin d’examiner « les allégations d’infraction ou de mauvaise administration dans l’application du droit de l’Union »</w:t>
      </w:r>
      <w:r w:rsidRPr="00631F8A">
        <w:rPr>
          <w:rStyle w:val="Appelnotedebasdep"/>
          <w:rFonts w:ascii="Times New Roman" w:hAnsi="Times New Roman" w:cs="Times New Roman"/>
          <w:color w:val="000000" w:themeColor="text1"/>
          <w:sz w:val="24"/>
          <w:szCs w:val="24"/>
          <w:lang w:val="fr-FR"/>
        </w:rPr>
        <w:footnoteReference w:id="185"/>
      </w:r>
      <w:r w:rsidRPr="00631F8A">
        <w:rPr>
          <w:rFonts w:ascii="Times New Roman" w:hAnsi="Times New Roman" w:cs="Times New Roman"/>
          <w:color w:val="000000" w:themeColor="text1"/>
          <w:sz w:val="24"/>
          <w:szCs w:val="24"/>
          <w:lang w:val="fr-FR"/>
        </w:rPr>
        <w:t xml:space="preserve"> ou encore adresser des questions à la Commission qui sera tenue d’y répondre.</w:t>
      </w:r>
      <w:r w:rsidRPr="00631F8A">
        <w:rPr>
          <w:rStyle w:val="Appelnotedebasdep"/>
          <w:rFonts w:ascii="Times New Roman" w:hAnsi="Times New Roman" w:cs="Times New Roman"/>
          <w:color w:val="000000" w:themeColor="text1"/>
          <w:sz w:val="24"/>
          <w:szCs w:val="24"/>
          <w:lang w:val="fr-FR"/>
        </w:rPr>
        <w:footnoteReference w:id="186"/>
      </w:r>
      <w:r w:rsidRPr="00631F8A">
        <w:rPr>
          <w:rFonts w:ascii="Times New Roman" w:hAnsi="Times New Roman" w:cs="Times New Roman"/>
          <w:color w:val="000000" w:themeColor="text1"/>
          <w:sz w:val="24"/>
          <w:szCs w:val="24"/>
          <w:lang w:val="fr-FR"/>
        </w:rPr>
        <w:t xml:space="preserve"> D’autre part, une singularité fondamentale du parlementarisme européen par contraste avec les systèmes nationaux, où les représentants nationaux tirent généralement leur légitimé des élections ou de leur identité idéologique, est que les parlementaires européens ont tendance à justifier leur position sur la base de leur expertise.</w:t>
      </w:r>
      <w:r w:rsidRPr="00631F8A">
        <w:rPr>
          <w:rStyle w:val="Appelnotedebasdep"/>
          <w:rFonts w:ascii="Times New Roman" w:hAnsi="Times New Roman" w:cs="Times New Roman"/>
          <w:color w:val="000000" w:themeColor="text1"/>
          <w:sz w:val="24"/>
          <w:szCs w:val="24"/>
          <w:lang w:val="fr-FR"/>
        </w:rPr>
        <w:footnoteReference w:id="187"/>
      </w:r>
      <w:r w:rsidRPr="00631F8A">
        <w:rPr>
          <w:rFonts w:ascii="Times New Roman" w:hAnsi="Times New Roman" w:cs="Times New Roman"/>
          <w:b/>
          <w:color w:val="000000" w:themeColor="text1"/>
          <w:sz w:val="24"/>
          <w:szCs w:val="24"/>
          <w:lang w:val="fr-FR"/>
        </w:rPr>
        <w:t xml:space="preserve"> </w:t>
      </w:r>
      <w:r w:rsidRPr="00631F8A">
        <w:rPr>
          <w:rFonts w:ascii="Times New Roman" w:hAnsi="Times New Roman" w:cs="Times New Roman"/>
          <w:color w:val="000000" w:themeColor="text1"/>
          <w:sz w:val="24"/>
          <w:szCs w:val="24"/>
          <w:lang w:val="fr-FR"/>
        </w:rPr>
        <w:t xml:space="preserve">Ainsi, le Parlement européen, quoique classiquement associé à </w:t>
      </w:r>
      <w:r>
        <w:rPr>
          <w:rFonts w:ascii="Times New Roman" w:hAnsi="Times New Roman" w:cs="Times New Roman"/>
          <w:color w:val="000000" w:themeColor="text1"/>
          <w:sz w:val="24"/>
          <w:szCs w:val="24"/>
          <w:lang w:val="fr-FR"/>
        </w:rPr>
        <w:t>la</w:t>
      </w:r>
      <w:r w:rsidRPr="00631F8A">
        <w:rPr>
          <w:rFonts w:ascii="Times New Roman" w:hAnsi="Times New Roman" w:cs="Times New Roman"/>
          <w:color w:val="000000" w:themeColor="text1"/>
          <w:sz w:val="24"/>
          <w:szCs w:val="24"/>
          <w:lang w:val="fr-FR"/>
        </w:rPr>
        <w:t xml:space="preserve"> légitimité démocratique, tend lui-même à se réclamer d’une légitimité fonctionnelle et à se caractériser par </w:t>
      </w:r>
      <w:r>
        <w:rPr>
          <w:rFonts w:ascii="Times New Roman" w:hAnsi="Times New Roman" w:cs="Times New Roman"/>
          <w:color w:val="000000" w:themeColor="text1"/>
          <w:sz w:val="24"/>
          <w:szCs w:val="24"/>
          <w:lang w:val="fr-FR"/>
        </w:rPr>
        <w:t>l’</w:t>
      </w:r>
      <w:r w:rsidRPr="00631F8A">
        <w:rPr>
          <w:rFonts w:ascii="Times New Roman" w:hAnsi="Times New Roman" w:cs="Times New Roman"/>
          <w:color w:val="000000" w:themeColor="text1"/>
          <w:sz w:val="24"/>
          <w:szCs w:val="24"/>
          <w:lang w:val="fr-FR"/>
        </w:rPr>
        <w:t>utilisation technocrat</w:t>
      </w:r>
      <w:r>
        <w:rPr>
          <w:rFonts w:ascii="Times New Roman" w:hAnsi="Times New Roman" w:cs="Times New Roman"/>
          <w:color w:val="000000" w:themeColor="text1"/>
          <w:sz w:val="24"/>
          <w:szCs w:val="24"/>
          <w:lang w:val="fr-FR"/>
        </w:rPr>
        <w:t>ique</w:t>
      </w:r>
      <w:r w:rsidRPr="00631F8A">
        <w:rPr>
          <w:rFonts w:ascii="Times New Roman" w:hAnsi="Times New Roman" w:cs="Times New Roman"/>
          <w:color w:val="000000" w:themeColor="text1"/>
          <w:sz w:val="24"/>
          <w:szCs w:val="24"/>
          <w:lang w:val="fr-FR"/>
        </w:rPr>
        <w:t xml:space="preserve"> de ses compétences.</w:t>
      </w:r>
      <w:r w:rsidRPr="00631F8A">
        <w:rPr>
          <w:rStyle w:val="Appelnotedebasdep"/>
          <w:rFonts w:ascii="Times New Roman" w:hAnsi="Times New Roman" w:cs="Times New Roman"/>
          <w:color w:val="000000" w:themeColor="text1"/>
          <w:sz w:val="24"/>
          <w:szCs w:val="24"/>
          <w:lang w:val="fr-FR"/>
        </w:rPr>
        <w:footnoteReference w:id="188"/>
      </w:r>
    </w:p>
    <w:p w:rsidR="009A1106" w:rsidRPr="00631F8A" w:rsidRDefault="009A1106" w:rsidP="009A1106">
      <w:pPr>
        <w:pStyle w:val="Titre1"/>
        <w:spacing w:before="120" w:after="120" w:line="360" w:lineRule="auto"/>
        <w:jc w:val="both"/>
        <w:rPr>
          <w:rFonts w:ascii="Times New Roman" w:hAnsi="Times New Roman" w:cs="Times New Roman"/>
          <w:b/>
          <w:color w:val="000000" w:themeColor="text1"/>
          <w:sz w:val="24"/>
          <w:szCs w:val="24"/>
          <w:lang w:val="fr-FR"/>
        </w:rPr>
      </w:pPr>
      <w:bookmarkStart w:id="13" w:name="_Toc7535846"/>
      <w:r w:rsidRPr="00631F8A">
        <w:rPr>
          <w:rFonts w:ascii="Times New Roman" w:hAnsi="Times New Roman" w:cs="Times New Roman"/>
          <w:b/>
          <w:color w:val="000000" w:themeColor="text1"/>
          <w:sz w:val="24"/>
          <w:szCs w:val="24"/>
          <w:lang w:val="fr-FR"/>
        </w:rPr>
        <w:lastRenderedPageBreak/>
        <w:t>§2. Les perspectives d’un pouvoir d’initiative législative direct</w:t>
      </w:r>
      <w:bookmarkEnd w:id="13"/>
      <w:r w:rsidRPr="00631F8A">
        <w:rPr>
          <w:rFonts w:ascii="Times New Roman" w:hAnsi="Times New Roman" w:cs="Times New Roman"/>
          <w:b/>
          <w:color w:val="000000" w:themeColor="text1"/>
          <w:sz w:val="24"/>
          <w:szCs w:val="24"/>
          <w:lang w:val="fr-FR"/>
        </w:rPr>
        <w:t xml:space="preserve"> </w:t>
      </w:r>
    </w:p>
    <w:p w:rsidR="009A1106" w:rsidRDefault="009A1106" w:rsidP="009A1106">
      <w:pPr>
        <w:pStyle w:val="NormalWeb"/>
        <w:tabs>
          <w:tab w:val="left" w:pos="284"/>
        </w:tabs>
        <w:spacing w:before="120" w:beforeAutospacing="0" w:after="120" w:afterAutospacing="0" w:line="360" w:lineRule="auto"/>
        <w:jc w:val="both"/>
        <w:rPr>
          <w:color w:val="000000" w:themeColor="text1"/>
          <w:lang w:val="fr-FR"/>
        </w:rPr>
      </w:pPr>
      <w:r w:rsidRPr="00631F8A">
        <w:rPr>
          <w:b/>
          <w:color w:val="000000" w:themeColor="text1"/>
          <w:lang w:val="fr-FR"/>
        </w:rPr>
        <w:tab/>
      </w:r>
      <w:r w:rsidRPr="00631F8A">
        <w:rPr>
          <w:color w:val="000000" w:themeColor="text1"/>
          <w:lang w:val="fr-FR"/>
        </w:rPr>
        <w:t xml:space="preserve">Si un pouvoir d’initiative législative direct devait </w:t>
      </w:r>
      <w:r>
        <w:rPr>
          <w:color w:val="000000" w:themeColor="text1"/>
          <w:lang w:val="fr-FR"/>
        </w:rPr>
        <w:t>être conféré au Parlement européen</w:t>
      </w:r>
      <w:r w:rsidRPr="00631F8A">
        <w:rPr>
          <w:color w:val="000000" w:themeColor="text1"/>
          <w:lang w:val="fr-FR"/>
        </w:rPr>
        <w:t>, il est vraisemblable que la structure institutionnelle de l’Union européenne se trouverait fondamentalement bouleversée (</w:t>
      </w:r>
      <w:r w:rsidRPr="00631F8A">
        <w:rPr>
          <w:b/>
          <w:color w:val="000000" w:themeColor="text1"/>
          <w:lang w:val="fr-FR"/>
        </w:rPr>
        <w:t>A</w:t>
      </w:r>
      <w:r w:rsidRPr="00631F8A">
        <w:rPr>
          <w:color w:val="000000" w:themeColor="text1"/>
          <w:lang w:val="fr-FR"/>
        </w:rPr>
        <w:t>). Une question cruciale se poserait encore, à savoir celle de la forme que doit revêtir un tel pouvoir d’initiative (</w:t>
      </w:r>
      <w:r w:rsidRPr="00631F8A">
        <w:rPr>
          <w:b/>
          <w:color w:val="000000" w:themeColor="text1"/>
          <w:lang w:val="fr-FR"/>
        </w:rPr>
        <w:t>B</w:t>
      </w:r>
      <w:r w:rsidRPr="00631F8A">
        <w:rPr>
          <w:color w:val="000000" w:themeColor="text1"/>
          <w:lang w:val="fr-FR"/>
        </w:rPr>
        <w:t xml:space="preserve">). </w:t>
      </w:r>
    </w:p>
    <w:p w:rsidR="009A1106" w:rsidRPr="00144098" w:rsidRDefault="009A1106" w:rsidP="009A1106">
      <w:pPr>
        <w:pStyle w:val="Titre2"/>
        <w:spacing w:before="120" w:after="120" w:line="360" w:lineRule="auto"/>
        <w:jc w:val="both"/>
        <w:rPr>
          <w:rFonts w:ascii="Times New Roman" w:hAnsi="Times New Roman" w:cs="Times New Roman"/>
          <w:b/>
          <w:color w:val="000000" w:themeColor="text1"/>
          <w:sz w:val="24"/>
          <w:szCs w:val="24"/>
          <w:lang w:val="fr-FR"/>
        </w:rPr>
      </w:pPr>
      <w:r w:rsidRPr="00144098">
        <w:rPr>
          <w:rFonts w:ascii="Times New Roman" w:hAnsi="Times New Roman" w:cs="Times New Roman"/>
          <w:b/>
          <w:color w:val="000000" w:themeColor="text1"/>
          <w:sz w:val="24"/>
          <w:szCs w:val="24"/>
          <w:lang w:val="fr-FR"/>
        </w:rPr>
        <w:tab/>
      </w:r>
      <w:bookmarkStart w:id="14" w:name="_Toc7535847"/>
      <w:r w:rsidRPr="00144098">
        <w:rPr>
          <w:rFonts w:ascii="Times New Roman" w:hAnsi="Times New Roman" w:cs="Times New Roman"/>
          <w:b/>
          <w:color w:val="000000" w:themeColor="text1"/>
          <w:sz w:val="24"/>
          <w:szCs w:val="24"/>
          <w:lang w:val="fr-FR"/>
        </w:rPr>
        <w:t>A.</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Une mutation profonde de la structure institutionnelle de l’Union</w:t>
      </w:r>
      <w:r>
        <w:rPr>
          <w:rFonts w:ascii="Times New Roman" w:hAnsi="Times New Roman" w:cs="Times New Roman"/>
          <w:b/>
          <w:color w:val="000000" w:themeColor="text1"/>
          <w:sz w:val="24"/>
          <w:szCs w:val="24"/>
          <w:lang w:val="fr-FR"/>
        </w:rPr>
        <w:t xml:space="preserve"> </w:t>
      </w:r>
      <w:r w:rsidRPr="00144098">
        <w:rPr>
          <w:rFonts w:ascii="Times New Roman" w:hAnsi="Times New Roman" w:cs="Times New Roman"/>
          <w:b/>
          <w:color w:val="000000" w:themeColor="text1"/>
          <w:sz w:val="24"/>
          <w:szCs w:val="24"/>
          <w:lang w:val="fr-FR"/>
        </w:rPr>
        <w:t>européenne</w:t>
      </w:r>
      <w:bookmarkEnd w:id="14"/>
      <w:r w:rsidRPr="00144098">
        <w:rPr>
          <w:rFonts w:ascii="Times New Roman" w:hAnsi="Times New Roman" w:cs="Times New Roman"/>
          <w:b/>
          <w:color w:val="000000" w:themeColor="text1"/>
          <w:sz w:val="24"/>
          <w:szCs w:val="24"/>
          <w:lang w:val="fr-FR"/>
        </w:rPr>
        <w:t xml:space="preserve"> </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Sur le plan systémique, l’émergence d’un pouvoir d’initiative législative direct bouleverserait foncièrement le système institutionnel de l’Union européenne. Il ne s’agit en effet pas simplement d’étendre les pouvoirs d’une institution, mais bien de remettre en question les équilibres institutionnels sur lesquels l’Union européenne est fondée.</w:t>
      </w:r>
      <w:r w:rsidRPr="00631F8A">
        <w:rPr>
          <w:rStyle w:val="Appelnotedebasdep"/>
          <w:color w:val="000000" w:themeColor="text1"/>
          <w:lang w:val="fr-FR"/>
        </w:rPr>
        <w:footnoteReference w:id="189"/>
      </w:r>
      <w:r w:rsidRPr="00631F8A">
        <w:rPr>
          <w:color w:val="000000" w:themeColor="text1"/>
          <w:lang w:val="fr-FR"/>
        </w:rPr>
        <w:t xml:space="preserve"> En premier lieu, un tel changement conduirait à une remise en cause, voire un abandon sur le long terme, de la méthode communautaire. Cette dernière, aux origines de la construction européenne et sans équivalent au sein d’autres organisations internationales, repose en essence sur l’institution de mécanismes supranationaux.</w:t>
      </w:r>
      <w:r w:rsidRPr="00631F8A">
        <w:rPr>
          <w:rStyle w:val="Appelnotedebasdep"/>
          <w:color w:val="000000" w:themeColor="text1"/>
          <w:lang w:val="fr-FR"/>
        </w:rPr>
        <w:footnoteReference w:id="190"/>
      </w:r>
      <w:r w:rsidRPr="00631F8A">
        <w:rPr>
          <w:color w:val="000000" w:themeColor="text1"/>
          <w:lang w:val="fr-FR"/>
        </w:rPr>
        <w:t xml:space="preserve"> En sa qualité de dépositaire de l'initiative législative, la Commission se situe en son cœur et en constitue même l’originalité.</w:t>
      </w:r>
      <w:r w:rsidRPr="00631F8A">
        <w:rPr>
          <w:rStyle w:val="Appelnotedebasdep"/>
          <w:color w:val="000000" w:themeColor="text1"/>
          <w:lang w:val="fr-FR"/>
        </w:rPr>
        <w:footnoteReference w:id="191"/>
      </w:r>
      <w:r w:rsidRPr="00631F8A">
        <w:rPr>
          <w:color w:val="000000" w:themeColor="text1"/>
          <w:lang w:val="fr-FR"/>
        </w:rPr>
        <w:t xml:space="preserve"> Garante de l’intérêt général européen, la Commission veille à ce que ne puissent être adoptées des initiatives qui mettent en péril l’acquis communautaire ou affaiblissent le projet européen.</w:t>
      </w:r>
      <w:r w:rsidRPr="00631F8A">
        <w:rPr>
          <w:rStyle w:val="Appelnotedebasdep"/>
          <w:color w:val="000000" w:themeColor="text1"/>
          <w:lang w:val="fr-FR"/>
        </w:rPr>
        <w:footnoteReference w:id="192"/>
      </w:r>
      <w:r w:rsidRPr="00631F8A">
        <w:rPr>
          <w:color w:val="000000" w:themeColor="text1"/>
          <w:lang w:val="fr-FR"/>
        </w:rPr>
        <w:t xml:space="preserve"> Permettre au Parlement européen d’engager le processus législatif aurait indubitablement un impact non négligeable sur la place de la Commission au sein du système communautaire.</w:t>
      </w:r>
      <w:r w:rsidRPr="00631F8A">
        <w:rPr>
          <w:rStyle w:val="Appelnotedebasdep"/>
          <w:color w:val="000000" w:themeColor="text1"/>
          <w:lang w:val="fr-FR"/>
        </w:rPr>
        <w:footnoteReference w:id="193"/>
      </w:r>
      <w:r w:rsidRPr="00631F8A">
        <w:rPr>
          <w:color w:val="000000" w:themeColor="text1"/>
          <w:lang w:val="fr-FR"/>
        </w:rPr>
        <w:t xml:space="preserve"> Quand bien même cette dernière conserverait son pouvoir d’initiative, elle pourrait désormais se voir contourner et reléguer au second plan, et perdrait ainsi en grande partie son autorité.</w:t>
      </w:r>
      <w:r w:rsidRPr="00631F8A">
        <w:rPr>
          <w:rStyle w:val="Appelnotedebasdep"/>
          <w:color w:val="000000" w:themeColor="text1"/>
          <w:lang w:val="fr-FR"/>
        </w:rPr>
        <w:footnoteReference w:id="194"/>
      </w:r>
      <w:r w:rsidRPr="00631F8A">
        <w:rPr>
          <w:color w:val="000000" w:themeColor="text1"/>
          <w:lang w:val="fr-FR"/>
        </w:rPr>
        <w:t xml:space="preserve"> Le triangle institutionnel pourrait alors se muer en un dialogue législatif entre le Parlement européen et le Conseil, où la Commission devrait se contenter d’un rôle de spectateur. Plus encore, il ne peut être exclu que le pouvoir d’initiative de la Commission se réduise comme une peau de chagrin et, partant, que la pertinence de la Commission, dépossédée de ce qui la singularisait autrefois, soit contestée. L’avènement d’un pouvoir d’initiative pourrait ainsi aboutir à un système institutionnel </w:t>
      </w:r>
      <w:r w:rsidRPr="00631F8A">
        <w:rPr>
          <w:color w:val="000000" w:themeColor="text1"/>
          <w:lang w:val="fr-FR"/>
        </w:rPr>
        <w:lastRenderedPageBreak/>
        <w:t>radicalement différent, au sein duquel la méthode communautaire ne serait qu’un lointain souvenir.</w:t>
      </w:r>
      <w:r w:rsidRPr="00631F8A">
        <w:rPr>
          <w:rStyle w:val="Appelnotedebasdep"/>
          <w:color w:val="000000" w:themeColor="text1"/>
          <w:lang w:val="fr-FR"/>
        </w:rPr>
        <w:footnoteReference w:id="195"/>
      </w:r>
      <w:r w:rsidRPr="00631F8A">
        <w:rPr>
          <w:color w:val="000000" w:themeColor="text1"/>
          <w:lang w:val="fr-FR"/>
        </w:rPr>
        <w:t xml:space="preserve"> </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C’est ensuite la nature du Parlement européen qui serait modifiée en profondeur. Dans le système actuel, aucune des trois institutions que sont la Commission, le Conseil et le Parlement européen n’est en mesure de dominer le jeu politique.</w:t>
      </w:r>
      <w:r w:rsidRPr="00631F8A">
        <w:rPr>
          <w:rStyle w:val="Appelnotedebasdep"/>
          <w:color w:val="000000" w:themeColor="text1"/>
          <w:lang w:val="fr-FR"/>
        </w:rPr>
        <w:footnoteReference w:id="196"/>
      </w:r>
      <w:r w:rsidRPr="00631F8A">
        <w:rPr>
          <w:color w:val="000000" w:themeColor="text1"/>
          <w:lang w:val="fr-FR"/>
        </w:rPr>
        <w:t xml:space="preserve"> L’Union européenne est un régime « acéphale », fondé sur une négociation continue entre ces trois pôles de pouvoir, sans qu’aucun d’eux ne parvienne à monopoliser les </w:t>
      </w:r>
      <w:r>
        <w:rPr>
          <w:color w:val="000000" w:themeColor="text1"/>
          <w:lang w:val="fr-FR"/>
        </w:rPr>
        <w:t>« </w:t>
      </w:r>
      <w:r w:rsidRPr="00631F8A">
        <w:rPr>
          <w:color w:val="000000" w:themeColor="text1"/>
          <w:lang w:val="fr-FR"/>
        </w:rPr>
        <w:t>fonctions de leadership</w:t>
      </w:r>
      <w:r>
        <w:rPr>
          <w:color w:val="000000" w:themeColor="text1"/>
          <w:lang w:val="fr-FR"/>
        </w:rPr>
        <w:t> »</w:t>
      </w:r>
      <w:r w:rsidRPr="00631F8A">
        <w:rPr>
          <w:color w:val="000000" w:themeColor="text1"/>
          <w:lang w:val="fr-FR"/>
        </w:rPr>
        <w:t>.</w:t>
      </w:r>
      <w:r w:rsidRPr="00631F8A">
        <w:rPr>
          <w:rStyle w:val="Appelnotedebasdep"/>
          <w:color w:val="000000" w:themeColor="text1"/>
          <w:lang w:val="fr-FR"/>
        </w:rPr>
        <w:footnoteReference w:id="197"/>
      </w:r>
      <w:r w:rsidRPr="00631F8A">
        <w:rPr>
          <w:color w:val="000000" w:themeColor="text1"/>
          <w:lang w:val="fr-FR"/>
        </w:rPr>
        <w:t xml:space="preserve"> Bien plus que de séparation de pouvoirs, il convient de parler de « mitigation de fonctions » au sein de l’Union européenne.</w:t>
      </w:r>
      <w:r w:rsidRPr="00631F8A">
        <w:rPr>
          <w:rStyle w:val="Appelnotedebasdep"/>
          <w:color w:val="000000" w:themeColor="text1"/>
          <w:lang w:val="fr-FR"/>
        </w:rPr>
        <w:footnoteReference w:id="198"/>
      </w:r>
      <w:r w:rsidRPr="00631F8A">
        <w:rPr>
          <w:color w:val="000000" w:themeColor="text1"/>
          <w:lang w:val="fr-FR"/>
        </w:rPr>
        <w:t xml:space="preserve"> Les procédures décisionnelles sont telles qu’il est </w:t>
      </w:r>
      <w:r>
        <w:rPr>
          <w:color w:val="000000" w:themeColor="text1"/>
          <w:lang w:val="fr-FR"/>
        </w:rPr>
        <w:t xml:space="preserve">virtuellement </w:t>
      </w:r>
      <w:r w:rsidRPr="00631F8A">
        <w:rPr>
          <w:color w:val="000000" w:themeColor="text1"/>
          <w:lang w:val="fr-FR"/>
        </w:rPr>
        <w:t>impossible pour une institution de parvenir à ses fins sans le support de ses partenaires.</w:t>
      </w:r>
      <w:r w:rsidRPr="00631F8A">
        <w:rPr>
          <w:rStyle w:val="Appelnotedebasdep"/>
          <w:color w:val="000000" w:themeColor="text1"/>
          <w:lang w:val="fr-FR"/>
        </w:rPr>
        <w:footnoteReference w:id="199"/>
      </w:r>
      <w:r w:rsidRPr="00631F8A">
        <w:rPr>
          <w:color w:val="000000" w:themeColor="text1"/>
          <w:lang w:val="fr-FR"/>
        </w:rPr>
        <w:t xml:space="preserve"> Ainsi, bien que la Commission dispose d’un monopole de l’initiative législative, elle se garde de déposer des propositions si elle ne peut compter sur le soutien du Conseil et du Parlement européen.</w:t>
      </w:r>
      <w:r w:rsidRPr="00631F8A">
        <w:rPr>
          <w:rStyle w:val="Appelnotedebasdep"/>
          <w:color w:val="000000" w:themeColor="text1"/>
          <w:lang w:val="fr-FR"/>
        </w:rPr>
        <w:footnoteReference w:id="200"/>
      </w:r>
      <w:r w:rsidRPr="00631F8A">
        <w:rPr>
          <w:color w:val="000000" w:themeColor="text1"/>
          <w:lang w:val="fr-FR"/>
        </w:rPr>
        <w:t xml:space="preserve"> De même, les parlementaires sont conscients que leurs souhaits resteront lettre morte s’ils ne bénéficient pas de l’appui de la Commission et du Conseil.</w:t>
      </w:r>
      <w:r w:rsidRPr="00631F8A">
        <w:rPr>
          <w:rStyle w:val="Appelnotedebasdep"/>
          <w:color w:val="000000" w:themeColor="text1"/>
          <w:lang w:val="fr-FR"/>
        </w:rPr>
        <w:footnoteReference w:id="201"/>
      </w:r>
      <w:r w:rsidRPr="00631F8A">
        <w:rPr>
          <w:color w:val="000000" w:themeColor="text1"/>
          <w:lang w:val="fr-FR"/>
        </w:rPr>
        <w:t xml:space="preserve"> L’équilibre institutionnel européen, qui s’est construit au fil du temps, repose donc par-dessus tout sur la collaboration.</w:t>
      </w:r>
      <w:r w:rsidRPr="00631F8A">
        <w:rPr>
          <w:rStyle w:val="Appelnotedebasdep"/>
          <w:color w:val="000000" w:themeColor="text1"/>
          <w:lang w:val="fr-FR"/>
        </w:rPr>
        <w:footnoteReference w:id="202"/>
      </w:r>
      <w:r w:rsidRPr="00631F8A">
        <w:rPr>
          <w:color w:val="000000" w:themeColor="text1"/>
          <w:lang w:val="fr-FR"/>
        </w:rPr>
        <w:t xml:space="preserve"> Le Parlement européen, contraint de négocier en permanence avec deux institutions, est enclin à rechercher le consensus et, par conséquent, ses interventions paraissent quelquefois peu « politiques », ce qui contraste </w:t>
      </w:r>
      <w:r>
        <w:rPr>
          <w:color w:val="000000" w:themeColor="text1"/>
          <w:lang w:val="fr-FR"/>
        </w:rPr>
        <w:t>fortement</w:t>
      </w:r>
      <w:r w:rsidRPr="00631F8A">
        <w:rPr>
          <w:color w:val="000000" w:themeColor="text1"/>
          <w:lang w:val="fr-FR"/>
        </w:rPr>
        <w:t xml:space="preserve"> avec la virulence des oppositions idéologiques qui prévaut le plus souvent au sein des assemblées législatives nationales.</w:t>
      </w:r>
      <w:r w:rsidRPr="00631F8A">
        <w:rPr>
          <w:rStyle w:val="Appelnotedebasdep"/>
          <w:color w:val="000000" w:themeColor="text1"/>
          <w:lang w:val="fr-FR"/>
        </w:rPr>
        <w:footnoteReference w:id="203"/>
      </w:r>
      <w:r w:rsidRPr="00631F8A">
        <w:rPr>
          <w:color w:val="000000" w:themeColor="text1"/>
          <w:lang w:val="fr-FR"/>
        </w:rPr>
        <w:t xml:space="preserve"> Conférer un pouvoir d’initiative au Parlement européen reviendrait ainsi à rendre ce dernier plus « politique ».</w:t>
      </w:r>
      <w:r w:rsidRPr="00631F8A">
        <w:rPr>
          <w:rStyle w:val="Appelnotedebasdep"/>
          <w:color w:val="000000" w:themeColor="text1"/>
          <w:lang w:val="fr-FR"/>
        </w:rPr>
        <w:footnoteReference w:id="204"/>
      </w:r>
      <w:r w:rsidRPr="00631F8A">
        <w:rPr>
          <w:color w:val="000000" w:themeColor="text1"/>
          <w:lang w:val="fr-FR"/>
        </w:rPr>
        <w:t xml:space="preserve"> Défait de la contrainte de négocier avec la Commission, le Parlement européen serait à même de porter directement ses idées au sein d’un dialogue législatif avec le Conseil.</w:t>
      </w:r>
      <w:r w:rsidRPr="00631F8A">
        <w:rPr>
          <w:rStyle w:val="Appelnotedebasdep"/>
          <w:color w:val="000000" w:themeColor="text1"/>
          <w:lang w:val="fr-FR"/>
        </w:rPr>
        <w:footnoteReference w:id="205"/>
      </w:r>
      <w:r w:rsidRPr="00631F8A">
        <w:rPr>
          <w:color w:val="000000" w:themeColor="text1"/>
          <w:lang w:val="fr-FR"/>
        </w:rPr>
        <w:t xml:space="preserve"> De plus, si les députés européens disposent individuellement du pouvoir d’initiative législative direct, le « duopole »</w:t>
      </w:r>
      <w:r w:rsidRPr="00631F8A">
        <w:rPr>
          <w:rStyle w:val="Appelnotedebasdep"/>
          <w:color w:val="000000" w:themeColor="text1"/>
          <w:lang w:val="fr-FR"/>
        </w:rPr>
        <w:footnoteReference w:id="206"/>
      </w:r>
      <w:r w:rsidRPr="00631F8A">
        <w:rPr>
          <w:color w:val="000000" w:themeColor="text1"/>
          <w:lang w:val="fr-FR"/>
        </w:rPr>
        <w:t xml:space="preserve"> composé des deux grands </w:t>
      </w:r>
      <w:r>
        <w:rPr>
          <w:color w:val="000000" w:themeColor="text1"/>
          <w:lang w:val="fr-FR"/>
        </w:rPr>
        <w:t>groupes</w:t>
      </w:r>
      <w:r w:rsidRPr="00631F8A">
        <w:rPr>
          <w:color w:val="000000" w:themeColor="text1"/>
          <w:lang w:val="fr-FR"/>
        </w:rPr>
        <w:t xml:space="preserve"> de l’hémicycle européen que sont le Parti Populaire Européen et </w:t>
      </w:r>
      <w:r w:rsidRPr="00631F8A">
        <w:rPr>
          <w:color w:val="000000" w:themeColor="text1"/>
          <w:lang w:val="fr-FR"/>
        </w:rPr>
        <w:lastRenderedPageBreak/>
        <w:t>l</w:t>
      </w:r>
      <w:r>
        <w:rPr>
          <w:color w:val="000000" w:themeColor="text1"/>
          <w:lang w:val="fr-FR"/>
        </w:rPr>
        <w:t>’</w:t>
      </w:r>
      <w:r w:rsidRPr="00575FFB">
        <w:rPr>
          <w:color w:val="000000" w:themeColor="text1"/>
          <w:lang w:val="fr-FR"/>
        </w:rPr>
        <w:t>Alliance progressiste des socialistes et des</w:t>
      </w:r>
      <w:r>
        <w:rPr>
          <w:color w:val="000000" w:themeColor="text1"/>
          <w:lang w:val="fr-FR"/>
        </w:rPr>
        <w:t xml:space="preserve"> démocrates </w:t>
      </w:r>
      <w:r w:rsidRPr="00631F8A">
        <w:rPr>
          <w:color w:val="000000" w:themeColor="text1"/>
          <w:lang w:val="fr-FR"/>
        </w:rPr>
        <w:t>perdrait une partie de son contrôle sur le Parlement européen.</w:t>
      </w:r>
    </w:p>
    <w:p w:rsidR="009A1106" w:rsidRPr="00631F8A"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Il s’ensuit logiquement que le parlementarisme européen se verrait vigoureusement renforcé avec l’avènement d’un pouvoir d’initiative législative direct. Avec le Professeur C</w:t>
      </w:r>
      <w:r w:rsidRPr="00631F8A">
        <w:rPr>
          <w:smallCaps/>
          <w:color w:val="000000" w:themeColor="text1"/>
          <w:lang w:val="fr-FR"/>
        </w:rPr>
        <w:t xml:space="preserve">osta, </w:t>
      </w:r>
      <w:r w:rsidRPr="00631F8A">
        <w:rPr>
          <w:color w:val="000000" w:themeColor="text1"/>
          <w:lang w:val="fr-FR"/>
        </w:rPr>
        <w:t xml:space="preserve">remarquons que l’assemblée européenne s’est </w:t>
      </w:r>
      <w:r w:rsidRPr="00F1239A">
        <w:rPr>
          <w:color w:val="000000" w:themeColor="text1"/>
          <w:lang w:val="fr-FR"/>
        </w:rPr>
        <w:t>progressivement « parlementarisée », en se dotant de tous les traits distinctifs des assemblées nationales : « appellation indépendance financière, organisation interne, mode d’élection, immunités et privilèges des membres ».</w:t>
      </w:r>
      <w:r w:rsidRPr="00F1239A">
        <w:rPr>
          <w:rStyle w:val="Appelnotedebasdep"/>
          <w:color w:val="000000" w:themeColor="text1"/>
          <w:lang w:val="fr-FR"/>
        </w:rPr>
        <w:footnoteReference w:id="207"/>
      </w:r>
      <w:r w:rsidRPr="00F1239A">
        <w:rPr>
          <w:color w:val="000000" w:themeColor="text1"/>
          <w:lang w:val="fr-FR"/>
        </w:rPr>
        <w:t xml:space="preserve"> </w:t>
      </w:r>
      <w:r w:rsidRPr="00631F8A">
        <w:rPr>
          <w:color w:val="000000" w:themeColor="text1"/>
          <w:lang w:val="fr-FR"/>
        </w:rPr>
        <w:t>Dans le même temps, comme déjà noté</w:t>
      </w:r>
      <w:r>
        <w:rPr>
          <w:color w:val="000000" w:themeColor="text1"/>
          <w:lang w:val="fr-FR"/>
        </w:rPr>
        <w:t xml:space="preserve"> précédemment</w:t>
      </w:r>
      <w:r w:rsidRPr="00631F8A">
        <w:rPr>
          <w:color w:val="000000" w:themeColor="text1"/>
          <w:lang w:val="fr-FR"/>
        </w:rPr>
        <w:t>, les prérogatives du Parlement européen au sein du processus normatif européen ont évolué de manière exponentielle, comme en atteste la procédure législative ordinaire qui place, aujourd’hui, le Conseil et le Parlement européen sur un pied d’égalité.</w:t>
      </w:r>
      <w:r w:rsidRPr="00631F8A">
        <w:rPr>
          <w:rStyle w:val="Appelnotedebasdep"/>
          <w:color w:val="000000" w:themeColor="text1"/>
          <w:lang w:val="fr-FR"/>
        </w:rPr>
        <w:footnoteReference w:id="208"/>
      </w:r>
      <w:r w:rsidRPr="00631F8A">
        <w:rPr>
          <w:color w:val="000000" w:themeColor="text1"/>
          <w:lang w:val="fr-FR"/>
        </w:rPr>
        <w:t xml:space="preserve"> Cela étant, ni la Commission ni le Conseil ne disposent d’un pouvoir de dissolution à l’égard du Parlement européen. L’émergence d’un pouvoir d’initiative législative direct pousserait de toute évidence à la réflexion en vue d’éviter que le système institutionnel européen ne se transforme en un régime d’assemblée au sein duquel la Commission serait inféodée.</w:t>
      </w:r>
      <w:r w:rsidRPr="00631F8A">
        <w:rPr>
          <w:rStyle w:val="Appelnotedebasdep"/>
          <w:color w:val="000000" w:themeColor="text1"/>
          <w:lang w:val="fr-FR"/>
        </w:rPr>
        <w:footnoteReference w:id="209"/>
      </w:r>
    </w:p>
    <w:p w:rsidR="009A1106"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Si le Parlement européen et la Commission sont les premiers concernés par la révolution que constituerait un pouvoir d’initiative législative direct, l’attribution d’un tel pouvoir soulève également de nombreuses interrogations à l’égard d’autres instances de pouvoir. Ce sont tout d’abord les homologues nationaux du Parlement européen qui pourraient voir leur rôle fragilisé dans le système institutionnel européen. Avec les traités de Maastricht et d'Amsterdam, les parlements nationaux ont été amenés à participer davantage aux activités de l'Union européenne et à exprimer leur point de vue sur des questions de nature à les intéresser.</w:t>
      </w:r>
      <w:r w:rsidRPr="00631F8A">
        <w:rPr>
          <w:rStyle w:val="Appelnotedebasdep"/>
          <w:color w:val="000000" w:themeColor="text1"/>
          <w:lang w:val="fr-FR"/>
        </w:rPr>
        <w:footnoteReference w:id="210"/>
      </w:r>
      <w:r w:rsidRPr="00631F8A">
        <w:rPr>
          <w:color w:val="000000" w:themeColor="text1"/>
          <w:lang w:val="fr-FR"/>
        </w:rPr>
        <w:t xml:space="preserve"> En outre, avec le traité de Lisbonne, les parlements européens ont désormais leur rôle défini au sein d’une disposition particulière, à savoir l'article 12 TUE, et se voient confier une mission essentielle à l’égard du principe de subsidiarité.</w:t>
      </w:r>
      <w:r w:rsidRPr="00631F8A">
        <w:rPr>
          <w:rStyle w:val="Appelnotedebasdep"/>
          <w:color w:val="000000" w:themeColor="text1"/>
          <w:lang w:val="fr-FR"/>
        </w:rPr>
        <w:footnoteReference w:id="211"/>
      </w:r>
      <w:r w:rsidRPr="00631F8A">
        <w:rPr>
          <w:color w:val="000000" w:themeColor="text1"/>
          <w:lang w:val="fr-FR"/>
        </w:rPr>
        <w:t xml:space="preserve"> Si certains auteurs, tel que le Professeur </w:t>
      </w:r>
      <w:r w:rsidRPr="00631F8A">
        <w:rPr>
          <w:smallCaps/>
          <w:color w:val="000000" w:themeColor="text1"/>
          <w:lang w:val="fr-FR"/>
        </w:rPr>
        <w:t>Berrod,</w:t>
      </w:r>
      <w:r w:rsidRPr="00631F8A">
        <w:rPr>
          <w:color w:val="000000" w:themeColor="text1"/>
          <w:lang w:val="fr-FR"/>
        </w:rPr>
        <w:t xml:space="preserve"> considèrent que les pouvoirs des parlements nationaux </w:t>
      </w:r>
      <w:r w:rsidRPr="00631F8A">
        <w:rPr>
          <w:color w:val="000000" w:themeColor="text1"/>
          <w:lang w:val="fr-FR"/>
        </w:rPr>
        <w:lastRenderedPageBreak/>
        <w:t>devraient encore être renforcés,</w:t>
      </w:r>
      <w:r w:rsidRPr="00631F8A">
        <w:rPr>
          <w:rStyle w:val="Appelnotedebasdep"/>
          <w:color w:val="000000" w:themeColor="text1"/>
          <w:lang w:val="fr-FR"/>
        </w:rPr>
        <w:footnoteReference w:id="212"/>
      </w:r>
      <w:r w:rsidRPr="00631F8A">
        <w:rPr>
          <w:color w:val="000000" w:themeColor="text1"/>
          <w:lang w:val="fr-FR"/>
        </w:rPr>
        <w:t xml:space="preserve"> conférer au Parlement européen un pouvoir d’initiative pourrait produire l’effet inverse. En effet, placer le Parlement européen au centre de l’échiquier institutionnel pourrait faire de l’ombre aux parlements nationaux et à leur place récemment acquise au sein du système institutionnel européen, l’accent étant dès lors mis sur la légitimité supranationale. </w:t>
      </w:r>
    </w:p>
    <w:p w:rsidR="009A1106" w:rsidRDefault="009A1106" w:rsidP="009A1106">
      <w:pPr>
        <w:pStyle w:val="NormalWeb"/>
        <w:tabs>
          <w:tab w:val="left" w:pos="284"/>
        </w:tabs>
        <w:spacing w:before="120" w:beforeAutospacing="0" w:after="120" w:afterAutospacing="0" w:line="360" w:lineRule="auto"/>
        <w:ind w:firstLine="284"/>
        <w:jc w:val="both"/>
        <w:rPr>
          <w:color w:val="000000" w:themeColor="text1"/>
          <w:lang w:val="fr-FR"/>
        </w:rPr>
      </w:pPr>
      <w:r w:rsidRPr="00631F8A">
        <w:rPr>
          <w:color w:val="000000" w:themeColor="text1"/>
          <w:lang w:val="fr-FR"/>
        </w:rPr>
        <w:t>Du côté des institutions de l’Union, se poserait la question de savoir si le Conseil doit aussi se voir conférer un pouvoir d’initiative législative direct.</w:t>
      </w:r>
      <w:r w:rsidRPr="00631F8A">
        <w:rPr>
          <w:rStyle w:val="Appelnotedebasdep"/>
          <w:color w:val="000000" w:themeColor="text1"/>
          <w:lang w:val="fr-FR"/>
        </w:rPr>
        <w:footnoteReference w:id="213"/>
      </w:r>
      <w:r w:rsidRPr="00631F8A">
        <w:rPr>
          <w:color w:val="000000" w:themeColor="text1"/>
          <w:lang w:val="fr-FR"/>
        </w:rPr>
        <w:t xml:space="preserve"> Une question connexe émergerait alors, à savoir si un tel droit doit être attribué aux États membres individuellement ou seulement à un groupe d'États membres.</w:t>
      </w:r>
      <w:r w:rsidRPr="00631F8A">
        <w:rPr>
          <w:rStyle w:val="Appelnotedebasdep"/>
          <w:color w:val="000000" w:themeColor="text1"/>
          <w:lang w:val="fr-FR"/>
        </w:rPr>
        <w:footnoteReference w:id="214"/>
      </w:r>
      <w:r w:rsidRPr="00631F8A">
        <w:rPr>
          <w:color w:val="000000" w:themeColor="text1"/>
          <w:lang w:val="fr-FR"/>
        </w:rPr>
        <w:t xml:space="preserve"> En toute hypothèse, la perspective d’un pouvoir d’initiative législative direct du Conseil ne paraît guère attrayante, dès lors que ce dernier pourrait vouloir détricoter l’acquis communautaire, comme le notait déjà le Président de la Cour de Justice, Mr. Koen Lenaerts en 1991.</w:t>
      </w:r>
      <w:r w:rsidRPr="00631F8A">
        <w:rPr>
          <w:rStyle w:val="Appelnotedebasdep"/>
          <w:color w:val="000000" w:themeColor="text1"/>
          <w:lang w:val="fr-FR"/>
        </w:rPr>
        <w:footnoteReference w:id="215"/>
      </w:r>
      <w:r w:rsidRPr="00631F8A">
        <w:rPr>
          <w:color w:val="000000" w:themeColor="text1"/>
          <w:lang w:val="fr-FR"/>
        </w:rPr>
        <w:t xml:space="preserve"> À cet égard, il convient de rappeler que le compromis du pouvoir d’initiative législative indirect consacré par le traité de Maastricht trouve son origine dans cette préoccupation.</w:t>
      </w:r>
      <w:r w:rsidRPr="00631F8A">
        <w:rPr>
          <w:rStyle w:val="Appelnotedebasdep"/>
          <w:color w:val="000000" w:themeColor="text1"/>
          <w:lang w:val="fr-FR"/>
        </w:rPr>
        <w:footnoteReference w:id="216"/>
      </w:r>
      <w:r w:rsidRPr="00631F8A">
        <w:rPr>
          <w:color w:val="000000" w:themeColor="text1"/>
          <w:lang w:val="fr-FR"/>
        </w:rPr>
        <w:t xml:space="preserve"> Enfin, le Conseil européen devrait quant à lui adapter sa stratégie, la Commission qui était devenue son premier relai en vue de faire des propositions législatives perdant en autorité. </w:t>
      </w:r>
    </w:p>
    <w:p w:rsidR="009A1106" w:rsidRPr="00144098" w:rsidRDefault="009A1106" w:rsidP="009A1106">
      <w:pPr>
        <w:pStyle w:val="Titre2"/>
        <w:spacing w:before="120" w:after="120" w:line="360" w:lineRule="auto"/>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ab/>
      </w:r>
      <w:bookmarkStart w:id="15" w:name="_Toc7535848"/>
      <w:r w:rsidRPr="00144098">
        <w:rPr>
          <w:rFonts w:ascii="Times New Roman" w:hAnsi="Times New Roman" w:cs="Times New Roman"/>
          <w:b/>
          <w:color w:val="000000" w:themeColor="text1"/>
          <w:sz w:val="24"/>
          <w:szCs w:val="24"/>
          <w:lang w:val="fr-FR"/>
        </w:rPr>
        <w:t>B. Un pouvoir d’initiative législative direct, mais sous quelle forme ?</w:t>
      </w:r>
      <w:bookmarkEnd w:id="15"/>
      <w:r w:rsidRPr="00144098">
        <w:rPr>
          <w:rFonts w:ascii="Times New Roman" w:hAnsi="Times New Roman" w:cs="Times New Roman"/>
          <w:b/>
          <w:color w:val="000000" w:themeColor="text1"/>
          <w:sz w:val="24"/>
          <w:szCs w:val="24"/>
          <w:lang w:val="fr-FR"/>
        </w:rPr>
        <w:t xml:space="preserve">  </w:t>
      </w:r>
    </w:p>
    <w:p w:rsidR="009A1106" w:rsidRPr="00631F8A" w:rsidRDefault="009A1106" w:rsidP="009A1106">
      <w:pPr>
        <w:spacing w:before="120" w:after="120" w:line="360" w:lineRule="auto"/>
        <w:ind w:firstLine="284"/>
        <w:jc w:val="both"/>
        <w:rPr>
          <w:rFonts w:ascii="Times New Roman" w:eastAsia="Times New Roman" w:hAnsi="Times New Roman" w:cs="Times New Roman"/>
          <w:color w:val="000000" w:themeColor="text1"/>
          <w:sz w:val="24"/>
          <w:szCs w:val="24"/>
          <w:lang w:val="fr-FR" w:eastAsia="fr-FR"/>
        </w:rPr>
      </w:pPr>
      <w:r w:rsidRPr="00631F8A">
        <w:rPr>
          <w:rFonts w:ascii="Times New Roman" w:eastAsia="Times New Roman" w:hAnsi="Times New Roman" w:cs="Times New Roman"/>
          <w:color w:val="000000" w:themeColor="text1"/>
          <w:sz w:val="24"/>
          <w:szCs w:val="24"/>
          <w:lang w:val="fr-FR" w:eastAsia="fr-FR"/>
        </w:rPr>
        <w:t xml:space="preserve">Brièvement, pour l’exhaustivité de la réflexion, il convient de se pencher sur la forme que prendrait le pouvoir d’initiative législative direct du Parlement européen. Dans cette optique, il est intéressant d’examiner au préalable la structure du pouvoir d'initiative législative au sein d’autres systèmes institutionnels. </w:t>
      </w:r>
      <w:r w:rsidRPr="00512AA8">
        <w:rPr>
          <w:rFonts w:ascii="Times New Roman" w:eastAsia="Times New Roman" w:hAnsi="Times New Roman" w:cs="Times New Roman"/>
          <w:color w:val="171717" w:themeColor="background2" w:themeShade="1A"/>
          <w:sz w:val="24"/>
          <w:szCs w:val="24"/>
          <w:lang w:val="fr-FR" w:eastAsia="fr-FR"/>
        </w:rPr>
        <w:t>Un premier modèle est celui des États au sein desquels une séparation des pouvoirs stricte prévaut, ce qui aboutit à la présentation de toutes les propositions législatives par les seuls membres du corps législatif</w:t>
      </w:r>
      <w:r w:rsidRPr="00631F8A">
        <w:rPr>
          <w:rFonts w:ascii="Times New Roman" w:eastAsia="Times New Roman" w:hAnsi="Times New Roman" w:cs="Times New Roman"/>
          <w:color w:val="000000" w:themeColor="text1"/>
          <w:sz w:val="24"/>
          <w:szCs w:val="24"/>
          <w:lang w:val="fr-FR" w:eastAsia="fr-FR"/>
        </w:rPr>
        <w:t>.</w:t>
      </w:r>
      <w:r w:rsidRPr="00631F8A">
        <w:rPr>
          <w:rFonts w:ascii="Times New Roman" w:eastAsia="Times New Roman" w:hAnsi="Times New Roman" w:cs="Times New Roman"/>
          <w:color w:val="000000" w:themeColor="text1"/>
          <w:sz w:val="24"/>
          <w:szCs w:val="24"/>
          <w:vertAlign w:val="superscript"/>
          <w:lang w:val="fr-FR" w:eastAsia="fr-FR"/>
        </w:rPr>
        <w:footnoteReference w:id="217"/>
      </w:r>
      <w:r w:rsidRPr="00631F8A">
        <w:rPr>
          <w:rFonts w:ascii="Times New Roman" w:eastAsia="Times New Roman" w:hAnsi="Times New Roman" w:cs="Times New Roman"/>
          <w:color w:val="000000" w:themeColor="text1"/>
          <w:sz w:val="24"/>
          <w:szCs w:val="24"/>
          <w:lang w:val="fr-FR" w:eastAsia="fr-FR"/>
        </w:rPr>
        <w:t xml:space="preserve"> Ce modèle est symbolisé par le système des États-Unis d’Amérique, où</w:t>
      </w:r>
      <w:r w:rsidRPr="00631F8A">
        <w:rPr>
          <w:rFonts w:ascii="Times New Roman" w:eastAsia="Times New Roman" w:hAnsi="Times New Roman" w:cs="Times New Roman"/>
          <w:color w:val="000000" w:themeColor="text1"/>
          <w:sz w:val="24"/>
          <w:szCs w:val="24"/>
          <w:lang w:val="fr-BE" w:eastAsia="fr-FR"/>
        </w:rPr>
        <w:t xml:space="preserve"> seul un membre de la Chambre des représentants ou du Sénat peut déposer une proposition de loi.</w:t>
      </w:r>
      <w:r w:rsidRPr="00631F8A">
        <w:rPr>
          <w:rFonts w:ascii="Times New Roman" w:eastAsia="Times New Roman" w:hAnsi="Times New Roman" w:cs="Times New Roman"/>
          <w:color w:val="000000" w:themeColor="text1"/>
          <w:sz w:val="24"/>
          <w:szCs w:val="24"/>
          <w:vertAlign w:val="superscript"/>
          <w:lang w:val="fr-BE" w:eastAsia="fr-FR"/>
        </w:rPr>
        <w:footnoteReference w:id="218"/>
      </w:r>
      <w:r w:rsidRPr="00631F8A">
        <w:rPr>
          <w:rFonts w:ascii="Times New Roman" w:eastAsia="Times New Roman" w:hAnsi="Times New Roman" w:cs="Times New Roman"/>
          <w:color w:val="000000" w:themeColor="text1"/>
          <w:sz w:val="24"/>
          <w:szCs w:val="24"/>
          <w:lang w:val="fr-BE" w:eastAsia="fr-FR"/>
        </w:rPr>
        <w:t xml:space="preserve"> En ce sens la section première de l’article I de la Constitution des </w:t>
      </w:r>
      <w:r w:rsidRPr="00631F8A">
        <w:rPr>
          <w:rFonts w:ascii="Times New Roman" w:eastAsia="Times New Roman" w:hAnsi="Times New Roman" w:cs="Times New Roman"/>
          <w:color w:val="000000" w:themeColor="text1"/>
          <w:sz w:val="24"/>
          <w:szCs w:val="24"/>
          <w:lang w:val="fr-FR" w:eastAsia="fr-FR"/>
        </w:rPr>
        <w:t xml:space="preserve">États-Unis dispose que « tous les pouvoirs </w:t>
      </w:r>
      <w:r w:rsidRPr="00631F8A">
        <w:rPr>
          <w:rFonts w:ascii="Times New Roman" w:eastAsia="Times New Roman" w:hAnsi="Times New Roman" w:cs="Times New Roman"/>
          <w:color w:val="000000" w:themeColor="text1"/>
          <w:sz w:val="24"/>
          <w:szCs w:val="24"/>
          <w:lang w:val="fr-FR" w:eastAsia="fr-FR"/>
        </w:rPr>
        <w:lastRenderedPageBreak/>
        <w:t xml:space="preserve">législatifs accordés par la présente Constitution seront attribués à un Congrès des </w:t>
      </w:r>
      <w:r w:rsidRPr="00631F8A">
        <w:rPr>
          <w:rFonts w:ascii="Times New Roman" w:eastAsia="Times New Roman" w:hAnsi="Times New Roman" w:cs="Times New Roman"/>
          <w:color w:val="000000" w:themeColor="text1"/>
          <w:sz w:val="24"/>
          <w:szCs w:val="24"/>
          <w:lang w:val="fr-BE" w:eastAsia="fr-FR"/>
        </w:rPr>
        <w:t>États-Unis, qui sera composé d’un Sénat et d’une Chambre des représentants. »</w:t>
      </w:r>
      <w:r w:rsidRPr="00631F8A">
        <w:rPr>
          <w:rStyle w:val="Appelnotedebasdep"/>
          <w:rFonts w:ascii="Times New Roman" w:eastAsia="Times New Roman" w:hAnsi="Times New Roman" w:cs="Times New Roman"/>
          <w:color w:val="000000" w:themeColor="text1"/>
          <w:sz w:val="24"/>
          <w:szCs w:val="24"/>
          <w:lang w:val="fr-BE" w:eastAsia="fr-FR"/>
        </w:rPr>
        <w:footnoteReference w:id="219"/>
      </w:r>
      <w:r w:rsidRPr="00631F8A">
        <w:rPr>
          <w:rFonts w:ascii="Times New Roman" w:eastAsia="Times New Roman" w:hAnsi="Times New Roman" w:cs="Times New Roman"/>
          <w:color w:val="000000" w:themeColor="text1"/>
          <w:sz w:val="24"/>
          <w:szCs w:val="24"/>
          <w:lang w:val="fr-BE" w:eastAsia="fr-FR"/>
        </w:rPr>
        <w:t xml:space="preserve"> Si l’on retrouve des dispositions analogues au sein des constitutions des </w:t>
      </w:r>
      <w:r w:rsidRPr="00631F8A">
        <w:rPr>
          <w:rFonts w:ascii="Times New Roman" w:eastAsia="Times New Roman" w:hAnsi="Times New Roman" w:cs="Times New Roman"/>
          <w:color w:val="000000" w:themeColor="text1"/>
          <w:sz w:val="24"/>
          <w:szCs w:val="24"/>
          <w:lang w:val="fr-FR" w:eastAsia="fr-FR"/>
        </w:rPr>
        <w:t>États membres de l’Union européenne, aux États-Unis, elle signifie que le Congrès légifère seul avec tout ce que cela comporte, y inclus le pouvoir d’initiative législative.</w:t>
      </w:r>
      <w:r w:rsidRPr="00631F8A">
        <w:rPr>
          <w:rFonts w:ascii="Times New Roman" w:eastAsia="Times New Roman" w:hAnsi="Times New Roman" w:cs="Times New Roman"/>
          <w:color w:val="000000" w:themeColor="text1"/>
          <w:sz w:val="24"/>
          <w:szCs w:val="24"/>
          <w:vertAlign w:val="superscript"/>
          <w:lang w:val="fr-FR" w:eastAsia="fr-FR"/>
        </w:rPr>
        <w:footnoteReference w:id="220"/>
      </w:r>
      <w:r w:rsidRPr="00631F8A">
        <w:rPr>
          <w:rFonts w:ascii="Times New Roman" w:eastAsia="Times New Roman" w:hAnsi="Times New Roman" w:cs="Times New Roman"/>
          <w:color w:val="000000" w:themeColor="text1"/>
          <w:sz w:val="24"/>
          <w:szCs w:val="24"/>
          <w:lang w:val="fr-FR" w:eastAsia="fr-FR"/>
        </w:rPr>
        <w:t xml:space="preserve"> Notons que les députés américains font un usage extensif de ce pouvoir. Au cours de la 115</w:t>
      </w:r>
      <w:r w:rsidRPr="00631F8A">
        <w:rPr>
          <w:rFonts w:ascii="Times New Roman" w:eastAsia="Times New Roman" w:hAnsi="Times New Roman" w:cs="Times New Roman"/>
          <w:color w:val="000000" w:themeColor="text1"/>
          <w:sz w:val="24"/>
          <w:szCs w:val="24"/>
          <w:vertAlign w:val="superscript"/>
          <w:lang w:val="fr-FR" w:eastAsia="fr-FR"/>
        </w:rPr>
        <w:t>e</w:t>
      </w:r>
      <w:r w:rsidRPr="00631F8A">
        <w:rPr>
          <w:rFonts w:ascii="Times New Roman" w:eastAsia="Times New Roman" w:hAnsi="Times New Roman" w:cs="Times New Roman"/>
          <w:color w:val="000000" w:themeColor="text1"/>
          <w:sz w:val="24"/>
          <w:szCs w:val="24"/>
          <w:lang w:val="fr-FR" w:eastAsia="fr-FR"/>
        </w:rPr>
        <w:t xml:space="preserve"> session du Congrès (du 3 janvier 2017 au 3 janvier 2019), 13566 propositions législatives ont été introduites, alors que durant la 114</w:t>
      </w:r>
      <w:r w:rsidRPr="00631F8A">
        <w:rPr>
          <w:rFonts w:ascii="Times New Roman" w:eastAsia="Times New Roman" w:hAnsi="Times New Roman" w:cs="Times New Roman"/>
          <w:color w:val="000000" w:themeColor="text1"/>
          <w:sz w:val="24"/>
          <w:szCs w:val="24"/>
          <w:vertAlign w:val="superscript"/>
          <w:lang w:val="fr-FR" w:eastAsia="fr-FR"/>
        </w:rPr>
        <w:t>e</w:t>
      </w:r>
      <w:r w:rsidRPr="00631F8A">
        <w:rPr>
          <w:rFonts w:ascii="Times New Roman" w:eastAsia="Times New Roman" w:hAnsi="Times New Roman" w:cs="Times New Roman"/>
          <w:color w:val="000000" w:themeColor="text1"/>
          <w:sz w:val="24"/>
          <w:szCs w:val="24"/>
          <w:lang w:val="fr-FR" w:eastAsia="fr-FR"/>
        </w:rPr>
        <w:t xml:space="preserve"> session du Congrès (du 6 janvier 2015 au 3 janvier 2017), 12063 ont été déposées.</w:t>
      </w:r>
      <w:r w:rsidRPr="00631F8A">
        <w:rPr>
          <w:rStyle w:val="Appelnotedebasdep"/>
          <w:rFonts w:ascii="Times New Roman" w:eastAsia="Times New Roman" w:hAnsi="Times New Roman" w:cs="Times New Roman"/>
          <w:color w:val="000000" w:themeColor="text1"/>
          <w:sz w:val="24"/>
          <w:szCs w:val="24"/>
          <w:lang w:val="fr-FR" w:eastAsia="fr-FR"/>
        </w:rPr>
        <w:footnoteReference w:id="221"/>
      </w:r>
      <w:r w:rsidRPr="00631F8A">
        <w:rPr>
          <w:rFonts w:ascii="Times New Roman" w:eastAsia="Times New Roman" w:hAnsi="Times New Roman" w:cs="Times New Roman"/>
          <w:color w:val="000000" w:themeColor="text1"/>
          <w:sz w:val="24"/>
          <w:szCs w:val="24"/>
          <w:lang w:val="fr-FR" w:eastAsia="fr-FR"/>
        </w:rPr>
        <w:t xml:space="preserve"> Cela étant, au cours de ces deux sessions, le taux de lois adoptées à la suite des propositions législative</w:t>
      </w:r>
      <w:r>
        <w:rPr>
          <w:rFonts w:ascii="Times New Roman" w:eastAsia="Times New Roman" w:hAnsi="Times New Roman" w:cs="Times New Roman"/>
          <w:color w:val="000000" w:themeColor="text1"/>
          <w:sz w:val="24"/>
          <w:szCs w:val="24"/>
          <w:lang w:val="fr-FR" w:eastAsia="fr-FR"/>
        </w:rPr>
        <w:t>s</w:t>
      </w:r>
      <w:r w:rsidRPr="00631F8A">
        <w:rPr>
          <w:rFonts w:ascii="Times New Roman" w:eastAsia="Times New Roman" w:hAnsi="Times New Roman" w:cs="Times New Roman"/>
          <w:color w:val="000000" w:themeColor="text1"/>
          <w:sz w:val="24"/>
          <w:szCs w:val="24"/>
          <w:lang w:val="fr-FR" w:eastAsia="fr-FR"/>
        </w:rPr>
        <w:t xml:space="preserve"> fut extrêmement modeste, à savoir dans les deux cas 3%.</w:t>
      </w:r>
      <w:r w:rsidRPr="00631F8A">
        <w:rPr>
          <w:rFonts w:ascii="Times New Roman" w:eastAsia="Times New Roman" w:hAnsi="Times New Roman" w:cs="Times New Roman"/>
          <w:color w:val="000000" w:themeColor="text1"/>
          <w:sz w:val="24"/>
          <w:szCs w:val="24"/>
          <w:vertAlign w:val="superscript"/>
          <w:lang w:val="fr-FR" w:eastAsia="fr-FR"/>
        </w:rPr>
        <w:footnoteReference w:id="222"/>
      </w:r>
      <w:r w:rsidRPr="00631F8A">
        <w:rPr>
          <w:rFonts w:ascii="Times New Roman" w:eastAsia="Times New Roman" w:hAnsi="Times New Roman" w:cs="Times New Roman"/>
          <w:color w:val="000000" w:themeColor="text1"/>
          <w:sz w:val="24"/>
          <w:szCs w:val="24"/>
          <w:lang w:val="fr-FR" w:eastAsia="fr-FR"/>
        </w:rPr>
        <w:t xml:space="preserve"> Le recours intensif au pouvoir d’initiative malgré les résultats décourageants, peut se comprendre par le fait que l’introduction d’une proposition législative n’a pas toujours pour objectif principal que celle-ci soit adoptée.</w:t>
      </w:r>
      <w:r w:rsidRPr="00631F8A">
        <w:rPr>
          <w:rFonts w:ascii="Times New Roman" w:eastAsia="Times New Roman" w:hAnsi="Times New Roman" w:cs="Times New Roman"/>
          <w:color w:val="000000" w:themeColor="text1"/>
          <w:sz w:val="24"/>
          <w:szCs w:val="24"/>
          <w:vertAlign w:val="superscript"/>
          <w:lang w:val="fr-FR" w:eastAsia="fr-FR"/>
        </w:rPr>
        <w:footnoteReference w:id="223"/>
      </w:r>
      <w:r w:rsidRPr="00631F8A">
        <w:rPr>
          <w:rFonts w:ascii="Times New Roman" w:eastAsia="Times New Roman" w:hAnsi="Times New Roman" w:cs="Times New Roman"/>
          <w:color w:val="000000" w:themeColor="text1"/>
          <w:sz w:val="24"/>
          <w:szCs w:val="24"/>
          <w:lang w:val="fr-FR" w:eastAsia="fr-FR"/>
        </w:rPr>
        <w:t xml:space="preserve"> </w:t>
      </w:r>
    </w:p>
    <w:p w:rsidR="009A1106" w:rsidRPr="00631F8A" w:rsidRDefault="009A1106" w:rsidP="009A1106">
      <w:pPr>
        <w:spacing w:before="120" w:after="120" w:line="360" w:lineRule="auto"/>
        <w:ind w:firstLine="284"/>
        <w:jc w:val="both"/>
        <w:rPr>
          <w:rFonts w:ascii="Times New Roman" w:eastAsia="Times New Roman" w:hAnsi="Times New Roman" w:cs="Times New Roman"/>
          <w:color w:val="000000" w:themeColor="text1"/>
          <w:sz w:val="24"/>
          <w:szCs w:val="24"/>
          <w:lang w:val="fr-FR" w:eastAsia="fr-FR"/>
        </w:rPr>
      </w:pPr>
      <w:r w:rsidRPr="00631F8A">
        <w:rPr>
          <w:rFonts w:ascii="Times New Roman" w:eastAsia="Times New Roman" w:hAnsi="Times New Roman" w:cs="Times New Roman"/>
          <w:color w:val="000000" w:themeColor="text1"/>
          <w:sz w:val="24"/>
          <w:szCs w:val="24"/>
          <w:lang w:val="fr-FR" w:eastAsia="fr-FR"/>
        </w:rPr>
        <w:t>Un second modèle est celui au sein duquel le pouvoir d’initiative législative est partagé entre les parlementaires et le pouvoir exécutif.</w:t>
      </w:r>
      <w:r w:rsidRPr="00631F8A">
        <w:rPr>
          <w:rFonts w:ascii="Times New Roman" w:eastAsia="Times New Roman" w:hAnsi="Times New Roman" w:cs="Times New Roman"/>
          <w:color w:val="000000" w:themeColor="text1"/>
          <w:sz w:val="24"/>
          <w:szCs w:val="24"/>
          <w:vertAlign w:val="superscript"/>
          <w:lang w:val="fr-FR" w:eastAsia="fr-FR"/>
        </w:rPr>
        <w:footnoteReference w:id="224"/>
      </w:r>
      <w:r w:rsidRPr="00631F8A">
        <w:rPr>
          <w:rFonts w:ascii="Times New Roman" w:eastAsia="Times New Roman" w:hAnsi="Times New Roman" w:cs="Times New Roman"/>
          <w:color w:val="000000" w:themeColor="text1"/>
          <w:sz w:val="24"/>
          <w:szCs w:val="24"/>
          <w:lang w:val="fr-FR" w:eastAsia="fr-FR"/>
        </w:rPr>
        <w:t xml:space="preserve"> Ce modèle est celui qui prédomine au sein des États membres de l’Union européenne. Tel que souligné par P. V</w:t>
      </w:r>
      <w:r w:rsidRPr="00631F8A">
        <w:rPr>
          <w:rFonts w:ascii="Times New Roman" w:eastAsia="Times New Roman" w:hAnsi="Times New Roman" w:cs="Times New Roman"/>
          <w:smallCaps/>
          <w:color w:val="000000" w:themeColor="text1"/>
          <w:sz w:val="24"/>
          <w:szCs w:val="24"/>
          <w:lang w:val="fr-FR" w:eastAsia="fr-FR"/>
        </w:rPr>
        <w:t xml:space="preserve">avrik, </w:t>
      </w:r>
      <w:r w:rsidRPr="00631F8A">
        <w:rPr>
          <w:rFonts w:ascii="Times New Roman" w:eastAsia="Times New Roman" w:hAnsi="Times New Roman" w:cs="Times New Roman"/>
          <w:color w:val="000000" w:themeColor="text1"/>
          <w:sz w:val="24"/>
          <w:szCs w:val="24"/>
          <w:lang w:val="fr-FR" w:eastAsia="fr-FR"/>
        </w:rPr>
        <w:t>après un examen approfondi de l’exercice de ce pouvoir au sein de 26 États membres, le pouvoir exécutif est le maillon central du pouvoir d’initiative législative, comme en témoigne, par exemple, le taux de réussite des propositions gouvernementales, élevé à 85 %.</w:t>
      </w:r>
      <w:r w:rsidRPr="00631F8A">
        <w:rPr>
          <w:rFonts w:ascii="Times New Roman" w:eastAsia="Times New Roman" w:hAnsi="Times New Roman" w:cs="Times New Roman"/>
          <w:color w:val="000000" w:themeColor="text1"/>
          <w:sz w:val="24"/>
          <w:szCs w:val="24"/>
          <w:vertAlign w:val="superscript"/>
          <w:lang w:val="fr-FR" w:eastAsia="fr-FR"/>
        </w:rPr>
        <w:footnoteReference w:id="225"/>
      </w:r>
      <w:r w:rsidRPr="00631F8A">
        <w:rPr>
          <w:rFonts w:ascii="Times New Roman" w:eastAsia="Times New Roman" w:hAnsi="Times New Roman" w:cs="Times New Roman"/>
          <w:color w:val="000000" w:themeColor="text1"/>
          <w:sz w:val="24"/>
          <w:szCs w:val="24"/>
          <w:lang w:val="fr-FR" w:eastAsia="fr-FR"/>
        </w:rPr>
        <w:t xml:space="preserve"> Cela étant, les gouvernements dans l'Union européenne ne sont pas les seuls à détenir le pouvoir d'initiative législative.</w:t>
      </w:r>
      <w:r w:rsidRPr="00631F8A">
        <w:rPr>
          <w:rFonts w:ascii="Times New Roman" w:eastAsia="Times New Roman" w:hAnsi="Times New Roman" w:cs="Times New Roman"/>
          <w:color w:val="000000" w:themeColor="text1"/>
          <w:sz w:val="24"/>
          <w:szCs w:val="24"/>
          <w:vertAlign w:val="superscript"/>
          <w:lang w:val="fr-FR" w:eastAsia="fr-FR"/>
        </w:rPr>
        <w:footnoteReference w:id="226"/>
      </w:r>
      <w:r w:rsidRPr="00631F8A">
        <w:rPr>
          <w:rFonts w:ascii="Times New Roman" w:eastAsia="Times New Roman" w:hAnsi="Times New Roman" w:cs="Times New Roman"/>
          <w:color w:val="000000" w:themeColor="text1"/>
          <w:sz w:val="24"/>
          <w:szCs w:val="24"/>
          <w:lang w:val="fr-FR" w:eastAsia="fr-FR"/>
        </w:rPr>
        <w:t xml:space="preserve"> En effet, dans chacun des États membres, un député ou plusieurs de ceux-ci sont habilités à présenter une proposition législative.</w:t>
      </w:r>
      <w:r w:rsidRPr="00631F8A">
        <w:rPr>
          <w:rFonts w:ascii="Times New Roman" w:eastAsia="Times New Roman" w:hAnsi="Times New Roman" w:cs="Times New Roman"/>
          <w:color w:val="000000" w:themeColor="text1"/>
          <w:sz w:val="24"/>
          <w:szCs w:val="24"/>
          <w:vertAlign w:val="superscript"/>
          <w:lang w:val="fr-FR" w:eastAsia="fr-FR"/>
        </w:rPr>
        <w:footnoteReference w:id="227"/>
      </w:r>
      <w:r w:rsidRPr="00631F8A">
        <w:rPr>
          <w:rFonts w:ascii="Times New Roman" w:eastAsia="Times New Roman" w:hAnsi="Times New Roman" w:cs="Times New Roman"/>
          <w:color w:val="000000" w:themeColor="text1"/>
          <w:sz w:val="24"/>
          <w:szCs w:val="24"/>
          <w:lang w:val="fr-FR" w:eastAsia="fr-FR"/>
        </w:rPr>
        <w:t xml:space="preserve"> En outre, dans certains États membres, d’autres acteurs tels que des régions ou encore des citoyens disposent du pouvoir d’initiative législative.</w:t>
      </w:r>
      <w:r w:rsidRPr="00631F8A">
        <w:rPr>
          <w:rFonts w:ascii="Times New Roman" w:eastAsia="Times New Roman" w:hAnsi="Times New Roman" w:cs="Times New Roman"/>
          <w:color w:val="000000" w:themeColor="text1"/>
          <w:sz w:val="24"/>
          <w:szCs w:val="24"/>
          <w:vertAlign w:val="superscript"/>
          <w:lang w:val="fr-FR" w:eastAsia="fr-FR"/>
        </w:rPr>
        <w:footnoteReference w:id="228"/>
      </w:r>
    </w:p>
    <w:p w:rsidR="009A1106" w:rsidRPr="00631F8A" w:rsidRDefault="009A1106" w:rsidP="009A1106">
      <w:pPr>
        <w:spacing w:before="120" w:after="120" w:line="360" w:lineRule="auto"/>
        <w:ind w:firstLine="284"/>
        <w:jc w:val="both"/>
        <w:rPr>
          <w:rFonts w:ascii="Times New Roman" w:eastAsia="Times New Roman" w:hAnsi="Times New Roman" w:cs="Times New Roman"/>
          <w:color w:val="000000" w:themeColor="text1"/>
          <w:sz w:val="24"/>
          <w:szCs w:val="24"/>
          <w:lang w:val="fr-FR" w:eastAsia="fr-FR"/>
        </w:rPr>
      </w:pPr>
      <w:r w:rsidRPr="00631F8A">
        <w:rPr>
          <w:rFonts w:ascii="Times New Roman" w:eastAsia="Times New Roman" w:hAnsi="Times New Roman" w:cs="Times New Roman"/>
          <w:color w:val="000000" w:themeColor="text1"/>
          <w:sz w:val="24"/>
          <w:szCs w:val="24"/>
          <w:lang w:val="fr-FR" w:eastAsia="fr-FR"/>
        </w:rPr>
        <w:t xml:space="preserve">Dans ce contexte, quel modèle devrait prévaloir avec l'avènement d'un pouvoir d'initiative législative direct du Parlement européen ? Ne prétendant pas être en mesure d'apporter une </w:t>
      </w:r>
      <w:r w:rsidRPr="00631F8A">
        <w:rPr>
          <w:rFonts w:ascii="Times New Roman" w:eastAsia="Times New Roman" w:hAnsi="Times New Roman" w:cs="Times New Roman"/>
          <w:color w:val="000000" w:themeColor="text1"/>
          <w:sz w:val="24"/>
          <w:szCs w:val="24"/>
          <w:lang w:val="fr-FR" w:eastAsia="fr-FR"/>
        </w:rPr>
        <w:lastRenderedPageBreak/>
        <w:t xml:space="preserve">réponse définitive, nous nous contenterons de quelques réflexions sous la forme de questions. </w:t>
      </w:r>
      <w:r w:rsidRPr="00631F8A">
        <w:rPr>
          <w:rFonts w:ascii="Times New Roman" w:eastAsia="Times New Roman" w:hAnsi="Times New Roman" w:cs="Times New Roman"/>
          <w:i/>
          <w:color w:val="000000" w:themeColor="text1"/>
          <w:sz w:val="24"/>
          <w:szCs w:val="24"/>
          <w:lang w:val="fr-FR" w:eastAsia="fr-FR"/>
        </w:rPr>
        <w:t>Primo</w:t>
      </w:r>
      <w:r w:rsidRPr="00631F8A">
        <w:rPr>
          <w:rFonts w:ascii="Times New Roman" w:eastAsia="Times New Roman" w:hAnsi="Times New Roman" w:cs="Times New Roman"/>
          <w:color w:val="000000" w:themeColor="text1"/>
          <w:sz w:val="24"/>
          <w:szCs w:val="24"/>
          <w:lang w:val="fr-FR" w:eastAsia="fr-FR"/>
        </w:rPr>
        <w:t>, une première question quelque peu provocatrice est de savoir si le Parlement détiendrait seul le pouvoir d’initiative législative. Si cette option semble improbable à court terme, dans la mesure où il est difficile d’imaginer que la Commission soit soudainement privée de son pouvoir d'initiative, le bouleversement profond du système induit par l’avènement du pouvoir d’initiative législative du Parlement européen pourrait changer la donne sur le long terme.  En effet, seul l'avenir nous apprendra si le système institutionnel européen se dirigera davantage vers le modèle continental avec une prédominance de l’exécutif à l’égard du pouvoir d’initiative législative, ou s'il se rapprochera plutôt du modèle américain où seul le Parlement dispose du pouvoir d'initiative législative.</w:t>
      </w:r>
      <w:r w:rsidRPr="00631F8A">
        <w:rPr>
          <w:rFonts w:ascii="Times New Roman" w:eastAsia="Times New Roman" w:hAnsi="Times New Roman" w:cs="Times New Roman"/>
          <w:color w:val="000000" w:themeColor="text1"/>
          <w:sz w:val="24"/>
          <w:szCs w:val="24"/>
          <w:vertAlign w:val="superscript"/>
          <w:lang w:val="fr-FR" w:eastAsia="fr-FR"/>
        </w:rPr>
        <w:footnoteReference w:id="229"/>
      </w:r>
      <w:r w:rsidRPr="00631F8A">
        <w:rPr>
          <w:rFonts w:ascii="Times New Roman" w:eastAsia="Times New Roman" w:hAnsi="Times New Roman" w:cs="Times New Roman"/>
          <w:color w:val="000000" w:themeColor="text1"/>
          <w:sz w:val="24"/>
          <w:szCs w:val="24"/>
          <w:lang w:val="fr-FR" w:eastAsia="fr-FR"/>
        </w:rPr>
        <w:t xml:space="preserve"> </w:t>
      </w:r>
      <w:r w:rsidRPr="00631F8A">
        <w:rPr>
          <w:rFonts w:ascii="Times New Roman" w:eastAsia="Times New Roman" w:hAnsi="Times New Roman" w:cs="Times New Roman"/>
          <w:i/>
          <w:color w:val="000000" w:themeColor="text1"/>
          <w:sz w:val="24"/>
          <w:szCs w:val="24"/>
          <w:lang w:val="fr-FR" w:eastAsia="fr-FR"/>
        </w:rPr>
        <w:t>Secundo</w:t>
      </w:r>
      <w:r w:rsidRPr="00631F8A">
        <w:rPr>
          <w:rFonts w:ascii="Times New Roman" w:eastAsia="Times New Roman" w:hAnsi="Times New Roman" w:cs="Times New Roman"/>
          <w:color w:val="000000" w:themeColor="text1"/>
          <w:sz w:val="24"/>
          <w:szCs w:val="24"/>
          <w:lang w:val="fr-FR" w:eastAsia="fr-FR"/>
        </w:rPr>
        <w:t>, se pose la question de savoir si d’autres instances de pouvoir que la Commission et le Parlement européen d</w:t>
      </w:r>
      <w:r w:rsidR="00627C2C">
        <w:rPr>
          <w:rFonts w:ascii="Times New Roman" w:eastAsia="Times New Roman" w:hAnsi="Times New Roman" w:cs="Times New Roman"/>
          <w:color w:val="000000" w:themeColor="text1"/>
          <w:sz w:val="24"/>
          <w:szCs w:val="24"/>
          <w:lang w:val="fr-FR" w:eastAsia="fr-FR"/>
        </w:rPr>
        <w:t>evrai</w:t>
      </w:r>
      <w:r w:rsidRPr="00631F8A">
        <w:rPr>
          <w:rFonts w:ascii="Times New Roman" w:eastAsia="Times New Roman" w:hAnsi="Times New Roman" w:cs="Times New Roman"/>
          <w:color w:val="000000" w:themeColor="text1"/>
          <w:sz w:val="24"/>
          <w:szCs w:val="24"/>
          <w:lang w:val="fr-FR" w:eastAsia="fr-FR"/>
        </w:rPr>
        <w:t>ent disposer du pouvoir d’initiative législative direc</w:t>
      </w:r>
      <w:r>
        <w:rPr>
          <w:rFonts w:ascii="Times New Roman" w:eastAsia="Times New Roman" w:hAnsi="Times New Roman" w:cs="Times New Roman"/>
          <w:color w:val="000000" w:themeColor="text1"/>
          <w:sz w:val="24"/>
          <w:szCs w:val="24"/>
          <w:lang w:val="fr-FR" w:eastAsia="fr-FR"/>
        </w:rPr>
        <w:t>t</w:t>
      </w:r>
      <w:r w:rsidRPr="00631F8A">
        <w:rPr>
          <w:rFonts w:ascii="Times New Roman" w:eastAsia="Times New Roman" w:hAnsi="Times New Roman" w:cs="Times New Roman"/>
          <w:color w:val="000000" w:themeColor="text1"/>
          <w:sz w:val="24"/>
          <w:szCs w:val="24"/>
          <w:lang w:val="fr-FR" w:eastAsia="fr-FR"/>
        </w:rPr>
        <w:t xml:space="preserve">. Si le cas du Conseil a déjà été abordé </w:t>
      </w:r>
      <w:r w:rsidRPr="00631F8A">
        <w:rPr>
          <w:rFonts w:ascii="Times New Roman" w:eastAsia="Times New Roman" w:hAnsi="Times New Roman" w:cs="Times New Roman"/>
          <w:i/>
          <w:color w:val="000000" w:themeColor="text1"/>
          <w:sz w:val="24"/>
          <w:szCs w:val="24"/>
          <w:lang w:val="fr-FR" w:eastAsia="fr-FR"/>
        </w:rPr>
        <w:t>supra</w:t>
      </w:r>
      <w:r w:rsidRPr="00631F8A">
        <w:rPr>
          <w:rFonts w:ascii="Times New Roman" w:eastAsia="Times New Roman" w:hAnsi="Times New Roman" w:cs="Times New Roman"/>
          <w:color w:val="000000" w:themeColor="text1"/>
          <w:sz w:val="24"/>
          <w:szCs w:val="24"/>
          <w:lang w:val="fr-FR" w:eastAsia="fr-FR"/>
        </w:rPr>
        <w:t xml:space="preserve">, il est remarquable de noter que le Professeur </w:t>
      </w:r>
      <w:r w:rsidRPr="00631F8A">
        <w:rPr>
          <w:rFonts w:ascii="Times New Roman" w:eastAsia="Times New Roman" w:hAnsi="Times New Roman" w:cs="Times New Roman"/>
          <w:smallCaps/>
          <w:color w:val="000000" w:themeColor="text1"/>
          <w:sz w:val="24"/>
          <w:szCs w:val="24"/>
          <w:lang w:val="fr-FR" w:eastAsia="fr-FR"/>
        </w:rPr>
        <w:t>Bertoncini</w:t>
      </w:r>
      <w:r w:rsidRPr="00631F8A">
        <w:rPr>
          <w:rFonts w:ascii="Times New Roman" w:eastAsia="Times New Roman" w:hAnsi="Times New Roman" w:cs="Times New Roman"/>
          <w:color w:val="000000" w:themeColor="text1"/>
          <w:sz w:val="24"/>
          <w:szCs w:val="24"/>
          <w:lang w:val="fr-FR" w:eastAsia="fr-FR"/>
        </w:rPr>
        <w:t xml:space="preserve"> propose qu’un tel pouvoir soit également accordé aux gouvernements nationaux,</w:t>
      </w:r>
      <w:r w:rsidRPr="00631F8A">
        <w:rPr>
          <w:rFonts w:ascii="Times New Roman" w:eastAsia="Times New Roman" w:hAnsi="Times New Roman" w:cs="Times New Roman"/>
          <w:color w:val="000000" w:themeColor="text1"/>
          <w:sz w:val="24"/>
          <w:szCs w:val="24"/>
          <w:vertAlign w:val="superscript"/>
          <w:lang w:val="fr-FR" w:eastAsia="fr-FR"/>
        </w:rPr>
        <w:footnoteReference w:id="230"/>
      </w:r>
      <w:r w:rsidRPr="00631F8A">
        <w:rPr>
          <w:rFonts w:ascii="Times New Roman" w:eastAsia="Times New Roman" w:hAnsi="Times New Roman" w:cs="Times New Roman"/>
          <w:color w:val="000000" w:themeColor="text1"/>
          <w:sz w:val="24"/>
          <w:szCs w:val="24"/>
          <w:lang w:val="fr-FR" w:eastAsia="fr-FR"/>
        </w:rPr>
        <w:t xml:space="preserve"> ce qui, selon lui, permettrait notamment de restaurer les conditions d'un réel débat sur les textes communautaires en vigueur.</w:t>
      </w:r>
      <w:r w:rsidRPr="00631F8A">
        <w:rPr>
          <w:rFonts w:ascii="Times New Roman" w:eastAsia="Times New Roman" w:hAnsi="Times New Roman" w:cs="Times New Roman"/>
          <w:color w:val="000000" w:themeColor="text1"/>
          <w:sz w:val="24"/>
          <w:szCs w:val="24"/>
          <w:vertAlign w:val="superscript"/>
          <w:lang w:val="fr-FR" w:eastAsia="fr-FR"/>
        </w:rPr>
        <w:footnoteReference w:id="231"/>
      </w:r>
      <w:r w:rsidRPr="00631F8A">
        <w:rPr>
          <w:rFonts w:ascii="Times New Roman" w:eastAsia="Times New Roman" w:hAnsi="Times New Roman" w:cs="Times New Roman"/>
          <w:color w:val="000000" w:themeColor="text1"/>
          <w:sz w:val="24"/>
          <w:szCs w:val="24"/>
          <w:lang w:val="fr-FR" w:eastAsia="fr-FR"/>
        </w:rPr>
        <w:t xml:space="preserve"> </w:t>
      </w:r>
      <w:r w:rsidRPr="00631F8A">
        <w:rPr>
          <w:rFonts w:ascii="Times New Roman" w:eastAsia="Times New Roman" w:hAnsi="Times New Roman" w:cs="Times New Roman"/>
          <w:i/>
          <w:color w:val="000000" w:themeColor="text1"/>
          <w:sz w:val="24"/>
          <w:szCs w:val="24"/>
          <w:lang w:val="fr-FR" w:eastAsia="fr-FR"/>
        </w:rPr>
        <w:t>Tertio</w:t>
      </w:r>
      <w:r w:rsidRPr="00631F8A">
        <w:rPr>
          <w:rFonts w:ascii="Times New Roman" w:eastAsia="Times New Roman" w:hAnsi="Times New Roman" w:cs="Times New Roman"/>
          <w:color w:val="000000" w:themeColor="text1"/>
          <w:sz w:val="24"/>
          <w:szCs w:val="24"/>
          <w:lang w:val="fr-FR" w:eastAsia="fr-FR"/>
        </w:rPr>
        <w:t>, il conviendrait d'examiner si un seuil minimum de parlementaires en vue de présenter une initiative législative d</w:t>
      </w:r>
      <w:r w:rsidR="00627C2C">
        <w:rPr>
          <w:rFonts w:ascii="Times New Roman" w:eastAsia="Times New Roman" w:hAnsi="Times New Roman" w:cs="Times New Roman"/>
          <w:color w:val="000000" w:themeColor="text1"/>
          <w:sz w:val="24"/>
          <w:szCs w:val="24"/>
          <w:lang w:val="fr-FR" w:eastAsia="fr-FR"/>
        </w:rPr>
        <w:t>evrai</w:t>
      </w:r>
      <w:r w:rsidRPr="00631F8A">
        <w:rPr>
          <w:rFonts w:ascii="Times New Roman" w:eastAsia="Times New Roman" w:hAnsi="Times New Roman" w:cs="Times New Roman"/>
          <w:color w:val="000000" w:themeColor="text1"/>
          <w:sz w:val="24"/>
          <w:szCs w:val="24"/>
          <w:lang w:val="fr-FR" w:eastAsia="fr-FR"/>
        </w:rPr>
        <w:t xml:space="preserve">t être mis en place. À cet égard, si le pouvoir d’initiative est accordé </w:t>
      </w:r>
      <w:r w:rsidRPr="00631F8A">
        <w:rPr>
          <w:rFonts w:ascii="Times New Roman" w:eastAsia="Times New Roman" w:hAnsi="Times New Roman" w:cs="Times New Roman"/>
          <w:color w:val="000000" w:themeColor="text1"/>
          <w:sz w:val="24"/>
          <w:szCs w:val="24"/>
          <w:lang w:val="fr-BE" w:eastAsia="fr-FR"/>
        </w:rPr>
        <w:t>à chaque député, il est probable que de trop nombreuses propositions soient présentées, ce qui pourrait enrayer le système.</w:t>
      </w:r>
      <w:r w:rsidRPr="00631F8A">
        <w:rPr>
          <w:rFonts w:ascii="Times New Roman" w:eastAsia="Times New Roman" w:hAnsi="Times New Roman" w:cs="Times New Roman"/>
          <w:color w:val="000000" w:themeColor="text1"/>
          <w:sz w:val="24"/>
          <w:szCs w:val="24"/>
          <w:vertAlign w:val="superscript"/>
          <w:lang w:val="fr-BE" w:eastAsia="fr-FR"/>
        </w:rPr>
        <w:footnoteReference w:id="232"/>
      </w:r>
      <w:r w:rsidRPr="00631F8A">
        <w:rPr>
          <w:rFonts w:ascii="Times New Roman" w:eastAsia="Times New Roman" w:hAnsi="Times New Roman" w:cs="Times New Roman"/>
          <w:color w:val="000000" w:themeColor="text1"/>
          <w:sz w:val="24"/>
          <w:szCs w:val="24"/>
          <w:lang w:val="fr-BE" w:eastAsia="fr-FR"/>
        </w:rPr>
        <w:t xml:space="preserve"> En outre, l'établissement d'un certain seuil sous la forme d'un nombre minimum de députés européens contribuerait à garantir que l'intérêt général de l'Union européenne soit pris en compte et que ces propositions soient d'une qualité suffisante pour amorcer un débat législatif de fond</w:t>
      </w:r>
      <w:r w:rsidRPr="00631F8A">
        <w:rPr>
          <w:rFonts w:ascii="Times New Roman" w:eastAsia="Times New Roman" w:hAnsi="Times New Roman" w:cs="Times New Roman"/>
          <w:color w:val="000000" w:themeColor="text1"/>
          <w:sz w:val="24"/>
          <w:szCs w:val="24"/>
          <w:lang w:val="fr-FR" w:eastAsia="fr-FR"/>
        </w:rPr>
        <w:t>.</w:t>
      </w:r>
      <w:r w:rsidRPr="00631F8A">
        <w:rPr>
          <w:rFonts w:ascii="Times New Roman" w:eastAsia="Times New Roman" w:hAnsi="Times New Roman" w:cs="Times New Roman"/>
          <w:color w:val="000000" w:themeColor="text1"/>
          <w:sz w:val="24"/>
          <w:szCs w:val="24"/>
          <w:vertAlign w:val="superscript"/>
          <w:lang w:val="fr-FR" w:eastAsia="fr-FR"/>
        </w:rPr>
        <w:footnoteReference w:id="233"/>
      </w:r>
      <w:r w:rsidRPr="00631F8A">
        <w:rPr>
          <w:rFonts w:ascii="Times New Roman" w:eastAsia="Times New Roman" w:hAnsi="Times New Roman" w:cs="Times New Roman"/>
          <w:color w:val="000000" w:themeColor="text1"/>
          <w:sz w:val="24"/>
          <w:szCs w:val="24"/>
          <w:lang w:val="fr-FR" w:eastAsia="fr-FR"/>
        </w:rPr>
        <w:t xml:space="preserve"> </w:t>
      </w:r>
      <w:r w:rsidRPr="00631F8A">
        <w:rPr>
          <w:rFonts w:ascii="Times New Roman" w:eastAsia="Times New Roman" w:hAnsi="Times New Roman" w:cs="Times New Roman"/>
          <w:i/>
          <w:color w:val="000000" w:themeColor="text1"/>
          <w:sz w:val="24"/>
          <w:szCs w:val="24"/>
          <w:lang w:val="fr-FR" w:eastAsia="fr-FR"/>
        </w:rPr>
        <w:t>Quatro</w:t>
      </w:r>
      <w:r w:rsidRPr="00631F8A">
        <w:rPr>
          <w:rFonts w:ascii="Times New Roman" w:eastAsia="Times New Roman" w:hAnsi="Times New Roman" w:cs="Times New Roman"/>
          <w:color w:val="000000" w:themeColor="text1"/>
          <w:sz w:val="24"/>
          <w:szCs w:val="24"/>
          <w:lang w:val="fr-FR" w:eastAsia="fr-FR"/>
        </w:rPr>
        <w:t>, et finalement, on pourrait se demander si la Commission ne d</w:t>
      </w:r>
      <w:r w:rsidR="00627C2C">
        <w:rPr>
          <w:rFonts w:ascii="Times New Roman" w:eastAsia="Times New Roman" w:hAnsi="Times New Roman" w:cs="Times New Roman"/>
          <w:color w:val="000000" w:themeColor="text1"/>
          <w:sz w:val="24"/>
          <w:szCs w:val="24"/>
          <w:lang w:val="fr-FR" w:eastAsia="fr-FR"/>
        </w:rPr>
        <w:t>evrai</w:t>
      </w:r>
      <w:r w:rsidRPr="00631F8A">
        <w:rPr>
          <w:rFonts w:ascii="Times New Roman" w:eastAsia="Times New Roman" w:hAnsi="Times New Roman" w:cs="Times New Roman"/>
          <w:color w:val="000000" w:themeColor="text1"/>
          <w:sz w:val="24"/>
          <w:szCs w:val="24"/>
          <w:lang w:val="fr-FR" w:eastAsia="fr-FR"/>
        </w:rPr>
        <w:t xml:space="preserve">t pas disposer de la faculté de s’opposer à certaines initiatives ou encore, si en cas d’opposition, </w:t>
      </w:r>
      <w:r w:rsidR="00627C2C">
        <w:rPr>
          <w:rFonts w:ascii="Times New Roman" w:eastAsia="Times New Roman" w:hAnsi="Times New Roman" w:cs="Times New Roman"/>
          <w:color w:val="000000" w:themeColor="text1"/>
          <w:sz w:val="24"/>
          <w:szCs w:val="24"/>
          <w:lang w:val="fr-FR" w:eastAsia="fr-FR"/>
        </w:rPr>
        <w:t xml:space="preserve">si </w:t>
      </w:r>
      <w:r w:rsidRPr="00631F8A">
        <w:rPr>
          <w:rFonts w:ascii="Times New Roman" w:eastAsia="Times New Roman" w:hAnsi="Times New Roman" w:cs="Times New Roman"/>
          <w:color w:val="000000" w:themeColor="text1"/>
          <w:sz w:val="24"/>
          <w:szCs w:val="24"/>
          <w:lang w:val="fr-FR" w:eastAsia="fr-FR"/>
        </w:rPr>
        <w:t xml:space="preserve">les seuils du vote au sein du Conseil et du Parlement européen </w:t>
      </w:r>
      <w:r w:rsidR="00627C2C">
        <w:rPr>
          <w:rFonts w:ascii="Times New Roman" w:eastAsia="Times New Roman" w:hAnsi="Times New Roman" w:cs="Times New Roman"/>
          <w:color w:val="000000" w:themeColor="text1"/>
          <w:sz w:val="24"/>
          <w:szCs w:val="24"/>
          <w:lang w:val="fr-FR" w:eastAsia="fr-FR"/>
        </w:rPr>
        <w:t xml:space="preserve">ne devraient pas </w:t>
      </w:r>
      <w:r w:rsidRPr="00631F8A">
        <w:rPr>
          <w:rFonts w:ascii="Times New Roman" w:eastAsia="Times New Roman" w:hAnsi="Times New Roman" w:cs="Times New Roman"/>
          <w:color w:val="000000" w:themeColor="text1"/>
          <w:sz w:val="24"/>
          <w:szCs w:val="24"/>
          <w:lang w:val="fr-FR" w:eastAsia="fr-FR"/>
        </w:rPr>
        <w:t>être relevés.</w:t>
      </w:r>
      <w:r w:rsidRPr="00631F8A">
        <w:rPr>
          <w:rFonts w:ascii="Times New Roman" w:eastAsia="Times New Roman" w:hAnsi="Times New Roman" w:cs="Times New Roman"/>
          <w:color w:val="000000" w:themeColor="text1"/>
          <w:sz w:val="24"/>
          <w:szCs w:val="24"/>
          <w:vertAlign w:val="superscript"/>
          <w:lang w:val="fr-FR" w:eastAsia="fr-FR"/>
        </w:rPr>
        <w:footnoteReference w:id="234"/>
      </w:r>
      <w:r w:rsidRPr="00631F8A">
        <w:rPr>
          <w:rFonts w:ascii="Times New Roman" w:eastAsia="Times New Roman" w:hAnsi="Times New Roman" w:cs="Times New Roman"/>
          <w:color w:val="000000" w:themeColor="text1"/>
          <w:sz w:val="24"/>
          <w:szCs w:val="24"/>
          <w:lang w:val="fr-FR" w:eastAsia="fr-FR"/>
        </w:rPr>
        <w:t xml:space="preserve"> Autant de questions qui témoignent, à nouveau, de la grande complexité sous-jacente à l’avènement d’un pouvoir d'initiative législative direct du Parlement européen.</w:t>
      </w:r>
    </w:p>
    <w:p w:rsidR="009A1106" w:rsidRPr="00B05A70" w:rsidRDefault="009A1106" w:rsidP="00B05A70">
      <w:pPr>
        <w:pStyle w:val="Titre1"/>
        <w:spacing w:after="120" w:line="240" w:lineRule="auto"/>
        <w:rPr>
          <w:rFonts w:ascii="Times New Roman" w:hAnsi="Times New Roman" w:cs="Times New Roman"/>
          <w:b/>
          <w:i/>
          <w:smallCaps/>
          <w:noProof/>
          <w:color w:val="000000" w:themeColor="text1"/>
          <w:sz w:val="24"/>
          <w:szCs w:val="24"/>
          <w:lang w:val="fr-FR"/>
        </w:rPr>
      </w:pPr>
      <w:bookmarkStart w:id="16" w:name="_Toc7535849"/>
      <w:r w:rsidRPr="00631F8A">
        <w:rPr>
          <w:rFonts w:ascii="Times New Roman" w:hAnsi="Times New Roman" w:cs="Times New Roman"/>
          <w:b/>
          <w:smallCaps/>
          <w:noProof/>
          <w:color w:val="000000" w:themeColor="text1"/>
          <w:sz w:val="24"/>
          <w:szCs w:val="24"/>
          <w:lang w:val="fr-FR"/>
        </w:rPr>
        <w:lastRenderedPageBreak/>
        <w:t>Conclusion</w:t>
      </w:r>
      <w:bookmarkEnd w:id="16"/>
    </w:p>
    <w:p w:rsidR="009A1106" w:rsidRPr="00631F8A" w:rsidRDefault="009A1106" w:rsidP="009A1106">
      <w:pPr>
        <w:spacing w:line="360" w:lineRule="auto"/>
        <w:ind w:firstLine="284"/>
        <w:jc w:val="both"/>
        <w:rPr>
          <w:rFonts w:ascii="Times New Roman" w:hAnsi="Times New Roman" w:cs="Times New Roman"/>
          <w:noProof/>
          <w:color w:val="000000" w:themeColor="text1"/>
          <w:sz w:val="24"/>
          <w:szCs w:val="24"/>
          <w:lang w:val="fr-FR"/>
        </w:rPr>
      </w:pPr>
      <w:r w:rsidRPr="00631F8A">
        <w:rPr>
          <w:rFonts w:ascii="Times New Roman" w:hAnsi="Times New Roman" w:cs="Times New Roman"/>
          <w:noProof/>
          <w:color w:val="000000" w:themeColor="text1"/>
          <w:sz w:val="24"/>
          <w:szCs w:val="24"/>
          <w:lang w:val="fr-FR"/>
        </w:rPr>
        <w:t>L’âge du feu, l’expression nous est venue à l’entame de ce</w:t>
      </w:r>
      <w:r w:rsidR="00682BB8">
        <w:rPr>
          <w:rFonts w:ascii="Times New Roman" w:hAnsi="Times New Roman" w:cs="Times New Roman"/>
          <w:noProof/>
          <w:color w:val="000000" w:themeColor="text1"/>
          <w:sz w:val="24"/>
          <w:szCs w:val="24"/>
          <w:lang w:val="fr-FR"/>
        </w:rPr>
        <w:t>tte contribution</w:t>
      </w:r>
      <w:r w:rsidRPr="00631F8A">
        <w:rPr>
          <w:rFonts w:ascii="Times New Roman" w:hAnsi="Times New Roman" w:cs="Times New Roman"/>
          <w:noProof/>
          <w:color w:val="000000" w:themeColor="text1"/>
          <w:sz w:val="24"/>
          <w:szCs w:val="24"/>
          <w:lang w:val="fr-FR"/>
        </w:rPr>
        <w:t xml:space="preserve">. Nous repensions à cette étape fondamentale de l’évolution humaine. La domestication du feu par les humains, entendue comme </w:t>
      </w:r>
      <w:r w:rsidRPr="00631F8A">
        <w:rPr>
          <w:rFonts w:ascii="Times New Roman" w:hAnsi="Times New Roman" w:cs="Times New Roman"/>
          <w:i/>
          <w:noProof/>
          <w:color w:val="000000" w:themeColor="text1"/>
          <w:sz w:val="24"/>
          <w:szCs w:val="24"/>
          <w:lang w:val="fr-FR"/>
        </w:rPr>
        <w:t xml:space="preserve">la capacité </w:t>
      </w:r>
      <w:r w:rsidR="00F22763">
        <w:rPr>
          <w:rFonts w:ascii="Times New Roman" w:hAnsi="Times New Roman" w:cs="Times New Roman"/>
          <w:i/>
          <w:noProof/>
          <w:color w:val="000000" w:themeColor="text1"/>
          <w:sz w:val="24"/>
          <w:szCs w:val="24"/>
          <w:lang w:val="fr-FR"/>
        </w:rPr>
        <w:t>de</w:t>
      </w:r>
      <w:r w:rsidRPr="00631F8A">
        <w:rPr>
          <w:rFonts w:ascii="Times New Roman" w:hAnsi="Times New Roman" w:cs="Times New Roman"/>
          <w:i/>
          <w:noProof/>
          <w:color w:val="000000" w:themeColor="text1"/>
          <w:sz w:val="24"/>
          <w:szCs w:val="24"/>
          <w:lang w:val="fr-FR"/>
        </w:rPr>
        <w:t xml:space="preserve"> le conserver, puis </w:t>
      </w:r>
      <w:r w:rsidR="00F22763">
        <w:rPr>
          <w:rFonts w:ascii="Times New Roman" w:hAnsi="Times New Roman" w:cs="Times New Roman"/>
          <w:i/>
          <w:noProof/>
          <w:color w:val="000000" w:themeColor="text1"/>
          <w:sz w:val="24"/>
          <w:szCs w:val="24"/>
          <w:lang w:val="fr-FR"/>
        </w:rPr>
        <w:t>de</w:t>
      </w:r>
      <w:r w:rsidRPr="00631F8A">
        <w:rPr>
          <w:rFonts w:ascii="Times New Roman" w:hAnsi="Times New Roman" w:cs="Times New Roman"/>
          <w:i/>
          <w:noProof/>
          <w:color w:val="000000" w:themeColor="text1"/>
          <w:sz w:val="24"/>
          <w:szCs w:val="24"/>
          <w:lang w:val="fr-FR"/>
        </w:rPr>
        <w:t xml:space="preserve"> le recréer à volonté</w:t>
      </w:r>
      <w:r w:rsidRPr="00631F8A">
        <w:rPr>
          <w:rFonts w:ascii="Times New Roman" w:hAnsi="Times New Roman" w:cs="Times New Roman"/>
          <w:noProof/>
          <w:color w:val="000000" w:themeColor="text1"/>
          <w:sz w:val="24"/>
          <w:szCs w:val="24"/>
          <w:lang w:val="fr-FR"/>
        </w:rPr>
        <w:t>, a permis de nombreux progrès. Un parallé</w:t>
      </w:r>
      <w:r>
        <w:rPr>
          <w:rFonts w:ascii="Times New Roman" w:hAnsi="Times New Roman" w:cs="Times New Roman"/>
          <w:noProof/>
          <w:color w:val="000000" w:themeColor="text1"/>
          <w:sz w:val="24"/>
          <w:szCs w:val="24"/>
          <w:lang w:val="fr-FR"/>
        </w:rPr>
        <w:t>l</w:t>
      </w:r>
      <w:r w:rsidRPr="00631F8A">
        <w:rPr>
          <w:rFonts w:ascii="Times New Roman" w:hAnsi="Times New Roman" w:cs="Times New Roman"/>
          <w:noProof/>
          <w:color w:val="000000" w:themeColor="text1"/>
          <w:sz w:val="24"/>
          <w:szCs w:val="24"/>
          <w:lang w:val="fr-FR"/>
        </w:rPr>
        <w:t xml:space="preserve">isme nous est venu entre cette domestication et le sujet même de </w:t>
      </w:r>
      <w:r w:rsidR="00627C2C">
        <w:rPr>
          <w:rFonts w:ascii="Times New Roman" w:hAnsi="Times New Roman" w:cs="Times New Roman"/>
          <w:noProof/>
          <w:color w:val="000000" w:themeColor="text1"/>
          <w:sz w:val="24"/>
          <w:szCs w:val="24"/>
          <w:lang w:val="fr-FR"/>
        </w:rPr>
        <w:t>ce</w:t>
      </w:r>
      <w:r w:rsidRPr="00631F8A">
        <w:rPr>
          <w:rFonts w:ascii="Times New Roman" w:hAnsi="Times New Roman" w:cs="Times New Roman"/>
          <w:noProof/>
          <w:color w:val="000000" w:themeColor="text1"/>
          <w:sz w:val="24"/>
          <w:szCs w:val="24"/>
          <w:lang w:val="fr-FR"/>
        </w:rPr>
        <w:t xml:space="preserve"> travail. Ne pourrait-on pas voir en définitive la loi comme le feu, le coeur brûlant de l’activité parlementaire? </w:t>
      </w:r>
    </w:p>
    <w:p w:rsidR="009A1106" w:rsidRPr="00631F8A" w:rsidRDefault="009A1106" w:rsidP="009A1106">
      <w:pPr>
        <w:spacing w:line="360" w:lineRule="auto"/>
        <w:ind w:firstLine="284"/>
        <w:jc w:val="both"/>
        <w:rPr>
          <w:rFonts w:ascii="Times New Roman" w:hAnsi="Times New Roman" w:cs="Times New Roman"/>
          <w:noProof/>
          <w:color w:val="000000" w:themeColor="text1"/>
          <w:sz w:val="24"/>
          <w:szCs w:val="24"/>
          <w:lang w:val="fr-FR"/>
        </w:rPr>
      </w:pPr>
      <w:r w:rsidRPr="00631F8A">
        <w:rPr>
          <w:rFonts w:ascii="Times New Roman" w:hAnsi="Times New Roman" w:cs="Times New Roman"/>
          <w:noProof/>
          <w:color w:val="000000" w:themeColor="text1"/>
          <w:sz w:val="24"/>
          <w:szCs w:val="24"/>
          <w:lang w:val="fr-FR"/>
        </w:rPr>
        <w:t xml:space="preserve">Avec la reconnaissance au Parlement européen d’un pouvoir d’initiative législative direct, n’assisterait-on nous pas à une étape clé de l’évolution de l’activité du Parlement européen et, plus largement, du système institutionnel européen ? Le Parlement ne se contenterait plus d’entretenir le feu initié par d’autres, il gagnerait </w:t>
      </w:r>
      <w:r w:rsidRPr="00631F8A">
        <w:rPr>
          <w:rFonts w:ascii="Times New Roman" w:hAnsi="Times New Roman" w:cs="Times New Roman"/>
          <w:i/>
          <w:noProof/>
          <w:color w:val="000000" w:themeColor="text1"/>
          <w:sz w:val="24"/>
          <w:szCs w:val="24"/>
          <w:lang w:val="fr-FR"/>
        </w:rPr>
        <w:t>la capacité de le</w:t>
      </w:r>
      <w:r w:rsidRPr="00631F8A">
        <w:rPr>
          <w:rFonts w:ascii="Times New Roman" w:hAnsi="Times New Roman" w:cs="Times New Roman"/>
          <w:noProof/>
          <w:color w:val="000000" w:themeColor="text1"/>
          <w:sz w:val="24"/>
          <w:szCs w:val="24"/>
          <w:lang w:val="fr-FR"/>
        </w:rPr>
        <w:t xml:space="preserve"> </w:t>
      </w:r>
      <w:r w:rsidRPr="00631F8A">
        <w:rPr>
          <w:rFonts w:ascii="Times New Roman" w:hAnsi="Times New Roman" w:cs="Times New Roman"/>
          <w:i/>
          <w:noProof/>
          <w:color w:val="000000" w:themeColor="text1"/>
          <w:sz w:val="24"/>
          <w:szCs w:val="24"/>
          <w:lang w:val="fr-FR"/>
        </w:rPr>
        <w:t>récréer à volonté</w:t>
      </w:r>
      <w:r w:rsidRPr="00631F8A">
        <w:rPr>
          <w:rFonts w:ascii="Times New Roman" w:hAnsi="Times New Roman" w:cs="Times New Roman"/>
          <w:noProof/>
          <w:color w:val="000000" w:themeColor="text1"/>
          <w:sz w:val="24"/>
          <w:szCs w:val="24"/>
          <w:lang w:val="fr-FR"/>
        </w:rPr>
        <w:t xml:space="preserve"> </w:t>
      </w:r>
      <w:r w:rsidRPr="00F22763">
        <w:rPr>
          <w:rFonts w:ascii="Times New Roman" w:hAnsi="Times New Roman" w:cs="Times New Roman"/>
          <w:i/>
          <w:noProof/>
          <w:color w:val="000000" w:themeColor="text1"/>
          <w:sz w:val="24"/>
          <w:szCs w:val="24"/>
          <w:lang w:val="fr-FR"/>
        </w:rPr>
        <w:t>et d’en choisir la finalité</w:t>
      </w:r>
      <w:r w:rsidR="00B05A70">
        <w:rPr>
          <w:rFonts w:ascii="Times New Roman" w:hAnsi="Times New Roman" w:cs="Times New Roman"/>
          <w:noProof/>
          <w:color w:val="000000" w:themeColor="text1"/>
          <w:sz w:val="24"/>
          <w:szCs w:val="24"/>
          <w:lang w:val="fr-FR"/>
        </w:rPr>
        <w:t>.</w:t>
      </w:r>
    </w:p>
    <w:p w:rsidR="009A1106" w:rsidRPr="00631F8A" w:rsidRDefault="009A1106" w:rsidP="009A1106">
      <w:pPr>
        <w:spacing w:line="360" w:lineRule="auto"/>
        <w:ind w:firstLine="284"/>
        <w:jc w:val="both"/>
        <w:rPr>
          <w:rFonts w:ascii="Times New Roman" w:hAnsi="Times New Roman" w:cs="Times New Roman"/>
          <w:noProof/>
          <w:color w:val="000000" w:themeColor="text1"/>
          <w:sz w:val="24"/>
          <w:szCs w:val="24"/>
          <w:lang w:val="fr-FR"/>
        </w:rPr>
      </w:pPr>
      <w:r w:rsidRPr="00631F8A">
        <w:rPr>
          <w:rFonts w:ascii="Times New Roman" w:hAnsi="Times New Roman" w:cs="Times New Roman"/>
          <w:noProof/>
          <w:color w:val="000000" w:themeColor="text1"/>
          <w:sz w:val="24"/>
          <w:szCs w:val="24"/>
          <w:lang w:val="fr-FR"/>
        </w:rPr>
        <w:t xml:space="preserve">Le premier temps de la réflexion fut à l’enthousiasme. Le pouvoir d’initiative n’est-il pas consubstantiel au pouvoir législatif tel que le conçoivent nos démocraties modernes et ne convient-il pas, de toute urgence, de transposer ce qui se fait au niveau national à la sphère européenne? Qui plus est, le pouvoir d’initiative législative indirect, consacré par le traité de Maastricht, ne semble pas tenir toutes ses promesses. Bien qu’il permette au Parlement européen d’inviter la Commission à soumettre une proposition législative, sa portée demeure fondamentalement limitée en raison de son usage faible et de son impact en demi-teinte. </w:t>
      </w:r>
    </w:p>
    <w:p w:rsidR="006F74C7" w:rsidRDefault="009A1106" w:rsidP="009A1106">
      <w:pPr>
        <w:spacing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noProof/>
          <w:color w:val="000000" w:themeColor="text1"/>
          <w:sz w:val="24"/>
          <w:szCs w:val="24"/>
          <w:lang w:val="fr-FR"/>
        </w:rPr>
        <w:t xml:space="preserve">Mais ces évidences faciles ont rapidement cédé le pas face à une analyse en profondeur. </w:t>
      </w:r>
      <w:r w:rsidR="002160DD" w:rsidRPr="00631F8A">
        <w:rPr>
          <w:rFonts w:ascii="Times New Roman" w:hAnsi="Times New Roman" w:cs="Times New Roman"/>
          <w:noProof/>
          <w:color w:val="000000" w:themeColor="text1"/>
          <w:sz w:val="24"/>
          <w:szCs w:val="24"/>
          <w:lang w:val="fr-FR"/>
        </w:rPr>
        <w:t xml:space="preserve">Le Parlement européen est devenu au fil du temps une pièce maitresse de l’échiquier institutionnel européen, et cela notamment au travers de l’acroissement de ses pouvoirs législatifs au fil des révisions des traités. </w:t>
      </w:r>
      <w:r w:rsidRPr="00631F8A">
        <w:rPr>
          <w:rFonts w:ascii="Times New Roman" w:hAnsi="Times New Roman" w:cs="Times New Roman"/>
          <w:noProof/>
          <w:color w:val="000000" w:themeColor="text1"/>
          <w:sz w:val="24"/>
          <w:szCs w:val="24"/>
          <w:lang w:val="fr-FR"/>
        </w:rPr>
        <w:t xml:space="preserve">Loin d’être un parlement « faible », </w:t>
      </w:r>
      <w:r w:rsidR="002160DD">
        <w:rPr>
          <w:rFonts w:ascii="Times New Roman" w:hAnsi="Times New Roman" w:cs="Times New Roman"/>
          <w:noProof/>
          <w:color w:val="000000" w:themeColor="text1"/>
          <w:sz w:val="24"/>
          <w:szCs w:val="24"/>
          <w:lang w:val="fr-FR"/>
        </w:rPr>
        <w:t xml:space="preserve">il </w:t>
      </w:r>
      <w:r w:rsidRPr="00631F8A">
        <w:rPr>
          <w:rFonts w:ascii="Times New Roman" w:hAnsi="Times New Roman" w:cs="Times New Roman"/>
          <w:color w:val="000000" w:themeColor="text1"/>
          <w:sz w:val="24"/>
          <w:szCs w:val="24"/>
          <w:lang w:val="fr-FR"/>
        </w:rPr>
        <w:t xml:space="preserve">influence de manière croissante l’agenda législatif des politiques européennes, comme en témoignent par exemple l’impact grandissant des résolutions d’initiative législative ainsi que le rôle toujours plus important du Parlement européen à l’égard du programme de travail de la Commission. </w:t>
      </w:r>
    </w:p>
    <w:p w:rsidR="002160DD" w:rsidRDefault="009A1106" w:rsidP="009A1106">
      <w:pPr>
        <w:spacing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 xml:space="preserve">C’est ensuite à la tentation de projeter le modèle étatique sur l’Union européenne, et singulièrement des assemblées nationales « fantasmées » sur le Parlement européen, qu’il faut ne pas céder. L’Union européenne, on ne le rappellera jamais assez, reste une expérience d’intégration sans précédent qui « repose sur le pari (fou) d’interconnecter des espaces normatifs enserrés dans des frontières qui ont longtemps défini des zones de souveraineté </w:t>
      </w:r>
      <w:r w:rsidRPr="00631F8A">
        <w:rPr>
          <w:rFonts w:ascii="Times New Roman" w:hAnsi="Times New Roman" w:cs="Times New Roman"/>
          <w:color w:val="000000" w:themeColor="text1"/>
          <w:sz w:val="24"/>
          <w:szCs w:val="24"/>
          <w:lang w:val="fr-FR"/>
        </w:rPr>
        <w:lastRenderedPageBreak/>
        <w:t>».</w:t>
      </w:r>
      <w:r w:rsidRPr="00631F8A">
        <w:rPr>
          <w:rStyle w:val="Appelnotedebasdep"/>
          <w:rFonts w:ascii="Times New Roman" w:hAnsi="Times New Roman" w:cs="Times New Roman"/>
          <w:color w:val="000000" w:themeColor="text1"/>
          <w:sz w:val="24"/>
          <w:szCs w:val="24"/>
          <w:lang w:val="fr-FR"/>
        </w:rPr>
        <w:footnoteReference w:id="235"/>
      </w:r>
      <w:r w:rsidRPr="00631F8A">
        <w:rPr>
          <w:rFonts w:ascii="Times New Roman" w:hAnsi="Times New Roman" w:cs="Times New Roman"/>
          <w:color w:val="000000" w:themeColor="text1"/>
          <w:sz w:val="24"/>
          <w:szCs w:val="24"/>
          <w:lang w:val="fr-FR"/>
        </w:rPr>
        <w:t xml:space="preserve">  Efforçons-nous de ne pas vouloir dupliquer en toute hâte tel ou tel modèle étatique, mais gardons à l'esprit l'histoire et le rôle moteur du système institutionnel européen.</w:t>
      </w:r>
      <w:r w:rsidRPr="00631F8A">
        <w:rPr>
          <w:rStyle w:val="Appelnotedebasdep"/>
          <w:rFonts w:ascii="Times New Roman" w:hAnsi="Times New Roman" w:cs="Times New Roman"/>
          <w:color w:val="000000" w:themeColor="text1"/>
          <w:sz w:val="24"/>
          <w:szCs w:val="24"/>
          <w:lang w:val="fr-FR"/>
        </w:rPr>
        <w:footnoteReference w:id="236"/>
      </w:r>
      <w:r w:rsidRPr="00631F8A">
        <w:rPr>
          <w:rFonts w:ascii="Times New Roman" w:hAnsi="Times New Roman" w:cs="Times New Roman"/>
          <w:color w:val="000000" w:themeColor="text1"/>
          <w:sz w:val="24"/>
          <w:szCs w:val="24"/>
          <w:lang w:val="fr-FR"/>
        </w:rPr>
        <w:t xml:space="preserve"> </w:t>
      </w:r>
    </w:p>
    <w:p w:rsidR="009A1106" w:rsidRPr="009A1106" w:rsidRDefault="009A1106" w:rsidP="002160DD">
      <w:pPr>
        <w:spacing w:line="360" w:lineRule="auto"/>
        <w:ind w:firstLine="284"/>
        <w:jc w:val="both"/>
        <w:rPr>
          <w:rFonts w:ascii="Times New Roman" w:hAnsi="Times New Roman" w:cs="Times New Roman"/>
          <w:color w:val="000000" w:themeColor="text1"/>
          <w:sz w:val="24"/>
          <w:szCs w:val="24"/>
          <w:lang w:val="fr-FR"/>
        </w:rPr>
      </w:pPr>
      <w:r w:rsidRPr="00631F8A">
        <w:rPr>
          <w:rFonts w:ascii="Times New Roman" w:hAnsi="Times New Roman" w:cs="Times New Roman"/>
          <w:color w:val="000000" w:themeColor="text1"/>
          <w:sz w:val="24"/>
          <w:szCs w:val="24"/>
          <w:lang w:val="fr-FR"/>
        </w:rPr>
        <w:t xml:space="preserve">L’avènement d’un pouvoir d’initiative législative direct, loin d’être la panacée « démocratique », bouleversait en profondeur la structure institutionnelle européenne et les équilibres sur lesquels elle s’est construite. </w:t>
      </w:r>
      <w:r w:rsidR="002160DD">
        <w:rPr>
          <w:rFonts w:ascii="Times New Roman" w:hAnsi="Times New Roman" w:cs="Times New Roman"/>
          <w:color w:val="000000" w:themeColor="text1"/>
          <w:sz w:val="24"/>
          <w:szCs w:val="24"/>
          <w:lang w:val="fr-FR"/>
        </w:rPr>
        <w:t>Ce</w:t>
      </w:r>
      <w:r w:rsidR="006F74C7">
        <w:rPr>
          <w:rFonts w:ascii="Times New Roman" w:hAnsi="Times New Roman" w:cs="Times New Roman"/>
          <w:color w:val="000000" w:themeColor="text1"/>
          <w:sz w:val="24"/>
          <w:szCs w:val="24"/>
          <w:lang w:val="fr-FR"/>
        </w:rPr>
        <w:t>ci</w:t>
      </w:r>
      <w:r w:rsidRPr="00631F8A">
        <w:rPr>
          <w:rFonts w:ascii="Times New Roman" w:hAnsi="Times New Roman" w:cs="Times New Roman"/>
          <w:noProof/>
          <w:color w:val="000000" w:themeColor="text1"/>
          <w:sz w:val="24"/>
          <w:szCs w:val="24"/>
          <w:lang w:val="fr-FR"/>
        </w:rPr>
        <w:t xml:space="preserve"> pourrait signifier l’anéantissement de ce qui se situe au coeur du projet européen, à savoir la méthode communautaire, avec un déclin progressif de la Commission. Les parlements nationaux pourraient eux aussi voir leur rôle grandement affaibli. La plus grande prudence est donc de mise en ce qui concerne l’attribution d’un pouvoir d’initiative législative</w:t>
      </w:r>
      <w:r>
        <w:rPr>
          <w:rFonts w:ascii="Times New Roman" w:hAnsi="Times New Roman" w:cs="Times New Roman"/>
          <w:noProof/>
          <w:color w:val="000000" w:themeColor="text1"/>
          <w:sz w:val="24"/>
          <w:szCs w:val="24"/>
          <w:lang w:val="fr-FR"/>
        </w:rPr>
        <w:t xml:space="preserve"> </w:t>
      </w:r>
      <w:r w:rsidRPr="00631F8A">
        <w:rPr>
          <w:rFonts w:ascii="Times New Roman" w:hAnsi="Times New Roman" w:cs="Times New Roman"/>
          <w:noProof/>
          <w:color w:val="000000" w:themeColor="text1"/>
          <w:sz w:val="24"/>
          <w:szCs w:val="24"/>
          <w:lang w:val="fr-FR"/>
        </w:rPr>
        <w:t>: en précipitant les évolutions du Parlement européen, on risque bien de mettre le feu à la maison Europe.</w:t>
      </w:r>
    </w:p>
    <w:sectPr w:rsidR="009A1106" w:rsidRPr="009A1106" w:rsidSect="009A1106">
      <w:footerReference w:type="default" r:id="rId12"/>
      <w:pgSz w:w="11900" w:h="16840"/>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76C" w:rsidRDefault="0088176C" w:rsidP="009A1106">
      <w:pPr>
        <w:spacing w:after="0" w:line="240" w:lineRule="auto"/>
      </w:pPr>
      <w:r>
        <w:separator/>
      </w:r>
    </w:p>
  </w:endnote>
  <w:endnote w:type="continuationSeparator" w:id="0">
    <w:p w:rsidR="0088176C" w:rsidRDefault="0088176C" w:rsidP="009A1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95743755"/>
      <w:docPartObj>
        <w:docPartGallery w:val="Page Numbers (Bottom of Page)"/>
        <w:docPartUnique/>
      </w:docPartObj>
    </w:sdtPr>
    <w:sdtEndPr>
      <w:rPr>
        <w:rStyle w:val="Numrodepage"/>
      </w:rPr>
    </w:sdtEndPr>
    <w:sdtContent>
      <w:p w:rsidR="00111A52" w:rsidRDefault="00111A52" w:rsidP="009A11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111A52" w:rsidRDefault="00111A52" w:rsidP="009A110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Fonts w:ascii="Times New Roman" w:hAnsi="Times New Roman" w:cs="Times New Roman"/>
      </w:rPr>
      <w:id w:val="-1904664541"/>
      <w:docPartObj>
        <w:docPartGallery w:val="Page Numbers (Bottom of Page)"/>
        <w:docPartUnique/>
      </w:docPartObj>
    </w:sdtPr>
    <w:sdtEndPr>
      <w:rPr>
        <w:rStyle w:val="Numrodepage"/>
      </w:rPr>
    </w:sdtEndPr>
    <w:sdtContent>
      <w:p w:rsidR="00111A52" w:rsidRPr="00CD1134" w:rsidRDefault="00111A52" w:rsidP="009A1106">
        <w:pPr>
          <w:pStyle w:val="Pieddepage"/>
          <w:framePr w:wrap="none" w:vAnchor="text" w:hAnchor="margin" w:xAlign="right" w:y="1"/>
          <w:rPr>
            <w:rStyle w:val="Numrodepage"/>
            <w:rFonts w:ascii="Times New Roman" w:hAnsi="Times New Roman" w:cs="Times New Roman"/>
          </w:rPr>
        </w:pPr>
        <w:r w:rsidRPr="00CD1134">
          <w:rPr>
            <w:rStyle w:val="Numrodepage"/>
            <w:rFonts w:ascii="Times New Roman" w:hAnsi="Times New Roman" w:cs="Times New Roman"/>
          </w:rPr>
          <w:fldChar w:fldCharType="begin"/>
        </w:r>
        <w:r w:rsidRPr="00CD1134">
          <w:rPr>
            <w:rStyle w:val="Numrodepage"/>
            <w:rFonts w:ascii="Times New Roman" w:hAnsi="Times New Roman" w:cs="Times New Roman"/>
          </w:rPr>
          <w:instrText xml:space="preserve"> PAGE </w:instrText>
        </w:r>
        <w:r w:rsidRPr="00CD1134">
          <w:rPr>
            <w:rStyle w:val="Numrodepage"/>
            <w:rFonts w:ascii="Times New Roman" w:hAnsi="Times New Roman" w:cs="Times New Roman"/>
          </w:rPr>
          <w:fldChar w:fldCharType="separate"/>
        </w:r>
        <w:r w:rsidRPr="00CD1134">
          <w:rPr>
            <w:rStyle w:val="Numrodepage"/>
            <w:rFonts w:ascii="Times New Roman" w:hAnsi="Times New Roman" w:cs="Times New Roman"/>
            <w:noProof/>
          </w:rPr>
          <w:t>1</w:t>
        </w:r>
        <w:r w:rsidRPr="00CD1134">
          <w:rPr>
            <w:rStyle w:val="Numrodepage"/>
            <w:rFonts w:ascii="Times New Roman" w:hAnsi="Times New Roman" w:cs="Times New Roman"/>
          </w:rPr>
          <w:fldChar w:fldCharType="end"/>
        </w:r>
      </w:p>
    </w:sdtContent>
  </w:sdt>
  <w:p w:rsidR="00111A52" w:rsidRDefault="00111A52" w:rsidP="009A110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76C" w:rsidRDefault="0088176C" w:rsidP="009A1106">
      <w:pPr>
        <w:spacing w:after="0" w:line="240" w:lineRule="auto"/>
      </w:pPr>
      <w:r>
        <w:separator/>
      </w:r>
    </w:p>
  </w:footnote>
  <w:footnote w:type="continuationSeparator" w:id="0">
    <w:p w:rsidR="0088176C" w:rsidRDefault="0088176C" w:rsidP="009A1106">
      <w:pPr>
        <w:spacing w:after="0" w:line="240" w:lineRule="auto"/>
      </w:pPr>
      <w:r>
        <w:continuationSeparator/>
      </w:r>
    </w:p>
  </w:footnote>
  <w:footnote w:id="1">
    <w:p w:rsidR="00111A52" w:rsidRPr="00872531" w:rsidRDefault="00111A52" w:rsidP="00872531">
      <w:pPr>
        <w:pStyle w:val="Notedebasdepage"/>
        <w:jc w:val="both"/>
        <w:rPr>
          <w:rFonts w:ascii="Times New Roman" w:hAnsi="Times New Roman" w:cs="Times New Roman"/>
          <w:lang w:val="fr-BE"/>
        </w:rPr>
      </w:pPr>
      <w:r w:rsidRPr="002160DD">
        <w:rPr>
          <w:rStyle w:val="Appelnotedebasdep"/>
          <w:rFonts w:ascii="Times New Roman" w:hAnsi="Times New Roman" w:cs="Times New Roman"/>
        </w:rPr>
        <w:footnoteRef/>
      </w:r>
      <w:r w:rsidRPr="002160DD">
        <w:rPr>
          <w:rFonts w:ascii="Times New Roman" w:hAnsi="Times New Roman" w:cs="Times New Roman"/>
          <w:lang w:val="fr-BE"/>
        </w:rPr>
        <w:t xml:space="preserve"> </w:t>
      </w:r>
      <w:r w:rsidRPr="002160DD">
        <w:rPr>
          <w:rFonts w:ascii="Times New Roman" w:hAnsi="Times New Roman" w:cs="Times New Roman"/>
          <w:smallCaps/>
          <w:lang w:val="fr-BE"/>
        </w:rPr>
        <w:t>U. Von der Leyen</w:t>
      </w:r>
      <w:r>
        <w:rPr>
          <w:rFonts w:ascii="Times New Roman" w:hAnsi="Times New Roman" w:cs="Times New Roman"/>
          <w:lang w:val="fr-BE"/>
        </w:rPr>
        <w:t>, « </w:t>
      </w:r>
      <w:r w:rsidRPr="002160DD">
        <w:rPr>
          <w:rFonts w:ascii="Times New Roman" w:hAnsi="Times New Roman" w:cs="Times New Roman"/>
          <w:color w:val="000000" w:themeColor="text1"/>
          <w:lang w:val="fr-BE"/>
        </w:rPr>
        <w:t>Une Union plus ambitieuse, Mon programme pour l’Europe</w:t>
      </w:r>
      <w:r>
        <w:rPr>
          <w:rFonts w:ascii="Times New Roman" w:hAnsi="Times New Roman" w:cs="Times New Roman"/>
          <w:color w:val="000000" w:themeColor="text1"/>
          <w:lang w:val="fr-BE"/>
        </w:rPr>
        <w:t xml:space="preserve"> », 2019, </w:t>
      </w:r>
      <w:hyperlink r:id="rId1" w:history="1">
        <w:r w:rsidRPr="00872531">
          <w:rPr>
            <w:rStyle w:val="Lienhypertexte"/>
            <w:rFonts w:ascii="Times New Roman" w:hAnsi="Times New Roman" w:cs="Times New Roman"/>
            <w:color w:val="000000" w:themeColor="text1"/>
            <w:u w:val="none"/>
            <w:lang w:val="fr-BE"/>
          </w:rPr>
          <w:t>https://ec.europa.eu/commission/sites/beta-political/files/political-guidelines-next-commission_fr.pdf</w:t>
        </w:r>
      </w:hyperlink>
      <w:r w:rsidRPr="00872531">
        <w:rPr>
          <w:rFonts w:ascii="Times New Roman" w:hAnsi="Times New Roman" w:cs="Times New Roman"/>
          <w:color w:val="000000" w:themeColor="text1"/>
          <w:lang w:val="fr-BE"/>
        </w:rPr>
        <w:t xml:space="preserve">, </w:t>
      </w:r>
      <w:r w:rsidRPr="00872531">
        <w:rPr>
          <w:rFonts w:ascii="Times New Roman" w:hAnsi="Times New Roman" w:cs="Times New Roman"/>
          <w:noProof/>
          <w:lang w:val="fr-BE"/>
        </w:rPr>
        <w:t xml:space="preserve">dernière consultation </w:t>
      </w:r>
      <w:r w:rsidRPr="00872531">
        <w:rPr>
          <w:rFonts w:ascii="Times New Roman" w:hAnsi="Times New Roman" w:cs="Times New Roman"/>
          <w:lang w:val="fr-BE"/>
        </w:rPr>
        <w:t>le 2</w:t>
      </w:r>
      <w:r>
        <w:rPr>
          <w:rFonts w:ascii="Times New Roman" w:hAnsi="Times New Roman" w:cs="Times New Roman"/>
          <w:lang w:val="fr-BE"/>
        </w:rPr>
        <w:t>8</w:t>
      </w:r>
      <w:r w:rsidRPr="00872531">
        <w:rPr>
          <w:rFonts w:ascii="Times New Roman" w:hAnsi="Times New Roman" w:cs="Times New Roman"/>
          <w:lang w:val="fr-BE"/>
        </w:rPr>
        <w:t xml:space="preserve"> août 2019</w:t>
      </w:r>
      <w:r>
        <w:rPr>
          <w:rFonts w:ascii="Times New Roman" w:hAnsi="Times New Roman" w:cs="Times New Roman"/>
          <w:lang w:val="fr-BE"/>
        </w:rPr>
        <w:t>. Souligné par nous.</w:t>
      </w:r>
    </w:p>
  </w:footnote>
  <w:footnote w:id="2">
    <w:p w:rsidR="00111A52" w:rsidRPr="00F22763" w:rsidRDefault="00111A52" w:rsidP="00872531">
      <w:pPr>
        <w:pStyle w:val="Notedebasdepage"/>
        <w:jc w:val="both"/>
        <w:rPr>
          <w:rFonts w:ascii="Times New Roman" w:hAnsi="Times New Roman" w:cs="Times New Roman"/>
          <w:lang w:val="fr-BE"/>
        </w:rPr>
      </w:pPr>
      <w:r w:rsidRPr="002160DD">
        <w:rPr>
          <w:rStyle w:val="Appelnotedebasdep"/>
          <w:rFonts w:ascii="Times New Roman" w:hAnsi="Times New Roman" w:cs="Times New Roman"/>
        </w:rPr>
        <w:footnoteRef/>
      </w:r>
      <w:r w:rsidRPr="00F22763">
        <w:rPr>
          <w:rFonts w:ascii="Times New Roman" w:hAnsi="Times New Roman" w:cs="Times New Roman"/>
          <w:lang w:val="fr-BE"/>
        </w:rPr>
        <w:t xml:space="preserve"> </w:t>
      </w:r>
      <w:r w:rsidRPr="00F22763">
        <w:rPr>
          <w:rFonts w:ascii="Times New Roman" w:hAnsi="Times New Roman" w:cs="Times New Roman"/>
          <w:i/>
          <w:lang w:val="fr-BE"/>
        </w:rPr>
        <w:t>Ibid.</w:t>
      </w:r>
      <w:r w:rsidRPr="00F22763">
        <w:rPr>
          <w:rFonts w:ascii="Times New Roman" w:hAnsi="Times New Roman" w:cs="Times New Roman"/>
          <w:lang w:val="fr-BE"/>
        </w:rPr>
        <w:t>, p. 23.</w:t>
      </w:r>
    </w:p>
  </w:footnote>
  <w:footnote w:id="3">
    <w:p w:rsidR="00111A52" w:rsidRPr="00F22763" w:rsidRDefault="00111A52" w:rsidP="00872531">
      <w:pPr>
        <w:pStyle w:val="Notedebasdepage"/>
        <w:jc w:val="both"/>
        <w:rPr>
          <w:rFonts w:ascii="Times New Roman" w:hAnsi="Times New Roman" w:cs="Times New Roman"/>
          <w:i/>
          <w:lang w:val="fr-BE"/>
        </w:rPr>
      </w:pPr>
      <w:r w:rsidRPr="002160DD">
        <w:rPr>
          <w:rStyle w:val="Appelnotedebasdep"/>
          <w:rFonts w:ascii="Times New Roman" w:hAnsi="Times New Roman" w:cs="Times New Roman"/>
        </w:rPr>
        <w:footnoteRef/>
      </w:r>
      <w:r w:rsidRPr="00F22763">
        <w:rPr>
          <w:rFonts w:ascii="Times New Roman" w:hAnsi="Times New Roman" w:cs="Times New Roman"/>
          <w:lang w:val="fr-BE"/>
        </w:rPr>
        <w:t xml:space="preserve"> </w:t>
      </w:r>
      <w:r w:rsidRPr="00F22763">
        <w:rPr>
          <w:rFonts w:ascii="Times New Roman" w:hAnsi="Times New Roman" w:cs="Times New Roman"/>
          <w:i/>
          <w:lang w:val="fr-BE"/>
        </w:rPr>
        <w:t>Eod.loco.</w:t>
      </w:r>
    </w:p>
  </w:footnote>
  <w:footnote w:id="4">
    <w:p w:rsidR="00111A52" w:rsidRPr="00F22763" w:rsidRDefault="00111A52" w:rsidP="00872531">
      <w:pPr>
        <w:pStyle w:val="Notedebasdepage"/>
        <w:jc w:val="both"/>
        <w:rPr>
          <w:rFonts w:ascii="Times New Roman" w:hAnsi="Times New Roman" w:cs="Times New Roman"/>
          <w:i/>
          <w:lang w:val="fr-BE"/>
        </w:rPr>
      </w:pPr>
      <w:r w:rsidRPr="002160DD">
        <w:rPr>
          <w:rStyle w:val="Appelnotedebasdep"/>
          <w:rFonts w:ascii="Times New Roman" w:hAnsi="Times New Roman" w:cs="Times New Roman"/>
        </w:rPr>
        <w:footnoteRef/>
      </w:r>
      <w:r w:rsidRPr="00F22763">
        <w:rPr>
          <w:rFonts w:ascii="Times New Roman" w:hAnsi="Times New Roman" w:cs="Times New Roman"/>
          <w:lang w:val="fr-BE"/>
        </w:rPr>
        <w:t xml:space="preserve"> </w:t>
      </w:r>
      <w:r w:rsidRPr="00F22763">
        <w:rPr>
          <w:rFonts w:ascii="Times New Roman" w:hAnsi="Times New Roman" w:cs="Times New Roman"/>
          <w:i/>
          <w:lang w:val="fr-BE"/>
        </w:rPr>
        <w:t>Eod.loco.</w:t>
      </w:r>
    </w:p>
  </w:footnote>
  <w:footnote w:id="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noProof/>
          <w:lang w:val="fr-BE"/>
        </w:rPr>
        <w:t>Discours du Président du Parlement européen, Mr. Antonio Tajani, à l’occasion de l’ouverture solennelle de l’année universitaire 2018-2019 au Collège d’Europe, campus Bruges, 9 octobre 2018.</w:t>
      </w:r>
    </w:p>
  </w:footnote>
  <w:footnote w:id="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les évolutions et adaptations possibles de la structure institutionnelle actuelle de l'Union européenne, P8_TA(2017)0048, 16 février 2017, point 62.</w:t>
      </w:r>
    </w:p>
  </w:footnote>
  <w:footnote w:id="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la mise en œuvre des dispositions du traité relatives au pouvoir de contrôle politique du Parlement sur la Commission, P8_TA-PROV(2019)0078, 12 février 2019, point 27.</w:t>
      </w:r>
    </w:p>
  </w:footnote>
  <w:footnote w:id="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l’état du débat sur l’avenir de l’Europe, P8_TA-PROV(2019)0098, 13 février 2019, point 13. </w:t>
      </w:r>
    </w:p>
  </w:footnote>
  <w:footnote w:id="9">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J. W. K</w:t>
      </w:r>
      <w:r w:rsidRPr="002160DD">
        <w:rPr>
          <w:rFonts w:ascii="Times New Roman" w:hAnsi="Times New Roman" w:cs="Times New Roman"/>
          <w:smallCaps/>
          <w:noProof/>
          <w:lang w:val="en-US"/>
        </w:rPr>
        <w:t>ingdom</w:t>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 xml:space="preserve">Agendas, Alternatives, and Public Policies, </w:t>
      </w:r>
      <w:r w:rsidRPr="002160DD">
        <w:rPr>
          <w:rFonts w:ascii="Times New Roman" w:hAnsi="Times New Roman" w:cs="Times New Roman"/>
          <w:noProof/>
          <w:lang w:val="en-US"/>
        </w:rPr>
        <w:t>2</w:t>
      </w:r>
      <w:r w:rsidRPr="002160DD">
        <w:rPr>
          <w:rFonts w:ascii="Times New Roman" w:hAnsi="Times New Roman" w:cs="Times New Roman"/>
          <w:noProof/>
          <w:vertAlign w:val="superscript"/>
          <w:lang w:val="en-US"/>
        </w:rPr>
        <w:t>e</w:t>
      </w:r>
      <w:r w:rsidRPr="002160DD">
        <w:rPr>
          <w:rFonts w:ascii="Times New Roman" w:hAnsi="Times New Roman" w:cs="Times New Roman"/>
          <w:noProof/>
          <w:lang w:val="en-US"/>
        </w:rPr>
        <w:t xml:space="preserve"> éd., Pearson Longman, Londres, 1995, p. 3. </w:t>
      </w:r>
    </w:p>
  </w:footnote>
  <w:footnote w:id="10">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A. K</w:t>
      </w:r>
      <w:r w:rsidRPr="002160DD">
        <w:rPr>
          <w:rFonts w:ascii="Times New Roman" w:hAnsi="Times New Roman" w:cs="Times New Roman"/>
          <w:smallCaps/>
          <w:noProof/>
          <w:lang w:val="en-US"/>
        </w:rPr>
        <w:t>reppel</w:t>
      </w:r>
      <w:r w:rsidRPr="002160DD">
        <w:rPr>
          <w:rFonts w:ascii="Times New Roman" w:hAnsi="Times New Roman" w:cs="Times New Roman"/>
          <w:noProof/>
          <w:lang w:val="en-US"/>
        </w:rPr>
        <w:t xml:space="preserve"> et M. W</w:t>
      </w:r>
      <w:r w:rsidRPr="002160DD">
        <w:rPr>
          <w:rFonts w:ascii="Times New Roman" w:hAnsi="Times New Roman" w:cs="Times New Roman"/>
          <w:smallCaps/>
          <w:noProof/>
          <w:lang w:val="en-US"/>
        </w:rPr>
        <w:t>ebb</w:t>
      </w:r>
      <w:r w:rsidRPr="002160DD">
        <w:rPr>
          <w:rFonts w:ascii="Times New Roman" w:hAnsi="Times New Roman" w:cs="Times New Roman"/>
          <w:noProof/>
          <w:lang w:val="en-US"/>
        </w:rPr>
        <w:t xml:space="preserve">, « European Parliament Resolutions – Effective Agenda Setting or Whistling into the Wind? », 2018, https://www.researchgate.net/publication/327537276_European_Parliament_Resolutions-Effective_Agenda_Setting_or_Whistling_into_the_Wind, dernière consultation </w:t>
      </w:r>
      <w:r w:rsidRPr="002160DD">
        <w:rPr>
          <w:rFonts w:ascii="Times New Roman" w:hAnsi="Times New Roman" w:cs="Times New Roman"/>
          <w:lang w:val="en-US"/>
        </w:rPr>
        <w:t>le 2</w:t>
      </w:r>
      <w:r>
        <w:rPr>
          <w:rFonts w:ascii="Times New Roman" w:hAnsi="Times New Roman" w:cs="Times New Roman"/>
          <w:lang w:val="en-US"/>
        </w:rPr>
        <w:t>8</w:t>
      </w:r>
      <w:r w:rsidRPr="002160DD">
        <w:rPr>
          <w:rFonts w:ascii="Times New Roman" w:hAnsi="Times New Roman" w:cs="Times New Roman"/>
          <w:lang w:val="en-US"/>
        </w:rPr>
        <w:t xml:space="preserve"> août 2019</w:t>
      </w:r>
      <w:r w:rsidRPr="002160DD">
        <w:rPr>
          <w:rFonts w:ascii="Times New Roman" w:hAnsi="Times New Roman" w:cs="Times New Roman"/>
          <w:noProof/>
          <w:lang w:val="en-US"/>
        </w:rPr>
        <w:t>, p. 2.</w:t>
      </w:r>
    </w:p>
  </w:footnote>
  <w:footnote w:id="1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pp 2-3.</w:t>
      </w:r>
    </w:p>
  </w:footnote>
  <w:footnote w:id="1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17, paragraphe 2 TUE : « Un acte législatif de l'Union ne peut être adopté que sur proposition de la Commission, sauf dans les cas où les traités en disposent autrement. Les autres actes sont adoptés sur proposition de la Commission lorsque les traités le prévoient. »</w:t>
      </w:r>
    </w:p>
  </w:footnote>
  <w:footnote w:id="1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M. G</w:t>
      </w:r>
      <w:r w:rsidRPr="002160DD">
        <w:rPr>
          <w:rFonts w:ascii="Times New Roman" w:hAnsi="Times New Roman" w:cs="Times New Roman"/>
          <w:smallCaps/>
          <w:noProof/>
          <w:lang w:val="fr-BE"/>
        </w:rPr>
        <w:t>odet</w:t>
      </w:r>
      <w:r w:rsidRPr="002160DD">
        <w:rPr>
          <w:rFonts w:ascii="Times New Roman" w:hAnsi="Times New Roman" w:cs="Times New Roman"/>
          <w:noProof/>
          <w:lang w:val="fr-BE"/>
        </w:rPr>
        <w:t>, « Article 192 TCE », dans P. L</w:t>
      </w:r>
      <w:r w:rsidRPr="002160DD">
        <w:rPr>
          <w:rFonts w:ascii="Times New Roman" w:hAnsi="Times New Roman" w:cs="Times New Roman"/>
          <w:smallCaps/>
          <w:noProof/>
          <w:lang w:val="fr-BE"/>
        </w:rPr>
        <w:t>éger</w:t>
      </w:r>
      <w:r w:rsidRPr="002160DD">
        <w:rPr>
          <w:rFonts w:ascii="Times New Roman" w:hAnsi="Times New Roman" w:cs="Times New Roman"/>
          <w:noProof/>
          <w:lang w:val="fr-BE"/>
        </w:rPr>
        <w:t xml:space="preserve"> (dir.), </w:t>
      </w:r>
      <w:r w:rsidRPr="002160DD">
        <w:rPr>
          <w:rFonts w:ascii="Times New Roman" w:hAnsi="Times New Roman" w:cs="Times New Roman"/>
          <w:i/>
          <w:noProof/>
          <w:lang w:val="fr-BE"/>
        </w:rPr>
        <w:t>Commentaire article par article des traités UE et CE</w:t>
      </w:r>
      <w:r w:rsidRPr="002160DD">
        <w:rPr>
          <w:rFonts w:ascii="Times New Roman" w:hAnsi="Times New Roman" w:cs="Times New Roman"/>
          <w:noProof/>
          <w:lang w:val="fr-BE"/>
        </w:rPr>
        <w:t>, Bruylant, Bruxelles, 2010, p. 1487.</w:t>
      </w:r>
    </w:p>
  </w:footnote>
  <w:footnote w:id="1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225 TFUE. </w:t>
      </w:r>
    </w:p>
  </w:footnote>
  <w:footnote w:id="1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 </w:t>
      </w:r>
      <w:r w:rsidRPr="002160DD">
        <w:rPr>
          <w:rFonts w:ascii="Times New Roman" w:hAnsi="Times New Roman" w:cs="Times New Roman"/>
          <w:smallCaps/>
          <w:noProof/>
          <w:lang w:val="fr-BE"/>
        </w:rPr>
        <w:t>Pertek</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Droit des institutions de l’Union européenne</w:t>
      </w:r>
      <w:r w:rsidRPr="002160DD">
        <w:rPr>
          <w:rFonts w:ascii="Times New Roman" w:hAnsi="Times New Roman" w:cs="Times New Roman"/>
          <w:noProof/>
          <w:lang w:val="fr-BE"/>
        </w:rPr>
        <w:t>, 5</w:t>
      </w:r>
      <w:r w:rsidRPr="002160DD">
        <w:rPr>
          <w:rFonts w:ascii="Times New Roman" w:hAnsi="Times New Roman" w:cs="Times New Roman"/>
          <w:noProof/>
          <w:vertAlign w:val="superscript"/>
          <w:lang w:val="fr-BE"/>
        </w:rPr>
        <w:t>e</w:t>
      </w:r>
      <w:r w:rsidRPr="002160DD">
        <w:rPr>
          <w:rFonts w:ascii="Times New Roman" w:hAnsi="Times New Roman" w:cs="Times New Roman"/>
          <w:noProof/>
          <w:lang w:val="fr-BE"/>
        </w:rPr>
        <w:t xml:space="preserve"> éd., PUF, Paris, 2016, p. 218.</w:t>
      </w:r>
    </w:p>
  </w:footnote>
  <w:footnote w:id="1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225 TFUE.</w:t>
      </w:r>
    </w:p>
  </w:footnote>
  <w:footnote w:id="1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acqué</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Le Parlement européen</w:t>
      </w:r>
      <w:r w:rsidRPr="002160DD">
        <w:rPr>
          <w:rFonts w:ascii="Times New Roman" w:hAnsi="Times New Roman" w:cs="Times New Roman"/>
          <w:noProof/>
          <w:lang w:val="fr-BE"/>
        </w:rPr>
        <w:t xml:space="preserve">, Répertoire Dalloz, 2011, p. 2. </w:t>
      </w:r>
    </w:p>
  </w:footnote>
  <w:footnote w:id="1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 Les pouvoirs législatifs et constituants », dans </w:t>
      </w:r>
      <w:r w:rsidRPr="002160DD">
        <w:rPr>
          <w:rFonts w:ascii="Times New Roman" w:hAnsi="Times New Roman" w:cs="Times New Roman"/>
          <w:smallCaps/>
          <w:noProof/>
          <w:lang w:val="fr-BE"/>
        </w:rPr>
        <w:t>P. Delwit, J.-M. De Waele</w:t>
      </w:r>
      <w:r w:rsidRPr="002160DD">
        <w:rPr>
          <w:rFonts w:ascii="Times New Roman" w:hAnsi="Times New Roman" w:cs="Times New Roman"/>
          <w:noProof/>
          <w:lang w:val="fr-BE"/>
        </w:rPr>
        <w:t xml:space="preserve"> et </w:t>
      </w:r>
      <w:r w:rsidRPr="002160DD">
        <w:rPr>
          <w:rFonts w:ascii="Times New Roman" w:hAnsi="Times New Roman" w:cs="Times New Roman"/>
          <w:smallCaps/>
          <w:noProof/>
          <w:lang w:val="fr-BE"/>
        </w:rPr>
        <w:t>P. Magnette</w:t>
      </w:r>
      <w:r w:rsidRPr="002160DD">
        <w:rPr>
          <w:rFonts w:ascii="Times New Roman" w:hAnsi="Times New Roman" w:cs="Times New Roman"/>
          <w:noProof/>
          <w:lang w:val="fr-BE"/>
        </w:rPr>
        <w:t xml:space="preserve"> (dir.), </w:t>
      </w:r>
      <w:r w:rsidRPr="002160DD">
        <w:rPr>
          <w:rFonts w:ascii="Times New Roman" w:hAnsi="Times New Roman" w:cs="Times New Roman"/>
          <w:i/>
          <w:noProof/>
          <w:lang w:val="fr-BE"/>
        </w:rPr>
        <w:t>À quoi sert le Parlement européen ? Stratégies et pouvoirs d’une assemblée transnationale</w:t>
      </w:r>
      <w:r w:rsidRPr="002160DD">
        <w:rPr>
          <w:rFonts w:ascii="Times New Roman" w:hAnsi="Times New Roman" w:cs="Times New Roman"/>
          <w:noProof/>
          <w:lang w:val="fr-BE"/>
        </w:rPr>
        <w:t>, Éditions Complexe, Bruxelles, 1999, pp. 77-107.</w:t>
      </w:r>
    </w:p>
  </w:footnote>
  <w:footnote w:id="20">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A. </w:t>
      </w:r>
      <w:r w:rsidRPr="002160DD">
        <w:rPr>
          <w:rFonts w:ascii="Times New Roman" w:hAnsi="Times New Roman" w:cs="Times New Roman"/>
          <w:smallCaps/>
          <w:noProof/>
          <w:lang w:val="en-US"/>
        </w:rPr>
        <w:t>Maurer</w:t>
      </w:r>
      <w:r w:rsidRPr="002160DD">
        <w:rPr>
          <w:rFonts w:ascii="Times New Roman" w:hAnsi="Times New Roman" w:cs="Times New Roman"/>
          <w:noProof/>
          <w:lang w:val="en-US"/>
        </w:rPr>
        <w:t xml:space="preserve"> et M</w:t>
      </w:r>
      <w:r w:rsidRPr="002160DD">
        <w:rPr>
          <w:rFonts w:ascii="Times New Roman" w:hAnsi="Times New Roman" w:cs="Times New Roman"/>
          <w:smallCaps/>
          <w:noProof/>
          <w:lang w:val="en-US"/>
        </w:rPr>
        <w:t>. Wolf</w:t>
      </w:r>
      <w:r w:rsidRPr="002160DD">
        <w:rPr>
          <w:rFonts w:ascii="Times New Roman" w:hAnsi="Times New Roman" w:cs="Times New Roman"/>
          <w:noProof/>
          <w:lang w:val="en-US"/>
        </w:rPr>
        <w:t xml:space="preserve">, « Chapter 3: Agenda-Shaping in the European Parliament and the European Commission’s right of legislative initiative », dans </w:t>
      </w:r>
      <w:r w:rsidRPr="002160DD">
        <w:rPr>
          <w:rFonts w:ascii="Times New Roman" w:hAnsi="Times New Roman" w:cs="Times New Roman"/>
          <w:smallCaps/>
          <w:noProof/>
          <w:lang w:val="en-US"/>
        </w:rPr>
        <w:t>J. Ege, M. W. Bauer</w:t>
      </w:r>
      <w:r w:rsidRPr="002160DD">
        <w:rPr>
          <w:rFonts w:ascii="Times New Roman" w:hAnsi="Times New Roman" w:cs="Times New Roman"/>
          <w:noProof/>
          <w:lang w:val="en-US"/>
        </w:rPr>
        <w:t xml:space="preserve"> et </w:t>
      </w:r>
      <w:r w:rsidRPr="002160DD">
        <w:rPr>
          <w:rFonts w:ascii="Times New Roman" w:hAnsi="Times New Roman" w:cs="Times New Roman"/>
          <w:smallCaps/>
          <w:noProof/>
          <w:lang w:val="en-US"/>
        </w:rPr>
        <w:t>S. Becker</w:t>
      </w:r>
      <w:r w:rsidRPr="002160DD">
        <w:rPr>
          <w:rFonts w:ascii="Times New Roman" w:hAnsi="Times New Roman" w:cs="Times New Roman"/>
          <w:noProof/>
          <w:lang w:val="en-US"/>
        </w:rPr>
        <w:t xml:space="preserve"> (dir.), </w:t>
      </w:r>
      <w:r w:rsidRPr="002160DD">
        <w:rPr>
          <w:rFonts w:ascii="Times New Roman" w:hAnsi="Times New Roman" w:cs="Times New Roman"/>
          <w:i/>
          <w:noProof/>
          <w:lang w:val="en-US"/>
        </w:rPr>
        <w:t>The European Commission in Turbulent Times, Assessing Organizational Change and Policy Impact</w:t>
      </w:r>
      <w:r w:rsidRPr="002160DD">
        <w:rPr>
          <w:rFonts w:ascii="Times New Roman" w:hAnsi="Times New Roman" w:cs="Times New Roman"/>
          <w:noProof/>
          <w:lang w:val="en-US"/>
        </w:rPr>
        <w:t xml:space="preserve">, Nomos Verlagsgesellshaft, Baden-Baden, 2018, p. 53. </w:t>
      </w:r>
    </w:p>
  </w:footnote>
  <w:footnote w:id="2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i/>
          <w:noProof/>
          <w:lang w:val="fr-BE"/>
        </w:rPr>
        <w:t xml:space="preserve"> ibidem</w:t>
      </w:r>
      <w:r w:rsidRPr="002160DD">
        <w:rPr>
          <w:rFonts w:ascii="Times New Roman" w:hAnsi="Times New Roman" w:cs="Times New Roman"/>
          <w:noProof/>
          <w:lang w:val="fr-BE"/>
        </w:rPr>
        <w:t>, p. 53.</w:t>
      </w:r>
    </w:p>
  </w:footnote>
  <w:footnote w:id="2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53.</w:t>
      </w:r>
    </w:p>
  </w:footnote>
  <w:footnote w:id="2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K</w:t>
      </w:r>
      <w:r w:rsidRPr="002160DD">
        <w:rPr>
          <w:rFonts w:ascii="Times New Roman" w:hAnsi="Times New Roman" w:cs="Times New Roman"/>
          <w:smallCaps/>
          <w:noProof/>
          <w:lang w:val="fr-BE"/>
        </w:rPr>
        <w:t>reppel</w:t>
      </w:r>
      <w:r w:rsidRPr="002160DD">
        <w:rPr>
          <w:rFonts w:ascii="Times New Roman" w:hAnsi="Times New Roman" w:cs="Times New Roman"/>
          <w:noProof/>
          <w:lang w:val="fr-BE"/>
        </w:rPr>
        <w:t xml:space="preserve"> et M. W</w:t>
      </w:r>
      <w:r w:rsidRPr="002160DD">
        <w:rPr>
          <w:rFonts w:ascii="Times New Roman" w:hAnsi="Times New Roman" w:cs="Times New Roman"/>
          <w:smallCaps/>
          <w:noProof/>
          <w:lang w:val="fr-BE"/>
        </w:rPr>
        <w:t>ebb</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10</w:t>
      </w:r>
      <w:r w:rsidRPr="002160DD">
        <w:rPr>
          <w:rFonts w:ascii="Times New Roman" w:hAnsi="Times New Roman" w:cs="Times New Roman"/>
          <w:noProof/>
          <w:lang w:val="fr-BE"/>
        </w:rPr>
        <w:t xml:space="preserve">, p. 1. </w:t>
      </w:r>
    </w:p>
  </w:footnote>
  <w:footnote w:id="2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G. </w:t>
      </w:r>
      <w:r w:rsidRPr="002160DD">
        <w:rPr>
          <w:rStyle w:val="opaccatimju1"/>
          <w:rFonts w:ascii="Times New Roman" w:hAnsi="Times New Roman" w:cs="Times New Roman"/>
          <w:noProof/>
          <w:lang w:val="en-US"/>
        </w:rPr>
        <w:t>C</w:t>
      </w:r>
      <w:r w:rsidRPr="002160DD">
        <w:rPr>
          <w:rStyle w:val="opaccatimju1"/>
          <w:rFonts w:ascii="Times New Roman" w:hAnsi="Times New Roman" w:cs="Times New Roman"/>
          <w:smallCaps/>
          <w:noProof/>
          <w:lang w:val="en-US"/>
        </w:rPr>
        <w:t xml:space="preserve">onway, </w:t>
      </w:r>
      <w:r w:rsidRPr="002160DD">
        <w:rPr>
          <w:rStyle w:val="opaccatimju1"/>
          <w:rFonts w:ascii="Times New Roman" w:hAnsi="Times New Roman" w:cs="Times New Roman"/>
          <w:noProof/>
          <w:lang w:val="en-US"/>
        </w:rPr>
        <w:t xml:space="preserve">« Recovering a Separation of Powers in the European Union », </w:t>
      </w:r>
      <w:r w:rsidRPr="002160DD">
        <w:rPr>
          <w:rStyle w:val="opaccatimju1"/>
          <w:rFonts w:ascii="Times New Roman" w:hAnsi="Times New Roman" w:cs="Times New Roman"/>
          <w:i/>
          <w:noProof/>
          <w:lang w:val="en-US"/>
        </w:rPr>
        <w:t>ELJ</w:t>
      </w:r>
      <w:r w:rsidRPr="002160DD">
        <w:rPr>
          <w:rStyle w:val="opaccatimju1"/>
          <w:rFonts w:ascii="Times New Roman" w:hAnsi="Times New Roman" w:cs="Times New Roman"/>
          <w:noProof/>
          <w:lang w:val="en-US"/>
        </w:rPr>
        <w:t xml:space="preserve"> 2011, p. 308. </w:t>
      </w:r>
      <w:r w:rsidRPr="002160DD">
        <w:rPr>
          <w:rStyle w:val="opaccatimju1"/>
          <w:rFonts w:ascii="Times New Roman" w:hAnsi="Times New Roman" w:cs="Times New Roman"/>
          <w:i/>
          <w:noProof/>
          <w:lang w:val="fr-BE"/>
        </w:rPr>
        <w:t xml:space="preserve">Cf. </w:t>
      </w:r>
      <w:r w:rsidRPr="002160DD">
        <w:rPr>
          <w:rStyle w:val="opaccatimju1"/>
          <w:rFonts w:ascii="Times New Roman" w:hAnsi="Times New Roman" w:cs="Times New Roman"/>
          <w:noProof/>
          <w:lang w:val="fr-BE"/>
        </w:rPr>
        <w:t>également</w:t>
      </w:r>
      <w:r w:rsidRPr="002160DD">
        <w:rPr>
          <w:rStyle w:val="opaccatimju1"/>
          <w:rFonts w:ascii="Times New Roman" w:hAnsi="Times New Roman" w:cs="Times New Roman"/>
          <w:i/>
          <w:noProof/>
          <w:lang w:val="fr-BE"/>
        </w:rPr>
        <w:t xml:space="preserve"> supra</w:t>
      </w:r>
      <w:r w:rsidRPr="002160DD">
        <w:rPr>
          <w:rStyle w:val="opaccatimju1"/>
          <w:rFonts w:ascii="Times New Roman" w:hAnsi="Times New Roman" w:cs="Times New Roman"/>
          <w:noProof/>
          <w:lang w:val="fr-BE"/>
        </w:rPr>
        <w:t xml:space="preserve"> : </w:t>
      </w:r>
      <w:r w:rsidRPr="002160DD">
        <w:rPr>
          <w:rFonts w:ascii="Times New Roman" w:hAnsi="Times New Roman" w:cs="Times New Roman"/>
          <w:noProof/>
          <w:lang w:val="fr-BE"/>
        </w:rPr>
        <w:t>on peut lire dans la résolution du 16 février 2017 susmentionnée, « </w:t>
      </w:r>
      <w:r w:rsidRPr="002160DD">
        <w:rPr>
          <w:rFonts w:ascii="Times New Roman" w:eastAsia="Times New Roman" w:hAnsi="Times New Roman" w:cs="Times New Roman"/>
          <w:noProof/>
          <w:lang w:val="fr-BE" w:eastAsia="fr-FR"/>
        </w:rPr>
        <w:t>comme cela est d'usage courant dans un certain nombre d'États membre » ou encore dans le discours du Président du Parlement européen, Mr Antonio Tajani, « nous sommes l’unique parlement au monde à ne pas disposer d’un tel pouvoir d’initiative législative. »</w:t>
      </w:r>
    </w:p>
  </w:footnote>
  <w:footnote w:id="2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2.</w:t>
      </w:r>
    </w:p>
  </w:footnote>
  <w:footnote w:id="2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14, paragraphe 2 TUE.</w:t>
      </w:r>
    </w:p>
  </w:footnote>
  <w:footnote w:id="2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4 : le Conseil des Ministres a décidé par l’Acte de Bruxelles du 20 septembre 1976 l’élection des parlementaires européens au suffrage universel direct.</w:t>
      </w:r>
    </w:p>
  </w:footnote>
  <w:footnote w:id="2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13, paragraphe 2 TUE : « Chaque institution agit dans les limites des attributions qui lui sont conférées dans les traités, conformément aux procédures, conditions et fins prévues par ceux-ci. Les institutions pratiquent entre elles une coopération loyale. »</w:t>
      </w:r>
    </w:p>
  </w:footnote>
  <w:footnote w:id="2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Style w:val="opaccatimju1"/>
          <w:rFonts w:ascii="Times New Roman" w:hAnsi="Times New Roman" w:cs="Times New Roman"/>
          <w:smallCaps/>
          <w:noProof/>
          <w:lang w:val="fr-BE"/>
        </w:rPr>
        <w:t xml:space="preserve">Craig, </w:t>
      </w:r>
      <w:r w:rsidRPr="002160DD">
        <w:rPr>
          <w:rFonts w:ascii="Times New Roman" w:hAnsi="Times New Roman" w:cs="Times New Roman"/>
          <w:noProof/>
          <w:lang w:val="fr-BE"/>
        </w:rPr>
        <w:t xml:space="preserve">« The Fall and Renewal of the Commission: Accountability, Contract and Administrative Organisation », </w:t>
      </w:r>
      <w:r w:rsidRPr="002160DD">
        <w:rPr>
          <w:rFonts w:ascii="Times New Roman" w:hAnsi="Times New Roman" w:cs="Times New Roman"/>
          <w:i/>
          <w:noProof/>
          <w:lang w:val="fr-BE"/>
        </w:rPr>
        <w:t xml:space="preserve">ELJ </w:t>
      </w:r>
      <w:r w:rsidRPr="002160DD">
        <w:rPr>
          <w:rFonts w:ascii="Times New Roman" w:hAnsi="Times New Roman" w:cs="Times New Roman"/>
          <w:noProof/>
          <w:lang w:val="fr-BE"/>
        </w:rPr>
        <w:t xml:space="preserve">2000, p. 106 ; voy. aussi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Le Parlement européen, assemblée délibérante</w:t>
      </w:r>
      <w:r w:rsidRPr="002160DD">
        <w:rPr>
          <w:rFonts w:ascii="Times New Roman" w:hAnsi="Times New Roman" w:cs="Times New Roman"/>
          <w:noProof/>
          <w:lang w:val="fr-BE"/>
        </w:rPr>
        <w:t>, Université de Bruxelles, Bruxelles, 2001, p. 144.</w:t>
      </w:r>
    </w:p>
  </w:footnote>
  <w:footnote w:id="30">
    <w:p w:rsidR="00111A52" w:rsidRPr="002160DD" w:rsidRDefault="00111A52" w:rsidP="00872531">
      <w:pPr>
        <w:pStyle w:val="Notedebasdepage"/>
        <w:jc w:val="both"/>
        <w:rPr>
          <w:rFonts w:ascii="Times New Roman" w:hAnsi="Times New Roman" w:cs="Times New Roman"/>
          <w:smallCaps/>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19</w:t>
      </w:r>
      <w:r w:rsidRPr="002160DD">
        <w:rPr>
          <w:rFonts w:ascii="Times New Roman" w:hAnsi="Times New Roman" w:cs="Times New Roman"/>
          <w:noProof/>
          <w:lang w:val="fr-BE"/>
        </w:rPr>
        <w:t xml:space="preserve">, pp. 77-78. </w:t>
      </w:r>
    </w:p>
  </w:footnote>
  <w:footnote w:id="3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 Library Briefing - Parliament’s legislative initiative », 24 octobre 2013, http://www.europarl.europa.eu/RegData/bibliotheque/briefing/2013/130619/LDM_BRI%282013%29130619_REV2_EN.pdf,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xml:space="preserve">, p. 1. </w:t>
      </w:r>
    </w:p>
  </w:footnote>
  <w:footnote w:id="3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 4. </w:t>
      </w:r>
    </w:p>
  </w:footnote>
  <w:footnote w:id="3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Style w:val="opaccatimju1"/>
          <w:rFonts w:ascii="Times New Roman" w:hAnsi="Times New Roman" w:cs="Times New Roman"/>
          <w:smallCaps/>
          <w:noProof/>
          <w:lang w:val="fr-BE"/>
        </w:rPr>
        <w:t xml:space="preserve">Ponzano, C. Hermanin </w:t>
      </w:r>
      <w:r w:rsidRPr="002160DD">
        <w:rPr>
          <w:rFonts w:ascii="Times New Roman" w:hAnsi="Times New Roman" w:cs="Times New Roman"/>
          <w:noProof/>
          <w:lang w:val="fr-BE"/>
        </w:rPr>
        <w:t>et</w:t>
      </w:r>
      <w:r w:rsidRPr="002160DD">
        <w:rPr>
          <w:rStyle w:val="opaccatimju1"/>
          <w:rFonts w:ascii="Times New Roman" w:hAnsi="Times New Roman" w:cs="Times New Roman"/>
          <w:smallCaps/>
          <w:noProof/>
          <w:lang w:val="fr-BE"/>
        </w:rPr>
        <w:t xml:space="preserve"> D. Corona</w:t>
      </w:r>
      <w:r w:rsidRPr="002160DD">
        <w:rPr>
          <w:rFonts w:ascii="Times New Roman" w:hAnsi="Times New Roman" w:cs="Times New Roman"/>
          <w:noProof/>
          <w:lang w:val="fr-BE"/>
        </w:rPr>
        <w:t xml:space="preserve">, « Le pouvoir d’initiative de la Commission européenne : une érosion progressive », 2 février 2012, http://institutdelors.eu/publications/the-power-of-initiative-of-the-european-commission-a-progressive-erosion/?lang=en,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p. 7.</w:t>
      </w:r>
    </w:p>
  </w:footnote>
  <w:footnote w:id="3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w:t>
      </w:r>
      <w:r w:rsidRPr="002160DD">
        <w:rPr>
          <w:rStyle w:val="opaccatimju1"/>
          <w:rFonts w:ascii="Times New Roman" w:hAnsi="Times New Roman" w:cs="Times New Roman"/>
          <w:smallCaps/>
          <w:noProof/>
          <w:lang w:val="fr-BE"/>
        </w:rPr>
        <w:t>Jacqué</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Droit institutionnel de l’Union européenne</w:t>
      </w:r>
      <w:r w:rsidRPr="002160DD">
        <w:rPr>
          <w:rFonts w:ascii="Times New Roman" w:hAnsi="Times New Roman" w:cs="Times New Roman"/>
          <w:noProof/>
          <w:lang w:val="fr-BE"/>
        </w:rPr>
        <w:t>, 9</w:t>
      </w:r>
      <w:r w:rsidRPr="002160DD">
        <w:rPr>
          <w:rFonts w:ascii="Times New Roman" w:hAnsi="Times New Roman" w:cs="Times New Roman"/>
          <w:noProof/>
          <w:vertAlign w:val="superscript"/>
          <w:lang w:val="fr-BE"/>
        </w:rPr>
        <w:t>e</w:t>
      </w:r>
      <w:r w:rsidRPr="002160DD">
        <w:rPr>
          <w:rFonts w:ascii="Times New Roman" w:hAnsi="Times New Roman" w:cs="Times New Roman"/>
          <w:noProof/>
          <w:lang w:val="fr-BE"/>
        </w:rPr>
        <w:t xml:space="preserve"> éd., Dalloz, Paris, 2018, p. 417. </w:t>
      </w:r>
    </w:p>
  </w:footnote>
  <w:footnote w:id="3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Style w:val="opaccatimju1"/>
          <w:rFonts w:ascii="Times New Roman" w:hAnsi="Times New Roman" w:cs="Times New Roman"/>
          <w:smallCaps/>
          <w:noProof/>
          <w:lang w:val="fr-BE"/>
        </w:rPr>
        <w:t xml:space="preserve">Ponzano, C. Hermanin </w:t>
      </w:r>
      <w:r w:rsidRPr="002160DD">
        <w:rPr>
          <w:rFonts w:ascii="Times New Roman" w:hAnsi="Times New Roman" w:cs="Times New Roman"/>
          <w:noProof/>
          <w:lang w:val="fr-BE"/>
        </w:rPr>
        <w:t>et</w:t>
      </w:r>
      <w:r w:rsidRPr="002160DD">
        <w:rPr>
          <w:rStyle w:val="opaccatimju1"/>
          <w:rFonts w:ascii="Times New Roman" w:hAnsi="Times New Roman" w:cs="Times New Roman"/>
          <w:smallCaps/>
          <w:noProof/>
          <w:lang w:val="fr-BE"/>
        </w:rPr>
        <w:t xml:space="preserve"> D. Corona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33</w:t>
      </w:r>
      <w:r w:rsidRPr="002160DD">
        <w:rPr>
          <w:rFonts w:ascii="Times New Roman" w:hAnsi="Times New Roman" w:cs="Times New Roman"/>
          <w:noProof/>
          <w:lang w:val="fr-BE"/>
        </w:rPr>
        <w:t xml:space="preserve">, p. 7. </w:t>
      </w:r>
    </w:p>
  </w:footnote>
  <w:footnote w:id="3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19</w:t>
      </w:r>
      <w:r w:rsidRPr="002160DD">
        <w:rPr>
          <w:rFonts w:ascii="Times New Roman" w:hAnsi="Times New Roman" w:cs="Times New Roman"/>
          <w:noProof/>
          <w:lang w:val="fr-BE"/>
        </w:rPr>
        <w:t xml:space="preserve">, p. 77. </w:t>
      </w:r>
    </w:p>
  </w:footnote>
  <w:footnote w:id="3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acqué</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18</w:t>
      </w:r>
      <w:r w:rsidRPr="002160DD">
        <w:rPr>
          <w:rFonts w:ascii="Times New Roman" w:hAnsi="Times New Roman" w:cs="Times New Roman"/>
          <w:noProof/>
          <w:lang w:val="fr-BE"/>
        </w:rPr>
        <w:t>, p. 15.</w:t>
      </w:r>
    </w:p>
  </w:footnote>
  <w:footnote w:id="3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K</w:t>
      </w:r>
      <w:r w:rsidRPr="002160DD">
        <w:rPr>
          <w:rFonts w:ascii="Times New Roman" w:hAnsi="Times New Roman" w:cs="Times New Roman"/>
          <w:smallCaps/>
          <w:noProof/>
          <w:lang w:val="fr-BE"/>
        </w:rPr>
        <w:t>reppel</w:t>
      </w:r>
      <w:r w:rsidRPr="002160DD">
        <w:rPr>
          <w:rFonts w:ascii="Times New Roman" w:hAnsi="Times New Roman" w:cs="Times New Roman"/>
          <w:noProof/>
          <w:lang w:val="fr-BE"/>
        </w:rPr>
        <w:t xml:space="preserve"> et M. W</w:t>
      </w:r>
      <w:r w:rsidRPr="002160DD">
        <w:rPr>
          <w:rFonts w:ascii="Times New Roman" w:hAnsi="Times New Roman" w:cs="Times New Roman"/>
          <w:smallCaps/>
          <w:noProof/>
          <w:lang w:val="fr-BE"/>
        </w:rPr>
        <w:t>ebb</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10</w:t>
      </w:r>
      <w:r w:rsidRPr="002160DD">
        <w:rPr>
          <w:rFonts w:ascii="Times New Roman" w:hAnsi="Times New Roman" w:cs="Times New Roman"/>
          <w:noProof/>
          <w:lang w:val="fr-BE"/>
        </w:rPr>
        <w:t xml:space="preserve">, p. 3. </w:t>
      </w:r>
    </w:p>
  </w:footnote>
  <w:footnote w:id="3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29</w:t>
      </w:r>
      <w:r w:rsidRPr="002160DD">
        <w:rPr>
          <w:rFonts w:ascii="Times New Roman" w:hAnsi="Times New Roman" w:cs="Times New Roman"/>
          <w:noProof/>
          <w:lang w:val="fr-BE"/>
        </w:rPr>
        <w:t>, p. 138.</w:t>
      </w:r>
    </w:p>
  </w:footnote>
  <w:footnote w:id="4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4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Règlement du Parlement européen, JOCE 62 du 15 octobre 1962, p. 2437. </w:t>
      </w:r>
    </w:p>
  </w:footnote>
  <w:footnote w:id="4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29</w:t>
      </w:r>
      <w:r w:rsidRPr="002160DD">
        <w:rPr>
          <w:rFonts w:ascii="Times New Roman" w:hAnsi="Times New Roman" w:cs="Times New Roman"/>
          <w:noProof/>
          <w:lang w:val="fr-BE"/>
        </w:rPr>
        <w:t>, p. 138.</w:t>
      </w:r>
    </w:p>
  </w:footnote>
  <w:footnote w:id="4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Communication de la Commission des Communautés européennes – Les relations entre les institutions de la Communauté, COM (1981) 581 final, 7 octobre 1981, point 18.</w:t>
      </w:r>
    </w:p>
  </w:footnote>
  <w:footnote w:id="4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45">
    <w:p w:rsidR="00111A52" w:rsidRPr="002160DD" w:rsidRDefault="00111A52" w:rsidP="00872531">
      <w:pPr>
        <w:pStyle w:val="Notedebasdepage"/>
        <w:jc w:val="both"/>
        <w:rPr>
          <w:rFonts w:ascii="Times New Roman" w:hAnsi="Times New Roman" w:cs="Times New Roman"/>
          <w:smallCaps/>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29</w:t>
      </w:r>
      <w:r w:rsidRPr="002160DD">
        <w:rPr>
          <w:rFonts w:ascii="Times New Roman" w:hAnsi="Times New Roman" w:cs="Times New Roman"/>
          <w:noProof/>
          <w:lang w:val="fr-BE"/>
        </w:rPr>
        <w:t>, p. 139.</w:t>
      </w:r>
    </w:p>
  </w:footnote>
  <w:footnote w:id="4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4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Directive (CEE) n° 83/129 du Conseil du 28 mars 1983 concernant l'importation dans les États membres de peaux de certains bébés-phoques et de produits dérivés, JOCE L 91 du 4 septembre 1983, p. 30. </w:t>
      </w:r>
    </w:p>
  </w:footnote>
  <w:footnote w:id="48">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M. W</w:t>
      </w:r>
      <w:r w:rsidRPr="002160DD">
        <w:rPr>
          <w:rFonts w:ascii="Times New Roman" w:hAnsi="Times New Roman" w:cs="Times New Roman"/>
          <w:smallCaps/>
          <w:noProof/>
          <w:lang w:val="en-US"/>
        </w:rPr>
        <w:t>estlake</w:t>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 xml:space="preserve">A Modern Guide to the European Parliament, </w:t>
      </w:r>
      <w:r w:rsidRPr="002160DD">
        <w:rPr>
          <w:rFonts w:ascii="Times New Roman" w:hAnsi="Times New Roman" w:cs="Times New Roman"/>
          <w:noProof/>
          <w:lang w:val="en-US"/>
        </w:rPr>
        <w:t>Pinter Publishers Ltd, Londres, 1994, p. 152.</w:t>
      </w:r>
    </w:p>
  </w:footnote>
  <w:footnote w:id="49">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Eod.loco.</w:t>
      </w:r>
    </w:p>
  </w:footnote>
  <w:footnote w:id="50">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Eod.loco.</w:t>
      </w:r>
    </w:p>
  </w:footnote>
  <w:footnote w:id="51">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P. V</w:t>
      </w:r>
      <w:r w:rsidRPr="002160DD">
        <w:rPr>
          <w:rFonts w:ascii="Times New Roman" w:hAnsi="Times New Roman" w:cs="Times New Roman"/>
          <w:smallCaps/>
          <w:noProof/>
          <w:lang w:val="en-US"/>
        </w:rPr>
        <w:t>avrik</w:t>
      </w:r>
      <w:r w:rsidRPr="002160DD">
        <w:rPr>
          <w:rFonts w:ascii="Times New Roman" w:hAnsi="Times New Roman" w:cs="Times New Roman"/>
          <w:noProof/>
          <w:lang w:val="en-US"/>
        </w:rPr>
        <w:t xml:space="preserve">, « Contribution of the European Parliament to multilevel governance. Building on a potential for a fuller right of legislative initiative for the European Parliament », mars 2017, www.europarl.europa.eu/RegData/etudes/STUD/2017/599350/EPRS_STU(2017)599350_EN.pdf, dernière consultation </w:t>
      </w:r>
      <w:r w:rsidRPr="002160DD">
        <w:rPr>
          <w:rFonts w:ascii="Times New Roman" w:hAnsi="Times New Roman" w:cs="Times New Roman"/>
          <w:lang w:val="en-US"/>
        </w:rPr>
        <w:t>le 2</w:t>
      </w:r>
      <w:r>
        <w:rPr>
          <w:rFonts w:ascii="Times New Roman" w:hAnsi="Times New Roman" w:cs="Times New Roman"/>
          <w:lang w:val="en-US"/>
        </w:rPr>
        <w:t>8</w:t>
      </w:r>
      <w:r w:rsidRPr="002160DD">
        <w:rPr>
          <w:rFonts w:ascii="Times New Roman" w:hAnsi="Times New Roman" w:cs="Times New Roman"/>
          <w:lang w:val="en-US"/>
        </w:rPr>
        <w:t xml:space="preserve"> août 2019</w:t>
      </w:r>
      <w:r w:rsidRPr="002160DD">
        <w:rPr>
          <w:rFonts w:ascii="Times New Roman" w:hAnsi="Times New Roman" w:cs="Times New Roman"/>
          <w:noProof/>
          <w:lang w:val="en-US"/>
        </w:rPr>
        <w:t>, p. 8.</w:t>
      </w:r>
    </w:p>
  </w:footnote>
  <w:footnote w:id="5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les Conférences intergouvernementales dans le cadre de la stratégie du Parlement européen pour l'Union européenne, JOCE C 324 du 22 novembre 2000, pp. 232-33.</w:t>
      </w:r>
    </w:p>
  </w:footnote>
  <w:footnote w:id="5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5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xml:space="preserve">, p. 2. </w:t>
      </w:r>
    </w:p>
  </w:footnote>
  <w:footnote w:id="5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Article 138 B, paragraphe 2 TCE : « Le Parlement européen peut, à la majorité de ses membres, demander à la Commission de soumettre toute proposition appropriée sur les questions qui lui paraissent nécessiter l'élaboration d'un acte communautaire pour la mise en oeuvre du présent traité. »</w:t>
      </w:r>
    </w:p>
  </w:footnote>
  <w:footnote w:id="5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la préparation de la réforme des traités et la prochaine Conférence intergouvernementale, précité à la note 79, point 26. </w:t>
      </w:r>
    </w:p>
  </w:footnote>
  <w:footnote w:id="5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225 TFUE : « (…) Si la Commission ne soumet pas de proposition, elle en communique les raisons au Parlement européen. »</w:t>
      </w:r>
    </w:p>
  </w:footnote>
  <w:footnote w:id="5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I. </w:t>
      </w:r>
      <w:r w:rsidRPr="002160DD">
        <w:rPr>
          <w:rFonts w:ascii="Times New Roman" w:hAnsi="Times New Roman" w:cs="Times New Roman"/>
          <w:smallCaps/>
          <w:noProof/>
          <w:lang w:val="fr-BE"/>
        </w:rPr>
        <w:t>Pingel</w:t>
      </w:r>
      <w:r w:rsidRPr="002160DD">
        <w:rPr>
          <w:rFonts w:ascii="Times New Roman" w:hAnsi="Times New Roman" w:cs="Times New Roman"/>
          <w:noProof/>
          <w:lang w:val="fr-BE"/>
        </w:rPr>
        <w:t xml:space="preserve">, « Article 192 TCE », dans I. </w:t>
      </w:r>
      <w:r w:rsidRPr="002160DD">
        <w:rPr>
          <w:rFonts w:ascii="Times New Roman" w:hAnsi="Times New Roman" w:cs="Times New Roman"/>
          <w:smallCaps/>
          <w:noProof/>
          <w:lang w:val="fr-BE"/>
        </w:rPr>
        <w:t>Pingel</w:t>
      </w:r>
      <w:r w:rsidRPr="002160DD">
        <w:rPr>
          <w:rFonts w:ascii="Times New Roman" w:hAnsi="Times New Roman" w:cs="Times New Roman"/>
          <w:noProof/>
          <w:lang w:val="fr-BE"/>
        </w:rPr>
        <w:t xml:space="preserve"> (ed.), </w:t>
      </w:r>
      <w:r w:rsidRPr="002160DD">
        <w:rPr>
          <w:rFonts w:ascii="Times New Roman" w:hAnsi="Times New Roman" w:cs="Times New Roman"/>
          <w:i/>
          <w:noProof/>
          <w:lang w:val="fr-BE"/>
        </w:rPr>
        <w:t>Commentaire article par article des traités UE et CE</w:t>
      </w:r>
      <w:r w:rsidRPr="002160DD">
        <w:rPr>
          <w:rFonts w:ascii="Times New Roman" w:hAnsi="Times New Roman" w:cs="Times New Roman"/>
          <w:noProof/>
          <w:lang w:val="fr-BE"/>
        </w:rPr>
        <w:t>, 2</w:t>
      </w:r>
      <w:r w:rsidRPr="002160DD">
        <w:rPr>
          <w:rFonts w:ascii="Times New Roman" w:hAnsi="Times New Roman" w:cs="Times New Roman"/>
          <w:noProof/>
          <w:vertAlign w:val="superscript"/>
          <w:lang w:val="fr-BE"/>
        </w:rPr>
        <w:t>e</w:t>
      </w:r>
      <w:r w:rsidRPr="002160DD">
        <w:rPr>
          <w:rFonts w:ascii="Times New Roman" w:hAnsi="Times New Roman" w:cs="Times New Roman"/>
          <w:noProof/>
          <w:lang w:val="fr-BE"/>
        </w:rPr>
        <w:t xml:space="preserve"> éd., Bruylant, Bruxelles, 2010, p. 1305.</w:t>
      </w:r>
    </w:p>
  </w:footnote>
  <w:footnote w:id="5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 </w:t>
      </w:r>
      <w:r w:rsidRPr="002160DD">
        <w:rPr>
          <w:rFonts w:ascii="Times New Roman" w:hAnsi="Times New Roman" w:cs="Times New Roman"/>
          <w:smallCaps/>
          <w:noProof/>
          <w:lang w:val="fr-BE"/>
        </w:rPr>
        <w:t xml:space="preserve">Pertek,  </w:t>
      </w:r>
      <w:r w:rsidRPr="002160DD">
        <w:rPr>
          <w:rFonts w:ascii="Times New Roman" w:hAnsi="Times New Roman" w:cs="Times New Roman"/>
          <w:noProof/>
          <w:lang w:val="fr-BE"/>
        </w:rPr>
        <w:t>précité à la note 29, p. 218.</w:t>
      </w:r>
    </w:p>
  </w:footnote>
  <w:footnote w:id="6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xml:space="preserve">, pp. 62-63. </w:t>
      </w:r>
    </w:p>
  </w:footnote>
  <w:footnote w:id="6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6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p. 3.</w:t>
      </w:r>
    </w:p>
  </w:footnote>
  <w:footnote w:id="6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 2. </w:t>
      </w:r>
    </w:p>
  </w:footnote>
  <w:footnote w:id="6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 </w:t>
      </w:r>
      <w:r w:rsidRPr="002160DD">
        <w:rPr>
          <w:rFonts w:ascii="Times New Roman" w:hAnsi="Times New Roman" w:cs="Times New Roman"/>
          <w:smallCaps/>
          <w:noProof/>
          <w:lang w:val="fr-BE"/>
        </w:rPr>
        <w:t xml:space="preserve">Pertek,  </w:t>
      </w:r>
      <w:r w:rsidRPr="002160DD">
        <w:rPr>
          <w:rFonts w:ascii="Times New Roman" w:hAnsi="Times New Roman" w:cs="Times New Roman"/>
          <w:noProof/>
          <w:lang w:val="fr-BE"/>
        </w:rPr>
        <w:t xml:space="preserve">précité à la note 29, pp. 217-18. </w:t>
      </w:r>
    </w:p>
  </w:footnote>
  <w:footnote w:id="6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241 TFUE.</w:t>
      </w:r>
    </w:p>
  </w:footnote>
  <w:footnote w:id="6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xml:space="preserve">, p. 2. </w:t>
      </w:r>
    </w:p>
  </w:footnote>
  <w:footnote w:id="6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11, paragraphe 4 TUE.</w:t>
      </w:r>
    </w:p>
  </w:footnote>
  <w:footnote w:id="6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Règlement (UE) n°211/2011 du Parlement européen et du Conseil du 16 février 2011 relatif à l’initiative citoyenne, JO L 65 du 11 mars 2011, p. 1.</w:t>
      </w:r>
    </w:p>
  </w:footnote>
  <w:footnote w:id="6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w:t>
      </w:r>
      <w:r w:rsidRPr="002160DD">
        <w:rPr>
          <w:rStyle w:val="opaccatimju1"/>
          <w:rFonts w:ascii="Times New Roman" w:hAnsi="Times New Roman" w:cs="Times New Roman"/>
          <w:smallCaps/>
          <w:noProof/>
          <w:lang w:val="fr-BE"/>
        </w:rPr>
        <w:t>Jacqué</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34</w:t>
      </w:r>
      <w:r w:rsidRPr="002160DD">
        <w:rPr>
          <w:rFonts w:ascii="Times New Roman" w:hAnsi="Times New Roman" w:cs="Times New Roman"/>
          <w:noProof/>
          <w:lang w:val="fr-BE"/>
        </w:rPr>
        <w:t xml:space="preserve">, p. 421. Voy. à cet égard la proposition de révision du Règlement relatif à l’initiative citoyenne (Communication de la Commission, Proposition de Règlement du Parlement européen et du Conseil relatif à l’initiative citoyenne, COM(2017) 482 final, 13 octobre 2017) qui a fait l’objet d’une position commune du Parlement européen et du Conseil (Commission, « European Citizens' Initiative: Political agreement reached on the Commission's proposal », 12 décembre 2018, http://europa.eu/rapid/press-release_IP-18-6792_en.htm,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w:t>
      </w:r>
    </w:p>
  </w:footnote>
  <w:footnote w:id="7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xml:space="preserve">, p. 16. </w:t>
      </w:r>
    </w:p>
  </w:footnote>
  <w:footnote w:id="7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Accord-cadre sur les relations entre le Parlement européen et la Commission, JOCE C 121 du 5 juillet 2000, point 4. </w:t>
      </w:r>
    </w:p>
  </w:footnote>
  <w:footnote w:id="7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Accord-cadre sur les relations entre le Parlement européen et la Commission européenne, JO L 304 du 20 novembre 2010, p. 47.</w:t>
      </w:r>
    </w:p>
  </w:footnote>
  <w:footnote w:id="7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point 16.  </w:t>
      </w:r>
    </w:p>
  </w:footnote>
  <w:footnote w:id="7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p. 3.</w:t>
      </w:r>
    </w:p>
  </w:footnote>
  <w:footnote w:id="7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Accord-cadre sur les relations entre le Parlement européen et la Commission européenne, précité à la note 95, point 16.</w:t>
      </w:r>
    </w:p>
  </w:footnote>
  <w:footnote w:id="7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Accord interinstitutionnel entre le Parlement européen, le Conseil de l’Union européen et la Commission européenne « Mieux Légiférer », JO L 123 du 12 mai 2016, point 10. </w:t>
      </w:r>
    </w:p>
  </w:footnote>
  <w:footnote w:id="7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p. 3.</w:t>
      </w:r>
    </w:p>
  </w:footnote>
  <w:footnote w:id="7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7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8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8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16.</w:t>
      </w:r>
    </w:p>
  </w:footnote>
  <w:footnote w:id="8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noProof/>
          <w:lang w:val="fr-BE"/>
        </w:rPr>
        <w:t xml:space="preserve">Ce résultat est obtenu sur base des données disponibles sur le site de l’observatoire législatif du Parlement européen : </w:t>
      </w:r>
      <w:hyperlink r:id="rId2" w:history="1">
        <w:r w:rsidRPr="002160DD">
          <w:rPr>
            <w:rStyle w:val="Lienhypertexte"/>
            <w:rFonts w:ascii="Times New Roman" w:hAnsi="Times New Roman" w:cs="Times New Roman"/>
            <w:noProof/>
            <w:color w:val="auto"/>
            <w:u w:val="none"/>
            <w:lang w:val="fr-BE"/>
          </w:rPr>
          <w:t>https://oeil.secure.europarl.europa.eu/oeil/search/search.do?searchTab=y</w:t>
        </w:r>
      </w:hyperlink>
      <w:r w:rsidRPr="002160DD">
        <w:rPr>
          <w:rFonts w:ascii="Times New Roman" w:hAnsi="Times New Roman" w:cs="Times New Roman"/>
          <w:noProof/>
          <w:lang w:val="fr-BE"/>
        </w:rPr>
        <w:t xml:space="preserve">,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xml:space="preserve">. </w:t>
      </w:r>
    </w:p>
  </w:footnote>
  <w:footnote w:id="83">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R. C</w:t>
      </w:r>
      <w:r w:rsidRPr="002160DD">
        <w:rPr>
          <w:rStyle w:val="opaccatimju1"/>
          <w:rFonts w:ascii="Times New Roman" w:hAnsi="Times New Roman" w:cs="Times New Roman"/>
          <w:smallCaps/>
          <w:noProof/>
          <w:lang w:val="en-US"/>
        </w:rPr>
        <w:t xml:space="preserve">orbett, F. Jacobs </w:t>
      </w:r>
      <w:r w:rsidRPr="002160DD">
        <w:rPr>
          <w:rFonts w:ascii="Times New Roman" w:hAnsi="Times New Roman" w:cs="Times New Roman"/>
          <w:noProof/>
          <w:lang w:val="en-US"/>
        </w:rPr>
        <w:t xml:space="preserve">et </w:t>
      </w:r>
      <w:r w:rsidRPr="002160DD">
        <w:rPr>
          <w:rStyle w:val="opaccatimju1"/>
          <w:rFonts w:ascii="Times New Roman" w:hAnsi="Times New Roman" w:cs="Times New Roman"/>
          <w:smallCaps/>
          <w:noProof/>
          <w:lang w:val="en-US"/>
        </w:rPr>
        <w:t>D. Neville</w:t>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The European Parliament</w:t>
      </w:r>
      <w:r w:rsidRPr="002160DD">
        <w:rPr>
          <w:rFonts w:ascii="Times New Roman" w:hAnsi="Times New Roman" w:cs="Times New Roman"/>
          <w:noProof/>
          <w:lang w:val="en-US"/>
        </w:rPr>
        <w:t>, 9e éd., John Harper Publishing, Londres, 2016, p. 311.</w:t>
      </w:r>
    </w:p>
  </w:footnote>
  <w:footnote w:id="8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64.</w:t>
      </w:r>
    </w:p>
  </w:footnote>
  <w:footnote w:id="8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xml:space="preserve">, p. 12. </w:t>
      </w:r>
    </w:p>
  </w:footnote>
  <w:footnote w:id="8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K</w:t>
      </w:r>
      <w:r w:rsidRPr="002160DD">
        <w:rPr>
          <w:rFonts w:ascii="Times New Roman" w:hAnsi="Times New Roman" w:cs="Times New Roman"/>
          <w:smallCaps/>
          <w:noProof/>
          <w:lang w:val="fr-BE"/>
        </w:rPr>
        <w:t>reppel</w:t>
      </w:r>
      <w:r w:rsidRPr="002160DD">
        <w:rPr>
          <w:rFonts w:ascii="Times New Roman" w:hAnsi="Times New Roman" w:cs="Times New Roman"/>
          <w:noProof/>
          <w:lang w:val="fr-BE"/>
        </w:rPr>
        <w:t xml:space="preserve"> et M. W</w:t>
      </w:r>
      <w:r w:rsidRPr="002160DD">
        <w:rPr>
          <w:rFonts w:ascii="Times New Roman" w:hAnsi="Times New Roman" w:cs="Times New Roman"/>
          <w:smallCaps/>
          <w:noProof/>
          <w:lang w:val="fr-BE"/>
        </w:rPr>
        <w:t>ebb</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10</w:t>
      </w:r>
      <w:r w:rsidRPr="002160DD">
        <w:rPr>
          <w:rFonts w:ascii="Times New Roman" w:hAnsi="Times New Roman" w:cs="Times New Roman"/>
          <w:noProof/>
          <w:lang w:val="fr-BE"/>
        </w:rPr>
        <w:t xml:space="preserve">, p. 7. </w:t>
      </w:r>
    </w:p>
  </w:footnote>
  <w:footnote w:id="8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pp. 66-67.</w:t>
      </w:r>
    </w:p>
  </w:footnote>
  <w:footnote w:id="8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8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9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9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9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67.</w:t>
      </w:r>
    </w:p>
  </w:footnote>
  <w:footnote w:id="9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 64. </w:t>
      </w:r>
    </w:p>
  </w:footnote>
  <w:footnote w:id="9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46, paragraphe 1 du Règlement intérieur du Parlement intérieur, mars 2019.</w:t>
      </w:r>
    </w:p>
  </w:footnote>
  <w:footnote w:id="95">
    <w:p w:rsidR="00111A52" w:rsidRPr="002160DD" w:rsidRDefault="00111A52" w:rsidP="00872531">
      <w:pPr>
        <w:pStyle w:val="Notedebasdepage"/>
        <w:jc w:val="both"/>
        <w:rPr>
          <w:rFonts w:ascii="Times New Roman" w:hAnsi="Times New Roman" w:cs="Times New Roman"/>
          <w:noProof/>
          <w:lang w:val="fr-FR"/>
        </w:rPr>
      </w:pPr>
      <w:r w:rsidRPr="002160DD">
        <w:rPr>
          <w:rStyle w:val="Appelnotedebasdep"/>
          <w:rFonts w:ascii="Times New Roman" w:hAnsi="Times New Roman" w:cs="Times New Roman"/>
          <w:noProof/>
          <w:lang w:val="fr-FR"/>
        </w:rPr>
        <w:footnoteRef/>
      </w:r>
      <w:r w:rsidRPr="002160DD">
        <w:rPr>
          <w:rFonts w:ascii="Times New Roman" w:hAnsi="Times New Roman" w:cs="Times New Roman"/>
          <w:noProof/>
          <w:lang w:val="fr-FR"/>
        </w:rPr>
        <w:t xml:space="preserve"> P. </w:t>
      </w:r>
      <w:r w:rsidRPr="002160DD">
        <w:rPr>
          <w:rFonts w:ascii="Times New Roman" w:hAnsi="Times New Roman" w:cs="Times New Roman"/>
          <w:smallCaps/>
          <w:noProof/>
          <w:lang w:val="fr-FR"/>
        </w:rPr>
        <w:t>Craig</w:t>
      </w:r>
      <w:r w:rsidRPr="002160DD">
        <w:rPr>
          <w:rFonts w:ascii="Times New Roman" w:hAnsi="Times New Roman" w:cs="Times New Roman"/>
          <w:noProof/>
          <w:lang w:val="fr-FR"/>
        </w:rPr>
        <w:t xml:space="preserve"> et G. </w:t>
      </w:r>
      <w:r w:rsidRPr="002160DD">
        <w:rPr>
          <w:rFonts w:ascii="Times New Roman" w:hAnsi="Times New Roman" w:cs="Times New Roman"/>
          <w:smallCaps/>
          <w:noProof/>
          <w:lang w:val="fr-FR"/>
        </w:rPr>
        <w:t>De burca</w:t>
      </w:r>
      <w:r w:rsidRPr="002160DD">
        <w:rPr>
          <w:rFonts w:ascii="Times New Roman" w:hAnsi="Times New Roman" w:cs="Times New Roman"/>
          <w:noProof/>
          <w:lang w:val="fr-FR"/>
        </w:rPr>
        <w:t xml:space="preserve">, </w:t>
      </w:r>
      <w:r w:rsidRPr="002160DD">
        <w:rPr>
          <w:rFonts w:ascii="Times New Roman" w:hAnsi="Times New Roman" w:cs="Times New Roman"/>
          <w:i/>
          <w:noProof/>
          <w:lang w:val="fr-FR"/>
        </w:rPr>
        <w:t>EU Law, Text, Cases and Materials</w:t>
      </w:r>
      <w:r w:rsidRPr="002160DD">
        <w:rPr>
          <w:rFonts w:ascii="Times New Roman" w:hAnsi="Times New Roman" w:cs="Times New Roman"/>
          <w:noProof/>
          <w:lang w:val="fr-FR"/>
        </w:rPr>
        <w:t>, 6</w:t>
      </w:r>
      <w:r w:rsidRPr="002160DD">
        <w:rPr>
          <w:rFonts w:ascii="Times New Roman" w:hAnsi="Times New Roman" w:cs="Times New Roman"/>
          <w:noProof/>
          <w:vertAlign w:val="superscript"/>
          <w:lang w:val="fr-FR"/>
        </w:rPr>
        <w:t>e</w:t>
      </w:r>
      <w:r w:rsidRPr="002160DD">
        <w:rPr>
          <w:rFonts w:ascii="Times New Roman" w:hAnsi="Times New Roman" w:cs="Times New Roman"/>
          <w:noProof/>
          <w:lang w:val="fr-FR"/>
        </w:rPr>
        <w:t xml:space="preserve"> éd., O.U.P., Oxford, 2015, p. 125.</w:t>
      </w:r>
    </w:p>
  </w:footnote>
  <w:footnote w:id="9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52, paragraphes 1 et 3 du Règlement intérieur précité à la note </w:t>
      </w:r>
      <w:r>
        <w:rPr>
          <w:rFonts w:ascii="Times New Roman" w:hAnsi="Times New Roman" w:cs="Times New Roman"/>
          <w:noProof/>
          <w:lang w:val="fr-BE"/>
        </w:rPr>
        <w:t>94</w:t>
      </w:r>
      <w:r w:rsidRPr="002160DD">
        <w:rPr>
          <w:rFonts w:ascii="Times New Roman" w:hAnsi="Times New Roman" w:cs="Times New Roman"/>
          <w:noProof/>
          <w:lang w:val="fr-BE"/>
        </w:rPr>
        <w:t>.</w:t>
      </w:r>
    </w:p>
  </w:footnote>
  <w:footnote w:id="9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Fonts w:ascii="Times New Roman" w:hAnsi="Times New Roman" w:cs="Times New Roman"/>
          <w:smallCaps/>
          <w:noProof/>
          <w:lang w:val="fr-BE"/>
        </w:rPr>
        <w:t>Craig</w:t>
      </w:r>
      <w:r w:rsidRPr="002160DD">
        <w:rPr>
          <w:rFonts w:ascii="Times New Roman" w:hAnsi="Times New Roman" w:cs="Times New Roman"/>
          <w:noProof/>
          <w:lang w:val="fr-BE"/>
        </w:rPr>
        <w:t xml:space="preserve"> et G. </w:t>
      </w:r>
      <w:r w:rsidRPr="002160DD">
        <w:rPr>
          <w:rFonts w:ascii="Times New Roman" w:hAnsi="Times New Roman" w:cs="Times New Roman"/>
          <w:smallCaps/>
          <w:noProof/>
          <w:lang w:val="fr-BE"/>
        </w:rPr>
        <w:t>De burca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95</w:t>
      </w:r>
      <w:r w:rsidRPr="002160DD">
        <w:rPr>
          <w:rFonts w:ascii="Times New Roman" w:hAnsi="Times New Roman" w:cs="Times New Roman"/>
          <w:noProof/>
          <w:lang w:val="fr-BE"/>
        </w:rPr>
        <w:t>, p. 125.</w:t>
      </w:r>
    </w:p>
  </w:footnote>
  <w:footnote w:id="9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46, paragraphe 2 du Règlement intérieur précité à la note </w:t>
      </w:r>
      <w:r>
        <w:rPr>
          <w:rFonts w:ascii="Times New Roman" w:hAnsi="Times New Roman" w:cs="Times New Roman"/>
          <w:noProof/>
          <w:lang w:val="fr-BE"/>
        </w:rPr>
        <w:t>94</w:t>
      </w:r>
      <w:r w:rsidRPr="002160DD">
        <w:rPr>
          <w:rFonts w:ascii="Times New Roman" w:hAnsi="Times New Roman" w:cs="Times New Roman"/>
          <w:noProof/>
          <w:lang w:val="fr-BE"/>
        </w:rPr>
        <w:t>.</w:t>
      </w:r>
    </w:p>
  </w:footnote>
  <w:footnote w:id="9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46, paragraphes 1 à 3 du Règlement intérieur précité à la note </w:t>
      </w:r>
      <w:r>
        <w:rPr>
          <w:rFonts w:ascii="Times New Roman" w:hAnsi="Times New Roman" w:cs="Times New Roman"/>
          <w:noProof/>
          <w:lang w:val="fr-BE"/>
        </w:rPr>
        <w:t>94</w:t>
      </w:r>
      <w:r w:rsidRPr="002160DD">
        <w:rPr>
          <w:rFonts w:ascii="Times New Roman" w:hAnsi="Times New Roman" w:cs="Times New Roman"/>
          <w:noProof/>
          <w:lang w:val="fr-BE"/>
        </w:rPr>
        <w:t>.</w:t>
      </w:r>
    </w:p>
  </w:footnote>
  <w:footnote w:id="10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D’un point de vue terminologique, nous nous référons au terme de résolutions d’initiative législative concernant les résolutions du Parlement basées sur l’article 225 TFUE (voy. en contraste </w:t>
      </w:r>
      <w:r w:rsidRPr="002160DD">
        <w:rPr>
          <w:rFonts w:ascii="Times New Roman" w:hAnsi="Times New Roman" w:cs="Times New Roman"/>
          <w:i/>
          <w:noProof/>
          <w:lang w:val="fr-BE"/>
        </w:rPr>
        <w:t xml:space="preserve">supra </w:t>
      </w:r>
      <w:r w:rsidRPr="002160DD">
        <w:rPr>
          <w:rFonts w:ascii="Times New Roman" w:hAnsi="Times New Roman" w:cs="Times New Roman"/>
          <w:noProof/>
          <w:lang w:val="fr-BE"/>
        </w:rPr>
        <w:t>les résolutions « d’initiative »).</w:t>
      </w:r>
    </w:p>
  </w:footnote>
  <w:footnote w:id="10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M. G</w:t>
      </w:r>
      <w:r w:rsidRPr="002160DD">
        <w:rPr>
          <w:rFonts w:ascii="Times New Roman" w:hAnsi="Times New Roman" w:cs="Times New Roman"/>
          <w:smallCaps/>
          <w:noProof/>
          <w:lang w:val="fr-BE"/>
        </w:rPr>
        <w:t>odet</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14</w:t>
      </w:r>
      <w:r w:rsidRPr="002160DD">
        <w:rPr>
          <w:rFonts w:ascii="Times New Roman" w:hAnsi="Times New Roman" w:cs="Times New Roman"/>
          <w:noProof/>
          <w:lang w:val="fr-BE"/>
        </w:rPr>
        <w:t>, p. 1488.</w:t>
      </w:r>
    </w:p>
  </w:footnote>
  <w:footnote w:id="10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64.</w:t>
      </w:r>
    </w:p>
  </w:footnote>
  <w:footnote w:id="10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A. </w:t>
      </w:r>
      <w:r w:rsidRPr="002160DD">
        <w:rPr>
          <w:rFonts w:ascii="Times New Roman" w:hAnsi="Times New Roman" w:cs="Times New Roman"/>
          <w:smallCaps/>
          <w:noProof/>
          <w:lang w:val="en-US"/>
        </w:rPr>
        <w:t xml:space="preserve">Rasmussen, </w:t>
      </w:r>
      <w:r w:rsidRPr="002160DD">
        <w:rPr>
          <w:rFonts w:ascii="Times New Roman" w:hAnsi="Times New Roman" w:cs="Times New Roman"/>
          <w:noProof/>
          <w:lang w:val="en-US"/>
        </w:rPr>
        <w:t xml:space="preserve">« Challenging the Commission’s right of initiative? </w:t>
      </w:r>
      <w:r w:rsidRPr="002160DD">
        <w:rPr>
          <w:rFonts w:ascii="Times New Roman" w:hAnsi="Times New Roman" w:cs="Times New Roman"/>
          <w:noProof/>
          <w:lang w:val="fr-BE"/>
        </w:rPr>
        <w:t xml:space="preserve">Conditions for institutional change and stability », </w:t>
      </w:r>
      <w:r w:rsidRPr="002160DD">
        <w:rPr>
          <w:rFonts w:ascii="Times New Roman" w:hAnsi="Times New Roman" w:cs="Times New Roman"/>
          <w:i/>
          <w:noProof/>
          <w:lang w:val="fr-BE"/>
        </w:rPr>
        <w:t>WEP</w:t>
      </w:r>
      <w:r w:rsidRPr="002160DD">
        <w:rPr>
          <w:rFonts w:ascii="Times New Roman" w:hAnsi="Times New Roman" w:cs="Times New Roman"/>
          <w:noProof/>
          <w:lang w:val="fr-BE"/>
        </w:rPr>
        <w:t xml:space="preserve"> 2007, p. 258.</w:t>
      </w:r>
    </w:p>
  </w:footnote>
  <w:footnote w:id="10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p. 5.</w:t>
      </w:r>
    </w:p>
  </w:footnote>
  <w:footnote w:id="105">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Eod.loco.</w:t>
      </w:r>
    </w:p>
  </w:footnote>
  <w:footnote w:id="10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smallCaps/>
          <w:noProof/>
          <w:lang w:val="en-US"/>
        </w:rPr>
        <w:t>House of lords</w:t>
      </w:r>
      <w:r w:rsidRPr="002160DD">
        <w:rPr>
          <w:rFonts w:ascii="Times New Roman" w:hAnsi="Times New Roman" w:cs="Times New Roman"/>
          <w:noProof/>
          <w:lang w:val="en-US"/>
        </w:rPr>
        <w:t xml:space="preserve">, « Initiation of EU Legislation. </w:t>
      </w:r>
      <w:r w:rsidRPr="002160DD">
        <w:rPr>
          <w:rFonts w:ascii="Times New Roman" w:hAnsi="Times New Roman" w:cs="Times New Roman"/>
          <w:noProof/>
          <w:lang w:val="fr-BE"/>
        </w:rPr>
        <w:t xml:space="preserve">Report with Evidence », 24 juillet 2008, https://publications.parliament.uk/pa/ld200708/ldselect/ldeucom/150/150.pdf,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p. 30.</w:t>
      </w:r>
    </w:p>
  </w:footnote>
  <w:footnote w:id="10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64.</w:t>
      </w:r>
    </w:p>
  </w:footnote>
  <w:footnote w:id="10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i/>
          <w:noProof/>
          <w:lang w:val="fr-BE"/>
        </w:rPr>
        <w:t xml:space="preserve"> Ibidem</w:t>
      </w:r>
      <w:r w:rsidRPr="002160DD">
        <w:rPr>
          <w:rFonts w:ascii="Times New Roman" w:hAnsi="Times New Roman" w:cs="Times New Roman"/>
          <w:noProof/>
          <w:lang w:val="fr-BE"/>
        </w:rPr>
        <w:t>, p. 73.</w:t>
      </w:r>
    </w:p>
  </w:footnote>
  <w:footnote w:id="10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M. G</w:t>
      </w:r>
      <w:r w:rsidRPr="002160DD">
        <w:rPr>
          <w:rFonts w:ascii="Times New Roman" w:hAnsi="Times New Roman" w:cs="Times New Roman"/>
          <w:smallCaps/>
          <w:noProof/>
          <w:lang w:val="fr-BE"/>
        </w:rPr>
        <w:t>odet</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14</w:t>
      </w:r>
      <w:r w:rsidRPr="002160DD">
        <w:rPr>
          <w:rFonts w:ascii="Times New Roman" w:hAnsi="Times New Roman" w:cs="Times New Roman"/>
          <w:noProof/>
          <w:lang w:val="fr-BE"/>
        </w:rPr>
        <w:t>, p. 1488.</w:t>
      </w:r>
    </w:p>
  </w:footnote>
  <w:footnote w:id="11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 xml:space="preserve">Cf. supra </w:t>
      </w:r>
      <w:r w:rsidRPr="002160DD">
        <w:rPr>
          <w:rFonts w:ascii="Times New Roman" w:hAnsi="Times New Roman" w:cs="Times New Roman"/>
          <w:noProof/>
          <w:lang w:val="fr-BE"/>
        </w:rPr>
        <w:t xml:space="preserve">note 21. </w:t>
      </w:r>
    </w:p>
  </w:footnote>
  <w:footnote w:id="11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bCs/>
          <w:noProof/>
          <w:shd w:val="clear" w:color="auto" w:fill="FFFFFF"/>
          <w:lang w:val="fr-BE"/>
        </w:rPr>
        <w:t xml:space="preserve">Résolution du Parlement européen contenant des recommandations à la Commission relatives à des normes minimales communes pour les procédures civiles dans l’Union européenne, </w:t>
      </w:r>
      <w:r w:rsidRPr="002160DD">
        <w:rPr>
          <w:rFonts w:ascii="Times New Roman" w:hAnsi="Times New Roman" w:cs="Times New Roman"/>
          <w:noProof/>
          <w:shd w:val="clear" w:color="auto" w:fill="FFFFFF"/>
          <w:lang w:val="fr-BE"/>
        </w:rPr>
        <w:t>P8_TA(2017)0282, 4 juillet 2017.</w:t>
      </w:r>
    </w:p>
  </w:footnote>
  <w:footnote w:id="11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bCs/>
          <w:noProof/>
          <w:shd w:val="clear" w:color="auto" w:fill="FFFFFF"/>
          <w:lang w:val="fr-BE"/>
        </w:rPr>
        <w:t>Résolution du Parlement européen du contenant des recommandations à la Commission sur la protection des adultes vulnérables, P8_TA(2017)0235, 1</w:t>
      </w:r>
      <w:r w:rsidRPr="002160DD">
        <w:rPr>
          <w:rStyle w:val="apple-converted-space"/>
          <w:rFonts w:ascii="Times New Roman" w:hAnsi="Times New Roman" w:cs="Times New Roman"/>
          <w:bCs/>
          <w:noProof/>
          <w:shd w:val="clear" w:color="auto" w:fill="FFFFFF"/>
          <w:lang w:val="fr-BE"/>
        </w:rPr>
        <w:t> </w:t>
      </w:r>
      <w:r w:rsidRPr="002160DD">
        <w:rPr>
          <w:rFonts w:ascii="Times New Roman" w:hAnsi="Times New Roman" w:cs="Times New Roman"/>
          <w:bCs/>
          <w:noProof/>
          <w:shd w:val="clear" w:color="auto" w:fill="FFFFFF"/>
          <w:lang w:val="fr-BE"/>
        </w:rPr>
        <w:t>juin 2017.</w:t>
      </w:r>
    </w:p>
  </w:footnote>
  <w:footnote w:id="11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bCs/>
          <w:noProof/>
          <w:shd w:val="clear" w:color="auto" w:fill="FFFFFF"/>
          <w:lang w:val="fr-BE"/>
        </w:rPr>
        <w:t>Résolution du Parlement européen contenant des recommandations à la Commission concernant des règles de droit civil sur la robotique,</w:t>
      </w:r>
      <w:r w:rsidRPr="002160DD">
        <w:rPr>
          <w:rFonts w:ascii="Times New Roman" w:hAnsi="Times New Roman" w:cs="Times New Roman"/>
          <w:noProof/>
          <w:shd w:val="clear" w:color="auto" w:fill="FFFFFF"/>
          <w:lang w:val="fr-BE"/>
        </w:rPr>
        <w:t xml:space="preserve"> P8_TA(2017)0051,</w:t>
      </w:r>
      <w:r w:rsidRPr="002160DD">
        <w:rPr>
          <w:rFonts w:ascii="Times New Roman" w:hAnsi="Times New Roman" w:cs="Times New Roman"/>
          <w:bCs/>
          <w:noProof/>
          <w:shd w:val="clear" w:color="auto" w:fill="FFFFFF"/>
          <w:lang w:val="fr-BE"/>
        </w:rPr>
        <w:t xml:space="preserve"> 16 février 2017.</w:t>
      </w:r>
    </w:p>
  </w:footnote>
  <w:footnote w:id="11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bCs/>
          <w:noProof/>
          <w:shd w:val="clear" w:color="auto" w:fill="FFFFFF"/>
          <w:lang w:val="fr-BE"/>
        </w:rPr>
        <w:t>Résolution du Parlement européen contenant des recommandations à la Commission relatives à un statut pour les entreprises de l’économie sociale et solidaire,</w:t>
      </w:r>
      <w:r w:rsidRPr="002160DD">
        <w:rPr>
          <w:rFonts w:ascii="Times New Roman" w:hAnsi="Times New Roman" w:cs="Times New Roman"/>
          <w:noProof/>
          <w:shd w:val="clear" w:color="auto" w:fill="FFFFFF"/>
          <w:lang w:val="fr-BE"/>
        </w:rPr>
        <w:t xml:space="preserve"> P8_TA-PROV(2018)0317, </w:t>
      </w:r>
      <w:r w:rsidRPr="002160DD">
        <w:rPr>
          <w:rFonts w:ascii="Times New Roman" w:hAnsi="Times New Roman" w:cs="Times New Roman"/>
          <w:bCs/>
          <w:noProof/>
          <w:shd w:val="clear" w:color="auto" w:fill="FFFFFF"/>
          <w:lang w:val="fr-BE"/>
        </w:rPr>
        <w:t>5 juillet 2018.</w:t>
      </w:r>
    </w:p>
  </w:footnote>
  <w:footnote w:id="11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74.</w:t>
      </w:r>
    </w:p>
  </w:footnote>
  <w:footnote w:id="116">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1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bCs/>
          <w:noProof/>
          <w:shd w:val="clear" w:color="auto" w:fill="FFFFFF"/>
          <w:lang w:val="fr-BE"/>
        </w:rPr>
        <w:t>Résolution du Parlement européen contenant des recommandations à la Commission sur une 14</w:t>
      </w:r>
      <w:r w:rsidRPr="002160DD">
        <w:rPr>
          <w:rFonts w:ascii="Times New Roman" w:hAnsi="Times New Roman" w:cs="Times New Roman"/>
          <w:bCs/>
          <w:noProof/>
          <w:vertAlign w:val="superscript"/>
          <w:lang w:val="fr-BE"/>
        </w:rPr>
        <w:t>e</w:t>
      </w:r>
      <w:r w:rsidRPr="002160DD">
        <w:rPr>
          <w:rFonts w:ascii="Times New Roman" w:hAnsi="Times New Roman" w:cs="Times New Roman"/>
          <w:bCs/>
          <w:noProof/>
          <w:shd w:val="clear" w:color="auto" w:fill="FFFFFF"/>
          <w:lang w:val="fr-BE"/>
        </w:rPr>
        <w:t xml:space="preserve"> directive sur le droit des sociétés relative au transfert transfrontalier du siège statutaire, </w:t>
      </w:r>
      <w:r w:rsidRPr="002160DD">
        <w:rPr>
          <w:rFonts w:ascii="Times New Roman" w:hAnsi="Times New Roman" w:cs="Times New Roman"/>
          <w:noProof/>
          <w:shd w:val="clear" w:color="auto" w:fill="FFFFFF"/>
          <w:lang w:val="fr-BE"/>
        </w:rPr>
        <w:t>P7_TA(2012)0019, 2 février 2012.</w:t>
      </w:r>
    </w:p>
  </w:footnote>
  <w:footnote w:id="11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xml:space="preserve">, p. 5. </w:t>
      </w:r>
    </w:p>
  </w:footnote>
  <w:footnote w:id="11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pp. 10-11.</w:t>
      </w:r>
    </w:p>
  </w:footnote>
  <w:footnote w:id="12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Résolution du Parlement européen sur le programme législatif de la Commission pour l’année 2000, JOCE C 180/E du 16 mars 2000, point 5.</w:t>
      </w:r>
    </w:p>
  </w:footnote>
  <w:footnote w:id="121">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S. H</w:t>
      </w:r>
      <w:r w:rsidRPr="002160DD">
        <w:rPr>
          <w:rFonts w:ascii="Times New Roman" w:hAnsi="Times New Roman" w:cs="Times New Roman"/>
          <w:smallCaps/>
          <w:noProof/>
          <w:lang w:val="en-US"/>
        </w:rPr>
        <w:t>agemann</w:t>
      </w:r>
      <w:r w:rsidRPr="002160DD">
        <w:rPr>
          <w:rFonts w:ascii="Times New Roman" w:hAnsi="Times New Roman" w:cs="Times New Roman"/>
          <w:noProof/>
          <w:lang w:val="en-US"/>
        </w:rPr>
        <w:t xml:space="preserve">, « Strength in numbers ? An evaluation of the 2004-2009 European Parliament », mai 2009, </w:t>
      </w:r>
      <w:hyperlink r:id="rId3" w:history="1">
        <w:r w:rsidRPr="002160DD">
          <w:rPr>
            <w:rStyle w:val="Lienhypertexte"/>
            <w:rFonts w:ascii="Times New Roman" w:hAnsi="Times New Roman" w:cs="Times New Roman"/>
            <w:noProof/>
            <w:color w:val="auto"/>
            <w:u w:val="none"/>
            <w:lang w:val="en-US"/>
          </w:rPr>
          <w:t>http://www.epc.eu/documents/uploads/539093269_EPC%20Issue%20Paper%2058%20-%20Strength%20in% 20numbers.pdf</w:t>
        </w:r>
      </w:hyperlink>
      <w:r w:rsidRPr="002160DD">
        <w:rPr>
          <w:rFonts w:ascii="Times New Roman" w:hAnsi="Times New Roman" w:cs="Times New Roman"/>
          <w:noProof/>
          <w:lang w:val="en-US"/>
        </w:rPr>
        <w:t xml:space="preserve">, dernière consultation </w:t>
      </w:r>
      <w:r w:rsidRPr="002160DD">
        <w:rPr>
          <w:rFonts w:ascii="Times New Roman" w:hAnsi="Times New Roman" w:cs="Times New Roman"/>
          <w:lang w:val="en-US"/>
        </w:rPr>
        <w:t>le 2</w:t>
      </w:r>
      <w:r>
        <w:rPr>
          <w:rFonts w:ascii="Times New Roman" w:hAnsi="Times New Roman" w:cs="Times New Roman"/>
          <w:lang w:val="en-US"/>
        </w:rPr>
        <w:t>8</w:t>
      </w:r>
      <w:r w:rsidRPr="002160DD">
        <w:rPr>
          <w:rFonts w:ascii="Times New Roman" w:hAnsi="Times New Roman" w:cs="Times New Roman"/>
          <w:lang w:val="en-US"/>
        </w:rPr>
        <w:t xml:space="preserve"> août 2019</w:t>
      </w:r>
      <w:r w:rsidRPr="002160DD">
        <w:rPr>
          <w:rFonts w:ascii="Times New Roman" w:hAnsi="Times New Roman" w:cs="Times New Roman"/>
          <w:noProof/>
          <w:lang w:val="en-US"/>
        </w:rPr>
        <w:t>, p. 15.</w:t>
      </w:r>
    </w:p>
  </w:footnote>
  <w:footnote w:id="12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Décision du Parlement européen du 13 décembre 2012 sur la modification du règlement du Parlement : article 123 relatif aux déclarations écrites et article 42 relatif aux initiatives législatives, P7_TA(2012)0502, 13 décembre 2012. C’est nous qui soulignons. </w:t>
      </w:r>
    </w:p>
  </w:footnote>
  <w:footnote w:id="12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A. de Tocqueville</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De la démocratie en Amérique</w:t>
      </w:r>
      <w:r w:rsidRPr="002160DD">
        <w:rPr>
          <w:rFonts w:ascii="Times New Roman" w:hAnsi="Times New Roman" w:cs="Times New Roman"/>
          <w:noProof/>
          <w:lang w:val="fr-BE"/>
        </w:rPr>
        <w:t>, Pagnerre, Paris, 1848, p. 267.</w:t>
      </w:r>
    </w:p>
  </w:footnote>
  <w:footnote w:id="12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 xml:space="preserve">Cf. infra </w:t>
      </w:r>
      <w:r w:rsidRPr="002160DD">
        <w:rPr>
          <w:rFonts w:ascii="Times New Roman" w:hAnsi="Times New Roman" w:cs="Times New Roman"/>
          <w:noProof/>
          <w:lang w:val="fr-BE"/>
        </w:rPr>
        <w:t xml:space="preserve">note 157. </w:t>
      </w:r>
    </w:p>
  </w:footnote>
  <w:footnote w:id="12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 xml:space="preserve">Cf. supra </w:t>
      </w:r>
      <w:r w:rsidRPr="002160DD">
        <w:rPr>
          <w:rFonts w:ascii="Times New Roman" w:hAnsi="Times New Roman" w:cs="Times New Roman"/>
          <w:noProof/>
          <w:lang w:val="fr-BE"/>
        </w:rPr>
        <w:t>Ch.1, §1, A.</w:t>
      </w:r>
    </w:p>
  </w:footnote>
  <w:footnote w:id="12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xml:space="preserve">, p. </w:t>
      </w:r>
      <w:r w:rsidRPr="002160DD">
        <w:rPr>
          <w:rFonts w:ascii="Times New Roman" w:hAnsi="Times New Roman" w:cs="Times New Roman"/>
          <w:noProof/>
          <w:lang w:val="fr-BE"/>
        </w:rPr>
        <w:t>18.</w:t>
      </w:r>
    </w:p>
  </w:footnote>
  <w:footnote w:id="12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portant (i) avis du Parlement européen sur la convocation de la Conférence intergouvernementale, (ii) évaluation des travaux du Groupe de Réflexion et précision des priorités politiques du Parlement européen en vue de la Conférence intergouvernementale, JOCE C 96 du 1 avril 1996, p. 77, point 21.</w:t>
      </w:r>
    </w:p>
  </w:footnote>
  <w:footnote w:id="12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Résolution du Parlement européen sur la préparation de la réforme des traités et la prochaine Conférence intergouvernementale, JOCE C 189 du 7 juillet 2002, p. 222, point 26. </w:t>
      </w:r>
    </w:p>
  </w:footnote>
  <w:footnote w:id="12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9.</w:t>
      </w:r>
    </w:p>
  </w:footnote>
  <w:footnote w:id="13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Résolution du Parlement européen sur la délimitation des compétences entre l’Union européenne et les États membres, P5_TA(2002)0247, 16 mai 2002, point 12.</w:t>
      </w:r>
    </w:p>
  </w:footnote>
  <w:footnote w:id="13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Cf. </w:t>
      </w:r>
      <w:r w:rsidRPr="002160DD">
        <w:rPr>
          <w:rFonts w:ascii="Times New Roman" w:hAnsi="Times New Roman" w:cs="Times New Roman"/>
          <w:i/>
          <w:noProof/>
          <w:lang w:val="fr-BE"/>
        </w:rPr>
        <w:t xml:space="preserve">supra </w:t>
      </w:r>
      <w:r w:rsidRPr="002160DD">
        <w:rPr>
          <w:rFonts w:ascii="Times New Roman" w:hAnsi="Times New Roman" w:cs="Times New Roman"/>
          <w:noProof/>
          <w:lang w:val="fr-BE"/>
        </w:rPr>
        <w:t xml:space="preserve">Introduction. </w:t>
      </w:r>
    </w:p>
  </w:footnote>
  <w:footnote w:id="13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r w:rsidRPr="002160DD">
        <w:rPr>
          <w:rFonts w:ascii="Times New Roman" w:hAnsi="Times New Roman" w:cs="Times New Roman"/>
          <w:noProof/>
          <w:lang w:val="fr-BE"/>
        </w:rPr>
        <w:t>.</w:t>
      </w:r>
    </w:p>
  </w:footnote>
  <w:footnote w:id="13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Premier grand débat télévisé français relatif aux élections européennes organisé par France 2, jeudi 4 avril 2019. </w:t>
      </w:r>
    </w:p>
  </w:footnote>
  <w:footnote w:id="13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C. </w:t>
      </w:r>
      <w:r w:rsidRPr="002160DD">
        <w:rPr>
          <w:rFonts w:ascii="Times New Roman" w:hAnsi="Times New Roman" w:cs="Times New Roman"/>
          <w:smallCaps/>
          <w:noProof/>
          <w:lang w:val="fr-BE"/>
        </w:rPr>
        <w:t>Mestre, « R</w:t>
      </w:r>
      <w:r w:rsidRPr="002160DD">
        <w:rPr>
          <w:rFonts w:ascii="Times New Roman" w:hAnsi="Times New Roman" w:cs="Times New Roman"/>
          <w:noProof/>
          <w:lang w:val="fr-BE"/>
        </w:rPr>
        <w:t xml:space="preserve">apport introductif », dans C. </w:t>
      </w:r>
      <w:r w:rsidRPr="002160DD">
        <w:rPr>
          <w:rFonts w:ascii="Times New Roman" w:hAnsi="Times New Roman" w:cs="Times New Roman"/>
          <w:smallCaps/>
          <w:noProof/>
          <w:lang w:val="fr-BE"/>
        </w:rPr>
        <w:t xml:space="preserve">Mestre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C. Haguenau-Moizard </w:t>
      </w:r>
      <w:r w:rsidRPr="002160DD">
        <w:rPr>
          <w:rFonts w:ascii="Times New Roman" w:hAnsi="Times New Roman" w:cs="Times New Roman"/>
          <w:noProof/>
          <w:lang w:val="fr-BE"/>
        </w:rPr>
        <w:t>(dir.)</w:t>
      </w:r>
      <w:r w:rsidRPr="002160DD">
        <w:rPr>
          <w:rFonts w:ascii="Times New Roman" w:hAnsi="Times New Roman" w:cs="Times New Roman"/>
          <w:smallCaps/>
          <w:noProof/>
          <w:lang w:val="fr-BE"/>
        </w:rPr>
        <w:t xml:space="preserve">, </w:t>
      </w:r>
      <w:r w:rsidRPr="002160DD">
        <w:rPr>
          <w:rFonts w:ascii="Times New Roman" w:hAnsi="Times New Roman" w:cs="Times New Roman"/>
          <w:i/>
          <w:noProof/>
          <w:lang w:val="fr-BE"/>
        </w:rPr>
        <w:t>La démocratie dans l’Union européenne</w:t>
      </w:r>
      <w:r w:rsidRPr="002160DD">
        <w:rPr>
          <w:rFonts w:ascii="Times New Roman" w:hAnsi="Times New Roman" w:cs="Times New Roman"/>
          <w:noProof/>
          <w:lang w:val="fr-BE"/>
        </w:rPr>
        <w:t xml:space="preserve">, Bruxelles, Bruylant, 2017, p. 23. </w:t>
      </w:r>
    </w:p>
  </w:footnote>
  <w:footnote w:id="13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12.</w:t>
      </w:r>
    </w:p>
  </w:footnote>
  <w:footnote w:id="13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14, paragraphe 2 TUE.</w:t>
      </w:r>
    </w:p>
  </w:footnote>
  <w:footnote w:id="13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223, paragraphe 2 TFUE. </w:t>
      </w:r>
    </w:p>
  </w:footnote>
  <w:footnote w:id="13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228, paragraphe 4 TFUE.</w:t>
      </w:r>
    </w:p>
  </w:footnote>
  <w:footnote w:id="13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231 TFUE.</w:t>
      </w:r>
    </w:p>
  </w:footnote>
  <w:footnote w:id="14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 C</w:t>
      </w:r>
      <w:r w:rsidRPr="002160DD">
        <w:rPr>
          <w:rFonts w:ascii="Times New Roman" w:hAnsi="Times New Roman" w:cs="Times New Roman"/>
          <w:smallCaps/>
          <w:noProof/>
          <w:lang w:val="fr-BE"/>
        </w:rPr>
        <w:t>hevallier</w:t>
      </w:r>
      <w:r w:rsidRPr="002160DD">
        <w:rPr>
          <w:rFonts w:ascii="Times New Roman" w:hAnsi="Times New Roman" w:cs="Times New Roman"/>
          <w:noProof/>
          <w:lang w:val="fr-BE"/>
        </w:rPr>
        <w:t>, « </w:t>
      </w:r>
      <w:r w:rsidRPr="002160DD">
        <w:rPr>
          <w:rFonts w:ascii="Times New Roman" w:hAnsi="Times New Roman" w:cs="Times New Roman"/>
          <w:iCs/>
          <w:noProof/>
          <w:lang w:val="fr-BE"/>
        </w:rPr>
        <w:t>L’Union européenne comme espace démocratique</w:t>
      </w:r>
      <w:r w:rsidRPr="002160DD">
        <w:rPr>
          <w:rFonts w:ascii="Times New Roman" w:hAnsi="Times New Roman" w:cs="Times New Roman"/>
          <w:i/>
          <w:iCs/>
          <w:noProof/>
          <w:lang w:val="fr-BE"/>
        </w:rPr>
        <w:t> </w:t>
      </w:r>
      <w:r w:rsidRPr="002160DD">
        <w:rPr>
          <w:rFonts w:ascii="Times New Roman" w:hAnsi="Times New Roman" w:cs="Times New Roman"/>
          <w:iCs/>
          <w:noProof/>
          <w:lang w:val="fr-BE"/>
        </w:rPr>
        <w:t xml:space="preserve">» dans </w:t>
      </w:r>
      <w:r w:rsidRPr="002160DD">
        <w:rPr>
          <w:rFonts w:ascii="Times New Roman" w:hAnsi="Times New Roman" w:cs="Times New Roman"/>
          <w:iCs/>
          <w:smallCaps/>
          <w:noProof/>
          <w:lang w:val="fr-BE"/>
        </w:rPr>
        <w:t>B. Bertrand, F. Picod</w:t>
      </w:r>
      <w:r w:rsidRPr="002160DD">
        <w:rPr>
          <w:rFonts w:ascii="Times New Roman" w:hAnsi="Times New Roman" w:cs="Times New Roman"/>
          <w:iCs/>
          <w:noProof/>
          <w:lang w:val="fr-BE"/>
        </w:rPr>
        <w:t xml:space="preserve"> et S. </w:t>
      </w:r>
      <w:r w:rsidRPr="002160DD">
        <w:rPr>
          <w:rFonts w:ascii="Times New Roman" w:hAnsi="Times New Roman" w:cs="Times New Roman"/>
          <w:iCs/>
          <w:smallCaps/>
          <w:noProof/>
          <w:lang w:val="fr-BE"/>
        </w:rPr>
        <w:t>Roland</w:t>
      </w:r>
      <w:r w:rsidRPr="002160DD">
        <w:rPr>
          <w:rFonts w:ascii="Times New Roman" w:hAnsi="Times New Roman" w:cs="Times New Roman"/>
          <w:iCs/>
          <w:noProof/>
          <w:lang w:val="fr-BE"/>
        </w:rPr>
        <w:t xml:space="preserve"> (dir.),</w:t>
      </w:r>
      <w:r w:rsidRPr="002160DD">
        <w:rPr>
          <w:rFonts w:ascii="Times New Roman" w:hAnsi="Times New Roman" w:cs="Times New Roman"/>
          <w:i/>
          <w:iCs/>
          <w:noProof/>
          <w:lang w:val="fr-BE"/>
        </w:rPr>
        <w:t xml:space="preserve"> L’identité du droit de l’Union européenne. Mélanges en l’honneur de Claude Blumann, </w:t>
      </w:r>
      <w:r w:rsidRPr="002160DD">
        <w:rPr>
          <w:rFonts w:ascii="Times New Roman" w:hAnsi="Times New Roman" w:cs="Times New Roman"/>
          <w:iCs/>
          <w:noProof/>
          <w:lang w:val="fr-BE"/>
        </w:rPr>
        <w:t xml:space="preserve">Bruxelles, Bruylant, 2015, p. 34. </w:t>
      </w:r>
    </w:p>
  </w:footnote>
  <w:footnote w:id="14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K</w:t>
      </w:r>
      <w:r w:rsidRPr="002160DD">
        <w:rPr>
          <w:rFonts w:ascii="Times New Roman" w:hAnsi="Times New Roman" w:cs="Times New Roman"/>
          <w:smallCaps/>
          <w:noProof/>
          <w:lang w:val="fr-BE"/>
        </w:rPr>
        <w:t>reppel</w:t>
      </w:r>
      <w:r w:rsidRPr="002160DD">
        <w:rPr>
          <w:rFonts w:ascii="Times New Roman" w:hAnsi="Times New Roman" w:cs="Times New Roman"/>
          <w:noProof/>
          <w:lang w:val="fr-BE"/>
        </w:rPr>
        <w:t xml:space="preserve"> et M. W</w:t>
      </w:r>
      <w:r w:rsidRPr="002160DD">
        <w:rPr>
          <w:rFonts w:ascii="Times New Roman" w:hAnsi="Times New Roman" w:cs="Times New Roman"/>
          <w:smallCaps/>
          <w:noProof/>
          <w:lang w:val="fr-BE"/>
        </w:rPr>
        <w:t>ebb</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10</w:t>
      </w:r>
      <w:r w:rsidRPr="002160DD">
        <w:rPr>
          <w:rFonts w:ascii="Times New Roman" w:hAnsi="Times New Roman" w:cs="Times New Roman"/>
          <w:noProof/>
          <w:lang w:val="fr-BE"/>
        </w:rPr>
        <w:t>, pp. 6-8.</w:t>
      </w:r>
    </w:p>
  </w:footnote>
  <w:footnote w:id="14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M. G</w:t>
      </w:r>
      <w:r w:rsidRPr="002160DD">
        <w:rPr>
          <w:rFonts w:ascii="Times New Roman" w:hAnsi="Times New Roman" w:cs="Times New Roman"/>
          <w:smallCaps/>
          <w:noProof/>
          <w:lang w:val="fr-BE"/>
        </w:rPr>
        <w:t>odet</w:t>
      </w:r>
      <w:r w:rsidRPr="002160DD">
        <w:rPr>
          <w:rFonts w:ascii="Times New Roman" w:hAnsi="Times New Roman" w:cs="Times New Roman"/>
          <w:noProof/>
          <w:lang w:val="fr-BE"/>
        </w:rPr>
        <w:t>, précite à la note 27, p. 1487.</w:t>
      </w:r>
    </w:p>
  </w:footnote>
  <w:footnote w:id="14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E.-M. </w:t>
      </w:r>
      <w:r w:rsidRPr="002160DD">
        <w:rPr>
          <w:rStyle w:val="opaccatimju1"/>
          <w:rFonts w:ascii="Times New Roman" w:hAnsi="Times New Roman" w:cs="Times New Roman"/>
          <w:smallCaps/>
          <w:noProof/>
          <w:lang w:val="fr-BE"/>
        </w:rPr>
        <w:t>Poptcheva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31</w:t>
      </w:r>
      <w:r w:rsidRPr="002160DD">
        <w:rPr>
          <w:rFonts w:ascii="Times New Roman" w:hAnsi="Times New Roman" w:cs="Times New Roman"/>
          <w:noProof/>
          <w:lang w:val="fr-BE"/>
        </w:rPr>
        <w:t>, p. 1.</w:t>
      </w:r>
    </w:p>
  </w:footnote>
  <w:footnote w:id="14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K</w:t>
      </w:r>
      <w:r w:rsidRPr="002160DD">
        <w:rPr>
          <w:rFonts w:ascii="Times New Roman" w:hAnsi="Times New Roman" w:cs="Times New Roman"/>
          <w:smallCaps/>
          <w:noProof/>
          <w:lang w:val="fr-BE"/>
        </w:rPr>
        <w:t>reppel</w:t>
      </w:r>
      <w:r w:rsidRPr="002160DD">
        <w:rPr>
          <w:rFonts w:ascii="Times New Roman" w:hAnsi="Times New Roman" w:cs="Times New Roman"/>
          <w:noProof/>
          <w:lang w:val="fr-BE"/>
        </w:rPr>
        <w:t xml:space="preserve"> et M. W</w:t>
      </w:r>
      <w:r w:rsidRPr="002160DD">
        <w:rPr>
          <w:rFonts w:ascii="Times New Roman" w:hAnsi="Times New Roman" w:cs="Times New Roman"/>
          <w:smallCaps/>
          <w:noProof/>
          <w:lang w:val="fr-BE"/>
        </w:rPr>
        <w:t>ebb</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10</w:t>
      </w:r>
      <w:r w:rsidRPr="002160DD">
        <w:rPr>
          <w:rFonts w:ascii="Times New Roman" w:hAnsi="Times New Roman" w:cs="Times New Roman"/>
          <w:noProof/>
          <w:lang w:val="fr-BE"/>
        </w:rPr>
        <w:t>, p. 1.</w:t>
      </w:r>
    </w:p>
  </w:footnote>
  <w:footnote w:id="14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26.</w:t>
      </w:r>
    </w:p>
  </w:footnote>
  <w:footnote w:id="14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Arrêt du 29 octobre 1980, </w:t>
      </w:r>
      <w:r w:rsidRPr="002160DD">
        <w:rPr>
          <w:rFonts w:ascii="Times New Roman" w:hAnsi="Times New Roman" w:cs="Times New Roman"/>
          <w:i/>
          <w:noProof/>
          <w:lang w:val="fr-BE"/>
        </w:rPr>
        <w:t>Roquette Frères c. Conseil des Communautés européennes</w:t>
      </w:r>
      <w:r w:rsidRPr="002160DD">
        <w:rPr>
          <w:rFonts w:ascii="Times New Roman" w:hAnsi="Times New Roman" w:cs="Times New Roman"/>
          <w:noProof/>
          <w:lang w:val="fr-BE"/>
        </w:rPr>
        <w:t>, C-138/79, EU:C:1980:249.</w:t>
      </w:r>
    </w:p>
  </w:footnote>
  <w:footnote w:id="14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point 4. </w:t>
      </w:r>
    </w:p>
  </w:footnote>
  <w:footnote w:id="14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C. </w:t>
      </w:r>
      <w:r w:rsidRPr="002160DD">
        <w:rPr>
          <w:rFonts w:ascii="Times New Roman" w:hAnsi="Times New Roman" w:cs="Times New Roman"/>
          <w:smallCaps/>
          <w:noProof/>
          <w:lang w:val="fr-BE"/>
        </w:rPr>
        <w:t>Maubernard</w:t>
      </w:r>
      <w:r w:rsidRPr="002160DD">
        <w:rPr>
          <w:rFonts w:ascii="Times New Roman" w:hAnsi="Times New Roman" w:cs="Times New Roman"/>
          <w:noProof/>
          <w:lang w:val="fr-BE"/>
        </w:rPr>
        <w:t xml:space="preserve">, « Vers une possible démocratie « transnationale » européenne ? Du discours à la méthode dans l’établissement d’une démocratie européenne », </w:t>
      </w:r>
      <w:r w:rsidRPr="002160DD">
        <w:rPr>
          <w:rFonts w:ascii="Times New Roman" w:hAnsi="Times New Roman" w:cs="Times New Roman"/>
          <w:i/>
          <w:noProof/>
          <w:lang w:val="fr-BE"/>
        </w:rPr>
        <w:t>RMCUE</w:t>
      </w:r>
      <w:r w:rsidRPr="002160DD">
        <w:rPr>
          <w:rFonts w:ascii="Times New Roman" w:hAnsi="Times New Roman" w:cs="Times New Roman"/>
          <w:noProof/>
          <w:lang w:val="fr-BE"/>
        </w:rPr>
        <w:t xml:space="preserve"> 2012, pp. 185-191. </w:t>
      </w:r>
    </w:p>
  </w:footnote>
  <w:footnote w:id="14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en ce sens R. </w:t>
      </w:r>
      <w:r w:rsidRPr="002160DD">
        <w:rPr>
          <w:rFonts w:ascii="Times New Roman" w:hAnsi="Times New Roman" w:cs="Times New Roman"/>
          <w:noProof/>
          <w:lang w:val="fr-BE"/>
        </w:rPr>
        <w:t>M</w:t>
      </w:r>
      <w:r w:rsidRPr="002160DD">
        <w:rPr>
          <w:rFonts w:ascii="Times New Roman" w:hAnsi="Times New Roman" w:cs="Times New Roman"/>
          <w:smallCaps/>
          <w:noProof/>
          <w:lang w:val="fr-BE"/>
        </w:rPr>
        <w:t>astroianni</w:t>
      </w:r>
      <w:r w:rsidRPr="002160DD">
        <w:rPr>
          <w:rFonts w:ascii="Times New Roman" w:hAnsi="Times New Roman" w:cs="Times New Roman"/>
          <w:noProof/>
          <w:lang w:val="fr-BE"/>
        </w:rPr>
        <w:t xml:space="preserve">, « Tratatto  di Lisbona : osservazioni critiche sulla procedura legislativa e sul ruolo del Parlamento europeo e dei parlamenti nazionali », </w:t>
      </w:r>
      <w:hyperlink r:id="rId4" w:history="1">
        <w:r w:rsidRPr="002160DD">
          <w:rPr>
            <w:rStyle w:val="Lienhypertexte"/>
            <w:rFonts w:ascii="Times New Roman" w:hAnsi="Times New Roman" w:cs="Times New Roman"/>
            <w:noProof/>
            <w:color w:val="auto"/>
            <w:u w:val="none"/>
            <w:lang w:val="fr-BE"/>
          </w:rPr>
          <w:t>http://www.astrid-online.it/static/upload/protected/Astr/Astrid_Mastroianni_Adozione_Attilegislativi_Rassegna.pdf</w:t>
        </w:r>
      </w:hyperlink>
      <w:r w:rsidRPr="002160DD">
        <w:rPr>
          <w:rFonts w:ascii="Times New Roman" w:hAnsi="Times New Roman" w:cs="Times New Roman"/>
          <w:noProof/>
          <w:lang w:val="fr-BE"/>
        </w:rPr>
        <w:t xml:space="preserve">,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xml:space="preserve">, p. 4. </w:t>
      </w:r>
    </w:p>
  </w:footnote>
  <w:footnote w:id="15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xml:space="preserve">, p. 58 : Les auteurs définissent ces canaux comme : « les initiatives qui visent à déplacer le statu quo dans un domaine politique donné vers la préférence de la majorité du Parlement (1.), peuvent potentiellement être mises en œuvre par les autres acteurs disposant d’un veto (généralement la Commission et le Conseil) (2.), et ne peuvent être poursuivies, si elles ne sont pas envisagées ou mises en œuvre par les autres acteurs (3.) ». </w:t>
      </w:r>
    </w:p>
  </w:footnote>
  <w:footnote w:id="151">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5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29</w:t>
      </w:r>
      <w:r w:rsidRPr="002160DD">
        <w:rPr>
          <w:rFonts w:ascii="Times New Roman" w:hAnsi="Times New Roman" w:cs="Times New Roman"/>
          <w:noProof/>
          <w:lang w:val="fr-BE"/>
        </w:rPr>
        <w:t xml:space="preserve">, p. 146.  </w:t>
      </w:r>
    </w:p>
  </w:footnote>
  <w:footnote w:id="15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15.</w:t>
      </w:r>
    </w:p>
  </w:footnote>
  <w:footnote w:id="15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Arrêt du 12 mai 1998, </w:t>
      </w:r>
      <w:r w:rsidRPr="002160DD">
        <w:rPr>
          <w:rFonts w:ascii="Times New Roman" w:hAnsi="Times New Roman" w:cs="Times New Roman"/>
          <w:i/>
          <w:noProof/>
          <w:lang w:val="fr-BE"/>
        </w:rPr>
        <w:t>Royaume uni c. Commission</w:t>
      </w:r>
      <w:r w:rsidRPr="002160DD">
        <w:rPr>
          <w:rFonts w:ascii="Times New Roman" w:hAnsi="Times New Roman" w:cs="Times New Roman"/>
          <w:noProof/>
          <w:lang w:val="fr-BE"/>
        </w:rPr>
        <w:t>, C-106/96, EU:C:1998:218, point 26.</w:t>
      </w:r>
    </w:p>
  </w:footnote>
  <w:footnote w:id="15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Maurer</w:t>
      </w:r>
      <w:r w:rsidRPr="002160DD">
        <w:rPr>
          <w:rFonts w:ascii="Times New Roman" w:hAnsi="Times New Roman" w:cs="Times New Roman"/>
          <w:noProof/>
          <w:lang w:val="fr-BE"/>
        </w:rPr>
        <w:t xml:space="preserve"> et M</w:t>
      </w:r>
      <w:r w:rsidRPr="002160DD">
        <w:rPr>
          <w:rFonts w:ascii="Times New Roman" w:hAnsi="Times New Roman" w:cs="Times New Roman"/>
          <w:smallCaps/>
          <w:noProof/>
          <w:lang w:val="fr-BE"/>
        </w:rPr>
        <w:t>. Wolf</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20</w:t>
      </w:r>
      <w:r w:rsidRPr="002160DD">
        <w:rPr>
          <w:rFonts w:ascii="Times New Roman" w:hAnsi="Times New Roman" w:cs="Times New Roman"/>
          <w:noProof/>
          <w:lang w:val="fr-BE"/>
        </w:rPr>
        <w:t>, p. 60.</w:t>
      </w:r>
    </w:p>
  </w:footnote>
  <w:footnote w:id="15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 xml:space="preserve">Ibidem, </w:t>
      </w:r>
      <w:r w:rsidRPr="002160DD">
        <w:rPr>
          <w:rFonts w:ascii="Times New Roman" w:hAnsi="Times New Roman" w:cs="Times New Roman"/>
          <w:noProof/>
          <w:lang w:val="fr-BE"/>
        </w:rPr>
        <w:t>pp.</w:t>
      </w:r>
      <w:r w:rsidRPr="002160DD">
        <w:rPr>
          <w:rFonts w:ascii="Times New Roman" w:hAnsi="Times New Roman" w:cs="Times New Roman"/>
          <w:i/>
          <w:noProof/>
          <w:lang w:val="fr-BE"/>
        </w:rPr>
        <w:t xml:space="preserve"> </w:t>
      </w:r>
      <w:r w:rsidRPr="002160DD">
        <w:rPr>
          <w:rFonts w:ascii="Times New Roman" w:hAnsi="Times New Roman" w:cs="Times New Roman"/>
          <w:noProof/>
          <w:lang w:val="fr-BE"/>
        </w:rPr>
        <w:t>68-69.</w:t>
      </w:r>
    </w:p>
  </w:footnote>
  <w:footnote w:id="15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Notons que le déroulement de la programmation annuelle et pluriannuelle – y compris le rôle du Parlement européen – est plus amplement explicité au sein de l’accord interinstitutionnel « Mieux légiférer », précité à la note </w:t>
      </w:r>
      <w:r>
        <w:rPr>
          <w:rFonts w:ascii="Times New Roman" w:hAnsi="Times New Roman" w:cs="Times New Roman"/>
          <w:noProof/>
          <w:lang w:val="fr-BE"/>
        </w:rPr>
        <w:t>76</w:t>
      </w:r>
      <w:r w:rsidRPr="002160DD">
        <w:rPr>
          <w:rFonts w:ascii="Times New Roman" w:hAnsi="Times New Roman" w:cs="Times New Roman"/>
          <w:noProof/>
          <w:lang w:val="fr-BE"/>
        </w:rPr>
        <w:t>, points 4 à 11.</w:t>
      </w:r>
    </w:p>
  </w:footnote>
  <w:footnote w:id="15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N. </w:t>
      </w:r>
      <w:r w:rsidRPr="002160DD">
        <w:rPr>
          <w:rFonts w:ascii="Times New Roman" w:hAnsi="Times New Roman" w:cs="Times New Roman"/>
          <w:smallCaps/>
          <w:noProof/>
          <w:lang w:val="fr-BE"/>
        </w:rPr>
        <w:t xml:space="preserve">Nugent </w:t>
      </w:r>
      <w:r w:rsidRPr="002160DD">
        <w:rPr>
          <w:rFonts w:ascii="Times New Roman" w:hAnsi="Times New Roman" w:cs="Times New Roman"/>
          <w:noProof/>
          <w:lang w:val="fr-BE"/>
        </w:rPr>
        <w:t xml:space="preserve">et M. </w:t>
      </w:r>
      <w:r w:rsidRPr="002160DD">
        <w:rPr>
          <w:rFonts w:ascii="Times New Roman" w:hAnsi="Times New Roman" w:cs="Times New Roman"/>
          <w:smallCaps/>
          <w:noProof/>
          <w:lang w:val="fr-BE"/>
        </w:rPr>
        <w:t>Rhinard</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The European Commission</w:t>
      </w:r>
      <w:r w:rsidRPr="002160DD">
        <w:rPr>
          <w:rFonts w:ascii="Times New Roman" w:hAnsi="Times New Roman" w:cs="Times New Roman"/>
          <w:noProof/>
          <w:lang w:val="fr-BE"/>
        </w:rPr>
        <w:t>, 2</w:t>
      </w:r>
      <w:r w:rsidRPr="002160DD">
        <w:rPr>
          <w:rFonts w:ascii="Times New Roman" w:hAnsi="Times New Roman" w:cs="Times New Roman"/>
          <w:noProof/>
          <w:vertAlign w:val="superscript"/>
          <w:lang w:val="fr-BE"/>
        </w:rPr>
        <w:t>e</w:t>
      </w:r>
      <w:r w:rsidRPr="002160DD">
        <w:rPr>
          <w:rFonts w:ascii="Times New Roman" w:hAnsi="Times New Roman" w:cs="Times New Roman"/>
          <w:noProof/>
          <w:lang w:val="fr-BE"/>
        </w:rPr>
        <w:t xml:space="preserve"> éd., Palgrave Macmillan, Basingstoke, 2015, p. 289.</w:t>
      </w:r>
    </w:p>
  </w:footnote>
  <w:footnote w:id="15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Accord-cadre sur les relations entre le Parlement européen et la Commission européenne, précité à la note </w:t>
      </w:r>
      <w:r>
        <w:rPr>
          <w:rFonts w:ascii="Times New Roman" w:hAnsi="Times New Roman" w:cs="Times New Roman"/>
          <w:noProof/>
          <w:lang w:val="fr-BE"/>
        </w:rPr>
        <w:t>72</w:t>
      </w:r>
      <w:r w:rsidRPr="002160DD">
        <w:rPr>
          <w:rFonts w:ascii="Times New Roman" w:hAnsi="Times New Roman" w:cs="Times New Roman"/>
          <w:noProof/>
          <w:lang w:val="fr-BE"/>
        </w:rPr>
        <w:t>, point 34.</w:t>
      </w:r>
    </w:p>
  </w:footnote>
  <w:footnote w:id="16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19</w:t>
      </w:r>
      <w:r w:rsidRPr="002160DD">
        <w:rPr>
          <w:rFonts w:ascii="Times New Roman" w:hAnsi="Times New Roman" w:cs="Times New Roman"/>
          <w:noProof/>
          <w:lang w:val="fr-BE"/>
        </w:rPr>
        <w:t xml:space="preserve">, p. 91. </w:t>
      </w:r>
    </w:p>
  </w:footnote>
  <w:footnote w:id="16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Fonts w:ascii="Times New Roman" w:hAnsi="Times New Roman" w:cs="Times New Roman"/>
          <w:smallCaps/>
          <w:noProof/>
          <w:lang w:val="fr-BE"/>
        </w:rPr>
        <w:t>Craig</w:t>
      </w:r>
      <w:r w:rsidRPr="002160DD">
        <w:rPr>
          <w:rFonts w:ascii="Times New Roman" w:hAnsi="Times New Roman" w:cs="Times New Roman"/>
          <w:noProof/>
          <w:lang w:val="fr-BE"/>
        </w:rPr>
        <w:t xml:space="preserve"> et G. </w:t>
      </w:r>
      <w:r w:rsidRPr="002160DD">
        <w:rPr>
          <w:rFonts w:ascii="Times New Roman" w:hAnsi="Times New Roman" w:cs="Times New Roman"/>
          <w:smallCaps/>
          <w:noProof/>
          <w:lang w:val="fr-BE"/>
        </w:rPr>
        <w:t>De burca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95</w:t>
      </w:r>
      <w:r w:rsidRPr="002160DD">
        <w:rPr>
          <w:rFonts w:ascii="Times New Roman" w:hAnsi="Times New Roman" w:cs="Times New Roman"/>
          <w:noProof/>
          <w:lang w:val="fr-BE"/>
        </w:rPr>
        <w:t>, p. 125.</w:t>
      </w:r>
    </w:p>
  </w:footnote>
  <w:footnote w:id="16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Fonts w:ascii="Times New Roman" w:hAnsi="Times New Roman" w:cs="Times New Roman"/>
          <w:smallCaps/>
          <w:noProof/>
          <w:lang w:val="fr-BE"/>
        </w:rPr>
        <w:t>Magnette</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Le régime politique de l’Union européenne</w:t>
      </w:r>
      <w:r w:rsidRPr="002160DD">
        <w:rPr>
          <w:rFonts w:ascii="Times New Roman" w:hAnsi="Times New Roman" w:cs="Times New Roman"/>
          <w:noProof/>
          <w:lang w:val="fr-BE"/>
        </w:rPr>
        <w:t xml:space="preserve">, Presses de Sciences Po, Paris, 2009, p. 111. </w:t>
      </w:r>
    </w:p>
  </w:footnote>
  <w:footnote w:id="16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Fonts w:ascii="Times New Roman" w:hAnsi="Times New Roman" w:cs="Times New Roman"/>
          <w:smallCaps/>
          <w:noProof/>
          <w:lang w:val="fr-BE"/>
        </w:rPr>
        <w:t>Costa, « </w:t>
      </w:r>
      <w:r w:rsidRPr="002160DD">
        <w:rPr>
          <w:rFonts w:ascii="Times New Roman" w:hAnsi="Times New Roman" w:cs="Times New Roman"/>
          <w:noProof/>
          <w:lang w:val="fr-BE"/>
        </w:rPr>
        <w:t xml:space="preserve">Les relations entre la Commission et le Parlement européen au prisme du parlementarisme », </w:t>
      </w:r>
      <w:r w:rsidRPr="002160DD">
        <w:rPr>
          <w:rFonts w:ascii="Times New Roman" w:hAnsi="Times New Roman" w:cs="Times New Roman"/>
          <w:i/>
          <w:noProof/>
          <w:lang w:val="fr-BE"/>
        </w:rPr>
        <w:t>PE</w:t>
      </w:r>
      <w:r w:rsidRPr="002160DD">
        <w:rPr>
          <w:rFonts w:ascii="Times New Roman" w:hAnsi="Times New Roman" w:cs="Times New Roman"/>
          <w:noProof/>
          <w:lang w:val="fr-BE"/>
        </w:rPr>
        <w:t xml:space="preserve"> 2002, p. 39. </w:t>
      </w:r>
    </w:p>
  </w:footnote>
  <w:footnote w:id="16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Avis du 18 décembre 2014, C-2/13, </w:t>
      </w:r>
      <w:r w:rsidRPr="002160DD">
        <w:rPr>
          <w:rFonts w:ascii="Times New Roman" w:hAnsi="Times New Roman" w:cs="Times New Roman"/>
          <w:i/>
          <w:noProof/>
          <w:lang w:val="fr-BE"/>
        </w:rPr>
        <w:t>Avis portant sur le projet d’adhésion de l’Union européenne à la Convention européenne des droits de l’homme</w:t>
      </w:r>
      <w:r w:rsidRPr="002160DD">
        <w:rPr>
          <w:rFonts w:ascii="Times New Roman" w:hAnsi="Times New Roman" w:cs="Times New Roman"/>
          <w:noProof/>
          <w:lang w:val="fr-BE"/>
        </w:rPr>
        <w:t>, EU:C:2014:2454, point 158.</w:t>
      </w:r>
    </w:p>
  </w:footnote>
  <w:footnote w:id="16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S. </w:t>
      </w:r>
      <w:r w:rsidRPr="002160DD">
        <w:rPr>
          <w:rFonts w:ascii="Times New Roman" w:hAnsi="Times New Roman" w:cs="Times New Roman"/>
          <w:smallCaps/>
          <w:noProof/>
          <w:lang w:val="fr-BE"/>
        </w:rPr>
        <w:t>Goulard</w:t>
      </w:r>
      <w:r w:rsidRPr="002160DD">
        <w:rPr>
          <w:rFonts w:ascii="Times New Roman" w:hAnsi="Times New Roman" w:cs="Times New Roman"/>
          <w:noProof/>
          <w:lang w:val="fr-BE"/>
        </w:rPr>
        <w:t xml:space="preserve"> et M. </w:t>
      </w:r>
      <w:r w:rsidRPr="002160DD">
        <w:rPr>
          <w:rFonts w:ascii="Times New Roman" w:hAnsi="Times New Roman" w:cs="Times New Roman"/>
          <w:smallCaps/>
          <w:noProof/>
          <w:lang w:val="fr-BE"/>
        </w:rPr>
        <w:t>Monti</w:t>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De la démocratie en Europe : voir plus loin</w:t>
      </w:r>
      <w:r w:rsidRPr="002160DD">
        <w:rPr>
          <w:rFonts w:ascii="Times New Roman" w:hAnsi="Times New Roman" w:cs="Times New Roman"/>
          <w:noProof/>
          <w:lang w:val="fr-BE"/>
        </w:rPr>
        <w:t>, Flammarion, Paris, 2012, p. 31.</w:t>
      </w:r>
    </w:p>
  </w:footnote>
  <w:footnote w:id="166">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A. M</w:t>
      </w:r>
      <w:r w:rsidRPr="002160DD">
        <w:rPr>
          <w:rFonts w:ascii="Times New Roman" w:hAnsi="Times New Roman" w:cs="Times New Roman"/>
          <w:smallCaps/>
          <w:noProof/>
          <w:lang w:val="en-US"/>
        </w:rPr>
        <w:t>oravcsik</w:t>
      </w:r>
      <w:r w:rsidRPr="002160DD">
        <w:rPr>
          <w:rFonts w:ascii="Times New Roman" w:hAnsi="Times New Roman" w:cs="Times New Roman"/>
          <w:noProof/>
          <w:lang w:val="en-US"/>
        </w:rPr>
        <w:t xml:space="preserve">, « In Defence of the « Democratic Deficit » : Reassessing Legitimacy in the European Union », </w:t>
      </w:r>
      <w:r w:rsidRPr="002160DD">
        <w:rPr>
          <w:rFonts w:ascii="Times New Roman" w:hAnsi="Times New Roman" w:cs="Times New Roman"/>
          <w:i/>
          <w:noProof/>
          <w:lang w:val="en-US"/>
        </w:rPr>
        <w:t xml:space="preserve">JCMS </w:t>
      </w:r>
      <w:r w:rsidRPr="002160DD">
        <w:rPr>
          <w:rFonts w:ascii="Times New Roman" w:hAnsi="Times New Roman" w:cs="Times New Roman"/>
          <w:noProof/>
          <w:lang w:val="en-US"/>
        </w:rPr>
        <w:t>2002, p. 603.</w:t>
      </w:r>
    </w:p>
  </w:footnote>
  <w:footnote w:id="16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S. </w:t>
      </w:r>
      <w:r w:rsidRPr="002160DD">
        <w:rPr>
          <w:rFonts w:ascii="Times New Roman" w:hAnsi="Times New Roman" w:cs="Times New Roman"/>
          <w:smallCaps/>
          <w:noProof/>
          <w:lang w:val="fr-BE"/>
        </w:rPr>
        <w:t>Goulard</w:t>
      </w:r>
      <w:r w:rsidRPr="002160DD">
        <w:rPr>
          <w:rFonts w:ascii="Times New Roman" w:hAnsi="Times New Roman" w:cs="Times New Roman"/>
          <w:noProof/>
          <w:lang w:val="fr-BE"/>
        </w:rPr>
        <w:t xml:space="preserve"> et M. </w:t>
      </w:r>
      <w:r w:rsidRPr="002160DD">
        <w:rPr>
          <w:rFonts w:ascii="Times New Roman" w:hAnsi="Times New Roman" w:cs="Times New Roman"/>
          <w:smallCaps/>
          <w:noProof/>
          <w:lang w:val="fr-BE"/>
        </w:rPr>
        <w:t>Monti</w:t>
      </w:r>
      <w:r w:rsidRPr="002160DD">
        <w:rPr>
          <w:rFonts w:ascii="Times New Roman" w:hAnsi="Times New Roman" w:cs="Times New Roman"/>
          <w:noProof/>
          <w:lang w:val="fr-BE"/>
        </w:rPr>
        <w:t>, précité à la note 1</w:t>
      </w:r>
      <w:r>
        <w:rPr>
          <w:rFonts w:ascii="Times New Roman" w:hAnsi="Times New Roman" w:cs="Times New Roman"/>
          <w:noProof/>
          <w:lang w:val="fr-BE"/>
        </w:rPr>
        <w:t>65</w:t>
      </w:r>
      <w:r w:rsidRPr="002160DD">
        <w:rPr>
          <w:rFonts w:ascii="Times New Roman" w:hAnsi="Times New Roman" w:cs="Times New Roman"/>
          <w:noProof/>
          <w:lang w:val="fr-BE"/>
        </w:rPr>
        <w:t xml:space="preserve">, p. 28.  </w:t>
      </w:r>
    </w:p>
  </w:footnote>
  <w:footnote w:id="16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Style w:val="opaccatimju1"/>
          <w:rFonts w:ascii="Times New Roman" w:hAnsi="Times New Roman" w:cs="Times New Roman"/>
          <w:smallCaps/>
          <w:noProof/>
          <w:lang w:val="fr-BE"/>
        </w:rPr>
        <w:t>Costa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29</w:t>
      </w:r>
      <w:r w:rsidRPr="002160DD">
        <w:rPr>
          <w:rFonts w:ascii="Times New Roman" w:hAnsi="Times New Roman" w:cs="Times New Roman"/>
          <w:noProof/>
          <w:lang w:val="fr-BE"/>
        </w:rPr>
        <w:t xml:space="preserve">, p. 143. </w:t>
      </w:r>
    </w:p>
  </w:footnote>
  <w:footnote w:id="16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70">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7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16.</w:t>
      </w:r>
    </w:p>
  </w:footnote>
  <w:footnote w:id="17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C. </w:t>
      </w:r>
      <w:r w:rsidRPr="002160DD">
        <w:rPr>
          <w:rFonts w:ascii="Times New Roman" w:hAnsi="Times New Roman" w:cs="Times New Roman"/>
          <w:smallCaps/>
          <w:noProof/>
          <w:lang w:val="fr-BE"/>
        </w:rPr>
        <w:t>Mestre, </w:t>
      </w:r>
      <w:r w:rsidRPr="002160DD">
        <w:rPr>
          <w:rFonts w:ascii="Times New Roman" w:hAnsi="Times New Roman" w:cs="Times New Roman"/>
          <w:noProof/>
          <w:lang w:val="fr-BE"/>
        </w:rPr>
        <w:t>précité à la note 1</w:t>
      </w:r>
      <w:r>
        <w:rPr>
          <w:rFonts w:ascii="Times New Roman" w:hAnsi="Times New Roman" w:cs="Times New Roman"/>
          <w:noProof/>
          <w:lang w:val="fr-BE"/>
        </w:rPr>
        <w:t>34</w:t>
      </w:r>
      <w:r w:rsidRPr="002160DD">
        <w:rPr>
          <w:rFonts w:ascii="Times New Roman" w:hAnsi="Times New Roman" w:cs="Times New Roman"/>
          <w:noProof/>
          <w:lang w:val="fr-BE"/>
        </w:rPr>
        <w:t xml:space="preserve">, pp. 13-14. </w:t>
      </w:r>
    </w:p>
  </w:footnote>
  <w:footnote w:id="17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 xml:space="preserve">P. Delwit, J.-M. De Waele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P. Magnette</w:t>
      </w:r>
      <w:r w:rsidRPr="002160DD">
        <w:rPr>
          <w:rFonts w:ascii="Times New Roman" w:hAnsi="Times New Roman" w:cs="Times New Roman"/>
          <w:noProof/>
          <w:lang w:val="fr-BE"/>
        </w:rPr>
        <w:t xml:space="preserve">, « Introduction : Vers un nouveau mode de parlementarisme », dans </w:t>
      </w:r>
      <w:r w:rsidRPr="002160DD">
        <w:rPr>
          <w:rFonts w:ascii="Times New Roman" w:hAnsi="Times New Roman" w:cs="Times New Roman"/>
          <w:smallCaps/>
          <w:noProof/>
          <w:lang w:val="fr-BE"/>
        </w:rPr>
        <w:t xml:space="preserve">P. Delwit, J.-M. De Waele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P. Magnette</w:t>
      </w:r>
      <w:r w:rsidRPr="002160DD">
        <w:rPr>
          <w:rFonts w:ascii="Times New Roman" w:hAnsi="Times New Roman" w:cs="Times New Roman"/>
          <w:noProof/>
          <w:lang w:val="fr-BE"/>
        </w:rPr>
        <w:t xml:space="preserve"> (dir.), </w:t>
      </w:r>
      <w:r w:rsidRPr="002160DD">
        <w:rPr>
          <w:rFonts w:ascii="Times New Roman" w:hAnsi="Times New Roman" w:cs="Times New Roman"/>
          <w:i/>
          <w:noProof/>
          <w:lang w:val="fr-BE"/>
        </w:rPr>
        <w:t>À quoi sert le Parlement européen ? Stratégies et pouvoirs d’une assemblée transnationale</w:t>
      </w:r>
      <w:r w:rsidRPr="002160DD">
        <w:rPr>
          <w:rFonts w:ascii="Times New Roman" w:hAnsi="Times New Roman" w:cs="Times New Roman"/>
          <w:noProof/>
          <w:lang w:val="fr-BE"/>
        </w:rPr>
        <w:t xml:space="preserve">, Éditions Complexe, Bruxelles, 1999, pp. 12-13. </w:t>
      </w:r>
    </w:p>
  </w:footnote>
  <w:footnote w:id="17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P. Magnette</w:t>
      </w:r>
      <w:r w:rsidRPr="002160DD">
        <w:rPr>
          <w:rFonts w:ascii="Times New Roman" w:hAnsi="Times New Roman" w:cs="Times New Roman"/>
          <w:noProof/>
          <w:lang w:val="fr-BE"/>
        </w:rPr>
        <w:t xml:space="preserve">, « L’Union européenne : Un régime semi-parlementaire », dans </w:t>
      </w:r>
      <w:r w:rsidRPr="002160DD">
        <w:rPr>
          <w:rFonts w:ascii="Times New Roman" w:hAnsi="Times New Roman" w:cs="Times New Roman"/>
          <w:smallCaps/>
          <w:noProof/>
          <w:lang w:val="fr-BE"/>
        </w:rPr>
        <w:t xml:space="preserve">P. Delwit, J.-M. De Waele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P. Magnette</w:t>
      </w:r>
      <w:r w:rsidRPr="002160DD">
        <w:rPr>
          <w:rFonts w:ascii="Times New Roman" w:hAnsi="Times New Roman" w:cs="Times New Roman"/>
          <w:noProof/>
          <w:lang w:val="fr-BE"/>
        </w:rPr>
        <w:t xml:space="preserve"> (dir.), </w:t>
      </w:r>
      <w:r w:rsidRPr="002160DD">
        <w:rPr>
          <w:rFonts w:ascii="Times New Roman" w:hAnsi="Times New Roman" w:cs="Times New Roman"/>
          <w:i/>
          <w:noProof/>
          <w:lang w:val="fr-BE"/>
        </w:rPr>
        <w:t>À quoi sert le Parlement européen ? Stratégies et pouvoirs d’une assemblée transnationale</w:t>
      </w:r>
      <w:r w:rsidRPr="002160DD">
        <w:rPr>
          <w:rFonts w:ascii="Times New Roman" w:hAnsi="Times New Roman" w:cs="Times New Roman"/>
          <w:noProof/>
          <w:lang w:val="fr-BE"/>
        </w:rPr>
        <w:t>, Éditions Complexe, Bruxelles, 1999, p. 25.</w:t>
      </w:r>
    </w:p>
  </w:footnote>
  <w:footnote w:id="17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 xml:space="preserve">Eod.loco. </w:t>
      </w:r>
    </w:p>
  </w:footnote>
  <w:footnote w:id="17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 xml:space="preserve">Rasmussen, </w:t>
      </w:r>
      <w:r w:rsidRPr="002160DD">
        <w:rPr>
          <w:rFonts w:ascii="Times New Roman" w:hAnsi="Times New Roman" w:cs="Times New Roman"/>
          <w:noProof/>
          <w:lang w:val="fr-BE"/>
        </w:rPr>
        <w:t>précité à la note 1</w:t>
      </w:r>
      <w:r>
        <w:rPr>
          <w:rFonts w:ascii="Times New Roman" w:hAnsi="Times New Roman" w:cs="Times New Roman"/>
          <w:noProof/>
          <w:lang w:val="fr-BE"/>
        </w:rPr>
        <w:t>03</w:t>
      </w:r>
      <w:r w:rsidRPr="002160DD">
        <w:rPr>
          <w:rFonts w:ascii="Times New Roman" w:hAnsi="Times New Roman" w:cs="Times New Roman"/>
          <w:noProof/>
          <w:lang w:val="fr-BE"/>
        </w:rPr>
        <w:t>, p. 259.</w:t>
      </w:r>
    </w:p>
  </w:footnote>
  <w:footnote w:id="17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pp. 30-31.</w:t>
      </w:r>
    </w:p>
  </w:footnote>
  <w:footnote w:id="17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House of lords</w:t>
      </w:r>
      <w:r w:rsidRPr="002160DD">
        <w:rPr>
          <w:rFonts w:ascii="Times New Roman" w:hAnsi="Times New Roman" w:cs="Times New Roman"/>
          <w:noProof/>
          <w:lang w:val="fr-BE"/>
        </w:rPr>
        <w:t>, précité à la note 1</w:t>
      </w:r>
      <w:r>
        <w:rPr>
          <w:rFonts w:ascii="Times New Roman" w:hAnsi="Times New Roman" w:cs="Times New Roman"/>
          <w:noProof/>
          <w:lang w:val="fr-BE"/>
        </w:rPr>
        <w:t>06</w:t>
      </w:r>
      <w:r w:rsidRPr="002160DD">
        <w:rPr>
          <w:rFonts w:ascii="Times New Roman" w:hAnsi="Times New Roman" w:cs="Times New Roman"/>
          <w:noProof/>
          <w:lang w:val="fr-BE"/>
        </w:rPr>
        <w:t xml:space="preserve">, p. 17. </w:t>
      </w:r>
    </w:p>
  </w:footnote>
  <w:footnote w:id="17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pp. 17-18.</w:t>
      </w:r>
    </w:p>
  </w:footnote>
  <w:footnote w:id="18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Style w:val="opaccatimju1"/>
          <w:rFonts w:ascii="Times New Roman" w:hAnsi="Times New Roman" w:cs="Times New Roman"/>
          <w:smallCaps/>
          <w:noProof/>
          <w:lang w:val="fr-BE"/>
        </w:rPr>
        <w:t xml:space="preserve">Ponzano, C. Hermanin </w:t>
      </w:r>
      <w:r w:rsidRPr="002160DD">
        <w:rPr>
          <w:rFonts w:ascii="Times New Roman" w:hAnsi="Times New Roman" w:cs="Times New Roman"/>
          <w:noProof/>
          <w:lang w:val="fr-BE"/>
        </w:rPr>
        <w:t>et</w:t>
      </w:r>
      <w:r w:rsidRPr="002160DD">
        <w:rPr>
          <w:rStyle w:val="opaccatimju1"/>
          <w:rFonts w:ascii="Times New Roman" w:hAnsi="Times New Roman" w:cs="Times New Roman"/>
          <w:smallCaps/>
          <w:noProof/>
          <w:lang w:val="fr-BE"/>
        </w:rPr>
        <w:t xml:space="preserve"> D. Corona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33</w:t>
      </w:r>
      <w:r w:rsidRPr="002160DD">
        <w:rPr>
          <w:rFonts w:ascii="Times New Roman" w:hAnsi="Times New Roman" w:cs="Times New Roman"/>
          <w:noProof/>
          <w:lang w:val="fr-BE"/>
        </w:rPr>
        <w:t xml:space="preserve">, pp. 2-3. </w:t>
      </w:r>
    </w:p>
  </w:footnote>
  <w:footnote w:id="181">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Ibidem</w:t>
      </w:r>
      <w:r w:rsidRPr="002160DD">
        <w:rPr>
          <w:rFonts w:ascii="Times New Roman" w:hAnsi="Times New Roman" w:cs="Times New Roman"/>
          <w:noProof/>
          <w:lang w:val="en-US"/>
        </w:rPr>
        <w:t xml:space="preserve">, p. 12.  </w:t>
      </w:r>
    </w:p>
  </w:footnote>
  <w:footnote w:id="182">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Eod.loco.</w:t>
      </w:r>
      <w:r w:rsidRPr="002160DD">
        <w:rPr>
          <w:rFonts w:ascii="Times New Roman" w:hAnsi="Times New Roman" w:cs="Times New Roman"/>
          <w:noProof/>
          <w:lang w:val="en-US"/>
        </w:rPr>
        <w:t xml:space="preserve"> </w:t>
      </w:r>
    </w:p>
  </w:footnote>
  <w:footnote w:id="183">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Voy. B. S</w:t>
      </w:r>
      <w:r w:rsidRPr="002160DD">
        <w:rPr>
          <w:rFonts w:ascii="Times New Roman" w:hAnsi="Times New Roman" w:cs="Times New Roman"/>
          <w:smallCaps/>
          <w:noProof/>
          <w:lang w:val="en-US"/>
        </w:rPr>
        <w:t>mulders</w:t>
      </w:r>
      <w:r w:rsidRPr="002160DD">
        <w:rPr>
          <w:rFonts w:ascii="Times New Roman" w:hAnsi="Times New Roman" w:cs="Times New Roman"/>
          <w:noProof/>
          <w:lang w:val="en-US"/>
        </w:rPr>
        <w:t>, « The Double Legitimacy and Multiple Accountability of the European Commission. Some Reflections about its Constitutional Democratic Role » à paraître dans S. G</w:t>
      </w:r>
      <w:r w:rsidRPr="002160DD">
        <w:rPr>
          <w:rFonts w:ascii="Times New Roman" w:hAnsi="Times New Roman" w:cs="Times New Roman"/>
          <w:smallCaps/>
          <w:noProof/>
          <w:lang w:val="en-US"/>
        </w:rPr>
        <w:t>arben</w:t>
      </w:r>
      <w:r w:rsidRPr="002160DD">
        <w:rPr>
          <w:rFonts w:ascii="Times New Roman" w:hAnsi="Times New Roman" w:cs="Times New Roman"/>
          <w:noProof/>
          <w:lang w:val="en-US"/>
        </w:rPr>
        <w:t xml:space="preserve"> (dir.), </w:t>
      </w:r>
      <w:r w:rsidRPr="002160DD">
        <w:rPr>
          <w:rFonts w:ascii="Times New Roman" w:hAnsi="Times New Roman" w:cs="Times New Roman"/>
          <w:i/>
          <w:noProof/>
          <w:lang w:val="en-US"/>
        </w:rPr>
        <w:t>Constitutional democracy in the EU</w:t>
      </w:r>
      <w:r w:rsidRPr="002160DD">
        <w:rPr>
          <w:rFonts w:ascii="Times New Roman" w:hAnsi="Times New Roman" w:cs="Times New Roman"/>
          <w:noProof/>
          <w:lang w:val="en-US"/>
        </w:rPr>
        <w:t>, Hart Publishing, Oxford, 2019, pp. 1-12.</w:t>
      </w:r>
    </w:p>
  </w:footnote>
  <w:footnote w:id="18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234 TFUE.</w:t>
      </w:r>
    </w:p>
  </w:footnote>
  <w:footnote w:id="18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226 TFUE.</w:t>
      </w:r>
    </w:p>
  </w:footnote>
  <w:footnote w:id="18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230 TFUE.</w:t>
      </w:r>
    </w:p>
  </w:footnote>
  <w:footnote w:id="18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 xml:space="preserve">P. Delwit, J.-M. De Waele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P. Magnette</w:t>
      </w:r>
      <w:r w:rsidRPr="002160DD">
        <w:rPr>
          <w:rFonts w:ascii="Times New Roman" w:hAnsi="Times New Roman" w:cs="Times New Roman"/>
          <w:noProof/>
          <w:lang w:val="fr-BE"/>
        </w:rPr>
        <w:t>, précité à la note 1</w:t>
      </w:r>
      <w:r w:rsidR="00727B88">
        <w:rPr>
          <w:rFonts w:ascii="Times New Roman" w:hAnsi="Times New Roman" w:cs="Times New Roman"/>
          <w:noProof/>
          <w:lang w:val="fr-BE"/>
        </w:rPr>
        <w:t>73</w:t>
      </w:r>
      <w:r w:rsidRPr="002160DD">
        <w:rPr>
          <w:rFonts w:ascii="Times New Roman" w:hAnsi="Times New Roman" w:cs="Times New Roman"/>
          <w:noProof/>
          <w:lang w:val="fr-BE"/>
        </w:rPr>
        <w:t>, p. 20.</w:t>
      </w:r>
    </w:p>
  </w:footnote>
  <w:footnote w:id="18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19</w:t>
      </w:r>
      <w:r w:rsidRPr="002160DD">
        <w:rPr>
          <w:rFonts w:ascii="Times New Roman" w:hAnsi="Times New Roman" w:cs="Times New Roman"/>
          <w:noProof/>
          <w:lang w:val="fr-BE"/>
        </w:rPr>
        <w:t>, p. 91.</w:t>
      </w:r>
    </w:p>
  </w:footnote>
  <w:footnote w:id="18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 xml:space="preserve">Rasmussen, </w:t>
      </w:r>
      <w:r w:rsidRPr="002160DD">
        <w:rPr>
          <w:rFonts w:ascii="Times New Roman" w:hAnsi="Times New Roman" w:cs="Times New Roman"/>
          <w:noProof/>
          <w:lang w:val="fr-BE"/>
        </w:rPr>
        <w:t>précité à la note 1</w:t>
      </w:r>
      <w:r w:rsidR="00727B88">
        <w:rPr>
          <w:rFonts w:ascii="Times New Roman" w:hAnsi="Times New Roman" w:cs="Times New Roman"/>
          <w:noProof/>
          <w:lang w:val="fr-BE"/>
        </w:rPr>
        <w:t>03</w:t>
      </w:r>
      <w:r w:rsidRPr="002160DD">
        <w:rPr>
          <w:rFonts w:ascii="Times New Roman" w:hAnsi="Times New Roman" w:cs="Times New Roman"/>
          <w:noProof/>
          <w:lang w:val="fr-BE"/>
        </w:rPr>
        <w:t>, pp. 259-260.</w:t>
      </w:r>
    </w:p>
  </w:footnote>
  <w:footnote w:id="19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N. </w:t>
      </w:r>
      <w:r w:rsidRPr="002160DD">
        <w:rPr>
          <w:rFonts w:ascii="Times New Roman" w:hAnsi="Times New Roman" w:cs="Times New Roman"/>
          <w:smallCaps/>
          <w:noProof/>
          <w:lang w:val="fr-BE"/>
        </w:rPr>
        <w:t>de Sadeleer</w:t>
      </w:r>
      <w:r w:rsidRPr="002160DD">
        <w:rPr>
          <w:rFonts w:ascii="Times New Roman" w:hAnsi="Times New Roman" w:cs="Times New Roman"/>
          <w:noProof/>
          <w:lang w:val="fr-BE"/>
        </w:rPr>
        <w:t xml:space="preserve">, « Syllabus de droit des institutions européennes », 2018-2019, </w:t>
      </w:r>
      <w:hyperlink r:id="rId5" w:history="1">
        <w:r w:rsidRPr="002160DD">
          <w:rPr>
            <w:rStyle w:val="Lienhypertexte"/>
            <w:rFonts w:ascii="Times New Roman" w:hAnsi="Times New Roman" w:cs="Times New Roman"/>
            <w:noProof/>
            <w:color w:val="auto"/>
            <w:u w:val="none"/>
            <w:lang w:val="fr-BE"/>
          </w:rPr>
          <w:t>http://tradeven.cluster015.ovh.net/wordpress/wp-content/uploads/2018/12/1_2.pdf</w:t>
        </w:r>
      </w:hyperlink>
      <w:r w:rsidRPr="002160DD">
        <w:rPr>
          <w:rFonts w:ascii="Times New Roman" w:hAnsi="Times New Roman" w:cs="Times New Roman"/>
          <w:noProof/>
          <w:lang w:val="fr-BE"/>
        </w:rPr>
        <w:t xml:space="preserve">,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xml:space="preserve">, p. 41. </w:t>
      </w:r>
    </w:p>
  </w:footnote>
  <w:footnote w:id="19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Style w:val="opaccatimju1"/>
          <w:rFonts w:ascii="Times New Roman" w:hAnsi="Times New Roman" w:cs="Times New Roman"/>
          <w:smallCaps/>
          <w:noProof/>
          <w:lang w:val="fr-BE"/>
        </w:rPr>
        <w:t xml:space="preserve">Ponzano, C. Hermanin </w:t>
      </w:r>
      <w:r w:rsidRPr="002160DD">
        <w:rPr>
          <w:rFonts w:ascii="Times New Roman" w:hAnsi="Times New Roman" w:cs="Times New Roman"/>
          <w:noProof/>
          <w:lang w:val="fr-BE"/>
        </w:rPr>
        <w:t>et</w:t>
      </w:r>
      <w:r w:rsidRPr="002160DD">
        <w:rPr>
          <w:rStyle w:val="opaccatimju1"/>
          <w:rFonts w:ascii="Times New Roman" w:hAnsi="Times New Roman" w:cs="Times New Roman"/>
          <w:smallCaps/>
          <w:noProof/>
          <w:lang w:val="fr-BE"/>
        </w:rPr>
        <w:t xml:space="preserve"> D. Corona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33</w:t>
      </w:r>
      <w:r w:rsidRPr="002160DD">
        <w:rPr>
          <w:rFonts w:ascii="Times New Roman" w:hAnsi="Times New Roman" w:cs="Times New Roman"/>
          <w:noProof/>
          <w:lang w:val="fr-BE"/>
        </w:rPr>
        <w:t>, p. 2.</w:t>
      </w:r>
    </w:p>
  </w:footnote>
  <w:footnote w:id="192">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smallCaps/>
          <w:noProof/>
          <w:lang w:val="en-US"/>
        </w:rPr>
        <w:t>K. Lenaerts</w:t>
      </w:r>
      <w:r w:rsidRPr="002160DD">
        <w:rPr>
          <w:rFonts w:ascii="Times New Roman" w:hAnsi="Times New Roman" w:cs="Times New Roman"/>
          <w:noProof/>
          <w:lang w:val="en-US"/>
        </w:rPr>
        <w:t xml:space="preserve"> et </w:t>
      </w:r>
      <w:r w:rsidRPr="002160DD">
        <w:rPr>
          <w:rFonts w:ascii="Times New Roman" w:hAnsi="Times New Roman" w:cs="Times New Roman"/>
          <w:smallCaps/>
          <w:noProof/>
          <w:lang w:val="en-US"/>
        </w:rPr>
        <w:t>P. Van Nuffel</w:t>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European Union Law,</w:t>
      </w:r>
      <w:r w:rsidRPr="002160DD">
        <w:rPr>
          <w:rFonts w:ascii="Times New Roman" w:hAnsi="Times New Roman" w:cs="Times New Roman"/>
          <w:noProof/>
          <w:lang w:val="en-US"/>
        </w:rPr>
        <w:t xml:space="preserve"> 3</w:t>
      </w:r>
      <w:r w:rsidRPr="002160DD">
        <w:rPr>
          <w:rFonts w:ascii="Times New Roman" w:hAnsi="Times New Roman" w:cs="Times New Roman"/>
          <w:noProof/>
          <w:vertAlign w:val="superscript"/>
          <w:lang w:val="en-US"/>
        </w:rPr>
        <w:t>e</w:t>
      </w:r>
      <w:r w:rsidRPr="002160DD">
        <w:rPr>
          <w:rFonts w:ascii="Times New Roman" w:hAnsi="Times New Roman" w:cs="Times New Roman"/>
          <w:noProof/>
          <w:lang w:val="en-US"/>
        </w:rPr>
        <w:t xml:space="preserve"> éd., Sweet &amp; Maxwell, Londres, 2011, p. 657.</w:t>
      </w:r>
    </w:p>
  </w:footnote>
  <w:footnote w:id="19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36.</w:t>
      </w:r>
    </w:p>
  </w:footnote>
  <w:footnote w:id="19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16.</w:t>
      </w:r>
    </w:p>
  </w:footnote>
  <w:footnote w:id="19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A. </w:t>
      </w:r>
      <w:r w:rsidRPr="002160DD">
        <w:rPr>
          <w:rFonts w:ascii="Times New Roman" w:hAnsi="Times New Roman" w:cs="Times New Roman"/>
          <w:smallCaps/>
          <w:noProof/>
          <w:lang w:val="fr-BE"/>
        </w:rPr>
        <w:t xml:space="preserve">Rasmussen, </w:t>
      </w:r>
      <w:r w:rsidRPr="002160DD">
        <w:rPr>
          <w:rFonts w:ascii="Times New Roman" w:hAnsi="Times New Roman" w:cs="Times New Roman"/>
          <w:noProof/>
          <w:lang w:val="fr-BE"/>
        </w:rPr>
        <w:t>précité à la note 1</w:t>
      </w:r>
      <w:r w:rsidR="00727B88">
        <w:rPr>
          <w:rFonts w:ascii="Times New Roman" w:hAnsi="Times New Roman" w:cs="Times New Roman"/>
          <w:noProof/>
          <w:lang w:val="fr-BE"/>
        </w:rPr>
        <w:t>03</w:t>
      </w:r>
      <w:r w:rsidRPr="002160DD">
        <w:rPr>
          <w:rFonts w:ascii="Times New Roman" w:hAnsi="Times New Roman" w:cs="Times New Roman"/>
          <w:noProof/>
          <w:lang w:val="fr-BE"/>
        </w:rPr>
        <w:t>, pp. 259-260.</w:t>
      </w:r>
    </w:p>
  </w:footnote>
  <w:footnote w:id="19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w:t>
      </w:r>
      <w:r w:rsidRPr="002160DD">
        <w:rPr>
          <w:rFonts w:ascii="Times New Roman" w:hAnsi="Times New Roman" w:cs="Times New Roman"/>
          <w:smallCaps/>
          <w:noProof/>
          <w:lang w:val="fr-BE"/>
        </w:rPr>
        <w:t>Magnette</w:t>
      </w:r>
      <w:r w:rsidRPr="002160DD">
        <w:rPr>
          <w:rFonts w:ascii="Times New Roman" w:hAnsi="Times New Roman" w:cs="Times New Roman"/>
          <w:noProof/>
          <w:lang w:val="fr-BE"/>
        </w:rPr>
        <w:t>, précité à la note 1</w:t>
      </w:r>
      <w:r w:rsidR="00727B88">
        <w:rPr>
          <w:rFonts w:ascii="Times New Roman" w:hAnsi="Times New Roman" w:cs="Times New Roman"/>
          <w:noProof/>
          <w:lang w:val="fr-BE"/>
        </w:rPr>
        <w:t>62</w:t>
      </w:r>
      <w:r w:rsidRPr="002160DD">
        <w:rPr>
          <w:rFonts w:ascii="Times New Roman" w:hAnsi="Times New Roman" w:cs="Times New Roman"/>
          <w:noProof/>
          <w:lang w:val="fr-BE"/>
        </w:rPr>
        <w:t xml:space="preserve">, p. 111. </w:t>
      </w:r>
    </w:p>
  </w:footnote>
  <w:footnote w:id="19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 xml:space="preserve">P. Delwit, J.-M. De Waele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P. Magnette</w:t>
      </w:r>
      <w:r w:rsidRPr="002160DD">
        <w:rPr>
          <w:rFonts w:ascii="Times New Roman" w:hAnsi="Times New Roman" w:cs="Times New Roman"/>
          <w:noProof/>
          <w:lang w:val="fr-BE"/>
        </w:rPr>
        <w:t>, précité à la note 1</w:t>
      </w:r>
      <w:r w:rsidR="00727B88">
        <w:rPr>
          <w:rFonts w:ascii="Times New Roman" w:hAnsi="Times New Roman" w:cs="Times New Roman"/>
          <w:noProof/>
          <w:lang w:val="fr-BE"/>
        </w:rPr>
        <w:t>73</w:t>
      </w:r>
      <w:r w:rsidRPr="002160DD">
        <w:rPr>
          <w:rFonts w:ascii="Times New Roman" w:hAnsi="Times New Roman" w:cs="Times New Roman"/>
          <w:noProof/>
          <w:lang w:val="fr-BE"/>
        </w:rPr>
        <w:t>, p. 15.</w:t>
      </w:r>
    </w:p>
  </w:footnote>
  <w:footnote w:id="198">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19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0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0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02">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0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19.</w:t>
      </w:r>
    </w:p>
  </w:footnote>
  <w:footnote w:id="20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E. </w:t>
      </w:r>
      <w:r w:rsidRPr="002160DD">
        <w:rPr>
          <w:rFonts w:ascii="Times New Roman" w:hAnsi="Times New Roman" w:cs="Times New Roman"/>
          <w:smallCaps/>
          <w:noProof/>
          <w:lang w:val="fr-BE"/>
        </w:rPr>
        <w:t>Guigou</w:t>
      </w:r>
      <w:r w:rsidRPr="002160DD">
        <w:rPr>
          <w:rFonts w:ascii="Times New Roman" w:hAnsi="Times New Roman" w:cs="Times New Roman"/>
          <w:noProof/>
          <w:lang w:val="fr-BE"/>
        </w:rPr>
        <w:t xml:space="preserve">, « Rapport d’information sur la contribution de la commission des affaires étrangères au débat sur l’avenir de l’Union européenne », mai 2014, http://www.assemblee-nationale.fr/14/rap-info/i1955.asp,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 xml:space="preserve">, p. 131. </w:t>
      </w:r>
    </w:p>
  </w:footnote>
  <w:footnote w:id="20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27.</w:t>
      </w:r>
    </w:p>
  </w:footnote>
  <w:footnote w:id="20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C</w:t>
      </w:r>
      <w:r w:rsidRPr="002160DD">
        <w:rPr>
          <w:rFonts w:ascii="Times New Roman" w:hAnsi="Times New Roman" w:cs="Times New Roman"/>
          <w:smallCaps/>
          <w:noProof/>
          <w:lang w:val="fr-BE"/>
        </w:rPr>
        <w:t>osta</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19</w:t>
      </w:r>
      <w:r w:rsidRPr="002160DD">
        <w:rPr>
          <w:rFonts w:ascii="Times New Roman" w:hAnsi="Times New Roman" w:cs="Times New Roman"/>
          <w:noProof/>
          <w:lang w:val="fr-BE"/>
        </w:rPr>
        <w:t>, pp. 105-106.</w:t>
      </w:r>
    </w:p>
  </w:footnote>
  <w:footnote w:id="20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O. </w:t>
      </w:r>
      <w:r w:rsidRPr="002160DD">
        <w:rPr>
          <w:rFonts w:ascii="Times New Roman" w:hAnsi="Times New Roman" w:cs="Times New Roman"/>
          <w:smallCaps/>
          <w:noProof/>
          <w:lang w:val="fr-BE"/>
        </w:rPr>
        <w:t xml:space="preserve">Costa, </w:t>
      </w:r>
      <w:r w:rsidRPr="002160DD">
        <w:rPr>
          <w:rFonts w:ascii="Times New Roman" w:hAnsi="Times New Roman" w:cs="Times New Roman"/>
          <w:noProof/>
          <w:lang w:val="fr-BE"/>
        </w:rPr>
        <w:t>précité à la note 1</w:t>
      </w:r>
      <w:r w:rsidR="00727B88">
        <w:rPr>
          <w:rFonts w:ascii="Times New Roman" w:hAnsi="Times New Roman" w:cs="Times New Roman"/>
          <w:noProof/>
          <w:lang w:val="fr-BE"/>
        </w:rPr>
        <w:t>63</w:t>
      </w:r>
      <w:r w:rsidRPr="002160DD">
        <w:rPr>
          <w:rFonts w:ascii="Times New Roman" w:hAnsi="Times New Roman" w:cs="Times New Roman"/>
          <w:noProof/>
          <w:lang w:val="fr-BE"/>
        </w:rPr>
        <w:t>, p. 28.</w:t>
      </w:r>
    </w:p>
  </w:footnote>
  <w:footnote w:id="20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Article 289, paragraphe 1 TFUE : « La procédure législative ordinaire consiste en l'adoption d'un règlement, d'une directive ou d'une décision conjointement par le Parlement européen et le Conseil, sur proposition de la Commission. Cette procédure est définie à l'article 294. »</w:t>
      </w:r>
    </w:p>
  </w:footnote>
  <w:footnote w:id="20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J.P. J</w:t>
      </w:r>
      <w:r w:rsidRPr="002160DD">
        <w:rPr>
          <w:rFonts w:ascii="Times New Roman" w:hAnsi="Times New Roman" w:cs="Times New Roman"/>
          <w:smallCaps/>
          <w:noProof/>
          <w:lang w:val="fr-BE"/>
        </w:rPr>
        <w:t xml:space="preserve">acqué, </w:t>
      </w:r>
      <w:r w:rsidRPr="002160DD">
        <w:rPr>
          <w:rStyle w:val="opaccatimju1"/>
          <w:rFonts w:ascii="Times New Roman" w:hAnsi="Times New Roman" w:cs="Times New Roman"/>
          <w:noProof/>
          <w:lang w:val="fr-BE"/>
        </w:rPr>
        <w:t xml:space="preserve">précité à la note </w:t>
      </w:r>
      <w:r>
        <w:rPr>
          <w:rStyle w:val="opaccatimju1"/>
          <w:rFonts w:ascii="Times New Roman" w:hAnsi="Times New Roman" w:cs="Times New Roman"/>
          <w:noProof/>
          <w:lang w:val="fr-BE"/>
        </w:rPr>
        <w:t>18</w:t>
      </w:r>
      <w:r w:rsidRPr="002160DD">
        <w:rPr>
          <w:rStyle w:val="opaccatimju1"/>
          <w:rFonts w:ascii="Times New Roman" w:hAnsi="Times New Roman" w:cs="Times New Roman"/>
          <w:noProof/>
          <w:lang w:val="fr-BE"/>
        </w:rPr>
        <w:t>, p. 16.</w:t>
      </w:r>
    </w:p>
  </w:footnote>
  <w:footnote w:id="21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smallCaps/>
          <w:noProof/>
          <w:lang w:val="fr-BE"/>
        </w:rPr>
        <w:t xml:space="preserve">M.-C. Runavot, </w:t>
      </w:r>
      <w:r w:rsidRPr="002160DD">
        <w:rPr>
          <w:rFonts w:ascii="Times New Roman" w:hAnsi="Times New Roman" w:cs="Times New Roman"/>
          <w:noProof/>
          <w:lang w:val="fr-BE"/>
        </w:rPr>
        <w:t xml:space="preserve">« La réorientation de la parlementarisation du droit de l’UE : « enquête » sur la notion de démocratie représentative », dans C. </w:t>
      </w:r>
      <w:r w:rsidRPr="002160DD">
        <w:rPr>
          <w:rFonts w:ascii="Times New Roman" w:hAnsi="Times New Roman" w:cs="Times New Roman"/>
          <w:smallCaps/>
          <w:noProof/>
          <w:lang w:val="fr-BE"/>
        </w:rPr>
        <w:t xml:space="preserve">Mestre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C. Haguenau-Moizard </w:t>
      </w:r>
      <w:r w:rsidRPr="002160DD">
        <w:rPr>
          <w:rFonts w:ascii="Times New Roman" w:hAnsi="Times New Roman" w:cs="Times New Roman"/>
          <w:noProof/>
          <w:lang w:val="fr-BE"/>
        </w:rPr>
        <w:t>(dir.)</w:t>
      </w:r>
      <w:r w:rsidRPr="002160DD">
        <w:rPr>
          <w:rFonts w:ascii="Times New Roman" w:hAnsi="Times New Roman" w:cs="Times New Roman"/>
          <w:smallCaps/>
          <w:noProof/>
          <w:lang w:val="fr-BE"/>
        </w:rPr>
        <w:t xml:space="preserve">, </w:t>
      </w:r>
      <w:r w:rsidRPr="002160DD">
        <w:rPr>
          <w:rFonts w:ascii="Times New Roman" w:hAnsi="Times New Roman" w:cs="Times New Roman"/>
          <w:i/>
          <w:noProof/>
          <w:lang w:val="fr-BE"/>
        </w:rPr>
        <w:t>La démocratie dans l’Union européenne</w:t>
      </w:r>
      <w:r w:rsidRPr="002160DD">
        <w:rPr>
          <w:rFonts w:ascii="Times New Roman" w:hAnsi="Times New Roman" w:cs="Times New Roman"/>
          <w:noProof/>
          <w:lang w:val="fr-BE"/>
        </w:rPr>
        <w:t>, Bruxelles, Bruylant, 2017, pp. 42-43.</w:t>
      </w:r>
    </w:p>
  </w:footnote>
  <w:footnote w:id="21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Voy. A. </w:t>
      </w:r>
      <w:r w:rsidRPr="002160DD">
        <w:rPr>
          <w:rFonts w:ascii="Times New Roman" w:hAnsi="Times New Roman" w:cs="Times New Roman"/>
          <w:smallCaps/>
          <w:noProof/>
          <w:lang w:val="fr-BE"/>
        </w:rPr>
        <w:t>Lagelle</w:t>
      </w:r>
      <w:r w:rsidRPr="002160DD">
        <w:rPr>
          <w:rFonts w:ascii="Times New Roman" w:hAnsi="Times New Roman" w:cs="Times New Roman"/>
          <w:noProof/>
          <w:lang w:val="fr-BE"/>
        </w:rPr>
        <w:t xml:space="preserve">, « Le rôle des parlements nationaux dans le processus législatif européen à l’aune du traité de Lisbonne », </w:t>
      </w:r>
      <w:r w:rsidRPr="002160DD">
        <w:rPr>
          <w:rFonts w:ascii="Times New Roman" w:hAnsi="Times New Roman" w:cs="Times New Roman"/>
          <w:i/>
          <w:noProof/>
          <w:lang w:val="fr-BE"/>
        </w:rPr>
        <w:t xml:space="preserve">RFDC </w:t>
      </w:r>
      <w:r w:rsidRPr="002160DD">
        <w:rPr>
          <w:rFonts w:ascii="Times New Roman" w:hAnsi="Times New Roman" w:cs="Times New Roman"/>
          <w:noProof/>
          <w:lang w:val="fr-BE"/>
        </w:rPr>
        <w:t>2011, pp. 44-51.</w:t>
      </w:r>
    </w:p>
  </w:footnote>
  <w:footnote w:id="21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F.</w:t>
      </w:r>
      <w:r w:rsidRPr="002160DD">
        <w:rPr>
          <w:rFonts w:ascii="Times New Roman" w:hAnsi="Times New Roman" w:cs="Times New Roman"/>
          <w:smallCaps/>
          <w:noProof/>
          <w:lang w:val="fr-BE"/>
        </w:rPr>
        <w:t xml:space="preserve"> Berrod</w:t>
      </w:r>
      <w:r w:rsidRPr="002160DD">
        <w:rPr>
          <w:rFonts w:ascii="Times New Roman" w:hAnsi="Times New Roman" w:cs="Times New Roman"/>
          <w:noProof/>
          <w:lang w:val="fr-BE"/>
        </w:rPr>
        <w:t xml:space="preserve">, « L’Union par la souveraineté solidaire ou les limites de la démocratie exclusivement nationale », dans C. </w:t>
      </w:r>
      <w:r w:rsidRPr="002160DD">
        <w:rPr>
          <w:rFonts w:ascii="Times New Roman" w:hAnsi="Times New Roman" w:cs="Times New Roman"/>
          <w:smallCaps/>
          <w:noProof/>
          <w:lang w:val="fr-BE"/>
        </w:rPr>
        <w:t xml:space="preserve">Mestre </w:t>
      </w:r>
      <w:r w:rsidRPr="002160DD">
        <w:rPr>
          <w:rFonts w:ascii="Times New Roman" w:hAnsi="Times New Roman" w:cs="Times New Roman"/>
          <w:noProof/>
          <w:lang w:val="fr-BE"/>
        </w:rPr>
        <w:t>et</w:t>
      </w:r>
      <w:r w:rsidRPr="002160DD">
        <w:rPr>
          <w:rFonts w:ascii="Times New Roman" w:hAnsi="Times New Roman" w:cs="Times New Roman"/>
          <w:smallCaps/>
          <w:noProof/>
          <w:lang w:val="fr-BE"/>
        </w:rPr>
        <w:t xml:space="preserve"> C. Haguenau-Moizard </w:t>
      </w:r>
      <w:r w:rsidRPr="002160DD">
        <w:rPr>
          <w:rFonts w:ascii="Times New Roman" w:hAnsi="Times New Roman" w:cs="Times New Roman"/>
          <w:noProof/>
          <w:lang w:val="fr-BE"/>
        </w:rPr>
        <w:t>(dir.)</w:t>
      </w:r>
      <w:r w:rsidRPr="002160DD">
        <w:rPr>
          <w:rFonts w:ascii="Times New Roman" w:hAnsi="Times New Roman" w:cs="Times New Roman"/>
          <w:smallCaps/>
          <w:noProof/>
          <w:lang w:val="fr-BE"/>
        </w:rPr>
        <w:t xml:space="preserve">, </w:t>
      </w:r>
      <w:r w:rsidRPr="002160DD">
        <w:rPr>
          <w:rFonts w:ascii="Times New Roman" w:hAnsi="Times New Roman" w:cs="Times New Roman"/>
          <w:i/>
          <w:noProof/>
          <w:lang w:val="fr-BE"/>
        </w:rPr>
        <w:t>La démocratie dans l’Union européenne</w:t>
      </w:r>
      <w:r w:rsidRPr="002160DD">
        <w:rPr>
          <w:rFonts w:ascii="Times New Roman" w:hAnsi="Times New Roman" w:cs="Times New Roman"/>
          <w:noProof/>
          <w:lang w:val="fr-BE"/>
        </w:rPr>
        <w:t>, Bruxelles, Bruylant, 2017, pp. 77-78.</w:t>
      </w:r>
    </w:p>
  </w:footnote>
  <w:footnote w:id="21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30.</w:t>
      </w:r>
    </w:p>
  </w:footnote>
  <w:footnote w:id="214">
    <w:p w:rsidR="00111A52" w:rsidRPr="002160DD" w:rsidRDefault="00111A52" w:rsidP="00872531">
      <w:pPr>
        <w:pStyle w:val="Notedebasdepage"/>
        <w:jc w:val="both"/>
        <w:rPr>
          <w:rFonts w:ascii="Times New Roman" w:hAnsi="Times New Roman" w:cs="Times New Roman"/>
          <w:i/>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Eod.loco.</w:t>
      </w:r>
    </w:p>
  </w:footnote>
  <w:footnote w:id="215">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smallCaps/>
          <w:noProof/>
          <w:lang w:val="en-US"/>
        </w:rPr>
        <w:t>K. Lenaerts, « </w:t>
      </w:r>
      <w:r w:rsidRPr="002160DD">
        <w:rPr>
          <w:rFonts w:ascii="Times New Roman" w:hAnsi="Times New Roman" w:cs="Times New Roman"/>
          <w:noProof/>
          <w:lang w:val="en-US"/>
        </w:rPr>
        <w:t xml:space="preserve">Some Reflections on the Separation of Powers in the European Community », </w:t>
      </w:r>
      <w:r w:rsidRPr="002160DD">
        <w:rPr>
          <w:rFonts w:ascii="Times New Roman" w:hAnsi="Times New Roman" w:cs="Times New Roman"/>
          <w:i/>
          <w:noProof/>
          <w:lang w:val="en-US"/>
        </w:rPr>
        <w:t xml:space="preserve">CMLR </w:t>
      </w:r>
      <w:r w:rsidRPr="002160DD">
        <w:rPr>
          <w:rFonts w:ascii="Times New Roman" w:hAnsi="Times New Roman" w:cs="Times New Roman"/>
          <w:noProof/>
          <w:lang w:val="en-US"/>
        </w:rPr>
        <w:t xml:space="preserve">1991, </w:t>
      </w:r>
    </w:p>
    <w:p w:rsidR="00111A52" w:rsidRPr="002160DD" w:rsidRDefault="00111A52" w:rsidP="00872531">
      <w:pPr>
        <w:pStyle w:val="Notedebasdepage"/>
        <w:jc w:val="both"/>
        <w:rPr>
          <w:rFonts w:ascii="Times New Roman" w:hAnsi="Times New Roman" w:cs="Times New Roman"/>
          <w:noProof/>
          <w:lang w:val="en-US"/>
        </w:rPr>
      </w:pPr>
      <w:r w:rsidRPr="002160DD">
        <w:rPr>
          <w:rFonts w:ascii="Times New Roman" w:hAnsi="Times New Roman" w:cs="Times New Roman"/>
          <w:noProof/>
          <w:lang w:val="en-US"/>
        </w:rPr>
        <w:t>p. 28.</w:t>
      </w:r>
    </w:p>
  </w:footnote>
  <w:footnote w:id="216">
    <w:p w:rsidR="00111A52" w:rsidRPr="002160DD" w:rsidRDefault="00111A52" w:rsidP="00872531">
      <w:pPr>
        <w:pStyle w:val="Notedebasdepage"/>
        <w:jc w:val="both"/>
        <w:rPr>
          <w:rFonts w:ascii="Times New Roman" w:hAnsi="Times New Roman" w:cs="Times New Roman"/>
          <w:noProof/>
          <w:lang w:val="en-US"/>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en-US"/>
        </w:rPr>
        <w:t xml:space="preserve"> </w:t>
      </w:r>
      <w:r w:rsidRPr="002160DD">
        <w:rPr>
          <w:rFonts w:ascii="Times New Roman" w:hAnsi="Times New Roman" w:cs="Times New Roman"/>
          <w:i/>
          <w:noProof/>
          <w:lang w:val="en-US"/>
        </w:rPr>
        <w:t>Cf. supra</w:t>
      </w:r>
      <w:r w:rsidRPr="002160DD">
        <w:rPr>
          <w:rFonts w:ascii="Times New Roman" w:hAnsi="Times New Roman" w:cs="Times New Roman"/>
          <w:noProof/>
          <w:lang w:val="en-US"/>
        </w:rPr>
        <w:t xml:space="preserve"> CH. I, §1, A.</w:t>
      </w:r>
    </w:p>
  </w:footnote>
  <w:footnote w:id="217">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4.</w:t>
      </w:r>
    </w:p>
  </w:footnote>
  <w:footnote w:id="218">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17.</w:t>
      </w:r>
    </w:p>
  </w:footnote>
  <w:footnote w:id="21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J-P. </w:t>
      </w:r>
      <w:r w:rsidRPr="002160DD">
        <w:rPr>
          <w:rFonts w:ascii="Times New Roman" w:hAnsi="Times New Roman" w:cs="Times New Roman"/>
          <w:noProof/>
          <w:lang w:val="fr-BE"/>
        </w:rPr>
        <w:t>M</w:t>
      </w:r>
      <w:r w:rsidRPr="002160DD">
        <w:rPr>
          <w:rFonts w:ascii="Times New Roman" w:hAnsi="Times New Roman" w:cs="Times New Roman"/>
          <w:smallCaps/>
          <w:noProof/>
          <w:lang w:val="fr-BE"/>
        </w:rPr>
        <w:t>aury</w:t>
      </w:r>
      <w:r w:rsidRPr="002160DD">
        <w:rPr>
          <w:rFonts w:ascii="Times New Roman" w:hAnsi="Times New Roman" w:cs="Times New Roman"/>
          <w:noProof/>
          <w:lang w:val="fr-BE"/>
        </w:rPr>
        <w:t xml:space="preserve">, « Constitution des États-Unis », 2002,  </w:t>
      </w:r>
      <w:hyperlink r:id="rId6" w:history="1">
        <w:r w:rsidRPr="002160DD">
          <w:rPr>
            <w:rStyle w:val="Lienhypertexte"/>
            <w:rFonts w:ascii="Times New Roman" w:hAnsi="Times New Roman" w:cs="Times New Roman"/>
            <w:noProof/>
            <w:color w:val="auto"/>
            <w:u w:val="none"/>
            <w:lang w:val="fr-BE"/>
          </w:rPr>
          <w:t>http://mjp.univ-perp.fr/constit/us1787.htm</w:t>
        </w:r>
      </w:hyperlink>
      <w:r w:rsidRPr="002160DD">
        <w:rPr>
          <w:rFonts w:ascii="Times New Roman" w:hAnsi="Times New Roman" w:cs="Times New Roman"/>
          <w:noProof/>
          <w:lang w:val="fr-BE"/>
        </w:rPr>
        <w:t xml:space="preserve">,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Fonts w:ascii="Times New Roman" w:hAnsi="Times New Roman" w:cs="Times New Roman"/>
          <w:noProof/>
          <w:lang w:val="fr-BE"/>
        </w:rPr>
        <w:t>.</w:t>
      </w:r>
    </w:p>
  </w:footnote>
  <w:footnote w:id="22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18.</w:t>
      </w:r>
    </w:p>
  </w:footnote>
  <w:footnote w:id="22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Cf.</w:t>
      </w:r>
      <w:r w:rsidRPr="002160DD">
        <w:rPr>
          <w:rFonts w:ascii="Times New Roman" w:hAnsi="Times New Roman" w:cs="Times New Roman"/>
          <w:noProof/>
          <w:lang w:val="fr-BE"/>
        </w:rPr>
        <w:t xml:space="preserve"> </w:t>
      </w:r>
      <w:r w:rsidRPr="002160DD">
        <w:rPr>
          <w:rFonts w:ascii="Times New Roman" w:hAnsi="Times New Roman" w:cs="Times New Roman"/>
          <w:noProof/>
          <w:lang w:val="fr-BE"/>
        </w:rPr>
        <w:t xml:space="preserve">à cet égard : </w:t>
      </w:r>
      <w:hyperlink r:id="rId7" w:history="1">
        <w:r w:rsidRPr="002160DD">
          <w:rPr>
            <w:rStyle w:val="Lienhypertexte"/>
            <w:rFonts w:ascii="Times New Roman" w:hAnsi="Times New Roman" w:cs="Times New Roman"/>
            <w:noProof/>
            <w:color w:val="auto"/>
            <w:u w:val="none"/>
            <w:lang w:val="fr-BE"/>
          </w:rPr>
          <w:t>https://www.govtrack.us/congress/bills/statistics</w:t>
        </w:r>
      </w:hyperlink>
      <w:r w:rsidRPr="002160DD">
        <w:rPr>
          <w:rStyle w:val="Lienhypertexte"/>
          <w:rFonts w:ascii="Times New Roman" w:hAnsi="Times New Roman" w:cs="Times New Roman"/>
          <w:noProof/>
          <w:color w:val="auto"/>
          <w:u w:val="none"/>
          <w:lang w:val="fr-BE"/>
        </w:rPr>
        <w:t xml:space="preserve">, dernière consultation </w:t>
      </w:r>
      <w:r w:rsidRPr="002160DD">
        <w:rPr>
          <w:rFonts w:ascii="Times New Roman" w:hAnsi="Times New Roman" w:cs="Times New Roman"/>
          <w:lang w:val="fr-FR"/>
        </w:rPr>
        <w:t>le 2</w:t>
      </w:r>
      <w:r>
        <w:rPr>
          <w:rFonts w:ascii="Times New Roman" w:hAnsi="Times New Roman" w:cs="Times New Roman"/>
          <w:lang w:val="fr-FR"/>
        </w:rPr>
        <w:t>8</w:t>
      </w:r>
      <w:r w:rsidRPr="002160DD">
        <w:rPr>
          <w:rFonts w:ascii="Times New Roman" w:hAnsi="Times New Roman" w:cs="Times New Roman"/>
          <w:lang w:val="fr-FR"/>
        </w:rPr>
        <w:t xml:space="preserve"> août 2019</w:t>
      </w:r>
      <w:r w:rsidRPr="002160DD">
        <w:rPr>
          <w:rStyle w:val="Lienhypertexte"/>
          <w:rFonts w:ascii="Times New Roman" w:hAnsi="Times New Roman" w:cs="Times New Roman"/>
          <w:noProof/>
          <w:color w:val="auto"/>
          <w:u w:val="none"/>
          <w:lang w:val="fr-BE"/>
        </w:rPr>
        <w:t>.</w:t>
      </w:r>
    </w:p>
  </w:footnote>
  <w:footnote w:id="222">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2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19.</w:t>
      </w:r>
    </w:p>
  </w:footnote>
  <w:footnote w:id="22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16.</w:t>
      </w:r>
    </w:p>
  </w:footnote>
  <w:footnote w:id="225">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26">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27">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28">
    <w:p w:rsidR="00111A52" w:rsidRPr="002160DD" w:rsidRDefault="00111A52" w:rsidP="00872531">
      <w:pPr>
        <w:pStyle w:val="Notedebasdepage"/>
        <w:jc w:val="both"/>
        <w:rPr>
          <w:rFonts w:ascii="Times New Roman" w:hAnsi="Times New Roman" w:cs="Times New Roman"/>
          <w:i/>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Eod.loco.</w:t>
      </w:r>
    </w:p>
  </w:footnote>
  <w:footnote w:id="229">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xml:space="preserve">, pp. 30-31. </w:t>
      </w:r>
    </w:p>
  </w:footnote>
  <w:footnote w:id="230">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Y. B</w:t>
      </w:r>
      <w:r w:rsidRPr="002160DD">
        <w:rPr>
          <w:rFonts w:ascii="Times New Roman" w:hAnsi="Times New Roman" w:cs="Times New Roman"/>
          <w:smallCaps/>
          <w:noProof/>
          <w:lang w:val="fr-BE"/>
        </w:rPr>
        <w:t>ertoncini</w:t>
      </w:r>
      <w:r w:rsidRPr="002160DD">
        <w:rPr>
          <w:rFonts w:ascii="Times New Roman" w:hAnsi="Times New Roman" w:cs="Times New Roman"/>
          <w:noProof/>
          <w:lang w:val="fr-BE"/>
        </w:rPr>
        <w:t>, « Union européenne: le défi de réversibilité », dans J.-M. F</w:t>
      </w:r>
      <w:r w:rsidRPr="002160DD">
        <w:rPr>
          <w:rFonts w:ascii="Times New Roman" w:hAnsi="Times New Roman" w:cs="Times New Roman"/>
          <w:smallCaps/>
          <w:noProof/>
          <w:lang w:val="fr-BE"/>
        </w:rPr>
        <w:t>erry</w:t>
      </w:r>
      <w:r w:rsidRPr="002160DD">
        <w:rPr>
          <w:rFonts w:ascii="Times New Roman" w:hAnsi="Times New Roman" w:cs="Times New Roman"/>
          <w:noProof/>
          <w:lang w:val="fr-BE"/>
        </w:rPr>
        <w:t xml:space="preserve"> et al. (dir.), </w:t>
      </w:r>
      <w:r w:rsidRPr="002160DD">
        <w:rPr>
          <w:rFonts w:ascii="Times New Roman" w:hAnsi="Times New Roman" w:cs="Times New Roman"/>
          <w:i/>
          <w:noProof/>
          <w:lang w:val="fr-BE"/>
        </w:rPr>
        <w:t>Démocratie: la voie européenne</w:t>
      </w:r>
      <w:r w:rsidRPr="002160DD">
        <w:rPr>
          <w:rFonts w:ascii="Times New Roman" w:hAnsi="Times New Roman" w:cs="Times New Roman"/>
          <w:noProof/>
          <w:lang w:val="fr-BE"/>
        </w:rPr>
        <w:t>, PUPS, Paris, 2007, p. 176.</w:t>
      </w:r>
    </w:p>
  </w:footnote>
  <w:footnote w:id="231">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168.</w:t>
      </w:r>
    </w:p>
  </w:footnote>
  <w:footnote w:id="232">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A. </w:t>
      </w:r>
      <w:r w:rsidRPr="002160DD">
        <w:rPr>
          <w:rFonts w:ascii="Times New Roman" w:hAnsi="Times New Roman" w:cs="Times New Roman"/>
          <w:smallCaps/>
          <w:noProof/>
          <w:lang w:val="fr-BE"/>
        </w:rPr>
        <w:t xml:space="preserve">Rasmussen, </w:t>
      </w:r>
      <w:r w:rsidRPr="002160DD">
        <w:rPr>
          <w:rFonts w:ascii="Times New Roman" w:hAnsi="Times New Roman" w:cs="Times New Roman"/>
          <w:noProof/>
          <w:lang w:val="fr-BE"/>
        </w:rPr>
        <w:t>précité à la note 1</w:t>
      </w:r>
      <w:r w:rsidR="00727B88">
        <w:rPr>
          <w:rFonts w:ascii="Times New Roman" w:hAnsi="Times New Roman" w:cs="Times New Roman"/>
          <w:noProof/>
          <w:lang w:val="fr-BE"/>
        </w:rPr>
        <w:t>03</w:t>
      </w:r>
      <w:r w:rsidRPr="002160DD">
        <w:rPr>
          <w:rFonts w:ascii="Times New Roman" w:hAnsi="Times New Roman" w:cs="Times New Roman"/>
          <w:noProof/>
          <w:lang w:val="fr-BE"/>
        </w:rPr>
        <w:t>, pp. 257-258.</w:t>
      </w:r>
    </w:p>
  </w:footnote>
  <w:footnote w:id="233">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P. V</w:t>
      </w:r>
      <w:r w:rsidRPr="002160DD">
        <w:rPr>
          <w:rFonts w:ascii="Times New Roman" w:hAnsi="Times New Roman" w:cs="Times New Roman"/>
          <w:smallCaps/>
          <w:noProof/>
          <w:lang w:val="fr-BE"/>
        </w:rPr>
        <w:t>avrik</w:t>
      </w:r>
      <w:r w:rsidRPr="002160DD">
        <w:rPr>
          <w:rFonts w:ascii="Times New Roman" w:hAnsi="Times New Roman" w:cs="Times New Roman"/>
          <w:noProof/>
          <w:lang w:val="fr-BE"/>
        </w:rPr>
        <w:t xml:space="preserve">, précité à la note </w:t>
      </w:r>
      <w:r>
        <w:rPr>
          <w:rFonts w:ascii="Times New Roman" w:hAnsi="Times New Roman" w:cs="Times New Roman"/>
          <w:noProof/>
          <w:lang w:val="fr-BE"/>
        </w:rPr>
        <w:t>51</w:t>
      </w:r>
      <w:r w:rsidRPr="002160DD">
        <w:rPr>
          <w:rFonts w:ascii="Times New Roman" w:hAnsi="Times New Roman" w:cs="Times New Roman"/>
          <w:noProof/>
          <w:lang w:val="fr-BE"/>
        </w:rPr>
        <w:t>, p. 29.</w:t>
      </w:r>
    </w:p>
  </w:footnote>
  <w:footnote w:id="234">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w:t>
      </w:r>
      <w:r w:rsidRPr="002160DD">
        <w:rPr>
          <w:rFonts w:ascii="Times New Roman" w:hAnsi="Times New Roman" w:cs="Times New Roman"/>
          <w:i/>
          <w:noProof/>
          <w:lang w:val="fr-BE"/>
        </w:rPr>
        <w:t>Ibidem</w:t>
      </w:r>
      <w:r w:rsidRPr="002160DD">
        <w:rPr>
          <w:rFonts w:ascii="Times New Roman" w:hAnsi="Times New Roman" w:cs="Times New Roman"/>
          <w:noProof/>
          <w:lang w:val="fr-BE"/>
        </w:rPr>
        <w:t>, p. 30.</w:t>
      </w:r>
    </w:p>
  </w:footnote>
  <w:footnote w:id="235">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F.</w:t>
      </w:r>
      <w:r w:rsidRPr="002160DD">
        <w:rPr>
          <w:rFonts w:ascii="Times New Roman" w:hAnsi="Times New Roman" w:cs="Times New Roman"/>
          <w:smallCaps/>
          <w:noProof/>
          <w:lang w:val="fr-BE"/>
        </w:rPr>
        <w:t xml:space="preserve"> Berrod</w:t>
      </w:r>
      <w:r w:rsidRPr="002160DD">
        <w:rPr>
          <w:rFonts w:ascii="Times New Roman" w:hAnsi="Times New Roman" w:cs="Times New Roman"/>
          <w:noProof/>
          <w:lang w:val="fr-BE"/>
        </w:rPr>
        <w:t>, précité à la note 2</w:t>
      </w:r>
      <w:r w:rsidR="00727B88">
        <w:rPr>
          <w:rFonts w:ascii="Times New Roman" w:hAnsi="Times New Roman" w:cs="Times New Roman"/>
          <w:noProof/>
          <w:lang w:val="fr-BE"/>
        </w:rPr>
        <w:t>12</w:t>
      </w:r>
      <w:r w:rsidRPr="002160DD">
        <w:rPr>
          <w:rFonts w:ascii="Times New Roman" w:hAnsi="Times New Roman" w:cs="Times New Roman"/>
          <w:noProof/>
          <w:lang w:val="fr-BE"/>
        </w:rPr>
        <w:t xml:space="preserve">, p. 63. </w:t>
      </w:r>
    </w:p>
  </w:footnote>
  <w:footnote w:id="236">
    <w:p w:rsidR="00111A52" w:rsidRPr="002160DD" w:rsidRDefault="00111A52" w:rsidP="00872531">
      <w:pPr>
        <w:pStyle w:val="Notedebasdepage"/>
        <w:jc w:val="both"/>
        <w:rPr>
          <w:rFonts w:ascii="Times New Roman" w:hAnsi="Times New Roman" w:cs="Times New Roman"/>
          <w:noProof/>
          <w:lang w:val="fr-BE"/>
        </w:rPr>
      </w:pPr>
      <w:r w:rsidRPr="002160DD">
        <w:rPr>
          <w:rStyle w:val="Appelnotedebasdep"/>
          <w:rFonts w:ascii="Times New Roman" w:hAnsi="Times New Roman" w:cs="Times New Roman"/>
          <w:noProof/>
          <w:lang w:val="en-US"/>
        </w:rPr>
        <w:footnoteRef/>
      </w:r>
      <w:r w:rsidRPr="002160DD">
        <w:rPr>
          <w:rFonts w:ascii="Times New Roman" w:hAnsi="Times New Roman" w:cs="Times New Roman"/>
          <w:noProof/>
          <w:lang w:val="fr-BE"/>
        </w:rPr>
        <w:t xml:space="preserve"> B. S</w:t>
      </w:r>
      <w:r w:rsidRPr="002160DD">
        <w:rPr>
          <w:rFonts w:ascii="Times New Roman" w:hAnsi="Times New Roman" w:cs="Times New Roman"/>
          <w:smallCaps/>
          <w:noProof/>
          <w:lang w:val="fr-BE"/>
        </w:rPr>
        <w:t xml:space="preserve">mulders, </w:t>
      </w:r>
      <w:r w:rsidRPr="002160DD">
        <w:rPr>
          <w:rFonts w:ascii="Times New Roman" w:hAnsi="Times New Roman" w:cs="Times New Roman"/>
          <w:noProof/>
          <w:lang w:val="fr-BE"/>
        </w:rPr>
        <w:t xml:space="preserve">précité à la note </w:t>
      </w:r>
      <w:r w:rsidR="00727B88">
        <w:rPr>
          <w:rFonts w:ascii="Times New Roman" w:hAnsi="Times New Roman" w:cs="Times New Roman"/>
          <w:noProof/>
          <w:lang w:val="fr-BE"/>
        </w:rPr>
        <w:t>183</w:t>
      </w:r>
      <w:r w:rsidRPr="002160DD">
        <w:rPr>
          <w:rFonts w:ascii="Times New Roman" w:hAnsi="Times New Roman" w:cs="Times New Roman"/>
          <w:noProof/>
          <w:lang w:val="fr-BE"/>
        </w:rPr>
        <w:t xml:space="preserve">, p. 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85170646"/>
      <w:docPartObj>
        <w:docPartGallery w:val="Page Numbers (Top of Page)"/>
        <w:docPartUnique/>
      </w:docPartObj>
    </w:sdtPr>
    <w:sdtEndPr>
      <w:rPr>
        <w:rStyle w:val="Numrodepage"/>
      </w:rPr>
    </w:sdtEndPr>
    <w:sdtContent>
      <w:p w:rsidR="00111A52" w:rsidRDefault="00111A52" w:rsidP="009A1106">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111A52" w:rsidRDefault="00111A52" w:rsidP="009A1106">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A52" w:rsidRDefault="00111A52" w:rsidP="009A1106">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E741A"/>
    <w:multiLevelType w:val="hybridMultilevel"/>
    <w:tmpl w:val="BFFEE540"/>
    <w:lvl w:ilvl="0" w:tplc="4BAE9FF4">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EF683F"/>
    <w:multiLevelType w:val="hybridMultilevel"/>
    <w:tmpl w:val="F700653E"/>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EB826F3"/>
    <w:multiLevelType w:val="multilevel"/>
    <w:tmpl w:val="09B602C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D438F3"/>
    <w:multiLevelType w:val="hybridMultilevel"/>
    <w:tmpl w:val="F67813A8"/>
    <w:lvl w:ilvl="0" w:tplc="0524B8C6">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4E77765C"/>
    <w:multiLevelType w:val="hybridMultilevel"/>
    <w:tmpl w:val="F67813A8"/>
    <w:lvl w:ilvl="0" w:tplc="0524B8C6">
      <w:start w:val="1"/>
      <w:numFmt w:val="lowerRoman"/>
      <w:lvlText w:val="%1."/>
      <w:lvlJc w:val="left"/>
      <w:pPr>
        <w:ind w:left="2148" w:hanging="720"/>
      </w:pPr>
      <w:rPr>
        <w:rFonts w:hint="default"/>
      </w:r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5" w15:restartNumberingAfterBreak="0">
    <w:nsid w:val="4EAA283F"/>
    <w:multiLevelType w:val="hybridMultilevel"/>
    <w:tmpl w:val="837A4D38"/>
    <w:lvl w:ilvl="0" w:tplc="A7364C1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7FE06BB"/>
    <w:multiLevelType w:val="hybridMultilevel"/>
    <w:tmpl w:val="B3322C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4927E0"/>
    <w:multiLevelType w:val="hybridMultilevel"/>
    <w:tmpl w:val="091E0360"/>
    <w:lvl w:ilvl="0" w:tplc="01404C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6E8A66B5"/>
    <w:multiLevelType w:val="hybridMultilevel"/>
    <w:tmpl w:val="E1F8963A"/>
    <w:lvl w:ilvl="0" w:tplc="41B417D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6A53FA"/>
    <w:multiLevelType w:val="hybridMultilevel"/>
    <w:tmpl w:val="C380BD46"/>
    <w:lvl w:ilvl="0" w:tplc="CB48412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70721233"/>
    <w:multiLevelType w:val="multilevel"/>
    <w:tmpl w:val="CC6A874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7"/>
  </w:num>
  <w:num w:numId="5">
    <w:abstractNumId w:val="0"/>
  </w:num>
  <w:num w:numId="6">
    <w:abstractNumId w:val="3"/>
  </w:num>
  <w:num w:numId="7">
    <w:abstractNumId w:val="6"/>
  </w:num>
  <w:num w:numId="8">
    <w:abstractNumId w:val="1"/>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06"/>
    <w:rsid w:val="00052EF0"/>
    <w:rsid w:val="001112D3"/>
    <w:rsid w:val="00111A52"/>
    <w:rsid w:val="00146A83"/>
    <w:rsid w:val="00151706"/>
    <w:rsid w:val="00186DCE"/>
    <w:rsid w:val="002160DD"/>
    <w:rsid w:val="003B0941"/>
    <w:rsid w:val="0043361E"/>
    <w:rsid w:val="004873FF"/>
    <w:rsid w:val="00540659"/>
    <w:rsid w:val="005A73FF"/>
    <w:rsid w:val="00627C2C"/>
    <w:rsid w:val="00682BB8"/>
    <w:rsid w:val="006A0515"/>
    <w:rsid w:val="006B12C2"/>
    <w:rsid w:val="006C030B"/>
    <w:rsid w:val="006F74C7"/>
    <w:rsid w:val="00727B88"/>
    <w:rsid w:val="00790234"/>
    <w:rsid w:val="007A49D3"/>
    <w:rsid w:val="007E6931"/>
    <w:rsid w:val="008264FF"/>
    <w:rsid w:val="008662F1"/>
    <w:rsid w:val="00872531"/>
    <w:rsid w:val="0088176C"/>
    <w:rsid w:val="009A1106"/>
    <w:rsid w:val="00A568CE"/>
    <w:rsid w:val="00A87B30"/>
    <w:rsid w:val="00A94E2A"/>
    <w:rsid w:val="00AD7EAF"/>
    <w:rsid w:val="00B05A70"/>
    <w:rsid w:val="00B87E37"/>
    <w:rsid w:val="00C13FFD"/>
    <w:rsid w:val="00D14BCB"/>
    <w:rsid w:val="00D21C41"/>
    <w:rsid w:val="00D45166"/>
    <w:rsid w:val="00F22763"/>
    <w:rsid w:val="00F5222E"/>
    <w:rsid w:val="00FD506C"/>
    <w:rsid w:val="00FD76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BF79419"/>
  <w14:defaultImageDpi w14:val="32767"/>
  <w15:chartTrackingRefBased/>
  <w15:docId w15:val="{E68C67A0-8EA7-AC4A-9FA0-3D70D33E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1106"/>
    <w:pPr>
      <w:spacing w:after="160" w:line="259" w:lineRule="auto"/>
    </w:pPr>
    <w:rPr>
      <w:sz w:val="22"/>
      <w:szCs w:val="22"/>
      <w:lang w:val="en-GB"/>
    </w:rPr>
  </w:style>
  <w:style w:type="paragraph" w:styleId="Titre1">
    <w:name w:val="heading 1"/>
    <w:basedOn w:val="Normal"/>
    <w:next w:val="Normal"/>
    <w:link w:val="Titre1Car"/>
    <w:uiPriority w:val="9"/>
    <w:qFormat/>
    <w:rsid w:val="009A11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A11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A11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1106"/>
    <w:rPr>
      <w:rFonts w:asciiTheme="majorHAnsi" w:eastAsiaTheme="majorEastAsia" w:hAnsiTheme="majorHAnsi" w:cstheme="majorBidi"/>
      <w:color w:val="2F5496" w:themeColor="accent1" w:themeShade="BF"/>
      <w:sz w:val="32"/>
      <w:szCs w:val="32"/>
      <w:lang w:val="en-GB"/>
    </w:rPr>
  </w:style>
  <w:style w:type="character" w:customStyle="1" w:styleId="Titre2Car">
    <w:name w:val="Titre 2 Car"/>
    <w:basedOn w:val="Policepardfaut"/>
    <w:link w:val="Titre2"/>
    <w:uiPriority w:val="9"/>
    <w:rsid w:val="009A1106"/>
    <w:rPr>
      <w:rFonts w:asciiTheme="majorHAnsi" w:eastAsiaTheme="majorEastAsia" w:hAnsiTheme="majorHAnsi" w:cstheme="majorBidi"/>
      <w:color w:val="2F5496" w:themeColor="accent1" w:themeShade="BF"/>
      <w:sz w:val="26"/>
      <w:szCs w:val="26"/>
      <w:lang w:val="en-GB"/>
    </w:rPr>
  </w:style>
  <w:style w:type="paragraph" w:styleId="Paragraphedeliste">
    <w:name w:val="List Paragraph"/>
    <w:basedOn w:val="Normal"/>
    <w:uiPriority w:val="34"/>
    <w:qFormat/>
    <w:rsid w:val="009A1106"/>
    <w:pPr>
      <w:spacing w:after="0" w:line="240" w:lineRule="auto"/>
      <w:ind w:left="720"/>
      <w:contextualSpacing/>
    </w:pPr>
    <w:rPr>
      <w:sz w:val="24"/>
      <w:szCs w:val="24"/>
      <w:lang w:val="fr-FR"/>
    </w:rPr>
  </w:style>
  <w:style w:type="paragraph" w:styleId="Notedebasdepage">
    <w:name w:val="footnote text"/>
    <w:basedOn w:val="Normal"/>
    <w:link w:val="NotedebasdepageCar"/>
    <w:uiPriority w:val="99"/>
    <w:unhideWhenUsed/>
    <w:rsid w:val="009A1106"/>
    <w:pPr>
      <w:spacing w:after="0" w:line="240" w:lineRule="auto"/>
    </w:pPr>
    <w:rPr>
      <w:sz w:val="20"/>
      <w:szCs w:val="20"/>
    </w:rPr>
  </w:style>
  <w:style w:type="character" w:customStyle="1" w:styleId="NotedebasdepageCar">
    <w:name w:val="Note de bas de page Car"/>
    <w:basedOn w:val="Policepardfaut"/>
    <w:link w:val="Notedebasdepage"/>
    <w:uiPriority w:val="99"/>
    <w:rsid w:val="009A1106"/>
    <w:rPr>
      <w:sz w:val="20"/>
      <w:szCs w:val="20"/>
      <w:lang w:val="en-GB"/>
    </w:rPr>
  </w:style>
  <w:style w:type="character" w:styleId="Appelnotedebasdep">
    <w:name w:val="footnote reference"/>
    <w:basedOn w:val="Policepardfaut"/>
    <w:uiPriority w:val="99"/>
    <w:semiHidden/>
    <w:unhideWhenUsed/>
    <w:rsid w:val="009A1106"/>
    <w:rPr>
      <w:vertAlign w:val="superscript"/>
    </w:rPr>
  </w:style>
  <w:style w:type="paragraph" w:styleId="En-tte">
    <w:name w:val="header"/>
    <w:basedOn w:val="Normal"/>
    <w:link w:val="En-tteCar"/>
    <w:uiPriority w:val="99"/>
    <w:unhideWhenUsed/>
    <w:rsid w:val="009A1106"/>
    <w:pPr>
      <w:tabs>
        <w:tab w:val="center" w:pos="4536"/>
        <w:tab w:val="right" w:pos="9072"/>
      </w:tabs>
      <w:spacing w:after="0" w:line="240" w:lineRule="auto"/>
    </w:pPr>
  </w:style>
  <w:style w:type="character" w:customStyle="1" w:styleId="En-tteCar">
    <w:name w:val="En-tête Car"/>
    <w:basedOn w:val="Policepardfaut"/>
    <w:link w:val="En-tte"/>
    <w:uiPriority w:val="99"/>
    <w:rsid w:val="009A1106"/>
    <w:rPr>
      <w:sz w:val="22"/>
      <w:szCs w:val="22"/>
      <w:lang w:val="en-GB"/>
    </w:rPr>
  </w:style>
  <w:style w:type="paragraph" w:styleId="Pieddepage">
    <w:name w:val="footer"/>
    <w:basedOn w:val="Normal"/>
    <w:link w:val="PieddepageCar"/>
    <w:uiPriority w:val="99"/>
    <w:unhideWhenUsed/>
    <w:rsid w:val="009A11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1106"/>
    <w:rPr>
      <w:sz w:val="22"/>
      <w:szCs w:val="22"/>
      <w:lang w:val="en-GB"/>
    </w:rPr>
  </w:style>
  <w:style w:type="character" w:styleId="Lienhypertexte">
    <w:name w:val="Hyperlink"/>
    <w:basedOn w:val="Policepardfaut"/>
    <w:uiPriority w:val="99"/>
    <w:unhideWhenUsed/>
    <w:rsid w:val="009A1106"/>
    <w:rPr>
      <w:color w:val="0563C1" w:themeColor="hyperlink"/>
      <w:u w:val="single"/>
    </w:rPr>
  </w:style>
  <w:style w:type="character" w:styleId="Mentionnonrsolue">
    <w:name w:val="Unresolved Mention"/>
    <w:basedOn w:val="Policepardfaut"/>
    <w:uiPriority w:val="99"/>
    <w:rsid w:val="009A1106"/>
    <w:rPr>
      <w:color w:val="605E5C"/>
      <w:shd w:val="clear" w:color="auto" w:fill="E1DFDD"/>
    </w:rPr>
  </w:style>
  <w:style w:type="paragraph" w:styleId="NormalWeb">
    <w:name w:val="Normal (Web)"/>
    <w:basedOn w:val="Normal"/>
    <w:uiPriority w:val="99"/>
    <w:unhideWhenUsed/>
    <w:rsid w:val="009A1106"/>
    <w:pPr>
      <w:spacing w:before="100" w:beforeAutospacing="1" w:after="100" w:afterAutospacing="1" w:line="240" w:lineRule="auto"/>
    </w:pPr>
    <w:rPr>
      <w:rFonts w:ascii="Times New Roman" w:eastAsia="Times New Roman" w:hAnsi="Times New Roman" w:cs="Times New Roman"/>
      <w:sz w:val="24"/>
      <w:szCs w:val="24"/>
      <w:lang w:val="fr-BE" w:eastAsia="fr-FR"/>
    </w:rPr>
  </w:style>
  <w:style w:type="character" w:customStyle="1" w:styleId="opaccatimju1">
    <w:name w:val="opaccatimju1"/>
    <w:basedOn w:val="Policepardfaut"/>
    <w:rsid w:val="009A1106"/>
    <w:rPr>
      <w:rFonts w:ascii="Calibri" w:hAnsi="Calibri" w:hint="default"/>
      <w:sz w:val="20"/>
      <w:szCs w:val="20"/>
    </w:rPr>
  </w:style>
  <w:style w:type="character" w:styleId="Lienhypertextesuivivisit">
    <w:name w:val="FollowedHyperlink"/>
    <w:basedOn w:val="Policepardfaut"/>
    <w:uiPriority w:val="99"/>
    <w:semiHidden/>
    <w:unhideWhenUsed/>
    <w:rsid w:val="009A1106"/>
    <w:rPr>
      <w:color w:val="954F72" w:themeColor="followedHyperlink"/>
      <w:u w:val="single"/>
    </w:rPr>
  </w:style>
  <w:style w:type="paragraph" w:styleId="Textedebulles">
    <w:name w:val="Balloon Text"/>
    <w:basedOn w:val="Normal"/>
    <w:link w:val="TextedebullesCar"/>
    <w:uiPriority w:val="99"/>
    <w:semiHidden/>
    <w:unhideWhenUsed/>
    <w:rsid w:val="009A1106"/>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9A1106"/>
    <w:rPr>
      <w:rFonts w:ascii="Times New Roman" w:hAnsi="Times New Roman" w:cs="Times New Roman"/>
      <w:sz w:val="18"/>
      <w:szCs w:val="18"/>
      <w:lang w:val="en-GB"/>
    </w:rPr>
  </w:style>
  <w:style w:type="character" w:styleId="Numrodepage">
    <w:name w:val="page number"/>
    <w:basedOn w:val="Policepardfaut"/>
    <w:uiPriority w:val="99"/>
    <w:semiHidden/>
    <w:unhideWhenUsed/>
    <w:rsid w:val="009A1106"/>
  </w:style>
  <w:style w:type="character" w:customStyle="1" w:styleId="apple-converted-space">
    <w:name w:val="apple-converted-space"/>
    <w:basedOn w:val="Policepardfaut"/>
    <w:rsid w:val="009A1106"/>
  </w:style>
  <w:style w:type="character" w:customStyle="1" w:styleId="sup">
    <w:name w:val="sup"/>
    <w:basedOn w:val="Policepardfaut"/>
    <w:rsid w:val="009A1106"/>
  </w:style>
  <w:style w:type="character" w:styleId="Marquedecommentaire">
    <w:name w:val="annotation reference"/>
    <w:basedOn w:val="Policepardfaut"/>
    <w:uiPriority w:val="99"/>
    <w:semiHidden/>
    <w:unhideWhenUsed/>
    <w:rsid w:val="009A1106"/>
    <w:rPr>
      <w:sz w:val="16"/>
      <w:szCs w:val="16"/>
    </w:rPr>
  </w:style>
  <w:style w:type="paragraph" w:styleId="Commentaire">
    <w:name w:val="annotation text"/>
    <w:basedOn w:val="Normal"/>
    <w:link w:val="CommentaireCar"/>
    <w:uiPriority w:val="99"/>
    <w:semiHidden/>
    <w:unhideWhenUsed/>
    <w:rsid w:val="009A1106"/>
    <w:pPr>
      <w:spacing w:line="240" w:lineRule="auto"/>
    </w:pPr>
    <w:rPr>
      <w:sz w:val="20"/>
      <w:szCs w:val="20"/>
    </w:rPr>
  </w:style>
  <w:style w:type="character" w:customStyle="1" w:styleId="CommentaireCar">
    <w:name w:val="Commentaire Car"/>
    <w:basedOn w:val="Policepardfaut"/>
    <w:link w:val="Commentaire"/>
    <w:uiPriority w:val="99"/>
    <w:semiHidden/>
    <w:rsid w:val="009A1106"/>
    <w:rPr>
      <w:sz w:val="20"/>
      <w:szCs w:val="20"/>
      <w:lang w:val="en-GB"/>
    </w:rPr>
  </w:style>
  <w:style w:type="paragraph" w:styleId="Objetducommentaire">
    <w:name w:val="annotation subject"/>
    <w:basedOn w:val="Commentaire"/>
    <w:next w:val="Commentaire"/>
    <w:link w:val="ObjetducommentaireCar"/>
    <w:uiPriority w:val="99"/>
    <w:semiHidden/>
    <w:unhideWhenUsed/>
    <w:rsid w:val="009A1106"/>
    <w:rPr>
      <w:b/>
      <w:bCs/>
    </w:rPr>
  </w:style>
  <w:style w:type="character" w:customStyle="1" w:styleId="ObjetducommentaireCar">
    <w:name w:val="Objet du commentaire Car"/>
    <w:basedOn w:val="CommentaireCar"/>
    <w:link w:val="Objetducommentaire"/>
    <w:uiPriority w:val="99"/>
    <w:semiHidden/>
    <w:rsid w:val="009A1106"/>
    <w:rPr>
      <w:b/>
      <w:bCs/>
      <w:sz w:val="20"/>
      <w:szCs w:val="20"/>
      <w:lang w:val="en-GB"/>
    </w:rPr>
  </w:style>
  <w:style w:type="paragraph" w:styleId="Rvision">
    <w:name w:val="Revision"/>
    <w:hidden/>
    <w:uiPriority w:val="99"/>
    <w:semiHidden/>
    <w:rsid w:val="009A1106"/>
    <w:rPr>
      <w:sz w:val="22"/>
      <w:szCs w:val="22"/>
      <w:lang w:val="en-GB"/>
    </w:rPr>
  </w:style>
  <w:style w:type="paragraph" w:styleId="Titre">
    <w:name w:val="Title"/>
    <w:basedOn w:val="Normal"/>
    <w:next w:val="Normal"/>
    <w:link w:val="TitreCar"/>
    <w:uiPriority w:val="10"/>
    <w:qFormat/>
    <w:rsid w:val="009A11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1106"/>
    <w:rPr>
      <w:rFonts w:asciiTheme="majorHAnsi" w:eastAsiaTheme="majorEastAsia" w:hAnsiTheme="majorHAnsi" w:cstheme="majorBidi"/>
      <w:spacing w:val="-10"/>
      <w:kern w:val="28"/>
      <w:sz w:val="56"/>
      <w:szCs w:val="56"/>
      <w:lang w:val="en-GB"/>
    </w:rPr>
  </w:style>
  <w:style w:type="paragraph" w:styleId="TM1">
    <w:name w:val="toc 1"/>
    <w:basedOn w:val="Normal"/>
    <w:next w:val="Normal"/>
    <w:autoRedefine/>
    <w:uiPriority w:val="39"/>
    <w:unhideWhenUsed/>
    <w:rsid w:val="009A1106"/>
    <w:pPr>
      <w:tabs>
        <w:tab w:val="right" w:leader="dot" w:pos="9054"/>
      </w:tabs>
      <w:spacing w:after="100"/>
    </w:pPr>
  </w:style>
  <w:style w:type="paragraph" w:styleId="TM2">
    <w:name w:val="toc 2"/>
    <w:basedOn w:val="Normal"/>
    <w:next w:val="Normal"/>
    <w:autoRedefine/>
    <w:uiPriority w:val="39"/>
    <w:unhideWhenUsed/>
    <w:rsid w:val="009A1106"/>
    <w:pPr>
      <w:spacing w:after="100"/>
      <w:ind w:left="220"/>
    </w:pPr>
  </w:style>
  <w:style w:type="character" w:customStyle="1" w:styleId="Titre3Car">
    <w:name w:val="Titre 3 Car"/>
    <w:basedOn w:val="Policepardfaut"/>
    <w:link w:val="Titre3"/>
    <w:uiPriority w:val="9"/>
    <w:semiHidden/>
    <w:rsid w:val="009A1106"/>
    <w:rPr>
      <w:rFonts w:asciiTheme="majorHAnsi" w:eastAsiaTheme="majorEastAsia" w:hAnsiTheme="majorHAnsi" w:cstheme="majorBidi"/>
      <w:color w:val="1F3763"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7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pc.eu/documents/uploads/539093269_EPC%20Issue%20Paper%2058%20-%20Strength%20in%25%2020numbers.pdf" TargetMode="External"/><Relationship Id="rId7" Type="http://schemas.openxmlformats.org/officeDocument/2006/relationships/hyperlink" Target="https://www.govtrack.us/congress/bills/statistics" TargetMode="External"/><Relationship Id="rId2" Type="http://schemas.openxmlformats.org/officeDocument/2006/relationships/hyperlink" Target="https://oeil.secure.europarl.europa.eu/oeil/search/search.do?searchTab=y" TargetMode="External"/><Relationship Id="rId1" Type="http://schemas.openxmlformats.org/officeDocument/2006/relationships/hyperlink" Target="https://ec.europa.eu/commission/sites/beta-political/files/political-guidelines-next-commission_fr.pdf" TargetMode="External"/><Relationship Id="rId6" Type="http://schemas.openxmlformats.org/officeDocument/2006/relationships/hyperlink" Target="http://mjp.univ-perp.fr/constit/us1787.htm" TargetMode="External"/><Relationship Id="rId5" Type="http://schemas.openxmlformats.org/officeDocument/2006/relationships/hyperlink" Target="http://tradeven.cluster015.ovh.net/wordpress/wp-content/uploads/2018/12/1_2.pdf" TargetMode="External"/><Relationship Id="rId4" Type="http://schemas.openxmlformats.org/officeDocument/2006/relationships/hyperlink" Target="http://www.astrid-online.it/static/upload/protected/Astr/Astrid_Mastroianni_Adozione_Attilegislativi_Rassegna.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44E3E-87B6-1B4B-9D1B-36028F57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33</Pages>
  <Words>10097</Words>
  <Characters>55537</Characters>
  <Application>Microsoft Office Word</Application>
  <DocSecurity>0</DocSecurity>
  <Lines>462</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davio5101</dc:creator>
  <cp:keywords/>
  <dc:description/>
  <cp:lastModifiedBy>victor davio5101</cp:lastModifiedBy>
  <cp:revision>14</cp:revision>
  <cp:lastPrinted>2019-08-29T09:25:00Z</cp:lastPrinted>
  <dcterms:created xsi:type="dcterms:W3CDTF">2019-08-01T09:19:00Z</dcterms:created>
  <dcterms:modified xsi:type="dcterms:W3CDTF">2019-08-30T07:52:00Z</dcterms:modified>
</cp:coreProperties>
</file>