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F0B66D" w14:textId="784AD25E" w:rsidR="00D708C1" w:rsidRDefault="00D708C1" w:rsidP="00D708C1">
      <w:r w:rsidRPr="00D708C1">
        <w:rPr>
          <w:i/>
          <w:iCs/>
        </w:rPr>
        <w:t xml:space="preserve">Le </w:t>
      </w:r>
      <w:r>
        <w:rPr>
          <w:i/>
          <w:iCs/>
        </w:rPr>
        <w:t>nécrologe du prieuré de l’Artige</w:t>
      </w:r>
      <w:r w:rsidRPr="00D708C1">
        <w:t xml:space="preserve">. Publié sous la direction de Jacques </w:t>
      </w:r>
      <w:r w:rsidRPr="00D708C1">
        <w:rPr>
          <w:smallCaps/>
        </w:rPr>
        <w:t>Verger</w:t>
      </w:r>
      <w:r w:rsidRPr="00D708C1">
        <w:t xml:space="preserve"> par </w:t>
      </w:r>
      <w:r>
        <w:t xml:space="preserve">Dom Jean </w:t>
      </w:r>
      <w:r w:rsidRPr="00D6142A">
        <w:rPr>
          <w:smallCaps/>
        </w:rPr>
        <w:t>Becquet</w:t>
      </w:r>
      <w:r>
        <w:t xml:space="preserve"> OSB (†) et Jean-Loup </w:t>
      </w:r>
      <w:r w:rsidRPr="00D6142A">
        <w:rPr>
          <w:smallCaps/>
        </w:rPr>
        <w:t>Lemaître</w:t>
      </w:r>
      <w:r w:rsidRPr="00D708C1">
        <w:t>. Avec la collaboration de</w:t>
      </w:r>
      <w:r w:rsidRPr="00D708C1">
        <w:rPr>
          <w:lang w:val="fr-FR"/>
        </w:rPr>
        <w:t xml:space="preserve"> Claude </w:t>
      </w:r>
      <w:r w:rsidRPr="00D6142A">
        <w:rPr>
          <w:smallCaps/>
          <w:lang w:val="fr-FR"/>
        </w:rPr>
        <w:t>Andrault-Schmitt</w:t>
      </w:r>
      <w:r w:rsidRPr="00D708C1">
        <w:t>. (Recueil des Historiens de la France. Obituaires, Série in-8°, 2</w:t>
      </w:r>
      <w:r w:rsidR="00D6142A">
        <w:t>4</w:t>
      </w:r>
      <w:r w:rsidRPr="00D708C1">
        <w:t>). Paris, Académie des Inscriptions et Belles-Lettres, 202</w:t>
      </w:r>
      <w:r w:rsidR="00D6142A">
        <w:t>1</w:t>
      </w:r>
      <w:r w:rsidRPr="00D708C1">
        <w:t>.</w:t>
      </w:r>
      <w:r w:rsidR="00D6142A">
        <w:t xml:space="preserve"> 24,5 x 16 cm</w:t>
      </w:r>
      <w:r w:rsidR="00916EF8">
        <w:t xml:space="preserve">, </w:t>
      </w:r>
      <w:r w:rsidR="00916EF8" w:rsidRPr="00916EF8">
        <w:rPr>
          <w:smallCaps/>
        </w:rPr>
        <w:t>xvii</w:t>
      </w:r>
      <w:r w:rsidR="00D6142A" w:rsidRPr="00994067">
        <w:sym w:font="Symbol" w:char="F02D"/>
      </w:r>
      <w:r w:rsidR="00D6142A">
        <w:t>238 p. € 40. ISBN 978-2877544092.</w:t>
      </w:r>
    </w:p>
    <w:p w14:paraId="3CD3FCC8" w14:textId="77777777" w:rsidR="00D708C1" w:rsidRPr="00D708C1" w:rsidRDefault="00D708C1" w:rsidP="00D708C1"/>
    <w:p w14:paraId="30F00AE8" w14:textId="39A1E3F8" w:rsidR="00A2215F" w:rsidRDefault="00CA1416" w:rsidP="009F1F7C">
      <w:pPr>
        <w:rPr>
          <w:lang w:val="fr-FR"/>
        </w:rPr>
      </w:pPr>
      <w:r>
        <w:rPr>
          <w:lang w:val="fr-FR"/>
        </w:rPr>
        <w:t>À l’aube des</w:t>
      </w:r>
      <w:r w:rsidR="005F33BE">
        <w:rPr>
          <w:lang w:val="fr-FR"/>
        </w:rPr>
        <w:t xml:space="preserve"> années 1970, le bénédictin ligug</w:t>
      </w:r>
      <w:r w:rsidR="00663603">
        <w:rPr>
          <w:lang w:val="fr-FR"/>
        </w:rPr>
        <w:t>é</w:t>
      </w:r>
      <w:r w:rsidR="005F33BE">
        <w:rPr>
          <w:lang w:val="fr-FR"/>
        </w:rPr>
        <w:t>en</w:t>
      </w:r>
      <w:r w:rsidR="00663603">
        <w:rPr>
          <w:lang w:val="fr-FR"/>
        </w:rPr>
        <w:t xml:space="preserve"> Jean </w:t>
      </w:r>
      <w:r w:rsidR="00663603" w:rsidRPr="001A1481">
        <w:rPr>
          <w:smallCaps/>
          <w:lang w:val="fr-FR"/>
        </w:rPr>
        <w:t>Becquet</w:t>
      </w:r>
      <w:r w:rsidR="00663603">
        <w:rPr>
          <w:lang w:val="fr-FR"/>
        </w:rPr>
        <w:t xml:space="preserve"> († 2003), d’ailleurs </w:t>
      </w:r>
      <w:r w:rsidR="00A2215F">
        <w:rPr>
          <w:lang w:val="fr-FR"/>
        </w:rPr>
        <w:t>excellent connaisseur</w:t>
      </w:r>
      <w:r w:rsidR="00663603">
        <w:rPr>
          <w:lang w:val="fr-FR"/>
        </w:rPr>
        <w:t xml:space="preserve"> du Limousin canonial</w:t>
      </w:r>
      <w:r>
        <w:rPr>
          <w:lang w:val="fr-FR"/>
        </w:rPr>
        <w:t xml:space="preserve">, s’était intéressé </w:t>
      </w:r>
      <w:r w:rsidR="008F1C70">
        <w:rPr>
          <w:lang w:val="fr-FR"/>
        </w:rPr>
        <w:t>a</w:t>
      </w:r>
      <w:r>
        <w:rPr>
          <w:lang w:val="fr-FR"/>
        </w:rPr>
        <w:t>u nécrologe du prieuré de l’Artige.</w:t>
      </w:r>
      <w:r w:rsidR="008D7120">
        <w:rPr>
          <w:lang w:val="fr-FR"/>
        </w:rPr>
        <w:t xml:space="preserve"> Après </w:t>
      </w:r>
      <w:r w:rsidR="009F1F7C">
        <w:rPr>
          <w:lang w:val="fr-FR"/>
        </w:rPr>
        <w:t xml:space="preserve">en avoir effectué une transcription personnelle, il avait alors remis sa copie au grand </w:t>
      </w:r>
      <w:r w:rsidR="009F1F7C" w:rsidRPr="00A2215F">
        <w:rPr>
          <w:lang w:val="fr-FR"/>
        </w:rPr>
        <w:t>spécialiste</w:t>
      </w:r>
      <w:r w:rsidR="009F1F7C">
        <w:rPr>
          <w:lang w:val="fr-FR"/>
        </w:rPr>
        <w:t xml:space="preserve"> français de la documentation nécrologique </w:t>
      </w:r>
      <w:r w:rsidR="009F1F7C" w:rsidRPr="009F1F7C">
        <w:rPr>
          <w:lang w:val="fr-FR"/>
        </w:rPr>
        <w:sym w:font="Symbol" w:char="F02D"/>
      </w:r>
      <w:r w:rsidR="009F1F7C">
        <w:rPr>
          <w:lang w:val="fr-FR"/>
        </w:rPr>
        <w:t xml:space="preserve"> aujourd’hui auxiliaire de l’Académie des Inscriptions et Belles-Lettres </w:t>
      </w:r>
      <w:r w:rsidR="009F1F7C" w:rsidRPr="009F1F7C">
        <w:rPr>
          <w:lang w:val="fr-FR"/>
        </w:rPr>
        <w:sym w:font="Symbol" w:char="F02D"/>
      </w:r>
      <w:r w:rsidR="009F1F7C">
        <w:rPr>
          <w:lang w:val="fr-FR"/>
        </w:rPr>
        <w:t xml:space="preserve"> Jean-Loup </w:t>
      </w:r>
      <w:r w:rsidR="009F1F7C" w:rsidRPr="001A1481">
        <w:rPr>
          <w:smallCaps/>
          <w:lang w:val="fr-FR"/>
        </w:rPr>
        <w:t>Lemaître</w:t>
      </w:r>
      <w:r w:rsidR="009F1F7C">
        <w:rPr>
          <w:lang w:val="fr-FR"/>
        </w:rPr>
        <w:t>, à la suite de ses recherches sur les documents nécrologiques limousins.</w:t>
      </w:r>
      <w:r w:rsidR="00916EF8">
        <w:rPr>
          <w:lang w:val="fr-FR"/>
        </w:rPr>
        <w:t xml:space="preserve"> La présente édition</w:t>
      </w:r>
      <w:r w:rsidR="00A02DB6">
        <w:rPr>
          <w:lang w:val="fr-FR"/>
        </w:rPr>
        <w:t xml:space="preserve"> du nécrologe</w:t>
      </w:r>
      <w:r w:rsidR="00916EF8">
        <w:rPr>
          <w:lang w:val="fr-FR"/>
        </w:rPr>
        <w:t xml:space="preserve">, inscrite dans la collection </w:t>
      </w:r>
      <w:r w:rsidR="00916EF8" w:rsidRPr="00916EF8">
        <w:rPr>
          <w:i/>
          <w:iCs/>
          <w:lang w:val="fr-FR"/>
        </w:rPr>
        <w:t>Obituaires</w:t>
      </w:r>
      <w:r w:rsidR="00916EF8">
        <w:rPr>
          <w:lang w:val="fr-FR"/>
        </w:rPr>
        <w:t xml:space="preserve"> du Recueil des historiens de la France (24</w:t>
      </w:r>
      <w:r w:rsidR="00916EF8" w:rsidRPr="00916EF8">
        <w:rPr>
          <w:vertAlign w:val="superscript"/>
          <w:lang w:val="fr-FR"/>
        </w:rPr>
        <w:t>e</w:t>
      </w:r>
      <w:r w:rsidR="00916EF8">
        <w:rPr>
          <w:lang w:val="fr-FR"/>
        </w:rPr>
        <w:t xml:space="preserve"> vol. de la série in-8</w:t>
      </w:r>
      <w:r w:rsidR="00916EF8" w:rsidRPr="00916EF8">
        <w:rPr>
          <w:vertAlign w:val="superscript"/>
          <w:lang w:val="fr-FR"/>
        </w:rPr>
        <w:t>o</w:t>
      </w:r>
      <w:r w:rsidR="00916EF8">
        <w:rPr>
          <w:lang w:val="fr-FR"/>
        </w:rPr>
        <w:t>)</w:t>
      </w:r>
      <w:r w:rsidR="00A02DB6">
        <w:rPr>
          <w:lang w:val="fr-FR"/>
        </w:rPr>
        <w:t>,</w:t>
      </w:r>
      <w:r w:rsidR="00916EF8">
        <w:rPr>
          <w:lang w:val="fr-FR"/>
        </w:rPr>
        <w:t xml:space="preserve"> est </w:t>
      </w:r>
      <w:r w:rsidR="00E5587D">
        <w:rPr>
          <w:lang w:val="fr-FR"/>
        </w:rPr>
        <w:t>dès lors</w:t>
      </w:r>
      <w:r w:rsidR="009F1F7C">
        <w:rPr>
          <w:lang w:val="fr-FR"/>
        </w:rPr>
        <w:t xml:space="preserve"> </w:t>
      </w:r>
      <w:r w:rsidR="00916EF8">
        <w:rPr>
          <w:lang w:val="fr-FR"/>
        </w:rPr>
        <w:t xml:space="preserve">le fruit de l’enrichissement conséquent </w:t>
      </w:r>
      <w:r w:rsidR="00156971">
        <w:rPr>
          <w:lang w:val="fr-FR"/>
        </w:rPr>
        <w:t xml:space="preserve">du travail brut </w:t>
      </w:r>
      <w:r w:rsidR="00A02DB6">
        <w:rPr>
          <w:lang w:val="fr-FR"/>
        </w:rPr>
        <w:t>de dom Becquet</w:t>
      </w:r>
      <w:r w:rsidR="00156971">
        <w:rPr>
          <w:lang w:val="fr-FR"/>
        </w:rPr>
        <w:t>, pourvu d’un appareil critique généreux élaboré par J.-L. Lemaître</w:t>
      </w:r>
      <w:r w:rsidR="00A2215F">
        <w:rPr>
          <w:lang w:val="fr-FR"/>
        </w:rPr>
        <w:t>.</w:t>
      </w:r>
      <w:r w:rsidR="00156971">
        <w:rPr>
          <w:lang w:val="fr-FR"/>
        </w:rPr>
        <w:t xml:space="preserve"> </w:t>
      </w:r>
      <w:r w:rsidR="008D7120">
        <w:rPr>
          <w:lang w:val="fr-FR"/>
        </w:rPr>
        <w:t xml:space="preserve">Claude </w:t>
      </w:r>
      <w:r w:rsidR="008D7120" w:rsidRPr="001A1481">
        <w:rPr>
          <w:smallCaps/>
          <w:lang w:val="fr-FR"/>
        </w:rPr>
        <w:t>Andrault-Schmitt</w:t>
      </w:r>
      <w:r w:rsidR="008D7120">
        <w:rPr>
          <w:lang w:val="fr-FR"/>
        </w:rPr>
        <w:t xml:space="preserve"> a collaboré</w:t>
      </w:r>
      <w:r w:rsidR="0020365D">
        <w:rPr>
          <w:lang w:val="fr-FR"/>
        </w:rPr>
        <w:t xml:space="preserve"> considérablement</w:t>
      </w:r>
      <w:r w:rsidR="008D7120">
        <w:rPr>
          <w:lang w:val="fr-FR"/>
        </w:rPr>
        <w:t xml:space="preserve"> à l’édition</w:t>
      </w:r>
      <w:r w:rsidR="0020365D" w:rsidRPr="0020365D">
        <w:rPr>
          <w:lang w:val="fr-FR"/>
        </w:rPr>
        <w:t xml:space="preserve"> </w:t>
      </w:r>
      <w:r w:rsidR="0020365D">
        <w:rPr>
          <w:lang w:val="fr-FR"/>
        </w:rPr>
        <w:t>en sa qualité de professeure émérite en histoire de l’art à l’Université de Poitiers</w:t>
      </w:r>
      <w:r w:rsidR="008D7120">
        <w:rPr>
          <w:lang w:val="fr-FR"/>
        </w:rPr>
        <w:t>.</w:t>
      </w:r>
    </w:p>
    <w:p w14:paraId="69C838E3" w14:textId="0B9C6403" w:rsidR="008D1BBC" w:rsidRDefault="003B0BAE" w:rsidP="00834875">
      <w:pPr>
        <w:rPr>
          <w:lang w:val="fr-FR"/>
        </w:rPr>
      </w:pPr>
      <w:r>
        <w:rPr>
          <w:lang w:val="fr-FR"/>
        </w:rPr>
        <w:t xml:space="preserve">La qualité de </w:t>
      </w:r>
      <w:r w:rsidR="009F1F7C">
        <w:rPr>
          <w:lang w:val="fr-FR"/>
        </w:rPr>
        <w:t>cette publication</w:t>
      </w:r>
      <w:r>
        <w:rPr>
          <w:lang w:val="fr-FR"/>
        </w:rPr>
        <w:t xml:space="preserve"> est assurée par l’ampleur </w:t>
      </w:r>
      <w:r w:rsidR="005C2E6A">
        <w:rPr>
          <w:lang w:val="fr-FR"/>
        </w:rPr>
        <w:t>de l’introduction</w:t>
      </w:r>
      <w:r w:rsidR="00834875">
        <w:rPr>
          <w:lang w:val="fr-FR"/>
        </w:rPr>
        <w:t xml:space="preserve"> (p. 9-50)</w:t>
      </w:r>
      <w:r w:rsidR="009F1F7C">
        <w:rPr>
          <w:lang w:val="fr-FR"/>
        </w:rPr>
        <w:t xml:space="preserve"> et</w:t>
      </w:r>
      <w:r w:rsidR="005C2E6A">
        <w:rPr>
          <w:lang w:val="fr-FR"/>
        </w:rPr>
        <w:t xml:space="preserve"> des notes critiques, </w:t>
      </w:r>
      <w:r w:rsidR="009F1F7C">
        <w:rPr>
          <w:lang w:val="fr-FR"/>
        </w:rPr>
        <w:t xml:space="preserve">la pertinence </w:t>
      </w:r>
      <w:r w:rsidR="002618CF">
        <w:rPr>
          <w:lang w:val="fr-FR"/>
        </w:rPr>
        <w:t>de la bibliographie consultée (p. 1-8)</w:t>
      </w:r>
      <w:r w:rsidR="009F1F7C">
        <w:rPr>
          <w:lang w:val="fr-FR"/>
        </w:rPr>
        <w:t xml:space="preserve"> et</w:t>
      </w:r>
      <w:r w:rsidR="002618CF">
        <w:rPr>
          <w:lang w:val="fr-FR"/>
        </w:rPr>
        <w:t xml:space="preserve"> </w:t>
      </w:r>
      <w:r w:rsidR="005C2E6A">
        <w:rPr>
          <w:lang w:val="fr-FR"/>
        </w:rPr>
        <w:t>de</w:t>
      </w:r>
      <w:r w:rsidR="00104FA9">
        <w:rPr>
          <w:lang w:val="fr-FR"/>
        </w:rPr>
        <w:t xml:space="preserve"> l’</w:t>
      </w:r>
      <w:r w:rsidR="005C2E6A">
        <w:rPr>
          <w:lang w:val="fr-FR"/>
        </w:rPr>
        <w:t>annexe</w:t>
      </w:r>
      <w:r w:rsidR="00834875">
        <w:rPr>
          <w:lang w:val="fr-FR"/>
        </w:rPr>
        <w:t xml:space="preserve"> (p. 145-177)</w:t>
      </w:r>
      <w:r w:rsidR="00104FA9">
        <w:rPr>
          <w:lang w:val="fr-FR"/>
        </w:rPr>
        <w:t>,</w:t>
      </w:r>
      <w:r w:rsidR="005C2E6A">
        <w:rPr>
          <w:lang w:val="fr-FR"/>
        </w:rPr>
        <w:t xml:space="preserve"> </w:t>
      </w:r>
      <w:r w:rsidR="001E0F25">
        <w:rPr>
          <w:lang w:val="fr-FR"/>
        </w:rPr>
        <w:t xml:space="preserve">ainsi </w:t>
      </w:r>
      <w:r w:rsidR="001E0F25" w:rsidRPr="001E0F25">
        <w:rPr>
          <w:lang w:val="fr-FR"/>
        </w:rPr>
        <w:t>que</w:t>
      </w:r>
      <w:r w:rsidR="005F0FD4">
        <w:rPr>
          <w:lang w:val="fr-FR"/>
        </w:rPr>
        <w:t xml:space="preserve"> par</w:t>
      </w:r>
      <w:r w:rsidR="001E0F25" w:rsidRPr="001E0F25">
        <w:rPr>
          <w:lang w:val="fr-FR"/>
        </w:rPr>
        <w:t xml:space="preserve"> l’appui</w:t>
      </w:r>
      <w:r w:rsidR="001E0F25">
        <w:rPr>
          <w:lang w:val="fr-FR"/>
        </w:rPr>
        <w:t xml:space="preserve"> </w:t>
      </w:r>
      <w:r w:rsidR="005C2E6A">
        <w:rPr>
          <w:lang w:val="fr-FR"/>
        </w:rPr>
        <w:t>de planches</w:t>
      </w:r>
      <w:r w:rsidR="00834875">
        <w:rPr>
          <w:lang w:val="fr-FR"/>
        </w:rPr>
        <w:t xml:space="preserve"> (p. 180-204)</w:t>
      </w:r>
      <w:r w:rsidR="00104FA9">
        <w:rPr>
          <w:lang w:val="fr-FR"/>
        </w:rPr>
        <w:t xml:space="preserve"> et de tables</w:t>
      </w:r>
      <w:r w:rsidR="00834875">
        <w:rPr>
          <w:lang w:val="fr-FR"/>
        </w:rPr>
        <w:t xml:space="preserve"> (p. 205-231)</w:t>
      </w:r>
      <w:r w:rsidR="001E0F25">
        <w:rPr>
          <w:lang w:val="fr-FR"/>
        </w:rPr>
        <w:t>.</w:t>
      </w:r>
      <w:r w:rsidR="005C2E6A">
        <w:rPr>
          <w:lang w:val="fr-FR"/>
        </w:rPr>
        <w:t> </w:t>
      </w:r>
      <w:r w:rsidR="001E0F25">
        <w:rPr>
          <w:lang w:val="fr-FR"/>
        </w:rPr>
        <w:t xml:space="preserve">L’ensemble </w:t>
      </w:r>
      <w:r w:rsidR="0020365D">
        <w:rPr>
          <w:lang w:val="fr-FR"/>
        </w:rPr>
        <w:t xml:space="preserve">fournit </w:t>
      </w:r>
      <w:r w:rsidR="005C2E6A">
        <w:rPr>
          <w:lang w:val="fr-FR"/>
        </w:rPr>
        <w:t>une épaisseur historique au quotidien du prieuré de l’Artige en couvrant de nombreux aspects de la vie de la communauté et de ses dépendances, qu</w:t>
      </w:r>
      <w:r w:rsidR="005F0FD4">
        <w:rPr>
          <w:lang w:val="fr-FR"/>
        </w:rPr>
        <w:t xml:space="preserve">’il s’agisse </w:t>
      </w:r>
      <w:r w:rsidR="00D472BA">
        <w:rPr>
          <w:lang w:val="fr-FR"/>
        </w:rPr>
        <w:t>les prieurs et membres de l’ordre</w:t>
      </w:r>
      <w:r w:rsidR="00834875">
        <w:rPr>
          <w:lang w:val="fr-FR"/>
        </w:rPr>
        <w:t xml:space="preserve"> (p. 51-66)</w:t>
      </w:r>
      <w:r w:rsidR="00D472BA">
        <w:rPr>
          <w:lang w:val="fr-FR"/>
        </w:rPr>
        <w:t>, le complexe architectural</w:t>
      </w:r>
      <w:r w:rsidR="00104FA9">
        <w:rPr>
          <w:lang w:val="fr-FR"/>
        </w:rPr>
        <w:t xml:space="preserve"> et ses vestiges archéologiques </w:t>
      </w:r>
      <w:r w:rsidR="002618CF">
        <w:rPr>
          <w:lang w:val="fr-FR"/>
        </w:rPr>
        <w:t>(p. 67-86)</w:t>
      </w:r>
      <w:r w:rsidR="00104FA9">
        <w:rPr>
          <w:lang w:val="fr-FR"/>
        </w:rPr>
        <w:t xml:space="preserve">, </w:t>
      </w:r>
      <w:r w:rsidR="001E0F25">
        <w:rPr>
          <w:lang w:val="fr-FR"/>
        </w:rPr>
        <w:t xml:space="preserve">ou encore </w:t>
      </w:r>
      <w:r w:rsidR="005C2E6A">
        <w:rPr>
          <w:lang w:val="fr-FR"/>
        </w:rPr>
        <w:t xml:space="preserve">son réseau </w:t>
      </w:r>
      <w:r w:rsidR="00D472BA">
        <w:rPr>
          <w:lang w:val="fr-FR"/>
        </w:rPr>
        <w:t>confraternel</w:t>
      </w:r>
      <w:r w:rsidR="00104FA9">
        <w:rPr>
          <w:lang w:val="fr-FR"/>
        </w:rPr>
        <w:t>.</w:t>
      </w:r>
      <w:r w:rsidR="002618CF">
        <w:rPr>
          <w:lang w:val="fr-FR"/>
        </w:rPr>
        <w:t xml:space="preserve"> Notons que l</w:t>
      </w:r>
      <w:r w:rsidR="000E5A17">
        <w:rPr>
          <w:lang w:val="fr-FR"/>
        </w:rPr>
        <w:t xml:space="preserve">’édition ne suit pas les règles éditoriales utilisées par la collection </w:t>
      </w:r>
      <w:r w:rsidR="007C2591">
        <w:rPr>
          <w:lang w:val="fr-FR"/>
        </w:rPr>
        <w:t>(p.</w:t>
      </w:r>
      <w:r w:rsidR="002C6844">
        <w:rPr>
          <w:lang w:val="fr-FR"/>
        </w:rPr>
        <w:t> </w:t>
      </w:r>
      <w:r w:rsidR="007C2591">
        <w:rPr>
          <w:lang w:val="fr-FR"/>
        </w:rPr>
        <w:t>88)</w:t>
      </w:r>
      <w:r w:rsidR="001E0F25">
        <w:rPr>
          <w:lang w:val="fr-FR"/>
        </w:rPr>
        <w:t>,</w:t>
      </w:r>
      <w:r w:rsidR="007C2591">
        <w:rPr>
          <w:lang w:val="fr-FR"/>
        </w:rPr>
        <w:t xml:space="preserve"> </w:t>
      </w:r>
      <w:r w:rsidR="000E5A17">
        <w:rPr>
          <w:lang w:val="fr-FR"/>
        </w:rPr>
        <w:t>étant donné qu</w:t>
      </w:r>
      <w:r w:rsidR="002C6844">
        <w:rPr>
          <w:lang w:val="fr-FR"/>
        </w:rPr>
        <w:t>e le nécrologe de l’Artige</w:t>
      </w:r>
      <w:r w:rsidR="002C6844" w:rsidRPr="000E5A17">
        <w:rPr>
          <w:lang w:val="fr-FR"/>
        </w:rPr>
        <w:t xml:space="preserve"> </w:t>
      </w:r>
      <w:r w:rsidR="000E5A17">
        <w:rPr>
          <w:lang w:val="fr-FR"/>
        </w:rPr>
        <w:t>est</w:t>
      </w:r>
      <w:r w:rsidR="002618CF">
        <w:rPr>
          <w:lang w:val="fr-FR"/>
        </w:rPr>
        <w:t xml:space="preserve"> </w:t>
      </w:r>
      <w:r w:rsidR="000E5A17">
        <w:rPr>
          <w:lang w:val="fr-FR"/>
        </w:rPr>
        <w:t xml:space="preserve">uniquement connu par </w:t>
      </w:r>
      <w:r w:rsidR="007C2591">
        <w:rPr>
          <w:lang w:val="fr-FR"/>
        </w:rPr>
        <w:t xml:space="preserve">trois copies modernes (p. 30-44). Les deux premières copies, </w:t>
      </w:r>
      <w:r w:rsidR="006B2F95">
        <w:rPr>
          <w:lang w:val="fr-FR"/>
        </w:rPr>
        <w:t>effectuées</w:t>
      </w:r>
      <w:r w:rsidR="007C2591">
        <w:rPr>
          <w:lang w:val="fr-FR"/>
        </w:rPr>
        <w:t xml:space="preserve"> au 17</w:t>
      </w:r>
      <w:r w:rsidR="007C2591" w:rsidRPr="007C2591">
        <w:rPr>
          <w:vertAlign w:val="superscript"/>
          <w:lang w:val="fr-FR"/>
        </w:rPr>
        <w:t>e</w:t>
      </w:r>
      <w:r w:rsidR="007C2591">
        <w:rPr>
          <w:lang w:val="fr-FR"/>
        </w:rPr>
        <w:t xml:space="preserve"> s. par le chanoine Léonard </w:t>
      </w:r>
      <w:r w:rsidR="007C2591" w:rsidRPr="001D7330">
        <w:rPr>
          <w:smallCaps/>
          <w:lang w:val="la-Latn"/>
        </w:rPr>
        <w:t>Bandel</w:t>
      </w:r>
      <w:r w:rsidR="007C2591" w:rsidRPr="001D7330">
        <w:rPr>
          <w:lang w:val="la-Latn"/>
        </w:rPr>
        <w:t xml:space="preserve"> et </w:t>
      </w:r>
      <w:r w:rsidR="005C46C4">
        <w:rPr>
          <w:lang w:val="fr-FR"/>
        </w:rPr>
        <w:t xml:space="preserve">le mauriste </w:t>
      </w:r>
      <w:r w:rsidR="007C2591" w:rsidRPr="001D7330">
        <w:rPr>
          <w:lang w:val="la-Latn"/>
        </w:rPr>
        <w:t xml:space="preserve">dom Claude </w:t>
      </w:r>
      <w:r w:rsidR="007C2591" w:rsidRPr="001D7330">
        <w:rPr>
          <w:smallCaps/>
          <w:lang w:val="la-Latn"/>
        </w:rPr>
        <w:t>Estiennot</w:t>
      </w:r>
      <w:r w:rsidR="001D7330" w:rsidRPr="001D7330">
        <w:rPr>
          <w:lang w:val="la-Latn"/>
        </w:rPr>
        <w:t>, sont</w:t>
      </w:r>
      <w:r w:rsidR="001D7330">
        <w:rPr>
          <w:lang w:val="fr-FR"/>
        </w:rPr>
        <w:t xml:space="preserve"> partielles</w:t>
      </w:r>
      <w:r w:rsidR="008D1BBC">
        <w:rPr>
          <w:lang w:val="fr-FR"/>
        </w:rPr>
        <w:t>. A</w:t>
      </w:r>
      <w:r w:rsidR="001D7330">
        <w:rPr>
          <w:lang w:val="fr-FR"/>
        </w:rPr>
        <w:t>u 18</w:t>
      </w:r>
      <w:r w:rsidR="001D7330" w:rsidRPr="001D7330">
        <w:rPr>
          <w:vertAlign w:val="superscript"/>
          <w:lang w:val="fr-FR"/>
        </w:rPr>
        <w:t>e</w:t>
      </w:r>
      <w:r w:rsidR="001D7330">
        <w:rPr>
          <w:lang w:val="fr-FR"/>
        </w:rPr>
        <w:t xml:space="preserve"> s., Martial </w:t>
      </w:r>
      <w:r w:rsidR="001D7330" w:rsidRPr="001D7330">
        <w:rPr>
          <w:smallCaps/>
          <w:lang w:val="fr-FR"/>
        </w:rPr>
        <w:t>Legros</w:t>
      </w:r>
      <w:r w:rsidR="001D7330" w:rsidRPr="001D7330">
        <w:rPr>
          <w:lang w:val="fr-FR"/>
        </w:rPr>
        <w:t xml:space="preserve"> </w:t>
      </w:r>
      <w:r w:rsidR="008D1BBC">
        <w:rPr>
          <w:lang w:val="fr-FR"/>
        </w:rPr>
        <w:t>assure</w:t>
      </w:r>
      <w:r w:rsidR="001D7330" w:rsidRPr="001D7330">
        <w:rPr>
          <w:lang w:val="fr-FR"/>
        </w:rPr>
        <w:t xml:space="preserve"> </w:t>
      </w:r>
      <w:r w:rsidR="008D1BBC">
        <w:rPr>
          <w:lang w:val="fr-FR"/>
        </w:rPr>
        <w:t>à son tour</w:t>
      </w:r>
      <w:r w:rsidR="001D7330" w:rsidRPr="001D7330">
        <w:rPr>
          <w:lang w:val="fr-FR"/>
        </w:rPr>
        <w:t xml:space="preserve"> une copie</w:t>
      </w:r>
      <w:r w:rsidR="001D7330">
        <w:rPr>
          <w:smallCaps/>
          <w:lang w:val="fr-FR"/>
        </w:rPr>
        <w:t xml:space="preserve"> </w:t>
      </w:r>
      <w:r w:rsidR="001D7330" w:rsidRPr="001D7330">
        <w:rPr>
          <w:lang w:val="fr-FR"/>
        </w:rPr>
        <w:t>peu ou prou</w:t>
      </w:r>
      <w:r w:rsidR="001D7330">
        <w:rPr>
          <w:lang w:val="fr-FR"/>
        </w:rPr>
        <w:t xml:space="preserve"> complète. </w:t>
      </w:r>
      <w:r w:rsidR="008D1BBC">
        <w:rPr>
          <w:lang w:val="fr-FR"/>
        </w:rPr>
        <w:t xml:space="preserve">Malgré ces trois copies successives, </w:t>
      </w:r>
      <w:r w:rsidR="001D7330">
        <w:rPr>
          <w:lang w:val="fr-FR"/>
        </w:rPr>
        <w:t xml:space="preserve">les entrées </w:t>
      </w:r>
      <w:r w:rsidR="006B2F95">
        <w:rPr>
          <w:lang w:val="fr-FR"/>
        </w:rPr>
        <w:t xml:space="preserve">comprises entre le 15 novembre et le 24 décembre sont aujourd’hui perdues. </w:t>
      </w:r>
      <w:r w:rsidR="008D1BBC">
        <w:rPr>
          <w:lang w:val="fr-FR"/>
        </w:rPr>
        <w:t>Pour cette édition, le choix des éditeurs s’est naturellement porté sur la copie de M. Legros</w:t>
      </w:r>
      <w:r w:rsidR="00E5587D">
        <w:rPr>
          <w:lang w:val="fr-FR"/>
        </w:rPr>
        <w:t xml:space="preserve">, suppléée au besoin par celle de L. </w:t>
      </w:r>
      <w:r w:rsidR="00E5587D" w:rsidRPr="00E5587D">
        <w:rPr>
          <w:lang w:val="la-Latn"/>
        </w:rPr>
        <w:t>Bandel</w:t>
      </w:r>
      <w:r w:rsidR="00E5587D">
        <w:rPr>
          <w:lang w:val="fr-FR"/>
        </w:rPr>
        <w:t>.</w:t>
      </w:r>
    </w:p>
    <w:p w14:paraId="68522129" w14:textId="0ED7B2F1" w:rsidR="00FE3068" w:rsidRPr="009075F7" w:rsidRDefault="00420E07" w:rsidP="0020365D">
      <w:pPr>
        <w:rPr>
          <w:lang w:val="fr-FR"/>
        </w:rPr>
      </w:pPr>
      <w:r>
        <w:rPr>
          <w:lang w:val="fr-FR"/>
        </w:rPr>
        <w:t>En guise d’annexe, J.-L. Lemaître propose une édition du terrier des anniversaires</w:t>
      </w:r>
      <w:r w:rsidR="001548C3">
        <w:rPr>
          <w:lang w:val="fr-FR"/>
        </w:rPr>
        <w:t xml:space="preserve"> des </w:t>
      </w:r>
      <w:r>
        <w:rPr>
          <w:lang w:val="fr-FR"/>
        </w:rPr>
        <w:t>chanoines réguliers d’Aureil</w:t>
      </w:r>
      <w:r w:rsidR="001548C3">
        <w:rPr>
          <w:lang w:val="fr-FR"/>
        </w:rPr>
        <w:t xml:space="preserve"> (p. 163-</w:t>
      </w:r>
      <w:r w:rsidR="00BE180F">
        <w:rPr>
          <w:lang w:val="fr-FR"/>
        </w:rPr>
        <w:t>177)</w:t>
      </w:r>
      <w:r>
        <w:rPr>
          <w:lang w:val="fr-FR"/>
        </w:rPr>
        <w:t xml:space="preserve">, </w:t>
      </w:r>
      <w:r w:rsidR="001548C3">
        <w:rPr>
          <w:lang w:val="fr-FR"/>
        </w:rPr>
        <w:t xml:space="preserve">invitant </w:t>
      </w:r>
      <w:r w:rsidR="00E5587D">
        <w:rPr>
          <w:lang w:val="fr-FR"/>
        </w:rPr>
        <w:t>donc</w:t>
      </w:r>
      <w:r w:rsidR="001548C3">
        <w:rPr>
          <w:lang w:val="fr-FR"/>
        </w:rPr>
        <w:t xml:space="preserve"> à la comparaison avec le prieuré d</w:t>
      </w:r>
      <w:r w:rsidR="00BE180F">
        <w:rPr>
          <w:lang w:val="fr-FR"/>
        </w:rPr>
        <w:t xml:space="preserve">e </w:t>
      </w:r>
      <w:r w:rsidR="00BE180F">
        <w:rPr>
          <w:lang w:val="fr-FR"/>
        </w:rPr>
        <w:lastRenderedPageBreak/>
        <w:t>l</w:t>
      </w:r>
      <w:r w:rsidR="001548C3">
        <w:rPr>
          <w:lang w:val="fr-FR"/>
        </w:rPr>
        <w:t>’Artige. De plus, C. Andrault-Schmitt élargit l</w:t>
      </w:r>
      <w:r w:rsidR="00900DAB">
        <w:rPr>
          <w:lang w:val="fr-FR"/>
        </w:rPr>
        <w:t xml:space="preserve">e rapprochement </w:t>
      </w:r>
      <w:r w:rsidR="001548C3">
        <w:rPr>
          <w:lang w:val="fr-FR"/>
        </w:rPr>
        <w:t>en rédigeant une note sur l’église d’Aureil</w:t>
      </w:r>
      <w:r w:rsidR="00BE180F">
        <w:rPr>
          <w:lang w:val="fr-FR"/>
        </w:rPr>
        <w:t xml:space="preserve"> (p. 156-161), </w:t>
      </w:r>
      <w:r w:rsidR="005F0FD4">
        <w:rPr>
          <w:lang w:val="fr-FR"/>
        </w:rPr>
        <w:t xml:space="preserve">agrémentée </w:t>
      </w:r>
      <w:r w:rsidR="00A47E1C">
        <w:rPr>
          <w:lang w:val="fr-FR"/>
        </w:rPr>
        <w:t xml:space="preserve">également </w:t>
      </w:r>
      <w:r w:rsidR="005F0FD4">
        <w:rPr>
          <w:lang w:val="fr-FR"/>
        </w:rPr>
        <w:t>de</w:t>
      </w:r>
      <w:r w:rsidR="00BE180F">
        <w:rPr>
          <w:lang w:val="fr-FR"/>
        </w:rPr>
        <w:t xml:space="preserve"> clichés des vestiges conservés</w:t>
      </w:r>
      <w:r w:rsidR="00FE3068">
        <w:rPr>
          <w:lang w:val="fr-FR"/>
        </w:rPr>
        <w:t xml:space="preserve"> des deux </w:t>
      </w:r>
      <w:r w:rsidR="00F65598">
        <w:rPr>
          <w:lang w:val="fr-FR"/>
        </w:rPr>
        <w:t>établissements</w:t>
      </w:r>
      <w:r w:rsidR="00FE3068">
        <w:rPr>
          <w:lang w:val="fr-FR"/>
        </w:rPr>
        <w:t>. Si le grand intérêt des documents nécrologiques du Limousin</w:t>
      </w:r>
      <w:r w:rsidR="00F65598">
        <w:rPr>
          <w:lang w:val="fr-FR"/>
        </w:rPr>
        <w:t>,</w:t>
      </w:r>
      <w:r w:rsidR="00F65598" w:rsidRPr="00F65598">
        <w:rPr>
          <w:lang w:val="fr-FR"/>
        </w:rPr>
        <w:t xml:space="preserve"> </w:t>
      </w:r>
      <w:r w:rsidR="00F65598">
        <w:rPr>
          <w:lang w:val="fr-FR"/>
        </w:rPr>
        <w:t xml:space="preserve">au demeurant maillé de fondations canoniales, n’est plus à montrer, la publication du nécrologe de l’Artige </w:t>
      </w:r>
      <w:r w:rsidR="0020365D">
        <w:rPr>
          <w:lang w:val="fr-FR"/>
        </w:rPr>
        <w:t>épaulera</w:t>
      </w:r>
      <w:r w:rsidR="00F65598">
        <w:rPr>
          <w:lang w:val="fr-FR"/>
        </w:rPr>
        <w:t xml:space="preserve"> de belles études à venir.</w:t>
      </w:r>
    </w:p>
    <w:p w14:paraId="1D1FDE6F" w14:textId="77777777" w:rsidR="0020365D" w:rsidRPr="009075F7" w:rsidRDefault="0020365D">
      <w:pPr>
        <w:rPr>
          <w:lang w:val="fr-FR"/>
        </w:rPr>
      </w:pPr>
    </w:p>
    <w:sectPr w:rsidR="0020365D" w:rsidRPr="009075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75F7"/>
    <w:rsid w:val="0008752D"/>
    <w:rsid w:val="000E5A17"/>
    <w:rsid w:val="000F6075"/>
    <w:rsid w:val="000F639C"/>
    <w:rsid w:val="00104FA9"/>
    <w:rsid w:val="001548C3"/>
    <w:rsid w:val="00156971"/>
    <w:rsid w:val="001A1481"/>
    <w:rsid w:val="001D7330"/>
    <w:rsid w:val="001E0F25"/>
    <w:rsid w:val="00201AC3"/>
    <w:rsid w:val="0020365D"/>
    <w:rsid w:val="002618CF"/>
    <w:rsid w:val="00276D17"/>
    <w:rsid w:val="002C6844"/>
    <w:rsid w:val="00330EB0"/>
    <w:rsid w:val="003B0BAE"/>
    <w:rsid w:val="00420E07"/>
    <w:rsid w:val="005C2E6A"/>
    <w:rsid w:val="005C46C4"/>
    <w:rsid w:val="005F0FD4"/>
    <w:rsid w:val="005F33BE"/>
    <w:rsid w:val="00663603"/>
    <w:rsid w:val="006B2F95"/>
    <w:rsid w:val="00704E92"/>
    <w:rsid w:val="007C2591"/>
    <w:rsid w:val="00834875"/>
    <w:rsid w:val="008D1BBC"/>
    <w:rsid w:val="008D7120"/>
    <w:rsid w:val="008F1C70"/>
    <w:rsid w:val="00900DAB"/>
    <w:rsid w:val="009075F7"/>
    <w:rsid w:val="00916EF8"/>
    <w:rsid w:val="00933204"/>
    <w:rsid w:val="00997633"/>
    <w:rsid w:val="009F1F7C"/>
    <w:rsid w:val="009F4A55"/>
    <w:rsid w:val="00A02DB6"/>
    <w:rsid w:val="00A2215F"/>
    <w:rsid w:val="00A47E1C"/>
    <w:rsid w:val="00A63577"/>
    <w:rsid w:val="00A97D57"/>
    <w:rsid w:val="00AE6ED2"/>
    <w:rsid w:val="00B6634E"/>
    <w:rsid w:val="00B834A0"/>
    <w:rsid w:val="00B97F04"/>
    <w:rsid w:val="00BB0EB6"/>
    <w:rsid w:val="00BC2EDF"/>
    <w:rsid w:val="00BE180F"/>
    <w:rsid w:val="00C222FC"/>
    <w:rsid w:val="00C57835"/>
    <w:rsid w:val="00CA1416"/>
    <w:rsid w:val="00CD31F7"/>
    <w:rsid w:val="00D472BA"/>
    <w:rsid w:val="00D6142A"/>
    <w:rsid w:val="00D708C1"/>
    <w:rsid w:val="00E5587D"/>
    <w:rsid w:val="00E56F3F"/>
    <w:rsid w:val="00EA5A24"/>
    <w:rsid w:val="00F26444"/>
    <w:rsid w:val="00F53BBF"/>
    <w:rsid w:val="00F65598"/>
    <w:rsid w:val="00F77181"/>
    <w:rsid w:val="00FE3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E03D1B"/>
  <w15:chartTrackingRefBased/>
  <w15:docId w15:val="{CF386B20-41F7-486D-ABAC-C1F584F557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3BBF"/>
    <w:pPr>
      <w:spacing w:after="0" w:line="360" w:lineRule="auto"/>
      <w:ind w:firstLine="709"/>
      <w:jc w:val="both"/>
    </w:pPr>
    <w:rPr>
      <w:rFonts w:ascii="Times New Roman" w:hAnsi="Times New Roman"/>
      <w:sz w:val="24"/>
    </w:rPr>
  </w:style>
  <w:style w:type="paragraph" w:styleId="Titre1">
    <w:name w:val="heading 1"/>
    <w:basedOn w:val="Normal"/>
    <w:next w:val="Normal"/>
    <w:link w:val="Titre1Car"/>
    <w:uiPriority w:val="9"/>
    <w:qFormat/>
    <w:rsid w:val="00F53BBF"/>
    <w:pPr>
      <w:keepNext/>
      <w:keepLines/>
      <w:spacing w:before="240" w:after="240"/>
      <w:ind w:firstLine="0"/>
      <w:outlineLvl w:val="0"/>
    </w:pPr>
    <w:rPr>
      <w:rFonts w:eastAsiaTheme="majorEastAsia" w:cstheme="majorBidi"/>
      <w:b/>
      <w:sz w:val="28"/>
      <w:szCs w:val="32"/>
    </w:rPr>
  </w:style>
  <w:style w:type="paragraph" w:styleId="Titre2">
    <w:name w:val="heading 2"/>
    <w:basedOn w:val="Titre1"/>
    <w:next w:val="Normal"/>
    <w:link w:val="Titre2Car"/>
    <w:uiPriority w:val="9"/>
    <w:qFormat/>
    <w:rsid w:val="00F53BBF"/>
    <w:pPr>
      <w:spacing w:before="120" w:after="120"/>
      <w:ind w:left="709"/>
      <w:outlineLvl w:val="1"/>
    </w:pPr>
    <w:rPr>
      <w:b w:val="0"/>
      <w:i/>
      <w:sz w:val="24"/>
      <w:szCs w:val="26"/>
    </w:rPr>
  </w:style>
  <w:style w:type="paragraph" w:styleId="Titre3">
    <w:name w:val="heading 3"/>
    <w:basedOn w:val="Titre2"/>
    <w:next w:val="Normal"/>
    <w:link w:val="Titre3Car"/>
    <w:uiPriority w:val="9"/>
    <w:unhideWhenUsed/>
    <w:qFormat/>
    <w:rsid w:val="00F53BBF"/>
    <w:pPr>
      <w:spacing w:before="40"/>
      <w:outlineLvl w:val="2"/>
    </w:pPr>
    <w:rPr>
      <w:i w:val="0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basedOn w:val="Normal"/>
    <w:link w:val="SansinterligneCar"/>
    <w:uiPriority w:val="1"/>
    <w:unhideWhenUsed/>
    <w:qFormat/>
    <w:rsid w:val="00F53BBF"/>
    <w:pPr>
      <w:spacing w:line="240" w:lineRule="auto"/>
    </w:pPr>
    <w:rPr>
      <w:rFonts w:eastAsiaTheme="minorEastAsia"/>
      <w:lang w:eastAsia="fr-BE"/>
    </w:rPr>
  </w:style>
  <w:style w:type="character" w:customStyle="1" w:styleId="SansinterligneCar">
    <w:name w:val="Sans interligne Car"/>
    <w:basedOn w:val="Policepardfaut"/>
    <w:link w:val="Sansinterligne"/>
    <w:uiPriority w:val="1"/>
    <w:rsid w:val="00F53BBF"/>
    <w:rPr>
      <w:rFonts w:ascii="Times New Roman" w:eastAsiaTheme="minorEastAsia" w:hAnsi="Times New Roman"/>
      <w:sz w:val="24"/>
      <w:lang w:eastAsia="fr-BE"/>
    </w:rPr>
  </w:style>
  <w:style w:type="character" w:customStyle="1" w:styleId="Titre2Car">
    <w:name w:val="Titre 2 Car"/>
    <w:basedOn w:val="Policepardfaut"/>
    <w:link w:val="Titre2"/>
    <w:uiPriority w:val="9"/>
    <w:rsid w:val="00F53BBF"/>
    <w:rPr>
      <w:rFonts w:ascii="Times New Roman" w:eastAsiaTheme="majorEastAsia" w:hAnsi="Times New Roman" w:cstheme="majorBidi"/>
      <w:i/>
      <w:sz w:val="24"/>
      <w:szCs w:val="26"/>
    </w:rPr>
  </w:style>
  <w:style w:type="character" w:customStyle="1" w:styleId="Titre1Car">
    <w:name w:val="Titre 1 Car"/>
    <w:basedOn w:val="Policepardfaut"/>
    <w:link w:val="Titre1"/>
    <w:uiPriority w:val="9"/>
    <w:rsid w:val="00F53BBF"/>
    <w:rPr>
      <w:rFonts w:ascii="Times New Roman" w:eastAsiaTheme="majorEastAsia" w:hAnsi="Times New Roman" w:cstheme="majorBidi"/>
      <w:b/>
      <w:sz w:val="28"/>
      <w:szCs w:val="32"/>
    </w:rPr>
  </w:style>
  <w:style w:type="paragraph" w:styleId="Titre">
    <w:name w:val="Title"/>
    <w:basedOn w:val="Normal"/>
    <w:next w:val="Normal"/>
    <w:link w:val="TitreCar"/>
    <w:uiPriority w:val="10"/>
    <w:qFormat/>
    <w:rsid w:val="00BB0EB6"/>
    <w:pPr>
      <w:spacing w:after="240"/>
      <w:ind w:firstLine="0"/>
      <w:contextualSpacing/>
      <w:jc w:val="center"/>
    </w:pPr>
    <w:rPr>
      <w:rFonts w:eastAsiaTheme="majorEastAsia" w:cstheme="majorBidi"/>
      <w:b/>
      <w:spacing w:val="-10"/>
      <w:kern w:val="28"/>
      <w:sz w:val="3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BB0EB6"/>
    <w:rPr>
      <w:rFonts w:ascii="Times New Roman" w:eastAsiaTheme="majorEastAsia" w:hAnsi="Times New Roman" w:cstheme="majorBidi"/>
      <w:b/>
      <w:spacing w:val="-10"/>
      <w:kern w:val="28"/>
      <w:sz w:val="36"/>
      <w:szCs w:val="56"/>
    </w:rPr>
  </w:style>
  <w:style w:type="paragraph" w:styleId="Notedebasdepage">
    <w:name w:val="footnote text"/>
    <w:basedOn w:val="Normal"/>
    <w:link w:val="NotedebasdepageCar"/>
    <w:uiPriority w:val="99"/>
    <w:rsid w:val="00F53BBF"/>
    <w:pPr>
      <w:spacing w:line="240" w:lineRule="auto"/>
      <w:ind w:firstLine="0"/>
      <w:contextualSpacing/>
    </w:pPr>
    <w:rPr>
      <w:spacing w:val="2"/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F53BBF"/>
    <w:rPr>
      <w:rFonts w:ascii="Times New Roman" w:hAnsi="Times New Roman"/>
      <w:spacing w:val="2"/>
      <w:sz w:val="20"/>
      <w:szCs w:val="20"/>
    </w:rPr>
  </w:style>
  <w:style w:type="paragraph" w:styleId="En-tte">
    <w:name w:val="header"/>
    <w:basedOn w:val="Normal"/>
    <w:link w:val="En-tteCar"/>
    <w:uiPriority w:val="99"/>
    <w:unhideWhenUsed/>
    <w:rsid w:val="00F53BBF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53BBF"/>
    <w:rPr>
      <w:rFonts w:ascii="Times New Roman" w:hAnsi="Times New Roman"/>
      <w:sz w:val="24"/>
    </w:rPr>
  </w:style>
  <w:style w:type="paragraph" w:styleId="Pieddepage">
    <w:name w:val="footer"/>
    <w:basedOn w:val="Normal"/>
    <w:link w:val="PieddepageCar"/>
    <w:uiPriority w:val="99"/>
    <w:rsid w:val="00F53BBF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53BBF"/>
    <w:rPr>
      <w:rFonts w:ascii="Times New Roman" w:hAnsi="Times New Roman"/>
      <w:sz w:val="24"/>
    </w:rPr>
  </w:style>
  <w:style w:type="character" w:styleId="Appelnotedebasdep">
    <w:name w:val="footnote reference"/>
    <w:basedOn w:val="Policepardfaut"/>
    <w:uiPriority w:val="99"/>
    <w:semiHidden/>
    <w:unhideWhenUsed/>
    <w:rsid w:val="00F53BBF"/>
    <w:rPr>
      <w:vertAlign w:val="superscript"/>
    </w:rPr>
  </w:style>
  <w:style w:type="paragraph" w:styleId="Paragraphedeliste">
    <w:name w:val="List Paragraph"/>
    <w:basedOn w:val="Normal"/>
    <w:uiPriority w:val="34"/>
    <w:unhideWhenUsed/>
    <w:qFormat/>
    <w:rsid w:val="00F53BBF"/>
    <w:pPr>
      <w:ind w:left="720"/>
      <w:contextualSpacing/>
    </w:pPr>
  </w:style>
  <w:style w:type="paragraph" w:styleId="Citation">
    <w:name w:val="Quote"/>
    <w:basedOn w:val="Normal"/>
    <w:next w:val="Normal"/>
    <w:link w:val="CitationCar"/>
    <w:uiPriority w:val="29"/>
    <w:qFormat/>
    <w:rsid w:val="00BC2EDF"/>
    <w:pPr>
      <w:spacing w:after="120" w:line="240" w:lineRule="auto"/>
      <w:ind w:left="709" w:firstLine="0"/>
      <w:contextualSpacing/>
      <w:textboxTightWrap w:val="firstAndLastLine"/>
    </w:pPr>
    <w:rPr>
      <w:i/>
      <w:iCs/>
    </w:rPr>
  </w:style>
  <w:style w:type="character" w:customStyle="1" w:styleId="CitationCar">
    <w:name w:val="Citation Car"/>
    <w:basedOn w:val="Policepardfaut"/>
    <w:link w:val="Citation"/>
    <w:uiPriority w:val="29"/>
    <w:rsid w:val="00BC2EDF"/>
    <w:rPr>
      <w:rFonts w:ascii="Times New Roman" w:hAnsi="Times New Roman"/>
      <w:i/>
      <w:iCs/>
      <w:sz w:val="24"/>
    </w:rPr>
  </w:style>
  <w:style w:type="character" w:customStyle="1" w:styleId="Titre3Car">
    <w:name w:val="Titre 3 Car"/>
    <w:basedOn w:val="Policepardfaut"/>
    <w:link w:val="Titre3"/>
    <w:uiPriority w:val="9"/>
    <w:rsid w:val="00F53BBF"/>
    <w:rPr>
      <w:rFonts w:ascii="Times New Roman" w:eastAsiaTheme="majorEastAsia" w:hAnsi="Times New Roman" w:cstheme="majorBidi"/>
      <w:sz w:val="24"/>
      <w:szCs w:val="24"/>
    </w:rPr>
  </w:style>
  <w:style w:type="paragraph" w:styleId="Corpsdetexte">
    <w:name w:val="Body Text"/>
    <w:basedOn w:val="Normal"/>
    <w:link w:val="CorpsdetexteCar"/>
    <w:uiPriority w:val="99"/>
    <w:semiHidden/>
    <w:unhideWhenUsed/>
    <w:rsid w:val="001A1481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semiHidden/>
    <w:rsid w:val="001A1481"/>
    <w:rPr>
      <w:rFonts w:ascii="Times New Roman" w:hAnsi="Times New Roman"/>
      <w:sz w:val="24"/>
    </w:rPr>
  </w:style>
  <w:style w:type="paragraph" w:styleId="Retrait1religne">
    <w:name w:val="Body Text First Indent"/>
    <w:basedOn w:val="Corpsdetexte"/>
    <w:link w:val="Retrait1religneCar"/>
    <w:uiPriority w:val="99"/>
    <w:unhideWhenUsed/>
    <w:rsid w:val="001A1481"/>
    <w:pPr>
      <w:spacing w:after="0"/>
      <w:ind w:firstLine="360"/>
    </w:pPr>
  </w:style>
  <w:style w:type="character" w:customStyle="1" w:styleId="Retrait1religneCar">
    <w:name w:val="Retrait 1re ligne Car"/>
    <w:basedOn w:val="CorpsdetexteCar"/>
    <w:link w:val="Retrait1religne"/>
    <w:uiPriority w:val="99"/>
    <w:rsid w:val="001A1481"/>
    <w:rPr>
      <w:rFonts w:ascii="Times New Roman" w:hAnsi="Times New Roman"/>
      <w:sz w:val="24"/>
    </w:rPr>
  </w:style>
  <w:style w:type="character" w:styleId="Marquedecommentaire">
    <w:name w:val="annotation reference"/>
    <w:basedOn w:val="Policepardfaut"/>
    <w:uiPriority w:val="99"/>
    <w:semiHidden/>
    <w:unhideWhenUsed/>
    <w:rsid w:val="00E5587D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E5587D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E5587D"/>
    <w:rPr>
      <w:rFonts w:ascii="Times New Roman" w:hAnsi="Times New Roman"/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E5587D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E5587D"/>
    <w:rPr>
      <w:rFonts w:ascii="Times New Roman" w:hAnsi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469</TotalTime>
  <Pages>2</Pages>
  <Words>484</Words>
  <Characters>2665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Eléonore Venturelli</dc:creator>
  <cp:keywords/>
  <dc:description/>
  <cp:lastModifiedBy>Eléonore Venturelli</cp:lastModifiedBy>
  <cp:revision>9</cp:revision>
  <dcterms:created xsi:type="dcterms:W3CDTF">2022-01-09T10:09:00Z</dcterms:created>
  <dcterms:modified xsi:type="dcterms:W3CDTF">2022-01-18T16:22:00Z</dcterms:modified>
</cp:coreProperties>
</file>