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79AA45F" w14:textId="08AAE48E" w:rsidR="007E21BD" w:rsidRPr="007E21BD" w:rsidRDefault="007E21BD" w:rsidP="007E21BD">
      <w:pPr>
        <w:pStyle w:val="ListParagraph"/>
        <w:jc w:val="center"/>
        <w:rPr>
          <w:b/>
          <w:bCs/>
          <w:sz w:val="28"/>
          <w:szCs w:val="28"/>
          <w:lang w:val="fr-FR"/>
        </w:rPr>
      </w:pPr>
      <w:r w:rsidRPr="007E21BD">
        <w:rPr>
          <w:b/>
          <w:bCs/>
          <w:sz w:val="28"/>
          <w:szCs w:val="28"/>
          <w:lang w:val="fr-FR"/>
        </w:rPr>
        <w:t>L’article 2 TUE</w:t>
      </w:r>
      <w:r w:rsidR="00111093">
        <w:rPr>
          <w:b/>
          <w:bCs/>
          <w:sz w:val="28"/>
          <w:szCs w:val="28"/>
          <w:lang w:val="fr-FR"/>
        </w:rPr>
        <w:t xml:space="preserve"> comme</w:t>
      </w:r>
      <w:r w:rsidR="00EE19CC">
        <w:rPr>
          <w:b/>
          <w:bCs/>
          <w:sz w:val="28"/>
          <w:szCs w:val="28"/>
          <w:lang w:val="fr-FR"/>
        </w:rPr>
        <w:t xml:space="preserve"> </w:t>
      </w:r>
      <w:r w:rsidRPr="007E21BD">
        <w:rPr>
          <w:b/>
          <w:bCs/>
          <w:sz w:val="28"/>
          <w:szCs w:val="28"/>
          <w:lang w:val="fr-FR"/>
        </w:rPr>
        <w:t>norme à portée autonome</w:t>
      </w:r>
      <w:r w:rsidR="00111093">
        <w:rPr>
          <w:b/>
          <w:bCs/>
          <w:sz w:val="28"/>
          <w:szCs w:val="28"/>
          <w:lang w:val="fr-FR"/>
        </w:rPr>
        <w:t> : la</w:t>
      </w:r>
      <w:r w:rsidR="00EE19CC">
        <w:rPr>
          <w:b/>
          <w:bCs/>
          <w:sz w:val="28"/>
          <w:szCs w:val="28"/>
          <w:lang w:val="fr-FR"/>
        </w:rPr>
        <w:t xml:space="preserve"> </w:t>
      </w:r>
      <w:r w:rsidRPr="007E21BD">
        <w:rPr>
          <w:b/>
          <w:bCs/>
          <w:sz w:val="28"/>
          <w:szCs w:val="28"/>
          <w:lang w:val="fr-FR"/>
        </w:rPr>
        <w:t>consécration d’un colosse aux pieds d’argile ?</w:t>
      </w:r>
    </w:p>
    <w:p w14:paraId="39F8E1C1" w14:textId="77777777" w:rsidR="007E21BD" w:rsidRDefault="007E21BD" w:rsidP="00BB2519">
      <w:pPr>
        <w:pStyle w:val="ListParagraph"/>
        <w:jc w:val="center"/>
        <w:rPr>
          <w:lang w:val="fr-FR"/>
        </w:rPr>
      </w:pPr>
    </w:p>
    <w:p w14:paraId="71A6D476" w14:textId="1410A3BD" w:rsidR="00F6138E" w:rsidRDefault="00F6138E" w:rsidP="007E21BD">
      <w:pPr>
        <w:pStyle w:val="ListParagraph"/>
        <w:jc w:val="right"/>
        <w:rPr>
          <w:lang w:val="fr-FR"/>
        </w:rPr>
      </w:pPr>
      <w:r>
        <w:rPr>
          <w:lang w:val="fr-FR"/>
        </w:rPr>
        <w:t xml:space="preserve">Cecilia </w:t>
      </w:r>
      <w:proofErr w:type="spellStart"/>
      <w:r>
        <w:rPr>
          <w:lang w:val="fr-FR"/>
        </w:rPr>
        <w:t>Rizcallah</w:t>
      </w:r>
      <w:proofErr w:type="spellEnd"/>
      <w:r>
        <w:rPr>
          <w:lang w:val="fr-FR"/>
        </w:rPr>
        <w:t xml:space="preserve"> et Marie </w:t>
      </w:r>
      <w:proofErr w:type="spellStart"/>
      <w:r>
        <w:rPr>
          <w:lang w:val="fr-FR"/>
        </w:rPr>
        <w:t>Vanloocke</w:t>
      </w:r>
      <w:proofErr w:type="spellEnd"/>
      <w:r w:rsidR="003F4E66" w:rsidRPr="002F4DBF">
        <w:rPr>
          <w:rStyle w:val="FootnoteReference"/>
          <w:rFonts w:eastAsiaTheme="majorEastAsia"/>
        </w:rPr>
        <w:footnoteReference w:customMarkFollows="1" w:id="1"/>
        <w:t>*</w:t>
      </w:r>
    </w:p>
    <w:p w14:paraId="5BCCD5C5" w14:textId="77777777" w:rsidR="00F6138E" w:rsidRDefault="00F6138E" w:rsidP="00BF7D4D">
      <w:pPr>
        <w:pStyle w:val="ListParagraph"/>
        <w:jc w:val="both"/>
        <w:rPr>
          <w:lang w:val="fr-FR"/>
        </w:rPr>
      </w:pPr>
    </w:p>
    <w:p w14:paraId="2FBC6227" w14:textId="5DE928D6" w:rsidR="00E728F5" w:rsidRDefault="007E21BD" w:rsidP="00DC0163">
      <w:pPr>
        <w:pStyle w:val="ListParagraph"/>
        <w:numPr>
          <w:ilvl w:val="0"/>
          <w:numId w:val="7"/>
        </w:numPr>
        <w:jc w:val="both"/>
        <w:rPr>
          <w:lang w:val="fr-FR"/>
        </w:rPr>
      </w:pPr>
      <w:r w:rsidRPr="00EE19CC">
        <w:rPr>
          <w:szCs w:val="24"/>
          <w:lang w:val="fr-FR"/>
        </w:rPr>
        <w:t>Dans l’arrêt « Commission/Hongrie (Valeurs de l’Union) », la Cour a jugé que</w:t>
      </w:r>
      <w:r>
        <w:rPr>
          <w:lang w:val="fr-FR"/>
        </w:rPr>
        <w:t xml:space="preserve"> l</w:t>
      </w:r>
      <w:r w:rsidR="00E728F5">
        <w:rPr>
          <w:lang w:val="fr-FR"/>
        </w:rPr>
        <w:t>’article 2 TUE</w:t>
      </w:r>
      <w:r w:rsidR="00462E16">
        <w:rPr>
          <w:lang w:val="fr-FR"/>
        </w:rPr>
        <w:t>, qui protège les valeurs fondatrices de l’Union,</w:t>
      </w:r>
      <w:r w:rsidR="00E728F5">
        <w:rPr>
          <w:lang w:val="fr-FR"/>
        </w:rPr>
        <w:t xml:space="preserve"> dispose </w:t>
      </w:r>
      <w:r w:rsidR="00DD1788">
        <w:rPr>
          <w:lang w:val="fr-FR"/>
        </w:rPr>
        <w:t>d’une portée autonome et</w:t>
      </w:r>
      <w:r w:rsidR="00E728F5">
        <w:rPr>
          <w:lang w:val="fr-FR"/>
        </w:rPr>
        <w:t xml:space="preserve"> juridiquement contraignant</w:t>
      </w:r>
      <w:r w:rsidR="003A53B1">
        <w:rPr>
          <w:lang w:val="fr-FR"/>
        </w:rPr>
        <w:t>e</w:t>
      </w:r>
      <w:r w:rsidR="00E728F5">
        <w:rPr>
          <w:lang w:val="fr-FR"/>
        </w:rPr>
        <w:t>, de sorte qu’il peut seul constituer le fondement d’un recours en manquement, permettant de sanctionner des violations « manifestes et particulièrement graves » des valeurs de l’Union</w:t>
      </w:r>
    </w:p>
    <w:p w14:paraId="2AB64B84" w14:textId="2003D76A" w:rsidR="00C4625D" w:rsidRDefault="004916C3" w:rsidP="00DC0163">
      <w:pPr>
        <w:pStyle w:val="ListParagraph"/>
        <w:numPr>
          <w:ilvl w:val="0"/>
          <w:numId w:val="7"/>
        </w:numPr>
        <w:jc w:val="both"/>
        <w:rPr>
          <w:lang w:val="fr-FR"/>
        </w:rPr>
      </w:pPr>
      <w:r>
        <w:rPr>
          <w:lang w:val="fr-FR"/>
        </w:rPr>
        <w:t xml:space="preserve">Un </w:t>
      </w:r>
      <w:r w:rsidR="007A6551">
        <w:rPr>
          <w:lang w:val="fr-FR"/>
        </w:rPr>
        <w:t>État</w:t>
      </w:r>
      <w:r>
        <w:rPr>
          <w:lang w:val="fr-FR"/>
        </w:rPr>
        <w:t xml:space="preserve"> ne peut se prévaloir de son </w:t>
      </w:r>
      <w:r w:rsidR="00C4625D">
        <w:rPr>
          <w:lang w:val="fr-FR"/>
        </w:rPr>
        <w:t>identité nationale, au sens de l’article 4</w:t>
      </w:r>
      <w:r w:rsidR="007E21BD">
        <w:rPr>
          <w:lang w:val="fr-FR"/>
        </w:rPr>
        <w:t>, paragraphe</w:t>
      </w:r>
      <w:r w:rsidR="00111093">
        <w:rPr>
          <w:lang w:val="fr-FR"/>
        </w:rPr>
        <w:t> </w:t>
      </w:r>
      <w:r w:rsidR="00C4625D">
        <w:rPr>
          <w:lang w:val="fr-FR"/>
        </w:rPr>
        <w:t>2</w:t>
      </w:r>
      <w:r w:rsidR="007E21BD">
        <w:rPr>
          <w:lang w:val="fr-FR"/>
        </w:rPr>
        <w:t>,</w:t>
      </w:r>
      <w:r w:rsidR="00C4625D">
        <w:rPr>
          <w:lang w:val="fr-FR"/>
        </w:rPr>
        <w:t xml:space="preserve"> TUE, </w:t>
      </w:r>
      <w:r>
        <w:rPr>
          <w:lang w:val="fr-FR"/>
        </w:rPr>
        <w:t xml:space="preserve">d’une manière </w:t>
      </w:r>
      <w:r w:rsidR="007A6551">
        <w:rPr>
          <w:lang w:val="fr-FR"/>
        </w:rPr>
        <w:t>in</w:t>
      </w:r>
      <w:r>
        <w:rPr>
          <w:lang w:val="fr-FR"/>
        </w:rPr>
        <w:t xml:space="preserve">compatible avec </w:t>
      </w:r>
      <w:r w:rsidR="00C4625D">
        <w:rPr>
          <w:lang w:val="fr-FR"/>
        </w:rPr>
        <w:t>les valeurs de l’Union</w:t>
      </w:r>
    </w:p>
    <w:p w14:paraId="3A89CE70" w14:textId="20801BB5" w:rsidR="007946AD" w:rsidRPr="007F0486" w:rsidRDefault="007946AD" w:rsidP="00DC0163">
      <w:pPr>
        <w:pStyle w:val="ListParagraph"/>
        <w:numPr>
          <w:ilvl w:val="0"/>
          <w:numId w:val="7"/>
        </w:numPr>
        <w:jc w:val="both"/>
        <w:rPr>
          <w:lang w:val="fr-FR"/>
        </w:rPr>
      </w:pPr>
      <w:r>
        <w:rPr>
          <w:lang w:val="fr-FR"/>
        </w:rPr>
        <w:t>Les dispositions adoptées par la Hongrie afin de limiter, voire d’interdire, la diffusion de ‘contenu LGBT</w:t>
      </w:r>
      <w:r w:rsidR="00232E2F">
        <w:rPr>
          <w:lang w:val="fr-FR"/>
        </w:rPr>
        <w:t>Q+</w:t>
      </w:r>
      <w:r>
        <w:rPr>
          <w:lang w:val="fr-FR"/>
        </w:rPr>
        <w:t>’</w:t>
      </w:r>
      <w:r w:rsidR="007E21BD">
        <w:rPr>
          <w:lang w:val="fr-FR"/>
        </w:rPr>
        <w:t xml:space="preserve"> </w:t>
      </w:r>
      <w:r w:rsidR="004C366F">
        <w:rPr>
          <w:lang w:val="fr-FR"/>
        </w:rPr>
        <w:t>sont incompatibles avec les valeurs de l’Union</w:t>
      </w:r>
      <w:r>
        <w:rPr>
          <w:lang w:val="fr-FR"/>
        </w:rPr>
        <w:t xml:space="preserve"> </w:t>
      </w:r>
    </w:p>
    <w:p w14:paraId="4E44A819" w14:textId="1A3F4063" w:rsidR="0090644F" w:rsidRDefault="0090644F">
      <w:pPr>
        <w:pStyle w:val="Heading1"/>
        <w:numPr>
          <w:ilvl w:val="0"/>
          <w:numId w:val="0"/>
        </w:numPr>
        <w:rPr>
          <w:lang w:val="fr-FR"/>
        </w:rPr>
      </w:pPr>
      <w:r>
        <w:rPr>
          <w:lang w:val="fr-FR"/>
        </w:rPr>
        <w:t xml:space="preserve">Introduction </w:t>
      </w:r>
    </w:p>
    <w:p w14:paraId="08FD99B2" w14:textId="46F5BD02" w:rsidR="007C399B" w:rsidRDefault="00282E58" w:rsidP="0062475F">
      <w:pPr>
        <w:jc w:val="both"/>
        <w:rPr>
          <w:lang w:val="fr-FR"/>
        </w:rPr>
      </w:pPr>
      <w:r>
        <w:rPr>
          <w:lang w:val="fr-FR"/>
        </w:rPr>
        <w:t xml:space="preserve">Le 15 juin 2021, la Hongrie </w:t>
      </w:r>
      <w:r w:rsidR="00DB7FAC">
        <w:rPr>
          <w:lang w:val="fr-FR"/>
        </w:rPr>
        <w:t xml:space="preserve">a adopté </w:t>
      </w:r>
      <w:r w:rsidR="0062475F">
        <w:rPr>
          <w:lang w:val="fr-FR"/>
        </w:rPr>
        <w:t>la loi n° XXIX ‘introduisant des mesures plus sévères à l’encontre des délinquants pédophiles et modifiant certaines lois en vue de protéger les enfants’. Derrière l’objectif affiché de renforcer la protection des mineurs, celle-ci introduit</w:t>
      </w:r>
      <w:r w:rsidR="007C399B">
        <w:rPr>
          <w:lang w:val="fr-FR"/>
        </w:rPr>
        <w:t xml:space="preserve"> une interdiction générale de </w:t>
      </w:r>
      <w:r w:rsidR="009F7139">
        <w:rPr>
          <w:lang w:val="fr-FR"/>
        </w:rPr>
        <w:t>rendre accessible</w:t>
      </w:r>
      <w:r w:rsidR="007C399B">
        <w:rPr>
          <w:lang w:val="fr-FR"/>
        </w:rPr>
        <w:t xml:space="preserve"> </w:t>
      </w:r>
      <w:r w:rsidR="00031F7B">
        <w:rPr>
          <w:lang w:val="fr-FR"/>
        </w:rPr>
        <w:t>à</w:t>
      </w:r>
      <w:r w:rsidR="007C399B">
        <w:rPr>
          <w:lang w:val="fr-FR"/>
        </w:rPr>
        <w:t xml:space="preserve"> </w:t>
      </w:r>
      <w:r w:rsidR="00A3593E">
        <w:rPr>
          <w:lang w:val="fr-FR"/>
        </w:rPr>
        <w:t>ces derniers</w:t>
      </w:r>
      <w:r w:rsidR="007C399B">
        <w:rPr>
          <w:lang w:val="fr-FR"/>
        </w:rPr>
        <w:t xml:space="preserve"> tout contenu </w:t>
      </w:r>
      <w:r w:rsidR="003B2119">
        <w:rPr>
          <w:lang w:val="fr-FR"/>
        </w:rPr>
        <w:t xml:space="preserve">représentant ou </w:t>
      </w:r>
      <w:proofErr w:type="gramStart"/>
      <w:r w:rsidR="003B2119">
        <w:rPr>
          <w:lang w:val="fr-FR"/>
        </w:rPr>
        <w:t>promouvant</w:t>
      </w:r>
      <w:proofErr w:type="gramEnd"/>
      <w:r w:rsidR="003B2119">
        <w:rPr>
          <w:lang w:val="fr-FR"/>
        </w:rPr>
        <w:t xml:space="preserve"> </w:t>
      </w:r>
      <w:r w:rsidR="003B2119" w:rsidRPr="00C550EF">
        <w:t>« les identités de genre ne correspondant pas au sexe à la naissance, le changement de sexe ou l’homosexualité »</w:t>
      </w:r>
      <w:r w:rsidR="003B2119">
        <w:rPr>
          <w:lang w:val="fr-FR"/>
        </w:rPr>
        <w:t xml:space="preserve"> (</w:t>
      </w:r>
      <w:r w:rsidR="00DB7FAC">
        <w:rPr>
          <w:lang w:val="fr-FR"/>
        </w:rPr>
        <w:t>ci-après « </w:t>
      </w:r>
      <w:r w:rsidR="003B2119">
        <w:rPr>
          <w:lang w:val="fr-FR"/>
        </w:rPr>
        <w:t>contenu LGBT</w:t>
      </w:r>
      <w:r w:rsidR="00B018E7">
        <w:rPr>
          <w:lang w:val="fr-FR"/>
        </w:rPr>
        <w:t>Q+</w:t>
      </w:r>
      <w:r w:rsidR="00DB7FAC">
        <w:rPr>
          <w:lang w:val="fr-FR"/>
        </w:rPr>
        <w:t> »</w:t>
      </w:r>
      <w:r w:rsidR="003B2119">
        <w:rPr>
          <w:lang w:val="fr-FR"/>
        </w:rPr>
        <w:t>)</w:t>
      </w:r>
      <w:r w:rsidR="001E6163">
        <w:rPr>
          <w:lang w:val="fr-FR"/>
        </w:rPr>
        <w:t xml:space="preserve">. S’y ajoute </w:t>
      </w:r>
      <w:r w:rsidR="003B2119">
        <w:rPr>
          <w:lang w:val="fr-FR"/>
        </w:rPr>
        <w:t xml:space="preserve">une série de modifications </w:t>
      </w:r>
      <w:r w:rsidR="00031F7B">
        <w:rPr>
          <w:lang w:val="fr-FR"/>
        </w:rPr>
        <w:t>en droit hongrois</w:t>
      </w:r>
      <w:r w:rsidR="003B2119">
        <w:rPr>
          <w:lang w:val="fr-FR"/>
        </w:rPr>
        <w:t xml:space="preserve"> </w:t>
      </w:r>
      <w:r w:rsidR="00753679">
        <w:rPr>
          <w:lang w:val="fr-FR"/>
        </w:rPr>
        <w:t>en matière de protection de l’enfance, d’éducation, de médias…</w:t>
      </w:r>
      <w:r w:rsidR="00E560BD">
        <w:rPr>
          <w:lang w:val="fr-FR"/>
        </w:rPr>
        <w:t>,</w:t>
      </w:r>
      <w:r w:rsidR="00753679">
        <w:rPr>
          <w:lang w:val="fr-FR"/>
        </w:rPr>
        <w:t xml:space="preserve"> </w:t>
      </w:r>
      <w:r w:rsidR="001E6163">
        <w:rPr>
          <w:lang w:val="fr-FR"/>
        </w:rPr>
        <w:t xml:space="preserve">donnant corps à cette interdiction, ainsi qu’une simplification de l’accès au casier judiciaire de personnes ayant commis des infractions à la liberté sexuelle ou aux mœurs sexuelles à l’encontre d’enfants. </w:t>
      </w:r>
      <w:r w:rsidR="00A83657">
        <w:rPr>
          <w:lang w:val="fr-FR"/>
        </w:rPr>
        <w:t>L’ensemble constitue un régime coordonné</w:t>
      </w:r>
      <w:r w:rsidR="003826F6">
        <w:rPr>
          <w:lang w:val="fr-FR"/>
        </w:rPr>
        <w:t>, permettant l’exclusion progressive des identités LGBT</w:t>
      </w:r>
      <w:r w:rsidR="00B018E7">
        <w:rPr>
          <w:lang w:val="fr-FR"/>
        </w:rPr>
        <w:t>Q+</w:t>
      </w:r>
      <w:r w:rsidR="003826F6">
        <w:rPr>
          <w:lang w:val="fr-FR"/>
        </w:rPr>
        <w:t xml:space="preserve"> de l’espace public</w:t>
      </w:r>
      <w:r w:rsidR="003826F6">
        <w:rPr>
          <w:rStyle w:val="FootnoteReference"/>
          <w:lang w:val="fr-FR"/>
        </w:rPr>
        <w:footnoteReference w:id="2"/>
      </w:r>
      <w:r w:rsidR="003826F6">
        <w:rPr>
          <w:lang w:val="fr-FR"/>
        </w:rPr>
        <w:t>.</w:t>
      </w:r>
    </w:p>
    <w:p w14:paraId="54902BBE" w14:textId="156B99F8" w:rsidR="0006595F" w:rsidRPr="0006595F" w:rsidRDefault="001E6163" w:rsidP="0062475F">
      <w:pPr>
        <w:jc w:val="both"/>
        <w:rPr>
          <w:lang w:val="fr-FR"/>
        </w:rPr>
      </w:pPr>
      <w:r>
        <w:rPr>
          <w:lang w:val="fr-FR"/>
        </w:rPr>
        <w:t xml:space="preserve">Près de cinq ans plus tard, la Cour de </w:t>
      </w:r>
      <w:r w:rsidR="004916C3">
        <w:rPr>
          <w:lang w:val="fr-FR"/>
        </w:rPr>
        <w:t>j</w:t>
      </w:r>
      <w:r>
        <w:rPr>
          <w:lang w:val="fr-FR"/>
        </w:rPr>
        <w:t>ustice</w:t>
      </w:r>
      <w:r w:rsidR="004916C3">
        <w:rPr>
          <w:lang w:val="fr-FR"/>
        </w:rPr>
        <w:t xml:space="preserve"> de l’Union européenne (ci-après la «</w:t>
      </w:r>
      <w:r w:rsidR="00111093">
        <w:rPr>
          <w:lang w:val="fr-FR"/>
        </w:rPr>
        <w:t> </w:t>
      </w:r>
      <w:r w:rsidR="004916C3">
        <w:rPr>
          <w:lang w:val="fr-FR"/>
        </w:rPr>
        <w:t>Cour » ou «</w:t>
      </w:r>
      <w:r w:rsidR="00B018E7">
        <w:rPr>
          <w:lang w:val="fr-FR"/>
        </w:rPr>
        <w:t> </w:t>
      </w:r>
      <w:r w:rsidR="004916C3">
        <w:rPr>
          <w:lang w:val="fr-FR"/>
        </w:rPr>
        <w:t>CJUE »</w:t>
      </w:r>
      <w:r w:rsidR="003E2C48">
        <w:rPr>
          <w:lang w:val="fr-FR"/>
        </w:rPr>
        <w:t>)</w:t>
      </w:r>
      <w:r w:rsidR="00583EC0">
        <w:rPr>
          <w:lang w:val="fr-FR"/>
        </w:rPr>
        <w:t>,</w:t>
      </w:r>
      <w:r>
        <w:rPr>
          <w:lang w:val="fr-FR"/>
        </w:rPr>
        <w:t xml:space="preserve"> statuant en assemblée plénière</w:t>
      </w:r>
      <w:r w:rsidR="004916C3">
        <w:rPr>
          <w:lang w:val="fr-FR"/>
        </w:rPr>
        <w:t xml:space="preserve"> sur un recours en manquement intenté par la Commission</w:t>
      </w:r>
      <w:r w:rsidR="00583EC0">
        <w:rPr>
          <w:lang w:val="fr-FR"/>
        </w:rPr>
        <w:t>,</w:t>
      </w:r>
      <w:r>
        <w:rPr>
          <w:lang w:val="fr-FR"/>
        </w:rPr>
        <w:t xml:space="preserve"> </w:t>
      </w:r>
      <w:r w:rsidR="009875F5">
        <w:rPr>
          <w:lang w:val="fr-FR"/>
        </w:rPr>
        <w:t xml:space="preserve">confirme que ces dispositions violent le droit </w:t>
      </w:r>
      <w:r w:rsidR="004916C3">
        <w:rPr>
          <w:lang w:val="fr-FR"/>
        </w:rPr>
        <w:t xml:space="preserve">de l’Union </w:t>
      </w:r>
      <w:r w:rsidR="00C46E30">
        <w:rPr>
          <w:lang w:val="fr-FR"/>
        </w:rPr>
        <w:t xml:space="preserve">– non seulement </w:t>
      </w:r>
      <w:r w:rsidR="001F4631">
        <w:rPr>
          <w:lang w:val="fr-FR"/>
        </w:rPr>
        <w:t xml:space="preserve">des dispositions </w:t>
      </w:r>
      <w:r w:rsidR="00C46E30">
        <w:rPr>
          <w:lang w:val="fr-FR"/>
        </w:rPr>
        <w:t xml:space="preserve">dans le domaine </w:t>
      </w:r>
      <w:r w:rsidR="009C66E2">
        <w:rPr>
          <w:lang w:val="fr-FR"/>
        </w:rPr>
        <w:t>de la libre prestation de services</w:t>
      </w:r>
      <w:r w:rsidR="004916C3">
        <w:rPr>
          <w:lang w:val="fr-FR"/>
        </w:rPr>
        <w:t xml:space="preserve"> et </w:t>
      </w:r>
      <w:r w:rsidR="00C46E30">
        <w:rPr>
          <w:lang w:val="fr-FR"/>
        </w:rPr>
        <w:t>une série de droits fondamentaux issus de la Charte, mais aussi</w:t>
      </w:r>
      <w:r w:rsidR="001F4631">
        <w:rPr>
          <w:lang w:val="fr-FR"/>
        </w:rPr>
        <w:t xml:space="preserve"> </w:t>
      </w:r>
      <w:r w:rsidR="004916C3">
        <w:rPr>
          <w:lang w:val="fr-FR"/>
        </w:rPr>
        <w:t>l’article 2 TUE</w:t>
      </w:r>
      <w:r w:rsidR="003E2C48">
        <w:rPr>
          <w:lang w:val="fr-FR"/>
        </w:rPr>
        <w:t>,</w:t>
      </w:r>
      <w:r w:rsidR="004916C3">
        <w:rPr>
          <w:lang w:val="fr-FR"/>
        </w:rPr>
        <w:t xml:space="preserve"> qui consacre </w:t>
      </w:r>
      <w:r w:rsidR="001F4631">
        <w:rPr>
          <w:lang w:val="fr-FR"/>
        </w:rPr>
        <w:t xml:space="preserve">les valeurs </w:t>
      </w:r>
      <w:r w:rsidR="004916C3">
        <w:rPr>
          <w:lang w:val="fr-FR"/>
        </w:rPr>
        <w:t>fondatrices de</w:t>
      </w:r>
      <w:r w:rsidR="001F4631">
        <w:rPr>
          <w:lang w:val="fr-FR"/>
        </w:rPr>
        <w:t xml:space="preserve"> l’Union</w:t>
      </w:r>
      <w:r w:rsidR="00A753C4">
        <w:rPr>
          <w:lang w:val="fr-FR"/>
        </w:rPr>
        <w:t xml:space="preserve"> (ci-après l’« arrêt Commission/Hongrie »)</w:t>
      </w:r>
      <w:r w:rsidR="00A753C4">
        <w:rPr>
          <w:rStyle w:val="FootnoteReference"/>
          <w:lang w:val="fr-FR"/>
        </w:rPr>
        <w:footnoteReference w:id="3"/>
      </w:r>
      <w:r w:rsidR="00C46E30">
        <w:rPr>
          <w:lang w:val="fr-FR"/>
        </w:rPr>
        <w:t xml:space="preserve">. </w:t>
      </w:r>
      <w:r w:rsidR="004916C3">
        <w:rPr>
          <w:lang w:val="fr-FR"/>
        </w:rPr>
        <w:t>Bien que la violation de cette disposition</w:t>
      </w:r>
      <w:r w:rsidR="005B757C">
        <w:rPr>
          <w:lang w:val="fr-FR"/>
        </w:rPr>
        <w:t xml:space="preserve"> </w:t>
      </w:r>
      <w:proofErr w:type="gramStart"/>
      <w:r w:rsidR="005B757C">
        <w:rPr>
          <w:lang w:val="fr-FR"/>
        </w:rPr>
        <w:t>n’avait</w:t>
      </w:r>
      <w:proofErr w:type="gramEnd"/>
      <w:r w:rsidR="004916C3">
        <w:rPr>
          <w:lang w:val="fr-FR"/>
        </w:rPr>
        <w:t>,</w:t>
      </w:r>
      <w:r w:rsidR="005B757C">
        <w:rPr>
          <w:lang w:val="fr-FR"/>
        </w:rPr>
        <w:t xml:space="preserve"> jusqu’alors</w:t>
      </w:r>
      <w:r w:rsidR="004916C3">
        <w:rPr>
          <w:lang w:val="fr-FR"/>
        </w:rPr>
        <w:t>,</w:t>
      </w:r>
      <w:r w:rsidR="005B757C">
        <w:rPr>
          <w:lang w:val="fr-FR"/>
        </w:rPr>
        <w:t xml:space="preserve"> été </w:t>
      </w:r>
      <w:r w:rsidR="004916C3">
        <w:rPr>
          <w:lang w:val="fr-FR"/>
        </w:rPr>
        <w:t xml:space="preserve">constatée </w:t>
      </w:r>
      <w:r w:rsidR="005B757C">
        <w:rPr>
          <w:lang w:val="fr-FR"/>
        </w:rPr>
        <w:t xml:space="preserve">qu’en combinaison avec d’autres dispositions de droit </w:t>
      </w:r>
      <w:r w:rsidR="004916C3">
        <w:rPr>
          <w:lang w:val="fr-FR"/>
        </w:rPr>
        <w:t>de l’Union</w:t>
      </w:r>
      <w:r w:rsidR="005B757C">
        <w:rPr>
          <w:lang w:val="fr-FR"/>
        </w:rPr>
        <w:t xml:space="preserve"> ‘concrétisant’ ces valeurs – tel que l’article 19 TUE</w:t>
      </w:r>
      <w:r w:rsidR="005B757C">
        <w:rPr>
          <w:rStyle w:val="FootnoteReference"/>
          <w:lang w:val="fr-FR"/>
        </w:rPr>
        <w:footnoteReference w:id="4"/>
      </w:r>
      <w:r w:rsidR="005B757C">
        <w:rPr>
          <w:lang w:val="fr-FR"/>
        </w:rPr>
        <w:t xml:space="preserve"> –</w:t>
      </w:r>
      <w:r w:rsidR="00E560BD">
        <w:rPr>
          <w:lang w:val="fr-FR"/>
        </w:rPr>
        <w:t>,</w:t>
      </w:r>
      <w:r w:rsidR="005B757C">
        <w:rPr>
          <w:lang w:val="fr-FR"/>
        </w:rPr>
        <w:t xml:space="preserve"> la Cour admet pour la </w:t>
      </w:r>
      <w:r w:rsidR="005B757C">
        <w:rPr>
          <w:lang w:val="fr-FR"/>
        </w:rPr>
        <w:lastRenderedPageBreak/>
        <w:t>première fois qu’il peut, seul, constituer un motif de manquement, et constate sa violation en l’espèce.</w:t>
      </w:r>
      <w:r w:rsidR="00213E4C">
        <w:rPr>
          <w:lang w:val="fr-FR"/>
        </w:rPr>
        <w:t xml:space="preserve"> </w:t>
      </w:r>
      <w:r w:rsidR="0006595F">
        <w:rPr>
          <w:lang w:val="fr-FR"/>
        </w:rPr>
        <w:t xml:space="preserve">Comme en atteste le fait que </w:t>
      </w:r>
      <w:r w:rsidR="0006595F" w:rsidRPr="0044049B">
        <w:rPr>
          <w:lang w:val="fr-FR"/>
        </w:rPr>
        <w:t>seize</w:t>
      </w:r>
      <w:r w:rsidR="0006595F">
        <w:rPr>
          <w:lang w:val="fr-FR"/>
        </w:rPr>
        <w:t xml:space="preserve"> États membres se soient portés parties intervenantes, l’issue de l’arrêt Commission/Hongrie était hautement attendue, car elle constitue une étape supplémentaire dans la protection des valeurs de l’Union. </w:t>
      </w:r>
    </w:p>
    <w:p w14:paraId="29B6550B" w14:textId="5332EDE2" w:rsidR="005E5375" w:rsidRDefault="00C0529B" w:rsidP="0062475F">
      <w:pPr>
        <w:jc w:val="both"/>
        <w:rPr>
          <w:lang w:val="fr-FR"/>
        </w:rPr>
      </w:pPr>
      <w:r>
        <w:rPr>
          <w:lang w:val="fr-FR"/>
        </w:rPr>
        <w:t>Après avoir brièvement résumé l’ensemble des constats de manquements</w:t>
      </w:r>
      <w:r w:rsidR="00FC7C3A">
        <w:rPr>
          <w:lang w:val="fr-FR"/>
        </w:rPr>
        <w:t xml:space="preserve">, </w:t>
      </w:r>
      <w:r>
        <w:rPr>
          <w:lang w:val="fr-FR"/>
        </w:rPr>
        <w:t xml:space="preserve">nous reviendrons de manière plus approfondie sur la violation reconnue, de manière autonome, de l’article 2 </w:t>
      </w:r>
      <w:proofErr w:type="gramStart"/>
      <w:r>
        <w:rPr>
          <w:lang w:val="fr-FR"/>
        </w:rPr>
        <w:t>TUE</w:t>
      </w:r>
      <w:r w:rsidR="00513A58">
        <w:rPr>
          <w:lang w:val="fr-FR"/>
        </w:rPr>
        <w:t xml:space="preserve">  </w:t>
      </w:r>
      <w:r>
        <w:rPr>
          <w:lang w:val="fr-FR"/>
        </w:rPr>
        <w:t>(</w:t>
      </w:r>
      <w:proofErr w:type="gramEnd"/>
      <w:r w:rsidR="00ED29EB">
        <w:rPr>
          <w:lang w:val="fr-FR"/>
        </w:rPr>
        <w:t>I</w:t>
      </w:r>
      <w:r>
        <w:rPr>
          <w:lang w:val="fr-FR"/>
        </w:rPr>
        <w:t>)</w:t>
      </w:r>
      <w:r w:rsidR="00ED29EB">
        <w:rPr>
          <w:lang w:val="fr-FR"/>
        </w:rPr>
        <w:t xml:space="preserve">, ainsi que sur les conséquences </w:t>
      </w:r>
      <w:r w:rsidR="003A53B1">
        <w:rPr>
          <w:lang w:val="fr-FR"/>
        </w:rPr>
        <w:t>potentielles qu’emporte cette</w:t>
      </w:r>
      <w:r w:rsidR="00ED29EB">
        <w:rPr>
          <w:lang w:val="fr-FR"/>
        </w:rPr>
        <w:t xml:space="preserve"> évolution (II)</w:t>
      </w:r>
      <w:r>
        <w:rPr>
          <w:lang w:val="fr-FR"/>
        </w:rPr>
        <w:t xml:space="preserve">. </w:t>
      </w:r>
      <w:r w:rsidR="005E31F2">
        <w:rPr>
          <w:lang w:val="fr-FR"/>
        </w:rPr>
        <w:t>Compte tenu de l’espace limité</w:t>
      </w:r>
      <w:r>
        <w:rPr>
          <w:lang w:val="fr-FR"/>
        </w:rPr>
        <w:t>, nous ne pourrons épuiser toutes les réflexions et questions que suscite et vont susciter cet important arrêt. Nous espérons néanmoins contribuer modestement à la discussion, en complément également de l</w:t>
      </w:r>
      <w:r w:rsidR="00FC7C3A">
        <w:rPr>
          <w:lang w:val="fr-FR"/>
        </w:rPr>
        <w:t>’Éditorial</w:t>
      </w:r>
      <w:r>
        <w:rPr>
          <w:lang w:val="fr-FR"/>
        </w:rPr>
        <w:t xml:space="preserve"> rédigé par </w:t>
      </w:r>
      <w:r w:rsidR="0044049B">
        <w:rPr>
          <w:lang w:val="fr-FR"/>
        </w:rPr>
        <w:t>Lucia Serena Rossi</w:t>
      </w:r>
      <w:r>
        <w:rPr>
          <w:lang w:val="fr-FR"/>
        </w:rPr>
        <w:t xml:space="preserve"> dans ce même numéro. </w:t>
      </w:r>
    </w:p>
    <w:p w14:paraId="6588CEF2" w14:textId="7BE8559B" w:rsidR="0090644F" w:rsidRDefault="00A0335A" w:rsidP="00B137B7">
      <w:pPr>
        <w:pStyle w:val="Heading1"/>
        <w:rPr>
          <w:lang w:val="fr-FR"/>
        </w:rPr>
      </w:pPr>
      <w:r>
        <w:rPr>
          <w:lang w:val="fr-FR"/>
        </w:rPr>
        <w:t>L</w:t>
      </w:r>
      <w:r w:rsidR="0090644F">
        <w:rPr>
          <w:lang w:val="fr-FR"/>
        </w:rPr>
        <w:t>e manquement</w:t>
      </w:r>
      <w:r>
        <w:rPr>
          <w:lang w:val="fr-FR"/>
        </w:rPr>
        <w:t xml:space="preserve"> À L’ARTICLE 2 TUE</w:t>
      </w:r>
    </w:p>
    <w:p w14:paraId="11233D95" w14:textId="02EC64BB" w:rsidR="00FD3798" w:rsidRDefault="009E1D48" w:rsidP="00F52E52">
      <w:pPr>
        <w:jc w:val="both"/>
        <w:rPr>
          <w:lang w:val="fr-FR"/>
        </w:rPr>
      </w:pPr>
      <w:r w:rsidRPr="00BB5E3D">
        <w:rPr>
          <w:lang w:val="fr-FR"/>
        </w:rPr>
        <w:t xml:space="preserve">À l’appui de son recours, </w:t>
      </w:r>
      <w:r w:rsidR="00BF33FB" w:rsidRPr="00BB5E3D">
        <w:rPr>
          <w:lang w:val="fr-FR"/>
        </w:rPr>
        <w:t xml:space="preserve">la Commission </w:t>
      </w:r>
      <w:r w:rsidR="00F711B5">
        <w:rPr>
          <w:lang w:val="fr-FR"/>
        </w:rPr>
        <w:t>a invoqué</w:t>
      </w:r>
      <w:r w:rsidR="00BF33FB" w:rsidRPr="00BB5E3D">
        <w:rPr>
          <w:lang w:val="fr-FR"/>
        </w:rPr>
        <w:t xml:space="preserve"> </w:t>
      </w:r>
      <w:r w:rsidR="00435F85" w:rsidRPr="00BB5E3D">
        <w:rPr>
          <w:lang w:val="fr-FR"/>
        </w:rPr>
        <w:t xml:space="preserve">sept griefs, </w:t>
      </w:r>
      <w:r w:rsidR="00FD3798">
        <w:rPr>
          <w:lang w:val="fr-FR"/>
        </w:rPr>
        <w:t xml:space="preserve">que la Cour analyse en trois temps. </w:t>
      </w:r>
    </w:p>
    <w:p w14:paraId="097139DB" w14:textId="16FC7828" w:rsidR="00C33BCE" w:rsidRPr="00BB5E3D" w:rsidRDefault="00644E7F" w:rsidP="00C33BCE">
      <w:pPr>
        <w:jc w:val="both"/>
        <w:rPr>
          <w:lang w:val="fr-FR"/>
        </w:rPr>
      </w:pPr>
      <w:r>
        <w:rPr>
          <w:i/>
          <w:iCs/>
          <w:lang w:val="fr-FR"/>
        </w:rPr>
        <w:t>Premièrement, la libre prestation de services et la Charte</w:t>
      </w:r>
      <w:r>
        <w:rPr>
          <w:lang w:val="fr-FR"/>
        </w:rPr>
        <w:t xml:space="preserve">. </w:t>
      </w:r>
      <w:r w:rsidR="000E5285">
        <w:rPr>
          <w:lang w:val="fr-FR"/>
        </w:rPr>
        <w:t>D’</w:t>
      </w:r>
      <w:r w:rsidR="00842764">
        <w:rPr>
          <w:lang w:val="fr-FR"/>
        </w:rPr>
        <w:t xml:space="preserve">une part, </w:t>
      </w:r>
      <w:r w:rsidR="00842764" w:rsidRPr="00BB5E3D">
        <w:rPr>
          <w:lang w:val="fr-FR"/>
        </w:rPr>
        <w:t>la Cour reconnait que les mesures introduites par la Hongrie afin de limiter la diffusion et l’accès au contenu LGBT</w:t>
      </w:r>
      <w:r w:rsidR="00B018E7">
        <w:rPr>
          <w:lang w:val="fr-FR"/>
        </w:rPr>
        <w:t>Q+ v</w:t>
      </w:r>
      <w:r w:rsidR="00842764" w:rsidRPr="00BB5E3D">
        <w:rPr>
          <w:lang w:val="fr-FR"/>
        </w:rPr>
        <w:t xml:space="preserve">iolent diverses dispositions de la </w:t>
      </w:r>
      <w:r w:rsidR="00842764" w:rsidRPr="00F711B5">
        <w:rPr>
          <w:lang w:val="fr-FR"/>
        </w:rPr>
        <w:t>directive 2010/13 (</w:t>
      </w:r>
      <w:r w:rsidR="00B20D9A">
        <w:rPr>
          <w:lang w:val="fr-FR"/>
        </w:rPr>
        <w:t>services de médias audi</w:t>
      </w:r>
      <w:r w:rsidR="00DC2411">
        <w:rPr>
          <w:lang w:val="fr-FR"/>
        </w:rPr>
        <w:t>o</w:t>
      </w:r>
      <w:r w:rsidR="00B20D9A">
        <w:rPr>
          <w:lang w:val="fr-FR"/>
        </w:rPr>
        <w:t>visuels</w:t>
      </w:r>
      <w:r w:rsidR="00842764" w:rsidRPr="00F711B5">
        <w:rPr>
          <w:lang w:val="fr-FR"/>
        </w:rPr>
        <w:t>)</w:t>
      </w:r>
      <w:r w:rsidR="00227A77">
        <w:rPr>
          <w:rStyle w:val="FootnoteReference"/>
          <w:lang w:val="fr-FR"/>
        </w:rPr>
        <w:footnoteReference w:id="5"/>
      </w:r>
      <w:r w:rsidR="00842764" w:rsidRPr="00F711B5">
        <w:rPr>
          <w:lang w:val="fr-FR"/>
        </w:rPr>
        <w:t>, 2000/31 (commerce électronique)</w:t>
      </w:r>
      <w:r w:rsidR="00227A77">
        <w:rPr>
          <w:rStyle w:val="FootnoteReference"/>
          <w:lang w:val="fr-FR"/>
        </w:rPr>
        <w:footnoteReference w:id="6"/>
      </w:r>
      <w:r w:rsidR="00842764" w:rsidRPr="00F711B5">
        <w:rPr>
          <w:lang w:val="fr-FR"/>
        </w:rPr>
        <w:t xml:space="preserve"> et 2006/123 (services)</w:t>
      </w:r>
      <w:r w:rsidR="00EA544F">
        <w:rPr>
          <w:rStyle w:val="FootnoteReference"/>
          <w:lang w:val="fr-FR"/>
        </w:rPr>
        <w:footnoteReference w:id="7"/>
      </w:r>
      <w:r w:rsidR="00842764" w:rsidRPr="00F711B5">
        <w:rPr>
          <w:lang w:val="fr-FR"/>
        </w:rPr>
        <w:t>,</w:t>
      </w:r>
      <w:r w:rsidR="00842764" w:rsidRPr="00BB5E3D">
        <w:rPr>
          <w:lang w:val="fr-FR"/>
        </w:rPr>
        <w:t xml:space="preserve"> cette dernière étant combinée à l’article 56 TFUE</w:t>
      </w:r>
      <w:r w:rsidR="00153150">
        <w:rPr>
          <w:lang w:val="fr-FR"/>
        </w:rPr>
        <w:t xml:space="preserve"> qui consacre la libre prestation de services à l’intérieur de l’Union</w:t>
      </w:r>
      <w:r w:rsidR="00842764">
        <w:rPr>
          <w:lang w:val="fr-FR"/>
        </w:rPr>
        <w:t xml:space="preserve">. </w:t>
      </w:r>
      <w:r w:rsidR="00C33BCE">
        <w:rPr>
          <w:lang w:val="fr-FR"/>
        </w:rPr>
        <w:t>Les dispositions en cause constituent</w:t>
      </w:r>
      <w:r w:rsidR="003E2C48">
        <w:rPr>
          <w:lang w:val="fr-FR"/>
        </w:rPr>
        <w:t xml:space="preserve"> </w:t>
      </w:r>
      <w:r w:rsidR="00C33BCE">
        <w:rPr>
          <w:lang w:val="fr-FR"/>
        </w:rPr>
        <w:t>des entraves à la libre prestation des services concernés, lesquelles</w:t>
      </w:r>
      <w:r w:rsidR="00C33BCE" w:rsidRPr="00BB5E3D">
        <w:rPr>
          <w:lang w:val="fr-FR"/>
        </w:rPr>
        <w:t xml:space="preserve"> ne saurai</w:t>
      </w:r>
      <w:r w:rsidR="00C33BCE">
        <w:rPr>
          <w:lang w:val="fr-FR"/>
        </w:rPr>
        <w:t>en</w:t>
      </w:r>
      <w:r w:rsidR="00C33BCE" w:rsidRPr="00BB5E3D">
        <w:rPr>
          <w:lang w:val="fr-FR"/>
        </w:rPr>
        <w:t>t être justifiée</w:t>
      </w:r>
      <w:r w:rsidR="00C33BCE">
        <w:rPr>
          <w:lang w:val="fr-FR"/>
        </w:rPr>
        <w:t xml:space="preserve">s, ni bénéficier des exceptions prévues dans les directives invoquées, ces dernières ne pouvant </w:t>
      </w:r>
      <w:r w:rsidR="00C33BCE" w:rsidRPr="00BB5E3D">
        <w:rPr>
          <w:lang w:val="fr-FR"/>
        </w:rPr>
        <w:t xml:space="preserve">fonder une discrimination telle que celle </w:t>
      </w:r>
      <w:r w:rsidR="00C33BCE">
        <w:rPr>
          <w:lang w:val="fr-FR"/>
        </w:rPr>
        <w:t>créée</w:t>
      </w:r>
      <w:r w:rsidR="00C33BCE" w:rsidRPr="00BB5E3D">
        <w:rPr>
          <w:lang w:val="fr-FR"/>
        </w:rPr>
        <w:t xml:space="preserve"> par les mesures </w:t>
      </w:r>
      <w:r w:rsidR="00C33BCE">
        <w:rPr>
          <w:lang w:val="fr-FR"/>
        </w:rPr>
        <w:t>hongroises.</w:t>
      </w:r>
      <w:r w:rsidR="00B501AB">
        <w:rPr>
          <w:lang w:val="fr-FR"/>
        </w:rPr>
        <w:t xml:space="preserve"> </w:t>
      </w:r>
      <w:r w:rsidR="00C33BCE">
        <w:rPr>
          <w:lang w:val="fr-FR"/>
        </w:rPr>
        <w:t xml:space="preserve">D’autre part, </w:t>
      </w:r>
      <w:r w:rsidR="00B501AB">
        <w:rPr>
          <w:lang w:val="fr-FR"/>
        </w:rPr>
        <w:t>ces mêmes dispositions</w:t>
      </w:r>
      <w:r w:rsidR="00C33BCE">
        <w:rPr>
          <w:lang w:val="fr-FR"/>
        </w:rPr>
        <w:t xml:space="preserve"> violent les articles 1</w:t>
      </w:r>
      <w:r w:rsidR="00C33BCE" w:rsidRPr="00B473E7">
        <w:rPr>
          <w:vertAlign w:val="superscript"/>
          <w:lang w:val="fr-FR"/>
        </w:rPr>
        <w:t>er</w:t>
      </w:r>
      <w:r w:rsidR="00C33BCE">
        <w:rPr>
          <w:lang w:val="fr-FR"/>
        </w:rPr>
        <w:t>, 7, 11 et 21 de la Charte. La Cour relève en particulier la stigmatisation et la marginalisation qu’elles suscitent à l’égard des personnes LGBT</w:t>
      </w:r>
      <w:r w:rsidR="00B018E7">
        <w:rPr>
          <w:lang w:val="fr-FR"/>
        </w:rPr>
        <w:t>Q+</w:t>
      </w:r>
      <w:r w:rsidR="00C33BCE">
        <w:rPr>
          <w:lang w:val="fr-FR"/>
        </w:rPr>
        <w:t xml:space="preserve">, renforcées par l’association à la pédophilie, </w:t>
      </w:r>
      <w:r w:rsidR="00F22253">
        <w:rPr>
          <w:lang w:val="fr-FR"/>
        </w:rPr>
        <w:t>le tout pouvant</w:t>
      </w:r>
      <w:r w:rsidR="00C33BCE">
        <w:rPr>
          <w:lang w:val="fr-FR"/>
        </w:rPr>
        <w:t xml:space="preserve"> contribuer à une forme d</w:t>
      </w:r>
      <w:proofErr w:type="gramStart"/>
      <w:r w:rsidR="00C33BCE">
        <w:rPr>
          <w:lang w:val="fr-FR"/>
        </w:rPr>
        <w:t>’«</w:t>
      </w:r>
      <w:proofErr w:type="gramEnd"/>
      <w:r w:rsidR="00C33BCE">
        <w:rPr>
          <w:lang w:val="fr-FR"/>
        </w:rPr>
        <w:t xml:space="preserve"> invisibilisation sociale ». </w:t>
      </w:r>
    </w:p>
    <w:p w14:paraId="5B8E762F" w14:textId="2C6D6DAF" w:rsidR="00644E7F" w:rsidRPr="00A61D0E" w:rsidRDefault="00B501AB" w:rsidP="00F52E52">
      <w:pPr>
        <w:jc w:val="both"/>
        <w:rPr>
          <w:lang w:val="fr-FR"/>
        </w:rPr>
      </w:pPr>
      <w:r>
        <w:rPr>
          <w:i/>
          <w:iCs/>
          <w:lang w:val="fr-FR"/>
        </w:rPr>
        <w:t>Deuxièmement, l’article 2 TUE.</w:t>
      </w:r>
      <w:r>
        <w:rPr>
          <w:lang w:val="fr-FR"/>
        </w:rPr>
        <w:t xml:space="preserve"> </w:t>
      </w:r>
      <w:r w:rsidR="003E2C48">
        <w:rPr>
          <w:lang w:val="fr-FR"/>
        </w:rPr>
        <w:t>Après un rappel des</w:t>
      </w:r>
      <w:r w:rsidR="004C79AA">
        <w:rPr>
          <w:lang w:val="fr-FR"/>
        </w:rPr>
        <w:t xml:space="preserve"> violations précédemment constatées, la Cour </w:t>
      </w:r>
      <w:r w:rsidR="00641139">
        <w:rPr>
          <w:lang w:val="fr-FR"/>
        </w:rPr>
        <w:t xml:space="preserve">reconnait une violation distincte de l’article 2 TUE. </w:t>
      </w:r>
      <w:r w:rsidR="00A61D0E">
        <w:rPr>
          <w:lang w:val="fr-FR"/>
        </w:rPr>
        <w:t xml:space="preserve">Pour ce faire, elle </w:t>
      </w:r>
      <w:r w:rsidR="00DC2411">
        <w:rPr>
          <w:lang w:val="fr-FR"/>
        </w:rPr>
        <w:t>confirme</w:t>
      </w:r>
      <w:r w:rsidR="00A61D0E">
        <w:rPr>
          <w:lang w:val="fr-FR"/>
        </w:rPr>
        <w:t xml:space="preserve"> </w:t>
      </w:r>
      <w:r w:rsidR="007475A6">
        <w:rPr>
          <w:lang w:val="fr-FR"/>
        </w:rPr>
        <w:t xml:space="preserve">la </w:t>
      </w:r>
      <w:r w:rsidR="00A61D0E">
        <w:rPr>
          <w:lang w:val="fr-FR"/>
        </w:rPr>
        <w:t>justiciabilité</w:t>
      </w:r>
      <w:r w:rsidR="007475A6">
        <w:rPr>
          <w:lang w:val="fr-FR"/>
        </w:rPr>
        <w:t xml:space="preserve"> de cette disposition</w:t>
      </w:r>
      <w:r w:rsidR="00A61D0E">
        <w:rPr>
          <w:lang w:val="fr-FR"/>
        </w:rPr>
        <w:t xml:space="preserve">, avant de déterminer le seuil requis pour admettre </w:t>
      </w:r>
      <w:r w:rsidR="00DC2411">
        <w:rPr>
          <w:lang w:val="fr-FR"/>
        </w:rPr>
        <w:t xml:space="preserve">une </w:t>
      </w:r>
      <w:r w:rsidR="00A61D0E">
        <w:rPr>
          <w:lang w:val="fr-FR"/>
        </w:rPr>
        <w:t>telle violation (</w:t>
      </w:r>
      <w:r w:rsidR="00A61D0E">
        <w:rPr>
          <w:i/>
          <w:iCs/>
          <w:lang w:val="fr-FR"/>
        </w:rPr>
        <w:t>infra</w:t>
      </w:r>
      <w:r w:rsidR="00A61D0E">
        <w:rPr>
          <w:lang w:val="fr-FR"/>
        </w:rPr>
        <w:t xml:space="preserve">). </w:t>
      </w:r>
    </w:p>
    <w:p w14:paraId="53ECF145" w14:textId="1287CE26" w:rsidR="005E5375" w:rsidRDefault="00652E83" w:rsidP="00F52E52">
      <w:pPr>
        <w:jc w:val="both"/>
        <w:rPr>
          <w:lang w:val="fr-FR"/>
        </w:rPr>
      </w:pPr>
      <w:r>
        <w:rPr>
          <w:i/>
          <w:iCs/>
          <w:lang w:val="fr-FR"/>
        </w:rPr>
        <w:t xml:space="preserve">Troisièmement, </w:t>
      </w:r>
      <w:r w:rsidR="00EF0ABC">
        <w:rPr>
          <w:i/>
          <w:iCs/>
          <w:lang w:val="fr-FR"/>
        </w:rPr>
        <w:t>la protection des données à caractère personnel</w:t>
      </w:r>
      <w:r w:rsidR="00EF0ABC">
        <w:rPr>
          <w:lang w:val="fr-FR"/>
        </w:rPr>
        <w:t xml:space="preserve">. </w:t>
      </w:r>
      <w:r w:rsidR="003A6BAB">
        <w:rPr>
          <w:lang w:val="fr-FR"/>
        </w:rPr>
        <w:t>Finalement, l</w:t>
      </w:r>
      <w:r w:rsidR="000E5285">
        <w:rPr>
          <w:lang w:val="fr-FR"/>
        </w:rPr>
        <w:t xml:space="preserve">es modifications relatives à l’accès au casier judiciaire de personnes ayant commis une infraction sexuelle sur mineur violent </w:t>
      </w:r>
      <w:r w:rsidR="00431E5E" w:rsidRPr="00BB5E3D">
        <w:rPr>
          <w:lang w:val="fr-FR"/>
        </w:rPr>
        <w:t>l’article 10 du RG</w:t>
      </w:r>
      <w:r w:rsidR="006A7216">
        <w:rPr>
          <w:lang w:val="fr-FR"/>
        </w:rPr>
        <w:t>PD</w:t>
      </w:r>
      <w:r w:rsidR="007475A6">
        <w:rPr>
          <w:rStyle w:val="FootnoteReference"/>
          <w:lang w:val="fr-FR"/>
        </w:rPr>
        <w:footnoteReference w:id="8"/>
      </w:r>
      <w:r w:rsidR="00431E5E" w:rsidRPr="00BB5E3D">
        <w:rPr>
          <w:lang w:val="fr-FR"/>
        </w:rPr>
        <w:t xml:space="preserve"> </w:t>
      </w:r>
      <w:r w:rsidR="003E3B76" w:rsidRPr="00BB5E3D">
        <w:rPr>
          <w:lang w:val="fr-FR"/>
        </w:rPr>
        <w:t>ainsi que l’article 8, paragraphe 2</w:t>
      </w:r>
      <w:r w:rsidR="007475A6">
        <w:rPr>
          <w:lang w:val="fr-FR"/>
        </w:rPr>
        <w:t>,</w:t>
      </w:r>
      <w:r w:rsidR="003E3B76" w:rsidRPr="00BB5E3D">
        <w:rPr>
          <w:lang w:val="fr-FR"/>
        </w:rPr>
        <w:t xml:space="preserve"> de la Charte.</w:t>
      </w:r>
      <w:r w:rsidR="005C29C6">
        <w:rPr>
          <w:lang w:val="fr-FR"/>
        </w:rPr>
        <w:t xml:space="preserve"> En </w:t>
      </w:r>
      <w:r w:rsidR="005C29C6">
        <w:rPr>
          <w:lang w:val="fr-FR"/>
        </w:rPr>
        <w:lastRenderedPageBreak/>
        <w:t xml:space="preserve">particulier, </w:t>
      </w:r>
      <w:r w:rsidR="00CF1FF2">
        <w:rPr>
          <w:lang w:val="fr-FR"/>
        </w:rPr>
        <w:t>le manque de précision quant aux personnes autorisées à accéder à ces informations, ainsi qu’aux conditions d’accès</w:t>
      </w:r>
      <w:r w:rsidR="00982F98">
        <w:rPr>
          <w:lang w:val="fr-FR"/>
        </w:rPr>
        <w:t xml:space="preserve">, viole le principe de licéité, de sorte que l’ingérence dans le droit </w:t>
      </w:r>
      <w:r w:rsidR="007B4445">
        <w:rPr>
          <w:lang w:val="fr-FR"/>
        </w:rPr>
        <w:t>à la protection des données n’est manifestement pas limitée au strict nécessaire.</w:t>
      </w:r>
    </w:p>
    <w:p w14:paraId="47DD4626" w14:textId="104B14B7" w:rsidR="005E5375" w:rsidRDefault="00700E75" w:rsidP="00700E75">
      <w:pPr>
        <w:jc w:val="both"/>
        <w:rPr>
          <w:lang w:val="fr-FR"/>
        </w:rPr>
      </w:pPr>
      <w:r>
        <w:rPr>
          <w:lang w:val="fr-FR"/>
        </w:rPr>
        <w:t xml:space="preserve">L’apport majeur de l’arrêt Commission/Hongrie tient au fait que, pour la première fois, </w:t>
      </w:r>
      <w:r w:rsidRPr="00DD1788">
        <w:rPr>
          <w:lang w:val="fr-FR"/>
        </w:rPr>
        <w:t>la Cour de justice constate de manière autonome un manquement à l’article 2 TUE</w:t>
      </w:r>
      <w:r>
        <w:rPr>
          <w:lang w:val="fr-FR"/>
        </w:rPr>
        <w:t xml:space="preserve">, alors que ce dernier n’avait à ce jour été invoqué qu’en combinaison avec une autre disposition des traités. </w:t>
      </w:r>
      <w:r w:rsidR="00DD1788" w:rsidRPr="00DD1788">
        <w:rPr>
          <w:lang w:val="fr-FR"/>
        </w:rPr>
        <w:t>Une telle évolution est susceptible d’emporter des conséquences significatives quant au champ d’application de la protection des valeurs de l’Union, au risque de raviver les tensions inhérentes au principe d’attribution des compétences</w:t>
      </w:r>
      <w:r w:rsidR="00ED29EB">
        <w:rPr>
          <w:lang w:val="fr-FR"/>
        </w:rPr>
        <w:t> </w:t>
      </w:r>
      <w:r w:rsidR="00DD1788" w:rsidRPr="00DD1788">
        <w:rPr>
          <w:lang w:val="fr-FR"/>
        </w:rPr>
        <w:t>(</w:t>
      </w:r>
      <w:r w:rsidR="003E2C48">
        <w:rPr>
          <w:lang w:val="fr-FR"/>
        </w:rPr>
        <w:t>A</w:t>
      </w:r>
      <w:r w:rsidR="00DD1788" w:rsidRPr="00DD1788">
        <w:rPr>
          <w:lang w:val="fr-FR"/>
        </w:rPr>
        <w:t>). L’arrêt confirme, en outre, la pleine justiciabilité de cette disposition (</w:t>
      </w:r>
      <w:r w:rsidR="003E2C48">
        <w:rPr>
          <w:lang w:val="fr-FR"/>
        </w:rPr>
        <w:t>B</w:t>
      </w:r>
      <w:r w:rsidR="00DD1788" w:rsidRPr="00DD1788">
        <w:rPr>
          <w:lang w:val="fr-FR"/>
        </w:rPr>
        <w:t xml:space="preserve">). La Cour </w:t>
      </w:r>
      <w:r w:rsidR="00513A58">
        <w:rPr>
          <w:lang w:val="fr-FR"/>
        </w:rPr>
        <w:t>entend toutefois</w:t>
      </w:r>
      <w:r w:rsidR="00DD1788" w:rsidRPr="00DD1788">
        <w:rPr>
          <w:lang w:val="fr-FR"/>
        </w:rPr>
        <w:t xml:space="preserve"> encadrer l</w:t>
      </w:r>
      <w:r w:rsidR="00513A58">
        <w:rPr>
          <w:lang w:val="fr-FR"/>
        </w:rPr>
        <w:t>’utilisation de l’article 2 TUE</w:t>
      </w:r>
      <w:r w:rsidR="00DD1788" w:rsidRPr="00DD1788">
        <w:rPr>
          <w:lang w:val="fr-FR"/>
        </w:rPr>
        <w:t>, en réservant son applicabilité aux seules violations «</w:t>
      </w:r>
      <w:r>
        <w:rPr>
          <w:lang w:val="fr-FR"/>
        </w:rPr>
        <w:t> </w:t>
      </w:r>
      <w:r w:rsidR="00DD1788" w:rsidRPr="00DD1788">
        <w:rPr>
          <w:lang w:val="fr-FR"/>
        </w:rPr>
        <w:t>manifestes et particulièrement graves</w:t>
      </w:r>
      <w:r>
        <w:rPr>
          <w:lang w:val="fr-FR"/>
        </w:rPr>
        <w:t> </w:t>
      </w:r>
      <w:r w:rsidR="00DD1788" w:rsidRPr="00DD1788">
        <w:rPr>
          <w:lang w:val="fr-FR"/>
        </w:rPr>
        <w:t>» des valeurs de l’Union (</w:t>
      </w:r>
      <w:r w:rsidR="003E2C48">
        <w:rPr>
          <w:lang w:val="fr-FR"/>
        </w:rPr>
        <w:t>C</w:t>
      </w:r>
      <w:r w:rsidR="00DD1788" w:rsidRPr="00DD1788">
        <w:rPr>
          <w:lang w:val="fr-FR"/>
        </w:rPr>
        <w:t>).</w:t>
      </w:r>
    </w:p>
    <w:p w14:paraId="29E6D902" w14:textId="1091E700" w:rsidR="0090644F" w:rsidRDefault="00AC1E2F" w:rsidP="00B137B7">
      <w:pPr>
        <w:pStyle w:val="Heading2"/>
        <w:rPr>
          <w:lang w:val="fr-FR"/>
        </w:rPr>
      </w:pPr>
      <w:r>
        <w:rPr>
          <w:lang w:val="fr-FR"/>
        </w:rPr>
        <w:t>Un c</w:t>
      </w:r>
      <w:r w:rsidR="0090644F">
        <w:rPr>
          <w:lang w:val="fr-FR"/>
        </w:rPr>
        <w:t>hamp d’application</w:t>
      </w:r>
      <w:r>
        <w:rPr>
          <w:lang w:val="fr-FR"/>
        </w:rPr>
        <w:t xml:space="preserve"> étendu de</w:t>
      </w:r>
      <w:r w:rsidR="00ED29EB">
        <w:rPr>
          <w:lang w:val="fr-FR"/>
        </w:rPr>
        <w:t xml:space="preserve"> la protection des</w:t>
      </w:r>
      <w:r>
        <w:rPr>
          <w:lang w:val="fr-FR"/>
        </w:rPr>
        <w:t xml:space="preserve"> valeurs </w:t>
      </w:r>
      <w:r w:rsidR="00ED29EB">
        <w:rPr>
          <w:lang w:val="fr-FR"/>
        </w:rPr>
        <w:t>par le</w:t>
      </w:r>
      <w:r>
        <w:rPr>
          <w:lang w:val="fr-FR"/>
        </w:rPr>
        <w:t xml:space="preserve"> droit de l’Union</w:t>
      </w:r>
      <w:r w:rsidR="00D802DE">
        <w:rPr>
          <w:lang w:val="fr-FR"/>
        </w:rPr>
        <w:t xml:space="preserve"> ? </w:t>
      </w:r>
      <w:r>
        <w:rPr>
          <w:lang w:val="fr-FR"/>
        </w:rPr>
        <w:t xml:space="preserve"> </w:t>
      </w:r>
    </w:p>
    <w:p w14:paraId="4CCFA29C" w14:textId="414C6B67" w:rsidR="00ED29EB" w:rsidRDefault="00ED29EB" w:rsidP="00462E16">
      <w:pPr>
        <w:jc w:val="both"/>
        <w:rPr>
          <w:lang w:val="fr-FR"/>
        </w:rPr>
      </w:pPr>
      <w:r>
        <w:rPr>
          <w:lang w:val="fr-FR"/>
        </w:rPr>
        <w:t>L</w:t>
      </w:r>
      <w:r w:rsidR="007A6551">
        <w:rPr>
          <w:lang w:val="fr-FR"/>
        </w:rPr>
        <w:t>a résolution de la question du champ d’application de l’article 2 TUE, qui consacre les valeurs fondatrices de l’Union, comprenant le triptyque État de droit – démocratie – droits humains</w:t>
      </w:r>
      <w:r w:rsidR="00F22253">
        <w:rPr>
          <w:lang w:val="fr-FR"/>
        </w:rPr>
        <w:t>,</w:t>
      </w:r>
      <w:r w:rsidR="007A6551">
        <w:rPr>
          <w:lang w:val="fr-FR"/>
        </w:rPr>
        <w:t xml:space="preserve"> était fortement attendue. </w:t>
      </w:r>
      <w:r w:rsidR="00462E16">
        <w:rPr>
          <w:lang w:val="fr-FR"/>
        </w:rPr>
        <w:t>Pour rappel, la Charte des droits fondamentaux de l’Union ne s’applique aux États membres que lorsqu’ils « mettent en œuvre » le droit de l’Union</w:t>
      </w:r>
      <w:r w:rsidR="00462E16">
        <w:rPr>
          <w:rStyle w:val="FootnoteReference"/>
          <w:lang w:val="fr-FR"/>
        </w:rPr>
        <w:footnoteReference w:id="9"/>
      </w:r>
      <w:r w:rsidR="00462E16">
        <w:rPr>
          <w:lang w:val="fr-FR"/>
        </w:rPr>
        <w:t>. Cette restriction découle directement du fait que l’Union ne dispose pas de mandat général en matière de protection des droits humains</w:t>
      </w:r>
      <w:r w:rsidR="00462E16">
        <w:rPr>
          <w:rStyle w:val="FootnoteReference"/>
          <w:lang w:val="fr-FR"/>
        </w:rPr>
        <w:footnoteReference w:id="10"/>
      </w:r>
      <w:r>
        <w:rPr>
          <w:lang w:val="fr-FR"/>
        </w:rPr>
        <w:t>, ni d’ailleurs en matière de protection des valeurs en général</w:t>
      </w:r>
      <w:r w:rsidR="00462E16">
        <w:rPr>
          <w:lang w:val="fr-FR"/>
        </w:rPr>
        <w:t xml:space="preserve">. </w:t>
      </w:r>
      <w:r>
        <w:rPr>
          <w:lang w:val="fr-FR"/>
        </w:rPr>
        <w:t>La Cour de justice a déjà étendu partiellement ce champ d’application pour ce qui concerne l’indépendance de la justice et le droit de bénéficier d’un recours effectif, en passant par le truchement de l’article 2 TUE et l’article 19 TUE</w:t>
      </w:r>
      <w:r w:rsidR="00513A58">
        <w:rPr>
          <w:rStyle w:val="FootnoteReference"/>
          <w:lang w:val="fr-FR"/>
        </w:rPr>
        <w:footnoteReference w:id="11"/>
      </w:r>
      <w:r>
        <w:rPr>
          <w:lang w:val="fr-FR"/>
        </w:rPr>
        <w:t>. Mais</w:t>
      </w:r>
      <w:r w:rsidR="00BB273C">
        <w:rPr>
          <w:lang w:val="fr-FR"/>
        </w:rPr>
        <w:t xml:space="preserve"> qu’en</w:t>
      </w:r>
      <w:r>
        <w:rPr>
          <w:lang w:val="fr-FR"/>
        </w:rPr>
        <w:t xml:space="preserve"> </w:t>
      </w:r>
      <w:r w:rsidR="003E2C48">
        <w:rPr>
          <w:lang w:val="fr-FR"/>
        </w:rPr>
        <w:t>est</w:t>
      </w:r>
      <w:r>
        <w:rPr>
          <w:lang w:val="fr-FR"/>
        </w:rPr>
        <w:t xml:space="preserve">-il de l’article 2 TUE ? </w:t>
      </w:r>
      <w:r w:rsidR="00886E69">
        <w:rPr>
          <w:lang w:val="fr-FR"/>
        </w:rPr>
        <w:t xml:space="preserve">Faut-il </w:t>
      </w:r>
      <w:r>
        <w:rPr>
          <w:lang w:val="fr-FR"/>
        </w:rPr>
        <w:t xml:space="preserve">considérer qu’il ne peut s’appliquer que dans le champ d’application du droit de l’Union, ou, au contraire, </w:t>
      </w:r>
      <w:r w:rsidR="003E2C48">
        <w:rPr>
          <w:lang w:val="fr-FR"/>
        </w:rPr>
        <w:t>s’impose-t-il</w:t>
      </w:r>
      <w:r>
        <w:rPr>
          <w:lang w:val="fr-FR"/>
        </w:rPr>
        <w:t xml:space="preserve"> aux États membres en toute</w:t>
      </w:r>
      <w:r w:rsidR="00F22253">
        <w:rPr>
          <w:lang w:val="fr-FR"/>
        </w:rPr>
        <w:t>s</w:t>
      </w:r>
      <w:r>
        <w:rPr>
          <w:lang w:val="fr-FR"/>
        </w:rPr>
        <w:t xml:space="preserve"> circonstance</w:t>
      </w:r>
      <w:r w:rsidR="003A53B1">
        <w:rPr>
          <w:lang w:val="fr-FR"/>
        </w:rPr>
        <w:t>s</w:t>
      </w:r>
      <w:r>
        <w:rPr>
          <w:lang w:val="fr-FR"/>
        </w:rPr>
        <w:t xml:space="preserve"> ? </w:t>
      </w:r>
    </w:p>
    <w:p w14:paraId="020BFDC1" w14:textId="1FCA1B21" w:rsidR="003E2C48" w:rsidRDefault="00FF6F1A" w:rsidP="0068762E">
      <w:pPr>
        <w:jc w:val="both"/>
        <w:rPr>
          <w:lang w:val="fr-FR"/>
        </w:rPr>
      </w:pPr>
      <w:r>
        <w:rPr>
          <w:lang w:val="fr-FR"/>
        </w:rPr>
        <w:t xml:space="preserve">L’avocate générale </w:t>
      </w:r>
      <w:proofErr w:type="spellStart"/>
      <w:r>
        <w:rPr>
          <w:lang w:val="fr-FR"/>
        </w:rPr>
        <w:t>Ćapeta</w:t>
      </w:r>
      <w:proofErr w:type="spellEnd"/>
      <w:r>
        <w:rPr>
          <w:lang w:val="fr-FR"/>
        </w:rPr>
        <w:t xml:space="preserve"> avait considéré </w:t>
      </w:r>
      <w:r w:rsidR="002B6D8A">
        <w:rPr>
          <w:lang w:val="fr-FR"/>
        </w:rPr>
        <w:t>que cette question</w:t>
      </w:r>
      <w:r>
        <w:rPr>
          <w:lang w:val="fr-FR"/>
        </w:rPr>
        <w:t xml:space="preserve"> ne se posait pas en l’espèce, dès lors que </w:t>
      </w:r>
      <w:r w:rsidR="002B6D8A">
        <w:rPr>
          <w:lang w:val="fr-FR"/>
        </w:rPr>
        <w:t xml:space="preserve">la violation de l’article 2 TUE est </w:t>
      </w:r>
      <w:r w:rsidR="005E5375">
        <w:rPr>
          <w:lang w:val="fr-FR"/>
        </w:rPr>
        <w:t xml:space="preserve">ici </w:t>
      </w:r>
      <w:r w:rsidR="002B6D8A">
        <w:rPr>
          <w:lang w:val="fr-FR"/>
        </w:rPr>
        <w:t>invoquée en lien avec la violation d’autres dispositions du droit de l’Union, la situant donc à son tour au sein de son champ d’application</w:t>
      </w:r>
      <w:r>
        <w:rPr>
          <w:rStyle w:val="FootnoteReference"/>
        </w:rPr>
        <w:footnoteReference w:id="12"/>
      </w:r>
      <w:r>
        <w:t>.</w:t>
      </w:r>
      <w:r w:rsidR="002F6B2C">
        <w:rPr>
          <w:lang w:val="fr-FR"/>
        </w:rPr>
        <w:t xml:space="preserve"> </w:t>
      </w:r>
    </w:p>
    <w:p w14:paraId="79922E0E" w14:textId="554551B7" w:rsidR="00CF05EF" w:rsidRDefault="00886E69" w:rsidP="002271F7">
      <w:pPr>
        <w:jc w:val="both"/>
        <w:rPr>
          <w:lang w:val="fr-FR"/>
        </w:rPr>
      </w:pPr>
      <w:r w:rsidRPr="00886E69">
        <w:rPr>
          <w:lang w:val="fr-FR"/>
        </w:rPr>
        <w:t xml:space="preserve">Force est de constater que la Cour </w:t>
      </w:r>
      <w:r w:rsidR="002B6D8A">
        <w:rPr>
          <w:lang w:val="fr-FR"/>
        </w:rPr>
        <w:t>maintient</w:t>
      </w:r>
      <w:r w:rsidRPr="00886E69">
        <w:rPr>
          <w:lang w:val="fr-FR"/>
        </w:rPr>
        <w:t xml:space="preserve"> une certaine ambiguïté</w:t>
      </w:r>
      <w:r w:rsidR="002B6D8A">
        <w:rPr>
          <w:lang w:val="fr-FR"/>
        </w:rPr>
        <w:t xml:space="preserve">, puisqu’elle </w:t>
      </w:r>
      <w:r w:rsidR="005E5375">
        <w:rPr>
          <w:lang w:val="fr-FR"/>
        </w:rPr>
        <w:t xml:space="preserve">n’aborde pas explicitement cette question. </w:t>
      </w:r>
      <w:r w:rsidR="003A53B1">
        <w:rPr>
          <w:lang w:val="fr-FR"/>
        </w:rPr>
        <w:t>Elle précise néanmoins</w:t>
      </w:r>
      <w:r w:rsidR="00BB273C">
        <w:rPr>
          <w:lang w:val="fr-FR"/>
        </w:rPr>
        <w:t xml:space="preserve"> </w:t>
      </w:r>
      <w:r w:rsidR="003A53B1">
        <w:rPr>
          <w:lang w:val="fr-FR"/>
        </w:rPr>
        <w:t>qu’il lui revient</w:t>
      </w:r>
      <w:r w:rsidR="007A6551" w:rsidRPr="007A6551">
        <w:rPr>
          <w:lang w:val="fr-FR"/>
        </w:rPr>
        <w:t xml:space="preserve"> «</w:t>
      </w:r>
      <w:r w:rsidR="005E5375">
        <w:rPr>
          <w:lang w:val="fr-FR"/>
        </w:rPr>
        <w:t> </w:t>
      </w:r>
      <w:r w:rsidR="007A6551" w:rsidRPr="007A6551">
        <w:rPr>
          <w:lang w:val="fr-FR"/>
        </w:rPr>
        <w:t>d’apprécier si l’ensemble de ces violations [des dispositions relatives à la libre prestation de services et de la Charte] est susceptible de caractériser une violation de l’article 2 TUE</w:t>
      </w:r>
      <w:r w:rsidR="005E5375">
        <w:rPr>
          <w:lang w:val="fr-FR"/>
        </w:rPr>
        <w:t> »</w:t>
      </w:r>
      <w:r w:rsidR="007A6551" w:rsidRPr="007A6551" w:rsidDel="007A6551">
        <w:rPr>
          <w:lang w:val="fr-FR"/>
        </w:rPr>
        <w:t xml:space="preserve"> </w:t>
      </w:r>
      <w:r w:rsidR="0004672E">
        <w:rPr>
          <w:lang w:val="fr-FR"/>
        </w:rPr>
        <w:t>(§</w:t>
      </w:r>
      <w:r w:rsidR="00A042EF">
        <w:rPr>
          <w:lang w:val="fr-FR"/>
        </w:rPr>
        <w:t xml:space="preserve"> </w:t>
      </w:r>
      <w:r w:rsidR="0004672E">
        <w:rPr>
          <w:lang w:val="fr-FR"/>
        </w:rPr>
        <w:t xml:space="preserve">545). </w:t>
      </w:r>
      <w:r w:rsidRPr="00886E69">
        <w:rPr>
          <w:lang w:val="fr-FR"/>
        </w:rPr>
        <w:t xml:space="preserve">Cette précision </w:t>
      </w:r>
      <w:r w:rsidR="003A53B1">
        <w:rPr>
          <w:lang w:val="fr-FR"/>
        </w:rPr>
        <w:t>pourrait</w:t>
      </w:r>
      <w:r w:rsidRPr="00886E69">
        <w:rPr>
          <w:lang w:val="fr-FR"/>
        </w:rPr>
        <w:t xml:space="preserve"> sous-entendre qu’il </w:t>
      </w:r>
      <w:r w:rsidR="00A042EF">
        <w:rPr>
          <w:lang w:val="fr-FR"/>
        </w:rPr>
        <w:t>serait</w:t>
      </w:r>
      <w:r w:rsidR="00A042EF" w:rsidRPr="00886E69">
        <w:rPr>
          <w:lang w:val="fr-FR"/>
        </w:rPr>
        <w:t xml:space="preserve"> </w:t>
      </w:r>
      <w:r w:rsidRPr="00886E69">
        <w:rPr>
          <w:lang w:val="fr-FR"/>
        </w:rPr>
        <w:t xml:space="preserve">nécessaire d’identifier, au préalable, des violations du droit de l’Union avant de pouvoir constater une violation de l’article 2 TUE. </w:t>
      </w:r>
      <w:r w:rsidR="003A53B1">
        <w:rPr>
          <w:lang w:val="fr-FR"/>
        </w:rPr>
        <w:t>Une</w:t>
      </w:r>
      <w:r w:rsidRPr="00886E69">
        <w:rPr>
          <w:lang w:val="fr-FR"/>
        </w:rPr>
        <w:t xml:space="preserve"> telle limitation</w:t>
      </w:r>
      <w:r w:rsidR="003A53B1">
        <w:rPr>
          <w:lang w:val="fr-FR"/>
        </w:rPr>
        <w:t xml:space="preserve"> ne découle néanmoins pas du texte des traités, et n’est pas plus amplement commenté</w:t>
      </w:r>
      <w:r w:rsidR="005E5375">
        <w:rPr>
          <w:lang w:val="fr-FR"/>
        </w:rPr>
        <w:t>e</w:t>
      </w:r>
      <w:r w:rsidR="003A53B1">
        <w:rPr>
          <w:lang w:val="fr-FR"/>
        </w:rPr>
        <w:t xml:space="preserve"> par la Cour.</w:t>
      </w:r>
    </w:p>
    <w:p w14:paraId="4D07122A" w14:textId="78ABEE62" w:rsidR="00D802DE" w:rsidRPr="004D5F1C" w:rsidRDefault="00D802DE" w:rsidP="00DC0163">
      <w:pPr>
        <w:tabs>
          <w:tab w:val="left" w:pos="2835"/>
        </w:tabs>
        <w:jc w:val="both"/>
        <w:rPr>
          <w:lang w:val="fr-FR"/>
        </w:rPr>
      </w:pPr>
      <w:r w:rsidRPr="00D802DE">
        <w:rPr>
          <w:lang w:val="fr-FR"/>
        </w:rPr>
        <w:lastRenderedPageBreak/>
        <w:t>Une autre lecture consisterait à considérer qu’elle admet que l’article 2 TUE puisse être invoqué indépendamment de tout lien avec une autre règle du droit de l’Union, sans qu’il soit nécessaire de constater au préalable la violation d’une disposition distincte de ce droit. Cette interprétation trouve d’ailleurs un certain appui dans les traités, lesquels ne prévoient aucune limitation explicite du champ d’application de l’article 2 TUE.</w:t>
      </w:r>
      <w:r>
        <w:rPr>
          <w:lang w:val="fr-FR"/>
        </w:rPr>
        <w:t xml:space="preserve"> Cette interprétation</w:t>
      </w:r>
      <w:r w:rsidR="00886E69">
        <w:rPr>
          <w:lang w:val="fr-FR"/>
        </w:rPr>
        <w:t xml:space="preserve"> emporterait</w:t>
      </w:r>
      <w:r>
        <w:rPr>
          <w:lang w:val="fr-FR"/>
        </w:rPr>
        <w:t xml:space="preserve"> toutefois </w:t>
      </w:r>
      <w:r w:rsidR="00886E69">
        <w:rPr>
          <w:lang w:val="fr-FR"/>
        </w:rPr>
        <w:t>le risque de perdre une large part de la force opérative</w:t>
      </w:r>
      <w:r w:rsidR="007A6551">
        <w:rPr>
          <w:lang w:val="fr-FR"/>
        </w:rPr>
        <w:t xml:space="preserve"> </w:t>
      </w:r>
      <w:r w:rsidR="00886E69">
        <w:rPr>
          <w:lang w:val="fr-FR"/>
        </w:rPr>
        <w:t>du</w:t>
      </w:r>
      <w:r w:rsidR="00F65D3A">
        <w:rPr>
          <w:lang w:val="fr-FR"/>
        </w:rPr>
        <w:t xml:space="preserve"> principe d’attribution des compétences</w:t>
      </w:r>
      <w:r w:rsidR="00F65D3A">
        <w:rPr>
          <w:rStyle w:val="FootnoteReference"/>
          <w:lang w:val="fr-FR"/>
        </w:rPr>
        <w:footnoteReference w:id="13"/>
      </w:r>
      <w:r w:rsidR="00F65D3A">
        <w:rPr>
          <w:lang w:val="fr-FR"/>
        </w:rPr>
        <w:t>.</w:t>
      </w:r>
      <w:r>
        <w:rPr>
          <w:lang w:val="fr-FR"/>
        </w:rPr>
        <w:t xml:space="preserve"> </w:t>
      </w:r>
      <w:r w:rsidR="00886E69">
        <w:rPr>
          <w:lang w:val="fr-FR"/>
        </w:rPr>
        <w:t>Une</w:t>
      </w:r>
      <w:r w:rsidR="003E636E">
        <w:rPr>
          <w:lang w:val="fr-FR"/>
        </w:rPr>
        <w:t xml:space="preserve"> telle hypothèse </w:t>
      </w:r>
      <w:r w:rsidR="00886E69">
        <w:rPr>
          <w:lang w:val="fr-FR"/>
        </w:rPr>
        <w:t>semble toutefois peu réaliste</w:t>
      </w:r>
      <w:r w:rsidR="003E636E">
        <w:rPr>
          <w:lang w:val="fr-FR"/>
        </w:rPr>
        <w:t xml:space="preserve">, </w:t>
      </w:r>
      <w:r w:rsidR="005306B1">
        <w:rPr>
          <w:lang w:val="fr-FR"/>
        </w:rPr>
        <w:t>une violation « manifeste et sérieuse » de l’article 2 TUE – critères retenus par la Cour (</w:t>
      </w:r>
      <w:r w:rsidR="005306B1">
        <w:rPr>
          <w:i/>
          <w:iCs/>
          <w:lang w:val="fr-FR"/>
        </w:rPr>
        <w:t>infra</w:t>
      </w:r>
      <w:r w:rsidR="005306B1">
        <w:rPr>
          <w:lang w:val="fr-FR"/>
        </w:rPr>
        <w:t xml:space="preserve">) – </w:t>
      </w:r>
      <w:r w:rsidR="00DC2411">
        <w:rPr>
          <w:lang w:val="fr-FR"/>
        </w:rPr>
        <w:t>indépendante</w:t>
      </w:r>
      <w:r w:rsidR="005306B1">
        <w:rPr>
          <w:lang w:val="fr-FR"/>
        </w:rPr>
        <w:t xml:space="preserve"> de toute </w:t>
      </w:r>
      <w:r w:rsidR="00BC6418">
        <w:rPr>
          <w:lang w:val="fr-FR"/>
        </w:rPr>
        <w:t xml:space="preserve">autre </w:t>
      </w:r>
      <w:r w:rsidR="005306B1">
        <w:rPr>
          <w:lang w:val="fr-FR"/>
        </w:rPr>
        <w:t xml:space="preserve">violation </w:t>
      </w:r>
      <w:r w:rsidR="00BC6418">
        <w:rPr>
          <w:lang w:val="fr-FR"/>
        </w:rPr>
        <w:t>du droit de l’Union</w:t>
      </w:r>
      <w:r w:rsidR="005306B1">
        <w:rPr>
          <w:lang w:val="fr-FR"/>
        </w:rPr>
        <w:t xml:space="preserve"> semblant difficilement concevable</w:t>
      </w:r>
      <w:r w:rsidR="008F1EA2">
        <w:rPr>
          <w:rStyle w:val="FootnoteReference"/>
          <w:lang w:val="fr-FR"/>
        </w:rPr>
        <w:footnoteReference w:id="14"/>
      </w:r>
      <w:r w:rsidR="005306B1">
        <w:rPr>
          <w:lang w:val="fr-FR"/>
        </w:rPr>
        <w:t>.</w:t>
      </w:r>
      <w:r w:rsidR="008F1EA2">
        <w:rPr>
          <w:lang w:val="fr-FR"/>
        </w:rPr>
        <w:t xml:space="preserve"> Improbable, mais pas impossible : </w:t>
      </w:r>
      <w:r w:rsidR="000F3D1A">
        <w:rPr>
          <w:lang w:val="fr-FR"/>
        </w:rPr>
        <w:t xml:space="preserve">telle situation pourrait survenir dans certains champs </w:t>
      </w:r>
      <w:r w:rsidR="008B37C8">
        <w:rPr>
          <w:lang w:val="fr-FR"/>
        </w:rPr>
        <w:t xml:space="preserve">tout à fait </w:t>
      </w:r>
      <w:r w:rsidR="000F3D1A">
        <w:rPr>
          <w:lang w:val="fr-FR"/>
        </w:rPr>
        <w:t xml:space="preserve">étrangers au droit de l’Union, </w:t>
      </w:r>
      <w:r w:rsidR="00293ED9">
        <w:rPr>
          <w:lang w:val="fr-FR"/>
        </w:rPr>
        <w:t>par exemple en</w:t>
      </w:r>
      <w:r w:rsidR="000F3D1A">
        <w:rPr>
          <w:lang w:val="fr-FR"/>
        </w:rPr>
        <w:t xml:space="preserve"> matière d’organisation des structures et pouvoirs de l’</w:t>
      </w:r>
      <w:r w:rsidR="00293ED9">
        <w:rPr>
          <w:lang w:val="fr-FR"/>
        </w:rPr>
        <w:t>État</w:t>
      </w:r>
      <w:r w:rsidR="000F3D1A">
        <w:rPr>
          <w:lang w:val="fr-FR"/>
        </w:rPr>
        <w:t xml:space="preserve">. </w:t>
      </w:r>
      <w:r w:rsidR="00B077FC">
        <w:rPr>
          <w:lang w:val="fr-FR"/>
        </w:rPr>
        <w:t xml:space="preserve">Si l’on retient cette hypothèse, </w:t>
      </w:r>
      <w:r w:rsidR="000F3D1A">
        <w:rPr>
          <w:lang w:val="fr-FR"/>
        </w:rPr>
        <w:t>l</w:t>
      </w:r>
      <w:r w:rsidR="00A042EF">
        <w:rPr>
          <w:lang w:val="fr-FR"/>
        </w:rPr>
        <w:t>’</w:t>
      </w:r>
      <w:r w:rsidR="000F3D1A">
        <w:rPr>
          <w:lang w:val="fr-FR"/>
        </w:rPr>
        <w:t>arrêt</w:t>
      </w:r>
      <w:r w:rsidR="00A042EF">
        <w:rPr>
          <w:lang w:val="fr-FR"/>
        </w:rPr>
        <w:t xml:space="preserve"> Commission/Hongrie</w:t>
      </w:r>
      <w:r w:rsidR="000F3D1A">
        <w:rPr>
          <w:lang w:val="fr-FR"/>
        </w:rPr>
        <w:t xml:space="preserve"> étend le champ d’application </w:t>
      </w:r>
      <w:r w:rsidR="009C5264">
        <w:rPr>
          <w:lang w:val="fr-FR"/>
        </w:rPr>
        <w:t>du droit de l’Union</w:t>
      </w:r>
      <w:r w:rsidR="000F3D1A">
        <w:rPr>
          <w:lang w:val="fr-FR"/>
        </w:rPr>
        <w:t xml:space="preserve">, tout </w:t>
      </w:r>
      <w:r w:rsidR="00A042EF">
        <w:rPr>
          <w:lang w:val="fr-FR"/>
        </w:rPr>
        <w:t xml:space="preserve">en </w:t>
      </w:r>
      <w:r w:rsidR="008B37C8">
        <w:rPr>
          <w:lang w:val="fr-FR"/>
        </w:rPr>
        <w:t xml:space="preserve">limitant l’effet de l’article 2 du TUE en </w:t>
      </w:r>
      <w:r w:rsidR="00BF7D4D">
        <w:rPr>
          <w:lang w:val="fr-FR"/>
        </w:rPr>
        <w:t>conditionnant</w:t>
      </w:r>
      <w:r w:rsidR="008B37C8">
        <w:rPr>
          <w:lang w:val="fr-FR"/>
        </w:rPr>
        <w:t xml:space="preserve"> son applicabilité </w:t>
      </w:r>
      <w:r w:rsidR="00667145">
        <w:rPr>
          <w:lang w:val="fr-FR"/>
        </w:rPr>
        <w:t>au dépassement d’un certain seuil de gravité</w:t>
      </w:r>
      <w:r w:rsidR="00117F1F">
        <w:rPr>
          <w:lang w:val="fr-FR"/>
        </w:rPr>
        <w:t xml:space="preserve"> (</w:t>
      </w:r>
      <w:r w:rsidR="00D15689">
        <w:rPr>
          <w:i/>
          <w:iCs/>
          <w:lang w:val="fr-FR"/>
        </w:rPr>
        <w:t>infra</w:t>
      </w:r>
      <w:r w:rsidR="00D15689">
        <w:rPr>
          <w:lang w:val="fr-FR"/>
        </w:rPr>
        <w:t xml:space="preserve">). </w:t>
      </w:r>
    </w:p>
    <w:p w14:paraId="00C9054F" w14:textId="67635D44" w:rsidR="00754E4B" w:rsidRDefault="00AC1E2F" w:rsidP="00DC0163">
      <w:pPr>
        <w:pStyle w:val="Heading2"/>
        <w:rPr>
          <w:lang w:val="fr-FR"/>
        </w:rPr>
      </w:pPr>
      <w:r>
        <w:rPr>
          <w:lang w:val="fr-FR"/>
        </w:rPr>
        <w:t>L’article 2 TUE, une disposition justiciable</w:t>
      </w:r>
      <w:r w:rsidR="00706447">
        <w:rPr>
          <w:lang w:val="fr-FR"/>
        </w:rPr>
        <w:t xml:space="preserve"> </w:t>
      </w:r>
    </w:p>
    <w:p w14:paraId="42833BD6" w14:textId="44DB0E4B" w:rsidR="007E7749" w:rsidRPr="007E7749" w:rsidRDefault="00D802DE" w:rsidP="007E7749">
      <w:pPr>
        <w:jc w:val="both"/>
        <w:rPr>
          <w:lang w:val="fr-FR"/>
        </w:rPr>
      </w:pPr>
      <w:r w:rsidRPr="00D802DE">
        <w:rPr>
          <w:lang w:val="fr-FR"/>
        </w:rPr>
        <w:t>Au-delà de l’exigence tenant au champ d’application, encore faut-il que la norme en cause présente un caractère justiciable pour que la Cour puisse en constater la violation.</w:t>
      </w:r>
      <w:r>
        <w:rPr>
          <w:lang w:val="fr-FR"/>
        </w:rPr>
        <w:t xml:space="preserve"> </w:t>
      </w:r>
      <w:r w:rsidR="00DC2411">
        <w:rPr>
          <w:lang w:val="fr-FR"/>
        </w:rPr>
        <w:t>À</w:t>
      </w:r>
      <w:r>
        <w:rPr>
          <w:lang w:val="fr-FR"/>
        </w:rPr>
        <w:t xml:space="preserve"> cet égard, il est généralement considéré nécessaire que la disposition remplisse </w:t>
      </w:r>
      <w:r w:rsidR="007E7749">
        <w:rPr>
          <w:lang w:val="fr-FR"/>
        </w:rPr>
        <w:t>deux critères : créer des obligations contraignantes et faire partie de la juridiction de la Cour</w:t>
      </w:r>
      <w:r w:rsidR="007E7749">
        <w:rPr>
          <w:rStyle w:val="FootnoteReference"/>
          <w:lang w:val="fr-FR"/>
        </w:rPr>
        <w:footnoteReference w:id="15"/>
      </w:r>
      <w:r w:rsidR="007E7749">
        <w:rPr>
          <w:lang w:val="fr-FR"/>
        </w:rPr>
        <w:t xml:space="preserve">. Par l’arrêt </w:t>
      </w:r>
      <w:r w:rsidR="00206EB5">
        <w:rPr>
          <w:lang w:val="fr-FR"/>
        </w:rPr>
        <w:t>Commission/Hongrie</w:t>
      </w:r>
      <w:r w:rsidR="007E7749">
        <w:rPr>
          <w:lang w:val="fr-FR"/>
        </w:rPr>
        <w:t>, la Cour met fin à un débat de longue haleine, confirmant que l’article 2 TUE remplit ces conditions.</w:t>
      </w:r>
    </w:p>
    <w:p w14:paraId="1A2B9C82" w14:textId="38CED71C" w:rsidR="00450C20" w:rsidRPr="001E2734" w:rsidRDefault="00450C20" w:rsidP="00C2721B">
      <w:pPr>
        <w:jc w:val="both"/>
      </w:pPr>
      <w:r>
        <w:rPr>
          <w:lang w:val="fr-FR"/>
        </w:rPr>
        <w:t xml:space="preserve">D’une part, la Cour confirme que l’article 2 TUE emporte des obligations contraignantes pour </w:t>
      </w:r>
      <w:r w:rsidR="00B00B5F">
        <w:rPr>
          <w:lang w:val="fr-FR"/>
        </w:rPr>
        <w:t>les États membres</w:t>
      </w:r>
      <w:r w:rsidR="008B35CB">
        <w:rPr>
          <w:rStyle w:val="FootnoteReference"/>
          <w:lang w:val="fr-FR"/>
        </w:rPr>
        <w:footnoteReference w:id="16"/>
      </w:r>
      <w:r w:rsidR="00440B13">
        <w:rPr>
          <w:lang w:val="fr-FR"/>
        </w:rPr>
        <w:t>, rejoignant l’avis de l’avocate générale</w:t>
      </w:r>
      <w:r w:rsidR="00440B13">
        <w:rPr>
          <w:rStyle w:val="FootnoteReference"/>
          <w:lang w:val="fr-FR"/>
        </w:rPr>
        <w:footnoteReference w:id="17"/>
      </w:r>
      <w:r w:rsidR="00440B13">
        <w:rPr>
          <w:lang w:val="fr-FR"/>
        </w:rPr>
        <w:t>.</w:t>
      </w:r>
      <w:r w:rsidR="0053231D">
        <w:rPr>
          <w:lang w:val="fr-FR"/>
        </w:rPr>
        <w:t xml:space="preserve"> </w:t>
      </w:r>
      <w:r w:rsidR="00E35922">
        <w:rPr>
          <w:lang w:val="fr-FR"/>
        </w:rPr>
        <w:t xml:space="preserve">Elle </w:t>
      </w:r>
      <w:r w:rsidR="00027A0C">
        <w:rPr>
          <w:lang w:val="fr-FR"/>
        </w:rPr>
        <w:t>synthétise</w:t>
      </w:r>
      <w:r w:rsidR="00E35922">
        <w:rPr>
          <w:lang w:val="fr-FR"/>
        </w:rPr>
        <w:t xml:space="preserve"> et complète sa jurisprudence antérieure</w:t>
      </w:r>
      <w:r w:rsidR="00027A0C">
        <w:rPr>
          <w:lang w:val="fr-FR"/>
        </w:rPr>
        <w:t xml:space="preserve">, en particulier </w:t>
      </w:r>
      <w:r w:rsidR="00E244EB">
        <w:rPr>
          <w:lang w:val="fr-FR"/>
        </w:rPr>
        <w:t>ses</w:t>
      </w:r>
      <w:r w:rsidR="002370DB">
        <w:rPr>
          <w:lang w:val="fr-FR"/>
        </w:rPr>
        <w:t xml:space="preserve"> jugements </w:t>
      </w:r>
      <w:r w:rsidR="00E72EC5">
        <w:rPr>
          <w:lang w:val="fr-FR"/>
        </w:rPr>
        <w:t>relatif</w:t>
      </w:r>
      <w:r w:rsidR="00B13CB3">
        <w:rPr>
          <w:lang w:val="fr-FR"/>
        </w:rPr>
        <w:t>s</w:t>
      </w:r>
      <w:r w:rsidR="00E72EC5">
        <w:rPr>
          <w:lang w:val="fr-FR"/>
        </w:rPr>
        <w:t xml:space="preserve"> au régime de conditionnalité, </w:t>
      </w:r>
      <w:r w:rsidR="00E244EB">
        <w:rPr>
          <w:lang w:val="fr-FR"/>
        </w:rPr>
        <w:t>selon lesquels</w:t>
      </w:r>
      <w:r w:rsidR="001155F2">
        <w:rPr>
          <w:lang w:val="fr-FR"/>
        </w:rPr>
        <w:t xml:space="preserve"> </w:t>
      </w:r>
      <w:r w:rsidR="007F017E">
        <w:rPr>
          <w:lang w:val="fr-FR"/>
        </w:rPr>
        <w:t xml:space="preserve">l’article 2 TUE </w:t>
      </w:r>
      <w:r w:rsidR="001155F2">
        <w:rPr>
          <w:lang w:val="fr-FR"/>
        </w:rPr>
        <w:t>« </w:t>
      </w:r>
      <w:r w:rsidR="00BE3335" w:rsidRPr="00BE3335">
        <w:t xml:space="preserve">ne constitue pas une simple énonciation d’orientations ou d’intentions de nature politique, </w:t>
      </w:r>
      <w:r w:rsidR="00BE3335" w:rsidRPr="00292A5C">
        <w:t>mais contient des valeurs […]</w:t>
      </w:r>
      <w:r w:rsidR="00292A5C" w:rsidRPr="00292A5C">
        <w:t xml:space="preserve"> </w:t>
      </w:r>
      <w:r w:rsidR="00BE3335" w:rsidRPr="00292A5C">
        <w:t>concrétisées dans des principes contenant des obligations juridiquement contraignantes pour les États membres </w:t>
      </w:r>
      <w:r w:rsidR="00BE3335">
        <w:t>»</w:t>
      </w:r>
      <w:r w:rsidR="00BE3335">
        <w:rPr>
          <w:rStyle w:val="FootnoteReference"/>
        </w:rPr>
        <w:footnoteReference w:id="18"/>
      </w:r>
      <w:r w:rsidR="00B13CB3">
        <w:t>. L</w:t>
      </w:r>
      <w:r w:rsidR="00C72630">
        <w:t xml:space="preserve">a Cour </w:t>
      </w:r>
      <w:r w:rsidR="00E244EB">
        <w:t>précise aujourd’hui</w:t>
      </w:r>
      <w:r w:rsidR="00C72630">
        <w:t xml:space="preserve"> que ces obligations découlent </w:t>
      </w:r>
      <w:r w:rsidR="00C72630">
        <w:rPr>
          <w:i/>
          <w:iCs/>
        </w:rPr>
        <w:t>directement</w:t>
      </w:r>
      <w:r w:rsidR="00C72630">
        <w:t xml:space="preserve"> de l’article 2 TUE, </w:t>
      </w:r>
      <w:r w:rsidR="00921D50">
        <w:t xml:space="preserve">indépendamment du fait que </w:t>
      </w:r>
      <w:r w:rsidR="00C72630">
        <w:t xml:space="preserve">les valeurs qui y sont inscrites </w:t>
      </w:r>
      <w:r w:rsidR="00921D50">
        <w:t>soient par ailleurs</w:t>
      </w:r>
      <w:r w:rsidR="00027A0C">
        <w:t xml:space="preserve"> concrétisées </w:t>
      </w:r>
      <w:r w:rsidR="00E244EB">
        <w:t xml:space="preserve">dans </w:t>
      </w:r>
      <w:r w:rsidR="00027A0C">
        <w:t xml:space="preserve">d’autres dispositions de droit européen. </w:t>
      </w:r>
      <w:r w:rsidR="001E2734">
        <w:t xml:space="preserve">Une question reste cependant en suspens : la justiciabilité </w:t>
      </w:r>
      <w:r w:rsidR="00E244EB">
        <w:t xml:space="preserve">ainsi confirmée </w:t>
      </w:r>
      <w:r w:rsidR="001E2734">
        <w:t>de l’article 2 TUE s’étend-elle à l’</w:t>
      </w:r>
      <w:r w:rsidR="001E2734">
        <w:rPr>
          <w:i/>
          <w:iCs/>
        </w:rPr>
        <w:t>ensemble</w:t>
      </w:r>
      <w:r w:rsidR="001E2734">
        <w:t xml:space="preserve"> de la disposition, </w:t>
      </w:r>
      <w:r w:rsidR="00B617FF">
        <w:t>en ce compris sa seconde phrase</w:t>
      </w:r>
      <w:r w:rsidR="00A069BA">
        <w:t>,</w:t>
      </w:r>
      <w:r w:rsidR="00D802DE">
        <w:t xml:space="preserve"> selon laquelle les valeurs fondatrices</w:t>
      </w:r>
      <w:r w:rsidR="00D802DE" w:rsidRPr="00D802DE">
        <w:t xml:space="preserve"> </w:t>
      </w:r>
      <w:r w:rsidR="00D802DE">
        <w:t>« </w:t>
      </w:r>
      <w:r w:rsidR="00D802DE" w:rsidRPr="00D802DE">
        <w:t>sont communes aux États membres dans une société caractérisée par le pluralisme, la non-discrimination, la tolérance, la justice, la solidarité et l’égalité entre les femmes et les hommes</w:t>
      </w:r>
      <w:r w:rsidR="00D802DE">
        <w:t> »</w:t>
      </w:r>
      <w:r w:rsidR="00B617FF">
        <w:t> ?</w:t>
      </w:r>
      <w:r w:rsidR="000D732B">
        <w:rPr>
          <w:rStyle w:val="FootnoteReference"/>
        </w:rPr>
        <w:footnoteReference w:id="19"/>
      </w:r>
      <w:r w:rsidR="00B617FF">
        <w:t xml:space="preserve"> </w:t>
      </w:r>
    </w:p>
    <w:p w14:paraId="6F7B1215" w14:textId="7902DC0C" w:rsidR="005E5375" w:rsidRDefault="004D3DFA" w:rsidP="00BB1896">
      <w:pPr>
        <w:jc w:val="both"/>
        <w:rPr>
          <w:lang w:val="fr-FR"/>
        </w:rPr>
      </w:pPr>
      <w:r>
        <w:rPr>
          <w:lang w:val="fr-FR"/>
        </w:rPr>
        <w:lastRenderedPageBreak/>
        <w:t xml:space="preserve">D’autre part, </w:t>
      </w:r>
      <w:r w:rsidR="00E275B5">
        <w:rPr>
          <w:lang w:val="fr-FR"/>
        </w:rPr>
        <w:t>la Cour</w:t>
      </w:r>
      <w:r w:rsidR="008B37C8">
        <w:rPr>
          <w:lang w:val="fr-FR"/>
        </w:rPr>
        <w:t xml:space="preserve"> constate</w:t>
      </w:r>
      <w:r w:rsidR="007A6551">
        <w:rPr>
          <w:lang w:val="fr-FR"/>
        </w:rPr>
        <w:t xml:space="preserve">, </w:t>
      </w:r>
      <w:r w:rsidR="00E275B5">
        <w:rPr>
          <w:lang w:val="fr-FR"/>
        </w:rPr>
        <w:t xml:space="preserve">par une lecture combinée des articles 19 TUE et 258 TFUE, </w:t>
      </w:r>
      <w:r w:rsidR="00DC2411">
        <w:rPr>
          <w:lang w:val="fr-FR"/>
        </w:rPr>
        <w:t>l’absence</w:t>
      </w:r>
      <w:r w:rsidR="00E275B5">
        <w:rPr>
          <w:lang w:val="fr-FR"/>
        </w:rPr>
        <w:t xml:space="preserve"> d’exception à sa juridiction concernant l’article 2 TUE. </w:t>
      </w:r>
      <w:r w:rsidR="00C10F04">
        <w:rPr>
          <w:lang w:val="fr-FR"/>
        </w:rPr>
        <w:t xml:space="preserve">L’existence d’une procédure particulière issue de l’article 7 TUE ne fait pas davantage obstacle </w:t>
      </w:r>
      <w:r w:rsidR="00660A28">
        <w:rPr>
          <w:lang w:val="fr-FR"/>
        </w:rPr>
        <w:t>à un tel recours en manquement</w:t>
      </w:r>
      <w:r w:rsidR="003E58AF">
        <w:rPr>
          <w:lang w:val="fr-FR"/>
        </w:rPr>
        <w:t xml:space="preserve">. </w:t>
      </w:r>
    </w:p>
    <w:p w14:paraId="0A790C72" w14:textId="01ED03FD" w:rsidR="00706447" w:rsidRDefault="00AC1E2F" w:rsidP="00AC1E2F">
      <w:pPr>
        <w:pStyle w:val="Heading2"/>
        <w:rPr>
          <w:lang w:val="fr-FR"/>
        </w:rPr>
      </w:pPr>
      <w:r>
        <w:rPr>
          <w:lang w:val="fr-FR"/>
        </w:rPr>
        <w:t>Une applicabilité conditionnée à l’existence d’une violation grave et manifeste</w:t>
      </w:r>
    </w:p>
    <w:p w14:paraId="0E1EB260" w14:textId="21E4D20B" w:rsidR="0090644F" w:rsidRDefault="007A6551" w:rsidP="00081F77">
      <w:pPr>
        <w:jc w:val="both"/>
        <w:rPr>
          <w:lang w:val="fr-FR"/>
        </w:rPr>
      </w:pPr>
      <w:r>
        <w:rPr>
          <w:lang w:val="fr-FR"/>
        </w:rPr>
        <w:t>R</w:t>
      </w:r>
      <w:r w:rsidR="00FF4B70">
        <w:rPr>
          <w:lang w:val="fr-FR"/>
        </w:rPr>
        <w:t>este</w:t>
      </w:r>
      <w:r>
        <w:rPr>
          <w:lang w:val="fr-FR"/>
        </w:rPr>
        <w:t xml:space="preserve"> maintenant </w:t>
      </w:r>
      <w:r w:rsidR="00FF4B70">
        <w:rPr>
          <w:lang w:val="fr-FR"/>
        </w:rPr>
        <w:t xml:space="preserve">à savoir comment établir une violation </w:t>
      </w:r>
      <w:r w:rsidR="00D802DE">
        <w:rPr>
          <w:lang w:val="fr-FR"/>
        </w:rPr>
        <w:t>de cette disposition</w:t>
      </w:r>
      <w:r w:rsidR="00FF4B70">
        <w:rPr>
          <w:lang w:val="fr-FR"/>
        </w:rPr>
        <w:t xml:space="preserve">. </w:t>
      </w:r>
      <w:r w:rsidR="00B018E7">
        <w:rPr>
          <w:lang w:val="fr-FR"/>
        </w:rPr>
        <w:t>À</w:t>
      </w:r>
      <w:r w:rsidR="00D802DE">
        <w:rPr>
          <w:lang w:val="fr-FR"/>
        </w:rPr>
        <w:t xml:space="preserve"> cet égard</w:t>
      </w:r>
      <w:r w:rsidR="00FF4B70">
        <w:rPr>
          <w:lang w:val="fr-FR"/>
        </w:rPr>
        <w:t xml:space="preserve">, tant l’avocate générale que la Cour sont d’avis que n’importe quelle violation des valeurs de l’Union n’équivaut pas </w:t>
      </w:r>
      <w:r w:rsidR="00FF4B70">
        <w:rPr>
          <w:i/>
          <w:iCs/>
          <w:lang w:val="fr-FR"/>
        </w:rPr>
        <w:t>de facto</w:t>
      </w:r>
      <w:r w:rsidR="00FF4B70">
        <w:rPr>
          <w:lang w:val="fr-FR"/>
        </w:rPr>
        <w:t xml:space="preserve"> à une violation de l’article 2</w:t>
      </w:r>
      <w:r w:rsidR="009D493D">
        <w:rPr>
          <w:lang w:val="fr-FR"/>
        </w:rPr>
        <w:t xml:space="preserve">, laquelle requiert un certain seuil de gravité ou, pour reprendre les termes de l’avocate générale, le dépassement de </w:t>
      </w:r>
      <w:r w:rsidR="007754F0">
        <w:rPr>
          <w:lang w:val="fr-FR"/>
        </w:rPr>
        <w:t>« </w:t>
      </w:r>
      <w:r w:rsidR="009D493D">
        <w:rPr>
          <w:lang w:val="fr-FR"/>
        </w:rPr>
        <w:t>lignes rouges</w:t>
      </w:r>
      <w:r w:rsidR="007754F0">
        <w:rPr>
          <w:lang w:val="fr-FR"/>
        </w:rPr>
        <w:t> »</w:t>
      </w:r>
      <w:r>
        <w:rPr>
          <w:rStyle w:val="FootnoteReference"/>
          <w:lang w:val="fr-FR"/>
        </w:rPr>
        <w:footnoteReference w:id="20"/>
      </w:r>
      <w:r w:rsidR="009D493D">
        <w:rPr>
          <w:lang w:val="fr-FR"/>
        </w:rPr>
        <w:t xml:space="preserve">. La Cour s’éloigne cependant du critère de la </w:t>
      </w:r>
      <w:r w:rsidR="003E2C48">
        <w:rPr>
          <w:lang w:val="fr-FR"/>
        </w:rPr>
        <w:t>« </w:t>
      </w:r>
      <w:r w:rsidR="009D493D">
        <w:rPr>
          <w:lang w:val="fr-FR"/>
        </w:rPr>
        <w:t>négation de valeurs</w:t>
      </w:r>
      <w:r w:rsidR="003E2C48">
        <w:rPr>
          <w:lang w:val="fr-FR"/>
        </w:rPr>
        <w:t> »</w:t>
      </w:r>
      <w:r w:rsidR="009D493D">
        <w:rPr>
          <w:lang w:val="fr-FR"/>
        </w:rPr>
        <w:t xml:space="preserve"> développé par cette dernière, </w:t>
      </w:r>
      <w:r w:rsidR="00081F77">
        <w:rPr>
          <w:lang w:val="fr-FR"/>
        </w:rPr>
        <w:t xml:space="preserve">et </w:t>
      </w:r>
      <w:r w:rsidR="00D01C2B">
        <w:rPr>
          <w:lang w:val="fr-FR"/>
        </w:rPr>
        <w:t xml:space="preserve">se rapproche </w:t>
      </w:r>
      <w:r w:rsidR="00135F49">
        <w:rPr>
          <w:lang w:val="fr-FR"/>
        </w:rPr>
        <w:t xml:space="preserve">davantage </w:t>
      </w:r>
      <w:r w:rsidR="00D01C2B">
        <w:rPr>
          <w:lang w:val="fr-FR"/>
        </w:rPr>
        <w:t xml:space="preserve">du </w:t>
      </w:r>
      <w:r w:rsidR="003E2C48">
        <w:rPr>
          <w:lang w:val="fr-FR"/>
        </w:rPr>
        <w:t>« </w:t>
      </w:r>
      <w:r w:rsidR="00D01C2B">
        <w:rPr>
          <w:lang w:val="fr-FR"/>
        </w:rPr>
        <w:t>double test</w:t>
      </w:r>
      <w:r w:rsidR="003E2C48">
        <w:rPr>
          <w:lang w:val="fr-FR"/>
        </w:rPr>
        <w:t> »</w:t>
      </w:r>
      <w:r w:rsidR="00D01C2B">
        <w:rPr>
          <w:lang w:val="fr-FR"/>
        </w:rPr>
        <w:t xml:space="preserve"> proposé par la Commission (à savoir le constat d’une violation </w:t>
      </w:r>
      <w:r w:rsidR="007754F0">
        <w:rPr>
          <w:lang w:val="fr-FR"/>
        </w:rPr>
        <w:t>« </w:t>
      </w:r>
      <w:r w:rsidR="00D01C2B">
        <w:rPr>
          <w:lang w:val="fr-FR"/>
        </w:rPr>
        <w:t>grave</w:t>
      </w:r>
      <w:r w:rsidR="007754F0">
        <w:rPr>
          <w:lang w:val="fr-FR"/>
        </w:rPr>
        <w:t> »</w:t>
      </w:r>
      <w:r w:rsidR="00D01C2B">
        <w:rPr>
          <w:lang w:val="fr-FR"/>
        </w:rPr>
        <w:t xml:space="preserve"> et </w:t>
      </w:r>
      <w:r w:rsidR="007754F0">
        <w:rPr>
          <w:lang w:val="fr-FR"/>
        </w:rPr>
        <w:t>« </w:t>
      </w:r>
      <w:r w:rsidR="00D01C2B">
        <w:rPr>
          <w:lang w:val="fr-FR"/>
        </w:rPr>
        <w:t>systémique</w:t>
      </w:r>
      <w:r w:rsidR="007754F0">
        <w:rPr>
          <w:lang w:val="fr-FR"/>
        </w:rPr>
        <w:t> »</w:t>
      </w:r>
      <w:r w:rsidR="00D01C2B">
        <w:rPr>
          <w:rStyle w:val="FootnoteReference"/>
          <w:lang w:val="fr-FR"/>
        </w:rPr>
        <w:footnoteReference w:id="21"/>
      </w:r>
      <w:r w:rsidR="00190075">
        <w:rPr>
          <w:lang w:val="fr-FR"/>
        </w:rPr>
        <w:t xml:space="preserve">), </w:t>
      </w:r>
      <w:r w:rsidR="00135F49">
        <w:rPr>
          <w:lang w:val="fr-FR"/>
        </w:rPr>
        <w:t>sans se</w:t>
      </w:r>
      <w:r w:rsidR="00190075">
        <w:rPr>
          <w:lang w:val="fr-FR"/>
        </w:rPr>
        <w:t xml:space="preserve"> l’approprie</w:t>
      </w:r>
      <w:r w:rsidR="00135F49">
        <w:rPr>
          <w:lang w:val="fr-FR"/>
        </w:rPr>
        <w:t>r</w:t>
      </w:r>
      <w:r w:rsidR="00190075">
        <w:rPr>
          <w:lang w:val="fr-FR"/>
        </w:rPr>
        <w:t xml:space="preserve"> en tant que tel</w:t>
      </w:r>
      <w:r w:rsidR="008B37C8">
        <w:rPr>
          <w:rStyle w:val="FootnoteReference"/>
          <w:lang w:val="fr-FR"/>
        </w:rPr>
        <w:footnoteReference w:id="22"/>
      </w:r>
      <w:r w:rsidR="00190075">
        <w:rPr>
          <w:lang w:val="fr-FR"/>
        </w:rPr>
        <w:t xml:space="preserve">. </w:t>
      </w:r>
    </w:p>
    <w:p w14:paraId="1380E5A5" w14:textId="76E51970" w:rsidR="00190075" w:rsidRDefault="00190075" w:rsidP="00FF4B70">
      <w:pPr>
        <w:jc w:val="both"/>
      </w:pPr>
      <w:r>
        <w:rPr>
          <w:lang w:val="fr-FR"/>
        </w:rPr>
        <w:t>Selon la Cour, seule</w:t>
      </w:r>
      <w:r w:rsidR="008D1FDB">
        <w:rPr>
          <w:lang w:val="fr-FR"/>
        </w:rPr>
        <w:t>s</w:t>
      </w:r>
      <w:r>
        <w:rPr>
          <w:lang w:val="fr-FR"/>
        </w:rPr>
        <w:t xml:space="preserve"> </w:t>
      </w:r>
      <w:r w:rsidR="009220F7">
        <w:rPr>
          <w:lang w:val="fr-FR"/>
        </w:rPr>
        <w:t xml:space="preserve">peuvent être ainsi sanctionnées des violations </w:t>
      </w:r>
      <w:r w:rsidR="009220F7" w:rsidRPr="00330DBB">
        <w:t>« manifestes et particulièrement graves d’une ou plusieurs des valeurs communes aux États membres, de telles violations étant incompatibles avec l’identité même de l’Union en tant qu’ordre juridique commun d’une société caractérisée par le pluralisme »</w:t>
      </w:r>
      <w:r w:rsidR="009220F7">
        <w:t xml:space="preserve"> (§</w:t>
      </w:r>
      <w:r w:rsidR="00EE19CC">
        <w:t> </w:t>
      </w:r>
      <w:r w:rsidR="009220F7">
        <w:t xml:space="preserve">551). </w:t>
      </w:r>
    </w:p>
    <w:p w14:paraId="793A7D9A" w14:textId="6DC7CFD3" w:rsidR="007F1B1D" w:rsidRDefault="00D557C9" w:rsidP="00FF4B70">
      <w:pPr>
        <w:jc w:val="both"/>
      </w:pPr>
      <w:r>
        <w:t xml:space="preserve">Comment apprécier </w:t>
      </w:r>
      <w:r w:rsidR="00285F63">
        <w:t>le</w:t>
      </w:r>
      <w:r w:rsidR="0033675B">
        <w:t>s critères</w:t>
      </w:r>
      <w:r w:rsidR="00285F63">
        <w:t xml:space="preserve"> </w:t>
      </w:r>
      <w:r w:rsidR="0033675B">
        <w:t xml:space="preserve">de violation </w:t>
      </w:r>
      <w:r w:rsidR="00285F63" w:rsidRPr="005E5375">
        <w:t>«</w:t>
      </w:r>
      <w:r w:rsidR="00285F63">
        <w:t> manifeste et particulièrement grave »</w:t>
      </w:r>
      <w:r>
        <w:t xml:space="preserve"> </w:t>
      </w:r>
      <w:r w:rsidR="00135F49">
        <w:t>ainsi dégagé</w:t>
      </w:r>
      <w:r w:rsidR="0033675B">
        <w:t>s</w:t>
      </w:r>
      <w:r w:rsidR="00135F49">
        <w:t xml:space="preserve">, </w:t>
      </w:r>
      <w:r w:rsidR="007A6551">
        <w:t>en l’absence de toute mention dans les</w:t>
      </w:r>
      <w:r>
        <w:t xml:space="preserve"> traités ? La Commission – qui </w:t>
      </w:r>
      <w:r w:rsidR="00345058">
        <w:t xml:space="preserve">invoquait le critère de gravité – </w:t>
      </w:r>
      <w:r w:rsidR="00485B7C">
        <w:t>proposait</w:t>
      </w:r>
      <w:r w:rsidR="00345058">
        <w:t xml:space="preserve"> d’avoir égard </w:t>
      </w:r>
      <w:r w:rsidR="008B676A">
        <w:t xml:space="preserve">à l’intensité de la violation (par exemple, dans le cas de l’atteinte à l’essence d’un droit), </w:t>
      </w:r>
      <w:r w:rsidR="005E33D3">
        <w:t>et/ou à sa portée (</w:t>
      </w:r>
      <w:r w:rsidR="003E2C48">
        <w:t>« </w:t>
      </w:r>
      <w:proofErr w:type="spellStart"/>
      <w:r w:rsidR="005E33D3">
        <w:rPr>
          <w:i/>
          <w:iCs/>
        </w:rPr>
        <w:t>breadth</w:t>
      </w:r>
      <w:proofErr w:type="spellEnd"/>
      <w:r w:rsidR="005E33D3">
        <w:rPr>
          <w:i/>
          <w:iCs/>
        </w:rPr>
        <w:t xml:space="preserve"> and scope</w:t>
      </w:r>
      <w:r w:rsidR="003E2C48">
        <w:t> »</w:t>
      </w:r>
      <w:r w:rsidR="005E33D3">
        <w:t>)</w:t>
      </w:r>
      <w:r w:rsidR="00285F63">
        <w:t>, tout en tenant compte</w:t>
      </w:r>
      <w:r w:rsidR="000B421C">
        <w:t xml:space="preserve"> du contexte dans une approche holistique</w:t>
      </w:r>
      <w:r w:rsidR="00F568E7">
        <w:rPr>
          <w:rStyle w:val="FootnoteReference"/>
        </w:rPr>
        <w:footnoteReference w:id="23"/>
      </w:r>
      <w:r w:rsidR="005E33D3">
        <w:t>.</w:t>
      </w:r>
      <w:r w:rsidR="00285F63">
        <w:t xml:space="preserve"> </w:t>
      </w:r>
    </w:p>
    <w:p w14:paraId="5F1F8F05" w14:textId="0392484B" w:rsidR="00D246E6" w:rsidRDefault="007A6551" w:rsidP="00FF4B70">
      <w:pPr>
        <w:jc w:val="both"/>
      </w:pPr>
      <w:r>
        <w:t>La</w:t>
      </w:r>
      <w:r w:rsidR="005847E6">
        <w:t xml:space="preserve"> Cour ne développe pas d</w:t>
      </w:r>
      <w:r w:rsidR="00A86E9E">
        <w:t>’élément</w:t>
      </w:r>
      <w:r w:rsidR="008C24BB">
        <w:t>s</w:t>
      </w:r>
      <w:r w:rsidR="00A86E9E">
        <w:t xml:space="preserve"> plus concret</w:t>
      </w:r>
      <w:r w:rsidR="007F1B1D">
        <w:t>s</w:t>
      </w:r>
      <w:r w:rsidR="00A86E9E">
        <w:t xml:space="preserve"> permettant d’apprécier si le seuil </w:t>
      </w:r>
      <w:r w:rsidR="00154F78">
        <w:t>de gravité</w:t>
      </w:r>
      <w:r w:rsidR="00A86E9E">
        <w:t xml:space="preserve"> est atteint. On peut en particulier s’étonner de l’absence de renvoi </w:t>
      </w:r>
      <w:r w:rsidR="00395907">
        <w:t>aux paragraphes précédents de l’arrêt</w:t>
      </w:r>
      <w:r w:rsidR="003E2C48">
        <w:t>,</w:t>
      </w:r>
      <w:r w:rsidR="00395907">
        <w:t xml:space="preserve"> ayant établi une violation du contenu essentiel du droit à la non-discrimination (</w:t>
      </w:r>
      <w:proofErr w:type="spellStart"/>
      <w:r w:rsidR="00395907">
        <w:t>voy</w:t>
      </w:r>
      <w:proofErr w:type="spellEnd"/>
      <w:r w:rsidR="00395907">
        <w:t xml:space="preserve">. </w:t>
      </w:r>
      <w:proofErr w:type="gramStart"/>
      <w:r w:rsidR="00395907">
        <w:t>les</w:t>
      </w:r>
      <w:proofErr w:type="gramEnd"/>
      <w:r w:rsidR="00395907">
        <w:t xml:space="preserve"> </w:t>
      </w:r>
      <w:r w:rsidR="00383282">
        <w:t>§§</w:t>
      </w:r>
      <w:r w:rsidR="00EE19CC">
        <w:t> </w:t>
      </w:r>
      <w:r w:rsidR="00395907">
        <w:t xml:space="preserve">141, 203, 306, 414, 422, 599). </w:t>
      </w:r>
      <w:r w:rsidR="00EA0B4F">
        <w:t xml:space="preserve">Dans son développement relatif à la violation de l’article 2 TUE, la Cour ne renvoie explicitement qu’aux paragraphes </w:t>
      </w:r>
      <w:r w:rsidR="009C0038">
        <w:t>portant sur la</w:t>
      </w:r>
      <w:r w:rsidR="00EA0B4F">
        <w:t xml:space="preserve"> violation du droit à la dignité humaine ; le parallèle </w:t>
      </w:r>
      <w:r w:rsidR="009C0038">
        <w:t xml:space="preserve">est d’ailleurs frappant, </w:t>
      </w:r>
      <w:r w:rsidR="00EA0B4F">
        <w:t xml:space="preserve">entre </w:t>
      </w:r>
      <w:r w:rsidR="00C81E95">
        <w:t>le raisonnement l’ayant mené à constat</w:t>
      </w:r>
      <w:r w:rsidR="00B96C5B">
        <w:t>er</w:t>
      </w:r>
      <w:r w:rsidR="00C81E95">
        <w:t xml:space="preserve"> </w:t>
      </w:r>
      <w:r w:rsidR="009C0038">
        <w:t>la violation de l’article 1</w:t>
      </w:r>
      <w:r w:rsidR="009C0038" w:rsidRPr="009C0038">
        <w:rPr>
          <w:vertAlign w:val="superscript"/>
        </w:rPr>
        <w:t>er</w:t>
      </w:r>
      <w:r w:rsidR="009C0038">
        <w:t xml:space="preserve"> de la Charte</w:t>
      </w:r>
      <w:r w:rsidR="00C81E95">
        <w:t xml:space="preserve"> (§§</w:t>
      </w:r>
      <w:r w:rsidR="00EE19CC">
        <w:t> </w:t>
      </w:r>
      <w:r w:rsidR="007F1B1D">
        <w:t>488-489</w:t>
      </w:r>
      <w:r w:rsidR="00C81E95">
        <w:t xml:space="preserve">), </w:t>
      </w:r>
      <w:r w:rsidR="009C0038">
        <w:t>et celle de l’article 2 TUE</w:t>
      </w:r>
      <w:r w:rsidR="00C81E95">
        <w:t xml:space="preserve"> (§§</w:t>
      </w:r>
      <w:r w:rsidR="00EE19CC">
        <w:t> </w:t>
      </w:r>
      <w:r w:rsidR="007F1B1D">
        <w:t>554-555)</w:t>
      </w:r>
      <w:r w:rsidR="009C0038">
        <w:t>.</w:t>
      </w:r>
      <w:r w:rsidR="00D246E6">
        <w:t xml:space="preserve"> Or, </w:t>
      </w:r>
      <w:r w:rsidR="006E5A6B">
        <w:t>le constat de la Cour</w:t>
      </w:r>
      <w:r w:rsidR="00635B48">
        <w:t xml:space="preserve"> </w:t>
      </w:r>
      <w:r w:rsidR="006E5A6B">
        <w:t>selon lequel</w:t>
      </w:r>
      <w:r w:rsidR="00D246E6">
        <w:t xml:space="preserve"> le droit à la dignité humaine « constitue la base même des droits fondamentaux » (§</w:t>
      </w:r>
      <w:r w:rsidR="00EE19CC">
        <w:t> </w:t>
      </w:r>
      <w:r w:rsidR="00D246E6">
        <w:t>486)</w:t>
      </w:r>
      <w:r w:rsidR="00635B48">
        <w:t xml:space="preserve"> </w:t>
      </w:r>
      <w:r w:rsidR="006E5A6B">
        <w:t xml:space="preserve">pourrait </w:t>
      </w:r>
      <w:r w:rsidR="00D20EB3">
        <w:t>amener à interpréter l’article 1</w:t>
      </w:r>
      <w:r w:rsidR="00D20EB3" w:rsidRPr="00D20EB3">
        <w:rPr>
          <w:vertAlign w:val="superscript"/>
        </w:rPr>
        <w:t>er</w:t>
      </w:r>
      <w:r w:rsidR="00D20EB3">
        <w:t xml:space="preserve"> de la Charte comme exprimant l’essence </w:t>
      </w:r>
      <w:r w:rsidR="001718B0">
        <w:t>de ces droits</w:t>
      </w:r>
      <w:r w:rsidR="001718B0">
        <w:rPr>
          <w:rStyle w:val="FootnoteReference"/>
        </w:rPr>
        <w:footnoteReference w:id="24"/>
      </w:r>
      <w:r w:rsidR="001718B0">
        <w:t xml:space="preserve">. </w:t>
      </w:r>
    </w:p>
    <w:p w14:paraId="5C7C8FBD" w14:textId="702DBDC8" w:rsidR="00D94C35" w:rsidRPr="007A42C4" w:rsidRDefault="00AE74ED" w:rsidP="00FF4B70">
      <w:pPr>
        <w:jc w:val="both"/>
      </w:pPr>
      <w:r>
        <w:t>Pourrait-on</w:t>
      </w:r>
      <w:r w:rsidR="00201CD1">
        <w:t xml:space="preserve"> considérer que le critère de l’atteinte à </w:t>
      </w:r>
      <w:proofErr w:type="gramStart"/>
      <w:r w:rsidR="00201CD1">
        <w:t>l’</w:t>
      </w:r>
      <w:r w:rsidR="00715793">
        <w:t> </w:t>
      </w:r>
      <w:r w:rsidR="00201CD1">
        <w:t>«</w:t>
      </w:r>
      <w:proofErr w:type="gramEnd"/>
      <w:r w:rsidR="00201CD1">
        <w:t> essence »</w:t>
      </w:r>
      <w:r w:rsidR="00306829">
        <w:t xml:space="preserve"> d’un droit permet d’apprécier la gravité de la violation de l’article 2 TUE, comme suggéré par la Commission ? Dans l’affirmative,</w:t>
      </w:r>
      <w:r w:rsidR="0080769C">
        <w:t xml:space="preserve"> il n’en demeure pas moins que la notion d’essence est élusive</w:t>
      </w:r>
      <w:r w:rsidR="00236942">
        <w:t>. Elle renverrait au contenu indérogeable d’un droit</w:t>
      </w:r>
      <w:r w:rsidR="00E77410">
        <w:t xml:space="preserve"> </w:t>
      </w:r>
      <w:r w:rsidR="004D53DF">
        <w:t>–</w:t>
      </w:r>
      <w:r w:rsidR="00236942">
        <w:t xml:space="preserve"> </w:t>
      </w:r>
      <w:r w:rsidR="004D53DF">
        <w:t>ce qui coïnciderait entièrement avec certains</w:t>
      </w:r>
      <w:r w:rsidR="00927ED6">
        <w:t xml:space="preserve"> droits</w:t>
      </w:r>
      <w:r w:rsidR="004D53DF">
        <w:t xml:space="preserve">, comme </w:t>
      </w:r>
      <w:r w:rsidR="004D53DF">
        <w:lastRenderedPageBreak/>
        <w:t xml:space="preserve">le droit à la dignité humaine, et traduirait un </w:t>
      </w:r>
      <w:r w:rsidR="00E93D04">
        <w:t>‘noyau dur’ pour d’autres</w:t>
      </w:r>
      <w:r w:rsidR="00E93D04">
        <w:rPr>
          <w:rStyle w:val="FootnoteReference"/>
        </w:rPr>
        <w:footnoteReference w:id="25"/>
      </w:r>
      <w:r w:rsidR="00E93D04">
        <w:t xml:space="preserve">. Cependant, même cette explication ne tranche pas le débat : </w:t>
      </w:r>
      <w:r w:rsidR="000C2799">
        <w:t xml:space="preserve">l’atteinte au noyau dur d’un droit </w:t>
      </w:r>
      <w:r w:rsidR="00E56D92">
        <w:t>peut être identifiée dans une perspective institutionnelle ou subjective</w:t>
      </w:r>
      <w:r w:rsidR="007A42C4">
        <w:t xml:space="preserve">, selon que l’on considère que le droit est vidé de sa substance </w:t>
      </w:r>
      <w:r w:rsidR="007A42C4" w:rsidRPr="007A42C4">
        <w:t>en tant qu’institution</w:t>
      </w:r>
      <w:r w:rsidR="007A42C4">
        <w:t xml:space="preserve">, ou selon </w:t>
      </w:r>
      <w:r w:rsidR="003E2C48">
        <w:t xml:space="preserve">le point de vue de </w:t>
      </w:r>
      <w:r w:rsidR="007A42C4">
        <w:t>l’individu victime de l’atteinte</w:t>
      </w:r>
      <w:r w:rsidR="003F6C57">
        <w:rPr>
          <w:rStyle w:val="FootnoteReference"/>
        </w:rPr>
        <w:footnoteReference w:id="26"/>
      </w:r>
      <w:r w:rsidR="007A42C4">
        <w:t>.</w:t>
      </w:r>
      <w:r w:rsidR="0078341E">
        <w:t xml:space="preserve"> </w:t>
      </w:r>
    </w:p>
    <w:p w14:paraId="0657FADA" w14:textId="6904894E" w:rsidR="005E5375" w:rsidRDefault="000524BC" w:rsidP="00FF4B70">
      <w:pPr>
        <w:jc w:val="both"/>
      </w:pPr>
      <w:r>
        <w:t xml:space="preserve">Finalement, </w:t>
      </w:r>
      <w:r w:rsidR="00395269">
        <w:t>reste à savoir dans quelle mesure ce double critère (</w:t>
      </w:r>
      <w:r w:rsidR="003E2C48">
        <w:t>« </w:t>
      </w:r>
      <w:r w:rsidR="00395269">
        <w:t>manifeste</w:t>
      </w:r>
      <w:r w:rsidR="003E2C48">
        <w:t> »</w:t>
      </w:r>
      <w:r w:rsidR="00395269">
        <w:t xml:space="preserve"> et </w:t>
      </w:r>
      <w:r w:rsidR="003E2C48">
        <w:t>« </w:t>
      </w:r>
      <w:r w:rsidR="00395269">
        <w:t>particulièrement grave</w:t>
      </w:r>
      <w:r w:rsidR="003E2C48">
        <w:t> »</w:t>
      </w:r>
      <w:r w:rsidR="00395269">
        <w:t>) doit être complété d’un troisième</w:t>
      </w:r>
      <w:r w:rsidR="005E7D47">
        <w:t> : « </w:t>
      </w:r>
      <w:r w:rsidR="005E7D47" w:rsidRPr="00330DBB">
        <w:t>de telles violations étant incompatibles avec l’identité même de l’Union en tant qu’ordre juridique commun d’une société caractérisée par le pluralisme</w:t>
      </w:r>
      <w:r w:rsidR="005E7D47">
        <w:t xml:space="preserve"> ». </w:t>
      </w:r>
      <w:r w:rsidR="00E26331">
        <w:t>On retrouve ici, entre les lignes, ce « quelque chose de plus » souligné par l’avocate générale</w:t>
      </w:r>
      <w:r w:rsidR="00E26331">
        <w:rPr>
          <w:rStyle w:val="FootnoteReference"/>
        </w:rPr>
        <w:footnoteReference w:id="27"/>
      </w:r>
      <w:r w:rsidR="00E26331">
        <w:t>.</w:t>
      </w:r>
      <w:r w:rsidR="00D563B8">
        <w:t xml:space="preserve"> </w:t>
      </w:r>
      <w:r w:rsidR="001D64C3">
        <w:t xml:space="preserve">Doit-on y voir la traduction de la </w:t>
      </w:r>
      <w:r w:rsidR="003E2C48">
        <w:t>« </w:t>
      </w:r>
      <w:r w:rsidR="001D64C3">
        <w:t>négation de valeurs</w:t>
      </w:r>
      <w:r w:rsidR="003E2C48">
        <w:t> »</w:t>
      </w:r>
      <w:r w:rsidR="001D64C3">
        <w:t xml:space="preserve">, proposée par cette dernière, en une </w:t>
      </w:r>
      <w:r w:rsidR="004A7F2C">
        <w:t xml:space="preserve">incompatibilité avec </w:t>
      </w:r>
      <w:r w:rsidR="001D64C3">
        <w:t>l’identité de l’Union ?</w:t>
      </w:r>
      <w:r w:rsidR="008C24BB">
        <w:t xml:space="preserve"> </w:t>
      </w:r>
    </w:p>
    <w:p w14:paraId="6F8B4C72" w14:textId="796E0C4E" w:rsidR="0090644F" w:rsidRPr="00981496" w:rsidRDefault="00A76647" w:rsidP="00B305C8">
      <w:pPr>
        <w:pStyle w:val="Heading1"/>
        <w:rPr>
          <w:lang w:val="fr-FR"/>
        </w:rPr>
      </w:pPr>
      <w:r w:rsidRPr="00981496">
        <w:rPr>
          <w:lang w:val="fr-FR"/>
        </w:rPr>
        <w:t>Quelles conséquences pour l’ordre constitutionnel européen ?</w:t>
      </w:r>
    </w:p>
    <w:p w14:paraId="44405D31" w14:textId="59A2E375" w:rsidR="0033675B" w:rsidRDefault="00CB0301" w:rsidP="002B6252">
      <w:pPr>
        <w:jc w:val="both"/>
        <w:rPr>
          <w:lang w:val="fr-FR"/>
        </w:rPr>
      </w:pPr>
      <w:r>
        <w:rPr>
          <w:lang w:val="fr-FR"/>
        </w:rPr>
        <w:t>Au-delà du cas d’espèce, l</w:t>
      </w:r>
      <w:r w:rsidR="006067D5">
        <w:rPr>
          <w:lang w:val="fr-FR"/>
        </w:rPr>
        <w:t>’</w:t>
      </w:r>
      <w:r>
        <w:rPr>
          <w:lang w:val="fr-FR"/>
        </w:rPr>
        <w:t xml:space="preserve">arrêt </w:t>
      </w:r>
      <w:r w:rsidR="006067D5">
        <w:rPr>
          <w:lang w:val="fr-FR"/>
        </w:rPr>
        <w:t xml:space="preserve">Commission/Hongrie </w:t>
      </w:r>
      <w:r>
        <w:rPr>
          <w:lang w:val="fr-FR"/>
        </w:rPr>
        <w:t>entraine une série de conséquences pour l’ordre constitutionnel européen.</w:t>
      </w:r>
      <w:r w:rsidR="0033675B">
        <w:rPr>
          <w:lang w:val="fr-FR"/>
        </w:rPr>
        <w:t xml:space="preserve"> </w:t>
      </w:r>
      <w:r w:rsidR="0033675B" w:rsidRPr="0033675B">
        <w:rPr>
          <w:lang w:val="fr-FR"/>
        </w:rPr>
        <w:t xml:space="preserve">L’article 2 TUE est ainsi érigé, tel un colosse, en obligation juridiquement contraignante et justiciable à l’égard des États membres. Cette évolution entraînera sans doute des conséquences concrètes pour le fonctionnement de l’Union. Il nous semble toutefois que celles-ci demeureront trop fragiles pour être, à elles seules, capables d’endiguer </w:t>
      </w:r>
      <w:r w:rsidR="0033675B">
        <w:rPr>
          <w:lang w:val="fr-FR"/>
        </w:rPr>
        <w:t>d</w:t>
      </w:r>
      <w:r w:rsidR="0033675B" w:rsidRPr="0033675B">
        <w:rPr>
          <w:lang w:val="fr-FR"/>
        </w:rPr>
        <w:t>es reculs systémiques observés au sein des démocraties libérales européennes (A).</w:t>
      </w:r>
      <w:r w:rsidR="0033675B">
        <w:rPr>
          <w:lang w:val="fr-FR"/>
        </w:rPr>
        <w:t xml:space="preserve"> </w:t>
      </w:r>
      <w:r w:rsidR="0033675B" w:rsidRPr="0033675B">
        <w:rPr>
          <w:lang w:val="fr-FR"/>
        </w:rPr>
        <w:t xml:space="preserve">Par ailleurs, cette consécration soulève de nombreuses interrogations, </w:t>
      </w:r>
      <w:r w:rsidR="00CB727B">
        <w:rPr>
          <w:lang w:val="fr-FR"/>
        </w:rPr>
        <w:t xml:space="preserve">notamment </w:t>
      </w:r>
      <w:r w:rsidR="00A069BA">
        <w:rPr>
          <w:lang w:val="fr-FR"/>
        </w:rPr>
        <w:t xml:space="preserve">quant à </w:t>
      </w:r>
      <w:r w:rsidR="0033675B" w:rsidRPr="0033675B">
        <w:rPr>
          <w:lang w:val="fr-FR"/>
        </w:rPr>
        <w:t>l’articulation entre les valeurs de l’Union et le respect des identités nationales des États membres (B).</w:t>
      </w:r>
    </w:p>
    <w:p w14:paraId="4BC243AF" w14:textId="14C12407" w:rsidR="0033675B" w:rsidRDefault="0033675B" w:rsidP="00DC0163">
      <w:pPr>
        <w:pStyle w:val="Heading2"/>
        <w:numPr>
          <w:ilvl w:val="0"/>
          <w:numId w:val="10"/>
        </w:numPr>
        <w:rPr>
          <w:lang w:val="fr-FR"/>
        </w:rPr>
      </w:pPr>
      <w:r>
        <w:rPr>
          <w:lang w:val="fr-FR"/>
        </w:rPr>
        <w:t>Les c</w:t>
      </w:r>
      <w:r w:rsidR="0090644F">
        <w:rPr>
          <w:lang w:val="fr-FR"/>
        </w:rPr>
        <w:t>onséquences</w:t>
      </w:r>
      <w:r>
        <w:rPr>
          <w:lang w:val="fr-FR"/>
        </w:rPr>
        <w:t xml:space="preserve"> limitées et incertaines</w:t>
      </w:r>
      <w:r w:rsidR="0090644F">
        <w:rPr>
          <w:lang w:val="fr-FR"/>
        </w:rPr>
        <w:t xml:space="preserve"> du constat d’une violation de l’article 2 </w:t>
      </w:r>
      <w:r w:rsidR="003E2C48">
        <w:rPr>
          <w:lang w:val="fr-FR"/>
        </w:rPr>
        <w:t>TUE</w:t>
      </w:r>
    </w:p>
    <w:p w14:paraId="5BB0EDAD" w14:textId="666DBCD9" w:rsidR="00A22060" w:rsidRDefault="0033675B" w:rsidP="00A22060">
      <w:pPr>
        <w:jc w:val="both"/>
        <w:rPr>
          <w:lang w:val="fr-FR"/>
        </w:rPr>
      </w:pPr>
      <w:r w:rsidRPr="0033675B">
        <w:rPr>
          <w:lang w:val="fr-FR"/>
        </w:rPr>
        <w:t>Même en l’absence de l’article 2 TUE, le recours introduit par la Commission à l’encontre de la Hongrie paraissait suffisamment solide. La reconnaissance de la violation de cet article revêt néanmoins une forte portée symbolique</w:t>
      </w:r>
      <w:r w:rsidR="00A22060">
        <w:rPr>
          <w:rStyle w:val="FootnoteReference"/>
          <w:lang w:val="fr-FR"/>
        </w:rPr>
        <w:footnoteReference w:id="28"/>
      </w:r>
      <w:r w:rsidR="00A22060">
        <w:rPr>
          <w:lang w:val="fr-FR"/>
        </w:rPr>
        <w:t xml:space="preserve"> (ou diagnostique</w:t>
      </w:r>
      <w:r w:rsidR="00A22060">
        <w:rPr>
          <w:rStyle w:val="FootnoteReference"/>
          <w:lang w:val="fr-FR"/>
        </w:rPr>
        <w:footnoteReference w:id="29"/>
      </w:r>
      <w:r w:rsidR="003E2C48">
        <w:rPr>
          <w:lang w:val="fr-FR"/>
        </w:rPr>
        <w:t>)</w:t>
      </w:r>
      <w:r w:rsidR="00BB273C">
        <w:rPr>
          <w:lang w:val="fr-FR"/>
        </w:rPr>
        <w:t>, ainsi que d</w:t>
      </w:r>
      <w:r>
        <w:rPr>
          <w:lang w:val="fr-FR"/>
        </w:rPr>
        <w:t>es conséquences</w:t>
      </w:r>
      <w:r w:rsidR="00BB273C">
        <w:rPr>
          <w:lang w:val="fr-FR"/>
        </w:rPr>
        <w:t xml:space="preserve"> plus concrètes, quoique</w:t>
      </w:r>
      <w:r>
        <w:rPr>
          <w:lang w:val="fr-FR"/>
        </w:rPr>
        <w:t xml:space="preserve"> limitées</w:t>
      </w:r>
      <w:r w:rsidR="00BB273C">
        <w:rPr>
          <w:lang w:val="fr-FR"/>
        </w:rPr>
        <w:t xml:space="preserve">. </w:t>
      </w:r>
    </w:p>
    <w:p w14:paraId="60426368" w14:textId="1DEC1C19" w:rsidR="00946EDB" w:rsidRDefault="0023206A" w:rsidP="00BA67FC">
      <w:pPr>
        <w:jc w:val="both"/>
        <w:rPr>
          <w:lang w:val="fr-FR"/>
        </w:rPr>
      </w:pPr>
      <w:r w:rsidRPr="00105494">
        <w:rPr>
          <w:i/>
          <w:iCs/>
          <w:lang w:val="fr-FR"/>
        </w:rPr>
        <w:t>Premièrement</w:t>
      </w:r>
      <w:r>
        <w:rPr>
          <w:lang w:val="fr-FR"/>
        </w:rPr>
        <w:t xml:space="preserve">, le constat d’une violation </w:t>
      </w:r>
      <w:r w:rsidR="002E3804">
        <w:rPr>
          <w:lang w:val="fr-FR"/>
        </w:rPr>
        <w:t xml:space="preserve">des valeurs de l’Union </w:t>
      </w:r>
      <w:r>
        <w:rPr>
          <w:lang w:val="fr-FR"/>
        </w:rPr>
        <w:t xml:space="preserve">pourrait </w:t>
      </w:r>
      <w:r w:rsidR="002E3804">
        <w:rPr>
          <w:lang w:val="fr-FR"/>
        </w:rPr>
        <w:t>impacter</w:t>
      </w:r>
      <w:r>
        <w:rPr>
          <w:lang w:val="fr-FR"/>
        </w:rPr>
        <w:t xml:space="preserve"> le montant des astreintes </w:t>
      </w:r>
      <w:r w:rsidR="00B64AE8">
        <w:rPr>
          <w:lang w:val="fr-FR"/>
        </w:rPr>
        <w:t>potentielles,</w:t>
      </w:r>
      <w:r w:rsidR="00E86626">
        <w:rPr>
          <w:lang w:val="fr-FR"/>
        </w:rPr>
        <w:t xml:space="preserve"> </w:t>
      </w:r>
      <w:r w:rsidR="00D73BBA">
        <w:rPr>
          <w:lang w:val="fr-FR"/>
        </w:rPr>
        <w:t>dans le cas où la Commission estimerait que la Hongrie ne se conforme pas au présent arrêt</w:t>
      </w:r>
      <w:r w:rsidR="00B64AE8">
        <w:rPr>
          <w:lang w:val="fr-FR"/>
        </w:rPr>
        <w:t xml:space="preserve"> (article 260 TFUE)</w:t>
      </w:r>
      <w:r w:rsidR="008E0D40">
        <w:rPr>
          <w:rStyle w:val="FootnoteReference"/>
          <w:lang w:val="fr-FR"/>
        </w:rPr>
        <w:footnoteReference w:id="30"/>
      </w:r>
      <w:r w:rsidR="00D73BBA">
        <w:rPr>
          <w:lang w:val="fr-FR"/>
        </w:rPr>
        <w:t>.</w:t>
      </w:r>
      <w:r w:rsidR="00F975D3">
        <w:rPr>
          <w:lang w:val="fr-FR"/>
        </w:rPr>
        <w:t xml:space="preserve"> </w:t>
      </w:r>
      <w:r w:rsidR="00C87C14">
        <w:rPr>
          <w:lang w:val="fr-FR"/>
        </w:rPr>
        <w:t xml:space="preserve">La violation distincte de l’article 2 TUE </w:t>
      </w:r>
      <w:r w:rsidR="006C3F38">
        <w:rPr>
          <w:lang w:val="fr-FR"/>
        </w:rPr>
        <w:t>jouerait également</w:t>
      </w:r>
      <w:r w:rsidR="00220788">
        <w:rPr>
          <w:lang w:val="fr-FR"/>
        </w:rPr>
        <w:t xml:space="preserve"> un rôle dans le suivi de l’arrêt. </w:t>
      </w:r>
      <w:r w:rsidR="006C3F38">
        <w:rPr>
          <w:lang w:val="fr-FR"/>
        </w:rPr>
        <w:t>Elle</w:t>
      </w:r>
      <w:r w:rsidR="00220788">
        <w:rPr>
          <w:lang w:val="fr-FR"/>
        </w:rPr>
        <w:t xml:space="preserve"> permettrait </w:t>
      </w:r>
      <w:r w:rsidR="006C3F38">
        <w:rPr>
          <w:lang w:val="fr-FR"/>
        </w:rPr>
        <w:t>d’assurer</w:t>
      </w:r>
      <w:r w:rsidR="00220788">
        <w:rPr>
          <w:lang w:val="fr-FR"/>
        </w:rPr>
        <w:t xml:space="preserve"> que les mesures prises par l’État membre concerné ne se limitent pas à une réponse </w:t>
      </w:r>
      <w:r w:rsidR="006C3F38">
        <w:rPr>
          <w:lang w:val="fr-FR"/>
        </w:rPr>
        <w:t>superficielle</w:t>
      </w:r>
      <w:r w:rsidR="00220788">
        <w:rPr>
          <w:lang w:val="fr-FR"/>
        </w:rPr>
        <w:t xml:space="preserve"> aux violations </w:t>
      </w:r>
      <w:r w:rsidR="006C3F38">
        <w:rPr>
          <w:lang w:val="fr-FR"/>
        </w:rPr>
        <w:t xml:space="preserve">constatées dans d’autres domaines du droit européen (comme dans le cas présent, en matière de </w:t>
      </w:r>
      <w:r w:rsidR="006C3F38">
        <w:rPr>
          <w:lang w:val="fr-FR"/>
        </w:rPr>
        <w:lastRenderedPageBreak/>
        <w:t xml:space="preserve">libre prestation de services), mais remédient réellement à la situation plus large </w:t>
      </w:r>
      <w:r w:rsidR="003B597F">
        <w:rPr>
          <w:lang w:val="fr-FR"/>
        </w:rPr>
        <w:t>et à la violation des</w:t>
      </w:r>
      <w:r w:rsidR="006C3F38">
        <w:rPr>
          <w:lang w:val="fr-FR"/>
        </w:rPr>
        <w:t xml:space="preserve"> valeurs de l’Union</w:t>
      </w:r>
      <w:r w:rsidR="00394F65">
        <w:rPr>
          <w:rStyle w:val="FootnoteReference"/>
          <w:lang w:val="fr-FR"/>
        </w:rPr>
        <w:footnoteReference w:id="31"/>
      </w:r>
      <w:r w:rsidR="00394F65">
        <w:rPr>
          <w:lang w:val="fr-FR"/>
        </w:rPr>
        <w:t>.</w:t>
      </w:r>
    </w:p>
    <w:p w14:paraId="795E8EA7" w14:textId="3DDAA066" w:rsidR="00552C2E" w:rsidRDefault="00A062CA" w:rsidP="00E94177">
      <w:pPr>
        <w:jc w:val="both"/>
      </w:pPr>
      <w:r>
        <w:rPr>
          <w:i/>
          <w:iCs/>
          <w:lang w:val="fr-FR"/>
        </w:rPr>
        <w:t>Deuxièmement</w:t>
      </w:r>
      <w:r>
        <w:rPr>
          <w:lang w:val="fr-FR"/>
        </w:rPr>
        <w:t>, le constat</w:t>
      </w:r>
      <w:r w:rsidR="00615EC2">
        <w:rPr>
          <w:lang w:val="fr-FR"/>
        </w:rPr>
        <w:t xml:space="preserve"> d’une telle violation</w:t>
      </w:r>
      <w:r>
        <w:rPr>
          <w:lang w:val="fr-FR"/>
        </w:rPr>
        <w:t xml:space="preserve"> </w:t>
      </w:r>
      <w:r w:rsidR="00814523">
        <w:rPr>
          <w:lang w:val="fr-FR"/>
        </w:rPr>
        <w:t xml:space="preserve">pourrait entraver la coopération entre États membres. </w:t>
      </w:r>
      <w:r w:rsidR="00E94177">
        <w:rPr>
          <w:lang w:val="fr-FR"/>
        </w:rPr>
        <w:t>Pour reprendre les termes de la Cour, la prémisse selon laquelle ces derniers partagent et reconnaissent les valeurs issues de l’article 2 TUE « </w:t>
      </w:r>
      <w:r w:rsidR="00E94177" w:rsidRPr="00757D1F">
        <w:t>implique et justifie l’existence de la confiance mutuelle entre les États membres dans la reconnaissance de ces valeurs et, donc, dans le respect du droit de l’Union qui les met en œuvre</w:t>
      </w:r>
      <w:r w:rsidR="00E94177">
        <w:t> »</w:t>
      </w:r>
      <w:r w:rsidR="00E94177">
        <w:rPr>
          <w:rStyle w:val="FootnoteReference"/>
        </w:rPr>
        <w:footnoteReference w:id="32"/>
      </w:r>
      <w:r w:rsidR="00E94177">
        <w:t xml:space="preserve">. </w:t>
      </w:r>
      <w:r w:rsidR="007825A5">
        <w:t xml:space="preserve">L’arrêt actuel ébranle cette prémisse, ce qui pourrait </w:t>
      </w:r>
      <w:r w:rsidR="00383282">
        <w:t>justifier des limites au</w:t>
      </w:r>
      <w:r w:rsidR="007825A5">
        <w:t xml:space="preserve"> principe de </w:t>
      </w:r>
      <w:r w:rsidR="00383282">
        <w:t xml:space="preserve">confiance </w:t>
      </w:r>
      <w:r w:rsidR="007825A5">
        <w:t xml:space="preserve">mutuelle. </w:t>
      </w:r>
    </w:p>
    <w:p w14:paraId="4AA64373" w14:textId="25B94EC7" w:rsidR="00A062CA" w:rsidRDefault="00432AD3" w:rsidP="00E94177">
      <w:pPr>
        <w:jc w:val="both"/>
      </w:pPr>
      <w:r>
        <w:t xml:space="preserve">Rappelons à cet égard que la Cour a déjà admis des limites à ce </w:t>
      </w:r>
      <w:r w:rsidR="00552C2E">
        <w:t>principe</w:t>
      </w:r>
      <w:r>
        <w:t>, dans le cadre d’un mandat d’arrêt européen : elle avait alors accepté qu’une juridiction nationale puisse en refuser l’exécution</w:t>
      </w:r>
      <w:r w:rsidR="00791B12">
        <w:t xml:space="preserve">, </w:t>
      </w:r>
      <w:r w:rsidR="00461D62">
        <w:t xml:space="preserve">en dépit du principe de confiance mutuelle qui forme la pierre angulaire de la coopération judiciaire en matière pénale, du fait des violations de l’indépendance judiciaire en Pologne, notamment </w:t>
      </w:r>
      <w:r w:rsidR="00383282">
        <w:t>attestées</w:t>
      </w:r>
      <w:r w:rsidR="00461D62">
        <w:t xml:space="preserve"> par l</w:t>
      </w:r>
      <w:r w:rsidR="00383282">
        <w:t>’enclenchement de la</w:t>
      </w:r>
      <w:r w:rsidR="00461D62">
        <w:t xml:space="preserve"> procédure de l’article 7, §1</w:t>
      </w:r>
      <w:r w:rsidR="00461D62" w:rsidRPr="00C07949">
        <w:rPr>
          <w:vertAlign w:val="superscript"/>
        </w:rPr>
        <w:t>er</w:t>
      </w:r>
      <w:r w:rsidR="00461D62">
        <w:t xml:space="preserve"> TUE ayant démontré un risque réel de violation des valeurs de l’Union</w:t>
      </w:r>
      <w:r w:rsidR="00461D62">
        <w:rPr>
          <w:rStyle w:val="FootnoteReference"/>
        </w:rPr>
        <w:footnoteReference w:id="33"/>
      </w:r>
      <w:r w:rsidR="00461D62">
        <w:t>.</w:t>
      </w:r>
      <w:r w:rsidR="00552C2E">
        <w:t xml:space="preserve"> </w:t>
      </w:r>
    </w:p>
    <w:p w14:paraId="63C423E4" w14:textId="05FE9D10" w:rsidR="004729CA" w:rsidRDefault="00552C2E" w:rsidP="00FB50E5">
      <w:pPr>
        <w:jc w:val="both"/>
      </w:pPr>
      <w:r>
        <w:rPr>
          <w:i/>
          <w:iCs/>
        </w:rPr>
        <w:t>Troisièmement</w:t>
      </w:r>
      <w:r>
        <w:t xml:space="preserve">, </w:t>
      </w:r>
      <w:r w:rsidR="00B6513B">
        <w:t xml:space="preserve">la possibilité d’invoquer l’article 2 TUE comme motif autonome d’un recours en manquement s’ajoute aux </w:t>
      </w:r>
      <w:r w:rsidR="007903EA">
        <w:t xml:space="preserve">autres </w:t>
      </w:r>
      <w:r w:rsidR="00B6513B">
        <w:t xml:space="preserve">instruments </w:t>
      </w:r>
      <w:r w:rsidR="007903EA">
        <w:t>de</w:t>
      </w:r>
      <w:r w:rsidR="00906E96">
        <w:t xml:space="preserve"> protection des valeurs de l’Union.</w:t>
      </w:r>
      <w:r w:rsidR="00E55D00">
        <w:t xml:space="preserve"> </w:t>
      </w:r>
      <w:r w:rsidR="00906E96">
        <w:t xml:space="preserve">Nous pensons immédiatement à </w:t>
      </w:r>
      <w:r w:rsidR="00847E09">
        <w:t>la procédure prévue à l’article 7 TUE,</w:t>
      </w:r>
      <w:r w:rsidR="004729CA">
        <w:t xml:space="preserve"> l</w:t>
      </w:r>
      <w:r w:rsidR="007903EA">
        <w:t>a</w:t>
      </w:r>
      <w:r w:rsidR="004729CA">
        <w:t>quel</w:t>
      </w:r>
      <w:r w:rsidR="007903EA">
        <w:t>le</w:t>
      </w:r>
      <w:r w:rsidR="004729CA">
        <w:t xml:space="preserve"> permet de constater un « risque clair de violation grave » ou une « violation grave et persistante »</w:t>
      </w:r>
      <w:r w:rsidR="00C5344F">
        <w:t xml:space="preserve"> –</w:t>
      </w:r>
      <w:r w:rsidR="004729CA">
        <w:t xml:space="preserve"> en soulignant que les termes choisis par la Cour (« violations manifestes et particulièrement graves ») se rapprochent fortement de la formulation dudit article. </w:t>
      </w:r>
      <w:r w:rsidR="003B597F">
        <w:t>L</w:t>
      </w:r>
      <w:r w:rsidR="003236E3">
        <w:t>a</w:t>
      </w:r>
      <w:r w:rsidR="003B597F">
        <w:t xml:space="preserve"> jurisprudence issue de l’arrêt Commission/Hongrie</w:t>
      </w:r>
      <w:r w:rsidR="00600A9D">
        <w:t xml:space="preserve"> pourrait</w:t>
      </w:r>
      <w:r w:rsidR="00232D4B">
        <w:t xml:space="preserve"> </w:t>
      </w:r>
      <w:r w:rsidR="003E2C48">
        <w:t xml:space="preserve">ainsi </w:t>
      </w:r>
      <w:r w:rsidR="00232D4B">
        <w:t>créer une « structure parallèle »</w:t>
      </w:r>
      <w:r w:rsidR="00383282">
        <w:t>.</w:t>
      </w:r>
      <w:r w:rsidR="003C0F3B">
        <w:t xml:space="preserve"> </w:t>
      </w:r>
      <w:r w:rsidR="00FB50E5">
        <w:t>Cependant,</w:t>
      </w:r>
      <w:r w:rsidR="00874E19">
        <w:rPr>
          <w:lang w:val="fr-FR"/>
        </w:rPr>
        <w:t xml:space="preserve"> le</w:t>
      </w:r>
      <w:r w:rsidR="00383282">
        <w:rPr>
          <w:lang w:val="fr-FR"/>
        </w:rPr>
        <w:t>s</w:t>
      </w:r>
      <w:r w:rsidR="00874E19">
        <w:rPr>
          <w:lang w:val="fr-FR"/>
        </w:rPr>
        <w:t xml:space="preserve"> seuil</w:t>
      </w:r>
      <w:r w:rsidR="00383282">
        <w:rPr>
          <w:lang w:val="fr-FR"/>
        </w:rPr>
        <w:t xml:space="preserve">s de majorité </w:t>
      </w:r>
      <w:r w:rsidR="00874E19">
        <w:rPr>
          <w:lang w:val="fr-FR"/>
        </w:rPr>
        <w:t>requis pour mettre en œuvre l’article 7</w:t>
      </w:r>
      <w:r w:rsidR="00FB50E5">
        <w:rPr>
          <w:lang w:val="fr-FR"/>
        </w:rPr>
        <w:t xml:space="preserve"> TUE</w:t>
      </w:r>
      <w:r w:rsidR="00874E19">
        <w:rPr>
          <w:lang w:val="fr-FR"/>
        </w:rPr>
        <w:t xml:space="preserve"> </w:t>
      </w:r>
      <w:r w:rsidR="00383282">
        <w:rPr>
          <w:lang w:val="fr-FR"/>
        </w:rPr>
        <w:t xml:space="preserve">au Conseil et au Conseil européen </w:t>
      </w:r>
      <w:r w:rsidR="00874E19">
        <w:rPr>
          <w:lang w:val="fr-FR"/>
        </w:rPr>
        <w:t>(en particulier pour constater une violation effective</w:t>
      </w:r>
      <w:r w:rsidR="00874E19">
        <w:t>) rend</w:t>
      </w:r>
      <w:r w:rsidR="00FB50E5">
        <w:t xml:space="preserve">ent </w:t>
      </w:r>
      <w:r w:rsidR="00874E19">
        <w:t>peu probable le risque de</w:t>
      </w:r>
      <w:r w:rsidR="007E14DC">
        <w:t xml:space="preserve"> </w:t>
      </w:r>
      <w:r w:rsidR="00CD3BCF">
        <w:t>redondance</w:t>
      </w:r>
      <w:r w:rsidR="007E14DC">
        <w:t xml:space="preserve"> </w:t>
      </w:r>
      <w:r w:rsidR="00874E19">
        <w:t xml:space="preserve">– les tentatives à l’égard de la Pologne et de la Hongrie l’ont bien démontré. </w:t>
      </w:r>
      <w:r w:rsidR="00FB50E5">
        <w:t xml:space="preserve">Qui plus est, ces procédures ne nous semblent pas incompatibles, notamment du fait de leur nature différente – l’une étant politique, l’autre judiciaire. Leur activation simultanée pourrait même se révéler bénéfique, le constat </w:t>
      </w:r>
      <w:r w:rsidR="00C42ED2">
        <w:t>d’un</w:t>
      </w:r>
      <w:r w:rsidR="00874E19">
        <w:t xml:space="preserve"> </w:t>
      </w:r>
      <w:r w:rsidR="00874E19">
        <w:rPr>
          <w:i/>
          <w:iCs/>
        </w:rPr>
        <w:t>risque</w:t>
      </w:r>
      <w:r w:rsidR="00874E19">
        <w:t xml:space="preserve"> de violation des valeurs</w:t>
      </w:r>
      <w:r w:rsidR="00FB50E5">
        <w:t xml:space="preserve"> dans le cadre de la procédure de l’article 7 TUE pouvant être</w:t>
      </w:r>
      <w:r w:rsidR="00874E19">
        <w:t xml:space="preserve"> mobilisé par la C</w:t>
      </w:r>
      <w:r w:rsidR="00C42ED2">
        <w:t>our</w:t>
      </w:r>
      <w:r w:rsidR="00542311">
        <w:rPr>
          <w:rStyle w:val="FootnoteReference"/>
        </w:rPr>
        <w:footnoteReference w:id="34"/>
      </w:r>
      <w:r w:rsidR="00C42ED2">
        <w:t>.</w:t>
      </w:r>
      <w:r w:rsidR="00874E19">
        <w:t xml:space="preserve"> </w:t>
      </w:r>
      <w:r w:rsidR="00FB50E5">
        <w:t>Il est cependant vrai que le choix de recourir à l’une ou l’autre procédure – voire aux deux – n’est pas guidé par les traités</w:t>
      </w:r>
      <w:r w:rsidR="00FB50E5">
        <w:rPr>
          <w:rStyle w:val="FootnoteReference"/>
        </w:rPr>
        <w:footnoteReference w:id="35"/>
      </w:r>
      <w:r w:rsidR="00FB50E5">
        <w:t xml:space="preserve">. </w:t>
      </w:r>
    </w:p>
    <w:p w14:paraId="7551B321" w14:textId="3493FA79" w:rsidR="0025731E" w:rsidRDefault="0025731E" w:rsidP="00E94177">
      <w:pPr>
        <w:jc w:val="both"/>
        <w:rPr>
          <w:lang w:val="fr-FR"/>
        </w:rPr>
      </w:pPr>
      <w:r>
        <w:t xml:space="preserve">À </w:t>
      </w:r>
      <w:r w:rsidR="00FB50E5">
        <w:t>l’article 7 TUE</w:t>
      </w:r>
      <w:r>
        <w:t xml:space="preserve"> s’ajoute </w:t>
      </w:r>
      <w:r w:rsidR="00D57375">
        <w:t>le mécanisme, plus récent, de conditionnalité financière, institué par le règlement 2020/2092</w:t>
      </w:r>
      <w:r w:rsidR="004B57DD">
        <w:rPr>
          <w:rStyle w:val="FootnoteReference"/>
        </w:rPr>
        <w:footnoteReference w:id="36"/>
      </w:r>
      <w:r w:rsidR="00D57375">
        <w:t xml:space="preserve">. </w:t>
      </w:r>
      <w:r w:rsidR="008570CA">
        <w:t>À nouveau, le risque d</w:t>
      </w:r>
      <w:r w:rsidR="00C75283">
        <w:t xml:space="preserve">’empiètement </w:t>
      </w:r>
      <w:r w:rsidR="008523B2">
        <w:t>est limité</w:t>
      </w:r>
      <w:r w:rsidR="002B1944">
        <w:t>. B</w:t>
      </w:r>
      <w:r w:rsidR="008523B2">
        <w:t xml:space="preserve">ien que </w:t>
      </w:r>
      <w:r w:rsidR="002B1944">
        <w:t>ledit règlement</w:t>
      </w:r>
      <w:r w:rsidR="008523B2">
        <w:t xml:space="preserve"> fasse </w:t>
      </w:r>
      <w:r w:rsidR="00876630" w:rsidRPr="005747CF">
        <w:rPr>
          <w:lang w:val="fr-FR"/>
        </w:rPr>
        <w:t>référence à l’ensemble des valeurs de l’Union (art. 2a)</w:t>
      </w:r>
      <w:r w:rsidR="00876630">
        <w:rPr>
          <w:lang w:val="fr-FR"/>
        </w:rPr>
        <w:t xml:space="preserve">, il ne permet </w:t>
      </w:r>
      <w:r w:rsidR="002B1944" w:rsidRPr="005747CF">
        <w:rPr>
          <w:lang w:val="fr-FR"/>
        </w:rPr>
        <w:t xml:space="preserve">de sanctionner que la violation des principes de </w:t>
      </w:r>
      <w:r w:rsidR="002B1944">
        <w:rPr>
          <w:lang w:val="fr-FR"/>
        </w:rPr>
        <w:t>l’État</w:t>
      </w:r>
      <w:r w:rsidR="002B1944" w:rsidRPr="005747CF">
        <w:rPr>
          <w:lang w:val="fr-FR"/>
        </w:rPr>
        <w:t xml:space="preserve"> de droit</w:t>
      </w:r>
      <w:r w:rsidR="00383282">
        <w:rPr>
          <w:lang w:val="fr-FR"/>
        </w:rPr>
        <w:t xml:space="preserve"> pouvant mettre en péril les intérêts financiers de l’Union</w:t>
      </w:r>
      <w:r w:rsidR="002B1944" w:rsidRPr="005747CF">
        <w:rPr>
          <w:lang w:val="fr-FR"/>
        </w:rPr>
        <w:t xml:space="preserve"> (art. 1</w:t>
      </w:r>
      <w:r w:rsidR="002B1944" w:rsidRPr="005747CF">
        <w:rPr>
          <w:vertAlign w:val="superscript"/>
          <w:lang w:val="fr-FR"/>
        </w:rPr>
        <w:t>er</w:t>
      </w:r>
      <w:r w:rsidR="002B1944" w:rsidRPr="005747CF">
        <w:rPr>
          <w:lang w:val="fr-FR"/>
        </w:rPr>
        <w:t>)</w:t>
      </w:r>
      <w:r w:rsidR="00E06EDC">
        <w:rPr>
          <w:lang w:val="fr-FR"/>
        </w:rPr>
        <w:t xml:space="preserve">, </w:t>
      </w:r>
      <w:r w:rsidR="00E55D00">
        <w:rPr>
          <w:lang w:val="fr-FR"/>
        </w:rPr>
        <w:t xml:space="preserve">laquelle </w:t>
      </w:r>
      <w:r w:rsidR="00E06EDC">
        <w:rPr>
          <w:lang w:val="fr-FR"/>
        </w:rPr>
        <w:t xml:space="preserve">doit au surplus concerner l’une des situations visées à </w:t>
      </w:r>
      <w:r w:rsidR="00E06EDC">
        <w:rPr>
          <w:lang w:val="fr-FR"/>
        </w:rPr>
        <w:lastRenderedPageBreak/>
        <w:t>l’article 4, paragraphe 2</w:t>
      </w:r>
      <w:r w:rsidR="002B1944" w:rsidRPr="005747CF">
        <w:rPr>
          <w:lang w:val="fr-FR"/>
        </w:rPr>
        <w:t>.</w:t>
      </w:r>
      <w:r w:rsidR="005F1792">
        <w:rPr>
          <w:lang w:val="fr-FR"/>
        </w:rPr>
        <w:t xml:space="preserve"> De plus, sa finalité consiste à protéger le budget de l’Union, de sorte que de telles violations ne permettent d’actionner ce règlement que « pour autant qu’il existe des motifs raisonnables de considérer qu’elles aient une incidence budgétaire »</w:t>
      </w:r>
      <w:r w:rsidR="005F1792">
        <w:rPr>
          <w:rStyle w:val="FootnoteReference"/>
          <w:lang w:val="fr-FR"/>
        </w:rPr>
        <w:footnoteReference w:id="37"/>
      </w:r>
      <w:r w:rsidR="005F1792">
        <w:rPr>
          <w:lang w:val="fr-FR"/>
        </w:rPr>
        <w:t>.</w:t>
      </w:r>
      <w:r w:rsidR="00E06EDC">
        <w:rPr>
          <w:lang w:val="fr-FR"/>
        </w:rPr>
        <w:t xml:space="preserve"> En revanche, l’existence d’un lien réel entre ces violations et une atteinte (ou un risque sérieux d’atteinte) à la bonne gestion financière de l’Union suffit, </w:t>
      </w:r>
      <w:r w:rsidR="002B1944" w:rsidRPr="005747CF">
        <w:rPr>
          <w:lang w:val="fr-FR"/>
        </w:rPr>
        <w:t>sans qu’il ne soit nécessaire d’atteindre un certain seu</w:t>
      </w:r>
      <w:r w:rsidR="002B1944">
        <w:rPr>
          <w:lang w:val="fr-FR"/>
        </w:rPr>
        <w:t>i</w:t>
      </w:r>
      <w:r w:rsidR="002B1944" w:rsidRPr="005747CF">
        <w:rPr>
          <w:lang w:val="fr-FR"/>
        </w:rPr>
        <w:t>l de gravité</w:t>
      </w:r>
      <w:r w:rsidR="00E06EDC">
        <w:rPr>
          <w:rStyle w:val="FootnoteReference"/>
          <w:lang w:val="fr-FR"/>
        </w:rPr>
        <w:footnoteReference w:id="38"/>
      </w:r>
      <w:r w:rsidR="00FA33D8">
        <w:rPr>
          <w:lang w:val="fr-FR"/>
        </w:rPr>
        <w:t xml:space="preserve">. </w:t>
      </w:r>
    </w:p>
    <w:p w14:paraId="21A074DF" w14:textId="13DC2836" w:rsidR="00FA33D8" w:rsidRDefault="00FA33D8" w:rsidP="00E94177">
      <w:pPr>
        <w:jc w:val="both"/>
        <w:rPr>
          <w:lang w:val="fr-FR"/>
        </w:rPr>
      </w:pPr>
      <w:r>
        <w:rPr>
          <w:lang w:val="fr-FR"/>
        </w:rPr>
        <w:t xml:space="preserve">Enfin, la jurisprudence </w:t>
      </w:r>
      <w:r w:rsidR="0024649E">
        <w:rPr>
          <w:lang w:val="fr-FR"/>
        </w:rPr>
        <w:t>antérieure de la Cour devra être conciliée avec ces nouveaux développements</w:t>
      </w:r>
      <w:r w:rsidR="005E31F2">
        <w:rPr>
          <w:lang w:val="fr-FR"/>
        </w:rPr>
        <w:t>, e</w:t>
      </w:r>
      <w:r w:rsidR="0024649E">
        <w:rPr>
          <w:lang w:val="fr-FR"/>
        </w:rPr>
        <w:t>n particulier</w:t>
      </w:r>
      <w:r w:rsidR="005E31F2">
        <w:rPr>
          <w:lang w:val="fr-FR"/>
        </w:rPr>
        <w:t xml:space="preserve"> </w:t>
      </w:r>
      <w:r w:rsidR="0024649E">
        <w:rPr>
          <w:lang w:val="fr-FR"/>
        </w:rPr>
        <w:t xml:space="preserve">le principe de non-régression </w:t>
      </w:r>
      <w:r w:rsidR="00301AF1">
        <w:rPr>
          <w:lang w:val="fr-FR"/>
        </w:rPr>
        <w:t>reconnu dans</w:t>
      </w:r>
      <w:r w:rsidR="0024649E">
        <w:rPr>
          <w:lang w:val="fr-FR"/>
        </w:rPr>
        <w:t xml:space="preserve"> l’arrêt </w:t>
      </w:r>
      <w:proofErr w:type="spellStart"/>
      <w:r w:rsidR="0024649E" w:rsidRPr="0044049B">
        <w:rPr>
          <w:lang w:val="fr-FR"/>
        </w:rPr>
        <w:t>Repubblika</w:t>
      </w:r>
      <w:proofErr w:type="spellEnd"/>
      <w:r w:rsidR="00E06EDC">
        <w:rPr>
          <w:rStyle w:val="FootnoteReference"/>
          <w:i/>
          <w:iCs/>
          <w:lang w:val="fr-FR"/>
        </w:rPr>
        <w:footnoteReference w:id="39"/>
      </w:r>
      <w:r w:rsidR="0024649E">
        <w:rPr>
          <w:lang w:val="fr-FR"/>
        </w:rPr>
        <w:t xml:space="preserve">. </w:t>
      </w:r>
      <w:r w:rsidR="00A85EEA">
        <w:rPr>
          <w:lang w:val="fr-FR"/>
        </w:rPr>
        <w:t xml:space="preserve">Certains auteurs </w:t>
      </w:r>
      <w:r w:rsidR="00696CE7">
        <w:rPr>
          <w:lang w:val="fr-FR"/>
        </w:rPr>
        <w:t>considèrent</w:t>
      </w:r>
      <w:r w:rsidR="00A85EEA">
        <w:rPr>
          <w:lang w:val="fr-FR"/>
        </w:rPr>
        <w:t xml:space="preserve"> qu</w:t>
      </w:r>
      <w:r w:rsidR="005E31F2">
        <w:rPr>
          <w:lang w:val="fr-FR"/>
        </w:rPr>
        <w:t xml:space="preserve">’une telle autonomisation de l’article 2 TUE, amenant à l’identification d’exigences minimales en découlant, rendrait </w:t>
      </w:r>
      <w:r w:rsidR="009954A5">
        <w:rPr>
          <w:lang w:val="fr-FR"/>
        </w:rPr>
        <w:t>superflu le principe de non-régression</w:t>
      </w:r>
      <w:r w:rsidR="009954A5">
        <w:rPr>
          <w:rStyle w:val="FootnoteReference"/>
          <w:lang w:val="fr-FR"/>
        </w:rPr>
        <w:footnoteReference w:id="40"/>
      </w:r>
      <w:r w:rsidR="009954A5">
        <w:rPr>
          <w:lang w:val="fr-FR"/>
        </w:rPr>
        <w:t>.</w:t>
      </w:r>
      <w:r w:rsidR="00696CE7">
        <w:rPr>
          <w:lang w:val="fr-FR"/>
        </w:rPr>
        <w:t xml:space="preserve"> La Cour, pour sa part, fait non seulement référence au principe de non-régression dans son arrêt</w:t>
      </w:r>
      <w:r w:rsidR="00C908E5">
        <w:rPr>
          <w:lang w:val="fr-FR"/>
        </w:rPr>
        <w:t xml:space="preserve"> Commission/Hongrie</w:t>
      </w:r>
      <w:r w:rsidR="00696CE7">
        <w:rPr>
          <w:lang w:val="fr-FR"/>
        </w:rPr>
        <w:t>, mais l’étend à l’ensemble des valeurs visées à l’article 2 TUE – et non plus seulement à l’État de droit (§</w:t>
      </w:r>
      <w:r w:rsidR="00EE19CC">
        <w:rPr>
          <w:lang w:val="fr-FR"/>
        </w:rPr>
        <w:t> </w:t>
      </w:r>
      <w:r w:rsidR="00696CE7">
        <w:rPr>
          <w:lang w:val="fr-FR"/>
        </w:rPr>
        <w:t xml:space="preserve">524). Elle semble </w:t>
      </w:r>
      <w:r w:rsidR="003A31C6">
        <w:rPr>
          <w:lang w:val="fr-FR"/>
        </w:rPr>
        <w:t>dès lors</w:t>
      </w:r>
      <w:r w:rsidR="00696CE7">
        <w:rPr>
          <w:lang w:val="fr-FR"/>
        </w:rPr>
        <w:t xml:space="preserve"> </w:t>
      </w:r>
      <w:r w:rsidR="00232BF1">
        <w:rPr>
          <w:lang w:val="fr-FR"/>
        </w:rPr>
        <w:t>maintenir les deux options</w:t>
      </w:r>
      <w:r w:rsidR="00696CE7">
        <w:rPr>
          <w:lang w:val="fr-FR"/>
        </w:rPr>
        <w:t>, sans pour autant offrir de pist</w:t>
      </w:r>
      <w:r w:rsidR="009954A5">
        <w:rPr>
          <w:lang w:val="fr-FR"/>
        </w:rPr>
        <w:t>es permettant d’articuler ses enseignements.</w:t>
      </w:r>
      <w:r w:rsidR="003A31C6">
        <w:rPr>
          <w:lang w:val="fr-FR"/>
        </w:rPr>
        <w:t xml:space="preserve"> </w:t>
      </w:r>
    </w:p>
    <w:p w14:paraId="36E609E2" w14:textId="36397357" w:rsidR="005E5375" w:rsidRDefault="00FB50E5" w:rsidP="00DC0163">
      <w:pPr>
        <w:jc w:val="both"/>
        <w:rPr>
          <w:lang w:val="fr-FR"/>
        </w:rPr>
      </w:pPr>
      <w:r>
        <w:rPr>
          <w:lang w:val="fr-FR"/>
        </w:rPr>
        <w:t>Finalement, reste à</w:t>
      </w:r>
      <w:r w:rsidR="00EE430D" w:rsidRPr="00EE430D">
        <w:rPr>
          <w:lang w:val="fr-FR"/>
        </w:rPr>
        <w:t xml:space="preserve"> s’interroger sur la réelle plus-value qu’apporte la mobilisation de l’article 2 TUE en tant que véritable base autonome : était-ce réellement nécessaire et qu’ajoute concrètement une telle consécration ? N’aurait-il pas suffi de constater de graves violations de la Charte</w:t>
      </w:r>
      <w:r w:rsidR="00950207">
        <w:rPr>
          <w:lang w:val="fr-FR"/>
        </w:rPr>
        <w:t xml:space="preserve"> des droits fondamentaux</w:t>
      </w:r>
      <w:r w:rsidR="00EE430D" w:rsidRPr="00EE430D">
        <w:rPr>
          <w:lang w:val="fr-FR"/>
        </w:rPr>
        <w:t>, lesquelles étaient déjà susceptibles d’entraîner des sanctions pécuniaires, des exceptions au principe de confiance mutuelle, ainsi que l’utilisation du recours en manquement comme instrument de protection des valeurs fondatrices de l’Union ?</w:t>
      </w:r>
      <w:r w:rsidR="005E31F2">
        <w:rPr>
          <w:lang w:val="fr-FR"/>
        </w:rPr>
        <w:t xml:space="preserve"> </w:t>
      </w:r>
      <w:r w:rsidR="00EE430D" w:rsidRPr="00EE430D">
        <w:rPr>
          <w:lang w:val="fr-FR"/>
        </w:rPr>
        <w:t>En toute hypothèse, il nous semble que l’invocation de l’article 2 TUE n’est pas, à elle seule, de nature à résoudre les éventuels problèmes systémiques touchant aux valeurs de l’Union. Dès lors, la pertinence de son invocation peut légitimement être interrogée.</w:t>
      </w:r>
    </w:p>
    <w:p w14:paraId="5163BE16" w14:textId="50CC2E3E" w:rsidR="00EE430D" w:rsidRDefault="00EE430D" w:rsidP="00DC0163">
      <w:pPr>
        <w:pStyle w:val="Heading2"/>
        <w:numPr>
          <w:ilvl w:val="0"/>
          <w:numId w:val="10"/>
        </w:numPr>
        <w:rPr>
          <w:lang w:val="fr-FR"/>
        </w:rPr>
      </w:pPr>
      <w:r>
        <w:rPr>
          <w:lang w:val="fr-FR"/>
        </w:rPr>
        <w:t xml:space="preserve">L’identité nationale </w:t>
      </w:r>
    </w:p>
    <w:p w14:paraId="4A5C92DF" w14:textId="05F41B3F" w:rsidR="00EE430D" w:rsidRDefault="00FB50E5" w:rsidP="00EE430D">
      <w:pPr>
        <w:jc w:val="both"/>
        <w:rPr>
          <w:lang w:val="fr-FR"/>
        </w:rPr>
      </w:pPr>
      <w:r>
        <w:rPr>
          <w:lang w:val="fr-FR"/>
        </w:rPr>
        <w:t>C</w:t>
      </w:r>
      <w:r w:rsidR="00EE430D" w:rsidRPr="00EE430D">
        <w:rPr>
          <w:lang w:val="fr-FR"/>
        </w:rPr>
        <w:t>ette consécration est</w:t>
      </w:r>
      <w:r w:rsidR="00935BC4">
        <w:rPr>
          <w:lang w:val="fr-FR"/>
        </w:rPr>
        <w:t>,</w:t>
      </w:r>
      <w:r w:rsidR="00EE430D" w:rsidRPr="00EE430D">
        <w:rPr>
          <w:lang w:val="fr-FR"/>
        </w:rPr>
        <w:t xml:space="preserve"> </w:t>
      </w:r>
      <w:r w:rsidR="00935BC4">
        <w:rPr>
          <w:lang w:val="fr-FR"/>
        </w:rPr>
        <w:t xml:space="preserve">au demeurant, </w:t>
      </w:r>
      <w:r w:rsidR="00EE430D" w:rsidRPr="00EE430D">
        <w:rPr>
          <w:lang w:val="fr-FR"/>
        </w:rPr>
        <w:t>susceptible de soulever des interrogations</w:t>
      </w:r>
      <w:r w:rsidR="00EE430D">
        <w:rPr>
          <w:lang w:val="fr-FR"/>
        </w:rPr>
        <w:t xml:space="preserve">, voire des </w:t>
      </w:r>
      <w:r w:rsidR="00950207">
        <w:rPr>
          <w:lang w:val="fr-FR"/>
        </w:rPr>
        <w:t>tensions</w:t>
      </w:r>
      <w:r w:rsidR="00EE430D">
        <w:rPr>
          <w:lang w:val="fr-FR"/>
        </w:rPr>
        <w:t>,</w:t>
      </w:r>
      <w:r w:rsidR="00EE430D" w:rsidRPr="00EE430D">
        <w:rPr>
          <w:lang w:val="fr-FR"/>
        </w:rPr>
        <w:t xml:space="preserve"> quant à son articulation avec le principe d’attribution des compétences, comme cela a été évoqué plus haut, mais également avec le principe du respect de l’identité nationale des États membres.</w:t>
      </w:r>
    </w:p>
    <w:p w14:paraId="7A803D70" w14:textId="7FFF5856" w:rsidR="00EE430D" w:rsidRDefault="00EE430D" w:rsidP="00EE430D">
      <w:pPr>
        <w:jc w:val="both"/>
        <w:rPr>
          <w:lang w:val="fr-FR"/>
        </w:rPr>
      </w:pPr>
      <w:r>
        <w:rPr>
          <w:lang w:val="fr-FR"/>
        </w:rPr>
        <w:t>L’engagement des États membres à respecter les valeurs de l’Union (article 2 TUE) est complété par l’obligation, pour l’Union, de respecter l’identité nationale de ces derniers (article 4</w:t>
      </w:r>
      <w:r w:rsidR="00E55D00">
        <w:rPr>
          <w:lang w:val="fr-FR"/>
        </w:rPr>
        <w:t>, paragraphe</w:t>
      </w:r>
      <w:r w:rsidR="00EE19CC">
        <w:rPr>
          <w:lang w:val="fr-FR"/>
        </w:rPr>
        <w:t> </w:t>
      </w:r>
      <w:r>
        <w:rPr>
          <w:lang w:val="fr-FR"/>
        </w:rPr>
        <w:t>2</w:t>
      </w:r>
      <w:r w:rsidR="00E55D00">
        <w:rPr>
          <w:lang w:val="fr-FR"/>
        </w:rPr>
        <w:t>,</w:t>
      </w:r>
      <w:r>
        <w:rPr>
          <w:lang w:val="fr-FR"/>
        </w:rPr>
        <w:t xml:space="preserve"> TUE). Ces deux dispositions sont souvent présentées dans un rapport paradoxal, voire conflictuel : l’une exerçant une force centrifuge, l’autre centripète</w:t>
      </w:r>
      <w:r>
        <w:rPr>
          <w:rStyle w:val="FootnoteReference"/>
          <w:lang w:val="fr-FR"/>
        </w:rPr>
        <w:footnoteReference w:id="41"/>
      </w:r>
      <w:r>
        <w:rPr>
          <w:lang w:val="fr-FR"/>
        </w:rPr>
        <w:t xml:space="preserve">. La Cour résout ici cette tension en interprétant l’article 2 TUE comme un </w:t>
      </w:r>
      <w:r w:rsidRPr="00866BE2">
        <w:rPr>
          <w:lang w:val="fr-FR"/>
        </w:rPr>
        <w:t>cadre, au sein duquel peuvent exister des divergences dues à l’identité nationale propre de chaque État membre, mais auquel l’article 4</w:t>
      </w:r>
      <w:r w:rsidR="00E55D00">
        <w:rPr>
          <w:lang w:val="fr-FR"/>
        </w:rPr>
        <w:t xml:space="preserve">, paragraphe </w:t>
      </w:r>
      <w:r w:rsidRPr="00866BE2">
        <w:rPr>
          <w:lang w:val="fr-FR"/>
        </w:rPr>
        <w:t>2</w:t>
      </w:r>
      <w:r w:rsidR="00E55D00">
        <w:rPr>
          <w:lang w:val="fr-FR"/>
        </w:rPr>
        <w:t>,</w:t>
      </w:r>
      <w:r w:rsidRPr="00866BE2">
        <w:rPr>
          <w:lang w:val="fr-FR"/>
        </w:rPr>
        <w:t xml:space="preserve"> TUE ne peut déroge</w:t>
      </w:r>
      <w:r>
        <w:rPr>
          <w:lang w:val="fr-FR"/>
        </w:rPr>
        <w:t xml:space="preserve">r. </w:t>
      </w:r>
    </w:p>
    <w:p w14:paraId="24C1DDA9" w14:textId="01ECC858" w:rsidR="00EE430D" w:rsidRDefault="00EE430D" w:rsidP="00EE430D">
      <w:pPr>
        <w:jc w:val="both"/>
        <w:rPr>
          <w:lang w:val="fr-FR"/>
        </w:rPr>
      </w:pPr>
      <w:r>
        <w:rPr>
          <w:lang w:val="fr-FR"/>
        </w:rPr>
        <w:lastRenderedPageBreak/>
        <w:t xml:space="preserve">Par cette interprétation, la Cour confirme une tendance dessinée au fil de ses plus récents arrêts en la matière, notamment </w:t>
      </w:r>
      <w:r w:rsidRPr="0044049B">
        <w:rPr>
          <w:lang w:val="fr-FR"/>
        </w:rPr>
        <w:t>RS</w:t>
      </w:r>
      <w:r w:rsidR="00232BF1" w:rsidRPr="00BB2519">
        <w:rPr>
          <w:rStyle w:val="FootnoteReference"/>
          <w:lang w:val="fr-FR"/>
        </w:rPr>
        <w:footnoteReference w:id="42"/>
      </w:r>
      <w:r>
        <w:rPr>
          <w:lang w:val="fr-FR"/>
        </w:rPr>
        <w:t xml:space="preserve"> et </w:t>
      </w:r>
      <w:r w:rsidRPr="0044049B">
        <w:rPr>
          <w:lang w:val="fr-FR"/>
        </w:rPr>
        <w:t>Commission c. Pologne (</w:t>
      </w:r>
      <w:r w:rsidRPr="0044049B">
        <w:t>Contrôle ultra vires de la jurisprudence de la Cour de justice par une cour constitutionnelle)</w:t>
      </w:r>
      <w:r w:rsidR="00232BF1" w:rsidRPr="00BB2519">
        <w:rPr>
          <w:rStyle w:val="FootnoteReference"/>
        </w:rPr>
        <w:footnoteReference w:id="43"/>
      </w:r>
      <w:r w:rsidRPr="00232BF1">
        <w:t>.</w:t>
      </w:r>
      <w:r>
        <w:t xml:space="preserve"> Elle y avait établi que l’identité nationale des États membres peut être affectée par les exigences liées au respect des valeurs de l’Union inscrites à l’article 2 TUE</w:t>
      </w:r>
      <w:r w:rsidRPr="00FF1B38">
        <w:rPr>
          <w:rStyle w:val="FootnoteReference"/>
          <w:lang w:val="fr-FR"/>
        </w:rPr>
        <w:footnoteReference w:id="44"/>
      </w:r>
      <w:r>
        <w:t>, de sorte que l’article 4</w:t>
      </w:r>
      <w:r w:rsidR="003F3C8D">
        <w:t xml:space="preserve">, paragraphe </w:t>
      </w:r>
      <w:r>
        <w:t>2</w:t>
      </w:r>
      <w:r w:rsidR="003F3C8D">
        <w:t>, TUE</w:t>
      </w:r>
      <w:r>
        <w:t xml:space="preserve"> </w:t>
      </w:r>
      <w:r>
        <w:rPr>
          <w:lang w:val="fr-FR"/>
        </w:rPr>
        <w:t>« ne saurait dispenser les États membres du respect des exigences découlant » de l’article 2 (et 19) TUE</w:t>
      </w:r>
      <w:r>
        <w:rPr>
          <w:rStyle w:val="FootnoteReference"/>
          <w:lang w:val="fr-FR"/>
        </w:rPr>
        <w:footnoteReference w:id="45"/>
      </w:r>
      <w:r>
        <w:rPr>
          <w:lang w:val="fr-FR"/>
        </w:rPr>
        <w:t xml:space="preserve">. </w:t>
      </w:r>
      <w:r>
        <w:t>L</w:t>
      </w:r>
      <w:r w:rsidR="003F3C8D">
        <w:t>’</w:t>
      </w:r>
      <w:r>
        <w:t>arrêt</w:t>
      </w:r>
      <w:r w:rsidR="003F3C8D">
        <w:t xml:space="preserve"> Commission/Hongrie</w:t>
      </w:r>
      <w:r>
        <w:t xml:space="preserve"> poursuit un pas plus loin, explicitant que l’article 4</w:t>
      </w:r>
      <w:r w:rsidR="003F3C8D">
        <w:t xml:space="preserve">, paragraphe </w:t>
      </w:r>
      <w:r>
        <w:t>2</w:t>
      </w:r>
      <w:r w:rsidR="003F3C8D">
        <w:t>,</w:t>
      </w:r>
      <w:r>
        <w:t xml:space="preserve"> TUE </w:t>
      </w:r>
      <w:r w:rsidRPr="00866BE2">
        <w:rPr>
          <w:lang w:val="fr-FR"/>
        </w:rPr>
        <w:t>« ne protège qu’une conception des identités nationales […] qui est conforme aux valeurs consacrées à l’article 2 TUE » (§</w:t>
      </w:r>
      <w:r w:rsidR="00EE19CC">
        <w:rPr>
          <w:lang w:val="fr-FR"/>
        </w:rPr>
        <w:t> </w:t>
      </w:r>
      <w:r w:rsidRPr="00866BE2">
        <w:rPr>
          <w:lang w:val="fr-FR"/>
        </w:rPr>
        <w:t>562</w:t>
      </w:r>
      <w:r>
        <w:rPr>
          <w:lang w:val="fr-FR"/>
        </w:rPr>
        <w:t xml:space="preserve">). </w:t>
      </w:r>
    </w:p>
    <w:p w14:paraId="3FA50698" w14:textId="73CE7710" w:rsidR="005E5375" w:rsidRPr="00DC0163" w:rsidRDefault="00EE430D" w:rsidP="00EE430D">
      <w:pPr>
        <w:jc w:val="both"/>
        <w:rPr>
          <w:lang w:val="fr-FR"/>
        </w:rPr>
      </w:pPr>
      <w:r w:rsidRPr="00EE430D">
        <w:rPr>
          <w:lang w:val="fr-FR"/>
        </w:rPr>
        <w:t>Bien que cette tendance de la Cour s’explique aisément par la volonté de se prémunir contre d’éventuels abus de la notion d’identité nationale par certains gouvernements d’États membres agissant de mauvaise foi, elle n’est pas sans susciter des inquiétudes quant au risque de déséquilibre dans l’articulation entre les valeurs de l’Union et l’identité nationale des États membres</w:t>
      </w:r>
      <w:r>
        <w:rPr>
          <w:rStyle w:val="FootnoteReference"/>
          <w:lang w:val="fr-FR"/>
        </w:rPr>
        <w:footnoteReference w:id="46"/>
      </w:r>
      <w:r>
        <w:rPr>
          <w:lang w:val="fr-FR"/>
        </w:rPr>
        <w:t xml:space="preserve">. En particulier, le monopole de la Cour pour interpréter le droit de l’Union implique qu’elle seule serait en mesure de déterminer les contours du cadre imposé par l’article 2 TUE. </w:t>
      </w:r>
      <w:r w:rsidR="00935BC4">
        <w:rPr>
          <w:lang w:val="fr-FR"/>
        </w:rPr>
        <w:t>I</w:t>
      </w:r>
      <w:r>
        <w:rPr>
          <w:lang w:val="fr-FR"/>
        </w:rPr>
        <w:t>l sera</w:t>
      </w:r>
      <w:r w:rsidR="00935BC4">
        <w:rPr>
          <w:lang w:val="fr-FR"/>
        </w:rPr>
        <w:t>, à notre estime,</w:t>
      </w:r>
      <w:r>
        <w:rPr>
          <w:lang w:val="fr-FR"/>
        </w:rPr>
        <w:t xml:space="preserve"> indispensable d’entretenir un ‘dialogue constitutionnel’ avec les juges nationaux. Comme l’a prouvé la saga </w:t>
      </w:r>
      <w:proofErr w:type="spellStart"/>
      <w:r w:rsidRPr="0044049B">
        <w:rPr>
          <w:lang w:val="fr-FR"/>
        </w:rPr>
        <w:t>Taricco</w:t>
      </w:r>
      <w:proofErr w:type="spellEnd"/>
      <w:r>
        <w:rPr>
          <w:lang w:val="fr-FR"/>
        </w:rPr>
        <w:t>, si des frictions sont possibles, un tel dialogue peut donner lieu à une dynamique constructive</w:t>
      </w:r>
      <w:r>
        <w:rPr>
          <w:rStyle w:val="FootnoteReference"/>
          <w:lang w:val="fr-FR"/>
        </w:rPr>
        <w:footnoteReference w:id="47"/>
      </w:r>
      <w:r>
        <w:rPr>
          <w:lang w:val="fr-FR"/>
        </w:rPr>
        <w:t xml:space="preserve">. </w:t>
      </w:r>
      <w:r w:rsidR="00BD06DA">
        <w:rPr>
          <w:lang w:val="fr-FR"/>
        </w:rPr>
        <w:t>À</w:t>
      </w:r>
      <w:r w:rsidR="00935BC4">
        <w:rPr>
          <w:lang w:val="fr-FR"/>
        </w:rPr>
        <w:t xml:space="preserve"> cet égard</w:t>
      </w:r>
      <w:r>
        <w:rPr>
          <w:lang w:val="fr-FR"/>
        </w:rPr>
        <w:t>, il est crucial de se rappeler que les valeurs de l’Union dérivent, en premier lieu, de l’ordre constitutionnel des États membres.</w:t>
      </w:r>
    </w:p>
    <w:p w14:paraId="2A8DDDDF" w14:textId="5C5B643D" w:rsidR="00DE70F6" w:rsidRDefault="00DE70F6">
      <w:pPr>
        <w:pStyle w:val="Heading1"/>
        <w:numPr>
          <w:ilvl w:val="0"/>
          <w:numId w:val="0"/>
        </w:numPr>
        <w:rPr>
          <w:lang w:val="fr-FR"/>
        </w:rPr>
      </w:pPr>
      <w:r>
        <w:rPr>
          <w:lang w:val="fr-FR"/>
        </w:rPr>
        <w:t xml:space="preserve">Conclusion </w:t>
      </w:r>
    </w:p>
    <w:p w14:paraId="40AFB6A5" w14:textId="1CA75750" w:rsidR="002E3AE8" w:rsidRPr="002E3AE8" w:rsidRDefault="002E3AE8" w:rsidP="002E3AE8">
      <w:pPr>
        <w:jc w:val="both"/>
        <w:rPr>
          <w:lang w:val="fr-FR"/>
        </w:rPr>
      </w:pPr>
      <w:r w:rsidRPr="002E3AE8">
        <w:rPr>
          <w:lang w:val="fr-FR"/>
        </w:rPr>
        <w:t>En définitive, l</w:t>
      </w:r>
      <w:r w:rsidR="00BD06DA">
        <w:rPr>
          <w:lang w:val="fr-FR"/>
        </w:rPr>
        <w:t>’</w:t>
      </w:r>
      <w:r w:rsidRPr="002E3AE8">
        <w:rPr>
          <w:lang w:val="fr-FR"/>
        </w:rPr>
        <w:t xml:space="preserve">arrêt </w:t>
      </w:r>
      <w:r w:rsidR="00BD06DA">
        <w:rPr>
          <w:lang w:val="fr-FR"/>
        </w:rPr>
        <w:t xml:space="preserve">Commission/Hongrie </w:t>
      </w:r>
      <w:r w:rsidRPr="002E3AE8">
        <w:rPr>
          <w:lang w:val="fr-FR"/>
        </w:rPr>
        <w:t>s’inscrit dans le contexte plus large de la crise traversée par plusieurs États membres de l’Union</w:t>
      </w:r>
      <w:r w:rsidR="005E31F2">
        <w:rPr>
          <w:lang w:val="fr-FR"/>
        </w:rPr>
        <w:t>,</w:t>
      </w:r>
      <w:r w:rsidRPr="002E3AE8">
        <w:rPr>
          <w:lang w:val="fr-FR"/>
        </w:rPr>
        <w:t xml:space="preserve"> depuis plus d’une décennie. </w:t>
      </w:r>
      <w:r w:rsidR="00E45E3F">
        <w:rPr>
          <w:lang w:val="fr-FR"/>
        </w:rPr>
        <w:t>Dans cet arrêt, p</w:t>
      </w:r>
      <w:r w:rsidRPr="002E3AE8">
        <w:rPr>
          <w:lang w:val="fr-FR"/>
        </w:rPr>
        <w:t>our la première fois, la Cour de justice reconnaît explicitement la portée juridique autonome de l’article 2 TUE, véritable clé de voûte de l’Union des valeurs.</w:t>
      </w:r>
    </w:p>
    <w:p w14:paraId="568D1322" w14:textId="5930C833" w:rsidR="002E3AE8" w:rsidRPr="002E3AE8" w:rsidRDefault="002E3AE8" w:rsidP="002E3AE8">
      <w:pPr>
        <w:jc w:val="both"/>
        <w:rPr>
          <w:lang w:val="fr-FR"/>
        </w:rPr>
      </w:pPr>
      <w:r w:rsidRPr="002E3AE8">
        <w:rPr>
          <w:lang w:val="fr-FR"/>
        </w:rPr>
        <w:t>Une telle consécration pourrait donner l’impression que cette disposition devient un véritable colosse</w:t>
      </w:r>
      <w:r>
        <w:rPr>
          <w:lang w:val="fr-FR"/>
        </w:rPr>
        <w:t xml:space="preserve"> normatif</w:t>
      </w:r>
      <w:r w:rsidRPr="002E3AE8">
        <w:rPr>
          <w:lang w:val="fr-FR"/>
        </w:rPr>
        <w:t xml:space="preserve"> : désormais, un État membre qui porterait atteinte, de manière </w:t>
      </w:r>
      <w:r w:rsidR="00C908E5">
        <w:rPr>
          <w:lang w:val="fr-FR"/>
        </w:rPr>
        <w:t>manifeste et particulièrement grave</w:t>
      </w:r>
      <w:r w:rsidRPr="002E3AE8">
        <w:rPr>
          <w:lang w:val="fr-FR"/>
        </w:rPr>
        <w:t>, aux valeurs consacrées à l’article 2 TUE pourrait voir sa responsabilité engagée devant la Cour. L’évolution est, à bien des égards, considérable. Elle confère à la Cour de justice un pouvoir accru, tant en ce qui concerne l’étendue du champ de son contrôle que la définition substantielle des exigences découlant des valeurs de démocratie, d’État de droit et de protection des droits fondamentaux.</w:t>
      </w:r>
    </w:p>
    <w:p w14:paraId="63CB98E9" w14:textId="3F2196BA" w:rsidR="002E3AE8" w:rsidRPr="002E3AE8" w:rsidRDefault="002E3AE8" w:rsidP="002E3AE8">
      <w:pPr>
        <w:jc w:val="both"/>
        <w:rPr>
          <w:lang w:val="fr-FR"/>
        </w:rPr>
      </w:pPr>
      <w:r w:rsidRPr="002E3AE8">
        <w:rPr>
          <w:lang w:val="fr-FR"/>
        </w:rPr>
        <w:lastRenderedPageBreak/>
        <w:t xml:space="preserve">Cette avancée ne doit toutefois pas être surestimée. D’une part, il paraît difficile d’imaginer l’existence de violations manifestes et </w:t>
      </w:r>
      <w:r w:rsidR="00C908E5">
        <w:rPr>
          <w:lang w:val="fr-FR"/>
        </w:rPr>
        <w:t>particulièrement graves</w:t>
      </w:r>
      <w:r w:rsidR="00C908E5" w:rsidRPr="002E3AE8">
        <w:rPr>
          <w:lang w:val="fr-FR"/>
        </w:rPr>
        <w:t xml:space="preserve"> </w:t>
      </w:r>
      <w:r w:rsidRPr="002E3AE8">
        <w:rPr>
          <w:lang w:val="fr-FR"/>
        </w:rPr>
        <w:t>des valeurs de l’article 2 TUE qui ne constitueraient pas, simultanément, une violation d’autres règles du droit de l’Union. D’autre part, les conséquences concrètes attachées à la reconnaissance autonome d’une violation de cet article demeurent encore incertaines. Surtout, la Cour de justice ne saurait, à elle seule, résoudre les crises que traversent les démocraties nationales. Les expériences polonaise et hongroise l’ont démontré</w:t>
      </w:r>
      <w:r w:rsidR="00EE19CC">
        <w:rPr>
          <w:lang w:val="fr-FR"/>
        </w:rPr>
        <w:t> </w:t>
      </w:r>
      <w:r w:rsidRPr="002E3AE8">
        <w:rPr>
          <w:lang w:val="fr-FR"/>
        </w:rPr>
        <w:t>: l’érosion démocratique ne peut être endiguée durablement que par le fonctionnement même des mécanismes démocratiques au sein des États concernés.</w:t>
      </w:r>
    </w:p>
    <w:p w14:paraId="26C61A26" w14:textId="77777777" w:rsidR="002E3AE8" w:rsidRPr="002E3AE8" w:rsidRDefault="002E3AE8" w:rsidP="002E3AE8">
      <w:pPr>
        <w:jc w:val="both"/>
        <w:rPr>
          <w:lang w:val="fr-FR"/>
        </w:rPr>
      </w:pPr>
      <w:r w:rsidRPr="002E3AE8">
        <w:rPr>
          <w:lang w:val="fr-FR"/>
        </w:rPr>
        <w:t>Si l’Union peut contribuer à ouvrir la voie au changement, celui-ci doit nécessairement s’enraciner au niveau national et politique. Cela suppose de garantir les conditions d’un véritable débat démocratique, permettant notamment aux forces d’opposition, à la société civile et aux contre-pouvoirs institutionnels de se développer pleinement. L’Union a, à cet égard, un rôle essentiel à jouer.</w:t>
      </w:r>
    </w:p>
    <w:p w14:paraId="49B834F6" w14:textId="13499D62" w:rsidR="00C8411B" w:rsidRDefault="002E3AE8" w:rsidP="00C8411B">
      <w:pPr>
        <w:jc w:val="both"/>
        <w:rPr>
          <w:lang w:val="fr-FR"/>
        </w:rPr>
      </w:pPr>
      <w:r w:rsidRPr="002E3AE8">
        <w:rPr>
          <w:lang w:val="fr-FR"/>
        </w:rPr>
        <w:t xml:space="preserve">La portée de cette consécration apparaît ainsi avant tout symbolique. </w:t>
      </w:r>
      <w:r w:rsidR="00804459">
        <w:rPr>
          <w:lang w:val="fr-FR"/>
        </w:rPr>
        <w:t>Elle n’est néanmoins pas sans risque</w:t>
      </w:r>
      <w:r w:rsidRPr="002E3AE8">
        <w:rPr>
          <w:lang w:val="fr-FR"/>
        </w:rPr>
        <w:t xml:space="preserve">. L’affirmation d’une compétence aussi ambitieuse de la Cour de Luxembourg ne manquera pas de susciter des débats doctrinaux nourris </w:t>
      </w:r>
      <w:r w:rsidR="00804459">
        <w:rPr>
          <w:lang w:val="fr-FR"/>
        </w:rPr>
        <w:t>et peut-être</w:t>
      </w:r>
      <w:r w:rsidRPr="002E3AE8">
        <w:rPr>
          <w:lang w:val="fr-FR"/>
        </w:rPr>
        <w:t xml:space="preserve"> d’éventuelles tensions avec certaines juridictions constitutionnelles nationales, qui pourraient percevoir dans cette évolution une extension préoccupante du pouvoir juridictionnel de l’Union. </w:t>
      </w:r>
      <w:r w:rsidR="00935BC4" w:rsidRPr="00935BC4">
        <w:rPr>
          <w:lang w:val="fr-FR"/>
        </w:rPr>
        <w:t xml:space="preserve">Dès lors, si </w:t>
      </w:r>
      <w:r w:rsidR="00E5154F">
        <w:rPr>
          <w:lang w:val="fr-FR"/>
        </w:rPr>
        <w:t>l’</w:t>
      </w:r>
      <w:r w:rsidR="00935BC4" w:rsidRPr="00935BC4">
        <w:rPr>
          <w:lang w:val="fr-FR"/>
        </w:rPr>
        <w:t xml:space="preserve">arrêt </w:t>
      </w:r>
      <w:r w:rsidR="00E5154F">
        <w:rPr>
          <w:lang w:val="fr-FR"/>
        </w:rPr>
        <w:t xml:space="preserve">Commission/Hongrie </w:t>
      </w:r>
      <w:r w:rsidR="00935BC4" w:rsidRPr="00935BC4">
        <w:rPr>
          <w:lang w:val="fr-FR"/>
        </w:rPr>
        <w:t>constitue incontestablement une étape majeure dans la consolidation de l’Union des valeurs, il conviendra de rester attentif à sa réception future au sein des ordres juridiques nationaux.</w:t>
      </w:r>
    </w:p>
    <w:sectPr w:rsidR="00C8411B">
      <w:footerReference w:type="even" r:id="rId8"/>
      <w:footerReference w:type="default" r:id="rId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552429C" w14:textId="77777777" w:rsidR="00041FCD" w:rsidRDefault="00041FCD" w:rsidP="0090644F">
      <w:pPr>
        <w:spacing w:after="0" w:line="240" w:lineRule="auto"/>
      </w:pPr>
      <w:r>
        <w:separator/>
      </w:r>
    </w:p>
  </w:endnote>
  <w:endnote w:type="continuationSeparator" w:id="0">
    <w:p w14:paraId="74EC49FF" w14:textId="77777777" w:rsidR="00041FCD" w:rsidRDefault="00041FCD" w:rsidP="0090644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 w:name="Roboto">
    <w:charset w:val="00"/>
    <w:family w:val="auto"/>
    <w:pitch w:val="variable"/>
    <w:sig w:usb0="E00002FF" w:usb1="5000205B" w:usb2="0000002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700691665"/>
      <w:docPartObj>
        <w:docPartGallery w:val="Page Numbers (Bottom of Page)"/>
        <w:docPartUnique/>
      </w:docPartObj>
    </w:sdtPr>
    <w:sdtEndPr>
      <w:rPr>
        <w:rStyle w:val="PageNumber"/>
      </w:rPr>
    </w:sdtEndPr>
    <w:sdtContent>
      <w:p w14:paraId="21F4B69D" w14:textId="78436A48" w:rsidR="00AC1E2F" w:rsidRDefault="00AC1E2F" w:rsidP="00F01E52">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sidR="00041FCD">
          <w:rPr>
            <w:rStyle w:val="PageNumber"/>
          </w:rPr>
          <w:fldChar w:fldCharType="separate"/>
        </w:r>
        <w:r>
          <w:rPr>
            <w:rStyle w:val="PageNumber"/>
          </w:rPr>
          <w:fldChar w:fldCharType="end"/>
        </w:r>
      </w:p>
    </w:sdtContent>
  </w:sdt>
  <w:p w14:paraId="2D43ED56" w14:textId="77777777" w:rsidR="00AC1E2F" w:rsidRDefault="00AC1E2F" w:rsidP="0044049B">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6982907"/>
      <w:docPartObj>
        <w:docPartGallery w:val="Page Numbers (Bottom of Page)"/>
        <w:docPartUnique/>
      </w:docPartObj>
    </w:sdtPr>
    <w:sdtEndPr>
      <w:rPr>
        <w:rStyle w:val="PageNumber"/>
      </w:rPr>
    </w:sdtEndPr>
    <w:sdtContent>
      <w:p w14:paraId="72DE846C" w14:textId="41AD3764" w:rsidR="00AC1E2F" w:rsidRDefault="00AC1E2F" w:rsidP="00F01E52">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8</w:t>
        </w:r>
        <w:r>
          <w:rPr>
            <w:rStyle w:val="PageNumber"/>
          </w:rPr>
          <w:fldChar w:fldCharType="end"/>
        </w:r>
      </w:p>
    </w:sdtContent>
  </w:sdt>
  <w:p w14:paraId="718ABF6C" w14:textId="77777777" w:rsidR="00AC1E2F" w:rsidRDefault="00AC1E2F" w:rsidP="0044049B">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08FFB43" w14:textId="77777777" w:rsidR="00041FCD" w:rsidRDefault="00041FCD" w:rsidP="0090644F">
      <w:pPr>
        <w:spacing w:after="0" w:line="240" w:lineRule="auto"/>
      </w:pPr>
      <w:r>
        <w:separator/>
      </w:r>
    </w:p>
  </w:footnote>
  <w:footnote w:type="continuationSeparator" w:id="0">
    <w:p w14:paraId="1BDF4EA4" w14:textId="77777777" w:rsidR="00041FCD" w:rsidRDefault="00041FCD" w:rsidP="0090644F">
      <w:pPr>
        <w:spacing w:after="0" w:line="240" w:lineRule="auto"/>
      </w:pPr>
      <w:r>
        <w:continuationSeparator/>
      </w:r>
    </w:p>
  </w:footnote>
  <w:footnote w:id="1">
    <w:p w14:paraId="087C6270" w14:textId="74E71342" w:rsidR="003F4E66" w:rsidRPr="00910133" w:rsidRDefault="003F4E66" w:rsidP="003F4E66">
      <w:pPr>
        <w:pStyle w:val="FootnoteText"/>
        <w:jc w:val="both"/>
      </w:pPr>
      <w:r w:rsidRPr="00910133">
        <w:rPr>
          <w:rStyle w:val="FootnoteReference"/>
          <w:rFonts w:eastAsiaTheme="majorEastAsia"/>
        </w:rPr>
        <w:t>*</w:t>
      </w:r>
      <w:r w:rsidRPr="00910133">
        <w:t xml:space="preserve"> </w:t>
      </w:r>
      <w:r>
        <w:rPr>
          <w:lang w:val="fr-FR"/>
        </w:rPr>
        <w:t xml:space="preserve">Cecilia </w:t>
      </w:r>
      <w:proofErr w:type="spellStart"/>
      <w:r>
        <w:rPr>
          <w:lang w:val="fr-FR"/>
        </w:rPr>
        <w:t>Rizcallah</w:t>
      </w:r>
      <w:proofErr w:type="spellEnd"/>
      <w:r w:rsidRPr="00565919">
        <w:rPr>
          <w:rFonts w:cs="Times New Roman"/>
        </w:rPr>
        <w:t xml:space="preserve"> est</w:t>
      </w:r>
      <w:r w:rsidRPr="00AA15DF">
        <w:rPr>
          <w:rFonts w:cs="Times New Roman"/>
        </w:rPr>
        <w:t xml:space="preserve"> </w:t>
      </w:r>
      <w:r>
        <w:t>p</w:t>
      </w:r>
      <w:r w:rsidRPr="00BB2519">
        <w:t>rofesseure à l’</w:t>
      </w:r>
      <w:proofErr w:type="spellStart"/>
      <w:r w:rsidRPr="00BB2519">
        <w:t>UCLouvain</w:t>
      </w:r>
      <w:proofErr w:type="spellEnd"/>
      <w:r w:rsidRPr="00BB2519">
        <w:t xml:space="preserve"> Saint-Louis Bruxelles</w:t>
      </w:r>
      <w:r>
        <w:t xml:space="preserve"> et professeure invitée au Collège d’Europe, à l’ULB et à l’Université Paris I Panthéon – Sorbonne</w:t>
      </w:r>
      <w:r w:rsidRPr="00AA15DF">
        <w:rPr>
          <w:rFonts w:cs="Times New Roman"/>
        </w:rPr>
        <w:t xml:space="preserve">. Elle peut être contactée </w:t>
      </w:r>
      <w:r>
        <w:rPr>
          <w:rFonts w:cs="Times New Roman"/>
        </w:rPr>
        <w:t>à</w:t>
      </w:r>
      <w:r w:rsidRPr="00AA15DF">
        <w:rPr>
          <w:rFonts w:cs="Times New Roman"/>
        </w:rPr>
        <w:t xml:space="preserve"> l’adresse suivant</w:t>
      </w:r>
      <w:r>
        <w:rPr>
          <w:rFonts w:cs="Times New Roman"/>
        </w:rPr>
        <w:t>e</w:t>
      </w:r>
      <w:r w:rsidRPr="00AA15DF">
        <w:rPr>
          <w:rFonts w:cs="Times New Roman"/>
        </w:rPr>
        <w:t xml:space="preserve"> :</w:t>
      </w:r>
      <w:r>
        <w:rPr>
          <w:rFonts w:cs="Times New Roman"/>
        </w:rPr>
        <w:t xml:space="preserve"> </w:t>
      </w:r>
      <w:hyperlink r:id="rId1" w:history="1">
        <w:r w:rsidR="00111093" w:rsidRPr="0044049B">
          <w:t>cecilia.rizcallah@uclouvain.be</w:t>
        </w:r>
      </w:hyperlink>
      <w:r w:rsidR="00111093">
        <w:rPr>
          <w:rFonts w:cs="Times New Roman"/>
        </w:rPr>
        <w:t xml:space="preserve">. </w:t>
      </w:r>
      <w:r>
        <w:rPr>
          <w:lang w:val="fr-FR"/>
        </w:rPr>
        <w:t xml:space="preserve">Marie </w:t>
      </w:r>
      <w:proofErr w:type="spellStart"/>
      <w:r>
        <w:rPr>
          <w:lang w:val="fr-FR"/>
        </w:rPr>
        <w:t>Vanloocke</w:t>
      </w:r>
      <w:proofErr w:type="spellEnd"/>
      <w:r w:rsidRPr="00565919">
        <w:rPr>
          <w:rFonts w:cs="Times New Roman"/>
        </w:rPr>
        <w:t xml:space="preserve"> est</w:t>
      </w:r>
      <w:r w:rsidRPr="00AA15DF">
        <w:rPr>
          <w:rFonts w:cs="Times New Roman"/>
        </w:rPr>
        <w:t xml:space="preserve"> </w:t>
      </w:r>
      <w:r>
        <w:t>doctorante à l’</w:t>
      </w:r>
      <w:proofErr w:type="spellStart"/>
      <w:r>
        <w:t>UCLouvain</w:t>
      </w:r>
      <w:proofErr w:type="spellEnd"/>
      <w:r>
        <w:t xml:space="preserve"> et à l’</w:t>
      </w:r>
      <w:proofErr w:type="spellStart"/>
      <w:r>
        <w:t>UCLouvain</w:t>
      </w:r>
      <w:proofErr w:type="spellEnd"/>
      <w:r>
        <w:t xml:space="preserve"> Saint-Louis Bruxelles, bénéficiaire d’une bourse FRESH du Fonds de la Recherche Scientifique – FNRS</w:t>
      </w:r>
      <w:r w:rsidRPr="00AA15DF">
        <w:rPr>
          <w:rFonts w:cs="Times New Roman"/>
        </w:rPr>
        <w:t xml:space="preserve">. </w:t>
      </w:r>
      <w:r>
        <w:rPr>
          <w:rFonts w:cs="Times New Roman"/>
        </w:rPr>
        <w:t>Elle</w:t>
      </w:r>
      <w:r w:rsidRPr="00AA15DF">
        <w:rPr>
          <w:rFonts w:cs="Times New Roman"/>
        </w:rPr>
        <w:t xml:space="preserve"> peut être contacté</w:t>
      </w:r>
      <w:r>
        <w:rPr>
          <w:rFonts w:cs="Times New Roman"/>
        </w:rPr>
        <w:t>e</w:t>
      </w:r>
      <w:r w:rsidRPr="00AA15DF">
        <w:rPr>
          <w:rFonts w:cs="Times New Roman"/>
        </w:rPr>
        <w:t xml:space="preserve"> à l’adresse suivante : </w:t>
      </w:r>
      <w:r w:rsidR="00111093">
        <w:rPr>
          <w:rFonts w:cs="Times New Roman"/>
        </w:rPr>
        <w:t xml:space="preserve">marie.vanloocke@uclouvain.be. </w:t>
      </w:r>
      <w:r w:rsidR="00111093" w:rsidRPr="00347B6F" w:rsidDel="00565919">
        <w:t xml:space="preserve"> </w:t>
      </w:r>
    </w:p>
  </w:footnote>
  <w:footnote w:id="2">
    <w:p w14:paraId="2C23E55D" w14:textId="0AAB2F58" w:rsidR="003826F6" w:rsidRPr="00CC1188" w:rsidRDefault="003826F6" w:rsidP="002666A3">
      <w:pPr>
        <w:pStyle w:val="FootnoteText"/>
        <w:jc w:val="both"/>
        <w:rPr>
          <w:lang w:val="fr-FR"/>
        </w:rPr>
      </w:pPr>
      <w:r>
        <w:rPr>
          <w:rStyle w:val="FootnoteReference"/>
        </w:rPr>
        <w:footnoteRef/>
      </w:r>
      <w:r>
        <w:t xml:space="preserve"> </w:t>
      </w:r>
      <w:r w:rsidR="00096E28">
        <w:rPr>
          <w:lang w:val="fr-FR"/>
        </w:rPr>
        <w:t>L</w:t>
      </w:r>
      <w:r w:rsidR="00D108F0">
        <w:rPr>
          <w:lang w:val="fr-FR"/>
        </w:rPr>
        <w:t xml:space="preserve">e régime instauré par la loi de 2021 fut d’ailleurs renforcé par l’adoption d’une nouvelle loi en mars 2025, qui </w:t>
      </w:r>
      <w:r w:rsidR="00E560BD">
        <w:rPr>
          <w:lang w:val="fr-FR"/>
        </w:rPr>
        <w:t xml:space="preserve">a </w:t>
      </w:r>
      <w:r w:rsidR="00D108F0">
        <w:rPr>
          <w:lang w:val="fr-FR"/>
        </w:rPr>
        <w:t>modifi</w:t>
      </w:r>
      <w:r w:rsidR="00E560BD">
        <w:rPr>
          <w:lang w:val="fr-FR"/>
        </w:rPr>
        <w:t>é</w:t>
      </w:r>
      <w:r w:rsidR="00D108F0">
        <w:rPr>
          <w:lang w:val="fr-FR"/>
        </w:rPr>
        <w:t xml:space="preserve"> la loi sur la liberté de réunion </w:t>
      </w:r>
      <w:r w:rsidR="008B21D7">
        <w:rPr>
          <w:lang w:val="fr-FR"/>
        </w:rPr>
        <w:t xml:space="preserve">en vue d’étendre l’interdiction introduite par </w:t>
      </w:r>
      <w:r w:rsidR="00D5355C">
        <w:rPr>
          <w:lang w:val="fr-FR"/>
        </w:rPr>
        <w:t>celle</w:t>
      </w:r>
      <w:r w:rsidR="008B21D7">
        <w:rPr>
          <w:lang w:val="fr-FR"/>
        </w:rPr>
        <w:t xml:space="preserve"> de 2021. Cette combinaison fut à l’origine des tentatives d’interdiction de la </w:t>
      </w:r>
      <w:r w:rsidR="00CC1188">
        <w:rPr>
          <w:i/>
          <w:iCs/>
          <w:lang w:val="fr-FR"/>
        </w:rPr>
        <w:t>Pride</w:t>
      </w:r>
      <w:r w:rsidR="00CC1188">
        <w:rPr>
          <w:lang w:val="fr-FR"/>
        </w:rPr>
        <w:t xml:space="preserve"> en 2025.  </w:t>
      </w:r>
    </w:p>
  </w:footnote>
  <w:footnote w:id="3">
    <w:p w14:paraId="21745C16" w14:textId="3B0DB299" w:rsidR="00A753C4" w:rsidRDefault="00A753C4" w:rsidP="00EE19CC">
      <w:pPr>
        <w:pStyle w:val="FootnoteText"/>
        <w:jc w:val="both"/>
      </w:pPr>
      <w:r>
        <w:rPr>
          <w:rStyle w:val="FootnoteReference"/>
        </w:rPr>
        <w:footnoteRef/>
      </w:r>
      <w:r>
        <w:t xml:space="preserve"> </w:t>
      </w:r>
      <w:r w:rsidRPr="00EE19CC">
        <w:rPr>
          <w:rFonts w:cs="Times New Roman"/>
          <w:color w:val="333333"/>
          <w:shd w:val="clear" w:color="auto" w:fill="FFFFFF"/>
        </w:rPr>
        <w:t xml:space="preserve">Arrêt du 21 avril 2026, Commission/Hongrie (Valeurs de l’Union), C-769/22, </w:t>
      </w:r>
      <w:proofErr w:type="gramStart"/>
      <w:r w:rsidRPr="00EE19CC">
        <w:rPr>
          <w:rFonts w:cs="Times New Roman"/>
          <w:color w:val="333333"/>
          <w:shd w:val="clear" w:color="auto" w:fill="FFFFFF"/>
        </w:rPr>
        <w:t>EU:</w:t>
      </w:r>
      <w:proofErr w:type="gramEnd"/>
      <w:r w:rsidRPr="00EE19CC">
        <w:rPr>
          <w:rFonts w:cs="Times New Roman"/>
          <w:color w:val="333333"/>
          <w:shd w:val="clear" w:color="auto" w:fill="FFFFFF"/>
        </w:rPr>
        <w:t>C:2026:326.</w:t>
      </w:r>
    </w:p>
  </w:footnote>
  <w:footnote w:id="4">
    <w:p w14:paraId="0E6BDB41" w14:textId="54EDED05" w:rsidR="005B757C" w:rsidRPr="004916C3" w:rsidRDefault="005B757C" w:rsidP="002666A3">
      <w:pPr>
        <w:pStyle w:val="FootnoteText"/>
        <w:jc w:val="both"/>
        <w:rPr>
          <w:lang w:val="fr-FR"/>
        </w:rPr>
      </w:pPr>
      <w:r>
        <w:rPr>
          <w:rStyle w:val="FootnoteReference"/>
        </w:rPr>
        <w:footnoteRef/>
      </w:r>
      <w:r>
        <w:t xml:space="preserve"> </w:t>
      </w:r>
      <w:r w:rsidR="00F5681E">
        <w:rPr>
          <w:lang w:val="fr-FR"/>
        </w:rPr>
        <w:t>A</w:t>
      </w:r>
      <w:r>
        <w:rPr>
          <w:lang w:val="fr-FR"/>
        </w:rPr>
        <w:t xml:space="preserve">rrêt du 27 février 2018, </w:t>
      </w:r>
      <w:proofErr w:type="spellStart"/>
      <w:r w:rsidRPr="00BD0BDF">
        <w:rPr>
          <w:i/>
          <w:iCs/>
        </w:rPr>
        <w:t>Associação</w:t>
      </w:r>
      <w:proofErr w:type="spellEnd"/>
      <w:r w:rsidRPr="00BD0BDF">
        <w:rPr>
          <w:i/>
          <w:iCs/>
        </w:rPr>
        <w:t xml:space="preserve"> </w:t>
      </w:r>
      <w:proofErr w:type="spellStart"/>
      <w:r w:rsidRPr="00BD0BDF">
        <w:rPr>
          <w:i/>
          <w:iCs/>
        </w:rPr>
        <w:t>Sindical</w:t>
      </w:r>
      <w:proofErr w:type="spellEnd"/>
      <w:r w:rsidRPr="00BD0BDF">
        <w:rPr>
          <w:i/>
          <w:iCs/>
        </w:rPr>
        <w:t xml:space="preserve"> dos </w:t>
      </w:r>
      <w:proofErr w:type="spellStart"/>
      <w:r w:rsidRPr="00BD0BDF">
        <w:rPr>
          <w:i/>
          <w:iCs/>
        </w:rPr>
        <w:t>Juízes</w:t>
      </w:r>
      <w:proofErr w:type="spellEnd"/>
      <w:r w:rsidRPr="00BD0BDF">
        <w:rPr>
          <w:i/>
          <w:iCs/>
        </w:rPr>
        <w:t xml:space="preserve"> </w:t>
      </w:r>
      <w:proofErr w:type="spellStart"/>
      <w:r w:rsidRPr="00BD0BDF">
        <w:rPr>
          <w:i/>
          <w:iCs/>
        </w:rPr>
        <w:t>Portugueses</w:t>
      </w:r>
      <w:proofErr w:type="spellEnd"/>
      <w:r>
        <w:rPr>
          <w:lang w:val="fr-FR"/>
        </w:rPr>
        <w:t>, C-64/16,</w:t>
      </w:r>
      <w:r w:rsidRPr="00E42F2B">
        <w:rPr>
          <w:rFonts w:ascii="Roboto" w:hAnsi="Roboto"/>
          <w:color w:val="333333"/>
          <w:sz w:val="21"/>
          <w:szCs w:val="21"/>
          <w:shd w:val="clear" w:color="auto" w:fill="FFFFFF"/>
        </w:rPr>
        <w:t xml:space="preserve"> </w:t>
      </w:r>
      <w:proofErr w:type="gramStart"/>
      <w:r w:rsidRPr="00E42F2B">
        <w:t>EU:</w:t>
      </w:r>
      <w:proofErr w:type="gramEnd"/>
      <w:r w:rsidRPr="00E42F2B">
        <w:t>C:2018:117</w:t>
      </w:r>
      <w:r>
        <w:t>.</w:t>
      </w:r>
      <w:r w:rsidR="004916C3">
        <w:t xml:space="preserve"> </w:t>
      </w:r>
      <w:proofErr w:type="spellStart"/>
      <w:r w:rsidR="004916C3">
        <w:t>Voy</w:t>
      </w:r>
      <w:proofErr w:type="spellEnd"/>
      <w:r w:rsidR="004916C3">
        <w:t xml:space="preserve">., sur cette combinaison, C. </w:t>
      </w:r>
      <w:proofErr w:type="spellStart"/>
      <w:r w:rsidR="004916C3">
        <w:t>Rizcallah</w:t>
      </w:r>
      <w:proofErr w:type="spellEnd"/>
      <w:r w:rsidR="004916C3">
        <w:t xml:space="preserve"> et V. </w:t>
      </w:r>
      <w:proofErr w:type="spellStart"/>
      <w:r w:rsidR="004916C3">
        <w:t>Davio</w:t>
      </w:r>
      <w:proofErr w:type="spellEnd"/>
      <w:r w:rsidR="004916C3">
        <w:t>, « </w:t>
      </w:r>
      <w:r w:rsidR="004916C3" w:rsidRPr="004916C3">
        <w:t>L’article 19 du Traité sur l’Union européenne : sésame de l’Union de droit</w:t>
      </w:r>
      <w:r w:rsidR="004916C3">
        <w:t xml:space="preserve"> », </w:t>
      </w:r>
      <w:r w:rsidR="004916C3">
        <w:rPr>
          <w:i/>
          <w:iCs/>
        </w:rPr>
        <w:t>Revue trimestrielle des droits de l’Homme</w:t>
      </w:r>
      <w:r w:rsidR="004916C3">
        <w:t xml:space="preserve">, 2020, </w:t>
      </w:r>
      <w:r w:rsidR="00F5681E">
        <w:t xml:space="preserve">vol. 122, </w:t>
      </w:r>
      <w:r w:rsidR="004916C3">
        <w:t>pp. 155-185</w:t>
      </w:r>
      <w:r w:rsidR="00A753C4">
        <w:t>.</w:t>
      </w:r>
    </w:p>
  </w:footnote>
  <w:footnote w:id="5">
    <w:p w14:paraId="2866C517" w14:textId="257B4443" w:rsidR="00227A77" w:rsidRPr="00153150" w:rsidRDefault="00227A77" w:rsidP="00700E75">
      <w:pPr>
        <w:pStyle w:val="FootnoteText"/>
        <w:jc w:val="both"/>
      </w:pPr>
      <w:r w:rsidRPr="00153150">
        <w:rPr>
          <w:rStyle w:val="FootnoteReference"/>
        </w:rPr>
        <w:footnoteRef/>
      </w:r>
      <w:r w:rsidRPr="00153150">
        <w:t xml:space="preserve"> </w:t>
      </w:r>
      <w:r w:rsidRPr="00700E75">
        <w:rPr>
          <w:color w:val="000000"/>
        </w:rPr>
        <w:t>Directive 2010/13/UE du Parlement européen et du Conseil, du 10 mars 2010, visant à la coordination de certaines dispositions législatives, réglementaires et administratives des États membres relatives à la fourniture de services de médias audiovisuels (directive « Services de médias audiovisuels ») (JO 2010, L 95, p. 1), telle que modifiée par la directive (UE) 2018/1808 du Parlement européen et du Conseil, du 14 novembre 2018 (JO 2018, L 303, p. 69).</w:t>
      </w:r>
    </w:p>
  </w:footnote>
  <w:footnote w:id="6">
    <w:p w14:paraId="7DBB4D9F" w14:textId="3B60AAE6" w:rsidR="00227A77" w:rsidRPr="00153150" w:rsidRDefault="00227A77" w:rsidP="00700E75">
      <w:pPr>
        <w:pStyle w:val="FootnoteText"/>
        <w:jc w:val="both"/>
      </w:pPr>
      <w:r w:rsidRPr="00153150">
        <w:rPr>
          <w:rStyle w:val="FootnoteReference"/>
        </w:rPr>
        <w:footnoteRef/>
      </w:r>
      <w:r w:rsidRPr="00153150">
        <w:t xml:space="preserve"> </w:t>
      </w:r>
      <w:r w:rsidRPr="00700E75">
        <w:rPr>
          <w:color w:val="000000"/>
        </w:rPr>
        <w:t>Directive 2000/31/CE du Parlement européen et du Conseil, du 8 juin 2000, relative à certains aspects juridiques des services de la société de l’information, et notamment du commerce électronique, dans le marché intérieur (« directive sur le commerce électronique ») (JO 2000, L 178, p. 1).</w:t>
      </w:r>
    </w:p>
  </w:footnote>
  <w:footnote w:id="7">
    <w:p w14:paraId="784FA452" w14:textId="75BD2F2D" w:rsidR="00EA544F" w:rsidRDefault="00EA544F" w:rsidP="00700E75">
      <w:pPr>
        <w:pStyle w:val="FootnoteText"/>
        <w:jc w:val="both"/>
      </w:pPr>
      <w:r w:rsidRPr="00153150">
        <w:rPr>
          <w:rStyle w:val="FootnoteReference"/>
        </w:rPr>
        <w:footnoteRef/>
      </w:r>
      <w:r w:rsidRPr="00153150">
        <w:t xml:space="preserve"> </w:t>
      </w:r>
      <w:r w:rsidRPr="00700E75">
        <w:rPr>
          <w:color w:val="000000"/>
        </w:rPr>
        <w:t>Directive 2006/123/CE du Parlement européen et du Conseil, du 12 décembre 2006, relative aux services dans le marché intérieur (JO 2006, L 376, p. 36).</w:t>
      </w:r>
    </w:p>
  </w:footnote>
  <w:footnote w:id="8">
    <w:p w14:paraId="47A249B3" w14:textId="34328E3F" w:rsidR="007475A6" w:rsidRPr="007475A6" w:rsidRDefault="007475A6" w:rsidP="00700E75">
      <w:pPr>
        <w:pStyle w:val="FootnoteText"/>
        <w:jc w:val="both"/>
      </w:pPr>
      <w:r>
        <w:rPr>
          <w:rStyle w:val="FootnoteReference"/>
        </w:rPr>
        <w:footnoteRef/>
      </w:r>
      <w:r>
        <w:t xml:space="preserve"> </w:t>
      </w:r>
      <w:r w:rsidRPr="00700E75">
        <w:rPr>
          <w:color w:val="000000"/>
        </w:rPr>
        <w:t>Règlement (UE) 2016/679 du Parlement européen et du Conseil, du 27 avril 2016, relatif à la protection des personnes physiques à l’égard du traitement des données à caractère personnel et à la libre circulation de ces données, et abrogeant la directive 95/46/CE (règlement général sur la protection des données) (JO 2016, L 119, p. 1.</w:t>
      </w:r>
    </w:p>
  </w:footnote>
  <w:footnote w:id="9">
    <w:p w14:paraId="22F8D3E3" w14:textId="227DB5A9" w:rsidR="00462E16" w:rsidRPr="0093563F" w:rsidRDefault="00462E16" w:rsidP="00DC0163">
      <w:pPr>
        <w:pStyle w:val="FootnoteText"/>
        <w:jc w:val="both"/>
      </w:pPr>
      <w:r>
        <w:rPr>
          <w:rStyle w:val="FootnoteReference"/>
        </w:rPr>
        <w:footnoteRef/>
      </w:r>
      <w:r>
        <w:t xml:space="preserve"> </w:t>
      </w:r>
      <w:r w:rsidRPr="00DC0163">
        <w:t>Article 51 Charte</w:t>
      </w:r>
      <w:r w:rsidR="0093563F">
        <w:t xml:space="preserve"> des droits fondamentaux de l’Union européenne. S</w:t>
      </w:r>
      <w:r w:rsidRPr="00DC0163">
        <w:t xml:space="preserve">ur cette notion </w:t>
      </w:r>
      <w:proofErr w:type="spellStart"/>
      <w:r w:rsidRPr="00DC0163">
        <w:t>voy</w:t>
      </w:r>
      <w:proofErr w:type="spellEnd"/>
      <w:r w:rsidRPr="00DC0163">
        <w:t>.</w:t>
      </w:r>
      <w:r>
        <w:t xml:space="preserve"> </w:t>
      </w:r>
      <w:r w:rsidR="0093563F">
        <w:t xml:space="preserve">A. </w:t>
      </w:r>
      <w:proofErr w:type="spellStart"/>
      <w:r w:rsidR="0093563F" w:rsidRPr="00DC0163">
        <w:t>Bailleux</w:t>
      </w:r>
      <w:proofErr w:type="spellEnd"/>
      <w:r w:rsidR="0093563F">
        <w:t xml:space="preserve">, « Portée et interprétation des droits et principes », </w:t>
      </w:r>
      <w:r w:rsidR="0093563F">
        <w:rPr>
          <w:i/>
          <w:iCs/>
        </w:rPr>
        <w:t>in</w:t>
      </w:r>
      <w:r w:rsidR="0093563F">
        <w:t xml:space="preserve"> F. </w:t>
      </w:r>
      <w:proofErr w:type="spellStart"/>
      <w:r w:rsidR="0093563F">
        <w:t>Picod</w:t>
      </w:r>
      <w:proofErr w:type="spellEnd"/>
      <w:r w:rsidR="0093563F">
        <w:t xml:space="preserve">, C. </w:t>
      </w:r>
      <w:proofErr w:type="spellStart"/>
      <w:r w:rsidR="0093563F">
        <w:t>Rizcallah</w:t>
      </w:r>
      <w:proofErr w:type="spellEnd"/>
      <w:r w:rsidR="0093563F">
        <w:t xml:space="preserve"> et S. Van </w:t>
      </w:r>
      <w:proofErr w:type="spellStart"/>
      <w:r w:rsidR="0093563F">
        <w:t>Drooghenbroeck</w:t>
      </w:r>
      <w:proofErr w:type="spellEnd"/>
      <w:r w:rsidR="0093563F">
        <w:t xml:space="preserve"> (</w:t>
      </w:r>
      <w:proofErr w:type="spellStart"/>
      <w:r w:rsidR="0093563F">
        <w:t>dir</w:t>
      </w:r>
      <w:proofErr w:type="spellEnd"/>
      <w:r w:rsidR="0093563F">
        <w:t xml:space="preserve">.), </w:t>
      </w:r>
      <w:r w:rsidR="0093563F" w:rsidRPr="00DC0163">
        <w:rPr>
          <w:i/>
          <w:iCs/>
        </w:rPr>
        <w:t>Charte des droits fondamentaux de l’Union européen</w:t>
      </w:r>
      <w:r w:rsidR="0093563F">
        <w:rPr>
          <w:i/>
          <w:iCs/>
        </w:rPr>
        <w:t>ne</w:t>
      </w:r>
      <w:r w:rsidR="0093563F">
        <w:t>, 3</w:t>
      </w:r>
      <w:r w:rsidR="0093563F" w:rsidRPr="00DC0163">
        <w:rPr>
          <w:vertAlign w:val="superscript"/>
        </w:rPr>
        <w:t>e</w:t>
      </w:r>
      <w:r w:rsidR="0093563F">
        <w:t xml:space="preserve"> éd., Bruxelles, Bruylant, 2023, pp. 1385-1426. </w:t>
      </w:r>
    </w:p>
  </w:footnote>
  <w:footnote w:id="10">
    <w:p w14:paraId="0EC8F712" w14:textId="6A6CB5BC" w:rsidR="00462E16" w:rsidRPr="00742C38" w:rsidRDefault="00462E16" w:rsidP="00DC0163">
      <w:pPr>
        <w:pStyle w:val="FootnoteText"/>
        <w:jc w:val="both"/>
        <w:rPr>
          <w:lang w:val="en-US"/>
        </w:rPr>
      </w:pPr>
      <w:r>
        <w:rPr>
          <w:rStyle w:val="FootnoteReference"/>
        </w:rPr>
        <w:footnoteRef/>
      </w:r>
      <w:r>
        <w:t xml:space="preserve"> </w:t>
      </w:r>
      <w:r w:rsidRPr="00DC0163">
        <w:t>Sur la spécificité de la protect</w:t>
      </w:r>
      <w:r>
        <w:t xml:space="preserve">ion offerte par l’Union dans le domaine des droits fondamentaux, </w:t>
      </w:r>
      <w:proofErr w:type="spellStart"/>
      <w:r>
        <w:t>voy</w:t>
      </w:r>
      <w:proofErr w:type="spellEnd"/>
      <w:r>
        <w:t xml:space="preserve">. </w:t>
      </w:r>
      <w:r w:rsidRPr="00742C38">
        <w:rPr>
          <w:lang w:val="en-US"/>
        </w:rPr>
        <w:t xml:space="preserve">C. </w:t>
      </w:r>
      <w:proofErr w:type="spellStart"/>
      <w:r w:rsidRPr="00742C38">
        <w:rPr>
          <w:lang w:val="en-US"/>
        </w:rPr>
        <w:t>Rizcallah</w:t>
      </w:r>
      <w:proofErr w:type="spellEnd"/>
      <w:r w:rsidRPr="00742C38">
        <w:rPr>
          <w:lang w:val="en-US"/>
        </w:rPr>
        <w:t xml:space="preserve">, </w:t>
      </w:r>
      <w:r w:rsidRPr="00742C38">
        <w:rPr>
          <w:i/>
          <w:iCs/>
          <w:lang w:val="en-US"/>
        </w:rPr>
        <w:t>The European Union and Human Rights. Understanding a Singular Regional Player</w:t>
      </w:r>
      <w:r w:rsidRPr="00742C38">
        <w:rPr>
          <w:lang w:val="en-US"/>
        </w:rPr>
        <w:t xml:space="preserve">, Hart, 2026. </w:t>
      </w:r>
    </w:p>
  </w:footnote>
  <w:footnote w:id="11">
    <w:p w14:paraId="2BC11FCB" w14:textId="073F386C" w:rsidR="00513A58" w:rsidRPr="00513A58" w:rsidRDefault="00513A58">
      <w:pPr>
        <w:pStyle w:val="FootnoteText"/>
      </w:pPr>
      <w:r>
        <w:rPr>
          <w:rStyle w:val="FootnoteReference"/>
        </w:rPr>
        <w:footnoteRef/>
      </w:r>
      <w:r>
        <w:t xml:space="preserve"> </w:t>
      </w:r>
      <w:proofErr w:type="spellStart"/>
      <w:r w:rsidRPr="00BB2519">
        <w:t>Voy</w:t>
      </w:r>
      <w:proofErr w:type="spellEnd"/>
      <w:r w:rsidRPr="00BB2519">
        <w:t xml:space="preserve">. </w:t>
      </w:r>
      <w:proofErr w:type="gramStart"/>
      <w:r>
        <w:t>supra</w:t>
      </w:r>
      <w:proofErr w:type="gramEnd"/>
      <w:r>
        <w:t xml:space="preserve">, note </w:t>
      </w:r>
      <w:r w:rsidR="00A042EF" w:rsidRPr="0044049B">
        <w:t>3</w:t>
      </w:r>
      <w:r w:rsidRPr="003236E3">
        <w:t>.</w:t>
      </w:r>
    </w:p>
  </w:footnote>
  <w:footnote w:id="12">
    <w:p w14:paraId="3A536055" w14:textId="696060C4" w:rsidR="00FF6F1A" w:rsidRPr="00DC0163" w:rsidRDefault="00FF6F1A" w:rsidP="00DC0163">
      <w:pPr>
        <w:pStyle w:val="FootnoteText"/>
        <w:jc w:val="both"/>
        <w:rPr>
          <w:lang w:val="fr-FR"/>
        </w:rPr>
      </w:pPr>
      <w:r>
        <w:rPr>
          <w:rStyle w:val="FootnoteReference"/>
        </w:rPr>
        <w:footnoteRef/>
      </w:r>
      <w:r>
        <w:t xml:space="preserve"> </w:t>
      </w:r>
      <w:r>
        <w:rPr>
          <w:lang w:val="fr-FR"/>
        </w:rPr>
        <w:t xml:space="preserve">Conclusions de l’avocate générale </w:t>
      </w:r>
      <w:proofErr w:type="spellStart"/>
      <w:r>
        <w:rPr>
          <w:lang w:val="fr-FR"/>
        </w:rPr>
        <w:t>Ćapeta</w:t>
      </w:r>
      <w:proofErr w:type="spellEnd"/>
      <w:r>
        <w:rPr>
          <w:lang w:val="fr-FR"/>
        </w:rPr>
        <w:t xml:space="preserve">, présentées le 5 juin 2025, </w:t>
      </w:r>
      <w:r>
        <w:rPr>
          <w:i/>
          <w:iCs/>
          <w:lang w:val="fr-FR"/>
        </w:rPr>
        <w:t>Commissions / Hongrie (Valeurs de l’Union)</w:t>
      </w:r>
      <w:r>
        <w:rPr>
          <w:lang w:val="fr-FR"/>
        </w:rPr>
        <w:t xml:space="preserve">, C-769/22, </w:t>
      </w:r>
      <w:proofErr w:type="gramStart"/>
      <w:r w:rsidRPr="009A2BCF">
        <w:t>EU:</w:t>
      </w:r>
      <w:proofErr w:type="gramEnd"/>
      <w:r w:rsidRPr="009A2BCF">
        <w:t>C:2025:408</w:t>
      </w:r>
      <w:r>
        <w:t>, points 31-33 et 143-145</w:t>
      </w:r>
      <w:r w:rsidR="002B6D8A">
        <w:t xml:space="preserve">. </w:t>
      </w:r>
    </w:p>
  </w:footnote>
  <w:footnote w:id="13">
    <w:p w14:paraId="5BC55F19" w14:textId="2331AEF9" w:rsidR="00F65D3A" w:rsidRPr="00742C38" w:rsidRDefault="00F65D3A" w:rsidP="002666A3">
      <w:pPr>
        <w:pStyle w:val="FootnoteText"/>
        <w:jc w:val="both"/>
        <w:rPr>
          <w:lang w:val="en-US"/>
        </w:rPr>
      </w:pPr>
      <w:r>
        <w:rPr>
          <w:rStyle w:val="FootnoteReference"/>
        </w:rPr>
        <w:footnoteRef/>
      </w:r>
      <w:r w:rsidRPr="00742C38">
        <w:rPr>
          <w:lang w:val="en-US"/>
        </w:rPr>
        <w:t xml:space="preserve"> </w:t>
      </w:r>
      <w:r>
        <w:fldChar w:fldCharType="begin"/>
      </w:r>
      <w:r w:rsidRPr="00742C38">
        <w:rPr>
          <w:lang w:val="en-US"/>
        </w:rPr>
        <w:instrText xml:space="preserve"> ADDIN ZOTERO_ITEM CSL_CITATION {"citationID":"ezsnOkZ6","properties":{"formattedCitation":"B.\\uc0\\u160{}{\\scaps Riedl}, \\uc0\\u171{}\\uc0\\u160{}Who Guards the Values? The Court\\uc0\\u8217{}s Article 2 TEU Turn\\uc0\\u160{}\\uc0\\u187{}, {\\i{}Eur. Law Blog}, 23\\uc0\\u160{}avril 2026.","plainCitation":"B. Riedl, « Who Guards the Values? The Court’s Article 2 TEU Turn », Eur. Law Blog, 23 avril 2026.","noteIndex":6},"citationItems":[{"id":3090,"uris":["http://zotero.org/users/15572827/items/MDI3WWZ3"],"itemData":{"id":3090,"type":"article-journal","abstract":"In C-769/22 the CJEU, for the first time, finds a self-standing breach of Article 2 TEU and subordinates Article 4(2) TEU to it. The post argues this bypasses the limit of conferral, opens a parallel track to Article 7 TEU, and is unpersuasive on doctrinal and legitimacy grounds.","container-title":"European Law Blog","DOI":"10.21428/9885764c.9cf51152","language":"en","note":"publisher: European Law Blog","source":"www.europeanlawblog.eu","title":"Who Guards the Values? The Court’s Article 2 TEU Turn","title-short":"Who Guards the Values?","URL":"https://www.europeanlawblog.eu/pub/mabhxuju/release/1","author":[{"family":"Riedl","given":"Benedikt"}],"accessed":{"date-parts":[["2026",4,27]]},"issued":{"date-parts":[["2026",4,23]]}}}],"schema":"https://github.com/citation-style-language/schema/raw/master/csl-citation.json"} </w:instrText>
      </w:r>
      <w:r>
        <w:fldChar w:fldCharType="separate"/>
      </w:r>
      <w:r w:rsidRPr="00742C38">
        <w:rPr>
          <w:rFonts w:cs="Times New Roman"/>
          <w:kern w:val="0"/>
          <w:lang w:val="en-US"/>
        </w:rPr>
        <w:t>B. </w:t>
      </w:r>
      <w:proofErr w:type="spellStart"/>
      <w:r w:rsidRPr="00742C38">
        <w:rPr>
          <w:rFonts w:cs="Times New Roman"/>
          <w:kern w:val="0"/>
          <w:lang w:val="en-US"/>
        </w:rPr>
        <w:t>Riedl</w:t>
      </w:r>
      <w:proofErr w:type="spellEnd"/>
      <w:r w:rsidRPr="00742C38">
        <w:rPr>
          <w:rFonts w:cs="Times New Roman"/>
          <w:kern w:val="0"/>
          <w:lang w:val="en-US"/>
        </w:rPr>
        <w:t xml:space="preserve">, « Who Guards the Values? The Court’s Article 2 TEU Turn », </w:t>
      </w:r>
      <w:r w:rsidRPr="00742C38">
        <w:rPr>
          <w:rFonts w:cs="Times New Roman"/>
          <w:i/>
          <w:iCs/>
          <w:kern w:val="0"/>
          <w:lang w:val="en-US"/>
        </w:rPr>
        <w:t>Eur. Law Blog</w:t>
      </w:r>
      <w:r w:rsidRPr="00742C38">
        <w:rPr>
          <w:rFonts w:cs="Times New Roman"/>
          <w:kern w:val="0"/>
          <w:lang w:val="en-US"/>
        </w:rPr>
        <w:t>, 23 </w:t>
      </w:r>
      <w:proofErr w:type="spellStart"/>
      <w:r w:rsidRPr="00742C38">
        <w:rPr>
          <w:rFonts w:cs="Times New Roman"/>
          <w:kern w:val="0"/>
          <w:lang w:val="en-US"/>
        </w:rPr>
        <w:t>avril</w:t>
      </w:r>
      <w:proofErr w:type="spellEnd"/>
      <w:r w:rsidRPr="00742C38">
        <w:rPr>
          <w:rFonts w:cs="Times New Roman"/>
          <w:kern w:val="0"/>
          <w:lang w:val="en-US"/>
        </w:rPr>
        <w:t xml:space="preserve"> 2026.</w:t>
      </w:r>
      <w:r>
        <w:fldChar w:fldCharType="end"/>
      </w:r>
    </w:p>
  </w:footnote>
  <w:footnote w:id="14">
    <w:p w14:paraId="5A31DF93" w14:textId="11FF9110" w:rsidR="008F1EA2" w:rsidRPr="00742C38" w:rsidRDefault="008F1EA2" w:rsidP="002666A3">
      <w:pPr>
        <w:pStyle w:val="FootnoteText"/>
        <w:jc w:val="both"/>
        <w:rPr>
          <w:lang w:val="en-US"/>
        </w:rPr>
      </w:pPr>
      <w:r>
        <w:rPr>
          <w:rStyle w:val="FootnoteReference"/>
        </w:rPr>
        <w:footnoteRef/>
      </w:r>
      <w:r w:rsidRPr="00742C38">
        <w:rPr>
          <w:lang w:val="en-US"/>
        </w:rPr>
        <w:t xml:space="preserve"> </w:t>
      </w:r>
      <w:r>
        <w:fldChar w:fldCharType="begin"/>
      </w:r>
      <w:r w:rsidR="00D64664" w:rsidRPr="00742C38">
        <w:rPr>
          <w:lang w:val="en-US"/>
        </w:rPr>
        <w:instrText xml:space="preserve"> ADDIN ZOTERO_ITEM CSL_CITATION {"citationID":"LFFyKTEJ","properties":{"formattedCitation":"P.\\uc0\\u160{}{\\scaps Craig}, \\uc0\\u171{}\\uc0\\u160{}Op-Ed: \\uc0\\u8220{}Article 2, Values and Incremental Legal Reasoning\\uc0\\u8221{}\\uc0\\u160{}\\uc0\\u187{}, {\\i{}EU Law Live}, 27 avril 2026, https://eulawlive.com/op-ed-article-2-values-and-incremental-legal-reasoning/ (derni\\uc0\\u232{}re consultation le\\uc0\\u160{}29 avril 2026).","plainCitation":"P. Craig, « Op-Ed: “Article 2, Values and Incremental Legal Reasoning” », EU Law Live, 27 avril 2026, https://eulawlive.com/op-ed-article-2-values-and-incremental-legal-reasoning/ (dernière consultation le 29 avril 2026).","noteIndex":7},"citationItems":[{"id":3109,"uris":["http://zotero.org/users/15572827/items/V6VWZM78"],"itemData":{"id":3109,"type":"post-weblog","abstract":"This Op-Ed is part of the EU Law Live Symposium on the CJEU’s judgment in Commission v. Hungary (C-769/22). More Op-Eds on this topic will follow soon on EU …","container-title":"EU Law Live","language":"en-GB","note":"section: Human Rights","title":"Op-Ed: “Article 2, Values and Incremental Legal Reasoning”","title-short":"Op-Ed","URL":"https://eulawlive.com/op-ed-article-2-values-and-incremental-legal-reasoning/","author":[{"family":"Craig","given":"Paul"}],"accessed":{"date-parts":[["2026",4,29]]},"issued":{"date-parts":[["2026",4,27]]}}}],"schema":"https://github.com/citation-style-language/schema/raw/master/csl-citation.json"} </w:instrText>
      </w:r>
      <w:r>
        <w:fldChar w:fldCharType="separate"/>
      </w:r>
      <w:r w:rsidR="00D64664" w:rsidRPr="00742C38">
        <w:rPr>
          <w:rFonts w:cs="Times New Roman"/>
          <w:kern w:val="0"/>
          <w:lang w:val="en-US"/>
        </w:rPr>
        <w:t xml:space="preserve">P. Craig, « Op-Ed: Article 2, Values and Incremental Legal Reasoning », </w:t>
      </w:r>
      <w:r w:rsidR="00D64664" w:rsidRPr="00742C38">
        <w:rPr>
          <w:rFonts w:cs="Times New Roman"/>
          <w:i/>
          <w:iCs/>
          <w:kern w:val="0"/>
          <w:lang w:val="en-US"/>
        </w:rPr>
        <w:t>EU Law Live</w:t>
      </w:r>
      <w:r w:rsidR="00D64664" w:rsidRPr="00742C38">
        <w:rPr>
          <w:rFonts w:cs="Times New Roman"/>
          <w:kern w:val="0"/>
          <w:lang w:val="en-US"/>
        </w:rPr>
        <w:t xml:space="preserve">, 27 </w:t>
      </w:r>
      <w:proofErr w:type="spellStart"/>
      <w:r w:rsidR="00D64664" w:rsidRPr="00742C38">
        <w:rPr>
          <w:rFonts w:cs="Times New Roman"/>
          <w:kern w:val="0"/>
          <w:lang w:val="en-US"/>
        </w:rPr>
        <w:t>avril</w:t>
      </w:r>
      <w:proofErr w:type="spellEnd"/>
      <w:r w:rsidR="00D64664" w:rsidRPr="00742C38">
        <w:rPr>
          <w:rFonts w:cs="Times New Roman"/>
          <w:kern w:val="0"/>
          <w:lang w:val="en-US"/>
        </w:rPr>
        <w:t xml:space="preserve"> 2026</w:t>
      </w:r>
      <w:r w:rsidR="00407FA6" w:rsidRPr="00742C38">
        <w:rPr>
          <w:rFonts w:cs="Times New Roman"/>
          <w:kern w:val="0"/>
          <w:lang w:val="en-US"/>
        </w:rPr>
        <w:t xml:space="preserve">. </w:t>
      </w:r>
      <w:r>
        <w:fldChar w:fldCharType="end"/>
      </w:r>
    </w:p>
  </w:footnote>
  <w:footnote w:id="15">
    <w:p w14:paraId="055A65D0" w14:textId="14E2E152" w:rsidR="007E7749" w:rsidRPr="005A083C" w:rsidRDefault="007E7749" w:rsidP="002666A3">
      <w:pPr>
        <w:pStyle w:val="FootnoteText"/>
        <w:jc w:val="both"/>
        <w:rPr>
          <w:lang w:val="fr-FR"/>
        </w:rPr>
      </w:pPr>
      <w:r>
        <w:rPr>
          <w:rStyle w:val="FootnoteReference"/>
        </w:rPr>
        <w:footnoteRef/>
      </w:r>
      <w:r>
        <w:t xml:space="preserve"> </w:t>
      </w:r>
      <w:r>
        <w:fldChar w:fldCharType="begin"/>
      </w:r>
      <w:r>
        <w:instrText xml:space="preserve"> ADDIN ZOTERO_ITEM CSL_CITATION {"citationID":"tK4EEXj0","properties":{"formattedCitation":"P.\\uc0\\u160{}{\\scaps Dupont}, {\\i{}Les dispositions liminaires du Trait\\uc0\\u233{} sur l\\uc0\\u8217{}UE devant la CJUE}, {\\i{}op.\\uc0\\u160{}cit.}, p.\\uc0\\u160{}485.","plainCitation":"P. Dupont, Les dispositions liminaires du Traité sur l’UE devant la CJUE, op. cit., p. 485.","noteIndex":8},"citationItems":[{"id":2912,"uris":["http://zotero.org/users/15572827/items/W6IGLLV9"],"itemData":{"id":2912,"type":"book","collection-title":"Collection droit de l'Union européenne - Thèses","event-place":"Bruxelles","publisher":"Bruylant","publisher-place":"Bruxelles","title":"Les dispositions liminaires du Traité sur l'UE devant la CJUE","author":[{"family":"Dupont","given":"Pauline"}],"issued":{"date-parts":[["2025"]]}},"locator":"485"}],"schema":"https://github.com/citation-style-language/schema/raw/master/csl-citation.json"} </w:instrText>
      </w:r>
      <w:r>
        <w:fldChar w:fldCharType="separate"/>
      </w:r>
      <w:r w:rsidRPr="005A083C">
        <w:rPr>
          <w:rFonts w:cs="Times New Roman"/>
          <w:kern w:val="0"/>
        </w:rPr>
        <w:t>P. </w:t>
      </w:r>
      <w:r w:rsidRPr="00DC0163">
        <w:rPr>
          <w:rFonts w:cs="Times New Roman"/>
          <w:kern w:val="0"/>
        </w:rPr>
        <w:t>Dupont</w:t>
      </w:r>
      <w:r w:rsidRPr="005A083C">
        <w:rPr>
          <w:rFonts w:cs="Times New Roman"/>
          <w:kern w:val="0"/>
        </w:rPr>
        <w:t xml:space="preserve">, </w:t>
      </w:r>
      <w:r w:rsidRPr="005A083C">
        <w:rPr>
          <w:rFonts w:cs="Times New Roman"/>
          <w:i/>
          <w:iCs/>
          <w:kern w:val="0"/>
        </w:rPr>
        <w:t>Les dispositions liminaires du Traité sur l’UE devant la CJUE</w:t>
      </w:r>
      <w:r w:rsidR="00407FA6">
        <w:rPr>
          <w:rFonts w:cs="Times New Roman"/>
          <w:kern w:val="0"/>
        </w:rPr>
        <w:t>, Bruxelles, Bruylant, 2025,</w:t>
      </w:r>
      <w:r w:rsidRPr="005A083C">
        <w:rPr>
          <w:rFonts w:cs="Times New Roman"/>
          <w:kern w:val="0"/>
        </w:rPr>
        <w:t xml:space="preserve"> p. 485.</w:t>
      </w:r>
      <w:r>
        <w:fldChar w:fldCharType="end"/>
      </w:r>
    </w:p>
  </w:footnote>
  <w:footnote w:id="16">
    <w:p w14:paraId="1C7F3FEA" w14:textId="5FDACE66" w:rsidR="008B35CB" w:rsidRPr="008B35CB" w:rsidRDefault="008B35CB" w:rsidP="002666A3">
      <w:pPr>
        <w:pStyle w:val="FootnoteText"/>
        <w:jc w:val="both"/>
        <w:rPr>
          <w:lang w:val="fr-FR"/>
        </w:rPr>
      </w:pPr>
      <w:r>
        <w:rPr>
          <w:rStyle w:val="FootnoteReference"/>
        </w:rPr>
        <w:footnoteRef/>
      </w:r>
      <w:r>
        <w:t xml:space="preserve"> </w:t>
      </w:r>
      <w:r>
        <w:rPr>
          <w:lang w:val="fr-FR"/>
        </w:rPr>
        <w:t>§</w:t>
      </w:r>
      <w:r w:rsidR="00EE19CC">
        <w:rPr>
          <w:lang w:val="fr-FR"/>
        </w:rPr>
        <w:t> </w:t>
      </w:r>
      <w:r>
        <w:rPr>
          <w:lang w:val="fr-FR"/>
        </w:rPr>
        <w:t>536 : « Il s’ensuit que les valeurs consacrées au même article 2 ont, par elles-mêmes, un caractère juridiquement contraignant, dont découle l’obligation, pour les États membres et les institutions de l’Union, de respecter ces valeurs ainsi que celle de les maintenir et de les promouvoir »</w:t>
      </w:r>
      <w:r w:rsidR="00B809DB">
        <w:rPr>
          <w:lang w:val="fr-FR"/>
        </w:rPr>
        <w:t xml:space="preserve">. </w:t>
      </w:r>
    </w:p>
  </w:footnote>
  <w:footnote w:id="17">
    <w:p w14:paraId="704F763C" w14:textId="254CFC84" w:rsidR="00440B13" w:rsidRPr="00440B13" w:rsidRDefault="00440B13" w:rsidP="002666A3">
      <w:pPr>
        <w:pStyle w:val="FootnoteText"/>
        <w:jc w:val="both"/>
        <w:rPr>
          <w:lang w:val="fr-FR"/>
        </w:rPr>
      </w:pPr>
      <w:r>
        <w:rPr>
          <w:rStyle w:val="FootnoteReference"/>
        </w:rPr>
        <w:footnoteRef/>
      </w:r>
      <w:r>
        <w:t xml:space="preserve"> </w:t>
      </w:r>
      <w:r>
        <w:rPr>
          <w:lang w:val="fr-FR"/>
        </w:rPr>
        <w:t xml:space="preserve">Conclusions de l’avocate générale </w:t>
      </w:r>
      <w:proofErr w:type="spellStart"/>
      <w:r>
        <w:rPr>
          <w:lang w:val="fr-FR"/>
        </w:rPr>
        <w:t>Ćapeta</w:t>
      </w:r>
      <w:proofErr w:type="spellEnd"/>
      <w:r>
        <w:rPr>
          <w:lang w:val="fr-FR"/>
        </w:rPr>
        <w:t xml:space="preserve">, </w:t>
      </w:r>
      <w:r>
        <w:rPr>
          <w:i/>
          <w:iCs/>
          <w:lang w:val="fr-FR"/>
        </w:rPr>
        <w:t>Commissions / Hongrie (Valeurs de l’Union)</w:t>
      </w:r>
      <w:r>
        <w:rPr>
          <w:lang w:val="fr-FR"/>
        </w:rPr>
        <w:t xml:space="preserve">, C-769/22, </w:t>
      </w:r>
      <w:r>
        <w:t>points</w:t>
      </w:r>
      <w:r w:rsidR="003215EA">
        <w:t xml:space="preserve"> 164-188.</w:t>
      </w:r>
    </w:p>
  </w:footnote>
  <w:footnote w:id="18">
    <w:p w14:paraId="0A1A7F3C" w14:textId="0AC76DA6" w:rsidR="00BE3335" w:rsidRPr="00BE3335" w:rsidRDefault="00BE3335" w:rsidP="002666A3">
      <w:pPr>
        <w:pStyle w:val="FootnoteText"/>
        <w:jc w:val="both"/>
        <w:rPr>
          <w:lang w:val="fr-FR"/>
        </w:rPr>
      </w:pPr>
      <w:r>
        <w:rPr>
          <w:rStyle w:val="FootnoteReference"/>
        </w:rPr>
        <w:footnoteRef/>
      </w:r>
      <w:r>
        <w:t xml:space="preserve"> </w:t>
      </w:r>
      <w:r w:rsidR="00B809DB">
        <w:t xml:space="preserve">Arrêt du 16 février 2022, </w:t>
      </w:r>
      <w:r w:rsidR="00B809DB">
        <w:rPr>
          <w:i/>
          <w:iCs/>
        </w:rPr>
        <w:t>Hongrie / Parlement et Conseil</w:t>
      </w:r>
      <w:r w:rsidR="00B809DB">
        <w:t xml:space="preserve">, C-156/21, </w:t>
      </w:r>
      <w:proofErr w:type="gramStart"/>
      <w:r w:rsidR="00B809DB">
        <w:t>EU:</w:t>
      </w:r>
      <w:proofErr w:type="gramEnd"/>
      <w:r w:rsidR="00B809DB">
        <w:t>C:</w:t>
      </w:r>
      <w:r w:rsidR="00B809DB" w:rsidRPr="00B809DB">
        <w:t>2022:97</w:t>
      </w:r>
      <w:r w:rsidR="00B809DB">
        <w:t xml:space="preserve">, point 232 et arrêt du 16 février 2022, </w:t>
      </w:r>
      <w:r w:rsidR="00B809DB">
        <w:rPr>
          <w:i/>
          <w:iCs/>
        </w:rPr>
        <w:t>Pologne / Parlement et Conseil</w:t>
      </w:r>
      <w:r w:rsidR="00B809DB">
        <w:t xml:space="preserve">, </w:t>
      </w:r>
      <w:r w:rsidR="00776021">
        <w:rPr>
          <w:lang w:val="fr-FR"/>
        </w:rPr>
        <w:t>C-157/21</w:t>
      </w:r>
      <w:r w:rsidR="00B809DB">
        <w:rPr>
          <w:lang w:val="fr-FR"/>
        </w:rPr>
        <w:t xml:space="preserve">, </w:t>
      </w:r>
      <w:r w:rsidR="00B809DB" w:rsidRPr="00B809DB">
        <w:t>EU:C:2022:98</w:t>
      </w:r>
      <w:r w:rsidR="00B809DB">
        <w:t xml:space="preserve">, point </w:t>
      </w:r>
      <w:r w:rsidR="00776021">
        <w:rPr>
          <w:lang w:val="fr-FR"/>
        </w:rPr>
        <w:t>264</w:t>
      </w:r>
      <w:r w:rsidR="00B809DB">
        <w:rPr>
          <w:lang w:val="fr-FR"/>
        </w:rPr>
        <w:t>.</w:t>
      </w:r>
    </w:p>
  </w:footnote>
  <w:footnote w:id="19">
    <w:p w14:paraId="5AE08D60" w14:textId="60DB936F" w:rsidR="000D732B" w:rsidRPr="000D732B" w:rsidRDefault="000D732B" w:rsidP="002666A3">
      <w:pPr>
        <w:pStyle w:val="FootnoteText"/>
        <w:jc w:val="both"/>
        <w:rPr>
          <w:lang w:val="fr-FR"/>
        </w:rPr>
      </w:pPr>
      <w:r>
        <w:rPr>
          <w:rStyle w:val="FootnoteReference"/>
        </w:rPr>
        <w:footnoteRef/>
      </w:r>
      <w:r>
        <w:t xml:space="preserve"> </w:t>
      </w:r>
      <w:r w:rsidR="00B809DB">
        <w:rPr>
          <w:lang w:val="fr-FR"/>
        </w:rPr>
        <w:t xml:space="preserve">À </w:t>
      </w:r>
      <w:r w:rsidR="00D932DE">
        <w:rPr>
          <w:lang w:val="fr-FR"/>
        </w:rPr>
        <w:t xml:space="preserve">cet égard, l’avocate générale avait considéré </w:t>
      </w:r>
      <w:r w:rsidR="00950853">
        <w:rPr>
          <w:lang w:val="fr-FR"/>
        </w:rPr>
        <w:t>qu</w:t>
      </w:r>
      <w:proofErr w:type="gramStart"/>
      <w:r w:rsidR="00950853">
        <w:rPr>
          <w:lang w:val="fr-FR"/>
        </w:rPr>
        <w:t>’« </w:t>
      </w:r>
      <w:r w:rsidR="00950853" w:rsidRPr="00950853">
        <w:t> il</w:t>
      </w:r>
      <w:proofErr w:type="gramEnd"/>
      <w:r w:rsidR="00950853" w:rsidRPr="00950853">
        <w:t xml:space="preserve"> n’est pas nécessaire d’engager un débat sur les raisons éventuelles de l’existence des deux phrases qui constituent l’article 2 TUE et les différences entre ces deux phrases</w:t>
      </w:r>
      <w:r w:rsidR="00950853">
        <w:t> » (</w:t>
      </w:r>
      <w:r w:rsidR="00B809DB">
        <w:t xml:space="preserve">note de bas de page </w:t>
      </w:r>
      <w:r w:rsidR="00950853">
        <w:t>74)</w:t>
      </w:r>
      <w:r w:rsidR="007415A6">
        <w:t>,</w:t>
      </w:r>
      <w:r w:rsidR="00BE1EE0">
        <w:t xml:space="preserve"> tout en </w:t>
      </w:r>
      <w:r w:rsidR="00272EEC">
        <w:t>faisant figurer, parmi les valeurs violées, la tolérance (point 268), pourtant issue de la seconde phrase de l’article 2.</w:t>
      </w:r>
      <w:r w:rsidR="00BE1EE0">
        <w:t xml:space="preserve"> </w:t>
      </w:r>
    </w:p>
  </w:footnote>
  <w:footnote w:id="20">
    <w:p w14:paraId="77BD2D95" w14:textId="62B3F8AA" w:rsidR="007A6551" w:rsidRPr="00FF4B70" w:rsidRDefault="007A6551" w:rsidP="002666A3">
      <w:pPr>
        <w:pStyle w:val="FootnoteText"/>
        <w:jc w:val="both"/>
        <w:rPr>
          <w:lang w:val="fr-FR"/>
        </w:rPr>
      </w:pPr>
      <w:r>
        <w:rPr>
          <w:rStyle w:val="FootnoteReference"/>
        </w:rPr>
        <w:footnoteRef/>
      </w:r>
      <w:r>
        <w:t xml:space="preserve"> </w:t>
      </w:r>
      <w:r w:rsidR="00B809DB">
        <w:rPr>
          <w:lang w:val="fr-FR"/>
        </w:rPr>
        <w:t xml:space="preserve">Conclusions de l’avocate générale </w:t>
      </w:r>
      <w:proofErr w:type="spellStart"/>
      <w:r w:rsidR="00B809DB">
        <w:rPr>
          <w:lang w:val="fr-FR"/>
        </w:rPr>
        <w:t>Ćapeta</w:t>
      </w:r>
      <w:proofErr w:type="spellEnd"/>
      <w:r w:rsidR="00B809DB">
        <w:rPr>
          <w:lang w:val="fr-FR"/>
        </w:rPr>
        <w:t xml:space="preserve">, </w:t>
      </w:r>
      <w:r w:rsidR="00B809DB">
        <w:rPr>
          <w:i/>
          <w:iCs/>
          <w:lang w:val="fr-FR"/>
        </w:rPr>
        <w:t>Commissions / Hongrie (Valeurs de l’Union)</w:t>
      </w:r>
      <w:r w:rsidR="00B809DB">
        <w:rPr>
          <w:lang w:val="fr-FR"/>
        </w:rPr>
        <w:t>, C-769/22, points </w:t>
      </w:r>
      <w:r>
        <w:rPr>
          <w:lang w:val="fr-FR"/>
        </w:rPr>
        <w:t>248-254</w:t>
      </w:r>
      <w:r w:rsidR="00B809DB">
        <w:rPr>
          <w:lang w:val="fr-FR"/>
        </w:rPr>
        <w:t xml:space="preserve">. </w:t>
      </w:r>
    </w:p>
  </w:footnote>
  <w:footnote w:id="21">
    <w:p w14:paraId="4579FEB4" w14:textId="2D578ED1" w:rsidR="00D01C2B" w:rsidRPr="00BB2519" w:rsidRDefault="00D01C2B" w:rsidP="002666A3">
      <w:pPr>
        <w:pStyle w:val="FootnoteText"/>
        <w:jc w:val="both"/>
        <w:rPr>
          <w:lang w:val="nl-BE"/>
        </w:rPr>
      </w:pPr>
      <w:r>
        <w:rPr>
          <w:rStyle w:val="FootnoteReference"/>
        </w:rPr>
        <w:footnoteRef/>
      </w:r>
      <w:r w:rsidRPr="00BB2519">
        <w:rPr>
          <w:lang w:val="nl-BE"/>
        </w:rPr>
        <w:t xml:space="preserve"> </w:t>
      </w:r>
      <w:r>
        <w:fldChar w:fldCharType="begin"/>
      </w:r>
      <w:r w:rsidR="001718B0" w:rsidRPr="00BB2519">
        <w:rPr>
          <w:lang w:val="nl-BE"/>
        </w:rPr>
        <w:instrText xml:space="preserve"> ADDIN ZOTERO_ITEM CSL_CITATION {"citationID":"oub8n8Z8","properties":{"formattedCitation":"L.\\uc0\\u160{}{\\scaps Kaiser}, A.\\uc0\\u160{}{\\scaps Knecht} et L.D.\\uc0\\u160{}{\\scaps Spieker}, \\uc0\\u171{}\\uc0\\u160{}European Society Strikes Back\\uc0\\u160{}\\uc0\\u187{}, {\\i{}op.\\uc0\\u160{}cit.}","plainCitation":"L. Kaiser, A. Knecht et L.D. Spieker, « European Society Strikes Back », op. cit.","noteIndex":15},"citationItems":[{"id":2910,"uris":["http://zotero.org/users/15572827/items/IJFG7HNL"],"itemData":{"id":2910,"type":"article-journal","abstract":"“This is a frontal and deep attack against the … European society.” With this remarkable statement the Commission has started the “largest human rights battle in EU history”: the infringement proceedings against the Hungarian anti-LGBTIQ* law. The Commission claims that this law breaches the internal market, the Charter rights and the Union’s common values enshrined in Article 2 TEU. The “mega hearing”, which took place on 19 November 2024, is now facing its ultimate test: can the Member States’ compliance with Article 2 TEU be reviewed before the Court of Justice?","container-title":"Verfassungsblog","DOI":"10.59704/00f6c17a50fc172c","ISSN":"2366-7044","language":"eng","license":"CC BY-SA 4.0","note":"publisher: Verfassungsblog","source":"verfassungsblog.de","title":"European Society Strikes Back","URL":"https://verfassungsblog.de/european-society-strikes-back/","author":[{"family":"Kaiser","given":"Lena"},{"family":"Knecht","given":"Andreas"},{"family":"Spieker","given":"Luke Dimitrios"}],"accessed":{"date-parts":[["2026",3,26]]},"issued":{"date-parts":[["2024",11,26]]}}}],"schema":"https://github.com/citation-style-language/schema/raw/master/csl-citation.json"} </w:instrText>
      </w:r>
      <w:r>
        <w:fldChar w:fldCharType="separate"/>
      </w:r>
      <w:r w:rsidRPr="00BB2519">
        <w:rPr>
          <w:rFonts w:cs="Times New Roman"/>
          <w:kern w:val="0"/>
          <w:lang w:val="nl-BE"/>
        </w:rPr>
        <w:t xml:space="preserve">L. Kaiser, A. Knecht et L.D. Spieker, « European Society Strikes Back », </w:t>
      </w:r>
      <w:proofErr w:type="spellStart"/>
      <w:r w:rsidR="00B809DB" w:rsidRPr="00BB2519">
        <w:rPr>
          <w:rFonts w:cs="Times New Roman"/>
          <w:i/>
          <w:iCs/>
          <w:kern w:val="0"/>
          <w:lang w:val="nl-BE"/>
        </w:rPr>
        <w:t>Verfassungsblog</w:t>
      </w:r>
      <w:proofErr w:type="spellEnd"/>
      <w:r w:rsidR="00B809DB" w:rsidRPr="00BB2519">
        <w:rPr>
          <w:rFonts w:cs="Times New Roman"/>
          <w:kern w:val="0"/>
          <w:lang w:val="nl-BE"/>
        </w:rPr>
        <w:t xml:space="preserve">, 26 </w:t>
      </w:r>
      <w:proofErr w:type="spellStart"/>
      <w:r w:rsidR="00B809DB" w:rsidRPr="00BB2519">
        <w:rPr>
          <w:rFonts w:cs="Times New Roman"/>
          <w:kern w:val="0"/>
          <w:lang w:val="nl-BE"/>
        </w:rPr>
        <w:t>novembre</w:t>
      </w:r>
      <w:proofErr w:type="spellEnd"/>
      <w:r w:rsidR="00B809DB" w:rsidRPr="00BB2519">
        <w:rPr>
          <w:rFonts w:cs="Times New Roman"/>
          <w:kern w:val="0"/>
          <w:lang w:val="nl-BE"/>
        </w:rPr>
        <w:t xml:space="preserve"> 2024.</w:t>
      </w:r>
      <w:r>
        <w:fldChar w:fldCharType="end"/>
      </w:r>
    </w:p>
  </w:footnote>
  <w:footnote w:id="22">
    <w:p w14:paraId="625AAEEF" w14:textId="46E84A34" w:rsidR="008B37C8" w:rsidRPr="007903EA" w:rsidRDefault="008B37C8">
      <w:pPr>
        <w:pStyle w:val="FootnoteText"/>
      </w:pPr>
      <w:r>
        <w:rPr>
          <w:rStyle w:val="FootnoteReference"/>
        </w:rPr>
        <w:footnoteRef/>
      </w:r>
      <w:r>
        <w:t xml:space="preserve"> </w:t>
      </w:r>
      <w:r w:rsidRPr="00BB2519">
        <w:t xml:space="preserve">Sur la question </w:t>
      </w:r>
      <w:r>
        <w:t xml:space="preserve">des seuils </w:t>
      </w:r>
      <w:r w:rsidR="007903EA">
        <w:t xml:space="preserve">de violation, </w:t>
      </w:r>
      <w:proofErr w:type="spellStart"/>
      <w:r w:rsidR="007903EA">
        <w:t>voy</w:t>
      </w:r>
      <w:proofErr w:type="spellEnd"/>
      <w:r w:rsidR="007903EA">
        <w:t xml:space="preserve">. </w:t>
      </w:r>
      <w:proofErr w:type="gramStart"/>
      <w:r w:rsidR="007903EA">
        <w:t>le</w:t>
      </w:r>
      <w:proofErr w:type="gramEnd"/>
      <w:r w:rsidR="007903EA">
        <w:t xml:space="preserve"> numéro spécial dirigé par R. </w:t>
      </w:r>
      <w:proofErr w:type="spellStart"/>
      <w:r w:rsidR="007903EA">
        <w:t>Gadbled</w:t>
      </w:r>
      <w:proofErr w:type="spellEnd"/>
      <w:r w:rsidR="007903EA">
        <w:t xml:space="preserve"> et C. </w:t>
      </w:r>
      <w:proofErr w:type="spellStart"/>
      <w:r w:rsidR="007903EA">
        <w:t>Rizcallah</w:t>
      </w:r>
      <w:proofErr w:type="spellEnd"/>
      <w:r w:rsidR="007903EA">
        <w:t xml:space="preserve"> « The </w:t>
      </w:r>
      <w:proofErr w:type="spellStart"/>
      <w:r w:rsidR="007903EA">
        <w:t>Systemic</w:t>
      </w:r>
      <w:proofErr w:type="spellEnd"/>
      <w:r w:rsidR="007903EA">
        <w:t xml:space="preserve"> and the </w:t>
      </w:r>
      <w:proofErr w:type="spellStart"/>
      <w:r w:rsidR="007903EA">
        <w:t>PArticular</w:t>
      </w:r>
      <w:proofErr w:type="spellEnd"/>
      <w:r w:rsidR="007903EA">
        <w:t xml:space="preserve"> in EU Law », </w:t>
      </w:r>
      <w:r w:rsidR="007903EA">
        <w:rPr>
          <w:i/>
          <w:iCs/>
        </w:rPr>
        <w:t>German Law Journal</w:t>
      </w:r>
      <w:r w:rsidR="007903EA">
        <w:t xml:space="preserve">, 2023. </w:t>
      </w:r>
    </w:p>
  </w:footnote>
  <w:footnote w:id="23">
    <w:p w14:paraId="4437581F" w14:textId="5E857737" w:rsidR="00F568E7" w:rsidRPr="00742C38" w:rsidRDefault="00F568E7" w:rsidP="002666A3">
      <w:pPr>
        <w:pStyle w:val="FootnoteText"/>
        <w:jc w:val="both"/>
        <w:rPr>
          <w:lang w:val="en-US"/>
        </w:rPr>
      </w:pPr>
      <w:r>
        <w:rPr>
          <w:rStyle w:val="FootnoteReference"/>
        </w:rPr>
        <w:footnoteRef/>
      </w:r>
      <w:r w:rsidRPr="00742C38">
        <w:rPr>
          <w:lang w:val="en-US"/>
        </w:rPr>
        <w:t xml:space="preserve"> </w:t>
      </w:r>
      <w:r>
        <w:fldChar w:fldCharType="begin"/>
      </w:r>
      <w:r w:rsidR="001718B0" w:rsidRPr="00742C38">
        <w:rPr>
          <w:lang w:val="en-US"/>
        </w:rPr>
        <w:instrText xml:space="preserve"> ADDIN ZOTERO_ITEM CSL_CITATION {"citationID":"Q1BrmleV","properties":{"formattedCitation":"{\\i{}Ibid.}","plainCitation":"Ibid.","noteIndex":16},"citationItems":[{"id":2910,"uris":["http://zotero.org/users/15572827/items/IJFG7HNL"],"itemData":{"id":2910,"type":"article-journal","abstract":"“This is a frontal and deep attack against the … European society.” With this remarkable statement the Commission has started the “largest human rights battle in EU history”: the infringement proceedings against the Hungarian anti-LGBTIQ* law. The Commission claims that this law breaches the internal market, the Charter rights and the Union’s common values enshrined in Article 2 TEU. The “mega hearing”, which took place on 19 November 2024, is now facing its ultimate test: can the Member States’ compliance with Article 2 TEU be reviewed before the Court of Justice?","container-title":"Verfassungsblog","DOI":"10.59704/00f6c17a50fc172c","ISSN":"2366-7044","language":"eng","license":"CC BY-SA 4.0","note":"publisher: Verfassungsblog","source":"verfassungsblog.de","title":"European Society Strikes Back","URL":"https://verfassungsblog.de/european-society-strikes-back/","author":[{"family":"Kaiser","given":"Lena"},{"family":"Knecht","given":"Andreas"},{"family":"Spieker","given":"Luke Dimitrios"}],"accessed":{"date-parts":[["2026",3,26]]},"issued":{"date-parts":[["2024",11,26]]}}}],"schema":"https://github.com/citation-style-language/schema/raw/master/csl-citation.json"} </w:instrText>
      </w:r>
      <w:r>
        <w:fldChar w:fldCharType="separate"/>
      </w:r>
      <w:r w:rsidRPr="00742C38">
        <w:rPr>
          <w:rFonts w:cs="Times New Roman"/>
          <w:i/>
          <w:iCs/>
          <w:kern w:val="0"/>
          <w:lang w:val="en-US"/>
        </w:rPr>
        <w:t>Ibid.</w:t>
      </w:r>
      <w:r>
        <w:fldChar w:fldCharType="end"/>
      </w:r>
    </w:p>
  </w:footnote>
  <w:footnote w:id="24">
    <w:p w14:paraId="163F9CB4" w14:textId="13E91D0A" w:rsidR="001718B0" w:rsidRPr="00742C38" w:rsidRDefault="001718B0" w:rsidP="002666A3">
      <w:pPr>
        <w:pStyle w:val="FootnoteText"/>
        <w:jc w:val="both"/>
        <w:rPr>
          <w:lang w:val="en-US"/>
        </w:rPr>
      </w:pPr>
      <w:r>
        <w:rPr>
          <w:rStyle w:val="FootnoteReference"/>
        </w:rPr>
        <w:footnoteRef/>
      </w:r>
      <w:r w:rsidRPr="00742C38">
        <w:rPr>
          <w:lang w:val="en-US"/>
        </w:rPr>
        <w:t xml:space="preserve"> </w:t>
      </w:r>
      <w:r>
        <w:fldChar w:fldCharType="begin"/>
      </w:r>
      <w:r w:rsidR="00D64664" w:rsidRPr="00742C38">
        <w:rPr>
          <w:lang w:val="en-US"/>
        </w:rPr>
        <w:instrText xml:space="preserve"> ADDIN ZOTERO_ITEM CSL_CITATION {"citationID":"XrJcowK7","properties":{"formattedCitation":"J.\\uc0\\u160{}{\\scaps Morijn}, \\uc0\\u171{}\\uc0\\u160{}Op-Ed: \\uc0\\u8220{}(The Hamburger of) EU Values Protection in Commission v. Hungary: A Riddle, Wrapped in a Mystery, Inside an Enigma\\uc0\\u8221{}\\uc0\\u160{}\\uc0\\u187{}, {\\i{}EU Law Live}, 29 avril 2026, https://eulawlive.com/op-ed-the-hamburger-of-eu-values-protection-in-commission-v-hungary-a-riddle-wrapped-in-a-mystery-inside-an-enigma/ (derni\\uc0\\u232{}re consultation le\\uc0\\u160{}30 avril 2026).","plainCitation":"J. Morijn, « Op-Ed: “(The Hamburger of) EU Values Protection in Commission v. Hungary: A Riddle, Wrapped in a Mystery, Inside an Enigma” », EU Law Live, 29 avril 2026, https://eulawlive.com/op-ed-the-hamburger-of-eu-values-protection-in-commission-v-hungary-a-riddle-wrapped-in-a-mystery-inside-an-enigma/ (dernière consultation le 30 avril 2026).","noteIndex":17},"citationItems":[{"id":3111,"uris":["http://zotero.org/users/15572827/items/L4FPY29G"],"itemData":{"id":3111,"type":"post-weblog","abstract":"This Op-Ed is part of the EU Law Live Symposium on the CJEU’s judgment in Commission v. Hungary (C-769/22). The first Op-Ed, by Paul Craig, can be found here. More …","container-title":"EU Law Live","language":"en-GB","note":"section: Internal Market","title":"Op-Ed: “(The Hamburger of) EU Values Protection in Commission v. Hungary: A Riddle, Wrapped in a Mystery, Inside an Enigma”","title-short":"Op-Ed","URL":"https://eulawlive.com/op-ed-the-hamburger-of-eu-values-protection-in-commission-v-hungary-a-riddle-wrapped-in-a-mystery-inside-an-enigma/","author":[{"family":"Morijn","given":"John"}],"accessed":{"date-parts":[["2026",4,30]]},"issued":{"date-parts":[["2026",4,29]]}}}],"schema":"https://github.com/citation-style-language/schema/raw/master/csl-citation.json"} </w:instrText>
      </w:r>
      <w:r>
        <w:fldChar w:fldCharType="separate"/>
      </w:r>
      <w:r w:rsidR="00D64664" w:rsidRPr="00742C38">
        <w:rPr>
          <w:rFonts w:cs="Times New Roman"/>
          <w:kern w:val="0"/>
          <w:lang w:val="en-US"/>
        </w:rPr>
        <w:t>J. </w:t>
      </w:r>
      <w:proofErr w:type="spellStart"/>
      <w:r w:rsidR="00D64664" w:rsidRPr="00742C38">
        <w:rPr>
          <w:rFonts w:cs="Times New Roman"/>
          <w:kern w:val="0"/>
          <w:lang w:val="en-US"/>
        </w:rPr>
        <w:t>Morijn</w:t>
      </w:r>
      <w:proofErr w:type="spellEnd"/>
      <w:r w:rsidR="00D64664" w:rsidRPr="00742C38">
        <w:rPr>
          <w:rFonts w:cs="Times New Roman"/>
          <w:kern w:val="0"/>
          <w:lang w:val="en-US"/>
        </w:rPr>
        <w:t>, « Op-Ed</w:t>
      </w:r>
      <w:r w:rsidR="00D5355C" w:rsidRPr="00742C38">
        <w:rPr>
          <w:rFonts w:cs="Times New Roman"/>
          <w:kern w:val="0"/>
          <w:lang w:val="en-US"/>
        </w:rPr>
        <w:t>:</w:t>
      </w:r>
      <w:r w:rsidR="00D64664" w:rsidRPr="00742C38">
        <w:rPr>
          <w:rFonts w:cs="Times New Roman"/>
          <w:kern w:val="0"/>
          <w:lang w:val="en-US"/>
        </w:rPr>
        <w:t xml:space="preserve"> (The Hamburger of) EU Values Protection in Commission v. Hungary: A Riddle, Wrapped in a Mystery, Inside an Enigma », </w:t>
      </w:r>
      <w:r w:rsidR="00D64664" w:rsidRPr="00742C38">
        <w:rPr>
          <w:rFonts w:cs="Times New Roman"/>
          <w:i/>
          <w:iCs/>
          <w:kern w:val="0"/>
          <w:lang w:val="en-US"/>
        </w:rPr>
        <w:t>EU Law Live</w:t>
      </w:r>
      <w:r w:rsidR="00D64664" w:rsidRPr="00742C38">
        <w:rPr>
          <w:rFonts w:cs="Times New Roman"/>
          <w:kern w:val="0"/>
          <w:lang w:val="en-US"/>
        </w:rPr>
        <w:t xml:space="preserve">, 29 </w:t>
      </w:r>
      <w:proofErr w:type="spellStart"/>
      <w:r w:rsidR="00D64664" w:rsidRPr="00742C38">
        <w:rPr>
          <w:rFonts w:cs="Times New Roman"/>
          <w:kern w:val="0"/>
          <w:lang w:val="en-US"/>
        </w:rPr>
        <w:t>avril</w:t>
      </w:r>
      <w:proofErr w:type="spellEnd"/>
      <w:r w:rsidR="00D64664" w:rsidRPr="00742C38">
        <w:rPr>
          <w:rFonts w:cs="Times New Roman"/>
          <w:kern w:val="0"/>
          <w:lang w:val="en-US"/>
        </w:rPr>
        <w:t xml:space="preserve"> 2026</w:t>
      </w:r>
      <w:r w:rsidR="00B809DB" w:rsidRPr="00742C38">
        <w:rPr>
          <w:rFonts w:cs="Times New Roman"/>
          <w:kern w:val="0"/>
          <w:lang w:val="en-US"/>
        </w:rPr>
        <w:t xml:space="preserve">. </w:t>
      </w:r>
      <w:r>
        <w:fldChar w:fldCharType="end"/>
      </w:r>
    </w:p>
  </w:footnote>
  <w:footnote w:id="25">
    <w:p w14:paraId="5142FD0A" w14:textId="710BC3C0" w:rsidR="00E93D04" w:rsidRPr="00BB2519" w:rsidRDefault="00E93D04" w:rsidP="002666A3">
      <w:pPr>
        <w:pStyle w:val="FootnoteText"/>
        <w:jc w:val="both"/>
        <w:rPr>
          <w:lang w:val="nl-BE"/>
        </w:rPr>
      </w:pPr>
      <w:r>
        <w:rPr>
          <w:rStyle w:val="FootnoteReference"/>
        </w:rPr>
        <w:footnoteRef/>
      </w:r>
      <w:r w:rsidRPr="00742C38">
        <w:rPr>
          <w:lang w:val="en-US"/>
        </w:rPr>
        <w:t xml:space="preserve"> </w:t>
      </w:r>
      <w:r>
        <w:fldChar w:fldCharType="begin"/>
      </w:r>
      <w:r w:rsidRPr="00742C38">
        <w:rPr>
          <w:lang w:val="en-US"/>
        </w:rPr>
        <w:instrText xml:space="preserve"> ADDIN ZOTERO_ITEM CSL_CITATION {"citationID":"uwBW08qB","properties":{"formattedCitation":"K.\\uc0\\u160{}{\\scaps Lenaerts}, \\uc0\\u171{}\\uc0\\u160{}Limits on Limitations: The Essence of Fundamental Rights in the EU\\uc0\\u160{}\\uc0\\u187{}, {\\i{}Ger. Law J.}, septembre 2019, vol.\\uc0\\u160{}20, n\\super o\\nosupersub{}\\uc0\\u160{}6, pp.\\uc0\\u160{}783\\uc0\\u8209{}784.","plainCitation":"K. Lenaerts, « Limits on Limitations: The Essence of Fundamental Rights in the EU », Ger. Law J., septembre 2019, vol. 20, no 6, pp. 783‑784.","noteIndex":19},"citationItems":[{"id":3115,"uris":["http://zotero.org/users/15572827/items/P7WN2ZSQ"],"itemData":{"id":3115,"type":"article-journal","abstract":"Abstract\n            \n              The concept of the essence of a fundamental right—set out in Article 52(1) of the Charter of Fundamental Rights of the European Union (the “Charter”)—operates as a constant reminder that our core values as Europeans are absolute. In other words, they are not up for balancing. As the seminal judgment of the Court of Justice of the European Union (the “CJEU”) in\n              Schrems\n              shows, where a measure imposes a limitation on the exercise of a fundamental right that is so intense and so comprehensive that it calls into question that right as such, that measure is incompatible with the Charter, as it deprives the right at issue of its essence. This is so without the need for a balancing exercise of competing interests, because a measure that compromises the very essence of a fundamental right is automatically disproportionate. Therefore, the present contribution supports the contention that in order for the concept of essence to function in a constitutionally meaningful way, both EU and national courts should apply the “respect-for-the-essence test” before undertaking a proportionality assessment.","container-title":"German Law Journal","DOI":"10.1017/glj.2019.62","ISSN":"2071-8322","issue":"6","journalAbbreviation":"German Law Journal","language":"en","license":"http://creativecommons.org/licenses/by/4.0/","page":"779-793","source":"DOI.org (Crossref)","title":"Limits on Limitations: The Essence of Fundamental Rights in the EU","title-short":"Limits on Limitations","volume":"20","author":[{"family":"Lenaerts","given":"Koen"}],"issued":{"date-parts":[["2019",9]]}},"locator":"783-784","label":"page"}],"schema":"https://github.com/citation-style-language/schema/raw/master/csl-citation.json"} </w:instrText>
      </w:r>
      <w:r>
        <w:fldChar w:fldCharType="separate"/>
      </w:r>
      <w:r w:rsidRPr="00742C38">
        <w:rPr>
          <w:rFonts w:cs="Times New Roman"/>
          <w:kern w:val="0"/>
          <w:lang w:val="en-US"/>
        </w:rPr>
        <w:t>K. </w:t>
      </w:r>
      <w:proofErr w:type="spellStart"/>
      <w:r w:rsidRPr="00742C38">
        <w:rPr>
          <w:rFonts w:cs="Times New Roman"/>
          <w:kern w:val="0"/>
          <w:lang w:val="en-US"/>
        </w:rPr>
        <w:t>Lenaerts</w:t>
      </w:r>
      <w:proofErr w:type="spellEnd"/>
      <w:r w:rsidRPr="00742C38">
        <w:rPr>
          <w:rFonts w:cs="Times New Roman"/>
          <w:kern w:val="0"/>
          <w:lang w:val="en-US"/>
        </w:rPr>
        <w:t xml:space="preserve">, « Limits on Limitations: The Essence of Fundamental Rights in the EU », </w:t>
      </w:r>
      <w:r w:rsidRPr="00742C38">
        <w:rPr>
          <w:rFonts w:cs="Times New Roman"/>
          <w:i/>
          <w:iCs/>
          <w:kern w:val="0"/>
          <w:lang w:val="en-US"/>
        </w:rPr>
        <w:t xml:space="preserve">Ger. </w:t>
      </w:r>
      <w:proofErr w:type="spellStart"/>
      <w:r w:rsidRPr="00BB2519">
        <w:rPr>
          <w:rFonts w:cs="Times New Roman"/>
          <w:i/>
          <w:iCs/>
          <w:kern w:val="0"/>
          <w:lang w:val="nl-BE"/>
        </w:rPr>
        <w:t>Law</w:t>
      </w:r>
      <w:proofErr w:type="spellEnd"/>
      <w:r w:rsidRPr="00BB2519">
        <w:rPr>
          <w:rFonts w:cs="Times New Roman"/>
          <w:i/>
          <w:iCs/>
          <w:kern w:val="0"/>
          <w:lang w:val="nl-BE"/>
        </w:rPr>
        <w:t xml:space="preserve"> J.</w:t>
      </w:r>
      <w:r w:rsidRPr="00BB2519">
        <w:rPr>
          <w:rFonts w:cs="Times New Roman"/>
          <w:kern w:val="0"/>
          <w:lang w:val="nl-BE"/>
        </w:rPr>
        <w:t>, 2019, vol. 20, n</w:t>
      </w:r>
      <w:r w:rsidRPr="00BB2519">
        <w:rPr>
          <w:rFonts w:cs="Times New Roman"/>
          <w:kern w:val="0"/>
          <w:vertAlign w:val="superscript"/>
          <w:lang w:val="nl-BE"/>
        </w:rPr>
        <w:t>o</w:t>
      </w:r>
      <w:r w:rsidRPr="00BB2519">
        <w:rPr>
          <w:rFonts w:cs="Times New Roman"/>
          <w:kern w:val="0"/>
          <w:lang w:val="nl-BE"/>
        </w:rPr>
        <w:t> 6, pp. 783</w:t>
      </w:r>
      <w:r w:rsidRPr="006067D5">
        <w:rPr>
          <w:rFonts w:cs="Times New Roman"/>
          <w:kern w:val="0"/>
          <w:lang w:val="nl-BE"/>
        </w:rPr>
        <w:t>‑</w:t>
      </w:r>
      <w:r w:rsidRPr="00BB2519">
        <w:rPr>
          <w:rFonts w:cs="Times New Roman"/>
          <w:kern w:val="0"/>
          <w:lang w:val="nl-BE"/>
        </w:rPr>
        <w:t>784.</w:t>
      </w:r>
      <w:r>
        <w:fldChar w:fldCharType="end"/>
      </w:r>
    </w:p>
  </w:footnote>
  <w:footnote w:id="26">
    <w:p w14:paraId="292ECE53" w14:textId="0F46E13A" w:rsidR="003F6C57" w:rsidRPr="003F6C57" w:rsidRDefault="003F6C57" w:rsidP="002666A3">
      <w:pPr>
        <w:pStyle w:val="FootnoteText"/>
        <w:jc w:val="both"/>
        <w:rPr>
          <w:lang w:val="fr-FR"/>
        </w:rPr>
      </w:pPr>
      <w:r>
        <w:rPr>
          <w:rStyle w:val="FootnoteReference"/>
        </w:rPr>
        <w:footnoteRef/>
      </w:r>
      <w:r w:rsidRPr="00BB2519">
        <w:rPr>
          <w:lang w:val="nl-BE"/>
        </w:rPr>
        <w:t xml:space="preserve"> </w:t>
      </w:r>
      <w:r>
        <w:fldChar w:fldCharType="begin"/>
      </w:r>
      <w:r w:rsidRPr="00BB2519">
        <w:rPr>
          <w:lang w:val="nl-BE"/>
        </w:rPr>
        <w:instrText xml:space="preserve"> ADDIN ZOTERO_ITEM CSL_CITATION {"citationID":"x4mFYxn0","properties":{"formattedCitation":"S.\\uc0\\u160{}{\\scaps Van Drooghenbroeck} et C.\\uc0\\u160{}{\\scaps Rizcallah}, \\uc0\\u171{}\\uc0\\u160{}The ECHR and the Essence of Fundamental Rights: Searching for Sugar in Hot Milk?\\uc0\\u160{}\\uc0\\u187{}, {\\i{}Ger. Law J.}, 2019, vol.\\uc0\\u160{}20, n\\super o\\nosupersub{}\\uc0\\u160{}6, p.\\uc0\\u160{}912.","plainCitation":"S. Van Drooghenbroeck et C. Rizcallah, « The ECHR and the Essence of Fundamental Rights: Searching for Sugar in Hot Milk? », Ger. Law J., 2019, vol. 20, no 6, p. 912.","noteIndex":20},"citationItems":[{"id":3113,"uris":["http://zotero.org/users/15572827/items/CQD8Q6YY"],"itemData":{"id":3113,"type":"article-journal","abstract":"Abstract\n            \n              The concept of the “\n              essence\n              ”—as well as the related concepts of “\n              substance\n              ” or “\n              core\n              ”—of fundamental rights is absent from the text of the European Convention on Human Rights (ECHR), but regularly appears in the case law of the European Court of Human Rights (ECtHR) since the\n              Belgian Linguistic case\n              of 1968. Yet, fifty years after its explicit emergence in the Convention’s legal order, it must be observed that a clear understanding of this concept and of its practical utility is still lacking. Indeed, the idea of the essence of fundamental rights has never been clearly defined in its case law, which remains essentially pragmatic and unprincipled in this field. This Article will therefore attempt to remedy this shortcoming by sketching out the different functions assigned to the concepts of the essence, substance, and core of rights in the ECtHR’s case law. It is postulated that the concepts of the essence, substance, and core of fundamental rights are invoked for three different types of purposes. First, the concepts of the essence, </w:instrText>
      </w:r>
      <w:r w:rsidRPr="004916C3">
        <w:rPr>
          <w:lang w:val="nl-BE"/>
        </w:rPr>
        <w:instrText xml:space="preserve">substance, and core are—apparently at least—used by the ECtHR to fix the “\n              limit on the limits\n              ,” for example, the inalienable part of fundamental rights safeguarded from any possible restriction. Second, this concept has been a vehicle for expanding the Convention’s sphere of protection for the purposes of guaranteeing its effectiveness. Third, the concepts of the essence, substance, and core of fundamental rights also constitute a “reviewing tool” used by the Court to determine the intensity of the States’ obligations on the basis of a prioritization among a series of values at stake. Although these three different functions can be identified on paper, the practical usefulness, workability, and desirability of the concepts of the essence, substance, and core will be questioned.","container-title":"German Law Journal","DOI":"10.1017/glj.2019.68","ISSN":"2071-8322","issue":"6","journalAbbreviation":"German Law Journal","language":"en","license":"http://creativecommons.org/licenses/by/4.0/","page":"904-923","source":"DOI.org (Crossref)","title":"The ECHR and the Essence of Fundamental Rights: Searching for Sugar in Hot Milk?","title-short":"The ECHR and the Essence of Fundamental Rights","volume":"20","author":[{"family":"Van Drooghenbroeck","given":"Sébastien"},{"family":"Rizcallah","given":"Cecilia"}],"issued":{"date-parts":[["2019"]]}},"locator":"912"}],"schema":"https://github.com/citation-style-language/schema/raw/master/csl-citation.json"} </w:instrText>
      </w:r>
      <w:r>
        <w:fldChar w:fldCharType="separate"/>
      </w:r>
      <w:r w:rsidRPr="004916C3">
        <w:rPr>
          <w:rFonts w:cs="Times New Roman"/>
          <w:kern w:val="0"/>
          <w:lang w:val="nl-BE"/>
        </w:rPr>
        <w:t>S. </w:t>
      </w:r>
      <w:r w:rsidRPr="00DC0163">
        <w:rPr>
          <w:rFonts w:cs="Times New Roman"/>
          <w:kern w:val="0"/>
          <w:lang w:val="nl-BE"/>
        </w:rPr>
        <w:t>Van</w:t>
      </w:r>
      <w:r w:rsidRPr="004916C3">
        <w:rPr>
          <w:rFonts w:cs="Times New Roman"/>
          <w:smallCaps/>
          <w:kern w:val="0"/>
          <w:lang w:val="nl-BE"/>
        </w:rPr>
        <w:t xml:space="preserve"> </w:t>
      </w:r>
      <w:proofErr w:type="spellStart"/>
      <w:r w:rsidRPr="00DC0163">
        <w:rPr>
          <w:rFonts w:cs="Times New Roman"/>
          <w:kern w:val="0"/>
          <w:lang w:val="nl-BE"/>
        </w:rPr>
        <w:t>Drooghenbroeck</w:t>
      </w:r>
      <w:proofErr w:type="spellEnd"/>
      <w:r w:rsidRPr="004916C3">
        <w:rPr>
          <w:rFonts w:cs="Times New Roman"/>
          <w:kern w:val="0"/>
          <w:lang w:val="nl-BE"/>
        </w:rPr>
        <w:t xml:space="preserve"> et C. </w:t>
      </w:r>
      <w:proofErr w:type="spellStart"/>
      <w:r w:rsidRPr="00DC0163">
        <w:rPr>
          <w:rFonts w:cs="Times New Roman"/>
          <w:kern w:val="0"/>
          <w:lang w:val="nl-BE"/>
        </w:rPr>
        <w:t>Rizcallah</w:t>
      </w:r>
      <w:proofErr w:type="spellEnd"/>
      <w:r w:rsidRPr="004916C3">
        <w:rPr>
          <w:rFonts w:cs="Times New Roman"/>
          <w:kern w:val="0"/>
          <w:lang w:val="nl-BE"/>
        </w:rPr>
        <w:t xml:space="preserve">, « The ECHR </w:t>
      </w:r>
      <w:proofErr w:type="spellStart"/>
      <w:r w:rsidRPr="004916C3">
        <w:rPr>
          <w:rFonts w:cs="Times New Roman"/>
          <w:kern w:val="0"/>
          <w:lang w:val="nl-BE"/>
        </w:rPr>
        <w:t>and</w:t>
      </w:r>
      <w:proofErr w:type="spellEnd"/>
      <w:r w:rsidRPr="004916C3">
        <w:rPr>
          <w:rFonts w:cs="Times New Roman"/>
          <w:kern w:val="0"/>
          <w:lang w:val="nl-BE"/>
        </w:rPr>
        <w:t xml:space="preserve"> </w:t>
      </w:r>
      <w:proofErr w:type="spellStart"/>
      <w:r w:rsidRPr="004916C3">
        <w:rPr>
          <w:rFonts w:cs="Times New Roman"/>
          <w:kern w:val="0"/>
          <w:lang w:val="nl-BE"/>
        </w:rPr>
        <w:t>the</w:t>
      </w:r>
      <w:proofErr w:type="spellEnd"/>
      <w:r w:rsidRPr="004916C3">
        <w:rPr>
          <w:rFonts w:cs="Times New Roman"/>
          <w:kern w:val="0"/>
          <w:lang w:val="nl-BE"/>
        </w:rPr>
        <w:t xml:space="preserve"> Essence of </w:t>
      </w:r>
      <w:proofErr w:type="spellStart"/>
      <w:r w:rsidRPr="004916C3">
        <w:rPr>
          <w:rFonts w:cs="Times New Roman"/>
          <w:kern w:val="0"/>
          <w:lang w:val="nl-BE"/>
        </w:rPr>
        <w:t>Fundamental</w:t>
      </w:r>
      <w:proofErr w:type="spellEnd"/>
      <w:r w:rsidRPr="004916C3">
        <w:rPr>
          <w:rFonts w:cs="Times New Roman"/>
          <w:kern w:val="0"/>
          <w:lang w:val="nl-BE"/>
        </w:rPr>
        <w:t xml:space="preserve"> </w:t>
      </w:r>
      <w:proofErr w:type="spellStart"/>
      <w:r w:rsidRPr="004916C3">
        <w:rPr>
          <w:rFonts w:cs="Times New Roman"/>
          <w:kern w:val="0"/>
          <w:lang w:val="nl-BE"/>
        </w:rPr>
        <w:t>Rights</w:t>
      </w:r>
      <w:proofErr w:type="spellEnd"/>
      <w:r w:rsidRPr="004916C3">
        <w:rPr>
          <w:rFonts w:cs="Times New Roman"/>
          <w:kern w:val="0"/>
          <w:lang w:val="nl-BE"/>
        </w:rPr>
        <w:t xml:space="preserve">: </w:t>
      </w:r>
      <w:proofErr w:type="spellStart"/>
      <w:r w:rsidRPr="004916C3">
        <w:rPr>
          <w:rFonts w:cs="Times New Roman"/>
          <w:kern w:val="0"/>
          <w:lang w:val="nl-BE"/>
        </w:rPr>
        <w:t>Searching</w:t>
      </w:r>
      <w:proofErr w:type="spellEnd"/>
      <w:r w:rsidRPr="004916C3">
        <w:rPr>
          <w:rFonts w:cs="Times New Roman"/>
          <w:kern w:val="0"/>
          <w:lang w:val="nl-BE"/>
        </w:rPr>
        <w:t xml:space="preserve"> </w:t>
      </w:r>
      <w:proofErr w:type="spellStart"/>
      <w:r w:rsidRPr="004916C3">
        <w:rPr>
          <w:rFonts w:cs="Times New Roman"/>
          <w:kern w:val="0"/>
          <w:lang w:val="nl-BE"/>
        </w:rPr>
        <w:t>for</w:t>
      </w:r>
      <w:proofErr w:type="spellEnd"/>
      <w:r w:rsidRPr="004916C3">
        <w:rPr>
          <w:rFonts w:cs="Times New Roman"/>
          <w:kern w:val="0"/>
          <w:lang w:val="nl-BE"/>
        </w:rPr>
        <w:t xml:space="preserve"> Sugar in Hot </w:t>
      </w:r>
      <w:proofErr w:type="spellStart"/>
      <w:r w:rsidRPr="004916C3">
        <w:rPr>
          <w:rFonts w:cs="Times New Roman"/>
          <w:kern w:val="0"/>
          <w:lang w:val="nl-BE"/>
        </w:rPr>
        <w:t>Milk</w:t>
      </w:r>
      <w:proofErr w:type="spellEnd"/>
      <w:r w:rsidRPr="004916C3">
        <w:rPr>
          <w:rFonts w:cs="Times New Roman"/>
          <w:kern w:val="0"/>
          <w:lang w:val="nl-BE"/>
        </w:rPr>
        <w:t xml:space="preserve">? », </w:t>
      </w:r>
      <w:r w:rsidRPr="004916C3">
        <w:rPr>
          <w:rFonts w:cs="Times New Roman"/>
          <w:i/>
          <w:iCs/>
          <w:kern w:val="0"/>
          <w:lang w:val="nl-BE"/>
        </w:rPr>
        <w:t xml:space="preserve">Ger. </w:t>
      </w:r>
      <w:r w:rsidRPr="003F6C57">
        <w:rPr>
          <w:rFonts w:cs="Times New Roman"/>
          <w:i/>
          <w:iCs/>
          <w:kern w:val="0"/>
        </w:rPr>
        <w:t>Law J.</w:t>
      </w:r>
      <w:r w:rsidRPr="003F6C57">
        <w:rPr>
          <w:rFonts w:cs="Times New Roman"/>
          <w:kern w:val="0"/>
        </w:rPr>
        <w:t>, 2019, vol. 20, n</w:t>
      </w:r>
      <w:r w:rsidRPr="003F6C57">
        <w:rPr>
          <w:rFonts w:cs="Times New Roman"/>
          <w:kern w:val="0"/>
          <w:vertAlign w:val="superscript"/>
        </w:rPr>
        <w:t>o</w:t>
      </w:r>
      <w:r w:rsidRPr="003F6C57">
        <w:rPr>
          <w:rFonts w:cs="Times New Roman"/>
          <w:kern w:val="0"/>
        </w:rPr>
        <w:t> 6, p. 912.</w:t>
      </w:r>
      <w:r>
        <w:fldChar w:fldCharType="end"/>
      </w:r>
    </w:p>
  </w:footnote>
  <w:footnote w:id="27">
    <w:p w14:paraId="045128C2" w14:textId="6B6182A6" w:rsidR="00E26331" w:rsidRPr="00E26331" w:rsidRDefault="00E26331" w:rsidP="002666A3">
      <w:pPr>
        <w:pStyle w:val="FootnoteText"/>
        <w:jc w:val="both"/>
        <w:rPr>
          <w:lang w:val="fr-FR"/>
        </w:rPr>
      </w:pPr>
      <w:r>
        <w:rPr>
          <w:rStyle w:val="FootnoteReference"/>
        </w:rPr>
        <w:footnoteRef/>
      </w:r>
      <w:r>
        <w:t xml:space="preserve"> </w:t>
      </w:r>
      <w:r w:rsidR="00B809DB">
        <w:rPr>
          <w:lang w:val="fr-FR"/>
        </w:rPr>
        <w:t xml:space="preserve">Conclusions de l’avocate générale </w:t>
      </w:r>
      <w:proofErr w:type="spellStart"/>
      <w:r w:rsidR="00B809DB">
        <w:rPr>
          <w:lang w:val="fr-FR"/>
        </w:rPr>
        <w:t>Ćapeta</w:t>
      </w:r>
      <w:proofErr w:type="spellEnd"/>
      <w:r w:rsidR="00B809DB">
        <w:rPr>
          <w:lang w:val="fr-FR"/>
        </w:rPr>
        <w:t xml:space="preserve">, </w:t>
      </w:r>
      <w:r w:rsidR="00B809DB">
        <w:rPr>
          <w:i/>
          <w:iCs/>
          <w:lang w:val="fr-FR"/>
        </w:rPr>
        <w:t>Commissions / Hongrie (Valeurs de l’Union)</w:t>
      </w:r>
      <w:r w:rsidR="00B809DB">
        <w:rPr>
          <w:lang w:val="fr-FR"/>
        </w:rPr>
        <w:t>, C-769/22, points </w:t>
      </w:r>
      <w:r w:rsidR="00A44D42">
        <w:rPr>
          <w:lang w:val="fr-FR"/>
        </w:rPr>
        <w:t>35-36</w:t>
      </w:r>
      <w:r w:rsidR="00B809DB">
        <w:rPr>
          <w:lang w:val="fr-FR"/>
        </w:rPr>
        <w:t>.</w:t>
      </w:r>
    </w:p>
  </w:footnote>
  <w:footnote w:id="28">
    <w:p w14:paraId="4FF58279" w14:textId="61D9BCE7" w:rsidR="00A22060" w:rsidRPr="00BB2519" w:rsidRDefault="00A22060" w:rsidP="002666A3">
      <w:pPr>
        <w:pStyle w:val="FootnoteText"/>
        <w:jc w:val="both"/>
        <w:rPr>
          <w:lang w:val="nl-BE"/>
        </w:rPr>
      </w:pPr>
      <w:r>
        <w:rPr>
          <w:rStyle w:val="FootnoteReference"/>
        </w:rPr>
        <w:footnoteRef/>
      </w:r>
      <w:r w:rsidRPr="00BB2519">
        <w:rPr>
          <w:lang w:val="nl-BE"/>
        </w:rPr>
        <w:t xml:space="preserve"> </w:t>
      </w:r>
      <w:r>
        <w:fldChar w:fldCharType="begin"/>
      </w:r>
      <w:r w:rsidRPr="00BB2519">
        <w:rPr>
          <w:lang w:val="nl-BE"/>
        </w:rPr>
        <w:instrText xml:space="preserve"> ADDIN ZOTERO_ITEM CSL_CITATION {"citationID":"1FBwup3N","properties":{"formattedCitation":"P.\\uc0\\u160{}{\\scaps Dupont}, {\\i{}Les dispositions liminaires du Trait\\uc0\\u233{} sur l\\uc0\\u8217{}UE devant la CJUE}, {\\i{}op.\\uc0\\u160{}cit.}, pp.\\uc0\\u160{}506\\uc0\\u8209{}507.","plainCitation":"P. Dupont, Les dispositions liminaires du Traité sur l’UE devant la CJUE, op. cit., pp. 506‑507.","noteIndex":22},"citationItems":[{"id":2912,"uris":["http://zotero.org/users/15572827/items/W6IGLLV9"],"itemData":{"id":2912,"type":"book","collection-title":"Collection droit de l'Union européenne - Thèses","event-place":"Bruxelles","publisher":"Bruylant","publisher-place":"Bruxelles","title":"Les dispositions liminaires du Traité sur l'UE devant la CJUE","author":[{"family":"Dupont","given":"Pauline"}],"issued":{"date-parts":[["2025"]]}},"locator":"506-507"}],"schema":"https://github.com/citation-style-language/schema/raw/master/csl-citation.json"} </w:instrText>
      </w:r>
      <w:r>
        <w:fldChar w:fldCharType="separate"/>
      </w:r>
      <w:r w:rsidRPr="00BB2519">
        <w:rPr>
          <w:rFonts w:cs="Times New Roman"/>
          <w:kern w:val="0"/>
          <w:lang w:val="nl-BE"/>
        </w:rPr>
        <w:t xml:space="preserve">P. Dupont, </w:t>
      </w:r>
      <w:r w:rsidRPr="00BB2519">
        <w:rPr>
          <w:rFonts w:cs="Times New Roman"/>
          <w:i/>
          <w:iCs/>
          <w:kern w:val="0"/>
          <w:lang w:val="nl-BE"/>
        </w:rPr>
        <w:t>op. </w:t>
      </w:r>
      <w:proofErr w:type="spellStart"/>
      <w:proofErr w:type="gramStart"/>
      <w:r w:rsidRPr="00BB2519">
        <w:rPr>
          <w:rFonts w:cs="Times New Roman"/>
          <w:i/>
          <w:iCs/>
          <w:kern w:val="0"/>
          <w:lang w:val="nl-BE"/>
        </w:rPr>
        <w:t>cit</w:t>
      </w:r>
      <w:proofErr w:type="spellEnd"/>
      <w:proofErr w:type="gramEnd"/>
      <w:r w:rsidRPr="00BB2519">
        <w:rPr>
          <w:rFonts w:cs="Times New Roman"/>
          <w:i/>
          <w:iCs/>
          <w:kern w:val="0"/>
          <w:lang w:val="nl-BE"/>
        </w:rPr>
        <w:t>.</w:t>
      </w:r>
      <w:r w:rsidRPr="00BB2519">
        <w:rPr>
          <w:rFonts w:cs="Times New Roman"/>
          <w:kern w:val="0"/>
          <w:lang w:val="nl-BE"/>
        </w:rPr>
        <w:t>, pp. 506‑507.</w:t>
      </w:r>
      <w:r>
        <w:fldChar w:fldCharType="end"/>
      </w:r>
    </w:p>
  </w:footnote>
  <w:footnote w:id="29">
    <w:p w14:paraId="189B2FBB" w14:textId="04B18551" w:rsidR="00A22060" w:rsidRPr="0044049B" w:rsidRDefault="00A22060" w:rsidP="00B809DB">
      <w:pPr>
        <w:pStyle w:val="FootnoteText"/>
        <w:jc w:val="both"/>
        <w:rPr>
          <w:lang w:val="en-US"/>
        </w:rPr>
      </w:pPr>
      <w:r>
        <w:rPr>
          <w:rStyle w:val="FootnoteReference"/>
        </w:rPr>
        <w:footnoteRef/>
      </w:r>
      <w:r w:rsidRPr="0044049B">
        <w:rPr>
          <w:lang w:val="en-US"/>
        </w:rPr>
        <w:t xml:space="preserve"> </w:t>
      </w:r>
      <w:r>
        <w:fldChar w:fldCharType="begin"/>
      </w:r>
      <w:r w:rsidRPr="0044049B">
        <w:rPr>
          <w:lang w:val="en-US"/>
        </w:rPr>
        <w:instrText xml:space="preserve"> ADDIN ZOTERO_ITEM CSL_CITATION {"citationID":"M5GolTZq","properties":{"formattedCitation":"L.S.\\uc0\\u160{}{\\scaps Rossi}, \\uc0\\u171{}\\uc0\\u160{}\\uc0\\u8216{}Concretised\\uc0\\u8217{}, \\uc0\\u8216{}Flanked\\uc0\\u8217{}, or \\uc0\\u8216{}Standalone\\uc0\\u8217{}? Some Reflections on the Application of Article 2 TEU\\uc0\\u160{}\\uc0\\u187{}, {\\i{}Eur. Pap. - J. Law Integr.}, 7\\uc0\\u160{}mars 2025, 2025 10, p.\\uc0\\u160{}22.","plainCitation":"L.S. Rossi, « ‘Concretised’, ‘Flanked’, or ‘Standalone’? Some Reflections on the Application of Article 2 TEU », Eur. Pap. - J. Law Integr., 7 mars 2025, 2025 10, p. 22.","noteIndex":23},"citationItems":[{"id":2877,"uris":["http://zotero.org/users/15572827/items/NDM2XTZE"],"itemData":{"id":2877,"type":"article-journal","abstract":"The present article aims to assess some delicate constitutional issues raised by the pending case Commission v Hungary (C-769/22). It first explains the general duty for Member States to re-spect the values of Article 2 TEU as an essential requirement of their EU Membership, within the meaning of the judgment Repubblika. Then, it dwells upon the model provided by Article 2 TEU, the interconnection among its values and principles, and the connections of those values with other principles affirmed by the Treaties and analyses the extraordinarily comprehensive violation of that model by the Hungarian legislation. Finally, it argues that there are three dif-ferent potential dimensions for applying Article 2 TEU.","container-title":"European Papers - A Journal on Law and Integration","DOI":"10.15166/2499-8249/820","ISSN":"2499-8249","language":"en","license":"Creative Commons Attribution Non Commercial No Derivatives 4.0 International","note":"medium: text/html,PDF\npublisher: European Papers (www.europeanpapers.eu)","page":"124","source":"DOI.org (Datacite)","title":"‘Concretised’, ‘Flanked’, or ‘Standalone’? Some Reflections on the Application of Article 2 TEU","title-short":"‘Concretised’, ‘Flanked’, or ‘Standalone’?","volume":"2025 10","author":[{"family":"Rossi","given":"Lucia Serena"}],"contributor":[{"literal":"European Papers Jean Monnet Network"}],"issued":{"date-parts":[["2025",3,7]]}},"locator":"22"}],"schema":"https://github.com/citation-style-language/schema/raw/master/csl-citation.json"} </w:instrText>
      </w:r>
      <w:r>
        <w:fldChar w:fldCharType="separate"/>
      </w:r>
      <w:r w:rsidRPr="0044049B">
        <w:rPr>
          <w:rFonts w:cs="Times New Roman"/>
          <w:kern w:val="0"/>
          <w:lang w:val="en-US"/>
        </w:rPr>
        <w:t>L.</w:t>
      </w:r>
      <w:r w:rsidR="00E55D00" w:rsidRPr="0044049B">
        <w:rPr>
          <w:rFonts w:cs="Times New Roman"/>
          <w:kern w:val="0"/>
          <w:lang w:val="en-US"/>
        </w:rPr>
        <w:t xml:space="preserve"> </w:t>
      </w:r>
      <w:r w:rsidRPr="0044049B">
        <w:rPr>
          <w:rFonts w:cs="Times New Roman"/>
          <w:kern w:val="0"/>
          <w:lang w:val="en-US"/>
        </w:rPr>
        <w:t>S. Rossi, « ‘</w:t>
      </w:r>
      <w:proofErr w:type="spellStart"/>
      <w:r w:rsidRPr="0044049B">
        <w:rPr>
          <w:rFonts w:cs="Times New Roman"/>
          <w:kern w:val="0"/>
          <w:lang w:val="en-US"/>
        </w:rPr>
        <w:t>Concretised</w:t>
      </w:r>
      <w:proofErr w:type="spellEnd"/>
      <w:r w:rsidRPr="0044049B">
        <w:rPr>
          <w:rFonts w:cs="Times New Roman"/>
          <w:kern w:val="0"/>
          <w:lang w:val="en-US"/>
        </w:rPr>
        <w:t xml:space="preserve">’, ‘Flanked’, or ‘Standalone’? Some Reflections on the Application of Article 2 TEU », </w:t>
      </w:r>
      <w:r w:rsidRPr="0044049B">
        <w:rPr>
          <w:rFonts w:cs="Times New Roman"/>
          <w:i/>
          <w:iCs/>
          <w:kern w:val="0"/>
          <w:lang w:val="en-US"/>
        </w:rPr>
        <w:t>E</w:t>
      </w:r>
      <w:r w:rsidR="00B809DB" w:rsidRPr="0044049B">
        <w:rPr>
          <w:rFonts w:cs="Times New Roman"/>
          <w:i/>
          <w:iCs/>
          <w:kern w:val="0"/>
          <w:lang w:val="en-US"/>
        </w:rPr>
        <w:t>uropean Papers</w:t>
      </w:r>
      <w:r w:rsidR="00B809DB" w:rsidRPr="0044049B">
        <w:rPr>
          <w:rFonts w:cs="Times New Roman"/>
          <w:kern w:val="0"/>
          <w:lang w:val="en-US"/>
        </w:rPr>
        <w:t>,</w:t>
      </w:r>
      <w:r w:rsidR="00B809DB" w:rsidRPr="0044049B">
        <w:rPr>
          <w:rFonts w:cs="Times New Roman"/>
          <w:i/>
          <w:iCs/>
          <w:kern w:val="0"/>
          <w:lang w:val="en-US"/>
        </w:rPr>
        <w:t xml:space="preserve"> </w:t>
      </w:r>
      <w:r w:rsidRPr="0044049B">
        <w:rPr>
          <w:rFonts w:cs="Times New Roman"/>
          <w:kern w:val="0"/>
          <w:lang w:val="en-US"/>
        </w:rPr>
        <w:t xml:space="preserve">2025, </w:t>
      </w:r>
      <w:r w:rsidR="00B809DB" w:rsidRPr="0044049B">
        <w:rPr>
          <w:rFonts w:cs="Times New Roman"/>
          <w:kern w:val="0"/>
          <w:lang w:val="en-US"/>
        </w:rPr>
        <w:t>vol. </w:t>
      </w:r>
      <w:r w:rsidRPr="0044049B">
        <w:rPr>
          <w:rFonts w:cs="Times New Roman"/>
          <w:kern w:val="0"/>
          <w:lang w:val="en-US"/>
        </w:rPr>
        <w:t>10,</w:t>
      </w:r>
      <w:r w:rsidR="00B809DB" w:rsidRPr="0044049B">
        <w:rPr>
          <w:rFonts w:cs="Times New Roman"/>
          <w:kern w:val="0"/>
          <w:lang w:val="en-US"/>
        </w:rPr>
        <w:t xml:space="preserve"> n° 1, </w:t>
      </w:r>
      <w:r w:rsidRPr="0044049B">
        <w:rPr>
          <w:rFonts w:cs="Times New Roman"/>
          <w:kern w:val="0"/>
          <w:lang w:val="en-US"/>
        </w:rPr>
        <w:t>p. 22.</w:t>
      </w:r>
      <w:r>
        <w:fldChar w:fldCharType="end"/>
      </w:r>
    </w:p>
  </w:footnote>
  <w:footnote w:id="30">
    <w:p w14:paraId="2B3557E9" w14:textId="2CF14D97" w:rsidR="008E0D40" w:rsidRPr="008E0D40" w:rsidRDefault="008E0D40" w:rsidP="002666A3">
      <w:pPr>
        <w:pStyle w:val="FootnoteText"/>
        <w:jc w:val="both"/>
        <w:rPr>
          <w:lang w:val="fr-FR"/>
        </w:rPr>
      </w:pPr>
      <w:r>
        <w:rPr>
          <w:rStyle w:val="FootnoteReference"/>
        </w:rPr>
        <w:footnoteRef/>
      </w:r>
      <w:r>
        <w:t xml:space="preserve"> </w:t>
      </w:r>
      <w:r>
        <w:fldChar w:fldCharType="begin"/>
      </w:r>
      <w:r w:rsidR="00CA5824">
        <w:instrText xml:space="preserve"> ADDIN ZOTERO_ITEM CSL_CITATION {"citationID":"W9cES8oB","properties":{"formattedCitation":"P.\\uc0\\u160{}{\\scaps Craig}, \\uc0\\u171{}\\uc0\\u160{}Op-Ed\\uc0\\u160{}\\uc0\\u187{}, {\\i{}op.\\uc0\\u160{}cit.}\\uc0\\u160{}; L.\\uc0\\u160{}{\\scaps Kaiser}, A.\\uc0\\u160{}{\\scaps Knecht} et L.D.\\uc0\\u160{}{\\scaps Spieker}, \\uc0\\u171{}\\uc0\\u160{}European Society Strikes Back\\uc0\\u160{}\\uc0\\u187{}, {\\i{}op.\\uc0\\u160{}cit.}\\uc0\\u160{}; Cour de Justice de l\\uc0\\u8217{}Union europ\\uc0\\u233{}enne, {\\i{}Commission europ\\uc0\\u233{}enne c. Hongrie}, 5 juin 2025, Conclusions de l\\uc0\\u8217{}Avocate G\\uc0\\u233{}n\\uc0\\u233{}rale T. \\uc0\\u262{}apeta.","plainCitation":"P. Craig, « Op-Ed », op. cit. ; L. Kaiser, A. Knecht et L.D. Spieker, « European Society Strikes Back », op. cit. ; Cour de Justice de l’Union européenne, Commission européenne c. Hongrie, 5 juin 2025, Conclusions de l’Avocate Générale T. Ćapeta.","noteIndex":24},"citationItems":[{"id":3109,"uris":["http://zotero.org/users/15572827/items/V6VWZM78"],"itemData":{"id":3109,"type":"post-weblog","abstract":"This Op-Ed is part of the EU Law Live Symposium on the CJEU’s judgment in Commission v. Hungary (C-769/22). More Op-Eds on this topic will follow soon on EU …","container-title":"EU Law Live","language":"en-GB","note":"section: Human Rights","title":"Op-Ed: “Article 2, Values and Incremental Legal Reasoning”","title-short":"Op-Ed","URL":"https://eulawlive.com/op-ed-article-2-values-and-incremental-legal-reasoning/","author":[{"family":"Craig","given":"Paul"}],"accessed":{"date-parts":[["2026",4,29]]},"issued":{"date-parts":[["2026",4,27]]}},"label":"page"},{"id":2910,"uris":["http://zotero.org/users/15572827/items/IJFG7HNL"],"itemData":{"id":2910,"type":"article-journal","abstract":"“This is a frontal and deep attack against the … European society.” With this remarkable statement the Commission has started the “largest human rights battle in EU history”: the infringement proceedings against the Hungarian anti-LGBTIQ* law. The Commission claims that this law breaches the internal market, the Charter rights and the Union’s common values enshrined in Article 2 TEU. The “mega hearing”, which took place on 19 November 2024, is now facing its ultimate test: can the Member States’ compliance with Article 2 TEU be reviewed before the Court of Justice?","container-title":"Verfassungsblog","DOI":"10.59704/00f6c17a50fc172c","ISSN":"2366-7044","language":"eng","license":"CC BY-SA 4.0","note":"publisher: Verfassungsblog","source":"verfassungsblog.de","title":"European Society Strikes Back","URL":"https://verfassungsblog.de/european-society-strikes-back/","author":[{"family":"Kaiser","given":"Lena"},{"family":"Knecht","given":"Andreas"},{"family":"Spieker","given":"Luke Dimitrios"}],"accessed":{"date-parts":[["2026",3,26]]},"issued":{"date-parts":[["2024",11,26]]}},"label":"page"},{"id":3096,"uris":["http://zotero.org/users/15572827/items/9Y2FX5WF"],"itemData":{"id":3096,"type":"legal_case","authority":"Cour de Justice de l'Union européenne","note":"Conclusions de l'Avocate Générale T. Ćapeta","title":"Commission européenne c. Hongrie","issued":{"date-parts":[["2025",6,5]]}},"label":"page"}],"schema":"https://github.com/citation-style-language/schema/raw/master/csl-citation.json"} </w:instrText>
      </w:r>
      <w:r>
        <w:fldChar w:fldCharType="separate"/>
      </w:r>
      <w:r w:rsidR="00CA5824" w:rsidRPr="00CA5824">
        <w:rPr>
          <w:rFonts w:cs="Times New Roman"/>
          <w:kern w:val="0"/>
        </w:rPr>
        <w:t>P. </w:t>
      </w:r>
      <w:r w:rsidR="00CA5824" w:rsidRPr="00DC0163">
        <w:rPr>
          <w:rFonts w:cs="Times New Roman"/>
          <w:kern w:val="0"/>
        </w:rPr>
        <w:t>Craig</w:t>
      </w:r>
      <w:r w:rsidR="00CA5824" w:rsidRPr="00CA5824">
        <w:rPr>
          <w:rFonts w:cs="Times New Roman"/>
          <w:kern w:val="0"/>
        </w:rPr>
        <w:t xml:space="preserve">, </w:t>
      </w:r>
      <w:r w:rsidR="00CA5824" w:rsidRPr="00CA5824">
        <w:rPr>
          <w:rFonts w:cs="Times New Roman"/>
          <w:i/>
          <w:iCs/>
          <w:kern w:val="0"/>
        </w:rPr>
        <w:t>op. </w:t>
      </w:r>
      <w:proofErr w:type="spellStart"/>
      <w:proofErr w:type="gramStart"/>
      <w:r w:rsidR="00CA5824" w:rsidRPr="00CA5824">
        <w:rPr>
          <w:rFonts w:cs="Times New Roman"/>
          <w:i/>
          <w:iCs/>
          <w:kern w:val="0"/>
        </w:rPr>
        <w:t>cit</w:t>
      </w:r>
      <w:proofErr w:type="spellEnd"/>
      <w:proofErr w:type="gramEnd"/>
      <w:r w:rsidR="00CA5824" w:rsidRPr="00CA5824">
        <w:rPr>
          <w:rFonts w:cs="Times New Roman"/>
          <w:i/>
          <w:iCs/>
          <w:kern w:val="0"/>
        </w:rPr>
        <w:t>.</w:t>
      </w:r>
      <w:r w:rsidR="00CA5824" w:rsidRPr="00CA5824">
        <w:rPr>
          <w:rFonts w:cs="Times New Roman"/>
          <w:kern w:val="0"/>
        </w:rPr>
        <w:t> ; L. </w:t>
      </w:r>
      <w:r w:rsidR="00CA5824" w:rsidRPr="00DC0163">
        <w:rPr>
          <w:rFonts w:cs="Times New Roman"/>
          <w:kern w:val="0"/>
        </w:rPr>
        <w:t>Kaiser</w:t>
      </w:r>
      <w:r w:rsidR="00CA5824" w:rsidRPr="00CA5824">
        <w:rPr>
          <w:rFonts w:cs="Times New Roman"/>
          <w:kern w:val="0"/>
        </w:rPr>
        <w:t>, A. </w:t>
      </w:r>
      <w:r w:rsidR="00CA5824" w:rsidRPr="00DC0163">
        <w:rPr>
          <w:rFonts w:cs="Times New Roman"/>
          <w:kern w:val="0"/>
        </w:rPr>
        <w:t>Knecht</w:t>
      </w:r>
      <w:r w:rsidR="00CA5824" w:rsidRPr="00CA5824">
        <w:rPr>
          <w:rFonts w:cs="Times New Roman"/>
          <w:kern w:val="0"/>
        </w:rPr>
        <w:t xml:space="preserve"> et L.D. </w:t>
      </w:r>
      <w:proofErr w:type="spellStart"/>
      <w:r w:rsidR="00CA5824" w:rsidRPr="00DC0163">
        <w:rPr>
          <w:rFonts w:cs="Times New Roman"/>
          <w:kern w:val="0"/>
        </w:rPr>
        <w:t>Spieker</w:t>
      </w:r>
      <w:proofErr w:type="spellEnd"/>
      <w:r w:rsidR="00CA5824" w:rsidRPr="00CA5824">
        <w:rPr>
          <w:rFonts w:cs="Times New Roman"/>
          <w:kern w:val="0"/>
        </w:rPr>
        <w:t xml:space="preserve">, </w:t>
      </w:r>
      <w:r w:rsidR="00CA5824" w:rsidRPr="00CA5824">
        <w:rPr>
          <w:rFonts w:cs="Times New Roman"/>
          <w:i/>
          <w:iCs/>
          <w:kern w:val="0"/>
        </w:rPr>
        <w:t>op. </w:t>
      </w:r>
      <w:proofErr w:type="spellStart"/>
      <w:proofErr w:type="gramStart"/>
      <w:r w:rsidR="00CA5824" w:rsidRPr="00CA5824">
        <w:rPr>
          <w:rFonts w:cs="Times New Roman"/>
          <w:i/>
          <w:iCs/>
          <w:kern w:val="0"/>
        </w:rPr>
        <w:t>cit</w:t>
      </w:r>
      <w:proofErr w:type="spellEnd"/>
      <w:proofErr w:type="gramEnd"/>
      <w:r w:rsidR="00CA5824" w:rsidRPr="00CA5824">
        <w:rPr>
          <w:rFonts w:cs="Times New Roman"/>
          <w:i/>
          <w:iCs/>
          <w:kern w:val="0"/>
        </w:rPr>
        <w:t>.</w:t>
      </w:r>
      <w:r w:rsidR="00CA5824" w:rsidRPr="00CA5824">
        <w:rPr>
          <w:rFonts w:cs="Times New Roman"/>
          <w:kern w:val="0"/>
        </w:rPr>
        <w:t xml:space="preserve"> ; </w:t>
      </w:r>
      <w:r w:rsidR="000303A7">
        <w:rPr>
          <w:lang w:val="fr-FR"/>
        </w:rPr>
        <w:t xml:space="preserve">Conclusions de l’avocate générale </w:t>
      </w:r>
      <w:proofErr w:type="spellStart"/>
      <w:r w:rsidR="000303A7">
        <w:rPr>
          <w:lang w:val="fr-FR"/>
        </w:rPr>
        <w:t>Ćapeta</w:t>
      </w:r>
      <w:proofErr w:type="spellEnd"/>
      <w:r w:rsidR="000303A7">
        <w:rPr>
          <w:lang w:val="fr-FR"/>
        </w:rPr>
        <w:t xml:space="preserve">, </w:t>
      </w:r>
      <w:r w:rsidR="000303A7">
        <w:rPr>
          <w:i/>
          <w:iCs/>
          <w:lang w:val="fr-FR"/>
        </w:rPr>
        <w:t>Commissions / Hongrie (Valeurs de l’Union)</w:t>
      </w:r>
      <w:r w:rsidR="000303A7">
        <w:rPr>
          <w:lang w:val="fr-FR"/>
        </w:rPr>
        <w:t>, C-769/22, point </w:t>
      </w:r>
      <w:r>
        <w:fldChar w:fldCharType="end"/>
      </w:r>
      <w:r w:rsidR="000303A7">
        <w:t>232.</w:t>
      </w:r>
    </w:p>
  </w:footnote>
  <w:footnote w:id="31">
    <w:p w14:paraId="578C2F67" w14:textId="4B797D4F" w:rsidR="00394F65" w:rsidRPr="00BB2519" w:rsidRDefault="00394F65" w:rsidP="002666A3">
      <w:pPr>
        <w:pStyle w:val="FootnoteText"/>
        <w:jc w:val="both"/>
      </w:pPr>
      <w:r>
        <w:rPr>
          <w:rStyle w:val="FootnoteReference"/>
        </w:rPr>
        <w:footnoteRef/>
      </w:r>
      <w:r w:rsidRPr="00BB2519">
        <w:t xml:space="preserve"> </w:t>
      </w:r>
      <w:r>
        <w:fldChar w:fldCharType="begin"/>
      </w:r>
      <w:r w:rsidRPr="00BB2519">
        <w:instrText xml:space="preserve"> ADDIN ZOTERO_ITEM CSL_CITATION {"citationID":"rSi1mpB8","properties":{"formattedCitation":"J.\\uc0\\u160{}{\\scaps Morijn}, \\uc0\\u171{}\\uc0\\u160{}Op-Ed\\uc0\\u160{}\\uc0\\u187{}, {\\i{}op.\\uc0\\u160{}cit.}","plainCitation":"J. Morijn, « Op-Ed », op. cit.","noteIndex":25},"citationItems":[{"id":3111,"uris":["http://zotero.org/users/15572827/items/L4FPY29G"],"itemData":{"id":3111,"type":"post-weblog","abstract":"This Op-Ed is part of the EU Law Live Symposium on the CJEU’s judgment in Commission v. Hungary (C-769/22). The first Op-Ed, by Paul Craig, can be found here. More …","container-title":"EU Law Live","language":"en-GB","note":"section: Internal Market","title":"Op-Ed: “(The Hamburger of) EU Values Protection in Commission v. Hungary: A Riddle, Wrapped in a Mystery, Inside an Enigma”","title-short":"Op-Ed","URL":"https://eulawlive.com/op-ed-the-hamburger-of-eu-values-protection-in-commission-v-hungary-a-riddle-wrapped-in-a-mystery-inside-an-enigma/","author":[{"family":"Morijn","given":"John"}],"accessed":{"date-parts":[["2026",4,30]]},"issued":{"date-parts":[["2026",4,29]]}}}],"schema":"https://github.com/citation-style-language/schema/raw/master/csl-citation.json"} </w:instrText>
      </w:r>
      <w:r>
        <w:fldChar w:fldCharType="separate"/>
      </w:r>
      <w:r w:rsidRPr="00BB2519">
        <w:rPr>
          <w:rFonts w:cs="Times New Roman"/>
          <w:kern w:val="0"/>
        </w:rPr>
        <w:t>J. </w:t>
      </w:r>
      <w:proofErr w:type="spellStart"/>
      <w:r w:rsidRPr="00BB2519">
        <w:rPr>
          <w:rFonts w:cs="Times New Roman"/>
          <w:kern w:val="0"/>
        </w:rPr>
        <w:t>Morijn</w:t>
      </w:r>
      <w:proofErr w:type="spellEnd"/>
      <w:r w:rsidRPr="00BB2519">
        <w:rPr>
          <w:rFonts w:cs="Times New Roman"/>
          <w:kern w:val="0"/>
        </w:rPr>
        <w:t xml:space="preserve">, </w:t>
      </w:r>
      <w:r w:rsidRPr="00BB2519">
        <w:rPr>
          <w:rFonts w:cs="Times New Roman"/>
          <w:i/>
          <w:iCs/>
          <w:kern w:val="0"/>
        </w:rPr>
        <w:t>op. </w:t>
      </w:r>
      <w:proofErr w:type="spellStart"/>
      <w:proofErr w:type="gramStart"/>
      <w:r w:rsidRPr="00BB2519">
        <w:rPr>
          <w:rFonts w:cs="Times New Roman"/>
          <w:i/>
          <w:iCs/>
          <w:kern w:val="0"/>
        </w:rPr>
        <w:t>cit</w:t>
      </w:r>
      <w:proofErr w:type="spellEnd"/>
      <w:proofErr w:type="gramEnd"/>
      <w:r w:rsidRPr="00BB2519">
        <w:rPr>
          <w:rFonts w:cs="Times New Roman"/>
          <w:i/>
          <w:iCs/>
          <w:kern w:val="0"/>
        </w:rPr>
        <w:t>.</w:t>
      </w:r>
      <w:r>
        <w:fldChar w:fldCharType="end"/>
      </w:r>
    </w:p>
  </w:footnote>
  <w:footnote w:id="32">
    <w:p w14:paraId="488C8D66" w14:textId="08A43B1D" w:rsidR="00E94177" w:rsidRPr="00DC0163" w:rsidRDefault="00E94177" w:rsidP="002666A3">
      <w:pPr>
        <w:pStyle w:val="FootnoteText"/>
        <w:jc w:val="both"/>
      </w:pPr>
      <w:r>
        <w:rPr>
          <w:rStyle w:val="FootnoteReference"/>
        </w:rPr>
        <w:footnoteRef/>
      </w:r>
      <w:r>
        <w:t xml:space="preserve"> </w:t>
      </w:r>
      <w:r w:rsidR="00D2204D">
        <w:t xml:space="preserve">Arrêt </w:t>
      </w:r>
      <w:r w:rsidR="00D2204D">
        <w:rPr>
          <w:i/>
          <w:iCs/>
        </w:rPr>
        <w:t>Hongrie / Parlement et Conseil</w:t>
      </w:r>
      <w:r w:rsidR="00D2204D">
        <w:t xml:space="preserve">, C-156/21, point 125 ; arrêt </w:t>
      </w:r>
      <w:r w:rsidR="00D2204D">
        <w:rPr>
          <w:i/>
          <w:iCs/>
        </w:rPr>
        <w:t>Pologne / Parlement et Conseil</w:t>
      </w:r>
      <w:r w:rsidR="00D2204D">
        <w:t xml:space="preserve">, </w:t>
      </w:r>
      <w:r w:rsidR="00D2204D">
        <w:rPr>
          <w:lang w:val="fr-FR"/>
        </w:rPr>
        <w:t xml:space="preserve">C-157/21, </w:t>
      </w:r>
      <w:r w:rsidR="00D2204D">
        <w:t xml:space="preserve">point 35 ; arrêt du 6 mars 2018, </w:t>
      </w:r>
      <w:proofErr w:type="spellStart"/>
      <w:r w:rsidR="00D2204D">
        <w:rPr>
          <w:i/>
          <w:iCs/>
        </w:rPr>
        <w:t>Achmea</w:t>
      </w:r>
      <w:proofErr w:type="spellEnd"/>
      <w:r w:rsidR="00D2204D">
        <w:t xml:space="preserve">, C-284/16, </w:t>
      </w:r>
      <w:proofErr w:type="gramStart"/>
      <w:r w:rsidR="00D2204D" w:rsidRPr="00D2204D">
        <w:t>EU:</w:t>
      </w:r>
      <w:proofErr w:type="gramEnd"/>
      <w:r w:rsidR="00D2204D" w:rsidRPr="00D2204D">
        <w:t>C:2018:158</w:t>
      </w:r>
      <w:r w:rsidR="00D2204D">
        <w:t xml:space="preserve">, point 34 ; avis du 18 décembre 2014, </w:t>
      </w:r>
      <w:r w:rsidR="00D2204D">
        <w:rPr>
          <w:i/>
          <w:iCs/>
        </w:rPr>
        <w:t>Adhésion de l’Union à la CEDH</w:t>
      </w:r>
      <w:r w:rsidR="00D2204D">
        <w:t xml:space="preserve">, 2/13, </w:t>
      </w:r>
      <w:r w:rsidR="00D2204D" w:rsidRPr="00D2204D">
        <w:rPr>
          <w:lang w:val="fr-FR"/>
        </w:rPr>
        <w:t>EU:C:2014:2454</w:t>
      </w:r>
      <w:r w:rsidR="00D2204D">
        <w:rPr>
          <w:lang w:val="fr-FR"/>
        </w:rPr>
        <w:t>, point 168.</w:t>
      </w:r>
    </w:p>
  </w:footnote>
  <w:footnote w:id="33">
    <w:p w14:paraId="4686C24A" w14:textId="19BB0683" w:rsidR="00461D62" w:rsidRPr="00383282" w:rsidRDefault="00461D62" w:rsidP="002666A3">
      <w:pPr>
        <w:pStyle w:val="FootnoteText"/>
        <w:jc w:val="both"/>
        <w:rPr>
          <w:lang w:val="fr-FR"/>
        </w:rPr>
      </w:pPr>
      <w:r>
        <w:rPr>
          <w:rStyle w:val="FootnoteReference"/>
        </w:rPr>
        <w:footnoteRef/>
      </w:r>
      <w:r w:rsidR="00AE1523">
        <w:t xml:space="preserve"> Arrêt du 25 juillet 2018, </w:t>
      </w:r>
      <w:proofErr w:type="spellStart"/>
      <w:r w:rsidR="00AE1523">
        <w:rPr>
          <w:i/>
          <w:iCs/>
        </w:rPr>
        <w:t>Minister</w:t>
      </w:r>
      <w:proofErr w:type="spellEnd"/>
      <w:r w:rsidR="00AE1523">
        <w:rPr>
          <w:i/>
          <w:iCs/>
        </w:rPr>
        <w:t xml:space="preserve"> for Justice and </w:t>
      </w:r>
      <w:proofErr w:type="spellStart"/>
      <w:r w:rsidR="00AE1523">
        <w:rPr>
          <w:i/>
          <w:iCs/>
        </w:rPr>
        <w:t>Equality</w:t>
      </w:r>
      <w:proofErr w:type="spellEnd"/>
      <w:r w:rsidR="00AE1523">
        <w:rPr>
          <w:i/>
          <w:iCs/>
        </w:rPr>
        <w:t xml:space="preserve"> (Défaillances du système judiciaire)</w:t>
      </w:r>
      <w:r w:rsidR="00AE1523">
        <w:t xml:space="preserve">, </w:t>
      </w:r>
      <w:r>
        <w:rPr>
          <w:lang w:val="fr-FR"/>
        </w:rPr>
        <w:t>C-216/18 PPU</w:t>
      </w:r>
      <w:r w:rsidR="0030145B">
        <w:rPr>
          <w:lang w:val="fr-FR"/>
        </w:rPr>
        <w:t>,</w:t>
      </w:r>
      <w:r w:rsidR="00AE1523">
        <w:rPr>
          <w:lang w:val="fr-FR"/>
        </w:rPr>
        <w:t xml:space="preserve"> </w:t>
      </w:r>
      <w:proofErr w:type="gramStart"/>
      <w:r w:rsidR="00AE1523">
        <w:rPr>
          <w:lang w:val="fr-FR"/>
        </w:rPr>
        <w:t>EU</w:t>
      </w:r>
      <w:r w:rsidR="005A06BD">
        <w:rPr>
          <w:lang w:val="fr-FR"/>
        </w:rPr>
        <w:t>:</w:t>
      </w:r>
      <w:proofErr w:type="gramEnd"/>
      <w:r w:rsidR="005A06BD">
        <w:rPr>
          <w:lang w:val="fr-FR"/>
        </w:rPr>
        <w:t xml:space="preserve">C:2018:586, point </w:t>
      </w:r>
      <w:r w:rsidR="0030145B">
        <w:rPr>
          <w:lang w:val="fr-FR"/>
        </w:rPr>
        <w:t>41</w:t>
      </w:r>
      <w:r w:rsidR="00383282">
        <w:rPr>
          <w:lang w:val="fr-FR"/>
        </w:rPr>
        <w:t xml:space="preserve">. </w:t>
      </w:r>
      <w:proofErr w:type="spellStart"/>
      <w:r w:rsidR="00383282">
        <w:rPr>
          <w:lang w:val="fr-FR"/>
        </w:rPr>
        <w:t>Voy</w:t>
      </w:r>
      <w:proofErr w:type="spellEnd"/>
      <w:r w:rsidR="00383282">
        <w:rPr>
          <w:lang w:val="fr-FR"/>
        </w:rPr>
        <w:t xml:space="preserve">., sur les exceptions à la confiance mutuelle, C. </w:t>
      </w:r>
      <w:proofErr w:type="spellStart"/>
      <w:r w:rsidR="00383282">
        <w:rPr>
          <w:lang w:val="fr-FR"/>
        </w:rPr>
        <w:t>Rizcallah</w:t>
      </w:r>
      <w:proofErr w:type="spellEnd"/>
      <w:r w:rsidR="00383282">
        <w:rPr>
          <w:lang w:val="fr-FR"/>
        </w:rPr>
        <w:t>, « </w:t>
      </w:r>
      <w:r w:rsidR="00383282" w:rsidRPr="00383282">
        <w:rPr>
          <w:lang w:val="fr-FR"/>
        </w:rPr>
        <w:t>La présomption, vice de l’ignorance ? L’avenir du principe de confiance mutuelle à l’heure de la crise des valeurs dans l’Union européenne</w:t>
      </w:r>
      <w:r w:rsidR="00383282">
        <w:rPr>
          <w:lang w:val="fr-FR"/>
        </w:rPr>
        <w:t xml:space="preserve"> », </w:t>
      </w:r>
      <w:r w:rsidR="00383282">
        <w:rPr>
          <w:i/>
          <w:iCs/>
          <w:lang w:val="fr-FR"/>
        </w:rPr>
        <w:t xml:space="preserve">JDE, </w:t>
      </w:r>
      <w:r w:rsidR="00383282">
        <w:rPr>
          <w:lang w:val="fr-FR"/>
        </w:rPr>
        <w:t>2020, pp. 386</w:t>
      </w:r>
      <w:r w:rsidR="00D5355C">
        <w:rPr>
          <w:lang w:val="fr-FR"/>
        </w:rPr>
        <w:t>-</w:t>
      </w:r>
      <w:r w:rsidR="00383282">
        <w:rPr>
          <w:lang w:val="fr-FR"/>
        </w:rPr>
        <w:t xml:space="preserve">393. </w:t>
      </w:r>
    </w:p>
  </w:footnote>
  <w:footnote w:id="34">
    <w:p w14:paraId="53B51264" w14:textId="07104E0E" w:rsidR="00542311" w:rsidRPr="00542311" w:rsidRDefault="00542311" w:rsidP="002666A3">
      <w:pPr>
        <w:pStyle w:val="FootnoteText"/>
        <w:jc w:val="both"/>
        <w:rPr>
          <w:lang w:val="fr-FR"/>
        </w:rPr>
      </w:pPr>
      <w:r>
        <w:rPr>
          <w:rStyle w:val="FootnoteReference"/>
        </w:rPr>
        <w:footnoteRef/>
      </w:r>
      <w:r>
        <w:t xml:space="preserve"> </w:t>
      </w:r>
      <w:r w:rsidR="005A06BD">
        <w:rPr>
          <w:lang w:val="fr-FR"/>
        </w:rPr>
        <w:t xml:space="preserve">Arrêt </w:t>
      </w:r>
      <w:proofErr w:type="spellStart"/>
      <w:r w:rsidR="005A06BD">
        <w:rPr>
          <w:i/>
          <w:iCs/>
        </w:rPr>
        <w:t>Minister</w:t>
      </w:r>
      <w:proofErr w:type="spellEnd"/>
      <w:r w:rsidR="005A06BD">
        <w:rPr>
          <w:i/>
          <w:iCs/>
        </w:rPr>
        <w:t xml:space="preserve"> for Justice and </w:t>
      </w:r>
      <w:proofErr w:type="spellStart"/>
      <w:r w:rsidR="005A06BD">
        <w:rPr>
          <w:i/>
          <w:iCs/>
        </w:rPr>
        <w:t>Equality</w:t>
      </w:r>
      <w:proofErr w:type="spellEnd"/>
      <w:r w:rsidR="005A06BD">
        <w:rPr>
          <w:i/>
          <w:iCs/>
        </w:rPr>
        <w:t xml:space="preserve"> (Défaillances du système judiciaire)</w:t>
      </w:r>
      <w:r w:rsidR="005A06BD">
        <w:t xml:space="preserve">, </w:t>
      </w:r>
      <w:r w:rsidR="005A06BD">
        <w:rPr>
          <w:lang w:val="fr-FR"/>
        </w:rPr>
        <w:t>C-216/18 PPU.</w:t>
      </w:r>
    </w:p>
  </w:footnote>
  <w:footnote w:id="35">
    <w:p w14:paraId="68D2078D" w14:textId="2B6BABBC" w:rsidR="00FB50E5" w:rsidRPr="008F447D" w:rsidRDefault="00FB50E5" w:rsidP="00FB50E5">
      <w:pPr>
        <w:pStyle w:val="FootnoteText"/>
        <w:rPr>
          <w:lang w:val="fr-FR"/>
        </w:rPr>
      </w:pPr>
      <w:r>
        <w:rPr>
          <w:rStyle w:val="FootnoteReference"/>
        </w:rPr>
        <w:footnoteRef/>
      </w:r>
      <w:r>
        <w:t xml:space="preserve"> </w:t>
      </w:r>
      <w:r>
        <w:fldChar w:fldCharType="begin"/>
      </w:r>
      <w:r>
        <w:instrText xml:space="preserve"> ADDIN ZOTERO_ITEM CSL_CITATION {"citationID":"qzB8vO1K","properties":{"formattedCitation":"B.\\uc0\\u160{}{\\scaps Riedl}, \\uc0\\u171{}\\uc0\\u160{}Who Guards the Values?\\uc0\\u160{}\\uc0\\u187{}, {\\i{}op.\\uc0\\u160{}cit.}","plainCitation":"B. Riedl, « Who Guards the Values? », op. cit.","noteIndex":28},"citationItems":[{"id":3090,"uris":["http://zotero.org/users/15572827/items/MDI3WWZ3"],"itemData":{"id":3090,"type":"article-journal","abstract":"In C-769/22 the CJEU, for the first time, finds a self-standing breach of Article 2 TEU and subordinates Article 4(2) TEU to it. The post argues this bypasses the limit of conferral, opens a parallel track to Article 7 TEU, and is unpersuasive on doctrinal and legitimacy grounds.","container-title":"European Law Blog","DOI":"10.21428/9885764c.9cf51152","language":"en","note":"publisher: European Law Blog","source":"www.europeanlawblog.eu","title":"Who Guards the Values? The Court’s Article 2 TEU Turn","title-short":"Who Guards the Values?","URL":"https://www.europeanlawblog.eu/pub/mabhxuju/release/1","author":[{"family":"Riedl","given":"Benedikt"}],"accessed":{"date-parts":[["2026",4,27]]},"issued":{"date-parts":[["2026",4,23]]}}}],"schema":"https://github.com/citation-style-language/schema/raw/master/csl-citation.json"} </w:instrText>
      </w:r>
      <w:r>
        <w:fldChar w:fldCharType="separate"/>
      </w:r>
      <w:r w:rsidRPr="003C0F3B">
        <w:rPr>
          <w:rFonts w:cs="Times New Roman"/>
          <w:kern w:val="0"/>
        </w:rPr>
        <w:t>B. </w:t>
      </w:r>
      <w:proofErr w:type="spellStart"/>
      <w:r w:rsidRPr="00DC0163">
        <w:rPr>
          <w:rFonts w:cs="Times New Roman"/>
          <w:kern w:val="0"/>
        </w:rPr>
        <w:t>Riedl</w:t>
      </w:r>
      <w:proofErr w:type="spellEnd"/>
      <w:r w:rsidRPr="003C0F3B">
        <w:rPr>
          <w:rFonts w:cs="Times New Roman"/>
          <w:kern w:val="0"/>
        </w:rPr>
        <w:t xml:space="preserve">, </w:t>
      </w:r>
      <w:r w:rsidRPr="003C0F3B">
        <w:rPr>
          <w:rFonts w:cs="Times New Roman"/>
          <w:i/>
          <w:iCs/>
          <w:kern w:val="0"/>
        </w:rPr>
        <w:t>op. </w:t>
      </w:r>
      <w:proofErr w:type="spellStart"/>
      <w:proofErr w:type="gramStart"/>
      <w:r w:rsidRPr="003C0F3B">
        <w:rPr>
          <w:rFonts w:cs="Times New Roman"/>
          <w:i/>
          <w:iCs/>
          <w:kern w:val="0"/>
        </w:rPr>
        <w:t>cit</w:t>
      </w:r>
      <w:proofErr w:type="spellEnd"/>
      <w:proofErr w:type="gramEnd"/>
      <w:r w:rsidRPr="003C0F3B">
        <w:rPr>
          <w:rFonts w:cs="Times New Roman"/>
          <w:i/>
          <w:iCs/>
          <w:kern w:val="0"/>
        </w:rPr>
        <w:t>.</w:t>
      </w:r>
      <w:r>
        <w:fldChar w:fldCharType="end"/>
      </w:r>
      <w:r>
        <w:t xml:space="preserve"> </w:t>
      </w:r>
    </w:p>
  </w:footnote>
  <w:footnote w:id="36">
    <w:p w14:paraId="5BC76D02" w14:textId="2D777000" w:rsidR="004B57DD" w:rsidRPr="005A06BD" w:rsidRDefault="004B57DD" w:rsidP="00DC0163">
      <w:pPr>
        <w:pStyle w:val="FootnoteText"/>
        <w:jc w:val="both"/>
        <w:rPr>
          <w:lang w:val="fr-FR"/>
        </w:rPr>
      </w:pPr>
      <w:r>
        <w:rPr>
          <w:rStyle w:val="FootnoteReference"/>
        </w:rPr>
        <w:footnoteRef/>
      </w:r>
      <w:r>
        <w:t xml:space="preserve"> </w:t>
      </w:r>
      <w:r w:rsidR="005A06BD">
        <w:rPr>
          <w:lang w:val="fr-FR"/>
        </w:rPr>
        <w:t>Règlement (UE, Euratom) du Parlement européen et du Conseil, du 16 décembre 2020, relatif à un régime général de conditionnalité pour la protection du budget de l’Union</w:t>
      </w:r>
      <w:r w:rsidR="00E55D00">
        <w:rPr>
          <w:lang w:val="fr-FR"/>
        </w:rPr>
        <w:t xml:space="preserve"> (</w:t>
      </w:r>
      <w:r w:rsidR="003B597F">
        <w:rPr>
          <w:lang w:val="fr-FR"/>
        </w:rPr>
        <w:t>JO,</w:t>
      </w:r>
      <w:r w:rsidR="005A06BD">
        <w:rPr>
          <w:lang w:val="fr-FR"/>
        </w:rPr>
        <w:t xml:space="preserve"> 2020, L 433I, p. 1</w:t>
      </w:r>
      <w:r w:rsidR="00E55D00">
        <w:rPr>
          <w:lang w:val="fr-FR"/>
        </w:rPr>
        <w:t>)</w:t>
      </w:r>
      <w:r w:rsidR="005A06BD">
        <w:rPr>
          <w:lang w:val="fr-FR"/>
        </w:rPr>
        <w:t>.</w:t>
      </w:r>
      <w:r w:rsidR="005F1792">
        <w:rPr>
          <w:lang w:val="fr-FR"/>
        </w:rPr>
        <w:t xml:space="preserve"> </w:t>
      </w:r>
    </w:p>
  </w:footnote>
  <w:footnote w:id="37">
    <w:p w14:paraId="0CA47E31" w14:textId="3C806EB1" w:rsidR="005F1792" w:rsidRPr="00BB2519" w:rsidRDefault="005F1792">
      <w:pPr>
        <w:pStyle w:val="FootnoteText"/>
        <w:rPr>
          <w:lang w:val="fr-FR"/>
        </w:rPr>
      </w:pPr>
      <w:r>
        <w:rPr>
          <w:rStyle w:val="FootnoteReference"/>
        </w:rPr>
        <w:footnoteRef/>
      </w:r>
      <w:r>
        <w:t xml:space="preserve"> Arrêt </w:t>
      </w:r>
      <w:r>
        <w:rPr>
          <w:i/>
          <w:iCs/>
        </w:rPr>
        <w:t>Hongrie / Parlement et Conseil</w:t>
      </w:r>
      <w:r>
        <w:t xml:space="preserve">, C-156/21, point 174 et arrêt </w:t>
      </w:r>
      <w:r>
        <w:rPr>
          <w:i/>
          <w:iCs/>
        </w:rPr>
        <w:t>Pologne / Parlement et Conseil</w:t>
      </w:r>
      <w:r>
        <w:t xml:space="preserve">, </w:t>
      </w:r>
      <w:r>
        <w:rPr>
          <w:lang w:val="fr-FR"/>
        </w:rPr>
        <w:t xml:space="preserve">C-157/21, point </w:t>
      </w:r>
      <w:r w:rsidR="0080087A">
        <w:rPr>
          <w:lang w:val="fr-FR"/>
        </w:rPr>
        <w:t>213.</w:t>
      </w:r>
    </w:p>
  </w:footnote>
  <w:footnote w:id="38">
    <w:p w14:paraId="72FDC119" w14:textId="3B78DCF1" w:rsidR="00E06EDC" w:rsidRPr="00BB2519" w:rsidRDefault="00E06EDC">
      <w:pPr>
        <w:pStyle w:val="FootnoteText"/>
        <w:rPr>
          <w:lang w:val="fr-FR"/>
        </w:rPr>
      </w:pPr>
      <w:r>
        <w:rPr>
          <w:rStyle w:val="FootnoteReference"/>
        </w:rPr>
        <w:footnoteRef/>
      </w:r>
      <w:r>
        <w:t xml:space="preserve"> Arrêt </w:t>
      </w:r>
      <w:r>
        <w:rPr>
          <w:i/>
          <w:iCs/>
        </w:rPr>
        <w:t>Hongrie / Parlement et Conseil</w:t>
      </w:r>
      <w:r>
        <w:t xml:space="preserve">, C-156/21, point 176 et arrêt </w:t>
      </w:r>
      <w:r>
        <w:rPr>
          <w:i/>
          <w:iCs/>
        </w:rPr>
        <w:t>Pologne / Parlement et Conseil</w:t>
      </w:r>
      <w:r>
        <w:t xml:space="preserve">, </w:t>
      </w:r>
      <w:r>
        <w:rPr>
          <w:lang w:val="fr-FR"/>
        </w:rPr>
        <w:t>C-157/21, point 215.</w:t>
      </w:r>
    </w:p>
  </w:footnote>
  <w:footnote w:id="39">
    <w:p w14:paraId="6C56AD0B" w14:textId="50757F31" w:rsidR="00E06EDC" w:rsidRPr="00BB2519" w:rsidRDefault="00E06EDC">
      <w:pPr>
        <w:pStyle w:val="FootnoteText"/>
        <w:rPr>
          <w:lang w:val="fr-FR"/>
        </w:rPr>
      </w:pPr>
      <w:r>
        <w:rPr>
          <w:rStyle w:val="FootnoteReference"/>
        </w:rPr>
        <w:footnoteRef/>
      </w:r>
      <w:r>
        <w:t xml:space="preserve"> Arrêt du 20 avril 2021, </w:t>
      </w:r>
      <w:proofErr w:type="spellStart"/>
      <w:r>
        <w:rPr>
          <w:i/>
          <w:iCs/>
        </w:rPr>
        <w:t>Repubblika</w:t>
      </w:r>
      <w:proofErr w:type="spellEnd"/>
      <w:r>
        <w:t xml:space="preserve">, C-896/19, </w:t>
      </w:r>
      <w:proofErr w:type="gramStart"/>
      <w:r w:rsidRPr="00E06EDC">
        <w:t>EU:</w:t>
      </w:r>
      <w:proofErr w:type="gramEnd"/>
      <w:r w:rsidRPr="00E06EDC">
        <w:t>C:2021:311</w:t>
      </w:r>
      <w:r>
        <w:t xml:space="preserve">. </w:t>
      </w:r>
    </w:p>
  </w:footnote>
  <w:footnote w:id="40">
    <w:p w14:paraId="7DEDD613" w14:textId="67CF0FC3" w:rsidR="009954A5" w:rsidRPr="00742C38" w:rsidRDefault="009954A5" w:rsidP="002666A3">
      <w:pPr>
        <w:pStyle w:val="FootnoteText"/>
        <w:jc w:val="both"/>
        <w:rPr>
          <w:lang w:val="en-US"/>
        </w:rPr>
      </w:pPr>
      <w:r>
        <w:rPr>
          <w:rStyle w:val="FootnoteReference"/>
        </w:rPr>
        <w:footnoteRef/>
      </w:r>
      <w:r>
        <w:t xml:space="preserve"> </w:t>
      </w:r>
      <w:r>
        <w:fldChar w:fldCharType="begin"/>
      </w:r>
      <w:r>
        <w:instrText xml:space="preserve"> ADDIN ZOTERO_ITEM CSL_CITATION {"citationID":"cDq48dP3","properties":{"formattedCitation":"M.\\uc0\\u160{}{\\scaps van den}\\uc0\\u160{}{\\scaps Brink}, \\uc0\\u171{}\\uc0\\u160{}A Constitutional Court without a Constitutional Compass\\uc0\\u160{}\\uc0\\u187{}, {\\i{}Verfassungsblog}, 24\\uc0\\u160{}avril 2026\\uc0\\u160{}; J.\\uc0\\u160{}{\\scaps Scholtes}, \\uc0\\u171{}\\uc0\\u160{}Constitutionalising the end of history? Pitfalls of a non-regression principle for Article 2 TEU\\uc0\\u160{}\\uc0\\u187{}, {\\i{}Eur. Const. Law Rev.}, mars 2023, vol.\\uc0\\u160{}19, n\\super o\\nosupersub{}\\uc0\\u160{}1, pp.\\uc0\\u160{}82\\uc0\\u8209{}83.","plainCitation":"M. van den Brink, « A Constitutional Court without a Constitutional Compass », Verfassungsblog, 24 avril 2026 ; J. Scholtes, « Constitutionalising the end of history? Pitfalls of a non-regression principle for Article 2 TEU », Eur. Const. Law Rev., mars 2023, vol. 19, no 1, pp. 82‑83.","noteIndex":30},"citationItems":[{"id":3092,"uris":["http://zotero.org/users/15572827/items/HV62YXYV"],"itemData":{"id":3092,"type":"article-journal","abstract":"The ruling in the case of the Commission v. Hungary was eagerly awaited by many, but it will have come as a surprise to few. Public statements by prominent members of the EU Court of Justice indicated a clear desire to extend the applicability of Article 2 TEU. The Court’s findings regarding the Commission’s pleas concerning infringements of the various acts of secondary law are well-motivated, but its reasoning on Article 2 TEU clearly demonstrates the suffocating grip of EU constitutional orthodoxy.","container-title":"Verfassungsblog","DOI":"10.59704/2b2bfaa56c4b4ead","ISSN":"2366-7044","language":"eng","license":"CC BY-SA 4.0","note":"publisher: Verfassungsblog","source":"verfassungsblog.de","title":"A Constitutional Court without a Constitutional Compass","URL":"https://verfassungsblog.de/a-constitutional-court-without-a-constitutional-compass/","author":[{"family":"Brink","given":"Martijn","non-dropping-particle":"van den"}],"accessed":{"date-parts":[["2026",4,27]]},"issued":{"date-parts":[["2026",4,24]]}},"label":"page"},{"id":2886,"uris":["http://zotero.org/users/15572827/items/YSMSZQP5"],"itemData":{"id":2886,"type":"article-journal","abstract":"Enforcement and conceptualisation of Article 2 TEU values – Rule of law – A non-regression principle for EU values faces significant pitfalls – Limits of the ‘backsliding’ paradigm informing doctrinal developments under Article 2 TEU – Inadequacy of a progress/regression trajectory as a lens for constitutional developments – Complexity of Article 2 values threatens to render regression assessments simplistic – Non-regression and the equality of member states – Potential conflicts between non-regression and minimum standards as tests for Article 2 compliance","container-title":"European Constitutional Law Review","DOI":"10.1017/S1574019622000451","ISSN":"1574-0196, 1744-5515","issue":"1","journalAbbreviation":"European Constitutional Law Review","language":"en","license":"https://www.cambridge.org/core/terms","page":"59-87","source":"DOI.org (Crossref)","title":"Constitutionalising the end of history? Pitfalls of a non-regression principle for Article 2 TEU","title-short":"Constitutionalising the end of history?","volume":"19","author":[{"family":"Scholtes","given":"Julian"}],"issued":{"date-parts":[["2023",3]]}},"locator":"82-83","label":"page"}],"schema":"https://github.com/citation-style-language/schema/raw/master/csl-citation.json"} </w:instrText>
      </w:r>
      <w:r>
        <w:fldChar w:fldCharType="separate"/>
      </w:r>
      <w:r w:rsidRPr="009954A5">
        <w:rPr>
          <w:rFonts w:cs="Times New Roman"/>
          <w:kern w:val="0"/>
        </w:rPr>
        <w:t>M. </w:t>
      </w:r>
      <w:r w:rsidRPr="00DC0163">
        <w:rPr>
          <w:rFonts w:cs="Times New Roman"/>
          <w:kern w:val="0"/>
        </w:rPr>
        <w:t>van den</w:t>
      </w:r>
      <w:r w:rsidRPr="005A06BD">
        <w:rPr>
          <w:rFonts w:cs="Times New Roman"/>
          <w:kern w:val="0"/>
        </w:rPr>
        <w:t> </w:t>
      </w:r>
      <w:r w:rsidRPr="00DC0163">
        <w:rPr>
          <w:rFonts w:cs="Times New Roman"/>
          <w:kern w:val="0"/>
        </w:rPr>
        <w:t>Brink</w:t>
      </w:r>
      <w:r w:rsidRPr="009954A5">
        <w:rPr>
          <w:rFonts w:cs="Times New Roman"/>
          <w:kern w:val="0"/>
        </w:rPr>
        <w:t xml:space="preserve">, « A </w:t>
      </w:r>
      <w:proofErr w:type="spellStart"/>
      <w:r w:rsidRPr="009954A5">
        <w:rPr>
          <w:rFonts w:cs="Times New Roman"/>
          <w:kern w:val="0"/>
        </w:rPr>
        <w:t>Constitutional</w:t>
      </w:r>
      <w:proofErr w:type="spellEnd"/>
      <w:r w:rsidRPr="009954A5">
        <w:rPr>
          <w:rFonts w:cs="Times New Roman"/>
          <w:kern w:val="0"/>
        </w:rPr>
        <w:t xml:space="preserve"> Court </w:t>
      </w:r>
      <w:proofErr w:type="spellStart"/>
      <w:r w:rsidRPr="009954A5">
        <w:rPr>
          <w:rFonts w:cs="Times New Roman"/>
          <w:kern w:val="0"/>
        </w:rPr>
        <w:t>without</w:t>
      </w:r>
      <w:proofErr w:type="spellEnd"/>
      <w:r w:rsidRPr="009954A5">
        <w:rPr>
          <w:rFonts w:cs="Times New Roman"/>
          <w:kern w:val="0"/>
        </w:rPr>
        <w:t xml:space="preserve"> a </w:t>
      </w:r>
      <w:proofErr w:type="spellStart"/>
      <w:r w:rsidRPr="009954A5">
        <w:rPr>
          <w:rFonts w:cs="Times New Roman"/>
          <w:kern w:val="0"/>
        </w:rPr>
        <w:t>Constitutional</w:t>
      </w:r>
      <w:proofErr w:type="spellEnd"/>
      <w:r w:rsidRPr="009954A5">
        <w:rPr>
          <w:rFonts w:cs="Times New Roman"/>
          <w:kern w:val="0"/>
        </w:rPr>
        <w:t xml:space="preserve"> Compass », </w:t>
      </w:r>
      <w:proofErr w:type="spellStart"/>
      <w:r w:rsidRPr="009954A5">
        <w:rPr>
          <w:rFonts w:cs="Times New Roman"/>
          <w:i/>
          <w:iCs/>
          <w:kern w:val="0"/>
        </w:rPr>
        <w:t>Verfassungsblog</w:t>
      </w:r>
      <w:proofErr w:type="spellEnd"/>
      <w:r w:rsidRPr="009954A5">
        <w:rPr>
          <w:rFonts w:cs="Times New Roman"/>
          <w:kern w:val="0"/>
        </w:rPr>
        <w:t>, 24 avril 2026 ; J. </w:t>
      </w:r>
      <w:proofErr w:type="spellStart"/>
      <w:r w:rsidRPr="00DC0163">
        <w:rPr>
          <w:rFonts w:cs="Times New Roman"/>
          <w:kern w:val="0"/>
        </w:rPr>
        <w:t>Scholtes</w:t>
      </w:r>
      <w:proofErr w:type="spellEnd"/>
      <w:r w:rsidRPr="009954A5">
        <w:rPr>
          <w:rFonts w:cs="Times New Roman"/>
          <w:kern w:val="0"/>
        </w:rPr>
        <w:t>, « </w:t>
      </w:r>
      <w:proofErr w:type="spellStart"/>
      <w:r w:rsidRPr="009954A5">
        <w:rPr>
          <w:rFonts w:cs="Times New Roman"/>
          <w:kern w:val="0"/>
        </w:rPr>
        <w:t>Constitutionalising</w:t>
      </w:r>
      <w:proofErr w:type="spellEnd"/>
      <w:r w:rsidRPr="009954A5">
        <w:rPr>
          <w:rFonts w:cs="Times New Roman"/>
          <w:kern w:val="0"/>
        </w:rPr>
        <w:t xml:space="preserve"> the end of </w:t>
      </w:r>
      <w:proofErr w:type="spellStart"/>
      <w:proofErr w:type="gramStart"/>
      <w:r w:rsidRPr="009954A5">
        <w:rPr>
          <w:rFonts w:cs="Times New Roman"/>
          <w:kern w:val="0"/>
        </w:rPr>
        <w:t>history</w:t>
      </w:r>
      <w:proofErr w:type="spellEnd"/>
      <w:r w:rsidRPr="009954A5">
        <w:rPr>
          <w:rFonts w:cs="Times New Roman"/>
          <w:kern w:val="0"/>
        </w:rPr>
        <w:t>?</w:t>
      </w:r>
      <w:proofErr w:type="gramEnd"/>
      <w:r w:rsidRPr="009954A5">
        <w:rPr>
          <w:rFonts w:cs="Times New Roman"/>
          <w:kern w:val="0"/>
        </w:rPr>
        <w:t xml:space="preserve"> </w:t>
      </w:r>
      <w:r w:rsidRPr="00742C38">
        <w:rPr>
          <w:rFonts w:cs="Times New Roman"/>
          <w:kern w:val="0"/>
          <w:lang w:val="en-US"/>
        </w:rPr>
        <w:t xml:space="preserve">Pitfalls of a non-regression principle for Article 2 TEU », </w:t>
      </w:r>
      <w:r w:rsidRPr="00742C38">
        <w:rPr>
          <w:rFonts w:cs="Times New Roman"/>
          <w:i/>
          <w:iCs/>
          <w:kern w:val="0"/>
          <w:lang w:val="en-US"/>
        </w:rPr>
        <w:t>Eur. Const. Law Rev.</w:t>
      </w:r>
      <w:r w:rsidRPr="00742C38">
        <w:rPr>
          <w:rFonts w:cs="Times New Roman"/>
          <w:kern w:val="0"/>
          <w:lang w:val="en-US"/>
        </w:rPr>
        <w:t>, 2023, vol. 19, n</w:t>
      </w:r>
      <w:r w:rsidRPr="00742C38">
        <w:rPr>
          <w:rFonts w:cs="Times New Roman"/>
          <w:kern w:val="0"/>
          <w:vertAlign w:val="superscript"/>
          <w:lang w:val="en-US"/>
        </w:rPr>
        <w:t>o</w:t>
      </w:r>
      <w:r w:rsidRPr="00742C38">
        <w:rPr>
          <w:rFonts w:cs="Times New Roman"/>
          <w:kern w:val="0"/>
          <w:lang w:val="en-US"/>
        </w:rPr>
        <w:t> 1, pp. 82‑83.</w:t>
      </w:r>
      <w:r>
        <w:fldChar w:fldCharType="end"/>
      </w:r>
    </w:p>
  </w:footnote>
  <w:footnote w:id="41">
    <w:p w14:paraId="008BFE49" w14:textId="0D9C8947" w:rsidR="00EE430D" w:rsidRPr="00DC4B8E" w:rsidRDefault="00EE430D" w:rsidP="002666A3">
      <w:pPr>
        <w:pStyle w:val="FootnoteText"/>
        <w:jc w:val="both"/>
        <w:rPr>
          <w:lang w:val="fr-FR"/>
        </w:rPr>
      </w:pPr>
      <w:r>
        <w:rPr>
          <w:rStyle w:val="FootnoteReference"/>
        </w:rPr>
        <w:footnoteRef/>
      </w:r>
      <w:r w:rsidRPr="00742C38">
        <w:rPr>
          <w:lang w:val="en-US"/>
        </w:rPr>
        <w:t xml:space="preserve"> </w:t>
      </w:r>
      <w:r>
        <w:fldChar w:fldCharType="begin"/>
      </w:r>
      <w:r w:rsidRPr="00742C38">
        <w:rPr>
          <w:lang w:val="en-US"/>
        </w:rPr>
        <w:instrText xml:space="preserve"> ADDIN ZOTERO_ITEM CSL_CITATION {"citationID":"iQtgrey5","properties":{"formattedCitation":"S.\\uc0\\u160{}{\\scaps Rehling Larsen}, \\uc0\\u171{}\\uc0\\u160{}The erosion of constitutional tolerance\\uc0\\u160{}\\uc0\\u187{}, {\\i{}Int. J. Const. Law}, 12\\uc0\\u160{}f\\uc0\\u233{}vrier 2026, p.\\uc0\\u160{}14.","plainCitation":"S. Rehling Larsen, « The erosion of constitutional tolerance », Int. J. Const. Law, 12 février 2026, p. 14.","noteIndex":19},"citationItems":[{"id":2833,"uris":["http://zotero.org/users/15572827/items/89EVDVEZ"],"itemData":{"id":2833,"type":"article-journal","abstract":"Abstract\n            Constitutional tolerance—the voluntary subordination of member states to EU law—was once the normative hallmark of the European Union’s constitutional order. This hallmark is now eroding: subordination of member states to EU law is in question, and so is its voluntary character. Against this backdrop, the article revisits a long-neglected question: what are the foundations of constitutional tolerance in Europe? Drawing on federal theory, it shows that constitutional tolerance depends on a precarious federal balance between contradictory commitments to unity and diversity. The article argues that the Court of Justice of the European Union is developing article 2 of the Treaty on European Union (TEU) into a judicially enforceable guarantee clause as a means of governing this tension through the defense of a constitutional project shared by the member states. However, this approach is associated with an often-overlooked challenge in the European Union: the member states are characterized by different varieties of constitutionalism, with radically different conceptions of the constitutional ideas set out in article 2 TEU, including democracy and the rule of law. While the judicial enforcement of shared values may serve as a mechanism of constitutional defense, it also risks displacing the federal balance on which constitutional tolerance ultimately depends.","container-title":"International Journal Of Constitutional Law","DOI":"10.1093/icon/moaf064","ISSN":"1474-2640, 1474-2659","language":"en","license":"https://academic.oup.com/pages/standard-publication-reuse-rights","page":"moaf064","source":"DOI.org (Crossref)","title":"The erosion of constitutional tolerance","author":[{"family":"Rehling Larsen","given":"Signe"}],"issued":{"date-parts":[["2026",2,12]]}},"locator":"14"}],"schema":"https://github.com/citation-style-language/schema/raw/master/csl-citation.json"} </w:instrText>
      </w:r>
      <w:r>
        <w:fldChar w:fldCharType="separate"/>
      </w:r>
      <w:r w:rsidRPr="00742C38">
        <w:rPr>
          <w:rFonts w:cs="Times New Roman"/>
          <w:kern w:val="0"/>
          <w:lang w:val="en-US"/>
        </w:rPr>
        <w:t>S. </w:t>
      </w:r>
      <w:proofErr w:type="spellStart"/>
      <w:r w:rsidRPr="00742C38">
        <w:rPr>
          <w:rFonts w:cs="Times New Roman"/>
          <w:kern w:val="0"/>
          <w:lang w:val="en-US"/>
        </w:rPr>
        <w:t>Rehling</w:t>
      </w:r>
      <w:proofErr w:type="spellEnd"/>
      <w:r w:rsidRPr="00742C38">
        <w:rPr>
          <w:rFonts w:cs="Times New Roman"/>
          <w:kern w:val="0"/>
          <w:lang w:val="en-US"/>
        </w:rPr>
        <w:t xml:space="preserve"> Larsen, « The erosion of constitutional tolerance », </w:t>
      </w:r>
      <w:r w:rsidRPr="00742C38">
        <w:rPr>
          <w:rFonts w:cs="Times New Roman"/>
          <w:i/>
          <w:iCs/>
          <w:kern w:val="0"/>
          <w:lang w:val="en-US"/>
        </w:rPr>
        <w:t xml:space="preserve">Int. J. Const. </w:t>
      </w:r>
      <w:r w:rsidRPr="00DC4B8E">
        <w:rPr>
          <w:rFonts w:cs="Times New Roman"/>
          <w:i/>
          <w:iCs/>
          <w:kern w:val="0"/>
        </w:rPr>
        <w:t>Law</w:t>
      </w:r>
      <w:r w:rsidRPr="00DC4B8E">
        <w:rPr>
          <w:rFonts w:cs="Times New Roman"/>
          <w:kern w:val="0"/>
        </w:rPr>
        <w:t>, 2026, p. 14.</w:t>
      </w:r>
      <w:r>
        <w:fldChar w:fldCharType="end"/>
      </w:r>
    </w:p>
  </w:footnote>
  <w:footnote w:id="42">
    <w:p w14:paraId="54924DFA" w14:textId="27A38A0F" w:rsidR="00232BF1" w:rsidRPr="00BB2519" w:rsidRDefault="00232BF1">
      <w:pPr>
        <w:pStyle w:val="FootnoteText"/>
        <w:rPr>
          <w:lang w:val="fr-FR"/>
        </w:rPr>
      </w:pPr>
      <w:r>
        <w:rPr>
          <w:rStyle w:val="FootnoteReference"/>
        </w:rPr>
        <w:footnoteRef/>
      </w:r>
      <w:r>
        <w:t xml:space="preserve"> Arrêt du 22 février 2022, </w:t>
      </w:r>
      <w:r>
        <w:rPr>
          <w:i/>
          <w:iCs/>
        </w:rPr>
        <w:t>RS (Effet des arrêts d’une cour constitutionnelle)</w:t>
      </w:r>
      <w:r>
        <w:t xml:space="preserve">, </w:t>
      </w:r>
      <w:r>
        <w:rPr>
          <w:lang w:val="fr-FR"/>
        </w:rPr>
        <w:t xml:space="preserve">C-430/21, </w:t>
      </w:r>
      <w:proofErr w:type="gramStart"/>
      <w:r w:rsidRPr="005A06BD">
        <w:t>EU:</w:t>
      </w:r>
      <w:proofErr w:type="gramEnd"/>
      <w:r w:rsidRPr="005A06BD">
        <w:t>C:2022:99</w:t>
      </w:r>
      <w:r>
        <w:t>.</w:t>
      </w:r>
    </w:p>
  </w:footnote>
  <w:footnote w:id="43">
    <w:p w14:paraId="56D6399F" w14:textId="3E6B59E1" w:rsidR="00232BF1" w:rsidRPr="00BB2519" w:rsidRDefault="00232BF1">
      <w:pPr>
        <w:pStyle w:val="FootnoteText"/>
        <w:rPr>
          <w:lang w:val="fr-FR"/>
        </w:rPr>
      </w:pPr>
      <w:r>
        <w:rPr>
          <w:rStyle w:val="FootnoteReference"/>
        </w:rPr>
        <w:footnoteRef/>
      </w:r>
      <w:r>
        <w:t xml:space="preserve"> Arrêt du 18 décembre 2025, </w:t>
      </w:r>
      <w:r>
        <w:rPr>
          <w:i/>
          <w:iCs/>
          <w:lang w:val="fr-FR"/>
        </w:rPr>
        <w:t>Commission c. Pologne (contrôle ultra vires de la jurisprudence de la Cour de justice par une cour constitutionnelle)</w:t>
      </w:r>
      <w:r>
        <w:rPr>
          <w:lang w:val="fr-FR"/>
        </w:rPr>
        <w:t xml:space="preserve">, C-448/23, </w:t>
      </w:r>
      <w:proofErr w:type="gramStart"/>
      <w:r w:rsidRPr="005A06BD">
        <w:t>EU:</w:t>
      </w:r>
      <w:proofErr w:type="gramEnd"/>
      <w:r w:rsidRPr="005A06BD">
        <w:t>C:</w:t>
      </w:r>
      <w:r>
        <w:t>2025:975.</w:t>
      </w:r>
    </w:p>
  </w:footnote>
  <w:footnote w:id="44">
    <w:p w14:paraId="15A6E833" w14:textId="65D4ED32" w:rsidR="00EE430D" w:rsidRPr="006E56A6" w:rsidRDefault="00EE430D" w:rsidP="002666A3">
      <w:pPr>
        <w:pStyle w:val="FootnoteText"/>
        <w:jc w:val="both"/>
        <w:rPr>
          <w:lang w:val="fr-FR"/>
        </w:rPr>
      </w:pPr>
      <w:r>
        <w:rPr>
          <w:rStyle w:val="FootnoteReference"/>
        </w:rPr>
        <w:footnoteRef/>
      </w:r>
      <w:r>
        <w:t xml:space="preserve"> </w:t>
      </w:r>
      <w:r w:rsidR="005A06BD">
        <w:t xml:space="preserve">Arrêt </w:t>
      </w:r>
      <w:r w:rsidR="005A06BD">
        <w:rPr>
          <w:i/>
          <w:iCs/>
        </w:rPr>
        <w:t>RS (Effet des arrêts d’une cour constitutionnelle)</w:t>
      </w:r>
      <w:r w:rsidR="005A06BD">
        <w:t xml:space="preserve">, </w:t>
      </w:r>
      <w:r>
        <w:rPr>
          <w:lang w:val="fr-FR"/>
        </w:rPr>
        <w:t>C-430/21</w:t>
      </w:r>
      <w:r w:rsidR="005A06BD">
        <w:rPr>
          <w:lang w:val="fr-FR"/>
        </w:rPr>
        <w:t>, point</w:t>
      </w:r>
      <w:r>
        <w:rPr>
          <w:lang w:val="fr-FR"/>
        </w:rPr>
        <w:t xml:space="preserve"> 43 : </w:t>
      </w:r>
      <w:r>
        <w:t>(« […] dans le choix de leur modèle constitutionnel respectif, les États membres sont tenus de se conformer, notamment, à l’exigence d’indépendance des juridictions qui découle de ces dispositions du droit de l’Union [art. 2 et 19 TUE] »</w:t>
      </w:r>
      <w:r w:rsidR="00D5355C">
        <w:t xml:space="preserve"> et a</w:t>
      </w:r>
      <w:r w:rsidR="005A06BD">
        <w:t xml:space="preserve">rrêt </w:t>
      </w:r>
      <w:r>
        <w:rPr>
          <w:i/>
          <w:iCs/>
          <w:lang w:val="fr-FR"/>
        </w:rPr>
        <w:t>Commission c. Pologne (contrôle ultra vires de la jurisprudence de la Cour de justice par une cour constitutionnelle)</w:t>
      </w:r>
      <w:r>
        <w:rPr>
          <w:lang w:val="fr-FR"/>
        </w:rPr>
        <w:t>, C-448/23,</w:t>
      </w:r>
      <w:r w:rsidR="005A06BD">
        <w:rPr>
          <w:lang w:val="fr-FR"/>
        </w:rPr>
        <w:t xml:space="preserve"> </w:t>
      </w:r>
      <w:r w:rsidR="005A06BD">
        <w:t>point</w:t>
      </w:r>
      <w:r w:rsidR="005A06BD">
        <w:rPr>
          <w:lang w:val="fr-FR"/>
        </w:rPr>
        <w:t> </w:t>
      </w:r>
      <w:r>
        <w:rPr>
          <w:lang w:val="fr-FR"/>
        </w:rPr>
        <w:t>191</w:t>
      </w:r>
      <w:r w:rsidR="005A06BD">
        <w:rPr>
          <w:lang w:val="fr-FR"/>
        </w:rPr>
        <w:t>.</w:t>
      </w:r>
    </w:p>
  </w:footnote>
  <w:footnote w:id="45">
    <w:p w14:paraId="3F26B06A" w14:textId="071D00AA" w:rsidR="00EE430D" w:rsidRPr="0087646C" w:rsidRDefault="00EE430D" w:rsidP="002666A3">
      <w:pPr>
        <w:pStyle w:val="FootnoteText"/>
        <w:jc w:val="both"/>
        <w:rPr>
          <w:lang w:val="fr-FR"/>
        </w:rPr>
      </w:pPr>
      <w:r>
        <w:rPr>
          <w:rStyle w:val="FootnoteReference"/>
        </w:rPr>
        <w:footnoteRef/>
      </w:r>
      <w:r>
        <w:t xml:space="preserve"> </w:t>
      </w:r>
      <w:r w:rsidR="005A06BD">
        <w:t xml:space="preserve">Arrêt </w:t>
      </w:r>
      <w:r>
        <w:rPr>
          <w:i/>
          <w:iCs/>
          <w:lang w:val="fr-FR"/>
        </w:rPr>
        <w:t>Commission c. Pologne (contrôle ultra vires de la jurisprudence de la Cour de justice par une cour constitutionnelle)</w:t>
      </w:r>
      <w:r>
        <w:rPr>
          <w:lang w:val="fr-FR"/>
        </w:rPr>
        <w:t xml:space="preserve">, C-448/23, </w:t>
      </w:r>
      <w:r w:rsidR="005A06BD">
        <w:rPr>
          <w:lang w:val="fr-FR"/>
        </w:rPr>
        <w:t>point </w:t>
      </w:r>
      <w:r>
        <w:rPr>
          <w:lang w:val="fr-FR"/>
        </w:rPr>
        <w:t>191</w:t>
      </w:r>
      <w:r w:rsidR="005A06BD">
        <w:rPr>
          <w:lang w:val="fr-FR"/>
        </w:rPr>
        <w:t>.</w:t>
      </w:r>
    </w:p>
  </w:footnote>
  <w:footnote w:id="46">
    <w:p w14:paraId="4A4AA737" w14:textId="7EAF3BFE" w:rsidR="00EE430D" w:rsidRPr="00DC0163" w:rsidRDefault="00EE430D" w:rsidP="002666A3">
      <w:pPr>
        <w:pStyle w:val="FootnoteText"/>
        <w:jc w:val="both"/>
        <w:rPr>
          <w:lang w:val="nl-BE"/>
        </w:rPr>
      </w:pPr>
      <w:r>
        <w:rPr>
          <w:rStyle w:val="FootnoteReference"/>
        </w:rPr>
        <w:footnoteRef/>
      </w:r>
      <w:r w:rsidRPr="00DC0163">
        <w:rPr>
          <w:lang w:val="nl-BE"/>
        </w:rPr>
        <w:t xml:space="preserve"> </w:t>
      </w:r>
      <w:r>
        <w:fldChar w:fldCharType="begin"/>
      </w:r>
      <w:r w:rsidRPr="00DC0163">
        <w:rPr>
          <w:lang w:val="nl-BE"/>
        </w:rPr>
        <w:instrText xml:space="preserve"> ADDIN ZOTERO_ITEM CSL_CITATION {"citationID":"7esIBltt","properties":{"formattedCitation":"B.\\uc0\\u160{}{\\scaps Riedl}, \\uc0\\u171{}\\uc0\\u160{}Who Guards the Values?\\uc0\\u160{}\\uc0\\u187{}, {\\i{}op.\\uc0\\u160{}cit.}","plainCitation":"B. Riedl, « Who Guards the Values? », op. cit.","noteIndex":25},"citationItems":[{"id":3090,"uris":["http://zotero.org/users/15572827/items/MDI3WWZ3"],"itemData":{"id":3090,"type":"article-journal","abstract":"In C-769/22 the CJEU, for the first time, finds a self-standing breach of Article 2 TEU and subordinates Article 4(2) TEU to it. The post argues this bypasses the limit of conferral, opens a parallel track to Article 7 TEU, and is unpersuasive on doctrinal and legitimacy grounds.","container-title":"European Law Blog","DOI":"10.21428/9885764c.9cf51152","language":"en","note":"publisher: European Law Blog","source":"www.europeanlawblog.eu","title":"Who Guards the Values? The Court’s Article 2 TEU Turn","title-short":"Who Guards the Values?","URL":"https://www.europeanlawblog.eu/pub/mabhxuju/release/1","author":[{"family":"Riedl","given":"Benedikt"}],"accessed":{"date-parts":[["2026",4,27]]},"issued":{"date-parts":[["2026",4,23]]}}}],"schema":"https://github.com/citation-style-language/schema/raw/master/csl-citation.json"} </w:instrText>
      </w:r>
      <w:r>
        <w:fldChar w:fldCharType="separate"/>
      </w:r>
      <w:r w:rsidRPr="00DC0163">
        <w:rPr>
          <w:rFonts w:cs="Times New Roman"/>
          <w:kern w:val="0"/>
          <w:lang w:val="nl-BE"/>
        </w:rPr>
        <w:t>B. </w:t>
      </w:r>
      <w:proofErr w:type="spellStart"/>
      <w:r w:rsidRPr="00DC0163">
        <w:rPr>
          <w:rFonts w:cs="Times New Roman"/>
          <w:kern w:val="0"/>
          <w:lang w:val="nl-BE"/>
        </w:rPr>
        <w:t>Riedl</w:t>
      </w:r>
      <w:proofErr w:type="spellEnd"/>
      <w:r w:rsidRPr="00DC0163">
        <w:rPr>
          <w:rFonts w:cs="Times New Roman"/>
          <w:kern w:val="0"/>
          <w:lang w:val="nl-BE"/>
        </w:rPr>
        <w:t xml:space="preserve">, </w:t>
      </w:r>
      <w:r w:rsidRPr="00DC0163">
        <w:rPr>
          <w:rFonts w:cs="Times New Roman"/>
          <w:i/>
          <w:iCs/>
          <w:kern w:val="0"/>
          <w:lang w:val="nl-BE"/>
        </w:rPr>
        <w:t>op. </w:t>
      </w:r>
      <w:proofErr w:type="spellStart"/>
      <w:proofErr w:type="gramStart"/>
      <w:r w:rsidRPr="00DC0163">
        <w:rPr>
          <w:rFonts w:cs="Times New Roman"/>
          <w:i/>
          <w:iCs/>
          <w:kern w:val="0"/>
          <w:lang w:val="nl-BE"/>
        </w:rPr>
        <w:t>cit</w:t>
      </w:r>
      <w:proofErr w:type="spellEnd"/>
      <w:proofErr w:type="gramEnd"/>
      <w:r w:rsidRPr="00DC0163">
        <w:rPr>
          <w:rFonts w:cs="Times New Roman"/>
          <w:i/>
          <w:iCs/>
          <w:kern w:val="0"/>
          <w:lang w:val="nl-BE"/>
        </w:rPr>
        <w:t>.</w:t>
      </w:r>
      <w:r>
        <w:fldChar w:fldCharType="end"/>
      </w:r>
    </w:p>
  </w:footnote>
  <w:footnote w:id="47">
    <w:p w14:paraId="2CFDBCE7" w14:textId="5C55D892" w:rsidR="00EE430D" w:rsidRPr="00DC0163" w:rsidRDefault="00EE430D" w:rsidP="002666A3">
      <w:pPr>
        <w:pStyle w:val="FootnoteText"/>
        <w:jc w:val="both"/>
        <w:rPr>
          <w:lang w:val="nl-BE"/>
        </w:rPr>
      </w:pPr>
      <w:r>
        <w:rPr>
          <w:rStyle w:val="FootnoteReference"/>
        </w:rPr>
        <w:footnoteRef/>
      </w:r>
      <w:r w:rsidRPr="00DC0163">
        <w:rPr>
          <w:lang w:val="nl-BE"/>
        </w:rPr>
        <w:t xml:space="preserve"> </w:t>
      </w:r>
      <w:r>
        <w:fldChar w:fldCharType="begin"/>
      </w:r>
      <w:r w:rsidRPr="00DC0163">
        <w:rPr>
          <w:lang w:val="nl-BE"/>
        </w:rPr>
        <w:instrText xml:space="preserve"> ADDIN ZOTERO_ITEM CSL_CITATION {"citationID":"VIbQ5NBu","properties":{"formattedCitation":"R.\\uc0\\u160{}{\\scaps Bifulco} et D.\\uc0\\u160{}{\\scaps Paris}, \\uc0\\u171{}\\uc0\\u160{}The Italian Constitutional Court\\uc0\\u160{}\\uc0\\u187{}, {\\i{}in} {\\i{}The Max Planck Handbooks in European Public Law}, sous la dir. de A.\\uc0\\u160{}{\\scaps Von Bogdandy}, P.\\uc0\\u160{}{\\scaps Huber} et C.\\uc0\\u160{}{\\scaps Grabenwarter}, 1\\super r\\nosupersub{}\\super e\\nosupersub{} \\uc0\\u233{}d., s.l., Oxford University PressOxford, 2020, p.\\uc0\\u160{}499.","plainCitation":"R. Bifulco et D. Paris, « The Italian Constitutional Court », in The Max Planck Handbooks in European Public Law, sous la dir. de A. Von Bogdandy, P. Huber et C. Grabenwarter, 1re éd., s.l., Oxford University PressOxford, 2020, p. 499.","noteIndex":26},"citationItems":[{"id":2841,"uris":["http://zotero.org/users/15572827/items/Y6VTWN7D"],"itemData":{"id":2841,"type":"chapter","abstract":"Abstract\n            This chapter looks at the origins, history, and present-day status of the Italian Constitutional Court. It argues that the theme of the Italian constitutional jurisdiction’s Europeanization and internationalization relies on two premises. First, the indispensable interaction between the Constitutional Court, the ECJ, and the ECtHR shakes the premises and foundations of the centralized review of legislation. Second, the process of Europeanization and internationalization of constitutional justice is an ongoing process that is far from having reached a stable end. Today, the chapter shows how the Court seems to have embarked on a new ‘path’ of European multi-tier constitutionalism. Although the path’s end is neither in sight today nor devoid of contradictions, three possible scenarios regarding Italian constitutional jurisdiction emerge from the current jurisprudence of the Court.","container-title":"The Max Planck Handbooks in European Public Law","edition":"1","ISBN":"978-0-19-872641-8","language":"en","note":"DOI: 10.1093/oso/9780198726418.003.0009","page":"447-504","publisher":"Oxford University PressOxford","source":"DOI.org (Crossref)","title":"The Italian Constitutional Court","URL":"https://academic.oup.com/book/33736/chapter/288386335","editor":[{"family":"Von Bogdandy","given":"Armin"},{"family":"Huber","given":"Peter"},{"family":"Grabenwarter","given":"Christoph"}],"author":[{"family":"Bifulco","given":"Raffaele"},{"family":"Paris","given":"Davide"}],"accessed":{"date-parts":[["2026",2,25]]},"issued":{"date-parts":[["2020",3,12]]}},"locator":"499"}],"schema":"https://github.com/citation-style-language/schema/raw/master/csl-citation.json"} </w:instrText>
      </w:r>
      <w:r>
        <w:fldChar w:fldCharType="separate"/>
      </w:r>
      <w:r w:rsidRPr="00DC0163">
        <w:rPr>
          <w:rFonts w:cs="Times New Roman"/>
          <w:kern w:val="0"/>
          <w:lang w:val="nl-BE"/>
        </w:rPr>
        <w:t>R. </w:t>
      </w:r>
      <w:proofErr w:type="spellStart"/>
      <w:r w:rsidRPr="00DC0163">
        <w:rPr>
          <w:rFonts w:cs="Times New Roman"/>
          <w:kern w:val="0"/>
          <w:lang w:val="nl-BE"/>
        </w:rPr>
        <w:t>Bifulco</w:t>
      </w:r>
      <w:proofErr w:type="spellEnd"/>
      <w:r w:rsidRPr="00DC0163">
        <w:rPr>
          <w:rFonts w:cs="Times New Roman"/>
          <w:kern w:val="0"/>
          <w:lang w:val="nl-BE"/>
        </w:rPr>
        <w:t xml:space="preserve"> et D. Paris, « The </w:t>
      </w:r>
      <w:proofErr w:type="spellStart"/>
      <w:r w:rsidRPr="00DC0163">
        <w:rPr>
          <w:rFonts w:cs="Times New Roman"/>
          <w:kern w:val="0"/>
          <w:lang w:val="nl-BE"/>
        </w:rPr>
        <w:t>Italian</w:t>
      </w:r>
      <w:proofErr w:type="spellEnd"/>
      <w:r w:rsidRPr="00DC0163">
        <w:rPr>
          <w:rFonts w:cs="Times New Roman"/>
          <w:kern w:val="0"/>
          <w:lang w:val="nl-BE"/>
        </w:rPr>
        <w:t xml:space="preserve"> </w:t>
      </w:r>
      <w:proofErr w:type="spellStart"/>
      <w:r w:rsidRPr="00DC0163">
        <w:rPr>
          <w:rFonts w:cs="Times New Roman"/>
          <w:kern w:val="0"/>
          <w:lang w:val="nl-BE"/>
        </w:rPr>
        <w:t>Constitutional</w:t>
      </w:r>
      <w:proofErr w:type="spellEnd"/>
      <w:r w:rsidRPr="00DC0163">
        <w:rPr>
          <w:rFonts w:cs="Times New Roman"/>
          <w:kern w:val="0"/>
          <w:lang w:val="nl-BE"/>
        </w:rPr>
        <w:t xml:space="preserve"> Court », </w:t>
      </w:r>
      <w:r w:rsidRPr="00DC0163">
        <w:rPr>
          <w:rFonts w:cs="Times New Roman"/>
          <w:i/>
          <w:iCs/>
          <w:kern w:val="0"/>
          <w:lang w:val="nl-BE"/>
        </w:rPr>
        <w:t>in</w:t>
      </w:r>
      <w:r w:rsidRPr="00DC0163">
        <w:rPr>
          <w:rFonts w:cs="Times New Roman"/>
          <w:kern w:val="0"/>
          <w:lang w:val="nl-BE"/>
        </w:rPr>
        <w:t xml:space="preserve"> </w:t>
      </w:r>
      <w:r w:rsidR="005A06BD" w:rsidRPr="00DC0163">
        <w:rPr>
          <w:rFonts w:cs="Times New Roman"/>
          <w:kern w:val="0"/>
          <w:lang w:val="nl-BE"/>
        </w:rPr>
        <w:t xml:space="preserve">A. Von </w:t>
      </w:r>
      <w:proofErr w:type="spellStart"/>
      <w:r w:rsidR="005A06BD" w:rsidRPr="00DC0163">
        <w:rPr>
          <w:rFonts w:cs="Times New Roman"/>
          <w:kern w:val="0"/>
          <w:lang w:val="nl-BE"/>
        </w:rPr>
        <w:t>Bogdandy</w:t>
      </w:r>
      <w:proofErr w:type="spellEnd"/>
      <w:r w:rsidR="005A06BD" w:rsidRPr="00DC0163">
        <w:rPr>
          <w:rFonts w:cs="Times New Roman"/>
          <w:kern w:val="0"/>
          <w:lang w:val="nl-BE"/>
        </w:rPr>
        <w:t>, P. Huber et C. </w:t>
      </w:r>
      <w:proofErr w:type="spellStart"/>
      <w:r w:rsidR="005A06BD" w:rsidRPr="00DC0163">
        <w:rPr>
          <w:rFonts w:cs="Times New Roman"/>
          <w:kern w:val="0"/>
          <w:lang w:val="nl-BE"/>
        </w:rPr>
        <w:t>Grabenwarter</w:t>
      </w:r>
      <w:proofErr w:type="spellEnd"/>
      <w:r w:rsidR="005A06BD" w:rsidRPr="00DC0163">
        <w:rPr>
          <w:rFonts w:cs="Times New Roman"/>
          <w:kern w:val="0"/>
          <w:lang w:val="nl-BE"/>
        </w:rPr>
        <w:t xml:space="preserve"> (dir.), </w:t>
      </w:r>
      <w:r w:rsidRPr="00DC0163">
        <w:rPr>
          <w:rFonts w:cs="Times New Roman"/>
          <w:i/>
          <w:iCs/>
          <w:kern w:val="0"/>
          <w:lang w:val="nl-BE"/>
        </w:rPr>
        <w:t xml:space="preserve">The Max Planck </w:t>
      </w:r>
      <w:proofErr w:type="spellStart"/>
      <w:r w:rsidRPr="00DC0163">
        <w:rPr>
          <w:rFonts w:cs="Times New Roman"/>
          <w:i/>
          <w:iCs/>
          <w:kern w:val="0"/>
          <w:lang w:val="nl-BE"/>
        </w:rPr>
        <w:t>Handbooks</w:t>
      </w:r>
      <w:proofErr w:type="spellEnd"/>
      <w:r w:rsidRPr="00DC0163">
        <w:rPr>
          <w:rFonts w:cs="Times New Roman"/>
          <w:i/>
          <w:iCs/>
          <w:kern w:val="0"/>
          <w:lang w:val="nl-BE"/>
        </w:rPr>
        <w:t xml:space="preserve"> in European Public </w:t>
      </w:r>
      <w:proofErr w:type="spellStart"/>
      <w:r w:rsidRPr="00DC0163">
        <w:rPr>
          <w:rFonts w:cs="Times New Roman"/>
          <w:i/>
          <w:iCs/>
          <w:kern w:val="0"/>
          <w:lang w:val="nl-BE"/>
        </w:rPr>
        <w:t>Law</w:t>
      </w:r>
      <w:proofErr w:type="spellEnd"/>
      <w:r w:rsidRPr="00DC0163">
        <w:rPr>
          <w:rFonts w:cs="Times New Roman"/>
          <w:kern w:val="0"/>
          <w:lang w:val="nl-BE"/>
        </w:rPr>
        <w:t>, 1</w:t>
      </w:r>
      <w:r w:rsidRPr="00DC0163">
        <w:rPr>
          <w:rFonts w:cs="Times New Roman"/>
          <w:kern w:val="0"/>
          <w:vertAlign w:val="superscript"/>
          <w:lang w:val="nl-BE"/>
        </w:rPr>
        <w:t>re</w:t>
      </w:r>
      <w:r w:rsidRPr="00DC0163">
        <w:rPr>
          <w:rFonts w:cs="Times New Roman"/>
          <w:kern w:val="0"/>
          <w:lang w:val="nl-BE"/>
        </w:rPr>
        <w:t xml:space="preserve"> éd., Oxford</w:t>
      </w:r>
      <w:r w:rsidR="005A06BD" w:rsidRPr="00DC0163">
        <w:rPr>
          <w:rFonts w:cs="Times New Roman"/>
          <w:kern w:val="0"/>
          <w:lang w:val="nl-BE"/>
        </w:rPr>
        <w:t>, Oxford</w:t>
      </w:r>
      <w:r w:rsidRPr="00DC0163">
        <w:rPr>
          <w:rFonts w:cs="Times New Roman"/>
          <w:kern w:val="0"/>
          <w:lang w:val="nl-BE"/>
        </w:rPr>
        <w:t xml:space="preserve"> University Press, 2020, p. 499.</w:t>
      </w:r>
      <w:r>
        <w:fldChar w:fldCharType="end"/>
      </w:r>
      <w:r w:rsidRPr="00DC0163">
        <w:rPr>
          <w:lang w:val="nl-BE"/>
        </w:rP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3230B9"/>
    <w:multiLevelType w:val="hybridMultilevel"/>
    <w:tmpl w:val="A9721D4A"/>
    <w:lvl w:ilvl="0" w:tplc="2850F53C">
      <w:numFmt w:val="bullet"/>
      <w:lvlText w:val=""/>
      <w:lvlJc w:val="left"/>
      <w:pPr>
        <w:ind w:left="720" w:hanging="360"/>
      </w:pPr>
      <w:rPr>
        <w:rFonts w:ascii="Symbol" w:eastAsiaTheme="minorHAnsi" w:hAnsi="Symbol" w:cstheme="minorBidi"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 w15:restartNumberingAfterBreak="0">
    <w:nsid w:val="2E2323D0"/>
    <w:multiLevelType w:val="hybridMultilevel"/>
    <w:tmpl w:val="080CEED6"/>
    <w:lvl w:ilvl="0" w:tplc="080C0015">
      <w:start w:val="1"/>
      <w:numFmt w:val="upperLetter"/>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 w15:restartNumberingAfterBreak="0">
    <w:nsid w:val="413F448C"/>
    <w:multiLevelType w:val="hybridMultilevel"/>
    <w:tmpl w:val="F2AE817C"/>
    <w:lvl w:ilvl="0" w:tplc="0DCED2E2">
      <w:start w:val="1"/>
      <w:numFmt w:val="decimal"/>
      <w:pStyle w:val="Heading3"/>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3" w15:restartNumberingAfterBreak="0">
    <w:nsid w:val="68932EFB"/>
    <w:multiLevelType w:val="hybridMultilevel"/>
    <w:tmpl w:val="585E6752"/>
    <w:lvl w:ilvl="0" w:tplc="E826B69E">
      <w:start w:val="2"/>
      <w:numFmt w:val="bullet"/>
      <w:lvlText w:val="-"/>
      <w:lvlJc w:val="left"/>
      <w:pPr>
        <w:ind w:left="720" w:hanging="360"/>
      </w:pPr>
      <w:rPr>
        <w:rFonts w:ascii="Times New Roman" w:eastAsiaTheme="minorHAnsi" w:hAnsi="Times New Roman" w:cs="Times New Roman" w:hint="default"/>
      </w:rPr>
    </w:lvl>
    <w:lvl w:ilvl="1" w:tplc="080C0003">
      <w:start w:val="1"/>
      <w:numFmt w:val="bullet"/>
      <w:lvlText w:val="o"/>
      <w:lvlJc w:val="left"/>
      <w:pPr>
        <w:ind w:left="1440" w:hanging="360"/>
      </w:pPr>
      <w:rPr>
        <w:rFonts w:ascii="Courier New" w:hAnsi="Courier New" w:cs="Courier New" w:hint="default"/>
      </w:rPr>
    </w:lvl>
    <w:lvl w:ilvl="2" w:tplc="080C0005">
      <w:start w:val="1"/>
      <w:numFmt w:val="bullet"/>
      <w:lvlText w:val=""/>
      <w:lvlJc w:val="left"/>
      <w:pPr>
        <w:ind w:left="2160" w:hanging="360"/>
      </w:pPr>
      <w:rPr>
        <w:rFonts w:ascii="Wingdings" w:hAnsi="Wingdings" w:hint="default"/>
      </w:rPr>
    </w:lvl>
    <w:lvl w:ilvl="3" w:tplc="080C0001">
      <w:start w:val="1"/>
      <w:numFmt w:val="bullet"/>
      <w:lvlText w:val=""/>
      <w:lvlJc w:val="left"/>
      <w:pPr>
        <w:ind w:left="2880" w:hanging="360"/>
      </w:pPr>
      <w:rPr>
        <w:rFonts w:ascii="Symbol" w:hAnsi="Symbol" w:hint="default"/>
      </w:rPr>
    </w:lvl>
    <w:lvl w:ilvl="4" w:tplc="080C0003">
      <w:start w:val="1"/>
      <w:numFmt w:val="bullet"/>
      <w:lvlText w:val="o"/>
      <w:lvlJc w:val="left"/>
      <w:pPr>
        <w:ind w:left="3600" w:hanging="360"/>
      </w:pPr>
      <w:rPr>
        <w:rFonts w:ascii="Courier New" w:hAnsi="Courier New" w:cs="Courier New" w:hint="default"/>
      </w:rPr>
    </w:lvl>
    <w:lvl w:ilvl="5" w:tplc="1780F878">
      <w:start w:val="2"/>
      <w:numFmt w:val="bullet"/>
      <w:lvlText w:val=""/>
      <w:lvlJc w:val="left"/>
      <w:pPr>
        <w:ind w:left="4320" w:hanging="360"/>
      </w:pPr>
      <w:rPr>
        <w:rFonts w:ascii="Wingdings" w:eastAsiaTheme="minorHAnsi" w:hAnsi="Wingdings" w:cstheme="minorBidi"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4" w15:restartNumberingAfterBreak="0">
    <w:nsid w:val="6A5E5939"/>
    <w:multiLevelType w:val="hybridMultilevel"/>
    <w:tmpl w:val="840E74FC"/>
    <w:lvl w:ilvl="0" w:tplc="41E8D302">
      <w:start w:val="1"/>
      <w:numFmt w:val="upperLetter"/>
      <w:pStyle w:val="Heading2"/>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5" w15:restartNumberingAfterBreak="0">
    <w:nsid w:val="75B32CD2"/>
    <w:multiLevelType w:val="hybridMultilevel"/>
    <w:tmpl w:val="9522A79C"/>
    <w:lvl w:ilvl="0" w:tplc="96E2F3AE">
      <w:start w:val="1"/>
      <w:numFmt w:val="decimal"/>
      <w:lvlText w:val="%1."/>
      <w:lvlJc w:val="left"/>
      <w:pPr>
        <w:ind w:left="720" w:hanging="360"/>
      </w:pPr>
      <w:rPr>
        <w:rFonts w:hint="default"/>
      </w:rPr>
    </w:lvl>
    <w:lvl w:ilvl="1" w:tplc="040C0019">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15:restartNumberingAfterBreak="0">
    <w:nsid w:val="76F02735"/>
    <w:multiLevelType w:val="hybridMultilevel"/>
    <w:tmpl w:val="8DEC02BE"/>
    <w:lvl w:ilvl="0" w:tplc="98A22486">
      <w:start w:val="1"/>
      <w:numFmt w:val="upperRoman"/>
      <w:pStyle w:val="Heading1"/>
      <w:lvlText w:val="%1."/>
      <w:lvlJc w:val="right"/>
      <w:pPr>
        <w:ind w:left="720" w:hanging="360"/>
      </w:p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num w:numId="1">
    <w:abstractNumId w:val="3"/>
  </w:num>
  <w:num w:numId="2">
    <w:abstractNumId w:val="5"/>
  </w:num>
  <w:num w:numId="3">
    <w:abstractNumId w:val="6"/>
  </w:num>
  <w:num w:numId="4">
    <w:abstractNumId w:val="4"/>
  </w:num>
  <w:num w:numId="5">
    <w:abstractNumId w:val="2"/>
  </w:num>
  <w:num w:numId="6">
    <w:abstractNumId w:val="4"/>
    <w:lvlOverride w:ilvl="0">
      <w:startOverride w:val="1"/>
    </w:lvlOverride>
  </w:num>
  <w:num w:numId="7">
    <w:abstractNumId w:val="0"/>
  </w:num>
  <w:num w:numId="8">
    <w:abstractNumId w:val="4"/>
  </w:num>
  <w:num w:numId="9">
    <w:abstractNumId w:val="4"/>
  </w:num>
  <w:num w:numId="1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3130F"/>
    <w:rsid w:val="00003B71"/>
    <w:rsid w:val="00006A49"/>
    <w:rsid w:val="00027A0C"/>
    <w:rsid w:val="000303A7"/>
    <w:rsid w:val="00031F7B"/>
    <w:rsid w:val="00032048"/>
    <w:rsid w:val="00041FCD"/>
    <w:rsid w:val="0004672E"/>
    <w:rsid w:val="000501A1"/>
    <w:rsid w:val="000524BC"/>
    <w:rsid w:val="000606FA"/>
    <w:rsid w:val="00065558"/>
    <w:rsid w:val="0006595F"/>
    <w:rsid w:val="00070303"/>
    <w:rsid w:val="0008160E"/>
    <w:rsid w:val="00081F77"/>
    <w:rsid w:val="00082B23"/>
    <w:rsid w:val="00095C89"/>
    <w:rsid w:val="00096E28"/>
    <w:rsid w:val="00097EB2"/>
    <w:rsid w:val="000B2A0E"/>
    <w:rsid w:val="000B421C"/>
    <w:rsid w:val="000C2799"/>
    <w:rsid w:val="000C71BC"/>
    <w:rsid w:val="000D39AB"/>
    <w:rsid w:val="000D66C7"/>
    <w:rsid w:val="000D732B"/>
    <w:rsid w:val="000E3D43"/>
    <w:rsid w:val="000E5285"/>
    <w:rsid w:val="000F3D1A"/>
    <w:rsid w:val="000F5523"/>
    <w:rsid w:val="000F7459"/>
    <w:rsid w:val="00105494"/>
    <w:rsid w:val="00111093"/>
    <w:rsid w:val="001155F2"/>
    <w:rsid w:val="00117F1F"/>
    <w:rsid w:val="00120A02"/>
    <w:rsid w:val="00120F97"/>
    <w:rsid w:val="00135F49"/>
    <w:rsid w:val="00137FE0"/>
    <w:rsid w:val="00143754"/>
    <w:rsid w:val="0014653A"/>
    <w:rsid w:val="00150E11"/>
    <w:rsid w:val="00153150"/>
    <w:rsid w:val="00154F78"/>
    <w:rsid w:val="001718B0"/>
    <w:rsid w:val="00174DC4"/>
    <w:rsid w:val="0018010F"/>
    <w:rsid w:val="001807E4"/>
    <w:rsid w:val="00190075"/>
    <w:rsid w:val="00192328"/>
    <w:rsid w:val="001925CF"/>
    <w:rsid w:val="001A33EE"/>
    <w:rsid w:val="001A778B"/>
    <w:rsid w:val="001D28F5"/>
    <w:rsid w:val="001D64C3"/>
    <w:rsid w:val="001E2734"/>
    <w:rsid w:val="001E6163"/>
    <w:rsid w:val="001F10FA"/>
    <w:rsid w:val="001F3217"/>
    <w:rsid w:val="001F34C9"/>
    <w:rsid w:val="001F4631"/>
    <w:rsid w:val="001F65B3"/>
    <w:rsid w:val="00201CD1"/>
    <w:rsid w:val="00204B9D"/>
    <w:rsid w:val="00206096"/>
    <w:rsid w:val="00206EB5"/>
    <w:rsid w:val="00213E4C"/>
    <w:rsid w:val="00220788"/>
    <w:rsid w:val="00223BC1"/>
    <w:rsid w:val="002250AC"/>
    <w:rsid w:val="002271F7"/>
    <w:rsid w:val="00227A77"/>
    <w:rsid w:val="0023037D"/>
    <w:rsid w:val="0023206A"/>
    <w:rsid w:val="00232BF1"/>
    <w:rsid w:val="00232D4B"/>
    <w:rsid w:val="00232E2F"/>
    <w:rsid w:val="00233E2B"/>
    <w:rsid w:val="00236942"/>
    <w:rsid w:val="002370DB"/>
    <w:rsid w:val="0024649E"/>
    <w:rsid w:val="00252E93"/>
    <w:rsid w:val="00256710"/>
    <w:rsid w:val="0025731E"/>
    <w:rsid w:val="00257C56"/>
    <w:rsid w:val="002627B4"/>
    <w:rsid w:val="002635C8"/>
    <w:rsid w:val="002666A3"/>
    <w:rsid w:val="00272EEC"/>
    <w:rsid w:val="00275FE8"/>
    <w:rsid w:val="00282E58"/>
    <w:rsid w:val="00285F63"/>
    <w:rsid w:val="00290CD2"/>
    <w:rsid w:val="00292A5C"/>
    <w:rsid w:val="00293ED9"/>
    <w:rsid w:val="00294A14"/>
    <w:rsid w:val="002B1944"/>
    <w:rsid w:val="002B4AAF"/>
    <w:rsid w:val="002B6252"/>
    <w:rsid w:val="002B6D8A"/>
    <w:rsid w:val="002C1088"/>
    <w:rsid w:val="002C242E"/>
    <w:rsid w:val="002C2932"/>
    <w:rsid w:val="002C61F2"/>
    <w:rsid w:val="002D2884"/>
    <w:rsid w:val="002E3804"/>
    <w:rsid w:val="002E3AE8"/>
    <w:rsid w:val="002E3BE2"/>
    <w:rsid w:val="002E4BB8"/>
    <w:rsid w:val="002E7DED"/>
    <w:rsid w:val="002F02F7"/>
    <w:rsid w:val="002F6B2C"/>
    <w:rsid w:val="0030145B"/>
    <w:rsid w:val="00301AF1"/>
    <w:rsid w:val="00305224"/>
    <w:rsid w:val="00306829"/>
    <w:rsid w:val="00307038"/>
    <w:rsid w:val="00307380"/>
    <w:rsid w:val="003109E5"/>
    <w:rsid w:val="003117AE"/>
    <w:rsid w:val="003149CF"/>
    <w:rsid w:val="003215EA"/>
    <w:rsid w:val="003236E3"/>
    <w:rsid w:val="00327720"/>
    <w:rsid w:val="00334596"/>
    <w:rsid w:val="00335052"/>
    <w:rsid w:val="0033675B"/>
    <w:rsid w:val="0033719F"/>
    <w:rsid w:val="00337AD6"/>
    <w:rsid w:val="00340B74"/>
    <w:rsid w:val="00343178"/>
    <w:rsid w:val="00345058"/>
    <w:rsid w:val="0034697A"/>
    <w:rsid w:val="00352976"/>
    <w:rsid w:val="00353503"/>
    <w:rsid w:val="00353F9D"/>
    <w:rsid w:val="00356737"/>
    <w:rsid w:val="00361F71"/>
    <w:rsid w:val="00364BC7"/>
    <w:rsid w:val="003704BC"/>
    <w:rsid w:val="003726F0"/>
    <w:rsid w:val="00375D3F"/>
    <w:rsid w:val="003826F6"/>
    <w:rsid w:val="00382DFC"/>
    <w:rsid w:val="00383282"/>
    <w:rsid w:val="00384A0F"/>
    <w:rsid w:val="00390EDA"/>
    <w:rsid w:val="003924AE"/>
    <w:rsid w:val="00394F65"/>
    <w:rsid w:val="00395269"/>
    <w:rsid w:val="00395907"/>
    <w:rsid w:val="003A31C6"/>
    <w:rsid w:val="003A53B1"/>
    <w:rsid w:val="003A6BAB"/>
    <w:rsid w:val="003A726A"/>
    <w:rsid w:val="003B2119"/>
    <w:rsid w:val="003B280C"/>
    <w:rsid w:val="003B597F"/>
    <w:rsid w:val="003C0F3B"/>
    <w:rsid w:val="003D1F6A"/>
    <w:rsid w:val="003D7B3F"/>
    <w:rsid w:val="003E2C48"/>
    <w:rsid w:val="003E3B76"/>
    <w:rsid w:val="003E58AF"/>
    <w:rsid w:val="003E636E"/>
    <w:rsid w:val="003E7383"/>
    <w:rsid w:val="003F3C8D"/>
    <w:rsid w:val="003F4E66"/>
    <w:rsid w:val="003F6C57"/>
    <w:rsid w:val="0040038C"/>
    <w:rsid w:val="00406C5A"/>
    <w:rsid w:val="00407FA6"/>
    <w:rsid w:val="004133AB"/>
    <w:rsid w:val="00416665"/>
    <w:rsid w:val="00431E5E"/>
    <w:rsid w:val="00432AD3"/>
    <w:rsid w:val="00434FFF"/>
    <w:rsid w:val="00435B0D"/>
    <w:rsid w:val="00435F85"/>
    <w:rsid w:val="0044049B"/>
    <w:rsid w:val="00440B13"/>
    <w:rsid w:val="0044551B"/>
    <w:rsid w:val="00450C20"/>
    <w:rsid w:val="00457B4D"/>
    <w:rsid w:val="00460C10"/>
    <w:rsid w:val="00461D62"/>
    <w:rsid w:val="00462E16"/>
    <w:rsid w:val="00462FB5"/>
    <w:rsid w:val="00467EA8"/>
    <w:rsid w:val="00472139"/>
    <w:rsid w:val="004729CA"/>
    <w:rsid w:val="00475B4A"/>
    <w:rsid w:val="00480C4E"/>
    <w:rsid w:val="00485B7C"/>
    <w:rsid w:val="00491370"/>
    <w:rsid w:val="004916C3"/>
    <w:rsid w:val="00492CE9"/>
    <w:rsid w:val="004A7F2C"/>
    <w:rsid w:val="004B0B8D"/>
    <w:rsid w:val="004B423E"/>
    <w:rsid w:val="004B57DD"/>
    <w:rsid w:val="004C366F"/>
    <w:rsid w:val="004C3DB0"/>
    <w:rsid w:val="004C79AA"/>
    <w:rsid w:val="004D13EC"/>
    <w:rsid w:val="004D3DFA"/>
    <w:rsid w:val="004D53DF"/>
    <w:rsid w:val="004D5F1C"/>
    <w:rsid w:val="004E0E8D"/>
    <w:rsid w:val="004E1518"/>
    <w:rsid w:val="004E291F"/>
    <w:rsid w:val="004E2C8F"/>
    <w:rsid w:val="004F1E3C"/>
    <w:rsid w:val="004F28B5"/>
    <w:rsid w:val="004F2B6C"/>
    <w:rsid w:val="00500F15"/>
    <w:rsid w:val="005021A2"/>
    <w:rsid w:val="00504114"/>
    <w:rsid w:val="00504B2A"/>
    <w:rsid w:val="00505D04"/>
    <w:rsid w:val="005061F4"/>
    <w:rsid w:val="0051007C"/>
    <w:rsid w:val="00513A58"/>
    <w:rsid w:val="005306B1"/>
    <w:rsid w:val="0053231D"/>
    <w:rsid w:val="005326A9"/>
    <w:rsid w:val="00534FDE"/>
    <w:rsid w:val="00542311"/>
    <w:rsid w:val="00542A78"/>
    <w:rsid w:val="00546FC8"/>
    <w:rsid w:val="00552C2E"/>
    <w:rsid w:val="005604B5"/>
    <w:rsid w:val="00561539"/>
    <w:rsid w:val="00565F76"/>
    <w:rsid w:val="0057176B"/>
    <w:rsid w:val="00576AB8"/>
    <w:rsid w:val="00583587"/>
    <w:rsid w:val="00583EC0"/>
    <w:rsid w:val="005847E6"/>
    <w:rsid w:val="00585957"/>
    <w:rsid w:val="005902F5"/>
    <w:rsid w:val="005A06BD"/>
    <w:rsid w:val="005A083C"/>
    <w:rsid w:val="005A3047"/>
    <w:rsid w:val="005A53D2"/>
    <w:rsid w:val="005B0C76"/>
    <w:rsid w:val="005B184C"/>
    <w:rsid w:val="005B6B8B"/>
    <w:rsid w:val="005B757C"/>
    <w:rsid w:val="005C29C6"/>
    <w:rsid w:val="005C7853"/>
    <w:rsid w:val="005E31F2"/>
    <w:rsid w:val="005E33D3"/>
    <w:rsid w:val="005E5375"/>
    <w:rsid w:val="005E7D47"/>
    <w:rsid w:val="005F1792"/>
    <w:rsid w:val="005F1CB3"/>
    <w:rsid w:val="00600A9D"/>
    <w:rsid w:val="006067D5"/>
    <w:rsid w:val="00607F61"/>
    <w:rsid w:val="006140D9"/>
    <w:rsid w:val="00614B29"/>
    <w:rsid w:val="00615D07"/>
    <w:rsid w:val="00615EC2"/>
    <w:rsid w:val="0062402C"/>
    <w:rsid w:val="0062475F"/>
    <w:rsid w:val="006268C7"/>
    <w:rsid w:val="00635B48"/>
    <w:rsid w:val="00641139"/>
    <w:rsid w:val="00644E7F"/>
    <w:rsid w:val="00652E83"/>
    <w:rsid w:val="00655C07"/>
    <w:rsid w:val="00657638"/>
    <w:rsid w:val="006578D9"/>
    <w:rsid w:val="00660A28"/>
    <w:rsid w:val="00660B5E"/>
    <w:rsid w:val="0066321E"/>
    <w:rsid w:val="0066446F"/>
    <w:rsid w:val="0066599B"/>
    <w:rsid w:val="00667145"/>
    <w:rsid w:val="006678A2"/>
    <w:rsid w:val="00682E20"/>
    <w:rsid w:val="00685665"/>
    <w:rsid w:val="0068762E"/>
    <w:rsid w:val="00696CE7"/>
    <w:rsid w:val="006A43DC"/>
    <w:rsid w:val="006A7216"/>
    <w:rsid w:val="006B35BA"/>
    <w:rsid w:val="006B4FF6"/>
    <w:rsid w:val="006B6C30"/>
    <w:rsid w:val="006B7846"/>
    <w:rsid w:val="006C2636"/>
    <w:rsid w:val="006C3F38"/>
    <w:rsid w:val="006D3F6A"/>
    <w:rsid w:val="006D4370"/>
    <w:rsid w:val="006D477E"/>
    <w:rsid w:val="006E1937"/>
    <w:rsid w:val="006E3A24"/>
    <w:rsid w:val="006E56A6"/>
    <w:rsid w:val="006E5A6B"/>
    <w:rsid w:val="006F7642"/>
    <w:rsid w:val="0070044C"/>
    <w:rsid w:val="00700E75"/>
    <w:rsid w:val="00706447"/>
    <w:rsid w:val="00710421"/>
    <w:rsid w:val="00715793"/>
    <w:rsid w:val="0072628A"/>
    <w:rsid w:val="0073257E"/>
    <w:rsid w:val="00733B25"/>
    <w:rsid w:val="007366A0"/>
    <w:rsid w:val="007415A6"/>
    <w:rsid w:val="00742C38"/>
    <w:rsid w:val="00743A2B"/>
    <w:rsid w:val="007475A6"/>
    <w:rsid w:val="00753679"/>
    <w:rsid w:val="00754E4B"/>
    <w:rsid w:val="0077065E"/>
    <w:rsid w:val="007754F0"/>
    <w:rsid w:val="00775C61"/>
    <w:rsid w:val="00776021"/>
    <w:rsid w:val="00776381"/>
    <w:rsid w:val="0077689E"/>
    <w:rsid w:val="00780B1D"/>
    <w:rsid w:val="00781624"/>
    <w:rsid w:val="007825A5"/>
    <w:rsid w:val="0078341E"/>
    <w:rsid w:val="007903EA"/>
    <w:rsid w:val="00791081"/>
    <w:rsid w:val="007913D4"/>
    <w:rsid w:val="0079157F"/>
    <w:rsid w:val="00791B12"/>
    <w:rsid w:val="007946AD"/>
    <w:rsid w:val="007978FC"/>
    <w:rsid w:val="007A04B4"/>
    <w:rsid w:val="007A1DFC"/>
    <w:rsid w:val="007A30F4"/>
    <w:rsid w:val="007A3B14"/>
    <w:rsid w:val="007A42C4"/>
    <w:rsid w:val="007A460D"/>
    <w:rsid w:val="007A5046"/>
    <w:rsid w:val="007A6551"/>
    <w:rsid w:val="007B4445"/>
    <w:rsid w:val="007C12D4"/>
    <w:rsid w:val="007C1708"/>
    <w:rsid w:val="007C2D0A"/>
    <w:rsid w:val="007C399B"/>
    <w:rsid w:val="007C3A3C"/>
    <w:rsid w:val="007D3B84"/>
    <w:rsid w:val="007D583D"/>
    <w:rsid w:val="007E14DC"/>
    <w:rsid w:val="007E21BD"/>
    <w:rsid w:val="007E267F"/>
    <w:rsid w:val="007E6DFC"/>
    <w:rsid w:val="007E7749"/>
    <w:rsid w:val="007F017E"/>
    <w:rsid w:val="007F0486"/>
    <w:rsid w:val="007F1B1D"/>
    <w:rsid w:val="007F2F6A"/>
    <w:rsid w:val="0080087A"/>
    <w:rsid w:val="00804459"/>
    <w:rsid w:val="0080769C"/>
    <w:rsid w:val="00814523"/>
    <w:rsid w:val="008149A2"/>
    <w:rsid w:val="008215DB"/>
    <w:rsid w:val="0082263D"/>
    <w:rsid w:val="00834561"/>
    <w:rsid w:val="00835F7A"/>
    <w:rsid w:val="00836512"/>
    <w:rsid w:val="00842764"/>
    <w:rsid w:val="008433F6"/>
    <w:rsid w:val="00847E09"/>
    <w:rsid w:val="008523B2"/>
    <w:rsid w:val="008570CA"/>
    <w:rsid w:val="00863FA3"/>
    <w:rsid w:val="00866A77"/>
    <w:rsid w:val="00866BDD"/>
    <w:rsid w:val="0087113C"/>
    <w:rsid w:val="00874E19"/>
    <w:rsid w:val="00875E3B"/>
    <w:rsid w:val="0087646C"/>
    <w:rsid w:val="00876630"/>
    <w:rsid w:val="00883292"/>
    <w:rsid w:val="00884382"/>
    <w:rsid w:val="008845C5"/>
    <w:rsid w:val="00885071"/>
    <w:rsid w:val="00886402"/>
    <w:rsid w:val="00886727"/>
    <w:rsid w:val="00886E69"/>
    <w:rsid w:val="0088729F"/>
    <w:rsid w:val="0089080A"/>
    <w:rsid w:val="008911C5"/>
    <w:rsid w:val="008A2876"/>
    <w:rsid w:val="008A31E4"/>
    <w:rsid w:val="008A550E"/>
    <w:rsid w:val="008A5999"/>
    <w:rsid w:val="008B21D7"/>
    <w:rsid w:val="008B35CB"/>
    <w:rsid w:val="008B37C8"/>
    <w:rsid w:val="008B676A"/>
    <w:rsid w:val="008C24BB"/>
    <w:rsid w:val="008D1FDB"/>
    <w:rsid w:val="008D40F2"/>
    <w:rsid w:val="008D6689"/>
    <w:rsid w:val="008E0D40"/>
    <w:rsid w:val="008E4951"/>
    <w:rsid w:val="008F1EA2"/>
    <w:rsid w:val="00900F08"/>
    <w:rsid w:val="0090644F"/>
    <w:rsid w:val="00906E96"/>
    <w:rsid w:val="0091119E"/>
    <w:rsid w:val="00921D50"/>
    <w:rsid w:val="009220F7"/>
    <w:rsid w:val="00922171"/>
    <w:rsid w:val="00924436"/>
    <w:rsid w:val="00924F2A"/>
    <w:rsid w:val="00927027"/>
    <w:rsid w:val="00927332"/>
    <w:rsid w:val="00927ED6"/>
    <w:rsid w:val="0093130F"/>
    <w:rsid w:val="0093563F"/>
    <w:rsid w:val="00935BC4"/>
    <w:rsid w:val="00935E79"/>
    <w:rsid w:val="00946EDB"/>
    <w:rsid w:val="00950207"/>
    <w:rsid w:val="00950853"/>
    <w:rsid w:val="0096061C"/>
    <w:rsid w:val="009621B4"/>
    <w:rsid w:val="0097322A"/>
    <w:rsid w:val="00981496"/>
    <w:rsid w:val="00982021"/>
    <w:rsid w:val="00982F98"/>
    <w:rsid w:val="009860F5"/>
    <w:rsid w:val="009862A7"/>
    <w:rsid w:val="009875F5"/>
    <w:rsid w:val="009914F6"/>
    <w:rsid w:val="00991BCF"/>
    <w:rsid w:val="00991D8B"/>
    <w:rsid w:val="00994BFF"/>
    <w:rsid w:val="009954A5"/>
    <w:rsid w:val="009A217C"/>
    <w:rsid w:val="009A2BCF"/>
    <w:rsid w:val="009A6D3C"/>
    <w:rsid w:val="009B0704"/>
    <w:rsid w:val="009C0038"/>
    <w:rsid w:val="009C5264"/>
    <w:rsid w:val="009C66E2"/>
    <w:rsid w:val="009D493D"/>
    <w:rsid w:val="009E1D48"/>
    <w:rsid w:val="009E78EC"/>
    <w:rsid w:val="009F28F6"/>
    <w:rsid w:val="009F6FD7"/>
    <w:rsid w:val="009F7139"/>
    <w:rsid w:val="009F73E3"/>
    <w:rsid w:val="00A0335A"/>
    <w:rsid w:val="00A042EF"/>
    <w:rsid w:val="00A062CA"/>
    <w:rsid w:val="00A069BA"/>
    <w:rsid w:val="00A124D7"/>
    <w:rsid w:val="00A22060"/>
    <w:rsid w:val="00A26A52"/>
    <w:rsid w:val="00A31EC7"/>
    <w:rsid w:val="00A3248C"/>
    <w:rsid w:val="00A33F9C"/>
    <w:rsid w:val="00A3593E"/>
    <w:rsid w:val="00A40203"/>
    <w:rsid w:val="00A40F3F"/>
    <w:rsid w:val="00A44D42"/>
    <w:rsid w:val="00A450A6"/>
    <w:rsid w:val="00A57361"/>
    <w:rsid w:val="00A57420"/>
    <w:rsid w:val="00A61D0E"/>
    <w:rsid w:val="00A6456B"/>
    <w:rsid w:val="00A6464B"/>
    <w:rsid w:val="00A6656F"/>
    <w:rsid w:val="00A72345"/>
    <w:rsid w:val="00A73200"/>
    <w:rsid w:val="00A753C4"/>
    <w:rsid w:val="00A76647"/>
    <w:rsid w:val="00A82B35"/>
    <w:rsid w:val="00A83657"/>
    <w:rsid w:val="00A85EEA"/>
    <w:rsid w:val="00A86E9E"/>
    <w:rsid w:val="00A9439A"/>
    <w:rsid w:val="00A94B72"/>
    <w:rsid w:val="00A96E5F"/>
    <w:rsid w:val="00AA1082"/>
    <w:rsid w:val="00AA2335"/>
    <w:rsid w:val="00AB4663"/>
    <w:rsid w:val="00AC1E2F"/>
    <w:rsid w:val="00AC306F"/>
    <w:rsid w:val="00AC4A87"/>
    <w:rsid w:val="00AC4E8A"/>
    <w:rsid w:val="00AC557B"/>
    <w:rsid w:val="00AC5CF8"/>
    <w:rsid w:val="00AD1CED"/>
    <w:rsid w:val="00AD4EA6"/>
    <w:rsid w:val="00AD5CCC"/>
    <w:rsid w:val="00AE1523"/>
    <w:rsid w:val="00AE3433"/>
    <w:rsid w:val="00AE6E55"/>
    <w:rsid w:val="00AE6EED"/>
    <w:rsid w:val="00AE74ED"/>
    <w:rsid w:val="00AE78AD"/>
    <w:rsid w:val="00AF1610"/>
    <w:rsid w:val="00AF673D"/>
    <w:rsid w:val="00B00B5F"/>
    <w:rsid w:val="00B018E7"/>
    <w:rsid w:val="00B03901"/>
    <w:rsid w:val="00B03ABC"/>
    <w:rsid w:val="00B077FC"/>
    <w:rsid w:val="00B10A18"/>
    <w:rsid w:val="00B137B7"/>
    <w:rsid w:val="00B13CB3"/>
    <w:rsid w:val="00B20D9A"/>
    <w:rsid w:val="00B21AA8"/>
    <w:rsid w:val="00B26183"/>
    <w:rsid w:val="00B305C8"/>
    <w:rsid w:val="00B3218C"/>
    <w:rsid w:val="00B432BD"/>
    <w:rsid w:val="00B47000"/>
    <w:rsid w:val="00B473E7"/>
    <w:rsid w:val="00B47A4E"/>
    <w:rsid w:val="00B501AB"/>
    <w:rsid w:val="00B617FF"/>
    <w:rsid w:val="00B61BEA"/>
    <w:rsid w:val="00B631FA"/>
    <w:rsid w:val="00B64AE8"/>
    <w:rsid w:val="00B6513B"/>
    <w:rsid w:val="00B76C7F"/>
    <w:rsid w:val="00B809DB"/>
    <w:rsid w:val="00B8179E"/>
    <w:rsid w:val="00B81C48"/>
    <w:rsid w:val="00B8434F"/>
    <w:rsid w:val="00B850FB"/>
    <w:rsid w:val="00B94BA6"/>
    <w:rsid w:val="00B9552B"/>
    <w:rsid w:val="00B96C5B"/>
    <w:rsid w:val="00BA67FC"/>
    <w:rsid w:val="00BA7632"/>
    <w:rsid w:val="00BB0124"/>
    <w:rsid w:val="00BB1896"/>
    <w:rsid w:val="00BB1AB9"/>
    <w:rsid w:val="00BB1EA3"/>
    <w:rsid w:val="00BB2519"/>
    <w:rsid w:val="00BB273C"/>
    <w:rsid w:val="00BB292E"/>
    <w:rsid w:val="00BB4439"/>
    <w:rsid w:val="00BB5E3D"/>
    <w:rsid w:val="00BB6116"/>
    <w:rsid w:val="00BB730D"/>
    <w:rsid w:val="00BC1F69"/>
    <w:rsid w:val="00BC2906"/>
    <w:rsid w:val="00BC6418"/>
    <w:rsid w:val="00BD06DA"/>
    <w:rsid w:val="00BD0BDF"/>
    <w:rsid w:val="00BD6242"/>
    <w:rsid w:val="00BE1EE0"/>
    <w:rsid w:val="00BE3335"/>
    <w:rsid w:val="00BE550F"/>
    <w:rsid w:val="00BF0086"/>
    <w:rsid w:val="00BF12AE"/>
    <w:rsid w:val="00BF33FB"/>
    <w:rsid w:val="00BF7D4D"/>
    <w:rsid w:val="00C051FA"/>
    <w:rsid w:val="00C0529B"/>
    <w:rsid w:val="00C10AEB"/>
    <w:rsid w:val="00C10D2C"/>
    <w:rsid w:val="00C10F04"/>
    <w:rsid w:val="00C11C08"/>
    <w:rsid w:val="00C2721B"/>
    <w:rsid w:val="00C335A8"/>
    <w:rsid w:val="00C33BCE"/>
    <w:rsid w:val="00C36722"/>
    <w:rsid w:val="00C42ED2"/>
    <w:rsid w:val="00C4625D"/>
    <w:rsid w:val="00C46E30"/>
    <w:rsid w:val="00C476FE"/>
    <w:rsid w:val="00C5344F"/>
    <w:rsid w:val="00C57B0E"/>
    <w:rsid w:val="00C61C6B"/>
    <w:rsid w:val="00C66BC8"/>
    <w:rsid w:val="00C72478"/>
    <w:rsid w:val="00C72630"/>
    <w:rsid w:val="00C74B0B"/>
    <w:rsid w:val="00C75283"/>
    <w:rsid w:val="00C81E95"/>
    <w:rsid w:val="00C82CFB"/>
    <w:rsid w:val="00C8411B"/>
    <w:rsid w:val="00C87C14"/>
    <w:rsid w:val="00C90842"/>
    <w:rsid w:val="00C908E5"/>
    <w:rsid w:val="00CA24B8"/>
    <w:rsid w:val="00CA560B"/>
    <w:rsid w:val="00CA5824"/>
    <w:rsid w:val="00CB0301"/>
    <w:rsid w:val="00CB727B"/>
    <w:rsid w:val="00CC1188"/>
    <w:rsid w:val="00CD3BCF"/>
    <w:rsid w:val="00CD7E77"/>
    <w:rsid w:val="00CE5B43"/>
    <w:rsid w:val="00CF05EF"/>
    <w:rsid w:val="00CF1FF2"/>
    <w:rsid w:val="00CF49E3"/>
    <w:rsid w:val="00D01C2B"/>
    <w:rsid w:val="00D06E05"/>
    <w:rsid w:val="00D108F0"/>
    <w:rsid w:val="00D1330D"/>
    <w:rsid w:val="00D14741"/>
    <w:rsid w:val="00D15689"/>
    <w:rsid w:val="00D17F48"/>
    <w:rsid w:val="00D20CFF"/>
    <w:rsid w:val="00D20EB3"/>
    <w:rsid w:val="00D2204D"/>
    <w:rsid w:val="00D246E6"/>
    <w:rsid w:val="00D25BBF"/>
    <w:rsid w:val="00D25E6B"/>
    <w:rsid w:val="00D30EB4"/>
    <w:rsid w:val="00D417FE"/>
    <w:rsid w:val="00D41CCA"/>
    <w:rsid w:val="00D461E3"/>
    <w:rsid w:val="00D5355C"/>
    <w:rsid w:val="00D551A8"/>
    <w:rsid w:val="00D557C9"/>
    <w:rsid w:val="00D563B8"/>
    <w:rsid w:val="00D57375"/>
    <w:rsid w:val="00D57560"/>
    <w:rsid w:val="00D60ED2"/>
    <w:rsid w:val="00D63D8A"/>
    <w:rsid w:val="00D64664"/>
    <w:rsid w:val="00D6730A"/>
    <w:rsid w:val="00D73405"/>
    <w:rsid w:val="00D73BBA"/>
    <w:rsid w:val="00D802DE"/>
    <w:rsid w:val="00D80697"/>
    <w:rsid w:val="00D92133"/>
    <w:rsid w:val="00D922AC"/>
    <w:rsid w:val="00D925E3"/>
    <w:rsid w:val="00D932DE"/>
    <w:rsid w:val="00D94C2E"/>
    <w:rsid w:val="00D94C35"/>
    <w:rsid w:val="00D95949"/>
    <w:rsid w:val="00DA3F1A"/>
    <w:rsid w:val="00DA4119"/>
    <w:rsid w:val="00DA7A18"/>
    <w:rsid w:val="00DB45D7"/>
    <w:rsid w:val="00DB7FAC"/>
    <w:rsid w:val="00DC0163"/>
    <w:rsid w:val="00DC1398"/>
    <w:rsid w:val="00DC2411"/>
    <w:rsid w:val="00DC4B8E"/>
    <w:rsid w:val="00DD1788"/>
    <w:rsid w:val="00DD21C2"/>
    <w:rsid w:val="00DD3F5D"/>
    <w:rsid w:val="00DE1ED8"/>
    <w:rsid w:val="00DE3315"/>
    <w:rsid w:val="00DE70F6"/>
    <w:rsid w:val="00DF0BD8"/>
    <w:rsid w:val="00DF4256"/>
    <w:rsid w:val="00DF5088"/>
    <w:rsid w:val="00DF7305"/>
    <w:rsid w:val="00E04492"/>
    <w:rsid w:val="00E05D83"/>
    <w:rsid w:val="00E06EDC"/>
    <w:rsid w:val="00E16580"/>
    <w:rsid w:val="00E17C66"/>
    <w:rsid w:val="00E206F4"/>
    <w:rsid w:val="00E244EB"/>
    <w:rsid w:val="00E26331"/>
    <w:rsid w:val="00E275B5"/>
    <w:rsid w:val="00E30F66"/>
    <w:rsid w:val="00E35922"/>
    <w:rsid w:val="00E36228"/>
    <w:rsid w:val="00E42F2B"/>
    <w:rsid w:val="00E45E3F"/>
    <w:rsid w:val="00E51540"/>
    <w:rsid w:val="00E5154F"/>
    <w:rsid w:val="00E53360"/>
    <w:rsid w:val="00E5456C"/>
    <w:rsid w:val="00E55D00"/>
    <w:rsid w:val="00E560BD"/>
    <w:rsid w:val="00E56D92"/>
    <w:rsid w:val="00E57E5E"/>
    <w:rsid w:val="00E61B3C"/>
    <w:rsid w:val="00E66C6D"/>
    <w:rsid w:val="00E728F5"/>
    <w:rsid w:val="00E72EC5"/>
    <w:rsid w:val="00E77410"/>
    <w:rsid w:val="00E775A6"/>
    <w:rsid w:val="00E86626"/>
    <w:rsid w:val="00E93D04"/>
    <w:rsid w:val="00E94177"/>
    <w:rsid w:val="00EA0B4F"/>
    <w:rsid w:val="00EA1FA3"/>
    <w:rsid w:val="00EA544F"/>
    <w:rsid w:val="00EB69C3"/>
    <w:rsid w:val="00EC2531"/>
    <w:rsid w:val="00EC5D57"/>
    <w:rsid w:val="00EC70DC"/>
    <w:rsid w:val="00ED29EB"/>
    <w:rsid w:val="00ED77FE"/>
    <w:rsid w:val="00EE07C3"/>
    <w:rsid w:val="00EE087D"/>
    <w:rsid w:val="00EE19CC"/>
    <w:rsid w:val="00EE430D"/>
    <w:rsid w:val="00EF0ABC"/>
    <w:rsid w:val="00EF286C"/>
    <w:rsid w:val="00F00B61"/>
    <w:rsid w:val="00F075CA"/>
    <w:rsid w:val="00F16F39"/>
    <w:rsid w:val="00F17A01"/>
    <w:rsid w:val="00F22253"/>
    <w:rsid w:val="00F23FDD"/>
    <w:rsid w:val="00F24FC7"/>
    <w:rsid w:val="00F26E80"/>
    <w:rsid w:val="00F36881"/>
    <w:rsid w:val="00F40AB4"/>
    <w:rsid w:val="00F52E52"/>
    <w:rsid w:val="00F56201"/>
    <w:rsid w:val="00F5681E"/>
    <w:rsid w:val="00F568E7"/>
    <w:rsid w:val="00F6138E"/>
    <w:rsid w:val="00F62C83"/>
    <w:rsid w:val="00F65D3A"/>
    <w:rsid w:val="00F711B5"/>
    <w:rsid w:val="00F72211"/>
    <w:rsid w:val="00F753C8"/>
    <w:rsid w:val="00F9539E"/>
    <w:rsid w:val="00F975D3"/>
    <w:rsid w:val="00FA19BA"/>
    <w:rsid w:val="00FA33D8"/>
    <w:rsid w:val="00FB50E5"/>
    <w:rsid w:val="00FC2ECD"/>
    <w:rsid w:val="00FC5A9D"/>
    <w:rsid w:val="00FC7C3A"/>
    <w:rsid w:val="00FD34FF"/>
    <w:rsid w:val="00FD3798"/>
    <w:rsid w:val="00FD707C"/>
    <w:rsid w:val="00FE25AE"/>
    <w:rsid w:val="00FE7DE1"/>
    <w:rsid w:val="00FF1B38"/>
    <w:rsid w:val="00FF4302"/>
    <w:rsid w:val="00FF4B70"/>
    <w:rsid w:val="00FF6F1A"/>
    <w:rsid w:val="00FF723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1765E5"/>
  <w15:chartTrackingRefBased/>
  <w15:docId w15:val="{B9921682-69E4-449E-92BB-77D157AE08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fr-B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F1CB3"/>
    <w:rPr>
      <w:rFonts w:ascii="Times New Roman" w:hAnsi="Times New Roman"/>
      <w:sz w:val="24"/>
    </w:rPr>
  </w:style>
  <w:style w:type="paragraph" w:styleId="Heading1">
    <w:name w:val="heading 1"/>
    <w:basedOn w:val="Normal"/>
    <w:next w:val="Normal"/>
    <w:link w:val="Heading1Char"/>
    <w:uiPriority w:val="9"/>
    <w:qFormat/>
    <w:rsid w:val="00B137B7"/>
    <w:pPr>
      <w:keepNext/>
      <w:keepLines/>
      <w:numPr>
        <w:numId w:val="3"/>
      </w:numPr>
      <w:spacing w:before="360" w:after="80"/>
      <w:outlineLvl w:val="0"/>
    </w:pPr>
    <w:rPr>
      <w:rFonts w:eastAsiaTheme="majorEastAsia" w:cstheme="majorBidi"/>
      <w:b/>
      <w:caps/>
      <w:szCs w:val="40"/>
    </w:rPr>
  </w:style>
  <w:style w:type="paragraph" w:styleId="Heading2">
    <w:name w:val="heading 2"/>
    <w:basedOn w:val="Normal"/>
    <w:next w:val="Normal"/>
    <w:link w:val="Heading2Char"/>
    <w:uiPriority w:val="9"/>
    <w:unhideWhenUsed/>
    <w:qFormat/>
    <w:rsid w:val="00406C5A"/>
    <w:pPr>
      <w:keepNext/>
      <w:keepLines/>
      <w:numPr>
        <w:numId w:val="4"/>
      </w:numPr>
      <w:spacing w:before="160" w:after="80"/>
      <w:outlineLvl w:val="1"/>
    </w:pPr>
    <w:rPr>
      <w:rFonts w:eastAsiaTheme="majorEastAsia" w:cstheme="majorBidi"/>
      <w:b/>
      <w:szCs w:val="32"/>
    </w:rPr>
  </w:style>
  <w:style w:type="paragraph" w:styleId="Heading3">
    <w:name w:val="heading 3"/>
    <w:basedOn w:val="Normal"/>
    <w:next w:val="Normal"/>
    <w:link w:val="Heading3Char"/>
    <w:uiPriority w:val="9"/>
    <w:unhideWhenUsed/>
    <w:qFormat/>
    <w:rsid w:val="00006A49"/>
    <w:pPr>
      <w:keepNext/>
      <w:keepLines/>
      <w:numPr>
        <w:numId w:val="5"/>
      </w:numPr>
      <w:spacing w:before="160" w:after="80"/>
      <w:outlineLvl w:val="2"/>
    </w:pPr>
    <w:rPr>
      <w:rFonts w:eastAsiaTheme="majorEastAsia" w:cstheme="majorBidi"/>
      <w:b/>
      <w:i/>
      <w:szCs w:val="28"/>
    </w:rPr>
  </w:style>
  <w:style w:type="paragraph" w:styleId="Heading4">
    <w:name w:val="heading 4"/>
    <w:basedOn w:val="Normal"/>
    <w:next w:val="Normal"/>
    <w:link w:val="Heading4Char"/>
    <w:uiPriority w:val="9"/>
    <w:semiHidden/>
    <w:unhideWhenUsed/>
    <w:qFormat/>
    <w:rsid w:val="0093130F"/>
    <w:pPr>
      <w:keepNext/>
      <w:keepLines/>
      <w:spacing w:before="80" w:after="40"/>
      <w:outlineLvl w:val="3"/>
    </w:pPr>
    <w:rPr>
      <w:rFonts w:asciiTheme="minorHAnsi" w:eastAsiaTheme="majorEastAsia" w:hAnsiTheme="minorHAnsi" w:cstheme="majorBidi"/>
      <w:i/>
      <w:iCs/>
      <w:color w:val="0F4761" w:themeColor="accent1" w:themeShade="BF"/>
    </w:rPr>
  </w:style>
  <w:style w:type="paragraph" w:styleId="Heading5">
    <w:name w:val="heading 5"/>
    <w:basedOn w:val="Normal"/>
    <w:next w:val="Normal"/>
    <w:link w:val="Heading5Char"/>
    <w:uiPriority w:val="9"/>
    <w:semiHidden/>
    <w:unhideWhenUsed/>
    <w:qFormat/>
    <w:rsid w:val="0093130F"/>
    <w:pPr>
      <w:keepNext/>
      <w:keepLines/>
      <w:spacing w:before="80" w:after="40"/>
      <w:outlineLvl w:val="4"/>
    </w:pPr>
    <w:rPr>
      <w:rFonts w:asciiTheme="minorHAnsi" w:eastAsiaTheme="majorEastAsia" w:hAnsiTheme="minorHAnsi" w:cstheme="majorBidi"/>
      <w:color w:val="0F4761" w:themeColor="accent1" w:themeShade="BF"/>
    </w:rPr>
  </w:style>
  <w:style w:type="paragraph" w:styleId="Heading6">
    <w:name w:val="heading 6"/>
    <w:basedOn w:val="Normal"/>
    <w:next w:val="Normal"/>
    <w:link w:val="Heading6Char"/>
    <w:uiPriority w:val="9"/>
    <w:semiHidden/>
    <w:unhideWhenUsed/>
    <w:qFormat/>
    <w:rsid w:val="0093130F"/>
    <w:pPr>
      <w:keepNext/>
      <w:keepLines/>
      <w:spacing w:before="40" w:after="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93130F"/>
    <w:pPr>
      <w:keepNext/>
      <w:keepLines/>
      <w:spacing w:before="40" w:after="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93130F"/>
    <w:pPr>
      <w:keepNext/>
      <w:keepLines/>
      <w:spacing w:after="0"/>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93130F"/>
    <w:pPr>
      <w:keepNext/>
      <w:keepLines/>
      <w:spacing w:after="0"/>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137B7"/>
    <w:rPr>
      <w:rFonts w:ascii="Times New Roman" w:eastAsiaTheme="majorEastAsia" w:hAnsi="Times New Roman" w:cstheme="majorBidi"/>
      <w:b/>
      <w:caps/>
      <w:sz w:val="24"/>
      <w:szCs w:val="40"/>
    </w:rPr>
  </w:style>
  <w:style w:type="character" w:customStyle="1" w:styleId="Heading2Char">
    <w:name w:val="Heading 2 Char"/>
    <w:basedOn w:val="DefaultParagraphFont"/>
    <w:link w:val="Heading2"/>
    <w:uiPriority w:val="9"/>
    <w:rsid w:val="00B137B7"/>
    <w:rPr>
      <w:rFonts w:ascii="Times New Roman" w:eastAsiaTheme="majorEastAsia" w:hAnsi="Times New Roman" w:cstheme="majorBidi"/>
      <w:b/>
      <w:sz w:val="24"/>
      <w:szCs w:val="32"/>
    </w:rPr>
  </w:style>
  <w:style w:type="character" w:customStyle="1" w:styleId="Heading3Char">
    <w:name w:val="Heading 3 Char"/>
    <w:basedOn w:val="DefaultParagraphFont"/>
    <w:link w:val="Heading3"/>
    <w:uiPriority w:val="9"/>
    <w:rsid w:val="00006A49"/>
    <w:rPr>
      <w:rFonts w:ascii="Times New Roman" w:eastAsiaTheme="majorEastAsia" w:hAnsi="Times New Roman" w:cstheme="majorBidi"/>
      <w:b/>
      <w:i/>
      <w:sz w:val="24"/>
      <w:szCs w:val="28"/>
    </w:rPr>
  </w:style>
  <w:style w:type="character" w:customStyle="1" w:styleId="Heading4Char">
    <w:name w:val="Heading 4 Char"/>
    <w:basedOn w:val="DefaultParagraphFont"/>
    <w:link w:val="Heading4"/>
    <w:uiPriority w:val="9"/>
    <w:semiHidden/>
    <w:rsid w:val="0093130F"/>
    <w:rPr>
      <w:rFonts w:eastAsiaTheme="majorEastAsia" w:cstheme="majorBidi"/>
      <w:i/>
      <w:iCs/>
      <w:color w:val="0F4761" w:themeColor="accent1" w:themeShade="BF"/>
      <w:sz w:val="24"/>
    </w:rPr>
  </w:style>
  <w:style w:type="character" w:customStyle="1" w:styleId="Heading5Char">
    <w:name w:val="Heading 5 Char"/>
    <w:basedOn w:val="DefaultParagraphFont"/>
    <w:link w:val="Heading5"/>
    <w:uiPriority w:val="9"/>
    <w:semiHidden/>
    <w:rsid w:val="0093130F"/>
    <w:rPr>
      <w:rFonts w:eastAsiaTheme="majorEastAsia" w:cstheme="majorBidi"/>
      <w:color w:val="0F4761" w:themeColor="accent1" w:themeShade="BF"/>
      <w:sz w:val="24"/>
    </w:rPr>
  </w:style>
  <w:style w:type="character" w:customStyle="1" w:styleId="Heading6Char">
    <w:name w:val="Heading 6 Char"/>
    <w:basedOn w:val="DefaultParagraphFont"/>
    <w:link w:val="Heading6"/>
    <w:uiPriority w:val="9"/>
    <w:semiHidden/>
    <w:rsid w:val="0093130F"/>
    <w:rPr>
      <w:rFonts w:eastAsiaTheme="majorEastAsia" w:cstheme="majorBidi"/>
      <w:i/>
      <w:iCs/>
      <w:color w:val="595959" w:themeColor="text1" w:themeTint="A6"/>
      <w:sz w:val="24"/>
    </w:rPr>
  </w:style>
  <w:style w:type="character" w:customStyle="1" w:styleId="Heading7Char">
    <w:name w:val="Heading 7 Char"/>
    <w:basedOn w:val="DefaultParagraphFont"/>
    <w:link w:val="Heading7"/>
    <w:uiPriority w:val="9"/>
    <w:semiHidden/>
    <w:rsid w:val="0093130F"/>
    <w:rPr>
      <w:rFonts w:eastAsiaTheme="majorEastAsia" w:cstheme="majorBidi"/>
      <w:color w:val="595959" w:themeColor="text1" w:themeTint="A6"/>
      <w:sz w:val="24"/>
    </w:rPr>
  </w:style>
  <w:style w:type="character" w:customStyle="1" w:styleId="Heading8Char">
    <w:name w:val="Heading 8 Char"/>
    <w:basedOn w:val="DefaultParagraphFont"/>
    <w:link w:val="Heading8"/>
    <w:uiPriority w:val="9"/>
    <w:semiHidden/>
    <w:rsid w:val="0093130F"/>
    <w:rPr>
      <w:rFonts w:eastAsiaTheme="majorEastAsia" w:cstheme="majorBidi"/>
      <w:i/>
      <w:iCs/>
      <w:color w:val="272727" w:themeColor="text1" w:themeTint="D8"/>
      <w:sz w:val="24"/>
    </w:rPr>
  </w:style>
  <w:style w:type="character" w:customStyle="1" w:styleId="Heading9Char">
    <w:name w:val="Heading 9 Char"/>
    <w:basedOn w:val="DefaultParagraphFont"/>
    <w:link w:val="Heading9"/>
    <w:uiPriority w:val="9"/>
    <w:semiHidden/>
    <w:rsid w:val="0093130F"/>
    <w:rPr>
      <w:rFonts w:eastAsiaTheme="majorEastAsia" w:cstheme="majorBidi"/>
      <w:color w:val="272727" w:themeColor="text1" w:themeTint="D8"/>
      <w:sz w:val="24"/>
    </w:rPr>
  </w:style>
  <w:style w:type="paragraph" w:styleId="Title">
    <w:name w:val="Title"/>
    <w:basedOn w:val="Normal"/>
    <w:next w:val="Normal"/>
    <w:link w:val="TitleChar"/>
    <w:uiPriority w:val="10"/>
    <w:qFormat/>
    <w:rsid w:val="0093130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3130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93130F"/>
    <w:pPr>
      <w:numPr>
        <w:ilvl w:val="1"/>
      </w:numPr>
    </w:pPr>
    <w:rPr>
      <w:rFonts w:asciiTheme="minorHAnsi" w:eastAsiaTheme="majorEastAsia" w:hAnsiTheme="minorHAnsi"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93130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93130F"/>
    <w:pPr>
      <w:spacing w:before="160"/>
      <w:jc w:val="center"/>
    </w:pPr>
    <w:rPr>
      <w:i/>
      <w:iCs/>
      <w:color w:val="404040" w:themeColor="text1" w:themeTint="BF"/>
    </w:rPr>
  </w:style>
  <w:style w:type="character" w:customStyle="1" w:styleId="QuoteChar">
    <w:name w:val="Quote Char"/>
    <w:basedOn w:val="DefaultParagraphFont"/>
    <w:link w:val="Quote"/>
    <w:uiPriority w:val="29"/>
    <w:rsid w:val="0093130F"/>
    <w:rPr>
      <w:rFonts w:ascii="Times New Roman" w:hAnsi="Times New Roman"/>
      <w:i/>
      <w:iCs/>
      <w:color w:val="404040" w:themeColor="text1" w:themeTint="BF"/>
      <w:sz w:val="24"/>
    </w:rPr>
  </w:style>
  <w:style w:type="paragraph" w:styleId="ListParagraph">
    <w:name w:val="List Paragraph"/>
    <w:basedOn w:val="Normal"/>
    <w:link w:val="ListParagraphChar"/>
    <w:uiPriority w:val="34"/>
    <w:qFormat/>
    <w:rsid w:val="0093130F"/>
    <w:pPr>
      <w:ind w:left="720"/>
      <w:contextualSpacing/>
    </w:pPr>
  </w:style>
  <w:style w:type="character" w:styleId="IntenseEmphasis">
    <w:name w:val="Intense Emphasis"/>
    <w:basedOn w:val="DefaultParagraphFont"/>
    <w:uiPriority w:val="21"/>
    <w:qFormat/>
    <w:rsid w:val="0093130F"/>
    <w:rPr>
      <w:i/>
      <w:iCs/>
      <w:color w:val="0F4761" w:themeColor="accent1" w:themeShade="BF"/>
    </w:rPr>
  </w:style>
  <w:style w:type="paragraph" w:styleId="IntenseQuote">
    <w:name w:val="Intense Quote"/>
    <w:basedOn w:val="Normal"/>
    <w:next w:val="Normal"/>
    <w:link w:val="IntenseQuoteChar"/>
    <w:uiPriority w:val="30"/>
    <w:qFormat/>
    <w:rsid w:val="0093130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93130F"/>
    <w:rPr>
      <w:rFonts w:ascii="Times New Roman" w:hAnsi="Times New Roman"/>
      <w:i/>
      <w:iCs/>
      <w:color w:val="0F4761" w:themeColor="accent1" w:themeShade="BF"/>
      <w:sz w:val="24"/>
    </w:rPr>
  </w:style>
  <w:style w:type="character" w:styleId="IntenseReference">
    <w:name w:val="Intense Reference"/>
    <w:basedOn w:val="DefaultParagraphFont"/>
    <w:uiPriority w:val="32"/>
    <w:qFormat/>
    <w:rsid w:val="0093130F"/>
    <w:rPr>
      <w:b/>
      <w:bCs/>
      <w:smallCaps/>
      <w:color w:val="0F4761" w:themeColor="accent1" w:themeShade="BF"/>
      <w:spacing w:val="5"/>
    </w:rPr>
  </w:style>
  <w:style w:type="paragraph" w:styleId="FootnoteText">
    <w:name w:val="footnote text"/>
    <w:aliases w:val="Note de bas de page Car Car,Car Char,Car,FOOTNOTES,fn,single space,tekst,Testo nota a pi di pagina Carattere Carattere Carattere Carattere,Texto nota pie Car,Car Car Car,PBO-Footnote Text,ftx,Footnote Text Char1 Char,ftx Char,ft,Ca"/>
    <w:basedOn w:val="Normal"/>
    <w:link w:val="FootnoteTextChar"/>
    <w:uiPriority w:val="99"/>
    <w:unhideWhenUsed/>
    <w:qFormat/>
    <w:rsid w:val="0090644F"/>
    <w:pPr>
      <w:spacing w:after="0" w:line="240" w:lineRule="auto"/>
    </w:pPr>
    <w:rPr>
      <w:sz w:val="20"/>
      <w:szCs w:val="20"/>
    </w:rPr>
  </w:style>
  <w:style w:type="character" w:customStyle="1" w:styleId="FootnoteTextChar">
    <w:name w:val="Footnote Text Char"/>
    <w:aliases w:val="Note de bas de page Car Car Char,Car Char Char,Car Char1,FOOTNOTES Char,fn Char,single space Char,tekst Char,Testo nota a pi di pagina Carattere Carattere Carattere Carattere Char,Texto nota pie Car Char,Car Car Car Char,ftx Char1"/>
    <w:basedOn w:val="DefaultParagraphFont"/>
    <w:link w:val="FootnoteText"/>
    <w:uiPriority w:val="99"/>
    <w:qFormat/>
    <w:rsid w:val="0090644F"/>
    <w:rPr>
      <w:rFonts w:ascii="Times New Roman" w:hAnsi="Times New Roman"/>
      <w:sz w:val="20"/>
      <w:szCs w:val="20"/>
    </w:rPr>
  </w:style>
  <w:style w:type="character" w:styleId="FootnoteReference">
    <w:name w:val="footnote reference"/>
    <w:basedOn w:val="DefaultParagraphFont"/>
    <w:uiPriority w:val="99"/>
    <w:unhideWhenUsed/>
    <w:rsid w:val="0090644F"/>
    <w:rPr>
      <w:vertAlign w:val="superscript"/>
    </w:rPr>
  </w:style>
  <w:style w:type="character" w:styleId="CommentReference">
    <w:name w:val="annotation reference"/>
    <w:basedOn w:val="DefaultParagraphFont"/>
    <w:uiPriority w:val="99"/>
    <w:semiHidden/>
    <w:unhideWhenUsed/>
    <w:rsid w:val="0090644F"/>
    <w:rPr>
      <w:sz w:val="16"/>
      <w:szCs w:val="16"/>
    </w:rPr>
  </w:style>
  <w:style w:type="character" w:customStyle="1" w:styleId="ListParagraphChar">
    <w:name w:val="List Paragraph Char"/>
    <w:basedOn w:val="DefaultParagraphFont"/>
    <w:link w:val="ListParagraph"/>
    <w:uiPriority w:val="34"/>
    <w:rsid w:val="0090644F"/>
    <w:rPr>
      <w:rFonts w:ascii="Times New Roman" w:hAnsi="Times New Roman"/>
      <w:sz w:val="24"/>
    </w:rPr>
  </w:style>
  <w:style w:type="paragraph" w:styleId="CommentText">
    <w:name w:val="annotation text"/>
    <w:basedOn w:val="Normal"/>
    <w:link w:val="CommentTextChar"/>
    <w:uiPriority w:val="99"/>
    <w:unhideWhenUsed/>
    <w:rsid w:val="00682E20"/>
    <w:pPr>
      <w:spacing w:line="240" w:lineRule="auto"/>
    </w:pPr>
    <w:rPr>
      <w:sz w:val="20"/>
      <w:szCs w:val="20"/>
    </w:rPr>
  </w:style>
  <w:style w:type="character" w:customStyle="1" w:styleId="CommentTextChar">
    <w:name w:val="Comment Text Char"/>
    <w:basedOn w:val="DefaultParagraphFont"/>
    <w:link w:val="CommentText"/>
    <w:uiPriority w:val="99"/>
    <w:rsid w:val="00682E20"/>
    <w:rPr>
      <w:rFonts w:ascii="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682E20"/>
    <w:rPr>
      <w:b/>
      <w:bCs/>
    </w:rPr>
  </w:style>
  <w:style w:type="character" w:customStyle="1" w:styleId="CommentSubjectChar">
    <w:name w:val="Comment Subject Char"/>
    <w:basedOn w:val="CommentTextChar"/>
    <w:link w:val="CommentSubject"/>
    <w:uiPriority w:val="99"/>
    <w:semiHidden/>
    <w:rsid w:val="00682E20"/>
    <w:rPr>
      <w:rFonts w:ascii="Times New Roman" w:hAnsi="Times New Roman"/>
      <w:b/>
      <w:bCs/>
      <w:sz w:val="20"/>
      <w:szCs w:val="20"/>
    </w:rPr>
  </w:style>
  <w:style w:type="paragraph" w:styleId="Header">
    <w:name w:val="header"/>
    <w:basedOn w:val="Normal"/>
    <w:link w:val="HeaderChar"/>
    <w:uiPriority w:val="99"/>
    <w:unhideWhenUsed/>
    <w:rsid w:val="004916C3"/>
    <w:pPr>
      <w:tabs>
        <w:tab w:val="center" w:pos="4536"/>
        <w:tab w:val="right" w:pos="9072"/>
      </w:tabs>
      <w:spacing w:after="0" w:line="240" w:lineRule="auto"/>
    </w:pPr>
  </w:style>
  <w:style w:type="character" w:customStyle="1" w:styleId="HeaderChar">
    <w:name w:val="Header Char"/>
    <w:basedOn w:val="DefaultParagraphFont"/>
    <w:link w:val="Header"/>
    <w:uiPriority w:val="99"/>
    <w:rsid w:val="004916C3"/>
    <w:rPr>
      <w:rFonts w:ascii="Times New Roman" w:hAnsi="Times New Roman"/>
      <w:sz w:val="24"/>
    </w:rPr>
  </w:style>
  <w:style w:type="paragraph" w:styleId="Footer">
    <w:name w:val="footer"/>
    <w:basedOn w:val="Normal"/>
    <w:link w:val="FooterChar"/>
    <w:uiPriority w:val="99"/>
    <w:unhideWhenUsed/>
    <w:rsid w:val="004916C3"/>
    <w:pPr>
      <w:tabs>
        <w:tab w:val="center" w:pos="4536"/>
        <w:tab w:val="right" w:pos="9072"/>
      </w:tabs>
      <w:spacing w:after="0" w:line="240" w:lineRule="auto"/>
    </w:pPr>
  </w:style>
  <w:style w:type="character" w:customStyle="1" w:styleId="FooterChar">
    <w:name w:val="Footer Char"/>
    <w:basedOn w:val="DefaultParagraphFont"/>
    <w:link w:val="Footer"/>
    <w:uiPriority w:val="99"/>
    <w:rsid w:val="004916C3"/>
    <w:rPr>
      <w:rFonts w:ascii="Times New Roman" w:hAnsi="Times New Roman"/>
      <w:sz w:val="24"/>
    </w:rPr>
  </w:style>
  <w:style w:type="paragraph" w:styleId="Revision">
    <w:name w:val="Revision"/>
    <w:hidden/>
    <w:uiPriority w:val="99"/>
    <w:semiHidden/>
    <w:rsid w:val="004916C3"/>
    <w:pPr>
      <w:spacing w:after="0" w:line="240" w:lineRule="auto"/>
    </w:pPr>
    <w:rPr>
      <w:rFonts w:ascii="Times New Roman" w:hAnsi="Times New Roman"/>
      <w:sz w:val="24"/>
    </w:rPr>
  </w:style>
  <w:style w:type="character" w:styleId="PageNumber">
    <w:name w:val="page number"/>
    <w:basedOn w:val="DefaultParagraphFont"/>
    <w:uiPriority w:val="99"/>
    <w:semiHidden/>
    <w:unhideWhenUsed/>
    <w:rsid w:val="00AC1E2F"/>
  </w:style>
  <w:style w:type="paragraph" w:styleId="NormalWeb">
    <w:name w:val="Normal (Web)"/>
    <w:basedOn w:val="Normal"/>
    <w:uiPriority w:val="99"/>
    <w:semiHidden/>
    <w:unhideWhenUsed/>
    <w:rsid w:val="00D2204D"/>
    <w:rPr>
      <w:rFonts w:cs="Times New Roman"/>
      <w:szCs w:val="24"/>
    </w:rPr>
  </w:style>
  <w:style w:type="character" w:styleId="Hyperlink">
    <w:name w:val="Hyperlink"/>
    <w:basedOn w:val="DefaultParagraphFont"/>
    <w:uiPriority w:val="99"/>
    <w:unhideWhenUsed/>
    <w:rsid w:val="003F4E66"/>
    <w:rPr>
      <w:color w:val="467886" w:themeColor="hyperlink"/>
      <w:u w:val="single"/>
    </w:rPr>
  </w:style>
  <w:style w:type="character" w:styleId="UnresolvedMention">
    <w:name w:val="Unresolved Mention"/>
    <w:basedOn w:val="DefaultParagraphFont"/>
    <w:uiPriority w:val="99"/>
    <w:semiHidden/>
    <w:unhideWhenUsed/>
    <w:rsid w:val="0011109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_rels/footnotes.xml.rels><?xml version="1.0" encoding="UTF-8" standalone="yes"?>
<Relationships xmlns="http://schemas.openxmlformats.org/package/2006/relationships"><Relationship Id="rId1" Type="http://schemas.openxmlformats.org/officeDocument/2006/relationships/hyperlink" Target="mailto:cecilia.rizcallah@uclouvain.be"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B6EFD91-74A5-48C1-98E6-7E5A5FF20B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10</Pages>
  <Words>4257</Words>
  <Characters>23544</Characters>
  <Application>Microsoft Office Word</Application>
  <DocSecurity>0</DocSecurity>
  <Lines>327</Lines>
  <Paragraphs>64</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
      <vt:lpstr/>
    </vt:vector>
  </TitlesOfParts>
  <Company>UCLouvain</Company>
  <LinksUpToDate>false</LinksUpToDate>
  <CharactersWithSpaces>27737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Marie Vanloocke</dc:creator>
  <cp:keywords/>
  <dc:description/>
  <cp:lastModifiedBy>Noel Valerie</cp:lastModifiedBy>
  <cp:revision>2</cp:revision>
  <cp:lastPrinted>2026-05-27T08:10:00Z</cp:lastPrinted>
  <dcterms:created xsi:type="dcterms:W3CDTF">2026-05-28T16:04:00Z</dcterms:created>
  <dcterms:modified xsi:type="dcterms:W3CDTF">2026-05-28T16:04:00Z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59868fdd-4d5e-49c2-b6d6-808f9637925c</vt:lpwstr>
  </property>
  <property fmtid="{D5CDD505-2E9C-101B-9397-08002B2CF9AE}" pid="3" name="ZOTERO_PREF_1">
    <vt:lpwstr>&lt;data data-version="3" zotero-version="6.0.26"&gt;&lt;session id="Pt7cLif9"/&gt;&lt;style id="http://www.zotero.org/styles/uclouvain-droit" hasBibliography="1" bibliographyStyleHasBeenSet="0"/&gt;&lt;prefs&gt;&lt;pref name="fieldType" value="Field"/&gt;&lt;pref name="automaticJournalA</vt:lpwstr>
  </property>
  <property fmtid="{D5CDD505-2E9C-101B-9397-08002B2CF9AE}" pid="4" name="ZOTERO_PREF_2">
    <vt:lpwstr>bbreviations" value="true"/&gt;&lt;pref name="noteType" value="1"/&gt;&lt;/prefs&gt;&lt;/data&gt;</vt:lpwstr>
  </property>
</Properties>
</file>