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BF4" w:rsidRPr="003C2BF4" w:rsidRDefault="003C2BF4" w:rsidP="003C2BF4">
      <w:pPr>
        <w:spacing w:before="60" w:after="300" w:line="33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C2B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Cutting-edge analytical technologies for the comprehensive metabolic profiling of </w:t>
      </w:r>
      <w:proofErr w:type="spellStart"/>
      <w:r w:rsidRPr="003C2BF4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</w:rPr>
        <w:t>Alkanna</w:t>
      </w:r>
      <w:proofErr w:type="spellEnd"/>
      <w:r w:rsidRPr="003C2BF4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</w:rPr>
        <w:t xml:space="preserve"> </w:t>
      </w:r>
      <w:proofErr w:type="spellStart"/>
      <w:r w:rsidRPr="003C2BF4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</w:rPr>
        <w:t>tinctoria</w:t>
      </w:r>
      <w:proofErr w:type="spellEnd"/>
      <w:r w:rsidRPr="003C2B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 roots cultured in greenhouse conditions</w:t>
      </w:r>
    </w:p>
    <w:p w:rsidR="003C2BF4" w:rsidRPr="003C2BF4" w:rsidRDefault="003C2BF4" w:rsidP="003C2BF4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N </w:t>
      </w:r>
      <w:proofErr w:type="spellStart"/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Rodić</w:t>
      </w:r>
      <w:proofErr w:type="spellEnd"/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 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</w:rPr>
        <w:t xml:space="preserve">1 </w:t>
      </w:r>
      <w:r w:rsidRPr="003C2BF4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</w:rPr>
        <w:t> </w:t>
      </w:r>
      <w:r w:rsidRPr="003C2BF4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</w:rPr>
        <w:t> </w:t>
      </w: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Laboratory of Organic Chemistry, School of Chemical Engineering, Aristotle University of Thessaloniki, 541 24, Thessaloniki, Greece and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NatPro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-AUTH, Center for Interdisciplinary Research and Innovation (CIRI-AUTH), Balkan Center,, Buildings A &amp; B, 10th km Thessaloniki-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Thermi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Rd, P.O. Box 8318, GR 570 01, Thessaloniki, Greece</w:t>
      </w:r>
    </w:p>
    <w:p w:rsidR="003C2BF4" w:rsidRPr="003C2BF4" w:rsidRDefault="003C2BF4" w:rsidP="003C2BF4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A </w:t>
      </w:r>
      <w:proofErr w:type="spellStart"/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Vlachou</w:t>
      </w:r>
      <w:proofErr w:type="spellEnd"/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 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</w:rPr>
        <w:t xml:space="preserve">1 </w:t>
      </w:r>
      <w:r w:rsidRPr="003C2BF4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</w:rPr>
        <w:t> </w:t>
      </w:r>
      <w:r w:rsidRPr="003C2BF4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</w:rPr>
        <w:t> </w:t>
      </w: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Laboratory of Organic Chemistry, School of Chemical Engineering, Aristotle University of Thessaloniki, 541 24, Thessaloniki, Greece and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NatPro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-AUTH, Center for Interdisciplinary Research and Innovation (CIRI-AUTH), Balkan Center,, Buildings A &amp; B, 10th km Thessaloniki-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Thermi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Rd, P.O. Box 8318, GR 570 01, Thessaloniki, Greece</w:t>
      </w:r>
    </w:p>
    <w:p w:rsidR="003C2BF4" w:rsidRPr="003C2BF4" w:rsidRDefault="003C2BF4" w:rsidP="003C2BF4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C </w:t>
      </w:r>
      <w:proofErr w:type="spellStart"/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Papakonstantinou</w:t>
      </w:r>
      <w:proofErr w:type="spellEnd"/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 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</w:rPr>
        <w:t xml:space="preserve">1 </w:t>
      </w:r>
      <w:r w:rsidRPr="003C2BF4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</w:rPr>
        <w:t> </w:t>
      </w:r>
      <w:r w:rsidRPr="003C2BF4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</w:rPr>
        <w:t> </w:t>
      </w: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Laboratory of Organic Chemistry, School of Chemical Engineering, Aristotle University of Thessaloniki, 541 24, Thessaloniki, Greece and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NatPro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-AUTH, Center for Interdisciplinary Research and Innovation (CIRI-AUTH), Balkan Center,, Buildings A &amp; B, 10th km Thessaloniki-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Thermi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Rd, P.O. Box 8318, GR 570 01, Thessaloniki, Greece</w:t>
      </w:r>
    </w:p>
    <w:p w:rsidR="003C2BF4" w:rsidRPr="003C2BF4" w:rsidRDefault="003C2BF4" w:rsidP="003C2BF4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</w:pPr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  <w:t>Y Zhao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fr-BE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 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  <w:lang w:val="fr-BE"/>
        </w:rPr>
        <w:t xml:space="preserve">2 </w:t>
      </w:r>
      <w:r w:rsidRPr="003C2BF4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  <w:lang w:val="fr-BE"/>
        </w:rPr>
        <w:t> </w:t>
      </w:r>
      <w:r w:rsidRPr="003C2BF4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  <w:lang w:val="fr-BE"/>
        </w:rPr>
        <w:t> 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Earth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and Life Institute,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Applied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Microbiology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,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Mycology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, Université catholique de </w:t>
      </w:r>
      <w:proofErr w:type="gram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Louvain,,</w:t>
      </w:r>
      <w:proofErr w:type="gram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Croix du Sud 2, box L7.05.06, 1348, Louvain-la-Neuve,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Belgium</w:t>
      </w:r>
      <w:proofErr w:type="spellEnd"/>
    </w:p>
    <w:p w:rsidR="003C2BF4" w:rsidRPr="003C2BF4" w:rsidRDefault="003C2BF4" w:rsidP="003C2BF4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</w:pPr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  <w:t>A Cartabia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fr-BE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 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  <w:lang w:val="fr-BE"/>
        </w:rPr>
        <w:t xml:space="preserve">2 </w:t>
      </w:r>
      <w:r w:rsidRPr="003C2BF4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  <w:lang w:val="fr-BE"/>
        </w:rPr>
        <w:t> </w:t>
      </w:r>
      <w:r w:rsidRPr="003C2BF4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  <w:lang w:val="fr-BE"/>
        </w:rPr>
        <w:t> 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Earth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and Life Institute,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Applied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Microbiology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,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Mycology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, Université catholique de </w:t>
      </w:r>
      <w:proofErr w:type="gram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Louvain,,</w:t>
      </w:r>
      <w:proofErr w:type="gram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Croix du Sud 2, box L7.05.06, 1348, Louvain-la-Neuve,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Belgium</w:t>
      </w:r>
      <w:proofErr w:type="spellEnd"/>
    </w:p>
    <w:p w:rsidR="003C2BF4" w:rsidRPr="003C2BF4" w:rsidRDefault="003C2BF4" w:rsidP="003C2BF4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</w:pPr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  <w:t>I Lalaymia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fr-BE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 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  <w:lang w:val="fr-BE"/>
        </w:rPr>
        <w:t xml:space="preserve">2 </w:t>
      </w:r>
      <w:r w:rsidRPr="003C2BF4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  <w:lang w:val="fr-BE"/>
        </w:rPr>
        <w:t> </w:t>
      </w:r>
      <w:r w:rsidRPr="003C2BF4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  <w:lang w:val="fr-BE"/>
        </w:rPr>
        <w:t> 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Earth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and Life Institute,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Applied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Microbiology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,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Mycology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, Université catholique de </w:t>
      </w:r>
      <w:proofErr w:type="gram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Louvain,,</w:t>
      </w:r>
      <w:proofErr w:type="gram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Croix du Sud 2, box L7.05.06, 1348, Louvain-la-Neuve,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Belgium</w:t>
      </w:r>
      <w:proofErr w:type="spellEnd"/>
    </w:p>
    <w:p w:rsidR="003C2BF4" w:rsidRPr="003C2BF4" w:rsidRDefault="003C2BF4" w:rsidP="003C2BF4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K </w:t>
      </w:r>
      <w:proofErr w:type="spellStart"/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Grigoriadou</w:t>
      </w:r>
      <w:proofErr w:type="spellEnd"/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 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</w:rPr>
        <w:t xml:space="preserve">3 </w:t>
      </w:r>
      <w:r w:rsidRPr="003C2BF4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</w:rPr>
        <w:t> </w:t>
      </w:r>
      <w:r w:rsidRPr="003C2BF4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</w:rPr>
        <w:t> </w:t>
      </w: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Laboratory for Conservation and Evaluation of Native and Floricultural Species-Balkan Botanic Garden of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Kroussia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, Institute of Plant Breeding and Genetic Resources, Hellenic Agricultural Organization Demeter,, P.O. Box 60458, GR-57001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Thermi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, Thessaloniki, Greece</w:t>
      </w:r>
    </w:p>
    <w:p w:rsidR="003C2BF4" w:rsidRPr="003C2BF4" w:rsidRDefault="003C2BF4" w:rsidP="003C2BF4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N </w:t>
      </w:r>
      <w:proofErr w:type="spellStart"/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Krigas</w:t>
      </w:r>
      <w:proofErr w:type="spellEnd"/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 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</w:rPr>
        <w:t xml:space="preserve">3 </w:t>
      </w:r>
      <w:r w:rsidRPr="003C2BF4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</w:rPr>
        <w:t> </w:t>
      </w:r>
      <w:r w:rsidRPr="003C2BF4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</w:rPr>
        <w:t> </w:t>
      </w: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Laboratory for Conservation and Evaluation of Native and Floricultural Species-Balkan Botanic Garden of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Kroussia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, Institute of Plant Breeding and Genetic Resources, Hellenic Agricultural Organization Demeter,, P.O. Box 60458, GR-57001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Thermi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, Thessaloniki, Greece</w:t>
      </w:r>
    </w:p>
    <w:p w:rsidR="003C2BF4" w:rsidRPr="003C2BF4" w:rsidRDefault="003C2BF4" w:rsidP="003C2BF4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E </w:t>
      </w:r>
      <w:proofErr w:type="spellStart"/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Maloupa</w:t>
      </w:r>
      <w:proofErr w:type="spellEnd"/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lastRenderedPageBreak/>
        <w:t> 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</w:rPr>
        <w:t xml:space="preserve">3 </w:t>
      </w:r>
      <w:r w:rsidRPr="003C2BF4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</w:rPr>
        <w:t> </w:t>
      </w:r>
      <w:r w:rsidRPr="003C2BF4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</w:rPr>
        <w:t> </w:t>
      </w: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Laboratory for Conservation and Evaluation of Native and Floricultural Species-Balkan Botanic Garden of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Kroussia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, Institute of Plant Breeding and Genetic Resources, Hellenic Agricultural Organization Demeter,, P.O. Box 60458, GR-57001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Thermi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, Thessaloniki, Greece</w:t>
      </w:r>
    </w:p>
    <w:p w:rsidR="003C2BF4" w:rsidRPr="003C2BF4" w:rsidRDefault="003C2BF4" w:rsidP="003C2BF4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</w:pPr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  <w:t xml:space="preserve">S </w:t>
      </w:r>
      <w:proofErr w:type="spellStart"/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fr-BE"/>
        </w:rPr>
        <w:t>Declerck</w:t>
      </w:r>
      <w:proofErr w:type="spellEnd"/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fr-BE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 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fr-BE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  <w:lang w:val="fr-BE"/>
        </w:rPr>
        <w:t xml:space="preserve">2 </w:t>
      </w:r>
      <w:r w:rsidRPr="003C2BF4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  <w:lang w:val="fr-BE"/>
        </w:rPr>
        <w:t> </w:t>
      </w:r>
      <w:r w:rsidRPr="003C2BF4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  <w:lang w:val="fr-BE"/>
        </w:rPr>
        <w:t> 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Earth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and Life Institute,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Applied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Microbiology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,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Mycology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, Université catholique de </w:t>
      </w:r>
      <w:proofErr w:type="gram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Louvain,,</w:t>
      </w:r>
      <w:proofErr w:type="gram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 xml:space="preserve"> Croix du Sud 2, box L7.05.06, 1348, Louvain-la-Neuve,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val="fr-BE"/>
        </w:rPr>
        <w:t>Belgium</w:t>
      </w:r>
      <w:proofErr w:type="spellEnd"/>
    </w:p>
    <w:p w:rsidR="003C2BF4" w:rsidRPr="003C2BF4" w:rsidRDefault="003C2BF4" w:rsidP="003C2BF4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HG </w:t>
      </w:r>
      <w:proofErr w:type="spellStart"/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Gika</w:t>
      </w:r>
      <w:proofErr w:type="spellEnd"/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 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</w:rPr>
        <w:t xml:space="preserve">4 </w:t>
      </w:r>
      <w:r w:rsidRPr="003C2BF4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</w:rPr>
        <w:t> </w:t>
      </w:r>
      <w:r w:rsidRPr="003C2BF4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</w:rPr>
        <w:t> </w:t>
      </w: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School of Medicine, Aristotle University of Thessaloniki, 541 24, Thessaloniki, Greece and BIOMIC-AUTH, Center for Interdisciplinary Research and Innovation (CIRI-AUTH), Balkan Center,, Buildings A &amp; B, 10th km Thessaloniki-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Thermi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Rd, P.O. Box 8318, GR 570 01, Thessaloniki, Greece</w:t>
      </w:r>
    </w:p>
    <w:p w:rsidR="003C2BF4" w:rsidRPr="003C2BF4" w:rsidRDefault="003C2BF4" w:rsidP="003C2BF4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VP </w:t>
      </w:r>
      <w:proofErr w:type="spellStart"/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Papageorgiou</w:t>
      </w:r>
      <w:proofErr w:type="spellEnd"/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 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</w:rPr>
        <w:t xml:space="preserve">1 </w:t>
      </w:r>
      <w:r w:rsidRPr="003C2BF4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</w:rPr>
        <w:t> </w:t>
      </w:r>
      <w:r w:rsidRPr="003C2BF4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</w:rPr>
        <w:t> </w:t>
      </w: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Laboratory of Organic Chemistry, School of Chemical Engineering, Aristotle University of Thessaloniki, 541 24, Thessaloniki, Greece and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NatPro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-AUTH, Center for Interdisciplinary Research and Innovation (CIRI-AUTH), Balkan Center,, Buildings A &amp; B, 10th km Thessaloniki-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Thermi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Rd, P.O. Box 8318, GR 570 01, Thessaloniki, Greece</w:t>
      </w:r>
    </w:p>
    <w:p w:rsidR="003C2BF4" w:rsidRPr="003C2BF4" w:rsidRDefault="003C2BF4" w:rsidP="003C2BF4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AN </w:t>
      </w:r>
      <w:proofErr w:type="spellStart"/>
      <w:r w:rsidRPr="003C2BF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Assimopoulou</w:t>
      </w:r>
      <w:proofErr w:type="spellEnd"/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 </w:t>
      </w:r>
    </w:p>
    <w:p w:rsidR="003C2BF4" w:rsidRPr="003C2BF4" w:rsidRDefault="003C2BF4" w:rsidP="003C2BF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BF4">
        <w:rPr>
          <w:rFonts w:ascii="Verdana" w:eastAsia="Times New Roman" w:hAnsi="Verdana" w:cs="Times New Roman"/>
          <w:i/>
          <w:iCs/>
          <w:color w:val="000000"/>
          <w:sz w:val="14"/>
          <w:szCs w:val="14"/>
          <w:vertAlign w:val="superscript"/>
        </w:rPr>
        <w:t xml:space="preserve">1 </w:t>
      </w:r>
      <w:r w:rsidRPr="003C2BF4">
        <w:rPr>
          <w:rFonts w:ascii="Arial" w:eastAsia="Times New Roman" w:hAnsi="Arial" w:cs="Arial"/>
          <w:i/>
          <w:iCs/>
          <w:color w:val="000000"/>
          <w:sz w:val="14"/>
          <w:szCs w:val="14"/>
          <w:vertAlign w:val="superscript"/>
        </w:rPr>
        <w:t> </w:t>
      </w:r>
      <w:r w:rsidRPr="003C2BF4">
        <w:rPr>
          <w:rFonts w:ascii="Verdana" w:eastAsia="Times New Roman" w:hAnsi="Verdana" w:cs="Verdana"/>
          <w:i/>
          <w:iCs/>
          <w:color w:val="000000"/>
          <w:sz w:val="14"/>
          <w:szCs w:val="14"/>
          <w:vertAlign w:val="superscript"/>
        </w:rPr>
        <w:t> </w:t>
      </w:r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Laboratory of Organic Chemistry, School of Chemical Engineering, Aristotle University of Thessaloniki, 541 24, Thessaloniki, Greece and 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NatPro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-AUTH, Center for Interdisciplinary Research and Innovation (CIRI-AUTH), Balkan Center,, Buildings A &amp; B, 10th km Thessaloniki-</w:t>
      </w:r>
      <w:proofErr w:type="spellStart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Thermi</w:t>
      </w:r>
      <w:proofErr w:type="spellEnd"/>
      <w:r w:rsidRPr="003C2BF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 xml:space="preserve"> Rd, P.O. Box 8318, GR 570 01, Thessaloniki, Greece</w:t>
      </w:r>
    </w:p>
    <w:p w:rsidR="003C2BF4" w:rsidRDefault="003C2BF4" w:rsidP="003C2BF4">
      <w:pPr>
        <w:pStyle w:val="NormalWeb"/>
        <w:spacing w:before="0" w:beforeAutospacing="0" w:after="319" w:afterAutospacing="0"/>
        <w:rPr>
          <w:rFonts w:ascii="Verdana" w:hAnsi="Verdana"/>
          <w:color w:val="000000"/>
          <w:sz w:val="18"/>
          <w:szCs w:val="18"/>
        </w:rPr>
      </w:pPr>
      <w:bookmarkStart w:id="0" w:name="_GoBack"/>
      <w:bookmarkEnd w:id="0"/>
    </w:p>
    <w:p w:rsidR="003C2BF4" w:rsidRDefault="003C2BF4" w:rsidP="003C2BF4">
      <w:pPr>
        <w:pStyle w:val="NormalWeb"/>
        <w:spacing w:before="0" w:beforeAutospacing="0" w:after="319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The use of plants containing naphthoquinone derivatives </w:t>
      </w:r>
      <w:proofErr w:type="spellStart"/>
      <w:r>
        <w:rPr>
          <w:rFonts w:ascii="Verdana" w:hAnsi="Verdana"/>
          <w:color w:val="000000"/>
          <w:sz w:val="18"/>
          <w:szCs w:val="18"/>
        </w:rPr>
        <w:t>Alkannins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&amp; </w:t>
      </w:r>
      <w:proofErr w:type="spellStart"/>
      <w:r>
        <w:rPr>
          <w:rFonts w:ascii="Verdana" w:hAnsi="Verdana"/>
          <w:color w:val="000000"/>
          <w:sz w:val="18"/>
          <w:szCs w:val="18"/>
        </w:rPr>
        <w:t>Shikonins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(A/S) by humans dates back to ancient times. In recent decades, the use of A/S has seen a resurgence and A/S have risen to a pivotal role as pharmaceutical and cosmeceutical agents, since they possess strong wound healing, antimicrobial, anti-inflammatory, tissue regenerative and antitumor properties. It is thus crucial to enhance the biosynthesis of bioactive A/S in </w:t>
      </w:r>
      <w:proofErr w:type="spellStart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>Alkanna</w:t>
      </w:r>
      <w:proofErr w:type="spellEnd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>tinctoria</w:t>
      </w:r>
      <w:proofErr w:type="spellEnd"/>
      <w:r>
        <w:rPr>
          <w:rFonts w:ascii="Verdana" w:hAnsi="Verdana"/>
          <w:color w:val="000000"/>
          <w:sz w:val="18"/>
          <w:szCs w:val="18"/>
        </w:rPr>
        <w:t> </w:t>
      </w:r>
      <w:proofErr w:type="gramStart"/>
      <w:r>
        <w:rPr>
          <w:rFonts w:ascii="Verdana" w:hAnsi="Verdana"/>
          <w:color w:val="000000"/>
          <w:sz w:val="18"/>
          <w:szCs w:val="18"/>
        </w:rPr>
        <w:t>plants, that naturally produce high amounts of these metabolites [</w:t>
      </w:r>
      <w:hyperlink r:id="rId4" w:anchor="JR3399826-0001" w:history="1">
        <w:r>
          <w:rPr>
            <w:rStyle w:val="Lienhypertexte"/>
            <w:rFonts w:ascii="Verdana" w:hAnsi="Verdana"/>
            <w:color w:val="013476"/>
            <w:sz w:val="18"/>
            <w:szCs w:val="18"/>
          </w:rPr>
          <w:t>1</w:t>
        </w:r>
      </w:hyperlink>
      <w:proofErr w:type="gramEnd"/>
      <w:r>
        <w:rPr>
          <w:rFonts w:ascii="Verdana" w:hAnsi="Verdana"/>
          <w:color w:val="000000"/>
          <w:sz w:val="18"/>
          <w:szCs w:val="18"/>
        </w:rPr>
        <w:t>].</w:t>
      </w:r>
    </w:p>
    <w:p w:rsidR="003C2BF4" w:rsidRDefault="003C2BF4" w:rsidP="003C2BF4">
      <w:pPr>
        <w:pStyle w:val="NormalWeb"/>
        <w:spacing w:before="0" w:beforeAutospacing="0" w:after="319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In the frame of “MICROMETABOLITE” EU H2020 project, we have optimized a workflow for the metabolic profiling of </w:t>
      </w:r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 xml:space="preserve">A. </w:t>
      </w:r>
      <w:proofErr w:type="spellStart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>tinctoria</w:t>
      </w:r>
      <w:proofErr w:type="spellEnd"/>
      <w:r>
        <w:rPr>
          <w:rFonts w:ascii="Verdana" w:hAnsi="Verdana"/>
          <w:color w:val="000000"/>
          <w:sz w:val="18"/>
          <w:szCs w:val="18"/>
        </w:rPr>
        <w:t> roots, cultured in the greenhouse from plants obtained by </w:t>
      </w:r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>in vivo</w:t>
      </w:r>
      <w:r>
        <w:rPr>
          <w:rFonts w:ascii="Verdana" w:hAnsi="Verdana"/>
          <w:color w:val="000000"/>
          <w:sz w:val="18"/>
          <w:szCs w:val="18"/>
        </w:rPr>
        <w:t xml:space="preserve"> shoot cuttings. A fast and reliable extraction procedure </w:t>
      </w:r>
      <w:proofErr w:type="gramStart"/>
      <w:r>
        <w:rPr>
          <w:rFonts w:ascii="Verdana" w:hAnsi="Verdana"/>
          <w:color w:val="000000"/>
          <w:sz w:val="18"/>
          <w:szCs w:val="18"/>
        </w:rPr>
        <w:t>was achieved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for comprehensive profiling and identification of A/S and other metabolites biosynthesized in the roots. The aim of this work was to determine the growth stage with peak A/S production, while simultaneously obtaining additional information on the root metabolome. A combination of UHPLC-HRMS and NMR </w:t>
      </w:r>
      <w:proofErr w:type="gramStart"/>
      <w:r>
        <w:rPr>
          <w:rFonts w:ascii="Verdana" w:hAnsi="Verdana"/>
          <w:color w:val="000000"/>
          <w:sz w:val="18"/>
          <w:szCs w:val="18"/>
        </w:rPr>
        <w:t>was used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for metabolite identification, HPLC was utilized for reliable quantitation of A/S and the extracts were subjected to chiral HPLC analysis [</w:t>
      </w:r>
      <w:hyperlink r:id="rId5" w:anchor="JR3399826-0002" w:history="1">
        <w:r>
          <w:rPr>
            <w:rStyle w:val="Lienhypertexte"/>
            <w:rFonts w:ascii="Verdana" w:hAnsi="Verdana"/>
            <w:color w:val="013476"/>
            <w:sz w:val="18"/>
            <w:szCs w:val="18"/>
          </w:rPr>
          <w:t>2</w:t>
        </w:r>
      </w:hyperlink>
      <w:r>
        <w:rPr>
          <w:rFonts w:ascii="Verdana" w:hAnsi="Verdana"/>
          <w:color w:val="000000"/>
          <w:sz w:val="18"/>
          <w:szCs w:val="18"/>
        </w:rPr>
        <w:t>] for determination of the enantiomeric A/S ratio.</w:t>
      </w:r>
    </w:p>
    <w:p w:rsidR="003C2BF4" w:rsidRDefault="003C2BF4" w:rsidP="003C2BF4">
      <w:pPr>
        <w:pStyle w:val="NormalWeb"/>
        <w:spacing w:before="0" w:beforeAutospacing="0" w:after="319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Different A/S derivatives and other metabolites </w:t>
      </w:r>
      <w:proofErr w:type="gramStart"/>
      <w:r>
        <w:rPr>
          <w:rFonts w:ascii="Verdana" w:hAnsi="Verdana"/>
          <w:color w:val="000000"/>
          <w:sz w:val="18"/>
          <w:szCs w:val="18"/>
        </w:rPr>
        <w:t>were identified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in plant roots using UHPLC-HRMS and NMR. Six A/S derivatives and total A/S </w:t>
      </w:r>
      <w:proofErr w:type="gramStart"/>
      <w:r>
        <w:rPr>
          <w:rFonts w:ascii="Verdana" w:hAnsi="Verdana"/>
          <w:color w:val="000000"/>
          <w:sz w:val="18"/>
          <w:szCs w:val="18"/>
        </w:rPr>
        <w:t>were quantified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using HPLC-DAD. From six vegetation stages of </w:t>
      </w:r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 xml:space="preserve">A. </w:t>
      </w:r>
      <w:proofErr w:type="spellStart"/>
      <w:r>
        <w:rPr>
          <w:rStyle w:val="i"/>
          <w:rFonts w:ascii="Verdana" w:hAnsi="Verdana"/>
          <w:i/>
          <w:iCs/>
          <w:color w:val="000000"/>
          <w:sz w:val="18"/>
          <w:szCs w:val="18"/>
        </w:rPr>
        <w:t>tinctoria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 grown under greenhouse conditions, fruiting period was found to peak A/S production (1% </w:t>
      </w:r>
      <w:proofErr w:type="spellStart"/>
      <w:r>
        <w:rPr>
          <w:rFonts w:ascii="Verdana" w:hAnsi="Verdana"/>
          <w:color w:val="000000"/>
          <w:sz w:val="18"/>
          <w:szCs w:val="18"/>
        </w:rPr>
        <w:t>wt</w:t>
      </w:r>
      <w:proofErr w:type="spellEnd"/>
      <w:r>
        <w:rPr>
          <w:rFonts w:ascii="Verdana" w:hAnsi="Verdana"/>
          <w:color w:val="000000"/>
          <w:sz w:val="18"/>
          <w:szCs w:val="18"/>
        </w:rPr>
        <w:t>/</w:t>
      </w:r>
      <w:proofErr w:type="spellStart"/>
      <w:r>
        <w:rPr>
          <w:rFonts w:ascii="Verdana" w:hAnsi="Verdana"/>
          <w:color w:val="000000"/>
          <w:sz w:val="18"/>
          <w:szCs w:val="18"/>
        </w:rPr>
        <w:t>wt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of root), while the enantiomeric </w:t>
      </w:r>
      <w:proofErr w:type="spellStart"/>
      <w:r>
        <w:rPr>
          <w:rFonts w:ascii="Verdana" w:hAnsi="Verdana"/>
          <w:color w:val="000000"/>
          <w:sz w:val="18"/>
          <w:szCs w:val="18"/>
        </w:rPr>
        <w:t>alkannin</w:t>
      </w:r>
      <w:proofErr w:type="spellEnd"/>
      <w:r>
        <w:rPr>
          <w:rFonts w:ascii="Verdana" w:hAnsi="Verdana"/>
          <w:color w:val="000000"/>
          <w:sz w:val="18"/>
          <w:szCs w:val="18"/>
        </w:rPr>
        <w:t>/</w:t>
      </w:r>
      <w:proofErr w:type="spellStart"/>
      <w:r>
        <w:rPr>
          <w:rFonts w:ascii="Verdana" w:hAnsi="Verdana"/>
          <w:color w:val="000000"/>
          <w:sz w:val="18"/>
          <w:szCs w:val="18"/>
        </w:rPr>
        <w:t>shikonin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ratio remained constant (93.7%).</w:t>
      </w:r>
    </w:p>
    <w:p w:rsidR="00174DFD" w:rsidRDefault="003C2BF4"/>
    <w:sectPr w:rsidR="00174DF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BF4"/>
    <w:rsid w:val="003C2BF4"/>
    <w:rsid w:val="00934D85"/>
    <w:rsid w:val="00BD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8DC84"/>
  <w15:chartTrackingRefBased/>
  <w15:docId w15:val="{AE1C8234-ED3F-4F26-BF4F-A83959D2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C2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">
    <w:name w:val="i"/>
    <w:basedOn w:val="Policepardfaut"/>
    <w:rsid w:val="003C2BF4"/>
  </w:style>
  <w:style w:type="character" w:styleId="Lienhypertexte">
    <w:name w:val="Hyperlink"/>
    <w:basedOn w:val="Policepardfaut"/>
    <w:uiPriority w:val="99"/>
    <w:semiHidden/>
    <w:unhideWhenUsed/>
    <w:rsid w:val="003C2BF4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3C2B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uthor">
    <w:name w:val="author"/>
    <w:basedOn w:val="Policepardfaut"/>
    <w:rsid w:val="003C2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hieme-connect.de/products/ejournals/abstract/10.1055/s-0039-3399826" TargetMode="External"/><Relationship Id="rId4" Type="http://schemas.openxmlformats.org/officeDocument/2006/relationships/hyperlink" Target="https://www.thieme-connect.de/products/ejournals/abstract/10.1055/s-0039-339982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Ismahen Lalaymia</dc:creator>
  <cp:keywords/>
  <dc:description/>
  <cp:lastModifiedBy>Ismahen Lalaymia</cp:lastModifiedBy>
  <cp:revision>1</cp:revision>
  <dcterms:created xsi:type="dcterms:W3CDTF">2023-01-09T08:48:00Z</dcterms:created>
  <dcterms:modified xsi:type="dcterms:W3CDTF">2023-01-09T08:49:00Z</dcterms:modified>
</cp:coreProperties>
</file>