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96F" w:rsidRDefault="005871B8" w:rsidP="00B2792A">
      <w:pPr>
        <w:jc w:val="both"/>
      </w:pPr>
      <w:r>
        <w:t xml:space="preserve">Valentino </w:t>
      </w:r>
      <w:r w:rsidRPr="005871B8">
        <w:rPr>
          <w:smallCaps/>
        </w:rPr>
        <w:t>Gasparini</w:t>
      </w:r>
      <w:r w:rsidR="00EF1C81">
        <w:t xml:space="preserve"> (ed.)</w:t>
      </w:r>
      <w:r>
        <w:t>,</w:t>
      </w:r>
      <w:bookmarkStart w:id="0" w:name="_GoBack"/>
      <w:bookmarkEnd w:id="0"/>
      <w:r w:rsidR="00EF1C81">
        <w:t xml:space="preserve"> </w:t>
      </w:r>
      <w:r w:rsidR="00EF1C81" w:rsidRPr="00EF1C81">
        <w:rPr>
          <w:i/>
          <w:lang w:val="en-US"/>
        </w:rPr>
        <w:t>Vestigia : Miscellanea di studi storico-religiosi in onore dell‘80° anniversario di Filippo Coarelli</w:t>
      </w:r>
      <w:r w:rsidR="00EF1C81" w:rsidRPr="00EF1C81">
        <w:rPr>
          <w:lang w:val="en-US"/>
        </w:rPr>
        <w:t>, Stutt</w:t>
      </w:r>
      <w:r w:rsidR="00EF1C81">
        <w:rPr>
          <w:lang w:val="en-US"/>
        </w:rPr>
        <w:t xml:space="preserve">gart, Steiner, 2016 (Potsdamer </w:t>
      </w:r>
      <w:r w:rsidR="00EF1C81" w:rsidRPr="00EF1C81">
        <w:rPr>
          <w:lang w:val="en-US"/>
        </w:rPr>
        <w:t xml:space="preserve">Altertumswissenschaftliche Beiträge 55). </w:t>
      </w:r>
      <w:r w:rsidR="00EF1C81">
        <w:t>1 vol., 786 p., Prix : 94 EUR. ISBN 9783515107471.</w:t>
      </w:r>
    </w:p>
    <w:p w:rsidR="00292A16" w:rsidRDefault="000F0C5D" w:rsidP="00B2792A">
      <w:pPr>
        <w:jc w:val="both"/>
      </w:pPr>
      <w:r>
        <w:t>Ce volume</w:t>
      </w:r>
      <w:r w:rsidR="00C0679A">
        <w:t xml:space="preserve"> d’hommage est dédié à un très grand savant, F. Coarelli, à l’occasion de son 80</w:t>
      </w:r>
      <w:r w:rsidR="00C0679A" w:rsidRPr="00C0679A">
        <w:rPr>
          <w:vertAlign w:val="superscript"/>
        </w:rPr>
        <w:t>e</w:t>
      </w:r>
      <w:r w:rsidR="00C0679A">
        <w:t xml:space="preserve"> anniversaire.  Sa bibliographie (de 1961 à 2015), présentée chronologiquement, témoigne de l’ampleur de sa production</w:t>
      </w:r>
      <w:r w:rsidR="00D64DEE">
        <w:t xml:space="preserve"> (453 titres, dont 63 livres, parmi lesquels on rappellera l’importance de ceux qu’il a consacrés </w:t>
      </w:r>
      <w:r w:rsidR="00D35C8B">
        <w:t>à la topographie romaine)</w:t>
      </w:r>
      <w:r w:rsidR="00D64DEE">
        <w:t xml:space="preserve"> </w:t>
      </w:r>
      <w:r w:rsidR="00D35C8B">
        <w:t>et de</w:t>
      </w:r>
      <w:r w:rsidR="00C0679A">
        <w:t xml:space="preserve"> la variété de ses centres d’intérêts : archéologie, topographie, numismatique, philologie, histoire de l’art et histoire des religions notamment – et ce, depuis l’époque archaïque jusqu’à l’antiquité tardive. Afin d’assurer une certaine cohérenc</w:t>
      </w:r>
      <w:r w:rsidR="00B2792A">
        <w:t>e au volume, l’éditeur, V. Gaspa</w:t>
      </w:r>
      <w:r w:rsidR="00C0679A">
        <w:t>rini, a sagement choisi un</w:t>
      </w:r>
      <w:r w:rsidR="00D64DEE">
        <w:t xml:space="preserve"> fil rouge, un commun dénominateur qui traverse l’œuvre du savant honoré : l’histoire des religions (« una prospettiva storico-religiosa »). Il convient de</w:t>
      </w:r>
      <w:r w:rsidR="00B2792A">
        <w:t xml:space="preserve"> saluer l’entreprise de V. Gaspa</w:t>
      </w:r>
      <w:r w:rsidR="00D64DEE">
        <w:t>rini, qui n’a pas hésité à solliciter un très grand nombre d</w:t>
      </w:r>
      <w:r w:rsidR="00D35C8B">
        <w:t>e collègues du savant italien,</w:t>
      </w:r>
      <w:r w:rsidR="00D64DEE">
        <w:t xml:space="preserve"> à rassembler ainsi 52 articles, écrits par 54 auteurs, en italien, français, anglais et espagnol</w:t>
      </w:r>
      <w:r w:rsidR="00F375CE">
        <w:t>,</w:t>
      </w:r>
      <w:r w:rsidR="00D35C8B">
        <w:t xml:space="preserve"> à les organiser autour de sept axes, constituant autant de</w:t>
      </w:r>
      <w:r w:rsidR="00D64DEE">
        <w:t xml:space="preserve"> sections</w:t>
      </w:r>
      <w:r w:rsidR="00D35C8B">
        <w:t xml:space="preserve"> de l’ouvrage</w:t>
      </w:r>
      <w:r w:rsidR="00F375CE">
        <w:t xml:space="preserve"> et à pourvoir cet épais volumes d’un index des sources et d’un index analytique, particulièrement précieux.</w:t>
      </w:r>
      <w:r w:rsidR="00DB64D8">
        <w:t xml:space="preserve"> L’espace imparti ne permet pas de passer ici en revue la totalité de ces articles.</w:t>
      </w:r>
      <w:r w:rsidR="00D35C8B">
        <w:t xml:space="preserve"> La première</w:t>
      </w:r>
      <w:r w:rsidR="00DB64D8">
        <w:t xml:space="preserve"> partie</w:t>
      </w:r>
      <w:r w:rsidR="00D35C8B">
        <w:t xml:space="preserve"> est consacrée à « religion et archéologie du paysage » : comment les phénomènes religieux ont-ils influencé voire façonné les choix religieux, la topographie des sanctuaires et les pratiques rituelles ? Cette problématique est principalement appliquée à Rome et à des sites du Latium, avec notamment des contributions de G. Battaglini sur Hercule et le sel aux origines de Rome, de M. Cébeillac-Gervasoni sur « Neptune, Rome, Véies et le lac Albain », de G. Ghini sur le bois sacré de Diane à Nemi, de S. Gatti, sur les lieux de culte pré-romains dans le sud du Latium intérieur.</w:t>
      </w:r>
      <w:r w:rsidR="00E9171A">
        <w:t xml:space="preserve"> La deuxième partie porte sur les temps et les espaces du sacré, avec, entre autres, des articles de E. Greco sur les processions en l’honneur d’Apollon et Aphrodite entre Eleusis et Athènes, de M. Maiuro sur les </w:t>
      </w:r>
      <w:r w:rsidR="00E9171A">
        <w:rPr>
          <w:i/>
        </w:rPr>
        <w:t>feriae conceptiuae</w:t>
      </w:r>
      <w:r w:rsidR="00E9171A">
        <w:t xml:space="preserve"> de la Rome archaïque, de J. Scheid sur les cérémonies de </w:t>
      </w:r>
      <w:r w:rsidR="00E9171A">
        <w:rPr>
          <w:i/>
        </w:rPr>
        <w:t>lustratio</w:t>
      </w:r>
      <w:r w:rsidR="00E9171A">
        <w:t xml:space="preserve"> dans la Rome républicaine, de </w:t>
      </w:r>
      <w:r w:rsidR="00B2792A" w:rsidRPr="00B2792A">
        <w:rPr>
          <w:b/>
        </w:rPr>
        <w:t>R</w:t>
      </w:r>
      <w:r w:rsidR="00B2792A">
        <w:t xml:space="preserve">. </w:t>
      </w:r>
      <w:r w:rsidR="00E9171A">
        <w:t xml:space="preserve">Picuti sur un temple récemment découvert dans le territoire de Foligno, de P. Gros sur la « sémantique sacrale du marbre blanc à Rome » à la fin de l’époque républicaine et sous Auguste. La troisième section, qui est de loin la plus longue (p. 259-452), a pour thématique les acteurs du culte. F. Zevi y développe des considérations nouvelles sur </w:t>
      </w:r>
      <w:r w:rsidR="00E9171A">
        <w:rPr>
          <w:i/>
        </w:rPr>
        <w:t>Honos</w:t>
      </w:r>
      <w:r w:rsidR="00E9171A">
        <w:t xml:space="preserve"> à Pouzzoles, à partir d’une lecture attentive </w:t>
      </w:r>
      <w:r w:rsidR="00B2792A">
        <w:t>d</w:t>
      </w:r>
      <w:r w:rsidR="00E9171A">
        <w:t xml:space="preserve">e la </w:t>
      </w:r>
      <w:r w:rsidR="00E9171A">
        <w:rPr>
          <w:i/>
        </w:rPr>
        <w:t>lex parieti faciundo</w:t>
      </w:r>
      <w:r w:rsidR="00E9171A">
        <w:t xml:space="preserve">. A. Dubourdieu s’intéresse au savoir des augures comme </w:t>
      </w:r>
      <w:r w:rsidR="00E9171A">
        <w:rPr>
          <w:i/>
        </w:rPr>
        <w:t>interpretes Iouis</w:t>
      </w:r>
      <w:r w:rsidR="00292A16">
        <w:t xml:space="preserve"> à travers quelques traités de Cicéron ; C. Pavolini aux </w:t>
      </w:r>
      <w:r w:rsidR="00292A16">
        <w:rPr>
          <w:i/>
        </w:rPr>
        <w:t>hymnologi</w:t>
      </w:r>
      <w:r w:rsidR="00292A16">
        <w:t xml:space="preserve"> de </w:t>
      </w:r>
      <w:r w:rsidR="00292A16">
        <w:rPr>
          <w:i/>
        </w:rPr>
        <w:t>Mater Magna</w:t>
      </w:r>
      <w:r w:rsidR="00292A16">
        <w:t xml:space="preserve"> et à la localisation de leurs activités ; D. Nonnis à une dédicace républicaine de </w:t>
      </w:r>
      <w:r w:rsidR="00292A16">
        <w:rPr>
          <w:i/>
        </w:rPr>
        <w:t>Cales </w:t>
      </w:r>
      <w:r w:rsidR="00292A16">
        <w:t xml:space="preserve">; R. Rubio Rivera au culte de Mithra en Ombrie. S. Panciera propose une relecture de trois </w:t>
      </w:r>
      <w:r w:rsidR="00B2792A">
        <w:t>fragments</w:t>
      </w:r>
      <w:r w:rsidR="00292A16">
        <w:t xml:space="preserve"> d’</w:t>
      </w:r>
      <w:r w:rsidR="00292A16">
        <w:rPr>
          <w:i/>
        </w:rPr>
        <w:t>inscriptiones sacrae</w:t>
      </w:r>
      <w:r w:rsidR="00292A16">
        <w:t xml:space="preserve"> de Rome, d</w:t>
      </w:r>
      <w:r w:rsidR="00B2792A">
        <w:t>’</w:t>
      </w:r>
      <w:r w:rsidR="00292A16">
        <w:t>époque médio-républicaine (</w:t>
      </w:r>
      <w:r w:rsidR="00292A16">
        <w:rPr>
          <w:i/>
        </w:rPr>
        <w:t>AE</w:t>
      </w:r>
      <w:r w:rsidR="00292A16">
        <w:t xml:space="preserve"> 2008, 199</w:t>
      </w:r>
      <w:r w:rsidR="00DB64D8">
        <w:t xml:space="preserve"> ; </w:t>
      </w:r>
      <w:r w:rsidR="00DB64D8">
        <w:rPr>
          <w:i/>
        </w:rPr>
        <w:t>ILLRP</w:t>
      </w:r>
      <w:r w:rsidR="00DB64D8">
        <w:t xml:space="preserve"> 184 ; </w:t>
      </w:r>
      <w:r w:rsidR="00DB64D8">
        <w:rPr>
          <w:i/>
        </w:rPr>
        <w:t xml:space="preserve">AE </w:t>
      </w:r>
      <w:r w:rsidR="00DB64D8">
        <w:t>1945, 27). H. Solin revoit quant à lui une inscription romaine dédiée à Silvanus (</w:t>
      </w:r>
      <w:r w:rsidR="00DB64D8">
        <w:rPr>
          <w:i/>
        </w:rPr>
        <w:t>CIL</w:t>
      </w:r>
      <w:r w:rsidR="00DB64D8">
        <w:t xml:space="preserve"> VI, 647). La quatrième partie rassemble quatre articles ayant pour point commun la figure du dieu souverain, Zeus ou Jupiter, considéré à travers la linguistique, la sculpture ou la peinture. La cinquième section</w:t>
      </w:r>
      <w:r w:rsidR="0015221E">
        <w:t xml:space="preserve"> vise à étudier les rapports entre iconographie et préférences religieuses. Elle compte notamment des articles de A. Polosa sur les divinités représentées sur les monnaies de Sibaris, de V. Gasparini sur les oreilles dédiées à Isis, interprétées comme des rites en rapport avec la </w:t>
      </w:r>
      <w:r w:rsidR="0015221E">
        <w:rPr>
          <w:i/>
        </w:rPr>
        <w:t>fides</w:t>
      </w:r>
      <w:r w:rsidR="0015221E">
        <w:t xml:space="preserve"> et la mémoire ; de G. Sauron sur « choix de vie et choix de décor. Auguste et Livie au Palatin en 36 av. n.è. », de E. Steinby sur les représentations de divinités sur les « bolli doliari » en Italie centrale. Dans la sixième section sont examinés les rites funéraires et les processus de héroïsation, notamment à Sparte (M. Nafissi), à Amphipolis (T. Mavrojannis) et à Mantinée autour d’Antinous (V. Tsiolis). La dernière partie</w:t>
      </w:r>
      <w:r w:rsidR="00F375CE">
        <w:t>, qui compte quatre articles,</w:t>
      </w:r>
      <w:r w:rsidR="0015221E">
        <w:t xml:space="preserve"> porte sur la réception de l’antiquité</w:t>
      </w:r>
      <w:r w:rsidR="00F375CE">
        <w:t>.</w:t>
      </w:r>
    </w:p>
    <w:p w:rsidR="00F375CE" w:rsidRPr="0015221E" w:rsidRDefault="00F375CE" w:rsidP="00B2792A">
      <w:pPr>
        <w:jc w:val="both"/>
      </w:pPr>
      <w:r>
        <w:t>Françoise Van Haeperen</w:t>
      </w:r>
    </w:p>
    <w:sectPr w:rsidR="00F375CE" w:rsidRPr="001522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7EF"/>
    <w:rsid w:val="000F0C5D"/>
    <w:rsid w:val="0015221E"/>
    <w:rsid w:val="001E196F"/>
    <w:rsid w:val="00292A16"/>
    <w:rsid w:val="005027EF"/>
    <w:rsid w:val="005871B8"/>
    <w:rsid w:val="00B2792A"/>
    <w:rsid w:val="00C0679A"/>
    <w:rsid w:val="00D35C8B"/>
    <w:rsid w:val="00D64DEE"/>
    <w:rsid w:val="00DB64D8"/>
    <w:rsid w:val="00E9171A"/>
    <w:rsid w:val="00EF1C81"/>
    <w:rsid w:val="00F375CE"/>
    <w:rsid w:val="00F63ED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EF707"/>
  <w15:chartTrackingRefBased/>
  <w15:docId w15:val="{A9A775FF-2FD5-473A-BC77-D2A5B12EC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before="40" w:after="120" w:line="26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1</Pages>
  <Words>683</Words>
  <Characters>3760</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Van Haeperen</dc:creator>
  <cp:keywords/>
  <dc:description/>
  <cp:lastModifiedBy>Françoise Van Haeperen</cp:lastModifiedBy>
  <cp:revision>7</cp:revision>
  <dcterms:created xsi:type="dcterms:W3CDTF">2016-11-29T16:40:00Z</dcterms:created>
  <dcterms:modified xsi:type="dcterms:W3CDTF">2017-12-21T16:05:00Z</dcterms:modified>
</cp:coreProperties>
</file>