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AE730" w14:textId="6AFD0D2D" w:rsidR="00851798" w:rsidRPr="00B60F57" w:rsidRDefault="00851798" w:rsidP="00851798">
      <w:pPr>
        <w:pStyle w:val="Titre1"/>
        <w:jc w:val="center"/>
        <w:rPr>
          <w:rFonts w:ascii="Times New Roman" w:hAnsi="Times New Roman" w:cs="Times New Roman"/>
          <w:color w:val="auto"/>
          <w:sz w:val="24"/>
          <w:szCs w:val="24"/>
          <w:u w:val="single"/>
        </w:rPr>
      </w:pPr>
      <w:r w:rsidRPr="00B60F57">
        <w:rPr>
          <w:rFonts w:ascii="Times New Roman" w:hAnsi="Times New Roman" w:cs="Times New Roman"/>
          <w:color w:val="auto"/>
          <w:sz w:val="24"/>
          <w:szCs w:val="24"/>
          <w:u w:val="single"/>
        </w:rPr>
        <w:t xml:space="preserve">La formulation des spécifications techniques – environnementales – </w:t>
      </w:r>
      <w:r w:rsidR="00FD36A7">
        <w:rPr>
          <w:rFonts w:ascii="Times New Roman" w:hAnsi="Times New Roman" w:cs="Times New Roman"/>
          <w:color w:val="auto"/>
          <w:sz w:val="24"/>
          <w:szCs w:val="24"/>
          <w:u w:val="single"/>
        </w:rPr>
        <w:t xml:space="preserve">avant et </w:t>
      </w:r>
      <w:r w:rsidRPr="00B60F57">
        <w:rPr>
          <w:rFonts w:ascii="Times New Roman" w:hAnsi="Times New Roman" w:cs="Times New Roman"/>
          <w:color w:val="auto"/>
          <w:sz w:val="24"/>
          <w:szCs w:val="24"/>
          <w:u w:val="single"/>
        </w:rPr>
        <w:t xml:space="preserve">après </w:t>
      </w:r>
      <w:r w:rsidR="00B80C6E" w:rsidRPr="008B4A8E">
        <w:rPr>
          <w:rFonts w:ascii="Times New Roman" w:hAnsi="Times New Roman" w:cs="Times New Roman"/>
          <w:color w:val="auto"/>
          <w:sz w:val="24"/>
          <w:szCs w:val="24"/>
          <w:u w:val="single"/>
        </w:rPr>
        <w:t xml:space="preserve">l’arrêt </w:t>
      </w:r>
      <w:r w:rsidR="00B80C6E" w:rsidRPr="00B60F57">
        <w:rPr>
          <w:rFonts w:ascii="Times New Roman" w:hAnsi="Times New Roman" w:cs="Times New Roman"/>
          <w:i/>
          <w:iCs/>
          <w:color w:val="auto"/>
          <w:sz w:val="24"/>
          <w:szCs w:val="24"/>
          <w:u w:val="single"/>
        </w:rPr>
        <w:t>D</w:t>
      </w:r>
      <w:r w:rsidR="00C54BFA">
        <w:rPr>
          <w:rFonts w:ascii="Times New Roman" w:hAnsi="Times New Roman" w:cs="Times New Roman"/>
          <w:i/>
          <w:iCs/>
          <w:color w:val="auto"/>
          <w:sz w:val="24"/>
          <w:szCs w:val="24"/>
          <w:u w:val="single"/>
        </w:rPr>
        <w:t>YKA</w:t>
      </w:r>
      <w:r w:rsidR="00B80C6E" w:rsidRPr="00B60F57">
        <w:rPr>
          <w:rFonts w:ascii="Times New Roman" w:hAnsi="Times New Roman" w:cs="Times New Roman"/>
          <w:i/>
          <w:iCs/>
          <w:color w:val="auto"/>
          <w:sz w:val="24"/>
          <w:szCs w:val="24"/>
          <w:u w:val="single"/>
        </w:rPr>
        <w:t xml:space="preserve"> Plastics </w:t>
      </w:r>
    </w:p>
    <w:p w14:paraId="7DBE10A0" w14:textId="77777777" w:rsidR="0045357E" w:rsidRDefault="0045357E" w:rsidP="00B60F57">
      <w:pPr>
        <w:jc w:val="center"/>
        <w:rPr>
          <w:rFonts w:ascii="Times New Roman" w:hAnsi="Times New Roman" w:cs="Times New Roman"/>
        </w:rPr>
      </w:pPr>
    </w:p>
    <w:p w14:paraId="20605755" w14:textId="74FBDF9A" w:rsidR="00B80C6E" w:rsidRDefault="00253EDA" w:rsidP="00B60F57">
      <w:pPr>
        <w:jc w:val="center"/>
        <w:rPr>
          <w:rFonts w:ascii="Times New Roman" w:hAnsi="Times New Roman" w:cs="Times New Roman"/>
        </w:rPr>
      </w:pPr>
      <w:r>
        <w:rPr>
          <w:rFonts w:ascii="Times New Roman" w:hAnsi="Times New Roman" w:cs="Times New Roman"/>
        </w:rPr>
        <w:t xml:space="preserve">Leana Derard </w:t>
      </w:r>
    </w:p>
    <w:p w14:paraId="3A0AE193" w14:textId="4BF25A2A" w:rsidR="00253EDA" w:rsidRDefault="00253EDA" w:rsidP="00B60F57">
      <w:pPr>
        <w:jc w:val="center"/>
        <w:rPr>
          <w:rFonts w:ascii="Times New Roman" w:hAnsi="Times New Roman" w:cs="Times New Roman"/>
        </w:rPr>
      </w:pPr>
      <w:r>
        <w:rPr>
          <w:rFonts w:ascii="Times New Roman" w:hAnsi="Times New Roman" w:cs="Times New Roman"/>
        </w:rPr>
        <w:t>Doctorante à l’UCLouvain</w:t>
      </w:r>
    </w:p>
    <w:p w14:paraId="7A04855B" w14:textId="3FB38998" w:rsidR="00253EDA" w:rsidRDefault="00253EDA" w:rsidP="00B60F57">
      <w:pPr>
        <w:jc w:val="center"/>
        <w:rPr>
          <w:rFonts w:ascii="Times New Roman" w:hAnsi="Times New Roman" w:cs="Times New Roman"/>
        </w:rPr>
      </w:pPr>
      <w:r>
        <w:rPr>
          <w:rFonts w:ascii="Times New Roman" w:hAnsi="Times New Roman" w:cs="Times New Roman"/>
        </w:rPr>
        <w:t>Assistante à l’UCLouvain</w:t>
      </w:r>
      <w:r w:rsidR="00096BE3">
        <w:rPr>
          <w:rFonts w:ascii="Times New Roman" w:hAnsi="Times New Roman" w:cs="Times New Roman"/>
        </w:rPr>
        <w:t xml:space="preserve"> Saint-Louis Bruxelles</w:t>
      </w:r>
    </w:p>
    <w:p w14:paraId="101C9EF1" w14:textId="77777777" w:rsidR="00096BE3" w:rsidRPr="00B60F57" w:rsidRDefault="00096BE3" w:rsidP="00B60F57">
      <w:pPr>
        <w:jc w:val="center"/>
        <w:rPr>
          <w:rFonts w:ascii="Times New Roman" w:hAnsi="Times New Roman" w:cs="Times New Roman"/>
        </w:rPr>
      </w:pPr>
    </w:p>
    <w:p w14:paraId="0220F41A" w14:textId="7300E0EA" w:rsidR="004E445D" w:rsidRDefault="007B3635" w:rsidP="004E445D">
      <w:pPr>
        <w:pStyle w:val="Titre2"/>
        <w:numPr>
          <w:ilvl w:val="0"/>
          <w:numId w:val="2"/>
        </w:numPr>
        <w:rPr>
          <w:rFonts w:ascii="Times New Roman" w:hAnsi="Times New Roman" w:cs="Times New Roman"/>
          <w:color w:val="auto"/>
          <w:sz w:val="24"/>
          <w:szCs w:val="24"/>
        </w:rPr>
      </w:pPr>
      <w:r>
        <w:rPr>
          <w:rFonts w:ascii="Times New Roman" w:hAnsi="Times New Roman" w:cs="Times New Roman"/>
          <w:color w:val="auto"/>
          <w:sz w:val="24"/>
          <w:szCs w:val="24"/>
        </w:rPr>
        <w:t>Introduction</w:t>
      </w:r>
      <w:r w:rsidR="003D0C0F">
        <w:rPr>
          <w:rFonts w:ascii="Times New Roman" w:hAnsi="Times New Roman" w:cs="Times New Roman"/>
          <w:color w:val="auto"/>
          <w:sz w:val="24"/>
          <w:szCs w:val="24"/>
        </w:rPr>
        <w:t xml:space="preserve"> </w:t>
      </w:r>
    </w:p>
    <w:p w14:paraId="2D778981" w14:textId="77777777" w:rsidR="003D0C0F" w:rsidRPr="003D0C0F" w:rsidRDefault="003D0C0F" w:rsidP="003D0C0F"/>
    <w:p w14:paraId="3332440E" w14:textId="2297F9DC" w:rsidR="002133B8" w:rsidRDefault="00261A1C" w:rsidP="007410F0">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Le 16 janvier 2025, la Cour de justice de l’Union européenne (ci-après « </w:t>
      </w:r>
      <w:r w:rsidR="006C3F6F">
        <w:rPr>
          <w:rFonts w:ascii="Times New Roman" w:hAnsi="Times New Roman" w:cs="Times New Roman"/>
        </w:rPr>
        <w:t xml:space="preserve">la </w:t>
      </w:r>
      <w:r>
        <w:rPr>
          <w:rFonts w:ascii="Times New Roman" w:hAnsi="Times New Roman" w:cs="Times New Roman"/>
        </w:rPr>
        <w:t>CJUE »</w:t>
      </w:r>
      <w:r w:rsidR="006C3F6F">
        <w:rPr>
          <w:rFonts w:ascii="Times New Roman" w:hAnsi="Times New Roman" w:cs="Times New Roman"/>
        </w:rPr>
        <w:t xml:space="preserve"> ou « la Cour »</w:t>
      </w:r>
      <w:r>
        <w:rPr>
          <w:rFonts w:ascii="Times New Roman" w:hAnsi="Times New Roman" w:cs="Times New Roman"/>
        </w:rPr>
        <w:t xml:space="preserve">) a rendu </w:t>
      </w:r>
      <w:r w:rsidR="000821FC">
        <w:rPr>
          <w:rFonts w:ascii="Times New Roman" w:hAnsi="Times New Roman" w:cs="Times New Roman"/>
        </w:rPr>
        <w:t>l’</w:t>
      </w:r>
      <w:r w:rsidR="00775419">
        <w:rPr>
          <w:rFonts w:ascii="Times New Roman" w:hAnsi="Times New Roman" w:cs="Times New Roman"/>
        </w:rPr>
        <w:t>arrêt</w:t>
      </w:r>
      <w:r w:rsidR="000821FC">
        <w:rPr>
          <w:rFonts w:ascii="Times New Roman" w:hAnsi="Times New Roman" w:cs="Times New Roman"/>
        </w:rPr>
        <w:t xml:space="preserve"> </w:t>
      </w:r>
      <w:r w:rsidR="000821FC">
        <w:rPr>
          <w:rFonts w:ascii="Times New Roman" w:hAnsi="Times New Roman" w:cs="Times New Roman"/>
          <w:i/>
          <w:iCs/>
        </w:rPr>
        <w:t>DYKA Plastics</w:t>
      </w:r>
      <w:r w:rsidR="000821FC" w:rsidRPr="008B0805">
        <w:rPr>
          <w:rStyle w:val="Appelnotedebasdep"/>
          <w:rFonts w:ascii="Times New Roman" w:hAnsi="Times New Roman" w:cs="Times New Roman"/>
        </w:rPr>
        <w:footnoteReference w:id="1"/>
      </w:r>
      <w:r w:rsidR="008B0805">
        <w:rPr>
          <w:rFonts w:ascii="Times New Roman" w:hAnsi="Times New Roman" w:cs="Times New Roman"/>
          <w:i/>
          <w:iCs/>
        </w:rPr>
        <w:t xml:space="preserve">, </w:t>
      </w:r>
      <w:r w:rsidR="00E40CC5">
        <w:rPr>
          <w:rFonts w:ascii="Times New Roman" w:hAnsi="Times New Roman" w:cs="Times New Roman"/>
        </w:rPr>
        <w:t>dans lequel elle s’est</w:t>
      </w:r>
      <w:r w:rsidR="001517AE">
        <w:rPr>
          <w:rFonts w:ascii="Times New Roman" w:hAnsi="Times New Roman" w:cs="Times New Roman"/>
        </w:rPr>
        <w:t xml:space="preserve"> notamment prononcée sur la question</w:t>
      </w:r>
      <w:r w:rsidR="00852F24">
        <w:rPr>
          <w:rFonts w:ascii="Times New Roman" w:hAnsi="Times New Roman" w:cs="Times New Roman"/>
        </w:rPr>
        <w:t xml:space="preserve"> de savoir si un pouvoir adjudicateur peut exiger</w:t>
      </w:r>
      <w:r w:rsidR="001517AE">
        <w:rPr>
          <w:rFonts w:ascii="Times New Roman" w:hAnsi="Times New Roman" w:cs="Times New Roman"/>
        </w:rPr>
        <w:t>, comme spécification technique,</w:t>
      </w:r>
      <w:r w:rsidR="00852F24">
        <w:rPr>
          <w:rFonts w:ascii="Times New Roman" w:hAnsi="Times New Roman" w:cs="Times New Roman"/>
        </w:rPr>
        <w:t xml:space="preserve"> </w:t>
      </w:r>
      <w:r w:rsidR="00D00221">
        <w:rPr>
          <w:rFonts w:ascii="Times New Roman" w:hAnsi="Times New Roman" w:cs="Times New Roman"/>
        </w:rPr>
        <w:t xml:space="preserve">l’utilisation d’un matériau </w:t>
      </w:r>
      <w:r w:rsidR="001517AE">
        <w:rPr>
          <w:rFonts w:ascii="Times New Roman" w:hAnsi="Times New Roman" w:cs="Times New Roman"/>
        </w:rPr>
        <w:t>déterminé</w:t>
      </w:r>
      <w:r w:rsidR="00D00221">
        <w:rPr>
          <w:rFonts w:ascii="Times New Roman" w:hAnsi="Times New Roman" w:cs="Times New Roman"/>
        </w:rPr>
        <w:t xml:space="preserve"> dans le cadre d’un march</w:t>
      </w:r>
      <w:r w:rsidR="00775419">
        <w:rPr>
          <w:rFonts w:ascii="Times New Roman" w:hAnsi="Times New Roman" w:cs="Times New Roman"/>
        </w:rPr>
        <w:t xml:space="preserve">é public de travaux. </w:t>
      </w:r>
      <w:r w:rsidR="00561878">
        <w:rPr>
          <w:rFonts w:ascii="Times New Roman" w:hAnsi="Times New Roman" w:cs="Times New Roman"/>
        </w:rPr>
        <w:t>L’</w:t>
      </w:r>
      <w:r w:rsidR="00376B83">
        <w:rPr>
          <w:rFonts w:ascii="Times New Roman" w:hAnsi="Times New Roman" w:cs="Times New Roman"/>
        </w:rPr>
        <w:t>affaire</w:t>
      </w:r>
      <w:r w:rsidR="00561878">
        <w:rPr>
          <w:rFonts w:ascii="Times New Roman" w:hAnsi="Times New Roman" w:cs="Times New Roman"/>
        </w:rPr>
        <w:t xml:space="preserve"> </w:t>
      </w:r>
      <w:r w:rsidR="00561878">
        <w:rPr>
          <w:rFonts w:ascii="Times New Roman" w:hAnsi="Times New Roman" w:cs="Times New Roman"/>
          <w:i/>
          <w:iCs/>
        </w:rPr>
        <w:t xml:space="preserve">DYKA Plastics </w:t>
      </w:r>
      <w:r w:rsidR="00376B83">
        <w:rPr>
          <w:rFonts w:ascii="Times New Roman" w:hAnsi="Times New Roman" w:cs="Times New Roman"/>
        </w:rPr>
        <w:t>c</w:t>
      </w:r>
      <w:r w:rsidR="0061715C">
        <w:rPr>
          <w:rFonts w:ascii="Times New Roman" w:hAnsi="Times New Roman" w:cs="Times New Roman"/>
        </w:rPr>
        <w:t xml:space="preserve">onstitue </w:t>
      </w:r>
      <w:r w:rsidR="002535C9">
        <w:rPr>
          <w:rFonts w:ascii="Times New Roman" w:hAnsi="Times New Roman" w:cs="Times New Roman"/>
        </w:rPr>
        <w:t xml:space="preserve">de la sorte </w:t>
      </w:r>
      <w:r w:rsidR="00F042BB">
        <w:rPr>
          <w:rFonts w:ascii="Times New Roman" w:hAnsi="Times New Roman" w:cs="Times New Roman"/>
        </w:rPr>
        <w:t xml:space="preserve">une </w:t>
      </w:r>
      <w:r w:rsidR="00A11E5B">
        <w:rPr>
          <w:rFonts w:ascii="Times New Roman" w:hAnsi="Times New Roman" w:cs="Times New Roman"/>
        </w:rPr>
        <w:t>opportunité</w:t>
      </w:r>
      <w:r w:rsidR="00F042BB">
        <w:rPr>
          <w:rFonts w:ascii="Times New Roman" w:hAnsi="Times New Roman" w:cs="Times New Roman"/>
        </w:rPr>
        <w:t xml:space="preserve"> pour la Cour de préciser le régime juridique</w:t>
      </w:r>
      <w:r w:rsidR="00B81C2B" w:rsidRPr="00B81C2B">
        <w:rPr>
          <w:rFonts w:ascii="Times New Roman" w:hAnsi="Times New Roman" w:cs="Times New Roman"/>
        </w:rPr>
        <w:t xml:space="preserve"> </w:t>
      </w:r>
      <w:r w:rsidR="00B81C2B">
        <w:rPr>
          <w:rFonts w:ascii="Times New Roman" w:hAnsi="Times New Roman" w:cs="Times New Roman"/>
        </w:rPr>
        <w:t>des spécifications techniques</w:t>
      </w:r>
      <w:r w:rsidR="004F2602">
        <w:rPr>
          <w:rFonts w:ascii="Times New Roman" w:hAnsi="Times New Roman" w:cs="Times New Roman"/>
        </w:rPr>
        <w:t>, et plus précisément celui de l</w:t>
      </w:r>
      <w:r w:rsidR="00B81C2B">
        <w:rPr>
          <w:rFonts w:ascii="Times New Roman" w:hAnsi="Times New Roman" w:cs="Times New Roman"/>
        </w:rPr>
        <w:t>eur</w:t>
      </w:r>
      <w:r w:rsidR="004F2602">
        <w:rPr>
          <w:rFonts w:ascii="Times New Roman" w:hAnsi="Times New Roman" w:cs="Times New Roman"/>
        </w:rPr>
        <w:t xml:space="preserve"> formulation</w:t>
      </w:r>
      <w:r w:rsidR="00B81C2B">
        <w:rPr>
          <w:rFonts w:ascii="Times New Roman" w:hAnsi="Times New Roman" w:cs="Times New Roman"/>
        </w:rPr>
        <w:t>.</w:t>
      </w:r>
      <w:r w:rsidR="006C3F6F">
        <w:rPr>
          <w:rFonts w:ascii="Times New Roman" w:hAnsi="Times New Roman" w:cs="Times New Roman"/>
        </w:rPr>
        <w:t xml:space="preserve"> </w:t>
      </w:r>
    </w:p>
    <w:p w14:paraId="2A69AAE6" w14:textId="77777777" w:rsidR="002133B8" w:rsidRPr="002133B8" w:rsidRDefault="002133B8" w:rsidP="002133B8">
      <w:pPr>
        <w:pStyle w:val="Paragraphedeliste"/>
        <w:rPr>
          <w:rFonts w:ascii="Times New Roman" w:hAnsi="Times New Roman" w:cs="Times New Roman"/>
        </w:rPr>
      </w:pPr>
    </w:p>
    <w:p w14:paraId="699A4914" w14:textId="4784F5B3" w:rsidR="00127BE7" w:rsidRDefault="0068186D" w:rsidP="00557E5A">
      <w:pPr>
        <w:pStyle w:val="Paragraphedeliste"/>
        <w:numPr>
          <w:ilvl w:val="0"/>
          <w:numId w:val="3"/>
        </w:numPr>
        <w:spacing w:after="0" w:line="360" w:lineRule="auto"/>
        <w:ind w:left="0" w:firstLine="0"/>
        <w:jc w:val="both"/>
        <w:rPr>
          <w:rFonts w:ascii="Times New Roman" w:hAnsi="Times New Roman" w:cs="Times New Roman"/>
        </w:rPr>
      </w:pPr>
      <w:r w:rsidRPr="00CD02A8">
        <w:rPr>
          <w:rFonts w:ascii="Times New Roman" w:hAnsi="Times New Roman" w:cs="Times New Roman"/>
        </w:rPr>
        <w:t xml:space="preserve">La spécification technique en cause dans cette affaire était </w:t>
      </w:r>
      <w:r w:rsidR="00F0591E">
        <w:rPr>
          <w:rFonts w:ascii="Times New Roman" w:hAnsi="Times New Roman" w:cs="Times New Roman"/>
        </w:rPr>
        <w:t xml:space="preserve">notamment </w:t>
      </w:r>
      <w:r w:rsidR="00E8443E" w:rsidRPr="00CD02A8">
        <w:rPr>
          <w:rFonts w:ascii="Times New Roman" w:hAnsi="Times New Roman" w:cs="Times New Roman"/>
        </w:rPr>
        <w:t>justifiée par des considérations environnementales et de durabilité.</w:t>
      </w:r>
      <w:r w:rsidR="00CD02A8">
        <w:rPr>
          <w:rFonts w:ascii="Times New Roman" w:hAnsi="Times New Roman" w:cs="Times New Roman"/>
        </w:rPr>
        <w:t xml:space="preserve"> </w:t>
      </w:r>
      <w:r w:rsidR="00652562">
        <w:rPr>
          <w:rFonts w:ascii="Times New Roman" w:hAnsi="Times New Roman" w:cs="Times New Roman"/>
        </w:rPr>
        <w:t xml:space="preserve">Les spécifications techniques </w:t>
      </w:r>
      <w:r w:rsidR="0010632F">
        <w:rPr>
          <w:rFonts w:ascii="Times New Roman" w:hAnsi="Times New Roman" w:cs="Times New Roman"/>
        </w:rPr>
        <w:t xml:space="preserve">sont </w:t>
      </w:r>
      <w:r w:rsidR="0020315E">
        <w:rPr>
          <w:rFonts w:ascii="Times New Roman" w:hAnsi="Times New Roman" w:cs="Times New Roman"/>
        </w:rPr>
        <w:t xml:space="preserve">en effet essentielles à cet égard </w:t>
      </w:r>
      <w:r w:rsidR="00272CDF">
        <w:rPr>
          <w:rFonts w:ascii="Times New Roman" w:hAnsi="Times New Roman" w:cs="Times New Roman"/>
        </w:rPr>
        <w:t xml:space="preserve">puisqu’elles constituent </w:t>
      </w:r>
      <w:r w:rsidR="00341643">
        <w:rPr>
          <w:rFonts w:ascii="Times New Roman" w:hAnsi="Times New Roman" w:cs="Times New Roman"/>
        </w:rPr>
        <w:t>les caractéristiques auxquelles doivent répondre les produits, services et travaux faisant l’objet d’un marché</w:t>
      </w:r>
      <w:r w:rsidR="00AD2D5C">
        <w:rPr>
          <w:rFonts w:ascii="Times New Roman" w:hAnsi="Times New Roman" w:cs="Times New Roman"/>
        </w:rPr>
        <w:t>, et de telles caractéristiques peuvent</w:t>
      </w:r>
      <w:r w:rsidR="0010253A">
        <w:rPr>
          <w:rFonts w:ascii="Times New Roman" w:hAnsi="Times New Roman" w:cs="Times New Roman"/>
        </w:rPr>
        <w:t xml:space="preserve"> avoir un impact environnemental significatif</w:t>
      </w:r>
      <w:r w:rsidR="0010253A">
        <w:rPr>
          <w:rStyle w:val="Appelnotedebasdep"/>
          <w:rFonts w:ascii="Times New Roman" w:hAnsi="Times New Roman" w:cs="Times New Roman"/>
        </w:rPr>
        <w:footnoteReference w:id="2"/>
      </w:r>
      <w:r w:rsidR="0068197B">
        <w:rPr>
          <w:rFonts w:ascii="Times New Roman" w:hAnsi="Times New Roman" w:cs="Times New Roman"/>
        </w:rPr>
        <w:t xml:space="preserve">. </w:t>
      </w:r>
    </w:p>
    <w:p w14:paraId="17FEEAB6" w14:textId="77777777" w:rsidR="00127BE7" w:rsidRDefault="00127BE7" w:rsidP="00127BE7">
      <w:pPr>
        <w:pStyle w:val="Paragraphedeliste"/>
        <w:spacing w:after="0" w:line="360" w:lineRule="auto"/>
        <w:ind w:left="0"/>
        <w:jc w:val="both"/>
        <w:rPr>
          <w:rFonts w:ascii="Times New Roman" w:hAnsi="Times New Roman" w:cs="Times New Roman"/>
        </w:rPr>
      </w:pPr>
    </w:p>
    <w:p w14:paraId="298C97F3" w14:textId="12E08E50" w:rsidR="00E760F9" w:rsidRDefault="00127BE7" w:rsidP="00127BE7">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L’arrêt </w:t>
      </w:r>
      <w:r>
        <w:rPr>
          <w:rFonts w:ascii="Times New Roman" w:hAnsi="Times New Roman" w:cs="Times New Roman"/>
          <w:i/>
          <w:iCs/>
        </w:rPr>
        <w:t xml:space="preserve">DYKA </w:t>
      </w:r>
      <w:r w:rsidRPr="00956B13">
        <w:rPr>
          <w:rFonts w:ascii="Times New Roman" w:hAnsi="Times New Roman" w:cs="Times New Roman"/>
          <w:i/>
          <w:iCs/>
        </w:rPr>
        <w:t>Plastics</w:t>
      </w:r>
      <w:r w:rsidR="00956B13">
        <w:rPr>
          <w:rFonts w:ascii="Times New Roman" w:hAnsi="Times New Roman" w:cs="Times New Roman"/>
        </w:rPr>
        <w:t xml:space="preserve"> </w:t>
      </w:r>
      <w:r w:rsidR="00F915C9">
        <w:rPr>
          <w:rFonts w:ascii="Times New Roman" w:hAnsi="Times New Roman" w:cs="Times New Roman"/>
        </w:rPr>
        <w:t>intéresse</w:t>
      </w:r>
      <w:r w:rsidR="004A241A">
        <w:rPr>
          <w:rFonts w:ascii="Times New Roman" w:hAnsi="Times New Roman" w:cs="Times New Roman"/>
        </w:rPr>
        <w:t xml:space="preserve"> partant également</w:t>
      </w:r>
      <w:r w:rsidR="002B2016">
        <w:rPr>
          <w:rFonts w:ascii="Times New Roman" w:hAnsi="Times New Roman" w:cs="Times New Roman"/>
        </w:rPr>
        <w:t xml:space="preserve"> </w:t>
      </w:r>
      <w:r w:rsidR="003A57C9" w:rsidRPr="00956B13">
        <w:rPr>
          <w:rFonts w:ascii="Times New Roman" w:hAnsi="Times New Roman" w:cs="Times New Roman"/>
        </w:rPr>
        <w:t>la</w:t>
      </w:r>
      <w:r w:rsidR="003A57C9">
        <w:rPr>
          <w:rFonts w:ascii="Times New Roman" w:hAnsi="Times New Roman" w:cs="Times New Roman"/>
        </w:rPr>
        <w:t xml:space="preserve"> formulation </w:t>
      </w:r>
      <w:r w:rsidR="00BD1482">
        <w:rPr>
          <w:rFonts w:ascii="Times New Roman" w:hAnsi="Times New Roman" w:cs="Times New Roman"/>
        </w:rPr>
        <w:t>de clauses environnementales</w:t>
      </w:r>
      <w:r w:rsidR="00EA2178" w:rsidRPr="00EA2178">
        <w:rPr>
          <w:rFonts w:ascii="Times New Roman" w:hAnsi="Times New Roman" w:cs="Times New Roman"/>
        </w:rPr>
        <w:t xml:space="preserve"> </w:t>
      </w:r>
      <w:r w:rsidR="00EA2178">
        <w:rPr>
          <w:rFonts w:ascii="Times New Roman" w:hAnsi="Times New Roman" w:cs="Times New Roman"/>
        </w:rPr>
        <w:t>au stade des spécifications techniques</w:t>
      </w:r>
      <w:r w:rsidR="00BD1482">
        <w:rPr>
          <w:rFonts w:ascii="Times New Roman" w:hAnsi="Times New Roman" w:cs="Times New Roman"/>
        </w:rPr>
        <w:t>,</w:t>
      </w:r>
      <w:r w:rsidR="00EA2178">
        <w:rPr>
          <w:rFonts w:ascii="Times New Roman" w:hAnsi="Times New Roman" w:cs="Times New Roman"/>
        </w:rPr>
        <w:t xml:space="preserve"> ces clauses </w:t>
      </w:r>
      <w:r w:rsidR="00837E40">
        <w:rPr>
          <w:rFonts w:ascii="Times New Roman" w:hAnsi="Times New Roman" w:cs="Times New Roman"/>
        </w:rPr>
        <w:t xml:space="preserve">pouvant être définies comme celles </w:t>
      </w:r>
      <w:r w:rsidR="00FF3962">
        <w:rPr>
          <w:rFonts w:ascii="Times New Roman" w:hAnsi="Times New Roman" w:cs="Times New Roman"/>
        </w:rPr>
        <w:t xml:space="preserve">ayant </w:t>
      </w:r>
      <w:r w:rsidR="00BD1482">
        <w:rPr>
          <w:rFonts w:ascii="Times New Roman" w:hAnsi="Times New Roman" w:cs="Times New Roman"/>
        </w:rPr>
        <w:t>«</w:t>
      </w:r>
      <w:r w:rsidR="00837E40">
        <w:rPr>
          <w:rFonts w:ascii="Times New Roman" w:hAnsi="Times New Roman" w:cs="Times New Roman"/>
        </w:rPr>
        <w:t> </w:t>
      </w:r>
      <w:r w:rsidR="00FF3962" w:rsidRPr="00FF3962">
        <w:rPr>
          <w:rFonts w:ascii="Times New Roman" w:hAnsi="Times New Roman" w:cs="Times New Roman"/>
        </w:rPr>
        <w:t>pour objet d’imposer à l’adjudicataire des mesures visant à protéger l’environnement</w:t>
      </w:r>
      <w:r w:rsidR="00BD1482">
        <w:rPr>
          <w:rFonts w:ascii="Times New Roman" w:hAnsi="Times New Roman" w:cs="Times New Roman"/>
        </w:rPr>
        <w:t> »</w:t>
      </w:r>
      <w:r w:rsidR="00F24161">
        <w:rPr>
          <w:rStyle w:val="Appelnotedebasdep"/>
          <w:rFonts w:ascii="Times New Roman" w:hAnsi="Times New Roman" w:cs="Times New Roman"/>
        </w:rPr>
        <w:footnoteReference w:id="3"/>
      </w:r>
      <w:r w:rsidR="00FF3962">
        <w:rPr>
          <w:rFonts w:ascii="Times New Roman" w:hAnsi="Times New Roman" w:cs="Times New Roman"/>
        </w:rPr>
        <w:t>.</w:t>
      </w:r>
    </w:p>
    <w:p w14:paraId="339A9403" w14:textId="77777777" w:rsidR="000704E2" w:rsidRDefault="000704E2" w:rsidP="00127BE7">
      <w:pPr>
        <w:pStyle w:val="Paragraphedeliste"/>
        <w:spacing w:after="0" w:line="360" w:lineRule="auto"/>
        <w:ind w:left="0"/>
        <w:jc w:val="both"/>
        <w:rPr>
          <w:rFonts w:ascii="Times New Roman" w:hAnsi="Times New Roman" w:cs="Times New Roman"/>
        </w:rPr>
      </w:pPr>
    </w:p>
    <w:p w14:paraId="468E62D1" w14:textId="78F62D16" w:rsidR="000704E2" w:rsidRPr="00CD02A8" w:rsidRDefault="006C6158" w:rsidP="00F82355">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Bien que </w:t>
      </w:r>
      <w:r w:rsidR="00A72EEA">
        <w:rPr>
          <w:rFonts w:ascii="Times New Roman" w:hAnsi="Times New Roman" w:cs="Times New Roman"/>
        </w:rPr>
        <w:t>la législation en la matière</w:t>
      </w:r>
      <w:r w:rsidR="00334FBE">
        <w:rPr>
          <w:rFonts w:ascii="Times New Roman" w:hAnsi="Times New Roman" w:cs="Times New Roman"/>
        </w:rPr>
        <w:t>, européenne et belge,</w:t>
      </w:r>
      <w:r w:rsidR="00A72EEA">
        <w:rPr>
          <w:rFonts w:ascii="Times New Roman" w:hAnsi="Times New Roman" w:cs="Times New Roman"/>
        </w:rPr>
        <w:t xml:space="preserve"> contienne des règles sur la formulation des spécifications techniques</w:t>
      </w:r>
      <w:r w:rsidR="00324626">
        <w:rPr>
          <w:rFonts w:ascii="Times New Roman" w:hAnsi="Times New Roman" w:cs="Times New Roman"/>
        </w:rPr>
        <w:t xml:space="preserve">, et qu’elle admette </w:t>
      </w:r>
      <w:r w:rsidR="008D51CE">
        <w:rPr>
          <w:rFonts w:ascii="Times New Roman" w:hAnsi="Times New Roman" w:cs="Times New Roman"/>
        </w:rPr>
        <w:t xml:space="preserve">la rédaction de spécifications </w:t>
      </w:r>
      <w:r w:rsidR="008D51CE">
        <w:rPr>
          <w:rFonts w:ascii="Times New Roman" w:hAnsi="Times New Roman" w:cs="Times New Roman"/>
        </w:rPr>
        <w:lastRenderedPageBreak/>
        <w:t xml:space="preserve">techniques environnementales, </w:t>
      </w:r>
      <w:r w:rsidR="00C717B8">
        <w:rPr>
          <w:rFonts w:ascii="Times New Roman" w:hAnsi="Times New Roman" w:cs="Times New Roman"/>
        </w:rPr>
        <w:t xml:space="preserve">des incertitudes </w:t>
      </w:r>
      <w:r w:rsidR="001604B7">
        <w:rPr>
          <w:rFonts w:ascii="Times New Roman" w:hAnsi="Times New Roman" w:cs="Times New Roman"/>
        </w:rPr>
        <w:t xml:space="preserve">demeurent </w:t>
      </w:r>
      <w:r w:rsidR="00EA4591">
        <w:rPr>
          <w:rFonts w:ascii="Times New Roman" w:hAnsi="Times New Roman" w:cs="Times New Roman"/>
        </w:rPr>
        <w:t>en pratique</w:t>
      </w:r>
      <w:r w:rsidR="00F85D8B">
        <w:rPr>
          <w:rFonts w:ascii="Times New Roman" w:hAnsi="Times New Roman" w:cs="Times New Roman"/>
        </w:rPr>
        <w:t xml:space="preserve">. Et ce, particulièrement </w:t>
      </w:r>
      <w:r w:rsidR="00D373D4">
        <w:rPr>
          <w:rFonts w:ascii="Times New Roman" w:hAnsi="Times New Roman" w:cs="Times New Roman"/>
        </w:rPr>
        <w:t xml:space="preserve">sur la portée des </w:t>
      </w:r>
      <w:r w:rsidR="00D32F8A">
        <w:rPr>
          <w:rFonts w:ascii="Times New Roman" w:hAnsi="Times New Roman" w:cs="Times New Roman"/>
        </w:rPr>
        <w:t xml:space="preserve">références expressément interdites, et plus généralement sur </w:t>
      </w:r>
      <w:r w:rsidR="00317838">
        <w:rPr>
          <w:rFonts w:ascii="Times New Roman" w:hAnsi="Times New Roman" w:cs="Times New Roman"/>
        </w:rPr>
        <w:t>la conformité aux</w:t>
      </w:r>
      <w:r w:rsidR="00DA0104">
        <w:rPr>
          <w:rFonts w:ascii="Times New Roman" w:hAnsi="Times New Roman" w:cs="Times New Roman"/>
        </w:rPr>
        <w:t xml:space="preserve"> principes de concurrence ainsi que d’égalité et de no</w:t>
      </w:r>
      <w:r w:rsidR="00317838">
        <w:rPr>
          <w:rFonts w:ascii="Times New Roman" w:hAnsi="Times New Roman" w:cs="Times New Roman"/>
        </w:rPr>
        <w:t>n-discrimination.</w:t>
      </w:r>
    </w:p>
    <w:p w14:paraId="026B8717" w14:textId="2AF5352F" w:rsidR="00012EAD" w:rsidRPr="00012EAD" w:rsidRDefault="00012EAD" w:rsidP="00012EAD">
      <w:pPr>
        <w:pStyle w:val="Paragraphedeliste"/>
        <w:rPr>
          <w:rFonts w:ascii="Times New Roman" w:hAnsi="Times New Roman" w:cs="Times New Roman"/>
        </w:rPr>
      </w:pPr>
    </w:p>
    <w:p w14:paraId="1F6BB781" w14:textId="524B5AD1" w:rsidR="00012EAD" w:rsidRDefault="00793CE1" w:rsidP="003D0C0F">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Avant d’analyser l’arrêt </w:t>
      </w:r>
      <w:r w:rsidR="00D6620F">
        <w:rPr>
          <w:rFonts w:ascii="Times New Roman" w:hAnsi="Times New Roman" w:cs="Times New Roman"/>
          <w:i/>
          <w:iCs/>
        </w:rPr>
        <w:t>DYKA Plastics</w:t>
      </w:r>
      <w:r w:rsidR="00D6620F">
        <w:rPr>
          <w:rFonts w:ascii="Times New Roman" w:hAnsi="Times New Roman" w:cs="Times New Roman"/>
        </w:rPr>
        <w:t xml:space="preserve"> et ses conséquences sur la formulation des spécifications techniques – environnementales –</w:t>
      </w:r>
      <w:r w:rsidR="00CD3157">
        <w:rPr>
          <w:rFonts w:ascii="Times New Roman" w:hAnsi="Times New Roman" w:cs="Times New Roman"/>
        </w:rPr>
        <w:t xml:space="preserve"> (</w:t>
      </w:r>
      <w:r w:rsidR="007D6CBB">
        <w:rPr>
          <w:rFonts w:ascii="Times New Roman" w:hAnsi="Times New Roman" w:cs="Times New Roman"/>
        </w:rPr>
        <w:t>4.)</w:t>
      </w:r>
      <w:r w:rsidR="00D6620F">
        <w:rPr>
          <w:rFonts w:ascii="Times New Roman" w:hAnsi="Times New Roman" w:cs="Times New Roman"/>
        </w:rPr>
        <w:t>,</w:t>
      </w:r>
      <w:r w:rsidR="007D6CBB">
        <w:rPr>
          <w:rFonts w:ascii="Times New Roman" w:hAnsi="Times New Roman" w:cs="Times New Roman"/>
        </w:rPr>
        <w:t xml:space="preserve"> la présente contribution reviendra sur </w:t>
      </w:r>
      <w:r w:rsidR="009F0462">
        <w:rPr>
          <w:rFonts w:ascii="Times New Roman" w:hAnsi="Times New Roman" w:cs="Times New Roman"/>
        </w:rPr>
        <w:t>le régime juridique des spécifications techniques tel qu’il figure dans la législation sur les marchés publics (2.)</w:t>
      </w:r>
      <w:r w:rsidR="000E1635">
        <w:rPr>
          <w:rFonts w:ascii="Times New Roman" w:hAnsi="Times New Roman" w:cs="Times New Roman"/>
        </w:rPr>
        <w:t>, ainsi que sur la jurisprudence antérieure de la C</w:t>
      </w:r>
      <w:r w:rsidR="008B40D4">
        <w:rPr>
          <w:rFonts w:ascii="Times New Roman" w:hAnsi="Times New Roman" w:cs="Times New Roman"/>
        </w:rPr>
        <w:t>JUE en cette matière (3.).</w:t>
      </w:r>
      <w:r w:rsidR="00D6620F">
        <w:rPr>
          <w:rFonts w:ascii="Times New Roman" w:hAnsi="Times New Roman" w:cs="Times New Roman"/>
        </w:rPr>
        <w:t xml:space="preserve"> </w:t>
      </w:r>
    </w:p>
    <w:p w14:paraId="6F3BC277" w14:textId="77777777" w:rsidR="008B40D4" w:rsidRDefault="008B40D4" w:rsidP="008B40D4">
      <w:pPr>
        <w:pStyle w:val="Paragraphedeliste"/>
        <w:spacing w:after="0" w:line="360" w:lineRule="auto"/>
        <w:ind w:left="0"/>
        <w:jc w:val="both"/>
        <w:rPr>
          <w:rFonts w:ascii="Times New Roman" w:hAnsi="Times New Roman" w:cs="Times New Roman"/>
        </w:rPr>
      </w:pPr>
    </w:p>
    <w:p w14:paraId="0AADEEBA" w14:textId="5951C75A" w:rsidR="006D7903" w:rsidRDefault="006D7903" w:rsidP="001957B1">
      <w:pPr>
        <w:pStyle w:val="Titre2"/>
        <w:numPr>
          <w:ilvl w:val="0"/>
          <w:numId w:val="2"/>
        </w:numPr>
        <w:rPr>
          <w:rFonts w:ascii="Times New Roman" w:hAnsi="Times New Roman" w:cs="Times New Roman"/>
          <w:color w:val="auto"/>
          <w:sz w:val="24"/>
          <w:szCs w:val="24"/>
        </w:rPr>
      </w:pPr>
      <w:r>
        <w:rPr>
          <w:rFonts w:ascii="Times New Roman" w:hAnsi="Times New Roman" w:cs="Times New Roman"/>
          <w:color w:val="auto"/>
          <w:sz w:val="24"/>
          <w:szCs w:val="24"/>
        </w:rPr>
        <w:t xml:space="preserve">La </w:t>
      </w:r>
      <w:r w:rsidR="00DF7579">
        <w:rPr>
          <w:rFonts w:ascii="Times New Roman" w:hAnsi="Times New Roman" w:cs="Times New Roman"/>
          <w:color w:val="auto"/>
          <w:sz w:val="24"/>
          <w:szCs w:val="24"/>
        </w:rPr>
        <w:t xml:space="preserve">formulation des </w:t>
      </w:r>
      <w:r>
        <w:rPr>
          <w:rFonts w:ascii="Times New Roman" w:hAnsi="Times New Roman" w:cs="Times New Roman"/>
          <w:color w:val="auto"/>
          <w:sz w:val="24"/>
          <w:szCs w:val="24"/>
        </w:rPr>
        <w:t xml:space="preserve">spécifications techniques dans la législation </w:t>
      </w:r>
      <w:r w:rsidR="007C280D">
        <w:rPr>
          <w:rFonts w:ascii="Times New Roman" w:hAnsi="Times New Roman" w:cs="Times New Roman"/>
          <w:color w:val="auto"/>
          <w:sz w:val="24"/>
          <w:szCs w:val="24"/>
        </w:rPr>
        <w:t xml:space="preserve">européenne et belge </w:t>
      </w:r>
      <w:r>
        <w:rPr>
          <w:rFonts w:ascii="Times New Roman" w:hAnsi="Times New Roman" w:cs="Times New Roman"/>
          <w:color w:val="auto"/>
          <w:sz w:val="24"/>
          <w:szCs w:val="24"/>
        </w:rPr>
        <w:t>sur les marchés publics</w:t>
      </w:r>
    </w:p>
    <w:p w14:paraId="7EBC3175" w14:textId="77777777" w:rsidR="00973EA7" w:rsidRPr="00973EA7" w:rsidRDefault="00973EA7" w:rsidP="00973EA7"/>
    <w:p w14:paraId="0A7D3B83" w14:textId="5F7B2C59" w:rsidR="00D32BDE" w:rsidRDefault="00564294" w:rsidP="00160EFF">
      <w:pPr>
        <w:pStyle w:val="Paragraphedeliste"/>
        <w:numPr>
          <w:ilvl w:val="0"/>
          <w:numId w:val="3"/>
        </w:numPr>
        <w:spacing w:after="0" w:line="360" w:lineRule="auto"/>
        <w:ind w:left="0" w:firstLine="0"/>
        <w:jc w:val="both"/>
        <w:rPr>
          <w:rFonts w:ascii="Times New Roman" w:hAnsi="Times New Roman" w:cs="Times New Roman"/>
        </w:rPr>
      </w:pPr>
      <w:r>
        <w:t xml:space="preserve"> </w:t>
      </w:r>
      <w:r w:rsidR="002777F8">
        <w:rPr>
          <w:rFonts w:ascii="Times New Roman" w:hAnsi="Times New Roman" w:cs="Times New Roman"/>
        </w:rPr>
        <w:t xml:space="preserve">Pour les marchés publics </w:t>
      </w:r>
      <w:r w:rsidR="00A1156D">
        <w:rPr>
          <w:rFonts w:ascii="Times New Roman" w:hAnsi="Times New Roman" w:cs="Times New Roman"/>
        </w:rPr>
        <w:t>dans les secteurs classiques, l</w:t>
      </w:r>
      <w:r w:rsidR="00C91A8D">
        <w:rPr>
          <w:rFonts w:ascii="Times New Roman" w:hAnsi="Times New Roman" w:cs="Times New Roman"/>
        </w:rPr>
        <w:t>e régime juridique des spécifications techniques est aujourd’hui</w:t>
      </w:r>
      <w:r w:rsidR="001421F6">
        <w:rPr>
          <w:rFonts w:ascii="Times New Roman" w:hAnsi="Times New Roman" w:cs="Times New Roman"/>
        </w:rPr>
        <w:t xml:space="preserve"> principalement</w:t>
      </w:r>
      <w:r w:rsidR="00C91A8D">
        <w:rPr>
          <w:rFonts w:ascii="Times New Roman" w:hAnsi="Times New Roman" w:cs="Times New Roman"/>
        </w:rPr>
        <w:t xml:space="preserve"> </w:t>
      </w:r>
      <w:r w:rsidR="009E110A">
        <w:rPr>
          <w:rFonts w:ascii="Times New Roman" w:hAnsi="Times New Roman" w:cs="Times New Roman"/>
        </w:rPr>
        <w:t>organisé</w:t>
      </w:r>
      <w:r w:rsidR="005757D2">
        <w:rPr>
          <w:rFonts w:ascii="Times New Roman" w:hAnsi="Times New Roman" w:cs="Times New Roman"/>
        </w:rPr>
        <w:t xml:space="preserve"> au niveau européen</w:t>
      </w:r>
      <w:r w:rsidR="009E110A">
        <w:rPr>
          <w:rFonts w:ascii="Times New Roman" w:hAnsi="Times New Roman" w:cs="Times New Roman"/>
        </w:rPr>
        <w:t xml:space="preserve"> </w:t>
      </w:r>
      <w:r w:rsidR="005757D2">
        <w:rPr>
          <w:rFonts w:ascii="Times New Roman" w:hAnsi="Times New Roman" w:cs="Times New Roman"/>
        </w:rPr>
        <w:t xml:space="preserve">à l’article 42 de la directive </w:t>
      </w:r>
      <w:r w:rsidR="008C0AAF">
        <w:rPr>
          <w:rFonts w:ascii="Times New Roman" w:hAnsi="Times New Roman" w:cs="Times New Roman"/>
        </w:rPr>
        <w:t>2014/24 sur la passation des marchés publics</w:t>
      </w:r>
      <w:r w:rsidR="008C0AAF">
        <w:rPr>
          <w:rStyle w:val="Appelnotedebasdep"/>
          <w:rFonts w:ascii="Times New Roman" w:hAnsi="Times New Roman" w:cs="Times New Roman"/>
        </w:rPr>
        <w:footnoteReference w:id="4"/>
      </w:r>
      <w:r w:rsidR="002164AC">
        <w:rPr>
          <w:rFonts w:ascii="Times New Roman" w:hAnsi="Times New Roman" w:cs="Times New Roman"/>
        </w:rPr>
        <w:t xml:space="preserve"> (ci-après « la directive 2014/24 »).</w:t>
      </w:r>
      <w:r w:rsidR="00FA5074">
        <w:rPr>
          <w:rFonts w:ascii="Times New Roman" w:hAnsi="Times New Roman" w:cs="Times New Roman"/>
        </w:rPr>
        <w:t xml:space="preserve"> </w:t>
      </w:r>
      <w:r w:rsidR="00DC2771">
        <w:rPr>
          <w:rFonts w:ascii="Times New Roman" w:hAnsi="Times New Roman" w:cs="Times New Roman"/>
        </w:rPr>
        <w:t xml:space="preserve">Suivant </w:t>
      </w:r>
      <w:r w:rsidR="001A48F7">
        <w:rPr>
          <w:rFonts w:ascii="Times New Roman" w:hAnsi="Times New Roman" w:cs="Times New Roman"/>
        </w:rPr>
        <w:t xml:space="preserve">cet </w:t>
      </w:r>
      <w:r w:rsidR="00DC2771">
        <w:rPr>
          <w:rFonts w:ascii="Times New Roman" w:hAnsi="Times New Roman" w:cs="Times New Roman"/>
        </w:rPr>
        <w:t>article 42</w:t>
      </w:r>
      <w:r w:rsidR="009E0921">
        <w:rPr>
          <w:rFonts w:ascii="Times New Roman" w:hAnsi="Times New Roman" w:cs="Times New Roman"/>
        </w:rPr>
        <w:t>, §1</w:t>
      </w:r>
      <w:r w:rsidR="009E0921" w:rsidRPr="009E0921">
        <w:rPr>
          <w:rFonts w:ascii="Times New Roman" w:hAnsi="Times New Roman" w:cs="Times New Roman"/>
          <w:vertAlign w:val="superscript"/>
        </w:rPr>
        <w:t>er</w:t>
      </w:r>
      <w:r w:rsidR="009E0921">
        <w:rPr>
          <w:rFonts w:ascii="Times New Roman" w:hAnsi="Times New Roman" w:cs="Times New Roman"/>
        </w:rPr>
        <w:t>, al. 1</w:t>
      </w:r>
      <w:r w:rsidR="009E0921" w:rsidRPr="009E0921">
        <w:rPr>
          <w:rFonts w:ascii="Times New Roman" w:hAnsi="Times New Roman" w:cs="Times New Roman"/>
          <w:vertAlign w:val="superscript"/>
        </w:rPr>
        <w:t>er</w:t>
      </w:r>
      <w:r w:rsidR="00DC2771">
        <w:rPr>
          <w:rFonts w:ascii="Times New Roman" w:hAnsi="Times New Roman" w:cs="Times New Roman"/>
        </w:rPr>
        <w:t>, « [l]es spécifications techniques définissent les caractéristiques requises des travaux, des services ou des fournitures »</w:t>
      </w:r>
      <w:r w:rsidR="009E0921">
        <w:rPr>
          <w:rFonts w:ascii="Times New Roman" w:hAnsi="Times New Roman" w:cs="Times New Roman"/>
        </w:rPr>
        <w:t>.</w:t>
      </w:r>
      <w:r w:rsidR="005972E2">
        <w:rPr>
          <w:rFonts w:ascii="Times New Roman" w:hAnsi="Times New Roman" w:cs="Times New Roman"/>
        </w:rPr>
        <w:t xml:space="preserve"> Les spécifications techniques sont définies au point 1 de l’annexe VII comme suit :</w:t>
      </w:r>
    </w:p>
    <w:p w14:paraId="3D78722B" w14:textId="77777777" w:rsidR="004625BC" w:rsidRDefault="004625BC" w:rsidP="00D32BDE">
      <w:pPr>
        <w:pStyle w:val="Paragraphedeliste"/>
        <w:spacing w:after="0" w:line="360" w:lineRule="auto"/>
        <w:ind w:left="0"/>
        <w:jc w:val="both"/>
        <w:rPr>
          <w:rFonts w:ascii="Times New Roman" w:hAnsi="Times New Roman" w:cs="Times New Roman"/>
        </w:rPr>
      </w:pPr>
    </w:p>
    <w:p w14:paraId="0C31FF37" w14:textId="3A5A4FE8" w:rsidR="004625BC" w:rsidRDefault="004625BC" w:rsidP="00D32BDE">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  a) </w:t>
      </w:r>
      <w:r w:rsidR="0097392D" w:rsidRPr="0097392D">
        <w:rPr>
          <w:rFonts w:ascii="Times New Roman" w:hAnsi="Times New Roman" w:cs="Times New Roman"/>
        </w:rPr>
        <w:t xml:space="preserve">lorsqu’il s’agit de marchés publics de travaux, l’ensemble des prescriptions techniques contenues notamment dans les documents de marché, définissant les caractéristiques requises d’un matériau, d’un produit ou d’une fourniture de manière telle qu’ils répondent à l’usage auquel ils sont destinés par le pouvoir adjudicateur; ces caractéristiques comprennent les niveaux de performance environnementale et climatique, la conception pour tous les besoins (y compris l’accessibilité pour les personnes handicapées) et l’évaluation de la conformité, la propriété d’emploi, la sécurité ou les dimensions, y compris les procédures relatives à l’assurance de la qualité, la terminologie, les symboles, les essais et méthodes d’essai, l’emballage, le marquage et l’étiquetage, les instructions d’utilisation, ainsi que les processus et méthodes de production à tout stade du cycle de vie des ouvrages; elles incluent également </w:t>
      </w:r>
      <w:r w:rsidR="0097392D" w:rsidRPr="0097392D">
        <w:rPr>
          <w:rFonts w:ascii="Times New Roman" w:hAnsi="Times New Roman" w:cs="Times New Roman"/>
        </w:rPr>
        <w:lastRenderedPageBreak/>
        <w:t>les règles de conception et de calcul des coûts, les conditions d’essai, de contrôle et de réception des ouvrages, ainsi que les méthodes ou techniques de construction et toutes les autres conditions de caractère technique que le pouvoir adjudicateur est à même de prescrire, par voie de réglementation générale ou particulière, en ce qui concerne les ouvrages terminés et en ce qui concerne les matériaux ou les éléments constituant ces ouvrages;</w:t>
      </w:r>
    </w:p>
    <w:p w14:paraId="774CCF20" w14:textId="77777777" w:rsidR="0097392D" w:rsidRDefault="0097392D" w:rsidP="00D32BDE">
      <w:pPr>
        <w:pStyle w:val="Paragraphedeliste"/>
        <w:spacing w:after="0" w:line="360" w:lineRule="auto"/>
        <w:ind w:left="0"/>
        <w:jc w:val="both"/>
        <w:rPr>
          <w:rFonts w:ascii="Times New Roman" w:hAnsi="Times New Roman" w:cs="Times New Roman"/>
        </w:rPr>
      </w:pPr>
    </w:p>
    <w:p w14:paraId="6523658E" w14:textId="1A6D6FA1" w:rsidR="0097392D" w:rsidRDefault="0097392D" w:rsidP="00D32BDE">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b) </w:t>
      </w:r>
      <w:r w:rsidR="005207BD" w:rsidRPr="005207BD">
        <w:rPr>
          <w:rFonts w:ascii="Times New Roman" w:hAnsi="Times New Roman" w:cs="Times New Roman"/>
        </w:rPr>
        <w:t>lorsqu’il s’agit de marchés publics de fournitures ou de services, une spécification qui figure dans un document définissant les caractéristiques requises d’un produit ou d’un service, telles que les niveaux de qualité, les niveaux de la performance environnementale et climatique, la conception pour tous les besoins (y compris l’accessibilité pour les personnes handicapées) et l’évaluation de la conformité, la propriété d’emploi, l’utilisation du produit, la sécurité ou les dimensions, y compris les prescriptions applicables au produit en ce qui concerne le nom sous lequel il est vendu, la terminologie, les symboles, les essais et méthodes d’essais, l’emballage, le marquage et l’étiquetage, les instructions d’utilisation, les processus et méthodes de production à tout stade du cycle de vie de la fourniture ou du service, ainsi que les procédures d’évaluation de la conformité</w:t>
      </w:r>
      <w:r w:rsidR="005207BD">
        <w:rPr>
          <w:rFonts w:ascii="Times New Roman" w:hAnsi="Times New Roman" w:cs="Times New Roman"/>
        </w:rPr>
        <w:t> ».</w:t>
      </w:r>
    </w:p>
    <w:p w14:paraId="630CECAD" w14:textId="77777777" w:rsidR="0006368E" w:rsidRDefault="0006368E" w:rsidP="00D32BDE">
      <w:pPr>
        <w:pStyle w:val="Paragraphedeliste"/>
        <w:spacing w:after="0" w:line="360" w:lineRule="auto"/>
        <w:ind w:left="0"/>
        <w:jc w:val="both"/>
        <w:rPr>
          <w:rFonts w:ascii="Times New Roman" w:hAnsi="Times New Roman" w:cs="Times New Roman"/>
        </w:rPr>
      </w:pPr>
    </w:p>
    <w:p w14:paraId="1CE88CC7" w14:textId="5603B53A" w:rsidR="0006368E" w:rsidRDefault="009F0A97" w:rsidP="00D32BDE">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Les spécifications techniques peuvent ainsi </w:t>
      </w:r>
      <w:r w:rsidR="002C7BC8">
        <w:rPr>
          <w:rFonts w:ascii="Times New Roman" w:hAnsi="Times New Roman" w:cs="Times New Roman"/>
        </w:rPr>
        <w:t xml:space="preserve">constituer un </w:t>
      </w:r>
      <w:r w:rsidR="0085492B">
        <w:rPr>
          <w:rFonts w:ascii="Times New Roman" w:hAnsi="Times New Roman" w:cs="Times New Roman"/>
        </w:rPr>
        <w:t xml:space="preserve">processus </w:t>
      </w:r>
      <w:r w:rsidR="00A466F2">
        <w:rPr>
          <w:rFonts w:ascii="Times New Roman" w:hAnsi="Times New Roman" w:cs="Times New Roman"/>
        </w:rPr>
        <w:t>ou une méthode de production</w:t>
      </w:r>
      <w:r w:rsidR="00B724DC">
        <w:rPr>
          <w:rFonts w:ascii="Times New Roman" w:hAnsi="Times New Roman" w:cs="Times New Roman"/>
        </w:rPr>
        <w:t xml:space="preserve"> ou</w:t>
      </w:r>
      <w:r w:rsidR="00F91479">
        <w:rPr>
          <w:rFonts w:ascii="Times New Roman" w:hAnsi="Times New Roman" w:cs="Times New Roman"/>
        </w:rPr>
        <w:t xml:space="preserve"> </w:t>
      </w:r>
      <w:r w:rsidR="00C65916">
        <w:rPr>
          <w:rFonts w:ascii="Times New Roman" w:hAnsi="Times New Roman" w:cs="Times New Roman"/>
        </w:rPr>
        <w:t xml:space="preserve">de </w:t>
      </w:r>
      <w:r w:rsidR="00B724DC">
        <w:rPr>
          <w:rFonts w:ascii="Times New Roman" w:hAnsi="Times New Roman" w:cs="Times New Roman"/>
        </w:rPr>
        <w:t>fourniture</w:t>
      </w:r>
      <w:r w:rsidR="00C65916">
        <w:rPr>
          <w:rFonts w:ascii="Times New Roman" w:hAnsi="Times New Roman" w:cs="Times New Roman"/>
        </w:rPr>
        <w:t xml:space="preserve"> des</w:t>
      </w:r>
      <w:r w:rsidR="004E0A1B">
        <w:rPr>
          <w:rFonts w:ascii="Times New Roman" w:hAnsi="Times New Roman" w:cs="Times New Roman"/>
        </w:rPr>
        <w:t xml:space="preserve"> travaux</w:t>
      </w:r>
      <w:r w:rsidR="00C65916">
        <w:rPr>
          <w:rFonts w:ascii="Times New Roman" w:hAnsi="Times New Roman" w:cs="Times New Roman"/>
        </w:rPr>
        <w:t xml:space="preserve">, produits </w:t>
      </w:r>
      <w:r w:rsidR="004E0A1B">
        <w:rPr>
          <w:rFonts w:ascii="Times New Roman" w:hAnsi="Times New Roman" w:cs="Times New Roman"/>
        </w:rPr>
        <w:t>ou services</w:t>
      </w:r>
      <w:r w:rsidR="00A73BC9">
        <w:rPr>
          <w:rFonts w:ascii="Times New Roman" w:hAnsi="Times New Roman" w:cs="Times New Roman"/>
        </w:rPr>
        <w:t>, ou un processus</w:t>
      </w:r>
      <w:r w:rsidR="00A466F2">
        <w:rPr>
          <w:rFonts w:ascii="Times New Roman" w:hAnsi="Times New Roman" w:cs="Times New Roman"/>
        </w:rPr>
        <w:t xml:space="preserve"> </w:t>
      </w:r>
      <w:r w:rsidR="009D7F39">
        <w:rPr>
          <w:rFonts w:ascii="Times New Roman" w:hAnsi="Times New Roman" w:cs="Times New Roman"/>
        </w:rPr>
        <w:t>« </w:t>
      </w:r>
      <w:r w:rsidR="00A466F2">
        <w:rPr>
          <w:rFonts w:ascii="Times New Roman" w:hAnsi="Times New Roman" w:cs="Times New Roman"/>
        </w:rPr>
        <w:t xml:space="preserve">à </w:t>
      </w:r>
      <w:r w:rsidR="003279AF">
        <w:rPr>
          <w:rFonts w:ascii="Times New Roman" w:hAnsi="Times New Roman" w:cs="Times New Roman"/>
        </w:rPr>
        <w:t>un autre</w:t>
      </w:r>
      <w:r w:rsidR="00A466F2">
        <w:rPr>
          <w:rFonts w:ascii="Times New Roman" w:hAnsi="Times New Roman" w:cs="Times New Roman"/>
        </w:rPr>
        <w:t xml:space="preserve"> stade d</w:t>
      </w:r>
      <w:r w:rsidR="003A2430">
        <w:rPr>
          <w:rFonts w:ascii="Times New Roman" w:hAnsi="Times New Roman" w:cs="Times New Roman"/>
        </w:rPr>
        <w:t>e leur</w:t>
      </w:r>
      <w:r w:rsidR="00A466F2">
        <w:rPr>
          <w:rFonts w:ascii="Times New Roman" w:hAnsi="Times New Roman" w:cs="Times New Roman"/>
        </w:rPr>
        <w:t xml:space="preserve"> cycle de vie</w:t>
      </w:r>
      <w:r w:rsidR="005C248D">
        <w:rPr>
          <w:rFonts w:ascii="Times New Roman" w:hAnsi="Times New Roman" w:cs="Times New Roman"/>
        </w:rPr>
        <w:t xml:space="preserve"> même lorsque ces facteurs ne font pas partie de leur contenu matériel, à condition qu’ils soient liés </w:t>
      </w:r>
      <w:r w:rsidR="009E477F">
        <w:rPr>
          <w:rFonts w:ascii="Times New Roman" w:hAnsi="Times New Roman" w:cs="Times New Roman"/>
        </w:rPr>
        <w:t>à l’objet du marché et proportionnés à sa valeur et à ses objectifs » (art. 42, § 1</w:t>
      </w:r>
      <w:r w:rsidR="009E477F" w:rsidRPr="009E477F">
        <w:rPr>
          <w:rFonts w:ascii="Times New Roman" w:hAnsi="Times New Roman" w:cs="Times New Roman"/>
          <w:vertAlign w:val="superscript"/>
        </w:rPr>
        <w:t>er</w:t>
      </w:r>
      <w:r w:rsidR="009E477F">
        <w:rPr>
          <w:rFonts w:ascii="Times New Roman" w:hAnsi="Times New Roman" w:cs="Times New Roman"/>
        </w:rPr>
        <w:t>, al. 2</w:t>
      </w:r>
      <w:r w:rsidR="0003241B">
        <w:rPr>
          <w:rFonts w:ascii="Times New Roman" w:hAnsi="Times New Roman" w:cs="Times New Roman"/>
        </w:rPr>
        <w:t>,</w:t>
      </w:r>
      <w:r w:rsidR="009E477F">
        <w:rPr>
          <w:rFonts w:ascii="Times New Roman" w:hAnsi="Times New Roman" w:cs="Times New Roman"/>
        </w:rPr>
        <w:t xml:space="preserve"> de la directive 2014/24).</w:t>
      </w:r>
    </w:p>
    <w:p w14:paraId="123D849C" w14:textId="77777777" w:rsidR="00D32BDE" w:rsidRPr="00D32BDE" w:rsidRDefault="00D32BDE" w:rsidP="00D32BDE">
      <w:pPr>
        <w:pStyle w:val="Paragraphedeliste"/>
        <w:spacing w:after="0" w:line="360" w:lineRule="auto"/>
        <w:ind w:left="0"/>
        <w:jc w:val="both"/>
        <w:rPr>
          <w:rFonts w:ascii="Times New Roman" w:hAnsi="Times New Roman" w:cs="Times New Roman"/>
        </w:rPr>
      </w:pPr>
    </w:p>
    <w:p w14:paraId="79D5255F" w14:textId="77777777" w:rsidR="00A54C12" w:rsidRDefault="00A54C12" w:rsidP="00A54C12">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L</w:t>
      </w:r>
      <w:r w:rsidRPr="00951B27">
        <w:rPr>
          <w:rFonts w:ascii="Times New Roman" w:hAnsi="Times New Roman" w:cs="Times New Roman"/>
        </w:rPr>
        <w:t xml:space="preserve">’article 42, § 2, de la directive 2014/24 précise </w:t>
      </w:r>
      <w:r>
        <w:rPr>
          <w:rFonts w:ascii="Times New Roman" w:hAnsi="Times New Roman" w:cs="Times New Roman"/>
        </w:rPr>
        <w:t xml:space="preserve">avant tout </w:t>
      </w:r>
      <w:r w:rsidRPr="00951B27">
        <w:rPr>
          <w:rFonts w:ascii="Times New Roman" w:hAnsi="Times New Roman" w:cs="Times New Roman"/>
        </w:rPr>
        <w:t>que les spécifications techniques doivent donner une égalité d’accès à la procédure de passation du marché et ne doivent pas avoir « pour effet de créer des obstacles injustifiés à l’ouverture des marchés publics à la concurrence ».</w:t>
      </w:r>
      <w:r>
        <w:rPr>
          <w:rFonts w:ascii="Times New Roman" w:hAnsi="Times New Roman" w:cs="Times New Roman"/>
        </w:rPr>
        <w:t xml:space="preserve"> </w:t>
      </w:r>
    </w:p>
    <w:p w14:paraId="0107A03B" w14:textId="77777777" w:rsidR="00A54C12" w:rsidRPr="00340098" w:rsidRDefault="00A54C12" w:rsidP="00A54C12">
      <w:pPr>
        <w:pStyle w:val="Paragraphedeliste"/>
        <w:rPr>
          <w:rFonts w:ascii="Times New Roman" w:hAnsi="Times New Roman" w:cs="Times New Roman"/>
        </w:rPr>
      </w:pPr>
    </w:p>
    <w:p w14:paraId="1C9AAE82" w14:textId="77777777" w:rsidR="00A54C12" w:rsidRDefault="00A54C12" w:rsidP="00A54C12">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Le considérant 74 de la directive 2014/24 souligne la nécessité pour les spécifications techniques de permettre l’ouverture des marchés publics à la concurrence, mais aussi d’atteindre les objectifs de durabilité. Dans cette optique, le législateur européen insiste sur la possibilité pour les offres de représenter « la diversité des solutions techniques, des normes et des spécifications techniques existant sur le marché, y compris celles définies sur la base de critères de performance liés au cycle de vie et à la durabilité du processus de production des </w:t>
      </w:r>
      <w:r>
        <w:rPr>
          <w:rFonts w:ascii="Times New Roman" w:hAnsi="Times New Roman" w:cs="Times New Roman"/>
        </w:rPr>
        <w:lastRenderedPageBreak/>
        <w:t>travaux, fournitures et services ». Le législateur européen va même plus loin en énonçant que la formulation en termes de performances et d’exigences fonctionnelles « permet généralement d’atteindre au mieux » l’objectif d’éviter de restreindre artificiellement la concurrence. Cette formulation serait un moyen approprié « pour promouvoir l’innovation dans la passation de marchés publics » et devrait être utilisée « aussi largement que possible ».</w:t>
      </w:r>
    </w:p>
    <w:p w14:paraId="20B2A7E1" w14:textId="77777777" w:rsidR="0054284E" w:rsidRDefault="0054284E" w:rsidP="00A54C12">
      <w:pPr>
        <w:pStyle w:val="Paragraphedeliste"/>
        <w:spacing w:after="0" w:line="360" w:lineRule="auto"/>
        <w:ind w:left="0"/>
        <w:jc w:val="both"/>
        <w:rPr>
          <w:rFonts w:ascii="Times New Roman" w:hAnsi="Times New Roman" w:cs="Times New Roman"/>
        </w:rPr>
      </w:pPr>
    </w:p>
    <w:p w14:paraId="1A504DFD" w14:textId="2A03CAEF" w:rsidR="00C405C5" w:rsidRDefault="006E6238" w:rsidP="006A64EA">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Le troisième paragraphe de l’article 42 de la directive 2014/24</w:t>
      </w:r>
      <w:r w:rsidR="004330EA">
        <w:rPr>
          <w:rFonts w:ascii="Times New Roman" w:hAnsi="Times New Roman" w:cs="Times New Roman"/>
        </w:rPr>
        <w:t xml:space="preserve"> prévoit </w:t>
      </w:r>
      <w:r w:rsidR="00526C27">
        <w:rPr>
          <w:rFonts w:ascii="Times New Roman" w:hAnsi="Times New Roman" w:cs="Times New Roman"/>
        </w:rPr>
        <w:t>néanmoins plusieurs façons de formuler</w:t>
      </w:r>
      <w:r w:rsidR="004330EA">
        <w:rPr>
          <w:rFonts w:ascii="Times New Roman" w:hAnsi="Times New Roman" w:cs="Times New Roman"/>
        </w:rPr>
        <w:t xml:space="preserve"> </w:t>
      </w:r>
      <w:r w:rsidR="00526C27">
        <w:rPr>
          <w:rFonts w:ascii="Times New Roman" w:hAnsi="Times New Roman" w:cs="Times New Roman"/>
        </w:rPr>
        <w:t>d</w:t>
      </w:r>
      <w:r w:rsidR="004330EA">
        <w:rPr>
          <w:rFonts w:ascii="Times New Roman" w:hAnsi="Times New Roman" w:cs="Times New Roman"/>
        </w:rPr>
        <w:t>es spécifications technique</w:t>
      </w:r>
      <w:r w:rsidR="00F52AE5">
        <w:rPr>
          <w:rFonts w:ascii="Times New Roman" w:hAnsi="Times New Roman" w:cs="Times New Roman"/>
        </w:rPr>
        <w:t>s. Suivant cette disposition, « les spécifications techniques sont formulées de l’une des façons suivantes »</w:t>
      </w:r>
      <w:r w:rsidR="00797D27">
        <w:rPr>
          <w:rFonts w:ascii="Times New Roman" w:hAnsi="Times New Roman" w:cs="Times New Roman"/>
        </w:rPr>
        <w:t xml:space="preserve">, </w:t>
      </w:r>
      <w:r w:rsidR="00C405C5">
        <w:rPr>
          <w:rFonts w:ascii="Times New Roman" w:hAnsi="Times New Roman" w:cs="Times New Roman"/>
        </w:rPr>
        <w:t>à l’exception de règles nationales obligatoires</w:t>
      </w:r>
      <w:r w:rsidR="006A64EA">
        <w:rPr>
          <w:rFonts w:ascii="Times New Roman" w:hAnsi="Times New Roman" w:cs="Times New Roman"/>
        </w:rPr>
        <w:t> </w:t>
      </w:r>
      <w:r w:rsidR="00DC52BA">
        <w:rPr>
          <w:rFonts w:ascii="Times New Roman" w:hAnsi="Times New Roman" w:cs="Times New Roman"/>
        </w:rPr>
        <w:t>co</w:t>
      </w:r>
      <w:r w:rsidR="00A43F12">
        <w:rPr>
          <w:rFonts w:ascii="Times New Roman" w:hAnsi="Times New Roman" w:cs="Times New Roman"/>
        </w:rPr>
        <w:t>mpatibles</w:t>
      </w:r>
      <w:r w:rsidR="00DC52BA">
        <w:rPr>
          <w:rFonts w:ascii="Times New Roman" w:hAnsi="Times New Roman" w:cs="Times New Roman"/>
        </w:rPr>
        <w:t xml:space="preserve"> </w:t>
      </w:r>
      <w:r w:rsidR="00A43F12">
        <w:rPr>
          <w:rFonts w:ascii="Times New Roman" w:hAnsi="Times New Roman" w:cs="Times New Roman"/>
        </w:rPr>
        <w:t>avec le</w:t>
      </w:r>
      <w:r w:rsidR="00DC52BA">
        <w:rPr>
          <w:rFonts w:ascii="Times New Roman" w:hAnsi="Times New Roman" w:cs="Times New Roman"/>
        </w:rPr>
        <w:t xml:space="preserve"> droit européen </w:t>
      </w:r>
      <w:r w:rsidR="006A64EA">
        <w:rPr>
          <w:rFonts w:ascii="Times New Roman" w:hAnsi="Times New Roman" w:cs="Times New Roman"/>
        </w:rPr>
        <w:t xml:space="preserve">: </w:t>
      </w:r>
      <w:r w:rsidR="00C405C5" w:rsidRPr="006A64EA">
        <w:rPr>
          <w:rFonts w:ascii="Times New Roman" w:hAnsi="Times New Roman" w:cs="Times New Roman"/>
        </w:rPr>
        <w:t>en termes de performances ou d’exigences fonctionnelles</w:t>
      </w:r>
      <w:r w:rsidR="006A64EA">
        <w:rPr>
          <w:rFonts w:ascii="Times New Roman" w:hAnsi="Times New Roman" w:cs="Times New Roman"/>
        </w:rPr>
        <w:t xml:space="preserve"> (y compris </w:t>
      </w:r>
      <w:r w:rsidR="00A9219A">
        <w:rPr>
          <w:rFonts w:ascii="Times New Roman" w:hAnsi="Times New Roman" w:cs="Times New Roman"/>
        </w:rPr>
        <w:t xml:space="preserve">les caractéristiques environnementales), </w:t>
      </w:r>
      <w:r w:rsidR="00C405C5" w:rsidRPr="006A64EA">
        <w:rPr>
          <w:rFonts w:ascii="Times New Roman" w:hAnsi="Times New Roman" w:cs="Times New Roman"/>
        </w:rPr>
        <w:t>par référenc</w:t>
      </w:r>
      <w:r w:rsidR="00A9219A">
        <w:rPr>
          <w:rFonts w:ascii="Times New Roman" w:hAnsi="Times New Roman" w:cs="Times New Roman"/>
        </w:rPr>
        <w:t xml:space="preserve">e à des spécifications techniques </w:t>
      </w:r>
      <w:r w:rsidR="00D535CC">
        <w:rPr>
          <w:rFonts w:ascii="Times New Roman" w:hAnsi="Times New Roman" w:cs="Times New Roman"/>
        </w:rPr>
        <w:t xml:space="preserve">accompagnées de la mention « ou équivalent » </w:t>
      </w:r>
      <w:r w:rsidR="008520FF">
        <w:rPr>
          <w:rFonts w:ascii="Times New Roman" w:hAnsi="Times New Roman" w:cs="Times New Roman"/>
        </w:rPr>
        <w:t>(</w:t>
      </w:r>
      <w:r w:rsidR="00D62923">
        <w:rPr>
          <w:rFonts w:ascii="Times New Roman" w:hAnsi="Times New Roman" w:cs="Times New Roman"/>
        </w:rPr>
        <w:t xml:space="preserve">et un ordre de préférence </w:t>
      </w:r>
      <w:r w:rsidR="00A718BD">
        <w:rPr>
          <w:rFonts w:ascii="Times New Roman" w:hAnsi="Times New Roman" w:cs="Times New Roman"/>
        </w:rPr>
        <w:t xml:space="preserve">est établi entre les différentes </w:t>
      </w:r>
      <w:r w:rsidR="00F2541A">
        <w:rPr>
          <w:rFonts w:ascii="Times New Roman" w:hAnsi="Times New Roman" w:cs="Times New Roman"/>
        </w:rPr>
        <w:t xml:space="preserve">normes et spécifications </w:t>
      </w:r>
      <w:r w:rsidR="00A718BD">
        <w:rPr>
          <w:rFonts w:ascii="Times New Roman" w:hAnsi="Times New Roman" w:cs="Times New Roman"/>
        </w:rPr>
        <w:t>auxquelles il peut être référé)</w:t>
      </w:r>
      <w:r w:rsidR="00994484">
        <w:rPr>
          <w:rFonts w:ascii="Times New Roman" w:hAnsi="Times New Roman" w:cs="Times New Roman"/>
        </w:rPr>
        <w:t xml:space="preserve">, </w:t>
      </w:r>
      <w:r w:rsidR="00843DD9">
        <w:rPr>
          <w:rFonts w:ascii="Times New Roman" w:hAnsi="Times New Roman" w:cs="Times New Roman"/>
        </w:rPr>
        <w:t>en terme</w:t>
      </w:r>
      <w:r w:rsidR="003C4680">
        <w:rPr>
          <w:rFonts w:ascii="Times New Roman" w:hAnsi="Times New Roman" w:cs="Times New Roman"/>
        </w:rPr>
        <w:t xml:space="preserve">s de performances ou d’exigences fonctionnelles en se référant aux spécifications techniques </w:t>
      </w:r>
      <w:r w:rsidR="00C66EF2">
        <w:rPr>
          <w:rFonts w:ascii="Times New Roman" w:hAnsi="Times New Roman" w:cs="Times New Roman"/>
        </w:rPr>
        <w:t xml:space="preserve">comme moyen de présumer de la conformité à ces performances ou exigences, </w:t>
      </w:r>
      <w:r w:rsidR="00994484">
        <w:rPr>
          <w:rFonts w:ascii="Times New Roman" w:hAnsi="Times New Roman" w:cs="Times New Roman"/>
        </w:rPr>
        <w:t xml:space="preserve">ou une combinaison des deux </w:t>
      </w:r>
      <w:r w:rsidR="006C1C2E">
        <w:rPr>
          <w:rFonts w:ascii="Times New Roman" w:hAnsi="Times New Roman" w:cs="Times New Roman"/>
        </w:rPr>
        <w:t xml:space="preserve">premières </w:t>
      </w:r>
      <w:r w:rsidR="00994484">
        <w:rPr>
          <w:rFonts w:ascii="Times New Roman" w:hAnsi="Times New Roman" w:cs="Times New Roman"/>
        </w:rPr>
        <w:t>techniques précitées.</w:t>
      </w:r>
    </w:p>
    <w:p w14:paraId="283381D2" w14:textId="77777777" w:rsidR="008E745F" w:rsidRDefault="008E745F" w:rsidP="008E745F">
      <w:pPr>
        <w:pStyle w:val="Paragraphedeliste"/>
        <w:spacing w:after="0" w:line="360" w:lineRule="auto"/>
        <w:ind w:left="0"/>
        <w:jc w:val="both"/>
        <w:rPr>
          <w:rFonts w:ascii="Times New Roman" w:hAnsi="Times New Roman" w:cs="Times New Roman"/>
        </w:rPr>
      </w:pPr>
    </w:p>
    <w:p w14:paraId="5F562C96" w14:textId="7C745D72" w:rsidR="008E745F" w:rsidRDefault="00807421" w:rsidP="008E745F">
      <w:pPr>
        <w:pStyle w:val="Paragraphedeliste"/>
        <w:spacing w:after="0" w:line="360" w:lineRule="auto"/>
        <w:ind w:left="0"/>
        <w:jc w:val="both"/>
        <w:rPr>
          <w:rFonts w:ascii="Times New Roman" w:hAnsi="Times New Roman" w:cs="Times New Roman"/>
        </w:rPr>
      </w:pPr>
      <w:r>
        <w:rPr>
          <w:rFonts w:ascii="Times New Roman" w:hAnsi="Times New Roman" w:cs="Times New Roman"/>
        </w:rPr>
        <w:t>L</w:t>
      </w:r>
      <w:r w:rsidR="0085406D">
        <w:rPr>
          <w:rFonts w:ascii="Times New Roman" w:hAnsi="Times New Roman" w:cs="Times New Roman"/>
        </w:rPr>
        <w:t>a formulation en termes de</w:t>
      </w:r>
      <w:r w:rsidR="00301579">
        <w:rPr>
          <w:rFonts w:ascii="Times New Roman" w:hAnsi="Times New Roman" w:cs="Times New Roman"/>
        </w:rPr>
        <w:t xml:space="preserve"> </w:t>
      </w:r>
      <w:r w:rsidR="0085406D">
        <w:rPr>
          <w:rFonts w:ascii="Times New Roman" w:hAnsi="Times New Roman" w:cs="Times New Roman"/>
        </w:rPr>
        <w:t xml:space="preserve">performances et </w:t>
      </w:r>
      <w:r w:rsidR="00301579">
        <w:rPr>
          <w:rFonts w:ascii="Times New Roman" w:hAnsi="Times New Roman" w:cs="Times New Roman"/>
        </w:rPr>
        <w:t>d’</w:t>
      </w:r>
      <w:r w:rsidR="0085406D">
        <w:rPr>
          <w:rFonts w:ascii="Times New Roman" w:hAnsi="Times New Roman" w:cs="Times New Roman"/>
        </w:rPr>
        <w:t>exigences fonctionnelles décri</w:t>
      </w:r>
      <w:r w:rsidR="003E4731">
        <w:rPr>
          <w:rFonts w:ascii="Times New Roman" w:hAnsi="Times New Roman" w:cs="Times New Roman"/>
        </w:rPr>
        <w:t>t</w:t>
      </w:r>
      <w:r w:rsidR="0085406D">
        <w:rPr>
          <w:rFonts w:ascii="Times New Roman" w:hAnsi="Times New Roman" w:cs="Times New Roman"/>
        </w:rPr>
        <w:t xml:space="preserve"> le but à atteindre, tandis que</w:t>
      </w:r>
      <w:r w:rsidR="00301579">
        <w:rPr>
          <w:rFonts w:ascii="Times New Roman" w:hAnsi="Times New Roman" w:cs="Times New Roman"/>
        </w:rPr>
        <w:t xml:space="preserve"> la formulation par référence à</w:t>
      </w:r>
      <w:r w:rsidR="0085406D">
        <w:rPr>
          <w:rFonts w:ascii="Times New Roman" w:hAnsi="Times New Roman" w:cs="Times New Roman"/>
        </w:rPr>
        <w:t xml:space="preserve"> </w:t>
      </w:r>
      <w:r w:rsidR="00301579">
        <w:rPr>
          <w:rFonts w:ascii="Times New Roman" w:hAnsi="Times New Roman" w:cs="Times New Roman"/>
        </w:rPr>
        <w:t>d</w:t>
      </w:r>
      <w:r w:rsidR="0085406D">
        <w:rPr>
          <w:rFonts w:ascii="Times New Roman" w:hAnsi="Times New Roman" w:cs="Times New Roman"/>
        </w:rPr>
        <w:t xml:space="preserve">es spécifications techniques </w:t>
      </w:r>
      <w:r w:rsidR="003E4731">
        <w:rPr>
          <w:rFonts w:ascii="Times New Roman" w:hAnsi="Times New Roman" w:cs="Times New Roman"/>
        </w:rPr>
        <w:t>décrit comment atteindre cet objectif</w:t>
      </w:r>
      <w:r w:rsidR="006968AD">
        <w:rPr>
          <w:rStyle w:val="Appelnotedebasdep"/>
          <w:rFonts w:ascii="Times New Roman" w:hAnsi="Times New Roman" w:cs="Times New Roman"/>
        </w:rPr>
        <w:footnoteReference w:id="5"/>
      </w:r>
      <w:r w:rsidR="003E4731">
        <w:rPr>
          <w:rFonts w:ascii="Times New Roman" w:hAnsi="Times New Roman" w:cs="Times New Roman"/>
        </w:rPr>
        <w:t>.</w:t>
      </w:r>
    </w:p>
    <w:p w14:paraId="72BDE1B5" w14:textId="77777777" w:rsidR="00994484" w:rsidRPr="006A64EA" w:rsidRDefault="00994484" w:rsidP="00B044A4">
      <w:pPr>
        <w:pStyle w:val="Paragraphedeliste"/>
        <w:spacing w:after="0" w:line="360" w:lineRule="auto"/>
        <w:ind w:left="0"/>
        <w:jc w:val="both"/>
        <w:rPr>
          <w:rFonts w:ascii="Times New Roman" w:hAnsi="Times New Roman" w:cs="Times New Roman"/>
        </w:rPr>
      </w:pPr>
    </w:p>
    <w:p w14:paraId="11F318E4" w14:textId="36EB5F6F" w:rsidR="009E477F" w:rsidRDefault="00956F00" w:rsidP="00564294">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 </w:t>
      </w:r>
      <w:r w:rsidR="009E477F">
        <w:rPr>
          <w:rFonts w:ascii="Times New Roman" w:hAnsi="Times New Roman" w:cs="Times New Roman"/>
        </w:rPr>
        <w:t xml:space="preserve"> </w:t>
      </w:r>
      <w:r w:rsidR="007B0289">
        <w:rPr>
          <w:rFonts w:ascii="Times New Roman" w:hAnsi="Times New Roman" w:cs="Times New Roman"/>
        </w:rPr>
        <w:t>Le quatrième paragraphe de l’article 42 de la directive 2014/24</w:t>
      </w:r>
      <w:r w:rsidR="005158DB">
        <w:rPr>
          <w:rFonts w:ascii="Times New Roman" w:hAnsi="Times New Roman" w:cs="Times New Roman"/>
        </w:rPr>
        <w:t xml:space="preserve"> prohibe certaines références particulières</w:t>
      </w:r>
      <w:r w:rsidR="003C7515">
        <w:rPr>
          <w:rFonts w:ascii="Times New Roman" w:hAnsi="Times New Roman" w:cs="Times New Roman"/>
        </w:rPr>
        <w:t>, sauf si elles sont justifiées par l’objet</w:t>
      </w:r>
      <w:r w:rsidR="00863AE7">
        <w:rPr>
          <w:rFonts w:ascii="Times New Roman" w:hAnsi="Times New Roman" w:cs="Times New Roman"/>
        </w:rPr>
        <w:t xml:space="preserve"> du marché</w:t>
      </w:r>
      <w:r w:rsidR="003C7515">
        <w:rPr>
          <w:rFonts w:ascii="Times New Roman" w:hAnsi="Times New Roman" w:cs="Times New Roman"/>
        </w:rPr>
        <w:t>, ou</w:t>
      </w:r>
      <w:r w:rsidR="0088192D">
        <w:rPr>
          <w:rFonts w:ascii="Times New Roman" w:hAnsi="Times New Roman" w:cs="Times New Roman"/>
        </w:rPr>
        <w:t>,</w:t>
      </w:r>
      <w:r w:rsidR="005D6C61">
        <w:rPr>
          <w:rFonts w:ascii="Times New Roman" w:hAnsi="Times New Roman" w:cs="Times New Roman"/>
        </w:rPr>
        <w:t xml:space="preserve"> exceptionnel</w:t>
      </w:r>
      <w:r w:rsidR="00A95E58">
        <w:rPr>
          <w:rFonts w:ascii="Times New Roman" w:hAnsi="Times New Roman" w:cs="Times New Roman"/>
        </w:rPr>
        <w:t>lement</w:t>
      </w:r>
      <w:r w:rsidR="0088192D">
        <w:rPr>
          <w:rFonts w:ascii="Times New Roman" w:hAnsi="Times New Roman" w:cs="Times New Roman"/>
        </w:rPr>
        <w:t>,</w:t>
      </w:r>
      <w:r w:rsidR="005D6C61">
        <w:rPr>
          <w:rFonts w:ascii="Times New Roman" w:hAnsi="Times New Roman" w:cs="Times New Roman"/>
        </w:rPr>
        <w:t xml:space="preserve"> lorsqu’il « n’est pas possible </w:t>
      </w:r>
      <w:r w:rsidR="00023279">
        <w:rPr>
          <w:rFonts w:ascii="Times New Roman" w:hAnsi="Times New Roman" w:cs="Times New Roman"/>
        </w:rPr>
        <w:t>de fournir une description suffisamment précise et intelligible de l’objet du marché en application du paragraphe 3</w:t>
      </w:r>
      <w:r w:rsidR="009000D2">
        <w:rPr>
          <w:rFonts w:ascii="Times New Roman" w:hAnsi="Times New Roman" w:cs="Times New Roman"/>
        </w:rPr>
        <w:t xml:space="preserve">. Une telle référence </w:t>
      </w:r>
      <w:r w:rsidR="00D535CC">
        <w:rPr>
          <w:rFonts w:ascii="Times New Roman" w:hAnsi="Times New Roman" w:cs="Times New Roman"/>
        </w:rPr>
        <w:t>est accompagnée des termes ‘ou équivalent’</w:t>
      </w:r>
      <w:r w:rsidR="00023279">
        <w:rPr>
          <w:rFonts w:ascii="Times New Roman" w:hAnsi="Times New Roman" w:cs="Times New Roman"/>
        </w:rPr>
        <w:t xml:space="preserve"> ». </w:t>
      </w:r>
      <w:r w:rsidR="00D535CC">
        <w:rPr>
          <w:rFonts w:ascii="Times New Roman" w:hAnsi="Times New Roman" w:cs="Times New Roman"/>
        </w:rPr>
        <w:t>Les références prohibées sont les suivantes</w:t>
      </w:r>
      <w:r w:rsidR="00916190">
        <w:rPr>
          <w:rFonts w:ascii="Times New Roman" w:hAnsi="Times New Roman" w:cs="Times New Roman"/>
        </w:rPr>
        <w:t> : une fabrication ou provenance déterminée ou un procédé particulier caractérisant les produits ou services fournis par un opérateur économique spécifique</w:t>
      </w:r>
      <w:r w:rsidR="001D7AA5">
        <w:rPr>
          <w:rFonts w:ascii="Times New Roman" w:hAnsi="Times New Roman" w:cs="Times New Roman"/>
        </w:rPr>
        <w:t>, une marque, un type, une origine ou une production déterminée ayant pour effet de favoriser ou d’éliminer certaines entreprises ou certains produits.</w:t>
      </w:r>
    </w:p>
    <w:p w14:paraId="76143A24" w14:textId="77777777" w:rsidR="001D7AA5" w:rsidRPr="001D7AA5" w:rsidRDefault="001D7AA5" w:rsidP="001D7AA5">
      <w:pPr>
        <w:pStyle w:val="Paragraphedeliste"/>
        <w:rPr>
          <w:rFonts w:ascii="Times New Roman" w:hAnsi="Times New Roman" w:cs="Times New Roman"/>
        </w:rPr>
      </w:pPr>
    </w:p>
    <w:p w14:paraId="6C3F9DC2" w14:textId="731992C5" w:rsidR="00956291" w:rsidRPr="00A20C4C" w:rsidRDefault="00B25993" w:rsidP="00A20C4C">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lastRenderedPageBreak/>
        <w:t xml:space="preserve">L’article 43 de la directive 2014/24 précise qu’un label peut constituer un moyen de prouver </w:t>
      </w:r>
      <w:r w:rsidR="00F20E33">
        <w:rPr>
          <w:rFonts w:ascii="Times New Roman" w:hAnsi="Times New Roman" w:cs="Times New Roman"/>
        </w:rPr>
        <w:t>le respect des spécifications techniques</w:t>
      </w:r>
      <w:r w:rsidR="00A01F67">
        <w:rPr>
          <w:rFonts w:ascii="Times New Roman" w:hAnsi="Times New Roman" w:cs="Times New Roman"/>
        </w:rPr>
        <w:t xml:space="preserve"> </w:t>
      </w:r>
      <w:r w:rsidR="00F20E33">
        <w:rPr>
          <w:rFonts w:ascii="Times New Roman" w:hAnsi="Times New Roman" w:cs="Times New Roman"/>
        </w:rPr>
        <w:t>requises</w:t>
      </w:r>
      <w:r w:rsidR="001F61F0">
        <w:rPr>
          <w:rFonts w:ascii="Times New Roman" w:hAnsi="Times New Roman" w:cs="Times New Roman"/>
        </w:rPr>
        <w:t xml:space="preserve"> (telles que des caractéristiques environnementales)</w:t>
      </w:r>
      <w:r w:rsidR="00F20E33">
        <w:rPr>
          <w:rFonts w:ascii="Times New Roman" w:hAnsi="Times New Roman" w:cs="Times New Roman"/>
        </w:rPr>
        <w:t xml:space="preserve">, </w:t>
      </w:r>
      <w:r w:rsidR="00956291">
        <w:rPr>
          <w:rFonts w:ascii="Times New Roman" w:hAnsi="Times New Roman" w:cs="Times New Roman"/>
        </w:rPr>
        <w:t>pourvu</w:t>
      </w:r>
      <w:r w:rsidR="00F20E33">
        <w:rPr>
          <w:rFonts w:ascii="Times New Roman" w:hAnsi="Times New Roman" w:cs="Times New Roman"/>
        </w:rPr>
        <w:t xml:space="preserve"> que certaines </w:t>
      </w:r>
      <w:r w:rsidR="00956291">
        <w:rPr>
          <w:rFonts w:ascii="Times New Roman" w:hAnsi="Times New Roman" w:cs="Times New Roman"/>
        </w:rPr>
        <w:t>conditions soient remplies</w:t>
      </w:r>
      <w:r w:rsidR="00A85DF9">
        <w:rPr>
          <w:rStyle w:val="Appelnotedebasdep"/>
          <w:rFonts w:ascii="Times New Roman" w:hAnsi="Times New Roman" w:cs="Times New Roman"/>
        </w:rPr>
        <w:footnoteReference w:id="6"/>
      </w:r>
      <w:r w:rsidR="00956291">
        <w:rPr>
          <w:rFonts w:ascii="Times New Roman" w:hAnsi="Times New Roman" w:cs="Times New Roman"/>
        </w:rPr>
        <w:t>.</w:t>
      </w:r>
    </w:p>
    <w:p w14:paraId="0DA82CEC" w14:textId="77777777" w:rsidR="000C0267" w:rsidRDefault="000C0267" w:rsidP="00340098">
      <w:pPr>
        <w:pStyle w:val="Paragraphedeliste"/>
        <w:spacing w:after="0" w:line="360" w:lineRule="auto"/>
        <w:ind w:left="0"/>
        <w:jc w:val="both"/>
        <w:rPr>
          <w:rFonts w:ascii="Times New Roman" w:hAnsi="Times New Roman" w:cs="Times New Roman"/>
        </w:rPr>
      </w:pPr>
    </w:p>
    <w:p w14:paraId="7FF86C29" w14:textId="248C44F8" w:rsidR="002A66C8" w:rsidRDefault="00037000" w:rsidP="002A66C8">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Les dispositions européennes précitées ont été </w:t>
      </w:r>
      <w:r w:rsidR="00331891">
        <w:rPr>
          <w:rFonts w:ascii="Times New Roman" w:hAnsi="Times New Roman" w:cs="Times New Roman"/>
        </w:rPr>
        <w:t xml:space="preserve">transposées </w:t>
      </w:r>
      <w:r w:rsidR="004F232D">
        <w:rPr>
          <w:rFonts w:ascii="Times New Roman" w:hAnsi="Times New Roman" w:cs="Times New Roman"/>
        </w:rPr>
        <w:t xml:space="preserve">en droit belge </w:t>
      </w:r>
      <w:r w:rsidR="00331891">
        <w:rPr>
          <w:rFonts w:ascii="Times New Roman" w:hAnsi="Times New Roman" w:cs="Times New Roman"/>
        </w:rPr>
        <w:t xml:space="preserve">aux articles </w:t>
      </w:r>
      <w:r w:rsidR="001A732D">
        <w:rPr>
          <w:rFonts w:ascii="Times New Roman" w:hAnsi="Times New Roman" w:cs="Times New Roman"/>
        </w:rPr>
        <w:t>53</w:t>
      </w:r>
      <w:r w:rsidR="004F232D">
        <w:rPr>
          <w:rFonts w:ascii="Times New Roman" w:hAnsi="Times New Roman" w:cs="Times New Roman"/>
        </w:rPr>
        <w:t xml:space="preserve"> à 55 de la loi du 17 juin 2016 relative aux marchés publics</w:t>
      </w:r>
      <w:r w:rsidR="002A66C8">
        <w:rPr>
          <w:rStyle w:val="Appelnotedebasdep"/>
          <w:rFonts w:ascii="Times New Roman" w:hAnsi="Times New Roman" w:cs="Times New Roman"/>
        </w:rPr>
        <w:footnoteReference w:id="7"/>
      </w:r>
      <w:r w:rsidR="002A66C8">
        <w:rPr>
          <w:rFonts w:ascii="Times New Roman" w:hAnsi="Times New Roman" w:cs="Times New Roman"/>
        </w:rPr>
        <w:t xml:space="preserve"> </w:t>
      </w:r>
      <w:r w:rsidR="0094522B">
        <w:rPr>
          <w:rFonts w:ascii="Times New Roman" w:hAnsi="Times New Roman" w:cs="Times New Roman"/>
        </w:rPr>
        <w:t xml:space="preserve">(ci-après </w:t>
      </w:r>
      <w:r w:rsidR="002A66C8">
        <w:rPr>
          <w:rFonts w:ascii="Times New Roman" w:hAnsi="Times New Roman" w:cs="Times New Roman"/>
        </w:rPr>
        <w:t xml:space="preserve">« la loi du 17 juin 2016 »). </w:t>
      </w:r>
    </w:p>
    <w:p w14:paraId="6331D3DE" w14:textId="77777777" w:rsidR="002A66C8" w:rsidRPr="002A66C8" w:rsidRDefault="002A66C8" w:rsidP="002A66C8">
      <w:pPr>
        <w:pStyle w:val="Paragraphedeliste"/>
        <w:spacing w:after="0" w:line="360" w:lineRule="auto"/>
        <w:ind w:left="0"/>
        <w:jc w:val="both"/>
        <w:rPr>
          <w:rFonts w:ascii="Times New Roman" w:hAnsi="Times New Roman" w:cs="Times New Roman"/>
        </w:rPr>
      </w:pPr>
    </w:p>
    <w:p w14:paraId="1F883209" w14:textId="2B163879" w:rsidR="0040270F" w:rsidRDefault="002A66C8" w:rsidP="002A66C8">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Les deux particularités suivantes peuvent être notées. Premièrement, </w:t>
      </w:r>
      <w:r w:rsidR="0040270F">
        <w:rPr>
          <w:rFonts w:ascii="Times New Roman" w:hAnsi="Times New Roman" w:cs="Times New Roman"/>
        </w:rPr>
        <w:t xml:space="preserve">l’article 53, § 4, al. </w:t>
      </w:r>
      <w:r w:rsidR="008B6B84">
        <w:rPr>
          <w:rFonts w:ascii="Times New Roman" w:hAnsi="Times New Roman" w:cs="Times New Roman"/>
        </w:rPr>
        <w:t xml:space="preserve">4, prévoit que si le pouvoir adjudicateur viole l’interdiction de faire mention d’une fabrication ou provenance déterminée ou autre, </w:t>
      </w:r>
      <w:r w:rsidR="00A433BC">
        <w:rPr>
          <w:rFonts w:ascii="Times New Roman" w:hAnsi="Times New Roman" w:cs="Times New Roman"/>
        </w:rPr>
        <w:t>« le soumissionnaire peut présenter un produit ou un service équivalent »</w:t>
      </w:r>
      <w:r w:rsidR="004759D8">
        <w:rPr>
          <w:rStyle w:val="Appelnotedebasdep"/>
          <w:rFonts w:ascii="Times New Roman" w:hAnsi="Times New Roman" w:cs="Times New Roman"/>
        </w:rPr>
        <w:footnoteReference w:id="8"/>
      </w:r>
      <w:r w:rsidR="00A433BC">
        <w:rPr>
          <w:rFonts w:ascii="Times New Roman" w:hAnsi="Times New Roman" w:cs="Times New Roman"/>
        </w:rPr>
        <w:t xml:space="preserve">. Deuxièmement, l’article 53, § 7, dispose que </w:t>
      </w:r>
      <w:r w:rsidR="003435B8">
        <w:rPr>
          <w:rFonts w:ascii="Times New Roman" w:hAnsi="Times New Roman" w:cs="Times New Roman"/>
        </w:rPr>
        <w:t>« [s]i les travaux, fournitures ou services sont définis à la fois par des plans, modèles et échantillons, les plans déterminent, sauf disposition contraire dans les documents du marché, la forme du produit, ses dimensions et la nature de la matière dont il est constitué</w:t>
      </w:r>
      <w:r w:rsidR="00D32367">
        <w:rPr>
          <w:rFonts w:ascii="Times New Roman" w:hAnsi="Times New Roman" w:cs="Times New Roman"/>
        </w:rPr>
        <w:t>. Les modèles ne sont considérés que pour le contrôle de la finition et les échantillons pour la qualité ».</w:t>
      </w:r>
      <w:r w:rsidR="007723D8">
        <w:rPr>
          <w:rFonts w:ascii="Times New Roman" w:hAnsi="Times New Roman" w:cs="Times New Roman"/>
        </w:rPr>
        <w:t xml:space="preserve"> </w:t>
      </w:r>
      <w:r w:rsidR="004759D8">
        <w:rPr>
          <w:rFonts w:ascii="Times New Roman" w:hAnsi="Times New Roman" w:cs="Times New Roman"/>
        </w:rPr>
        <w:t xml:space="preserve">Suivant B. LOMBAERT, I. MATHY et M. THOMAS, </w:t>
      </w:r>
      <w:r w:rsidR="00202279">
        <w:rPr>
          <w:rFonts w:ascii="Times New Roman" w:hAnsi="Times New Roman" w:cs="Times New Roman"/>
        </w:rPr>
        <w:t>il faut se référer à l</w:t>
      </w:r>
      <w:r w:rsidR="00BC548A">
        <w:rPr>
          <w:rFonts w:ascii="Times New Roman" w:hAnsi="Times New Roman" w:cs="Times New Roman"/>
        </w:rPr>
        <w:t>a précédente version de cette</w:t>
      </w:r>
      <w:r w:rsidR="00847943">
        <w:rPr>
          <w:rFonts w:ascii="Times New Roman" w:hAnsi="Times New Roman" w:cs="Times New Roman"/>
        </w:rPr>
        <w:t xml:space="preserve"> règle</w:t>
      </w:r>
      <w:r w:rsidR="00443687">
        <w:rPr>
          <w:rFonts w:ascii="Times New Roman" w:hAnsi="Times New Roman" w:cs="Times New Roman"/>
        </w:rPr>
        <w:t xml:space="preserve"> pour la comprendre, à savoir l’article 7, § 7, de l’arrêté royal d</w:t>
      </w:r>
      <w:r w:rsidR="00743C22">
        <w:rPr>
          <w:rFonts w:ascii="Times New Roman" w:hAnsi="Times New Roman" w:cs="Times New Roman"/>
        </w:rPr>
        <w:t xml:space="preserve">u 15 juillet 2011 relatif à la passation des marchés </w:t>
      </w:r>
      <w:r w:rsidR="007C00EE">
        <w:rPr>
          <w:rFonts w:ascii="Times New Roman" w:hAnsi="Times New Roman" w:cs="Times New Roman"/>
        </w:rPr>
        <w:t>publics dans les secteurs classiques</w:t>
      </w:r>
      <w:r w:rsidR="007C00EE">
        <w:rPr>
          <w:rStyle w:val="Appelnotedebasdep"/>
          <w:rFonts w:ascii="Times New Roman" w:hAnsi="Times New Roman" w:cs="Times New Roman"/>
        </w:rPr>
        <w:footnoteReference w:id="9"/>
      </w:r>
      <w:r w:rsidR="004E2C7B">
        <w:rPr>
          <w:rFonts w:ascii="Times New Roman" w:hAnsi="Times New Roman" w:cs="Times New Roman"/>
        </w:rPr>
        <w:t xml:space="preserve"> qui précisait </w:t>
      </w:r>
      <w:r w:rsidR="003E10E6">
        <w:rPr>
          <w:rFonts w:ascii="Times New Roman" w:hAnsi="Times New Roman" w:cs="Times New Roman"/>
        </w:rPr>
        <w:t xml:space="preserve">d’abord </w:t>
      </w:r>
      <w:r w:rsidR="004E2C7B">
        <w:rPr>
          <w:rFonts w:ascii="Times New Roman" w:hAnsi="Times New Roman" w:cs="Times New Roman"/>
        </w:rPr>
        <w:t xml:space="preserve">en son premier alinéa que </w:t>
      </w:r>
      <w:r w:rsidR="00E23268">
        <w:rPr>
          <w:rFonts w:ascii="Times New Roman" w:hAnsi="Times New Roman" w:cs="Times New Roman"/>
        </w:rPr>
        <w:t>« [l]es spécifications techniques rendues applicables au marché peuvent être complétées par des calibres, échantillons, modèles, types et autres éléments similaires, lesquels sont re</w:t>
      </w:r>
      <w:r w:rsidR="003E10E6">
        <w:rPr>
          <w:rFonts w:ascii="Times New Roman" w:hAnsi="Times New Roman" w:cs="Times New Roman"/>
        </w:rPr>
        <w:t>vêtus de la marque du pouvoir adjudicateur ».</w:t>
      </w:r>
    </w:p>
    <w:p w14:paraId="547E80C4" w14:textId="04430582" w:rsidR="00391A6F" w:rsidRDefault="00391A6F" w:rsidP="002753C2">
      <w:pPr>
        <w:pStyle w:val="Paragraphedeliste"/>
        <w:spacing w:after="0" w:line="360" w:lineRule="auto"/>
        <w:ind w:left="0"/>
        <w:jc w:val="both"/>
        <w:rPr>
          <w:rFonts w:ascii="Times New Roman" w:hAnsi="Times New Roman" w:cs="Times New Roman"/>
        </w:rPr>
      </w:pPr>
    </w:p>
    <w:p w14:paraId="2BC9F611" w14:textId="68A7E396" w:rsidR="00B036E2" w:rsidRDefault="0044267E" w:rsidP="00475413">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Il ressort des dispositions européennes et belges précitées </w:t>
      </w:r>
      <w:r w:rsidR="00134C73">
        <w:rPr>
          <w:rFonts w:ascii="Times New Roman" w:hAnsi="Times New Roman" w:cs="Times New Roman"/>
        </w:rPr>
        <w:t>qu’un pouvoir adjudicateur est autorisé</w:t>
      </w:r>
      <w:r w:rsidR="0078069F">
        <w:rPr>
          <w:rFonts w:ascii="Times New Roman" w:hAnsi="Times New Roman" w:cs="Times New Roman"/>
        </w:rPr>
        <w:t xml:space="preserve"> </w:t>
      </w:r>
      <w:r w:rsidR="00FF6BDC">
        <w:rPr>
          <w:rFonts w:ascii="Times New Roman" w:hAnsi="Times New Roman" w:cs="Times New Roman"/>
        </w:rPr>
        <w:t>de formuler des spécifications techniques dites « environnementales »</w:t>
      </w:r>
      <w:r w:rsidR="009B5312">
        <w:rPr>
          <w:rStyle w:val="Appelnotedebasdep"/>
          <w:rFonts w:ascii="Times New Roman" w:hAnsi="Times New Roman" w:cs="Times New Roman"/>
        </w:rPr>
        <w:footnoteReference w:id="10"/>
      </w:r>
      <w:r w:rsidR="00C6194D">
        <w:rPr>
          <w:rFonts w:ascii="Times New Roman" w:hAnsi="Times New Roman" w:cs="Times New Roman"/>
        </w:rPr>
        <w:t>.</w:t>
      </w:r>
      <w:r w:rsidR="00BA2C65">
        <w:rPr>
          <w:rFonts w:ascii="Times New Roman" w:hAnsi="Times New Roman" w:cs="Times New Roman"/>
        </w:rPr>
        <w:t xml:space="preserve"> </w:t>
      </w:r>
      <w:r w:rsidR="00FB0CF1">
        <w:rPr>
          <w:rFonts w:ascii="Times New Roman" w:hAnsi="Times New Roman" w:cs="Times New Roman"/>
        </w:rPr>
        <w:t>Suivant le</w:t>
      </w:r>
      <w:r w:rsidR="009A5359">
        <w:rPr>
          <w:rFonts w:ascii="Times New Roman" w:hAnsi="Times New Roman" w:cs="Times New Roman"/>
        </w:rPr>
        <w:t xml:space="preserve"> point 1 de l’annexe VII de la directive 2014/24</w:t>
      </w:r>
      <w:r w:rsidR="00FB0CF1">
        <w:rPr>
          <w:rFonts w:ascii="Times New Roman" w:hAnsi="Times New Roman" w:cs="Times New Roman"/>
        </w:rPr>
        <w:t xml:space="preserve">, les spécifications techniques comprennent en </w:t>
      </w:r>
      <w:r w:rsidR="00FB0CF1">
        <w:rPr>
          <w:rFonts w:ascii="Times New Roman" w:hAnsi="Times New Roman" w:cs="Times New Roman"/>
        </w:rPr>
        <w:lastRenderedPageBreak/>
        <w:t xml:space="preserve">effet </w:t>
      </w:r>
      <w:r w:rsidR="009B5312">
        <w:rPr>
          <w:rFonts w:ascii="Times New Roman" w:hAnsi="Times New Roman" w:cs="Times New Roman"/>
        </w:rPr>
        <w:t>« les niveaux de performance environnementale et climatique ».</w:t>
      </w:r>
      <w:r w:rsidR="00525CBA">
        <w:rPr>
          <w:rFonts w:ascii="Times New Roman" w:hAnsi="Times New Roman" w:cs="Times New Roman"/>
        </w:rPr>
        <w:t xml:space="preserve"> La possibilité </w:t>
      </w:r>
      <w:r w:rsidR="00560D45">
        <w:rPr>
          <w:rFonts w:ascii="Times New Roman" w:hAnsi="Times New Roman" w:cs="Times New Roman"/>
        </w:rPr>
        <w:t xml:space="preserve">de spécifier </w:t>
      </w:r>
      <w:r w:rsidR="00D353AE">
        <w:rPr>
          <w:rFonts w:ascii="Times New Roman" w:hAnsi="Times New Roman" w:cs="Times New Roman"/>
        </w:rPr>
        <w:t xml:space="preserve">les processus et méthodes à tout stade du </w:t>
      </w:r>
      <w:r w:rsidR="00560D45">
        <w:rPr>
          <w:rFonts w:ascii="Times New Roman" w:hAnsi="Times New Roman" w:cs="Times New Roman"/>
        </w:rPr>
        <w:t>cycle</w:t>
      </w:r>
      <w:r w:rsidR="00D353AE">
        <w:rPr>
          <w:rFonts w:ascii="Times New Roman" w:hAnsi="Times New Roman" w:cs="Times New Roman"/>
        </w:rPr>
        <w:t xml:space="preserve"> de vie des travaux, produits et services </w:t>
      </w:r>
      <w:r w:rsidR="00560D45">
        <w:rPr>
          <w:rFonts w:ascii="Times New Roman" w:hAnsi="Times New Roman" w:cs="Times New Roman"/>
        </w:rPr>
        <w:t xml:space="preserve">favorisent </w:t>
      </w:r>
      <w:r w:rsidR="0078069F">
        <w:rPr>
          <w:rFonts w:ascii="Times New Roman" w:hAnsi="Times New Roman" w:cs="Times New Roman"/>
        </w:rPr>
        <w:t xml:space="preserve">aussi </w:t>
      </w:r>
      <w:r w:rsidR="00560D45">
        <w:rPr>
          <w:rFonts w:ascii="Times New Roman" w:hAnsi="Times New Roman" w:cs="Times New Roman"/>
        </w:rPr>
        <w:t>l’adoption de spécifications techniques environnementales appropriées</w:t>
      </w:r>
      <w:r w:rsidR="00E105DE">
        <w:rPr>
          <w:rStyle w:val="Appelnotedebasdep"/>
          <w:rFonts w:ascii="Times New Roman" w:hAnsi="Times New Roman" w:cs="Times New Roman"/>
        </w:rPr>
        <w:footnoteReference w:id="11"/>
      </w:r>
      <w:r w:rsidR="00560D45">
        <w:rPr>
          <w:rFonts w:ascii="Times New Roman" w:hAnsi="Times New Roman" w:cs="Times New Roman"/>
        </w:rPr>
        <w:t xml:space="preserve">. </w:t>
      </w:r>
    </w:p>
    <w:p w14:paraId="33FE91B1" w14:textId="77777777" w:rsidR="009A3A3E" w:rsidRDefault="009A3A3E" w:rsidP="009A3A3E">
      <w:pPr>
        <w:pStyle w:val="Paragraphedeliste"/>
        <w:spacing w:after="0" w:line="360" w:lineRule="auto"/>
        <w:ind w:left="0"/>
        <w:jc w:val="both"/>
        <w:rPr>
          <w:rFonts w:ascii="Times New Roman" w:hAnsi="Times New Roman" w:cs="Times New Roman"/>
        </w:rPr>
      </w:pPr>
    </w:p>
    <w:p w14:paraId="5C54D0CB" w14:textId="5749E3BC" w:rsidR="00FD0866" w:rsidRPr="00544704" w:rsidRDefault="009A3A3E" w:rsidP="009A3A3E">
      <w:pPr>
        <w:pStyle w:val="Paragraphedeliste"/>
        <w:spacing w:after="0" w:line="360" w:lineRule="auto"/>
        <w:ind w:left="0"/>
        <w:jc w:val="both"/>
        <w:rPr>
          <w:rFonts w:ascii="Times New Roman" w:hAnsi="Times New Roman" w:cs="Times New Roman"/>
        </w:rPr>
      </w:pPr>
      <w:r>
        <w:rPr>
          <w:rFonts w:ascii="Times New Roman" w:hAnsi="Times New Roman" w:cs="Times New Roman"/>
        </w:rPr>
        <w:t>Il n’en demeure pas moins que tout</w:t>
      </w:r>
      <w:r w:rsidR="0075011F">
        <w:rPr>
          <w:rFonts w:ascii="Times New Roman" w:hAnsi="Times New Roman" w:cs="Times New Roman"/>
        </w:rPr>
        <w:t xml:space="preserve">e spécification technique environnementale n’est pas admise. </w:t>
      </w:r>
      <w:r w:rsidR="00B846E4">
        <w:rPr>
          <w:rFonts w:ascii="Times New Roman" w:hAnsi="Times New Roman" w:cs="Times New Roman"/>
        </w:rPr>
        <w:t xml:space="preserve">Un obstacle fréquemment cité est celui </w:t>
      </w:r>
      <w:r w:rsidR="004E0B39">
        <w:rPr>
          <w:rFonts w:ascii="Times New Roman" w:hAnsi="Times New Roman" w:cs="Times New Roman"/>
        </w:rPr>
        <w:t>de l’exigence d’un lien entre la spécification technique et l’objet du marché</w:t>
      </w:r>
      <w:r w:rsidR="00D63684">
        <w:rPr>
          <w:rFonts w:ascii="Times New Roman" w:hAnsi="Times New Roman" w:cs="Times New Roman"/>
        </w:rPr>
        <w:t>, notamment en raison de son caractèr</w:t>
      </w:r>
      <w:r w:rsidR="002210CA">
        <w:rPr>
          <w:rFonts w:ascii="Times New Roman" w:hAnsi="Times New Roman" w:cs="Times New Roman"/>
        </w:rPr>
        <w:t>e imprécis</w:t>
      </w:r>
      <w:r w:rsidR="00761584">
        <w:rPr>
          <w:rStyle w:val="Appelnotedebasdep"/>
          <w:rFonts w:ascii="Times New Roman" w:hAnsi="Times New Roman" w:cs="Times New Roman"/>
        </w:rPr>
        <w:footnoteReference w:id="12"/>
      </w:r>
      <w:r w:rsidR="002210CA">
        <w:rPr>
          <w:rFonts w:ascii="Times New Roman" w:hAnsi="Times New Roman" w:cs="Times New Roman"/>
        </w:rPr>
        <w:t>.</w:t>
      </w:r>
      <w:r w:rsidR="00E41405">
        <w:rPr>
          <w:rFonts w:ascii="Times New Roman" w:hAnsi="Times New Roman" w:cs="Times New Roman"/>
        </w:rPr>
        <w:t xml:space="preserve"> </w:t>
      </w:r>
      <w:r w:rsidR="00CC1E38">
        <w:rPr>
          <w:rFonts w:ascii="Times New Roman" w:hAnsi="Times New Roman" w:cs="Times New Roman"/>
        </w:rPr>
        <w:t xml:space="preserve">L’article 42, § 4, de la directive 2014/24 constitue un autre obstacle en ce qu’il ne permet par exemple pas </w:t>
      </w:r>
      <w:r w:rsidR="008A222F">
        <w:rPr>
          <w:rFonts w:ascii="Times New Roman" w:hAnsi="Times New Roman" w:cs="Times New Roman"/>
        </w:rPr>
        <w:t xml:space="preserve">au pouvoir adjudicateur </w:t>
      </w:r>
      <w:r w:rsidR="006D3364">
        <w:rPr>
          <w:rFonts w:ascii="Times New Roman" w:hAnsi="Times New Roman" w:cs="Times New Roman"/>
        </w:rPr>
        <w:t>d’</w:t>
      </w:r>
      <w:r w:rsidR="008A222F">
        <w:rPr>
          <w:rFonts w:ascii="Times New Roman" w:hAnsi="Times New Roman" w:cs="Times New Roman"/>
        </w:rPr>
        <w:t>imposer</w:t>
      </w:r>
      <w:r w:rsidR="00F5323E">
        <w:rPr>
          <w:rFonts w:ascii="Times New Roman" w:hAnsi="Times New Roman" w:cs="Times New Roman"/>
        </w:rPr>
        <w:t xml:space="preserve"> qu</w:t>
      </w:r>
      <w:r w:rsidR="008A222F">
        <w:rPr>
          <w:rFonts w:ascii="Times New Roman" w:hAnsi="Times New Roman" w:cs="Times New Roman"/>
        </w:rPr>
        <w:t>’un produit soit d’origine locale</w:t>
      </w:r>
      <w:r w:rsidR="00FD0866">
        <w:rPr>
          <w:rStyle w:val="Appelnotedebasdep"/>
          <w:rFonts w:ascii="Times New Roman" w:hAnsi="Times New Roman" w:cs="Times New Roman"/>
        </w:rPr>
        <w:footnoteReference w:id="13"/>
      </w:r>
      <w:r w:rsidR="008A222F">
        <w:rPr>
          <w:rFonts w:ascii="Times New Roman" w:hAnsi="Times New Roman" w:cs="Times New Roman"/>
        </w:rPr>
        <w:t xml:space="preserve">. Dans son arrêt </w:t>
      </w:r>
      <w:r w:rsidR="00544704">
        <w:rPr>
          <w:rFonts w:ascii="Times New Roman" w:hAnsi="Times New Roman" w:cs="Times New Roman"/>
          <w:i/>
          <w:iCs/>
        </w:rPr>
        <w:t xml:space="preserve">DYKA Plastics </w:t>
      </w:r>
      <w:r w:rsidR="00544704" w:rsidRPr="00544704">
        <w:rPr>
          <w:rFonts w:ascii="Times New Roman" w:hAnsi="Times New Roman" w:cs="Times New Roman"/>
        </w:rPr>
        <w:t xml:space="preserve">analysé </w:t>
      </w:r>
      <w:r w:rsidR="00544704" w:rsidRPr="00B9236C">
        <w:rPr>
          <w:rFonts w:ascii="Times New Roman" w:hAnsi="Times New Roman" w:cs="Times New Roman"/>
          <w:i/>
          <w:iCs/>
        </w:rPr>
        <w:t>infra</w:t>
      </w:r>
      <w:r w:rsidR="00544704">
        <w:rPr>
          <w:rFonts w:ascii="Times New Roman" w:hAnsi="Times New Roman" w:cs="Times New Roman"/>
        </w:rPr>
        <w:t xml:space="preserve"> (</w:t>
      </w:r>
      <w:r w:rsidR="00D85EA6">
        <w:rPr>
          <w:rFonts w:ascii="Times New Roman" w:hAnsi="Times New Roman" w:cs="Times New Roman"/>
        </w:rPr>
        <w:t>4.</w:t>
      </w:r>
      <w:r w:rsidR="00544704">
        <w:rPr>
          <w:rFonts w:ascii="Times New Roman" w:hAnsi="Times New Roman" w:cs="Times New Roman"/>
        </w:rPr>
        <w:t xml:space="preserve">), la Cour précisera les contours </w:t>
      </w:r>
      <w:r w:rsidR="00FD0866">
        <w:rPr>
          <w:rFonts w:ascii="Times New Roman" w:hAnsi="Times New Roman" w:cs="Times New Roman"/>
        </w:rPr>
        <w:t>d</w:t>
      </w:r>
      <w:r w:rsidR="000950EA">
        <w:rPr>
          <w:rFonts w:ascii="Times New Roman" w:hAnsi="Times New Roman" w:cs="Times New Roman"/>
        </w:rPr>
        <w:t>e ce</w:t>
      </w:r>
      <w:r w:rsidR="006C0977">
        <w:rPr>
          <w:rFonts w:ascii="Times New Roman" w:hAnsi="Times New Roman" w:cs="Times New Roman"/>
        </w:rPr>
        <w:t xml:space="preserve">t </w:t>
      </w:r>
      <w:r w:rsidR="000950EA">
        <w:rPr>
          <w:rFonts w:ascii="Times New Roman" w:hAnsi="Times New Roman" w:cs="Times New Roman"/>
        </w:rPr>
        <w:t>obstacle</w:t>
      </w:r>
      <w:r w:rsidR="006344CD">
        <w:rPr>
          <w:rFonts w:ascii="Times New Roman" w:hAnsi="Times New Roman" w:cs="Times New Roman"/>
        </w:rPr>
        <w:t xml:space="preserve"> posé par l’article 42, §</w:t>
      </w:r>
      <w:r w:rsidR="00B03A98">
        <w:rPr>
          <w:rFonts w:ascii="Times New Roman" w:hAnsi="Times New Roman" w:cs="Times New Roman"/>
        </w:rPr>
        <w:t> </w:t>
      </w:r>
      <w:r w:rsidR="006344CD">
        <w:rPr>
          <w:rFonts w:ascii="Times New Roman" w:hAnsi="Times New Roman" w:cs="Times New Roman"/>
        </w:rPr>
        <w:t>4, et plus précisément en ce qu’il interdit de faire référence à un « type » ou à une « </w:t>
      </w:r>
      <w:r w:rsidR="00B9236C">
        <w:rPr>
          <w:rFonts w:ascii="Times New Roman" w:hAnsi="Times New Roman" w:cs="Times New Roman"/>
        </w:rPr>
        <w:t>production déterminée ».</w:t>
      </w:r>
    </w:p>
    <w:p w14:paraId="29EE0887" w14:textId="77777777" w:rsidR="00B036E2" w:rsidRDefault="00B036E2" w:rsidP="00B036E2">
      <w:pPr>
        <w:pStyle w:val="Paragraphedeliste"/>
        <w:spacing w:after="0" w:line="360" w:lineRule="auto"/>
        <w:ind w:left="0"/>
        <w:jc w:val="both"/>
        <w:rPr>
          <w:rFonts w:ascii="Times New Roman" w:hAnsi="Times New Roman" w:cs="Times New Roman"/>
        </w:rPr>
      </w:pPr>
    </w:p>
    <w:p w14:paraId="66B4DD2B" w14:textId="136131B8" w:rsidR="001957B1" w:rsidRDefault="00DF7579" w:rsidP="001957B1">
      <w:pPr>
        <w:pStyle w:val="Titre2"/>
        <w:numPr>
          <w:ilvl w:val="0"/>
          <w:numId w:val="2"/>
        </w:numPr>
        <w:rPr>
          <w:rFonts w:ascii="Times New Roman" w:hAnsi="Times New Roman" w:cs="Times New Roman"/>
          <w:color w:val="auto"/>
          <w:sz w:val="24"/>
          <w:szCs w:val="24"/>
        </w:rPr>
      </w:pPr>
      <w:r>
        <w:rPr>
          <w:rFonts w:ascii="Times New Roman" w:hAnsi="Times New Roman" w:cs="Times New Roman"/>
          <w:color w:val="auto"/>
          <w:sz w:val="24"/>
          <w:szCs w:val="24"/>
        </w:rPr>
        <w:t>La j</w:t>
      </w:r>
      <w:r w:rsidR="007C03D0">
        <w:rPr>
          <w:rFonts w:ascii="Times New Roman" w:hAnsi="Times New Roman" w:cs="Times New Roman"/>
          <w:color w:val="auto"/>
          <w:sz w:val="24"/>
          <w:szCs w:val="24"/>
        </w:rPr>
        <w:t xml:space="preserve">urisprudence </w:t>
      </w:r>
      <w:r w:rsidR="00367F50">
        <w:rPr>
          <w:rFonts w:ascii="Times New Roman" w:hAnsi="Times New Roman" w:cs="Times New Roman"/>
          <w:color w:val="auto"/>
          <w:sz w:val="24"/>
          <w:szCs w:val="24"/>
        </w:rPr>
        <w:t xml:space="preserve">antérieure </w:t>
      </w:r>
      <w:r w:rsidR="007C03D0">
        <w:rPr>
          <w:rFonts w:ascii="Times New Roman" w:hAnsi="Times New Roman" w:cs="Times New Roman"/>
          <w:color w:val="auto"/>
          <w:sz w:val="24"/>
          <w:szCs w:val="24"/>
        </w:rPr>
        <w:t>d</w:t>
      </w:r>
      <w:r w:rsidR="001957B1">
        <w:rPr>
          <w:rFonts w:ascii="Times New Roman" w:hAnsi="Times New Roman" w:cs="Times New Roman"/>
          <w:color w:val="auto"/>
          <w:sz w:val="24"/>
          <w:szCs w:val="24"/>
        </w:rPr>
        <w:t xml:space="preserve">e la </w:t>
      </w:r>
      <w:r w:rsidR="00367F50">
        <w:rPr>
          <w:rFonts w:ascii="Times New Roman" w:hAnsi="Times New Roman" w:cs="Times New Roman"/>
          <w:color w:val="auto"/>
          <w:sz w:val="24"/>
          <w:szCs w:val="24"/>
        </w:rPr>
        <w:t>CJUE</w:t>
      </w:r>
      <w:r w:rsidR="001957B1">
        <w:rPr>
          <w:rFonts w:ascii="Times New Roman" w:hAnsi="Times New Roman" w:cs="Times New Roman"/>
          <w:color w:val="auto"/>
          <w:sz w:val="24"/>
          <w:szCs w:val="24"/>
        </w:rPr>
        <w:t xml:space="preserve"> </w:t>
      </w:r>
      <w:r w:rsidR="00400B0D">
        <w:rPr>
          <w:rFonts w:ascii="Times New Roman" w:hAnsi="Times New Roman" w:cs="Times New Roman"/>
          <w:color w:val="auto"/>
          <w:sz w:val="24"/>
          <w:szCs w:val="24"/>
        </w:rPr>
        <w:t>sur la formulation</w:t>
      </w:r>
      <w:r w:rsidR="001957B1">
        <w:rPr>
          <w:rFonts w:ascii="Times New Roman" w:hAnsi="Times New Roman" w:cs="Times New Roman"/>
          <w:color w:val="auto"/>
          <w:sz w:val="24"/>
          <w:szCs w:val="24"/>
        </w:rPr>
        <w:t xml:space="preserve"> de</w:t>
      </w:r>
      <w:r w:rsidR="00400B0D">
        <w:rPr>
          <w:rFonts w:ascii="Times New Roman" w:hAnsi="Times New Roman" w:cs="Times New Roman"/>
          <w:color w:val="auto"/>
          <w:sz w:val="24"/>
          <w:szCs w:val="24"/>
        </w:rPr>
        <w:t>s</w:t>
      </w:r>
      <w:r w:rsidR="001957B1">
        <w:rPr>
          <w:rFonts w:ascii="Times New Roman" w:hAnsi="Times New Roman" w:cs="Times New Roman"/>
          <w:color w:val="auto"/>
          <w:sz w:val="24"/>
          <w:szCs w:val="24"/>
        </w:rPr>
        <w:t xml:space="preserve"> spécifications techniques</w:t>
      </w:r>
    </w:p>
    <w:p w14:paraId="162252DB" w14:textId="1A87EE36" w:rsidR="00C84BF8" w:rsidRPr="00C84BF8" w:rsidRDefault="00C84BF8" w:rsidP="00C84BF8"/>
    <w:p w14:paraId="5A0B9680" w14:textId="185BA5C8" w:rsidR="00A25D7A" w:rsidRPr="00956F47" w:rsidRDefault="000C55FC" w:rsidP="00294F70">
      <w:pPr>
        <w:pStyle w:val="Paragraphedeliste"/>
        <w:numPr>
          <w:ilvl w:val="0"/>
          <w:numId w:val="3"/>
        </w:numPr>
        <w:spacing w:after="0" w:line="360" w:lineRule="auto"/>
        <w:ind w:left="0" w:firstLine="0"/>
        <w:jc w:val="both"/>
      </w:pPr>
      <w:r>
        <w:rPr>
          <w:rFonts w:ascii="Times New Roman" w:hAnsi="Times New Roman" w:cs="Times New Roman"/>
        </w:rPr>
        <w:t xml:space="preserve">Depuis la fin des années 1980, la CJUE </w:t>
      </w:r>
      <w:r w:rsidR="00B72FFE">
        <w:rPr>
          <w:rFonts w:ascii="Times New Roman" w:hAnsi="Times New Roman" w:cs="Times New Roman"/>
        </w:rPr>
        <w:t>clarifie la portée des règles européennes applicables à la formulation des spécifications techniques</w:t>
      </w:r>
      <w:r w:rsidR="007430D4">
        <w:rPr>
          <w:rFonts w:ascii="Times New Roman" w:hAnsi="Times New Roman" w:cs="Times New Roman"/>
        </w:rPr>
        <w:t>.</w:t>
      </w:r>
      <w:r w:rsidR="00B72FFE">
        <w:rPr>
          <w:rFonts w:ascii="Times New Roman" w:hAnsi="Times New Roman" w:cs="Times New Roman"/>
        </w:rPr>
        <w:t xml:space="preserve"> </w:t>
      </w:r>
      <w:r w:rsidR="005D0EB7">
        <w:rPr>
          <w:rFonts w:ascii="Times New Roman" w:hAnsi="Times New Roman" w:cs="Times New Roman"/>
        </w:rPr>
        <w:t xml:space="preserve"> Dans un arrêt </w:t>
      </w:r>
      <w:r w:rsidR="00C42034">
        <w:rPr>
          <w:rFonts w:ascii="Times New Roman" w:hAnsi="Times New Roman" w:cs="Times New Roman"/>
          <w:i/>
          <w:iCs/>
        </w:rPr>
        <w:t xml:space="preserve">Commission c. </w:t>
      </w:r>
      <w:r w:rsidR="00FA5535">
        <w:rPr>
          <w:rFonts w:ascii="Times New Roman" w:hAnsi="Times New Roman" w:cs="Times New Roman"/>
          <w:i/>
          <w:iCs/>
        </w:rPr>
        <w:t>Irlande</w:t>
      </w:r>
      <w:r w:rsidR="00C42034">
        <w:rPr>
          <w:rFonts w:ascii="Times New Roman" w:hAnsi="Times New Roman" w:cs="Times New Roman"/>
          <w:i/>
          <w:iCs/>
        </w:rPr>
        <w:t xml:space="preserve"> </w:t>
      </w:r>
      <w:r w:rsidR="005D0EB7">
        <w:rPr>
          <w:rFonts w:ascii="Times New Roman" w:hAnsi="Times New Roman" w:cs="Times New Roman"/>
        </w:rPr>
        <w:t>du 22 septembre 1988</w:t>
      </w:r>
      <w:r w:rsidR="00C42034">
        <w:rPr>
          <w:rStyle w:val="Appelnotedebasdep"/>
          <w:rFonts w:ascii="Times New Roman" w:hAnsi="Times New Roman" w:cs="Times New Roman"/>
        </w:rPr>
        <w:footnoteReference w:id="14"/>
      </w:r>
      <w:r w:rsidR="00C42034">
        <w:rPr>
          <w:rFonts w:ascii="Times New Roman" w:hAnsi="Times New Roman" w:cs="Times New Roman"/>
        </w:rPr>
        <w:t xml:space="preserve">, </w:t>
      </w:r>
      <w:r w:rsidR="00003190">
        <w:rPr>
          <w:rFonts w:ascii="Times New Roman" w:hAnsi="Times New Roman" w:cs="Times New Roman"/>
        </w:rPr>
        <w:t>la Cou</w:t>
      </w:r>
      <w:r w:rsidR="00D436C0">
        <w:rPr>
          <w:rFonts w:ascii="Times New Roman" w:hAnsi="Times New Roman" w:cs="Times New Roman"/>
        </w:rPr>
        <w:t xml:space="preserve">r s’est prononcée sur </w:t>
      </w:r>
      <w:r w:rsidR="00DE0832">
        <w:rPr>
          <w:rFonts w:ascii="Times New Roman" w:hAnsi="Times New Roman" w:cs="Times New Roman"/>
        </w:rPr>
        <w:t xml:space="preserve">la validité </w:t>
      </w:r>
      <w:r w:rsidR="00442CF4">
        <w:rPr>
          <w:rFonts w:ascii="Times New Roman" w:hAnsi="Times New Roman" w:cs="Times New Roman"/>
        </w:rPr>
        <w:t>d’une clause d’un marché semblable à celui d</w:t>
      </w:r>
      <w:r w:rsidR="00320A24">
        <w:rPr>
          <w:rFonts w:ascii="Times New Roman" w:hAnsi="Times New Roman" w:cs="Times New Roman"/>
        </w:rPr>
        <w:t>e</w:t>
      </w:r>
      <w:r w:rsidR="00442CF4">
        <w:rPr>
          <w:rFonts w:ascii="Times New Roman" w:hAnsi="Times New Roman" w:cs="Times New Roman"/>
        </w:rPr>
        <w:t xml:space="preserve"> l’affaire </w:t>
      </w:r>
      <w:r w:rsidR="00442CF4">
        <w:rPr>
          <w:rFonts w:ascii="Times New Roman" w:hAnsi="Times New Roman" w:cs="Times New Roman"/>
          <w:i/>
          <w:iCs/>
        </w:rPr>
        <w:t xml:space="preserve">Dyka Plastics </w:t>
      </w:r>
      <w:r w:rsidR="00442CF4">
        <w:rPr>
          <w:rFonts w:ascii="Times New Roman" w:hAnsi="Times New Roman" w:cs="Times New Roman"/>
        </w:rPr>
        <w:t xml:space="preserve">analysé </w:t>
      </w:r>
      <w:r w:rsidR="00442CF4" w:rsidRPr="00442CF4">
        <w:rPr>
          <w:rFonts w:ascii="Times New Roman" w:hAnsi="Times New Roman" w:cs="Times New Roman"/>
          <w:i/>
          <w:iCs/>
        </w:rPr>
        <w:t>infra</w:t>
      </w:r>
      <w:r w:rsidR="00442CF4">
        <w:rPr>
          <w:rFonts w:ascii="Times New Roman" w:hAnsi="Times New Roman" w:cs="Times New Roman"/>
        </w:rPr>
        <w:t xml:space="preserve"> (</w:t>
      </w:r>
      <w:r w:rsidR="00B9236C">
        <w:rPr>
          <w:rFonts w:ascii="Times New Roman" w:hAnsi="Times New Roman" w:cs="Times New Roman"/>
        </w:rPr>
        <w:t>4.</w:t>
      </w:r>
      <w:r w:rsidR="00442CF4">
        <w:rPr>
          <w:rFonts w:ascii="Times New Roman" w:hAnsi="Times New Roman" w:cs="Times New Roman"/>
        </w:rPr>
        <w:t xml:space="preserve">). </w:t>
      </w:r>
      <w:r w:rsidR="00713BC7">
        <w:rPr>
          <w:rFonts w:ascii="Times New Roman" w:hAnsi="Times New Roman" w:cs="Times New Roman"/>
        </w:rPr>
        <w:t xml:space="preserve">Il était question d’un </w:t>
      </w:r>
      <w:r w:rsidR="00715698">
        <w:rPr>
          <w:rFonts w:ascii="Times New Roman" w:hAnsi="Times New Roman" w:cs="Times New Roman"/>
        </w:rPr>
        <w:t>marché</w:t>
      </w:r>
      <w:r w:rsidR="00482A06">
        <w:rPr>
          <w:rFonts w:ascii="Times New Roman" w:hAnsi="Times New Roman" w:cs="Times New Roman"/>
        </w:rPr>
        <w:t xml:space="preserve"> relatif à un projet de construction d’une canalisation d’eau</w:t>
      </w:r>
      <w:r w:rsidR="00725BDF">
        <w:rPr>
          <w:rFonts w:ascii="Times New Roman" w:hAnsi="Times New Roman" w:cs="Times New Roman"/>
        </w:rPr>
        <w:t xml:space="preserve"> du Conseil du District urbain de Dundalk. La clause litigieuse </w:t>
      </w:r>
      <w:r w:rsidR="00715698">
        <w:rPr>
          <w:rFonts w:ascii="Times New Roman" w:hAnsi="Times New Roman" w:cs="Times New Roman"/>
        </w:rPr>
        <w:t>du cahier des charges</w:t>
      </w:r>
      <w:r w:rsidR="001C5E62">
        <w:rPr>
          <w:rFonts w:ascii="Times New Roman" w:hAnsi="Times New Roman" w:cs="Times New Roman"/>
        </w:rPr>
        <w:t>,</w:t>
      </w:r>
      <w:r w:rsidR="00715698">
        <w:rPr>
          <w:rFonts w:ascii="Times New Roman" w:hAnsi="Times New Roman" w:cs="Times New Roman"/>
        </w:rPr>
        <w:t xml:space="preserve"> </w:t>
      </w:r>
      <w:r w:rsidR="001C5E62">
        <w:rPr>
          <w:rFonts w:ascii="Times New Roman" w:hAnsi="Times New Roman" w:cs="Times New Roman"/>
        </w:rPr>
        <w:t xml:space="preserve">inscrite dans le dossier d’appel d’offres, </w:t>
      </w:r>
      <w:r w:rsidR="00816A5B">
        <w:rPr>
          <w:rFonts w:ascii="Times New Roman" w:hAnsi="Times New Roman" w:cs="Times New Roman"/>
        </w:rPr>
        <w:t>se lisait comme suit : « Les conduites en amiante</w:t>
      </w:r>
      <w:r w:rsidR="00FA4B75">
        <w:rPr>
          <w:rFonts w:ascii="Times New Roman" w:hAnsi="Times New Roman" w:cs="Times New Roman"/>
        </w:rPr>
        <w:noBreakHyphen/>
      </w:r>
      <w:r w:rsidR="00816A5B">
        <w:rPr>
          <w:rFonts w:ascii="Times New Roman" w:hAnsi="Times New Roman" w:cs="Times New Roman"/>
        </w:rPr>
        <w:t xml:space="preserve">ciment </w:t>
      </w:r>
      <w:r w:rsidR="00045617">
        <w:rPr>
          <w:rFonts w:ascii="Times New Roman" w:hAnsi="Times New Roman" w:cs="Times New Roman"/>
        </w:rPr>
        <w:t>pour canalisation sous pression seront certifiées conformes à la norme Irlandaise 188</w:t>
      </w:r>
      <w:r w:rsidR="00FA4B75">
        <w:rPr>
          <w:rFonts w:ascii="Times New Roman" w:hAnsi="Times New Roman" w:cs="Times New Roman"/>
        </w:rPr>
        <w:noBreakHyphen/>
      </w:r>
      <w:r w:rsidR="00045617">
        <w:rPr>
          <w:rFonts w:ascii="Times New Roman" w:hAnsi="Times New Roman" w:cs="Times New Roman"/>
        </w:rPr>
        <w:t xml:space="preserve">1975, conformément à l’Irish Standard Mark Licensing Scheme </w:t>
      </w:r>
      <w:r w:rsidR="000F3004">
        <w:rPr>
          <w:rFonts w:ascii="Times New Roman" w:hAnsi="Times New Roman" w:cs="Times New Roman"/>
        </w:rPr>
        <w:t>de l’Institut irlandais de recherches et de standardisation. Toutes les conduites en amiante-ciment seront revêtues intérieurement et extérieurement d’une couche de bitume. Ce revêtement sera appliqué en usine par trempage ».</w:t>
      </w:r>
      <w:r w:rsidR="00A25D7A">
        <w:rPr>
          <w:rFonts w:ascii="Times New Roman" w:hAnsi="Times New Roman" w:cs="Times New Roman"/>
        </w:rPr>
        <w:t xml:space="preserve"> </w:t>
      </w:r>
      <w:r w:rsidR="00C95883">
        <w:rPr>
          <w:rFonts w:ascii="Times New Roman" w:hAnsi="Times New Roman" w:cs="Times New Roman"/>
        </w:rPr>
        <w:t>Même si le</w:t>
      </w:r>
      <w:r w:rsidR="00A25D7A">
        <w:rPr>
          <w:rFonts w:ascii="Times New Roman" w:hAnsi="Times New Roman" w:cs="Times New Roman"/>
        </w:rPr>
        <w:t xml:space="preserve"> marché en question </w:t>
      </w:r>
      <w:r w:rsidR="00F93923">
        <w:rPr>
          <w:rFonts w:ascii="Times New Roman" w:hAnsi="Times New Roman" w:cs="Times New Roman"/>
        </w:rPr>
        <w:t xml:space="preserve">ne </w:t>
      </w:r>
      <w:r w:rsidR="006F0CD1">
        <w:rPr>
          <w:rFonts w:ascii="Times New Roman" w:hAnsi="Times New Roman" w:cs="Times New Roman"/>
        </w:rPr>
        <w:t>relevait</w:t>
      </w:r>
      <w:r w:rsidR="00F93923">
        <w:rPr>
          <w:rFonts w:ascii="Times New Roman" w:hAnsi="Times New Roman" w:cs="Times New Roman"/>
        </w:rPr>
        <w:t xml:space="preserve"> pas du champ d’application de la législation </w:t>
      </w:r>
      <w:r w:rsidR="00B102C3">
        <w:rPr>
          <w:rFonts w:ascii="Times New Roman" w:hAnsi="Times New Roman" w:cs="Times New Roman"/>
        </w:rPr>
        <w:t xml:space="preserve">des marchés publics applicables à cette </w:t>
      </w:r>
      <w:r w:rsidR="00B102C3">
        <w:rPr>
          <w:rFonts w:ascii="Times New Roman" w:hAnsi="Times New Roman" w:cs="Times New Roman"/>
        </w:rPr>
        <w:lastRenderedPageBreak/>
        <w:t>époque</w:t>
      </w:r>
      <w:r w:rsidR="00B102C3">
        <w:rPr>
          <w:rStyle w:val="Appelnotedebasdep"/>
          <w:rFonts w:ascii="Times New Roman" w:hAnsi="Times New Roman" w:cs="Times New Roman"/>
        </w:rPr>
        <w:footnoteReference w:id="15"/>
      </w:r>
      <w:r w:rsidR="002C27C8">
        <w:rPr>
          <w:rFonts w:ascii="Times New Roman" w:hAnsi="Times New Roman" w:cs="Times New Roman"/>
        </w:rPr>
        <w:t xml:space="preserve">, la Cour </w:t>
      </w:r>
      <w:r w:rsidR="00C95883">
        <w:rPr>
          <w:rFonts w:ascii="Times New Roman" w:hAnsi="Times New Roman" w:cs="Times New Roman"/>
        </w:rPr>
        <w:t xml:space="preserve">juge </w:t>
      </w:r>
      <w:r w:rsidR="006F0CD1">
        <w:rPr>
          <w:rFonts w:ascii="Times New Roman" w:hAnsi="Times New Roman" w:cs="Times New Roman"/>
        </w:rPr>
        <w:t xml:space="preserve">qu’il convient tout de même d’examiner si la clause litigieuse « était de nature </w:t>
      </w:r>
      <w:r w:rsidR="00316C84">
        <w:rPr>
          <w:rFonts w:ascii="Times New Roman" w:hAnsi="Times New Roman" w:cs="Times New Roman"/>
        </w:rPr>
        <w:t>à entraver les importations de tuyaux en Irlande »</w:t>
      </w:r>
      <w:r w:rsidR="001450C9">
        <w:rPr>
          <w:rFonts w:ascii="Times New Roman" w:hAnsi="Times New Roman" w:cs="Times New Roman"/>
        </w:rPr>
        <w:t xml:space="preserve"> (point 18)</w:t>
      </w:r>
      <w:r w:rsidR="001B3A34">
        <w:rPr>
          <w:rFonts w:ascii="Times New Roman" w:hAnsi="Times New Roman" w:cs="Times New Roman"/>
        </w:rPr>
        <w:t>, en violation de l’article 30 du traité CEE</w:t>
      </w:r>
      <w:r w:rsidR="00EE484C">
        <w:rPr>
          <w:rFonts w:ascii="Times New Roman" w:hAnsi="Times New Roman" w:cs="Times New Roman"/>
        </w:rPr>
        <w:t xml:space="preserve"> prohibant les restrictions quantitatives à l’importation ainsi que </w:t>
      </w:r>
      <w:r w:rsidR="00A0437E">
        <w:rPr>
          <w:rFonts w:ascii="Times New Roman" w:hAnsi="Times New Roman" w:cs="Times New Roman"/>
        </w:rPr>
        <w:t>les mesures d’effet équivalent</w:t>
      </w:r>
      <w:r w:rsidR="00316C84">
        <w:rPr>
          <w:rFonts w:ascii="Times New Roman" w:hAnsi="Times New Roman" w:cs="Times New Roman"/>
        </w:rPr>
        <w:t>.</w:t>
      </w:r>
      <w:r w:rsidR="001A471F">
        <w:rPr>
          <w:rFonts w:ascii="Times New Roman" w:hAnsi="Times New Roman" w:cs="Times New Roman"/>
        </w:rPr>
        <w:t xml:space="preserve"> </w:t>
      </w:r>
      <w:r w:rsidR="00106D30">
        <w:rPr>
          <w:rFonts w:ascii="Times New Roman" w:hAnsi="Times New Roman" w:cs="Times New Roman"/>
        </w:rPr>
        <w:t>La Cour tient compte des éléments suivants pour conclure que la clause en question</w:t>
      </w:r>
      <w:r w:rsidR="00855096">
        <w:rPr>
          <w:rFonts w:ascii="Times New Roman" w:hAnsi="Times New Roman" w:cs="Times New Roman"/>
        </w:rPr>
        <w:t xml:space="preserve"> viole l’article 30 du traité CEE. Premièrement, </w:t>
      </w:r>
      <w:r w:rsidR="002D0A97">
        <w:rPr>
          <w:rFonts w:ascii="Times New Roman" w:hAnsi="Times New Roman" w:cs="Times New Roman"/>
        </w:rPr>
        <w:t xml:space="preserve">« des opérateurs économiques produisant ou utilisant des tuyaux équivalant à </w:t>
      </w:r>
      <w:r w:rsidR="004D6E53">
        <w:rPr>
          <w:rFonts w:ascii="Times New Roman" w:hAnsi="Times New Roman" w:cs="Times New Roman"/>
        </w:rPr>
        <w:t>ceux dont la conformité aux normes irlandaises a été certifiée »</w:t>
      </w:r>
      <w:r w:rsidR="00E3407C">
        <w:rPr>
          <w:rStyle w:val="Appelnotedebasdep"/>
          <w:rFonts w:ascii="Times New Roman" w:hAnsi="Times New Roman" w:cs="Times New Roman"/>
        </w:rPr>
        <w:t xml:space="preserve"> </w:t>
      </w:r>
      <w:r w:rsidR="00E3407C">
        <w:rPr>
          <w:rFonts w:ascii="Times New Roman" w:hAnsi="Times New Roman" w:cs="Times New Roman"/>
        </w:rPr>
        <w:t>(point 19)</w:t>
      </w:r>
      <w:r w:rsidR="004D6E53">
        <w:rPr>
          <w:rFonts w:ascii="Times New Roman" w:hAnsi="Times New Roman" w:cs="Times New Roman"/>
        </w:rPr>
        <w:t xml:space="preserve"> pourraient s’abstenir de répondre à </w:t>
      </w:r>
      <w:r w:rsidR="008E701B">
        <w:rPr>
          <w:rFonts w:ascii="Times New Roman" w:hAnsi="Times New Roman" w:cs="Times New Roman"/>
        </w:rPr>
        <w:t>l’appel d’offres.</w:t>
      </w:r>
      <w:r w:rsidR="00643214">
        <w:rPr>
          <w:rFonts w:ascii="Times New Roman" w:hAnsi="Times New Roman" w:cs="Times New Roman"/>
        </w:rPr>
        <w:t xml:space="preserve"> La Cour constate ensuite qu’une seule entreprise</w:t>
      </w:r>
      <w:r w:rsidR="00EF2007">
        <w:rPr>
          <w:rFonts w:ascii="Times New Roman" w:hAnsi="Times New Roman" w:cs="Times New Roman"/>
        </w:rPr>
        <w:t>, établie en Irlande,</w:t>
      </w:r>
      <w:r w:rsidR="00643214">
        <w:rPr>
          <w:rFonts w:ascii="Times New Roman" w:hAnsi="Times New Roman" w:cs="Times New Roman"/>
        </w:rPr>
        <w:t xml:space="preserve"> a été agrée </w:t>
      </w:r>
      <w:r w:rsidR="004327F2">
        <w:rPr>
          <w:rFonts w:ascii="Times New Roman" w:hAnsi="Times New Roman" w:cs="Times New Roman"/>
        </w:rPr>
        <w:t xml:space="preserve">au titre de la norme </w:t>
      </w:r>
      <w:r w:rsidR="006277D2">
        <w:rPr>
          <w:rFonts w:ascii="Times New Roman" w:hAnsi="Times New Roman" w:cs="Times New Roman"/>
        </w:rPr>
        <w:t>188-1975.</w:t>
      </w:r>
      <w:r w:rsidR="00364FC2">
        <w:rPr>
          <w:rFonts w:ascii="Times New Roman" w:hAnsi="Times New Roman" w:cs="Times New Roman"/>
        </w:rPr>
        <w:t xml:space="preserve"> </w:t>
      </w:r>
      <w:r w:rsidR="002F4141">
        <w:rPr>
          <w:rFonts w:ascii="Times New Roman" w:hAnsi="Times New Roman" w:cs="Times New Roman"/>
        </w:rPr>
        <w:t>Enfin, s</w:t>
      </w:r>
      <w:r w:rsidR="00364FC2">
        <w:rPr>
          <w:rFonts w:ascii="Times New Roman" w:hAnsi="Times New Roman" w:cs="Times New Roman"/>
        </w:rPr>
        <w:t xml:space="preserve">i </w:t>
      </w:r>
      <w:r w:rsidR="00AE799E">
        <w:rPr>
          <w:rFonts w:ascii="Times New Roman" w:hAnsi="Times New Roman" w:cs="Times New Roman"/>
        </w:rPr>
        <w:t xml:space="preserve">le terme « ou équivalent » avait été inséré après l’indication de la norme </w:t>
      </w:r>
      <w:r w:rsidR="002F4141">
        <w:rPr>
          <w:rFonts w:ascii="Times New Roman" w:hAnsi="Times New Roman" w:cs="Times New Roman"/>
        </w:rPr>
        <w:t>irlandaise</w:t>
      </w:r>
      <w:r w:rsidR="00AE799E">
        <w:rPr>
          <w:rFonts w:ascii="Times New Roman" w:hAnsi="Times New Roman" w:cs="Times New Roman"/>
        </w:rPr>
        <w:t xml:space="preserve">, comme prescrit par la législation sur les marchés publics, </w:t>
      </w:r>
      <w:r w:rsidR="002C06BA">
        <w:rPr>
          <w:rFonts w:ascii="Times New Roman" w:hAnsi="Times New Roman" w:cs="Times New Roman"/>
        </w:rPr>
        <w:t xml:space="preserve">« les autorités irlandaises auraient pu contrôler le respect des conditions techniques sans réserver le marché dès le début aux seuls soumissionnaires se proposant d’utiliser des matériaux irlandais » </w:t>
      </w:r>
      <w:r w:rsidR="00E3407C">
        <w:rPr>
          <w:rFonts w:ascii="Times New Roman" w:hAnsi="Times New Roman" w:cs="Times New Roman"/>
        </w:rPr>
        <w:t>(point 22)</w:t>
      </w:r>
      <w:r w:rsidR="002C06BA">
        <w:rPr>
          <w:rFonts w:ascii="Times New Roman" w:hAnsi="Times New Roman" w:cs="Times New Roman"/>
        </w:rPr>
        <w:t>.</w:t>
      </w:r>
      <w:r w:rsidR="00320A24">
        <w:rPr>
          <w:rFonts w:ascii="Times New Roman" w:hAnsi="Times New Roman" w:cs="Times New Roman"/>
        </w:rPr>
        <w:t xml:space="preserve"> </w:t>
      </w:r>
      <w:r w:rsidR="008C64BD">
        <w:rPr>
          <w:rFonts w:ascii="Times New Roman" w:hAnsi="Times New Roman" w:cs="Times New Roman"/>
        </w:rPr>
        <w:t xml:space="preserve">Comme le précise la Cour, </w:t>
      </w:r>
      <w:r w:rsidR="00A35D85">
        <w:rPr>
          <w:rFonts w:ascii="Times New Roman" w:hAnsi="Times New Roman" w:cs="Times New Roman"/>
        </w:rPr>
        <w:t>le grief de la Commission dans cet arrêt ne portait pas « sur le respect des exigences techniques mais sur le refus des autorités irlandaises de vérifier si ces exigences sont respectées dans le cas où le fabricant des matériaux n’a pas été agréé</w:t>
      </w:r>
      <w:r w:rsidR="00B8219F">
        <w:rPr>
          <w:rFonts w:ascii="Times New Roman" w:hAnsi="Times New Roman" w:cs="Times New Roman"/>
        </w:rPr>
        <w:t> » au titre de la norme irlandaise</w:t>
      </w:r>
      <w:r w:rsidR="00711ED9">
        <w:rPr>
          <w:rFonts w:ascii="Times New Roman" w:hAnsi="Times New Roman" w:cs="Times New Roman"/>
        </w:rPr>
        <w:t xml:space="preserve"> (point 22)</w:t>
      </w:r>
      <w:r w:rsidR="00B8219F">
        <w:rPr>
          <w:rFonts w:ascii="Times New Roman" w:hAnsi="Times New Roman" w:cs="Times New Roman"/>
        </w:rPr>
        <w:t>.</w:t>
      </w:r>
    </w:p>
    <w:p w14:paraId="4669921F" w14:textId="77777777" w:rsidR="00956F47" w:rsidRPr="00A25D7A" w:rsidRDefault="00956F47" w:rsidP="004A15B2">
      <w:pPr>
        <w:pStyle w:val="Paragraphedeliste"/>
        <w:spacing w:after="0" w:line="360" w:lineRule="auto"/>
        <w:ind w:left="0"/>
        <w:jc w:val="both"/>
      </w:pPr>
    </w:p>
    <w:p w14:paraId="200E5DEA" w14:textId="62D55D93" w:rsidR="006572E1" w:rsidRPr="00BF3A3E" w:rsidRDefault="0095545F" w:rsidP="00294F70">
      <w:pPr>
        <w:pStyle w:val="Paragraphedeliste"/>
        <w:numPr>
          <w:ilvl w:val="0"/>
          <w:numId w:val="3"/>
        </w:numPr>
        <w:spacing w:after="0" w:line="360" w:lineRule="auto"/>
        <w:ind w:left="0" w:firstLine="0"/>
        <w:jc w:val="both"/>
      </w:pPr>
      <w:r>
        <w:rPr>
          <w:rFonts w:ascii="Times New Roman" w:hAnsi="Times New Roman" w:cs="Times New Roman"/>
        </w:rPr>
        <w:t xml:space="preserve">Dans un arrêt </w:t>
      </w:r>
      <w:r w:rsidR="00381589">
        <w:rPr>
          <w:rFonts w:ascii="Times New Roman" w:hAnsi="Times New Roman" w:cs="Times New Roman"/>
          <w:i/>
          <w:iCs/>
        </w:rPr>
        <w:t>Commission c. Pays-Bas</w:t>
      </w:r>
      <w:r w:rsidR="00381589">
        <w:rPr>
          <w:rFonts w:ascii="Times New Roman" w:hAnsi="Times New Roman" w:cs="Times New Roman"/>
        </w:rPr>
        <w:t xml:space="preserve"> du 24 janvier 1995</w:t>
      </w:r>
      <w:r w:rsidR="00381589">
        <w:rPr>
          <w:rStyle w:val="Appelnotedebasdep"/>
          <w:rFonts w:ascii="Times New Roman" w:hAnsi="Times New Roman" w:cs="Times New Roman"/>
        </w:rPr>
        <w:footnoteReference w:id="16"/>
      </w:r>
      <w:r w:rsidR="00381589">
        <w:rPr>
          <w:rFonts w:ascii="Times New Roman" w:hAnsi="Times New Roman" w:cs="Times New Roman"/>
        </w:rPr>
        <w:t xml:space="preserve">, la CJUE arrive à la même conclusion </w:t>
      </w:r>
      <w:r w:rsidR="001941E7">
        <w:rPr>
          <w:rFonts w:ascii="Times New Roman" w:hAnsi="Times New Roman" w:cs="Times New Roman"/>
        </w:rPr>
        <w:t>pour un cahier des charges d’un marché de fourniture et de maintenance d’un poste de travail météorologique</w:t>
      </w:r>
      <w:r w:rsidR="00B24C35">
        <w:rPr>
          <w:rFonts w:ascii="Times New Roman" w:hAnsi="Times New Roman" w:cs="Times New Roman"/>
        </w:rPr>
        <w:t xml:space="preserve"> exigeant que le système opérationnel soit le système « UNIX »</w:t>
      </w:r>
      <w:r w:rsidR="007767D0">
        <w:rPr>
          <w:rFonts w:ascii="Times New Roman" w:hAnsi="Times New Roman" w:cs="Times New Roman"/>
        </w:rPr>
        <w:t xml:space="preserve"> désignant la marque d’un produit déterminé, sans accompagnement de la mention « ou équivalent ».</w:t>
      </w:r>
      <w:r w:rsidR="00C8066F">
        <w:rPr>
          <w:rFonts w:ascii="Times New Roman" w:hAnsi="Times New Roman" w:cs="Times New Roman"/>
        </w:rPr>
        <w:t xml:space="preserve"> Dans </w:t>
      </w:r>
      <w:r w:rsidR="001C22A9">
        <w:rPr>
          <w:rFonts w:ascii="Times New Roman" w:hAnsi="Times New Roman" w:cs="Times New Roman"/>
        </w:rPr>
        <w:t xml:space="preserve">le même ordre d’idées, la Cour a </w:t>
      </w:r>
      <w:r w:rsidR="005835AA">
        <w:rPr>
          <w:rFonts w:ascii="Times New Roman" w:hAnsi="Times New Roman" w:cs="Times New Roman"/>
        </w:rPr>
        <w:t>invalidé la clause d’un cahier des charges exigeant</w:t>
      </w:r>
      <w:r w:rsidR="00E33912">
        <w:rPr>
          <w:rFonts w:ascii="Times New Roman" w:hAnsi="Times New Roman" w:cs="Times New Roman"/>
        </w:rPr>
        <w:t> « dans toute la mesure du possible d’utiliser des matériaux et des biens de consommation danois, de la main-d’œuvre et des équipements danois »</w:t>
      </w:r>
      <w:r w:rsidR="00E33912">
        <w:rPr>
          <w:rStyle w:val="Appelnotedebasdep"/>
          <w:rFonts w:ascii="Times New Roman" w:hAnsi="Times New Roman" w:cs="Times New Roman"/>
        </w:rPr>
        <w:footnoteReference w:id="17"/>
      </w:r>
      <w:r w:rsidR="00D038EF">
        <w:rPr>
          <w:rFonts w:ascii="Times New Roman" w:hAnsi="Times New Roman" w:cs="Times New Roman"/>
        </w:rPr>
        <w:t>, de même que la clause</w:t>
      </w:r>
      <w:r w:rsidR="00CC1C0C">
        <w:rPr>
          <w:rFonts w:ascii="Times New Roman" w:hAnsi="Times New Roman" w:cs="Times New Roman"/>
        </w:rPr>
        <w:t xml:space="preserve"> d’un pouvoir adjudicateur d’un </w:t>
      </w:r>
      <w:r w:rsidR="00C46043">
        <w:rPr>
          <w:rFonts w:ascii="Times New Roman" w:hAnsi="Times New Roman" w:cs="Times New Roman"/>
        </w:rPr>
        <w:t>État membre</w:t>
      </w:r>
      <w:r w:rsidR="00D038EF">
        <w:rPr>
          <w:rFonts w:ascii="Times New Roman" w:hAnsi="Times New Roman" w:cs="Times New Roman"/>
        </w:rPr>
        <w:t xml:space="preserve"> </w:t>
      </w:r>
      <w:r w:rsidR="00B17D33">
        <w:rPr>
          <w:rFonts w:ascii="Times New Roman" w:hAnsi="Times New Roman" w:cs="Times New Roman"/>
        </w:rPr>
        <w:t xml:space="preserve">exigeant que </w:t>
      </w:r>
      <w:r w:rsidR="00DE7320">
        <w:rPr>
          <w:rFonts w:ascii="Times New Roman" w:hAnsi="Times New Roman" w:cs="Times New Roman"/>
        </w:rPr>
        <w:t xml:space="preserve">« les médicaments dérivés du </w:t>
      </w:r>
      <w:r w:rsidR="00DE7320">
        <w:rPr>
          <w:rFonts w:ascii="Times New Roman" w:hAnsi="Times New Roman" w:cs="Times New Roman"/>
        </w:rPr>
        <w:lastRenderedPageBreak/>
        <w:t>plasma, objets du marché public en cause, soient fabriqués à partir de plasma collecté dans cet État membre »</w:t>
      </w:r>
      <w:r w:rsidR="00DE7320">
        <w:rPr>
          <w:rStyle w:val="Appelnotedebasdep"/>
          <w:rFonts w:ascii="Times New Roman" w:hAnsi="Times New Roman" w:cs="Times New Roman"/>
        </w:rPr>
        <w:footnoteReference w:id="18"/>
      </w:r>
      <w:r w:rsidR="00DE7320">
        <w:rPr>
          <w:rFonts w:ascii="Times New Roman" w:hAnsi="Times New Roman" w:cs="Times New Roman"/>
        </w:rPr>
        <w:t>.</w:t>
      </w:r>
      <w:r w:rsidR="00591C9F">
        <w:rPr>
          <w:rFonts w:ascii="Times New Roman" w:hAnsi="Times New Roman" w:cs="Times New Roman"/>
        </w:rPr>
        <w:t xml:space="preserve"> </w:t>
      </w:r>
      <w:r w:rsidR="008C06F3">
        <w:rPr>
          <w:rFonts w:ascii="Times New Roman" w:hAnsi="Times New Roman" w:cs="Times New Roman"/>
        </w:rPr>
        <w:t xml:space="preserve">Il en va de même lorsque </w:t>
      </w:r>
      <w:r w:rsidR="00551EBB">
        <w:rPr>
          <w:rFonts w:ascii="Times New Roman" w:hAnsi="Times New Roman" w:cs="Times New Roman"/>
        </w:rPr>
        <w:t xml:space="preserve">les documents du marché désignent les lots par </w:t>
      </w:r>
      <w:r w:rsidR="000B266B">
        <w:rPr>
          <w:rFonts w:ascii="Times New Roman" w:hAnsi="Times New Roman" w:cs="Times New Roman"/>
        </w:rPr>
        <w:t>référence à des classifications d’organismes professionnels nationaux</w:t>
      </w:r>
      <w:r w:rsidR="003C4389">
        <w:rPr>
          <w:rFonts w:ascii="Times New Roman" w:hAnsi="Times New Roman" w:cs="Times New Roman"/>
        </w:rPr>
        <w:t xml:space="preserve"> (en l’espèce français)</w:t>
      </w:r>
      <w:r w:rsidR="000B266B">
        <w:rPr>
          <w:rFonts w:ascii="Times New Roman" w:hAnsi="Times New Roman" w:cs="Times New Roman"/>
        </w:rPr>
        <w:t>, même s</w:t>
      </w:r>
      <w:r w:rsidR="00983D2E">
        <w:rPr>
          <w:rFonts w:ascii="Times New Roman" w:hAnsi="Times New Roman" w:cs="Times New Roman"/>
        </w:rPr>
        <w:t xml:space="preserve">i les </w:t>
      </w:r>
      <w:r w:rsidR="003B739D">
        <w:rPr>
          <w:rFonts w:ascii="Times New Roman" w:hAnsi="Times New Roman" w:cs="Times New Roman"/>
        </w:rPr>
        <w:t xml:space="preserve">certificats pouvant être pris en considération ne sont pas uniquement ceux délivrés par ces organismes. La Cour juge que dans ce cas, </w:t>
      </w:r>
      <w:r w:rsidR="00A827C5">
        <w:rPr>
          <w:rFonts w:ascii="Times New Roman" w:hAnsi="Times New Roman" w:cs="Times New Roman"/>
        </w:rPr>
        <w:t>« </w:t>
      </w:r>
      <w:r w:rsidR="00A827C5">
        <w:rPr>
          <w:rFonts w:ascii="Times New Roman" w:hAnsi="Times New Roman" w:cs="Times New Roman"/>
          <w:i/>
          <w:iCs/>
        </w:rPr>
        <w:t xml:space="preserve">les spécifications techniques retenues sont tellement particulières et abstraites que, en principe, seuls </w:t>
      </w:r>
      <w:r w:rsidR="003C4389">
        <w:rPr>
          <w:rFonts w:ascii="Times New Roman" w:hAnsi="Times New Roman" w:cs="Times New Roman"/>
          <w:i/>
          <w:iCs/>
        </w:rPr>
        <w:t>des candidats français peuvent immédiatement en déceler leur importance</w:t>
      </w:r>
      <w:r w:rsidR="003C4389">
        <w:rPr>
          <w:rFonts w:ascii="Times New Roman" w:hAnsi="Times New Roman" w:cs="Times New Roman"/>
        </w:rPr>
        <w:t> »</w:t>
      </w:r>
      <w:r w:rsidR="00E96A03">
        <w:rPr>
          <w:rStyle w:val="Appelnotedebasdep"/>
          <w:rFonts w:ascii="Times New Roman" w:hAnsi="Times New Roman" w:cs="Times New Roman"/>
        </w:rPr>
        <w:footnoteReference w:id="19"/>
      </w:r>
      <w:r w:rsidR="003C4389">
        <w:rPr>
          <w:rFonts w:ascii="Times New Roman" w:hAnsi="Times New Roman" w:cs="Times New Roman"/>
        </w:rPr>
        <w:t>.</w:t>
      </w:r>
    </w:p>
    <w:p w14:paraId="494B5F9A" w14:textId="77777777" w:rsidR="00BF3A3E" w:rsidRDefault="00BF3A3E" w:rsidP="00BF3A3E">
      <w:pPr>
        <w:pStyle w:val="Paragraphedeliste"/>
      </w:pPr>
    </w:p>
    <w:p w14:paraId="1A11EFB1" w14:textId="1A126400" w:rsidR="00DA66EA" w:rsidRPr="00CD3C02" w:rsidRDefault="00011933" w:rsidP="00DA66EA">
      <w:pPr>
        <w:pStyle w:val="Paragraphedeliste"/>
        <w:numPr>
          <w:ilvl w:val="0"/>
          <w:numId w:val="3"/>
        </w:numPr>
        <w:spacing w:after="0" w:line="360" w:lineRule="auto"/>
        <w:ind w:left="0" w:firstLine="0"/>
        <w:jc w:val="both"/>
      </w:pPr>
      <w:r>
        <w:rPr>
          <w:rFonts w:ascii="Times New Roman" w:hAnsi="Times New Roman" w:cs="Times New Roman"/>
        </w:rPr>
        <w:t xml:space="preserve">Dans son célèbre arrêt </w:t>
      </w:r>
      <w:r>
        <w:rPr>
          <w:rFonts w:ascii="Times New Roman" w:hAnsi="Times New Roman" w:cs="Times New Roman"/>
          <w:i/>
          <w:iCs/>
        </w:rPr>
        <w:t xml:space="preserve">Max Havelaar </w:t>
      </w:r>
      <w:r w:rsidR="004209F2">
        <w:rPr>
          <w:rFonts w:ascii="Times New Roman" w:hAnsi="Times New Roman" w:cs="Times New Roman"/>
        </w:rPr>
        <w:t>rendu le 10 mai 2012</w:t>
      </w:r>
      <w:r w:rsidR="00001251">
        <w:rPr>
          <w:rStyle w:val="Appelnotedebasdep"/>
          <w:rFonts w:ascii="Times New Roman" w:hAnsi="Times New Roman" w:cs="Times New Roman"/>
        </w:rPr>
        <w:footnoteReference w:id="20"/>
      </w:r>
      <w:r w:rsidR="004209F2">
        <w:rPr>
          <w:rFonts w:ascii="Times New Roman" w:hAnsi="Times New Roman" w:cs="Times New Roman"/>
        </w:rPr>
        <w:t xml:space="preserve">, </w:t>
      </w:r>
      <w:r w:rsidR="00FC0F5E">
        <w:rPr>
          <w:rFonts w:ascii="Times New Roman" w:hAnsi="Times New Roman" w:cs="Times New Roman"/>
        </w:rPr>
        <w:t xml:space="preserve">la CJUE a rappelé </w:t>
      </w:r>
      <w:r w:rsidR="00D934DC">
        <w:rPr>
          <w:rFonts w:ascii="Times New Roman" w:hAnsi="Times New Roman" w:cs="Times New Roman"/>
        </w:rPr>
        <w:t xml:space="preserve">« l’importance cruciale en ce qui concerne les spécifications techniques » </w:t>
      </w:r>
      <w:r w:rsidR="00605FF0">
        <w:rPr>
          <w:rFonts w:ascii="Times New Roman" w:hAnsi="Times New Roman" w:cs="Times New Roman"/>
        </w:rPr>
        <w:t>des principes d’égalité, de non-discrimination et de transparence</w:t>
      </w:r>
      <w:r w:rsidR="00381C32">
        <w:rPr>
          <w:rFonts w:ascii="Times New Roman" w:hAnsi="Times New Roman" w:cs="Times New Roman"/>
        </w:rPr>
        <w:t>, en raison des « risques de discrimination liés soit au choix de celles-ci, soit à la manière de les formuler » (point 62).</w:t>
      </w:r>
      <w:r w:rsidR="00C61FCE">
        <w:rPr>
          <w:rFonts w:ascii="Times New Roman" w:hAnsi="Times New Roman" w:cs="Times New Roman"/>
        </w:rPr>
        <w:t xml:space="preserve"> </w:t>
      </w:r>
      <w:r w:rsidR="00C05472">
        <w:rPr>
          <w:rFonts w:ascii="Times New Roman" w:hAnsi="Times New Roman" w:cs="Times New Roman"/>
        </w:rPr>
        <w:t xml:space="preserve">La Cour a précisé dans cet arrêt </w:t>
      </w:r>
      <w:r w:rsidR="00E56B2A">
        <w:rPr>
          <w:rFonts w:ascii="Times New Roman" w:hAnsi="Times New Roman" w:cs="Times New Roman"/>
        </w:rPr>
        <w:t>que bien q</w:t>
      </w:r>
      <w:r w:rsidR="00353C7C">
        <w:rPr>
          <w:rFonts w:ascii="Times New Roman" w:hAnsi="Times New Roman" w:cs="Times New Roman"/>
        </w:rPr>
        <w:t xml:space="preserve">u’un pouvoir adjudicateur puisse </w:t>
      </w:r>
      <w:r w:rsidR="00EB1FFE">
        <w:rPr>
          <w:rFonts w:ascii="Times New Roman" w:hAnsi="Times New Roman" w:cs="Times New Roman"/>
        </w:rPr>
        <w:t>introdu</w:t>
      </w:r>
      <w:r w:rsidR="00B25F46">
        <w:rPr>
          <w:rFonts w:ascii="Times New Roman" w:hAnsi="Times New Roman" w:cs="Times New Roman"/>
        </w:rPr>
        <w:t>ire dans son cahier des charges les spécifications détaillées d’un éco-label</w:t>
      </w:r>
      <w:r w:rsidR="00193DAE">
        <w:rPr>
          <w:rFonts w:ascii="Times New Roman" w:hAnsi="Times New Roman" w:cs="Times New Roman"/>
        </w:rPr>
        <w:t xml:space="preserve"> (en l’espèce le label EKO </w:t>
      </w:r>
      <w:r w:rsidR="00BA52DD">
        <w:rPr>
          <w:rFonts w:ascii="Times New Roman" w:hAnsi="Times New Roman" w:cs="Times New Roman"/>
        </w:rPr>
        <w:t xml:space="preserve">pour des </w:t>
      </w:r>
      <w:r w:rsidR="00193DAE">
        <w:rPr>
          <w:rFonts w:ascii="Times New Roman" w:hAnsi="Times New Roman" w:cs="Times New Roman"/>
        </w:rPr>
        <w:t>produits biologiques</w:t>
      </w:r>
      <w:r w:rsidR="00917FE3">
        <w:rPr>
          <w:rStyle w:val="Appelnotedebasdep"/>
          <w:rFonts w:ascii="Times New Roman" w:hAnsi="Times New Roman" w:cs="Times New Roman"/>
        </w:rPr>
        <w:footnoteReference w:id="21"/>
      </w:r>
      <w:r w:rsidR="00917FE3">
        <w:rPr>
          <w:rFonts w:ascii="Times New Roman" w:hAnsi="Times New Roman" w:cs="Times New Roman"/>
        </w:rPr>
        <w:t>)</w:t>
      </w:r>
      <w:r w:rsidR="00B25F46">
        <w:rPr>
          <w:rFonts w:ascii="Times New Roman" w:hAnsi="Times New Roman" w:cs="Times New Roman"/>
        </w:rPr>
        <w:t>, il ne peut pas se référer uniquement « à un éco-label en tant que tel »</w:t>
      </w:r>
      <w:r w:rsidR="00AE282C">
        <w:rPr>
          <w:rFonts w:ascii="Times New Roman" w:hAnsi="Times New Roman" w:cs="Times New Roman"/>
        </w:rPr>
        <w:t xml:space="preserve"> (point 63).</w:t>
      </w:r>
      <w:r w:rsidR="00227BF6">
        <w:rPr>
          <w:rFonts w:ascii="Times New Roman" w:hAnsi="Times New Roman" w:cs="Times New Roman"/>
        </w:rPr>
        <w:t xml:space="preserve"> </w:t>
      </w:r>
      <w:r w:rsidR="00451845">
        <w:rPr>
          <w:rFonts w:ascii="Times New Roman" w:hAnsi="Times New Roman" w:cs="Times New Roman"/>
        </w:rPr>
        <w:t xml:space="preserve"> Ceci serait</w:t>
      </w:r>
      <w:r w:rsidR="00A73A79">
        <w:rPr>
          <w:rFonts w:ascii="Times New Roman" w:hAnsi="Times New Roman" w:cs="Times New Roman"/>
        </w:rPr>
        <w:t xml:space="preserve"> « indispensable pour permettre aux soumissionnaires potentiels de se référer à un document unique et officiel, éman</w:t>
      </w:r>
      <w:r w:rsidR="00207AA0">
        <w:rPr>
          <w:rFonts w:ascii="Times New Roman" w:hAnsi="Times New Roman" w:cs="Times New Roman"/>
        </w:rPr>
        <w:t>ant du pouvoir adjudicateur lui-même, et donc sans qu’ils soient soumis aux aléas d’une recherche d’informations et aux possibles varia</w:t>
      </w:r>
      <w:r w:rsidR="0003722F">
        <w:rPr>
          <w:rFonts w:ascii="Times New Roman" w:hAnsi="Times New Roman" w:cs="Times New Roman"/>
        </w:rPr>
        <w:t xml:space="preserve">tions dans le temps des critères afférents à un éco-label quelconque » (point 67). </w:t>
      </w:r>
      <w:r w:rsidR="00193DAE">
        <w:rPr>
          <w:rFonts w:ascii="Times New Roman" w:hAnsi="Times New Roman" w:cs="Times New Roman"/>
        </w:rPr>
        <w:t xml:space="preserve">L’éco-label ne peut </w:t>
      </w:r>
      <w:r w:rsidR="009C7C8E">
        <w:rPr>
          <w:rFonts w:ascii="Times New Roman" w:hAnsi="Times New Roman" w:cs="Times New Roman"/>
        </w:rPr>
        <w:t>servir que « de preuve qu’il est satisfait ‘aux spécifications techniques définies dans le cahier des charges’ » (point 64).</w:t>
      </w:r>
      <w:r w:rsidR="00DA66EA">
        <w:rPr>
          <w:rFonts w:ascii="Times New Roman" w:hAnsi="Times New Roman" w:cs="Times New Roman"/>
        </w:rPr>
        <w:t xml:space="preserve"> </w:t>
      </w:r>
    </w:p>
    <w:p w14:paraId="4A826DAF" w14:textId="77777777" w:rsidR="00CD3C02" w:rsidRDefault="00CD3C02" w:rsidP="00CD3C02">
      <w:pPr>
        <w:pStyle w:val="Paragraphedeliste"/>
      </w:pPr>
    </w:p>
    <w:p w14:paraId="1091F576" w14:textId="78AFF48D" w:rsidR="00CD3C02" w:rsidRDefault="00C8702B" w:rsidP="00294F70">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La CJUE </w:t>
      </w:r>
      <w:r w:rsidR="005901DE">
        <w:rPr>
          <w:rFonts w:ascii="Times New Roman" w:hAnsi="Times New Roman" w:cs="Times New Roman"/>
        </w:rPr>
        <w:t xml:space="preserve">a encore </w:t>
      </w:r>
      <w:r w:rsidR="0038026D">
        <w:rPr>
          <w:rFonts w:ascii="Times New Roman" w:hAnsi="Times New Roman" w:cs="Times New Roman"/>
        </w:rPr>
        <w:t xml:space="preserve">clarifié que les principes d’égalité et de non-discrimination, ainsi que </w:t>
      </w:r>
      <w:r w:rsidR="00EF2224">
        <w:rPr>
          <w:rFonts w:ascii="Times New Roman" w:hAnsi="Times New Roman" w:cs="Times New Roman"/>
        </w:rPr>
        <w:t xml:space="preserve">celui </w:t>
      </w:r>
      <w:r w:rsidR="0038026D">
        <w:rPr>
          <w:rFonts w:ascii="Times New Roman" w:hAnsi="Times New Roman" w:cs="Times New Roman"/>
        </w:rPr>
        <w:t>de transparence</w:t>
      </w:r>
      <w:r w:rsidR="00C46043">
        <w:rPr>
          <w:rFonts w:ascii="Times New Roman" w:hAnsi="Times New Roman" w:cs="Times New Roman"/>
        </w:rPr>
        <w:t xml:space="preserve">, </w:t>
      </w:r>
      <w:r w:rsidR="005057A8">
        <w:rPr>
          <w:rFonts w:ascii="Times New Roman" w:hAnsi="Times New Roman" w:cs="Times New Roman"/>
        </w:rPr>
        <w:t xml:space="preserve">prohibent </w:t>
      </w:r>
      <w:r w:rsidR="00685070">
        <w:rPr>
          <w:rFonts w:ascii="Times New Roman" w:hAnsi="Times New Roman" w:cs="Times New Roman"/>
        </w:rPr>
        <w:t>la modification de</w:t>
      </w:r>
      <w:r w:rsidR="006F607F">
        <w:rPr>
          <w:rFonts w:ascii="Times New Roman" w:hAnsi="Times New Roman" w:cs="Times New Roman"/>
        </w:rPr>
        <w:t xml:space="preserve">s spécifications techniques en cours d’attribution, et ce même si </w:t>
      </w:r>
      <w:r w:rsidR="00AA6816">
        <w:rPr>
          <w:rFonts w:ascii="Times New Roman" w:hAnsi="Times New Roman" w:cs="Times New Roman"/>
        </w:rPr>
        <w:t xml:space="preserve">« l’élément auquel se réfère cette spécification </w:t>
      </w:r>
      <w:r w:rsidR="00932721" w:rsidRPr="00B94280">
        <w:rPr>
          <w:rFonts w:ascii="Times New Roman" w:hAnsi="Times New Roman" w:cs="Times New Roman"/>
          <w:lang w:val="fr-FR"/>
        </w:rPr>
        <w:t>[est]</w:t>
      </w:r>
      <w:r w:rsidR="00AA6816">
        <w:rPr>
          <w:rFonts w:ascii="Times New Roman" w:hAnsi="Times New Roman" w:cs="Times New Roman"/>
        </w:rPr>
        <w:t xml:space="preserve"> ou non toujours fabriqué ou disponible sur le marché »</w:t>
      </w:r>
      <w:r w:rsidR="00241D42">
        <w:rPr>
          <w:rStyle w:val="Appelnotedebasdep"/>
          <w:rFonts w:ascii="Times New Roman" w:hAnsi="Times New Roman" w:cs="Times New Roman"/>
        </w:rPr>
        <w:footnoteReference w:id="22"/>
      </w:r>
      <w:r w:rsidR="00AA6816">
        <w:rPr>
          <w:rFonts w:ascii="Times New Roman" w:hAnsi="Times New Roman" w:cs="Times New Roman"/>
        </w:rPr>
        <w:t xml:space="preserve">. </w:t>
      </w:r>
      <w:r w:rsidR="00187D4F">
        <w:rPr>
          <w:rFonts w:ascii="Times New Roman" w:hAnsi="Times New Roman" w:cs="Times New Roman"/>
        </w:rPr>
        <w:t xml:space="preserve">Néanmoins, </w:t>
      </w:r>
      <w:r w:rsidR="00D0242A">
        <w:rPr>
          <w:rFonts w:ascii="Times New Roman" w:hAnsi="Times New Roman" w:cs="Times New Roman"/>
        </w:rPr>
        <w:t xml:space="preserve">si le pouvoir adjudicateur a des doutes en termes de santé et de sécurité des patients à propos de produits </w:t>
      </w:r>
      <w:r w:rsidR="0091520E">
        <w:rPr>
          <w:rFonts w:ascii="Times New Roman" w:hAnsi="Times New Roman" w:cs="Times New Roman"/>
        </w:rPr>
        <w:t xml:space="preserve">comportant pourtant le marquage </w:t>
      </w:r>
      <w:r w:rsidR="00EB59D1">
        <w:rPr>
          <w:rFonts w:ascii="Times New Roman" w:hAnsi="Times New Roman" w:cs="Times New Roman"/>
        </w:rPr>
        <w:t>CE exigé</w:t>
      </w:r>
      <w:r w:rsidR="0033570A">
        <w:rPr>
          <w:rFonts w:ascii="Times New Roman" w:hAnsi="Times New Roman" w:cs="Times New Roman"/>
        </w:rPr>
        <w:t xml:space="preserve">, </w:t>
      </w:r>
      <w:r w:rsidR="00C701DB">
        <w:rPr>
          <w:rFonts w:ascii="Times New Roman" w:hAnsi="Times New Roman" w:cs="Times New Roman"/>
        </w:rPr>
        <w:t>les principes d’égalité et de transparence</w:t>
      </w:r>
      <w:r w:rsidR="00691B3D">
        <w:rPr>
          <w:rFonts w:ascii="Times New Roman" w:hAnsi="Times New Roman" w:cs="Times New Roman"/>
        </w:rPr>
        <w:t xml:space="preserve"> l</w:t>
      </w:r>
      <w:r w:rsidR="00932721">
        <w:rPr>
          <w:rFonts w:ascii="Times New Roman" w:hAnsi="Times New Roman" w:cs="Times New Roman"/>
        </w:rPr>
        <w:t>’</w:t>
      </w:r>
      <w:r w:rsidR="00691B3D">
        <w:rPr>
          <w:rFonts w:ascii="Times New Roman" w:hAnsi="Times New Roman" w:cs="Times New Roman"/>
        </w:rPr>
        <w:t xml:space="preserve">empêchent d’écarter </w:t>
      </w:r>
      <w:r w:rsidR="0015033C">
        <w:rPr>
          <w:rFonts w:ascii="Times New Roman" w:hAnsi="Times New Roman" w:cs="Times New Roman"/>
        </w:rPr>
        <w:t>directement</w:t>
      </w:r>
      <w:r w:rsidR="00EA56F2">
        <w:rPr>
          <w:rFonts w:ascii="Times New Roman" w:hAnsi="Times New Roman" w:cs="Times New Roman"/>
        </w:rPr>
        <w:t xml:space="preserve"> </w:t>
      </w:r>
      <w:r w:rsidR="00691B3D">
        <w:rPr>
          <w:rFonts w:ascii="Times New Roman" w:hAnsi="Times New Roman" w:cs="Times New Roman"/>
        </w:rPr>
        <w:t>l’offre</w:t>
      </w:r>
      <w:r w:rsidR="00EA56F2">
        <w:rPr>
          <w:rFonts w:ascii="Times New Roman" w:hAnsi="Times New Roman" w:cs="Times New Roman"/>
        </w:rPr>
        <w:t xml:space="preserve"> mais lui imposent de suivre une procédure « de nature à garantir une appréciation et un contrôle </w:t>
      </w:r>
      <w:r w:rsidR="00EA56F2">
        <w:rPr>
          <w:rFonts w:ascii="Times New Roman" w:hAnsi="Times New Roman" w:cs="Times New Roman"/>
        </w:rPr>
        <w:lastRenderedPageBreak/>
        <w:t>objectifs et indépendants des risques allégués »</w:t>
      </w:r>
      <w:r w:rsidR="00EA56F2">
        <w:rPr>
          <w:rStyle w:val="Appelnotedebasdep"/>
          <w:rFonts w:ascii="Times New Roman" w:hAnsi="Times New Roman" w:cs="Times New Roman"/>
        </w:rPr>
        <w:footnoteReference w:id="23"/>
      </w:r>
      <w:r w:rsidR="007350D6">
        <w:rPr>
          <w:rFonts w:ascii="Times New Roman" w:hAnsi="Times New Roman" w:cs="Times New Roman"/>
        </w:rPr>
        <w:t xml:space="preserve"> pendant laquelle la procédure de passation du marché sera suspendue, sauf </w:t>
      </w:r>
      <w:r w:rsidR="000C34EC">
        <w:rPr>
          <w:rFonts w:ascii="Times New Roman" w:hAnsi="Times New Roman" w:cs="Times New Roman"/>
        </w:rPr>
        <w:t>cas d’urgence</w:t>
      </w:r>
      <w:r w:rsidR="006A0A1C">
        <w:rPr>
          <w:rStyle w:val="Appelnotedebasdep"/>
          <w:rFonts w:ascii="Times New Roman" w:hAnsi="Times New Roman" w:cs="Times New Roman"/>
        </w:rPr>
        <w:footnoteReference w:id="24"/>
      </w:r>
      <w:r w:rsidR="00EA56F2">
        <w:rPr>
          <w:rFonts w:ascii="Times New Roman" w:hAnsi="Times New Roman" w:cs="Times New Roman"/>
        </w:rPr>
        <w:t>.</w:t>
      </w:r>
      <w:r w:rsidR="00691B3D">
        <w:rPr>
          <w:rFonts w:ascii="Times New Roman" w:hAnsi="Times New Roman" w:cs="Times New Roman"/>
        </w:rPr>
        <w:t xml:space="preserve"> </w:t>
      </w:r>
      <w:r w:rsidR="00394716">
        <w:rPr>
          <w:rFonts w:ascii="Times New Roman" w:hAnsi="Times New Roman" w:cs="Times New Roman"/>
        </w:rPr>
        <w:t xml:space="preserve">La Cour </w:t>
      </w:r>
      <w:r>
        <w:rPr>
          <w:rFonts w:ascii="Times New Roman" w:hAnsi="Times New Roman" w:cs="Times New Roman"/>
        </w:rPr>
        <w:t xml:space="preserve">a également précisé que </w:t>
      </w:r>
      <w:r w:rsidR="0017725A">
        <w:rPr>
          <w:rFonts w:ascii="Times New Roman" w:hAnsi="Times New Roman" w:cs="Times New Roman"/>
        </w:rPr>
        <w:t>la preuve de l’équ</w:t>
      </w:r>
      <w:r w:rsidR="00A93E25">
        <w:rPr>
          <w:rFonts w:ascii="Times New Roman" w:hAnsi="Times New Roman" w:cs="Times New Roman"/>
        </w:rPr>
        <w:t xml:space="preserve">ivalence de produits à ceux définis par référence à une marque, à une origine ou à une production déterminée </w:t>
      </w:r>
      <w:r w:rsidR="00161CB0">
        <w:rPr>
          <w:rFonts w:ascii="Times New Roman" w:hAnsi="Times New Roman" w:cs="Times New Roman"/>
        </w:rPr>
        <w:t>doit être apportée dans l’offre du soumissionnaire</w:t>
      </w:r>
      <w:r w:rsidR="00DC0E75" w:rsidRPr="00C8702B">
        <w:rPr>
          <w:rStyle w:val="Appelnotedebasdep"/>
          <w:rFonts w:ascii="Times New Roman" w:hAnsi="Times New Roman" w:cs="Times New Roman"/>
        </w:rPr>
        <w:footnoteReference w:id="25"/>
      </w:r>
      <w:r w:rsidR="00161CB0">
        <w:rPr>
          <w:rFonts w:ascii="Times New Roman" w:hAnsi="Times New Roman" w:cs="Times New Roman"/>
        </w:rPr>
        <w:t>.</w:t>
      </w:r>
      <w:r w:rsidR="00F51807">
        <w:rPr>
          <w:rFonts w:ascii="Times New Roman" w:hAnsi="Times New Roman" w:cs="Times New Roman"/>
        </w:rPr>
        <w:t xml:space="preserve"> </w:t>
      </w:r>
      <w:r w:rsidR="009D2648">
        <w:rPr>
          <w:rFonts w:ascii="Times New Roman" w:hAnsi="Times New Roman" w:cs="Times New Roman"/>
        </w:rPr>
        <w:t xml:space="preserve">Une </w:t>
      </w:r>
      <w:r w:rsidR="00205430">
        <w:rPr>
          <w:rFonts w:ascii="Times New Roman" w:hAnsi="Times New Roman" w:cs="Times New Roman"/>
        </w:rPr>
        <w:t xml:space="preserve">exigence figurant dans un cahier des charges peut par ailleurs </w:t>
      </w:r>
      <w:r w:rsidR="007C2DB4">
        <w:rPr>
          <w:rFonts w:ascii="Times New Roman" w:hAnsi="Times New Roman" w:cs="Times New Roman"/>
        </w:rPr>
        <w:t>être qualifiée de critère de sélection</w:t>
      </w:r>
      <w:r w:rsidR="002A36D4">
        <w:rPr>
          <w:rFonts w:ascii="Times New Roman" w:hAnsi="Times New Roman" w:cs="Times New Roman"/>
        </w:rPr>
        <w:t xml:space="preserve"> ayant trait aux capacités techniques et professionnelles</w:t>
      </w:r>
      <w:r w:rsidR="007C2DB4">
        <w:rPr>
          <w:rFonts w:ascii="Times New Roman" w:hAnsi="Times New Roman" w:cs="Times New Roman"/>
        </w:rPr>
        <w:t>, de spécification</w:t>
      </w:r>
      <w:r w:rsidR="002150E2">
        <w:rPr>
          <w:rFonts w:ascii="Times New Roman" w:hAnsi="Times New Roman" w:cs="Times New Roman"/>
        </w:rPr>
        <w:t xml:space="preserve"> technique ou de condition d’exécution du marché</w:t>
      </w:r>
      <w:r w:rsidR="00F51807">
        <w:rPr>
          <w:rStyle w:val="Appelnotedebasdep"/>
          <w:rFonts w:ascii="Times New Roman" w:hAnsi="Times New Roman" w:cs="Times New Roman"/>
        </w:rPr>
        <w:footnoteReference w:id="26"/>
      </w:r>
      <w:r w:rsidR="002150E2">
        <w:rPr>
          <w:rFonts w:ascii="Times New Roman" w:hAnsi="Times New Roman" w:cs="Times New Roman"/>
        </w:rPr>
        <w:t>.</w:t>
      </w:r>
    </w:p>
    <w:p w14:paraId="6CDBC0E8" w14:textId="77777777" w:rsidR="00B72989" w:rsidRPr="00B72989" w:rsidRDefault="00B72989" w:rsidP="00B72989">
      <w:pPr>
        <w:pStyle w:val="Paragraphedeliste"/>
        <w:rPr>
          <w:rFonts w:ascii="Times New Roman" w:hAnsi="Times New Roman" w:cs="Times New Roman"/>
        </w:rPr>
      </w:pPr>
    </w:p>
    <w:p w14:paraId="72DEEA9F" w14:textId="1423FD12" w:rsidR="00B72989" w:rsidRDefault="00974CE8" w:rsidP="00294F70">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La Cour avait </w:t>
      </w:r>
      <w:r w:rsidR="00351AAE">
        <w:rPr>
          <w:rFonts w:ascii="Times New Roman" w:hAnsi="Times New Roman" w:cs="Times New Roman"/>
        </w:rPr>
        <w:t xml:space="preserve">de surcroît déjà </w:t>
      </w:r>
      <w:r w:rsidR="00D2409E">
        <w:rPr>
          <w:rFonts w:ascii="Times New Roman" w:hAnsi="Times New Roman" w:cs="Times New Roman"/>
        </w:rPr>
        <w:t xml:space="preserve">énoncé dans son arrêt </w:t>
      </w:r>
      <w:r w:rsidR="00D2409E">
        <w:rPr>
          <w:rFonts w:ascii="Times New Roman" w:hAnsi="Times New Roman" w:cs="Times New Roman"/>
          <w:i/>
          <w:iCs/>
        </w:rPr>
        <w:t xml:space="preserve">Roche Lietuva </w:t>
      </w:r>
      <w:r w:rsidR="00D2409E">
        <w:rPr>
          <w:rFonts w:ascii="Times New Roman" w:hAnsi="Times New Roman" w:cs="Times New Roman"/>
        </w:rPr>
        <w:t>du 25 octobre 2018</w:t>
      </w:r>
      <w:r w:rsidR="008F51DE">
        <w:rPr>
          <w:rStyle w:val="Appelnotedebasdep"/>
          <w:rFonts w:ascii="Times New Roman" w:hAnsi="Times New Roman" w:cs="Times New Roman"/>
        </w:rPr>
        <w:footnoteReference w:id="27"/>
      </w:r>
      <w:r w:rsidR="00D2409E">
        <w:rPr>
          <w:rFonts w:ascii="Times New Roman" w:hAnsi="Times New Roman" w:cs="Times New Roman"/>
        </w:rPr>
        <w:t xml:space="preserve"> qu’</w:t>
      </w:r>
      <w:r w:rsidR="00CF55F4">
        <w:rPr>
          <w:rFonts w:ascii="Times New Roman" w:hAnsi="Times New Roman" w:cs="Times New Roman"/>
        </w:rPr>
        <w:t>en vertu de l’article 42, §</w:t>
      </w:r>
      <w:r w:rsidR="002B64A6">
        <w:rPr>
          <w:rFonts w:ascii="Times New Roman" w:hAnsi="Times New Roman" w:cs="Times New Roman"/>
        </w:rPr>
        <w:t xml:space="preserve"> </w:t>
      </w:r>
      <w:r w:rsidR="00CF55F4">
        <w:rPr>
          <w:rFonts w:ascii="Times New Roman" w:hAnsi="Times New Roman" w:cs="Times New Roman"/>
        </w:rPr>
        <w:t>3, de la directive 2014/24</w:t>
      </w:r>
      <w:r w:rsidR="00A6547C">
        <w:rPr>
          <w:rFonts w:ascii="Times New Roman" w:hAnsi="Times New Roman" w:cs="Times New Roman"/>
        </w:rPr>
        <w:t xml:space="preserve">, « les spécifications techniques peuvent être formulées de plusieurs façons soit en termes de performances ou d’exigences fonctionnelles, soit par référence </w:t>
      </w:r>
      <w:r w:rsidR="003C1D73">
        <w:rPr>
          <w:rFonts w:ascii="Times New Roman" w:hAnsi="Times New Roman" w:cs="Times New Roman"/>
        </w:rPr>
        <w:t>à des spécifications techniques et, par ordre de préférence, aux normes nationales transposant des normes européennes, aux évaluations techniques européennes</w:t>
      </w:r>
      <w:r w:rsidR="009A044C">
        <w:rPr>
          <w:rFonts w:ascii="Times New Roman" w:hAnsi="Times New Roman" w:cs="Times New Roman"/>
        </w:rPr>
        <w:t>, aux spécifications techniques communes, aux normes internationales, aux autres référentiels techniques élaborés par les organismes européens de normalisation, ou, en leur absence, aux normes nationales, aux agréments techniques nationaux ou aux spécifications techniques nationales en matière de conception, de calcul et de réalisation des ouvrages et d’utilisation des fournitures, soit par une combinaison de ces deux façons »</w:t>
      </w:r>
      <w:r w:rsidR="001516FF">
        <w:rPr>
          <w:rFonts w:ascii="Times New Roman" w:hAnsi="Times New Roman" w:cs="Times New Roman"/>
        </w:rPr>
        <w:t xml:space="preserve"> (point 26)</w:t>
      </w:r>
      <w:r w:rsidR="008F2341">
        <w:rPr>
          <w:rFonts w:ascii="Times New Roman" w:hAnsi="Times New Roman" w:cs="Times New Roman"/>
        </w:rPr>
        <w:t xml:space="preserve">. La Cour avait encore </w:t>
      </w:r>
      <w:r w:rsidR="005F3365">
        <w:rPr>
          <w:rFonts w:ascii="Times New Roman" w:hAnsi="Times New Roman" w:cs="Times New Roman"/>
        </w:rPr>
        <w:t>expli</w:t>
      </w:r>
      <w:r w:rsidR="009B0130">
        <w:rPr>
          <w:rFonts w:ascii="Times New Roman" w:hAnsi="Times New Roman" w:cs="Times New Roman"/>
        </w:rPr>
        <w:t xml:space="preserve">cité </w:t>
      </w:r>
      <w:r w:rsidR="008F2341">
        <w:rPr>
          <w:rFonts w:ascii="Times New Roman" w:hAnsi="Times New Roman" w:cs="Times New Roman"/>
        </w:rPr>
        <w:t xml:space="preserve">dans cet arrêt que </w:t>
      </w:r>
      <w:r w:rsidR="002B64A6">
        <w:rPr>
          <w:rFonts w:ascii="Times New Roman" w:hAnsi="Times New Roman" w:cs="Times New Roman"/>
        </w:rPr>
        <w:t>l’article 42, § 3, précité « n’exclut nullement que soit précisée</w:t>
      </w:r>
      <w:r w:rsidR="001B558C">
        <w:rPr>
          <w:rFonts w:ascii="Times New Roman" w:hAnsi="Times New Roman" w:cs="Times New Roman"/>
        </w:rPr>
        <w:t xml:space="preserve"> [</w:t>
      </w:r>
      <w:r w:rsidR="001B558C">
        <w:rPr>
          <w:rFonts w:ascii="Times New Roman" w:hAnsi="Times New Roman" w:cs="Times New Roman"/>
          <w:i/>
          <w:iCs/>
        </w:rPr>
        <w:t>sic</w:t>
      </w:r>
      <w:r w:rsidR="001B558C">
        <w:rPr>
          <w:rFonts w:ascii="Times New Roman" w:hAnsi="Times New Roman" w:cs="Times New Roman"/>
        </w:rPr>
        <w:t>]</w:t>
      </w:r>
      <w:r w:rsidR="002B64A6">
        <w:rPr>
          <w:rFonts w:ascii="Times New Roman" w:hAnsi="Times New Roman" w:cs="Times New Roman"/>
        </w:rPr>
        <w:t xml:space="preserve">, dans un appel d’offres portant sur </w:t>
      </w:r>
      <w:r w:rsidR="00F90C5B">
        <w:rPr>
          <w:rFonts w:ascii="Times New Roman" w:hAnsi="Times New Roman" w:cs="Times New Roman"/>
        </w:rPr>
        <w:t>des fournitures médicales destinées à la réalisation d’examens médicaux, des caractéristiques de fonctionnement et d’utilisation des dispositifs et moyens individuels recherchés »</w:t>
      </w:r>
      <w:r w:rsidR="001516FF">
        <w:rPr>
          <w:rFonts w:ascii="Times New Roman" w:hAnsi="Times New Roman" w:cs="Times New Roman"/>
        </w:rPr>
        <w:t xml:space="preserve"> (</w:t>
      </w:r>
      <w:r w:rsidR="008A4CE0">
        <w:rPr>
          <w:rFonts w:ascii="Times New Roman" w:hAnsi="Times New Roman" w:cs="Times New Roman"/>
        </w:rPr>
        <w:t>point 27)</w:t>
      </w:r>
      <w:r w:rsidR="00F90C5B">
        <w:rPr>
          <w:rFonts w:ascii="Times New Roman" w:hAnsi="Times New Roman" w:cs="Times New Roman"/>
        </w:rPr>
        <w:t xml:space="preserve">. </w:t>
      </w:r>
      <w:r w:rsidR="0044039E">
        <w:rPr>
          <w:rFonts w:ascii="Times New Roman" w:hAnsi="Times New Roman" w:cs="Times New Roman"/>
        </w:rPr>
        <w:t xml:space="preserve">Mais surtout, </w:t>
      </w:r>
      <w:r w:rsidR="008F51DE">
        <w:rPr>
          <w:rFonts w:ascii="Times New Roman" w:hAnsi="Times New Roman" w:cs="Times New Roman"/>
        </w:rPr>
        <w:t>que cet article n’établit aucune hiérarchie et n’accorde aucune préférence à l’une des méthodes de formulation des spécifications techniques</w:t>
      </w:r>
      <w:r w:rsidR="008A4CE0">
        <w:rPr>
          <w:rFonts w:ascii="Times New Roman" w:hAnsi="Times New Roman" w:cs="Times New Roman"/>
        </w:rPr>
        <w:t xml:space="preserve"> (point 28)</w:t>
      </w:r>
      <w:r w:rsidR="008F51DE">
        <w:rPr>
          <w:rFonts w:ascii="Times New Roman" w:hAnsi="Times New Roman" w:cs="Times New Roman"/>
        </w:rPr>
        <w:t>.</w:t>
      </w:r>
      <w:r w:rsidR="0044039E">
        <w:rPr>
          <w:rFonts w:ascii="Times New Roman" w:hAnsi="Times New Roman" w:cs="Times New Roman"/>
        </w:rPr>
        <w:t xml:space="preserve"> </w:t>
      </w:r>
      <w:r w:rsidR="00E640B0">
        <w:rPr>
          <w:rFonts w:ascii="Times New Roman" w:hAnsi="Times New Roman" w:cs="Times New Roman"/>
        </w:rPr>
        <w:t xml:space="preserve">La Cour </w:t>
      </w:r>
      <w:r w:rsidR="000C2AA1">
        <w:rPr>
          <w:rFonts w:ascii="Times New Roman" w:hAnsi="Times New Roman" w:cs="Times New Roman"/>
        </w:rPr>
        <w:t>y a</w:t>
      </w:r>
      <w:r w:rsidR="009B0130">
        <w:rPr>
          <w:rFonts w:ascii="Times New Roman" w:hAnsi="Times New Roman" w:cs="Times New Roman"/>
        </w:rPr>
        <w:t>vait</w:t>
      </w:r>
      <w:r w:rsidR="00E640B0">
        <w:rPr>
          <w:rFonts w:ascii="Times New Roman" w:hAnsi="Times New Roman" w:cs="Times New Roman"/>
        </w:rPr>
        <w:t xml:space="preserve"> encore</w:t>
      </w:r>
      <w:r w:rsidR="005F3365">
        <w:rPr>
          <w:rFonts w:ascii="Times New Roman" w:hAnsi="Times New Roman" w:cs="Times New Roman"/>
        </w:rPr>
        <w:t xml:space="preserve"> </w:t>
      </w:r>
      <w:r w:rsidR="009B0130">
        <w:rPr>
          <w:rFonts w:ascii="Times New Roman" w:hAnsi="Times New Roman" w:cs="Times New Roman"/>
        </w:rPr>
        <w:t>précisé</w:t>
      </w:r>
      <w:r w:rsidR="00E640B0">
        <w:rPr>
          <w:rFonts w:ascii="Times New Roman" w:hAnsi="Times New Roman" w:cs="Times New Roman"/>
        </w:rPr>
        <w:t xml:space="preserve"> qu’un large pouvoir d’appréciation est laissé au pouvoir adjudicateur </w:t>
      </w:r>
      <w:r w:rsidR="00686673">
        <w:rPr>
          <w:rFonts w:ascii="Times New Roman" w:hAnsi="Times New Roman" w:cs="Times New Roman"/>
        </w:rPr>
        <w:t>dans la formulation de ses spécifications techniques, mais</w:t>
      </w:r>
      <w:r w:rsidR="00B504FF">
        <w:rPr>
          <w:rFonts w:ascii="Times New Roman" w:hAnsi="Times New Roman" w:cs="Times New Roman"/>
        </w:rPr>
        <w:t xml:space="preserve"> que ce pouvoir est lim</w:t>
      </w:r>
      <w:r w:rsidR="009B0130">
        <w:rPr>
          <w:rFonts w:ascii="Times New Roman" w:hAnsi="Times New Roman" w:cs="Times New Roman"/>
        </w:rPr>
        <w:t>ité</w:t>
      </w:r>
      <w:r w:rsidR="00B504FF">
        <w:rPr>
          <w:rFonts w:ascii="Times New Roman" w:hAnsi="Times New Roman" w:cs="Times New Roman"/>
        </w:rPr>
        <w:t xml:space="preserve"> par la directive 2014/24, et plus précisément par les principes d’égalité, de non-discrimination</w:t>
      </w:r>
      <w:r w:rsidR="009C0960">
        <w:rPr>
          <w:rFonts w:ascii="Times New Roman" w:hAnsi="Times New Roman" w:cs="Times New Roman"/>
        </w:rPr>
        <w:t xml:space="preserve">, </w:t>
      </w:r>
      <w:r w:rsidR="00B504FF">
        <w:rPr>
          <w:rFonts w:ascii="Times New Roman" w:hAnsi="Times New Roman" w:cs="Times New Roman"/>
        </w:rPr>
        <w:t>de transparence</w:t>
      </w:r>
      <w:r w:rsidR="009C0960">
        <w:rPr>
          <w:rFonts w:ascii="Times New Roman" w:hAnsi="Times New Roman" w:cs="Times New Roman"/>
        </w:rPr>
        <w:t xml:space="preserve"> et de proportionnalité</w:t>
      </w:r>
      <w:r w:rsidR="00686673">
        <w:rPr>
          <w:rFonts w:ascii="Times New Roman" w:hAnsi="Times New Roman" w:cs="Times New Roman"/>
        </w:rPr>
        <w:t xml:space="preserve"> (points 29 et </w:t>
      </w:r>
      <w:r w:rsidR="00686673">
        <w:rPr>
          <w:rFonts w:ascii="Times New Roman" w:hAnsi="Times New Roman" w:cs="Times New Roman"/>
        </w:rPr>
        <w:lastRenderedPageBreak/>
        <w:t>suivants).</w:t>
      </w:r>
      <w:r w:rsidR="0024261C">
        <w:rPr>
          <w:rFonts w:ascii="Times New Roman" w:hAnsi="Times New Roman" w:cs="Times New Roman"/>
        </w:rPr>
        <w:t xml:space="preserve"> </w:t>
      </w:r>
      <w:r w:rsidR="006B6229">
        <w:rPr>
          <w:rFonts w:ascii="Times New Roman" w:hAnsi="Times New Roman" w:cs="Times New Roman"/>
        </w:rPr>
        <w:t xml:space="preserve">À cet égard, la Cour note que, « plus les spécifications techniques sont détaillées, </w:t>
      </w:r>
      <w:r w:rsidR="00C2212A">
        <w:rPr>
          <w:rFonts w:ascii="Times New Roman" w:hAnsi="Times New Roman" w:cs="Times New Roman"/>
        </w:rPr>
        <w:t>plus le risque de voir les produits d’un fabricant donné être privilégiés est important »</w:t>
      </w:r>
      <w:r w:rsidR="009671B0">
        <w:rPr>
          <w:rFonts w:ascii="Times New Roman" w:hAnsi="Times New Roman" w:cs="Times New Roman"/>
        </w:rPr>
        <w:t xml:space="preserve"> (point 37)</w:t>
      </w:r>
      <w:r w:rsidR="006C105C">
        <w:rPr>
          <w:rFonts w:ascii="Times New Roman" w:hAnsi="Times New Roman" w:cs="Times New Roman"/>
        </w:rPr>
        <w:t>. I</w:t>
      </w:r>
      <w:r w:rsidR="00442F8A">
        <w:rPr>
          <w:rFonts w:ascii="Times New Roman" w:hAnsi="Times New Roman" w:cs="Times New Roman"/>
        </w:rPr>
        <w:t xml:space="preserve">l convient ainsi de vérifier si le </w:t>
      </w:r>
      <w:r w:rsidR="00B12DF4">
        <w:rPr>
          <w:rFonts w:ascii="Times New Roman" w:hAnsi="Times New Roman" w:cs="Times New Roman"/>
        </w:rPr>
        <w:t>degré</w:t>
      </w:r>
      <w:r w:rsidR="00442F8A">
        <w:rPr>
          <w:rFonts w:ascii="Times New Roman" w:hAnsi="Times New Roman" w:cs="Times New Roman"/>
        </w:rPr>
        <w:t xml:space="preserve"> de détail </w:t>
      </w:r>
      <w:r w:rsidR="006C105C">
        <w:rPr>
          <w:rFonts w:ascii="Times New Roman" w:hAnsi="Times New Roman" w:cs="Times New Roman"/>
        </w:rPr>
        <w:t>en cause « ne conduit pas à favoriser indirectement un soumissionnaire » (point 40)</w:t>
      </w:r>
      <w:r w:rsidR="00B12DF4">
        <w:rPr>
          <w:rFonts w:ascii="Times New Roman" w:hAnsi="Times New Roman" w:cs="Times New Roman"/>
        </w:rPr>
        <w:t xml:space="preserve"> et s’il « est nécessaire aux fins de la réalisation des objectifs recherchés » (point 41)</w:t>
      </w:r>
      <w:r w:rsidR="006C105C">
        <w:rPr>
          <w:rFonts w:ascii="Times New Roman" w:hAnsi="Times New Roman" w:cs="Times New Roman"/>
        </w:rPr>
        <w:t>.</w:t>
      </w:r>
      <w:r w:rsidR="00C2212A">
        <w:rPr>
          <w:rFonts w:ascii="Times New Roman" w:hAnsi="Times New Roman" w:cs="Times New Roman"/>
        </w:rPr>
        <w:t xml:space="preserve"> </w:t>
      </w:r>
      <w:r w:rsidR="0018171D">
        <w:rPr>
          <w:rFonts w:ascii="Times New Roman" w:hAnsi="Times New Roman" w:cs="Times New Roman"/>
        </w:rPr>
        <w:t>Enfin</w:t>
      </w:r>
      <w:r w:rsidR="00DD0936">
        <w:rPr>
          <w:rFonts w:ascii="Times New Roman" w:hAnsi="Times New Roman" w:cs="Times New Roman"/>
        </w:rPr>
        <w:t xml:space="preserve">, </w:t>
      </w:r>
      <w:r w:rsidR="00174A1A">
        <w:rPr>
          <w:rFonts w:ascii="Times New Roman" w:hAnsi="Times New Roman" w:cs="Times New Roman"/>
        </w:rPr>
        <w:t xml:space="preserve">l’article 42, § 4, de la directive </w:t>
      </w:r>
      <w:r w:rsidR="009671B0">
        <w:rPr>
          <w:rFonts w:ascii="Times New Roman" w:hAnsi="Times New Roman" w:cs="Times New Roman"/>
        </w:rPr>
        <w:t xml:space="preserve">2014/24 doit faire l’objet d’une interprétation stricte en raison de sa nature dérogatoire (point </w:t>
      </w:r>
      <w:r w:rsidR="00880EBE">
        <w:rPr>
          <w:rFonts w:ascii="Times New Roman" w:hAnsi="Times New Roman" w:cs="Times New Roman"/>
        </w:rPr>
        <w:t>38)</w:t>
      </w:r>
      <w:r w:rsidR="009671B0">
        <w:rPr>
          <w:rFonts w:ascii="Times New Roman" w:hAnsi="Times New Roman" w:cs="Times New Roman"/>
        </w:rPr>
        <w:t>.</w:t>
      </w:r>
    </w:p>
    <w:p w14:paraId="2DD1C226" w14:textId="77777777" w:rsidR="00E85F5A" w:rsidRDefault="00E85F5A" w:rsidP="00E85F5A">
      <w:pPr>
        <w:pStyle w:val="Paragraphedeliste"/>
        <w:spacing w:after="0" w:line="360" w:lineRule="auto"/>
        <w:ind w:left="0"/>
        <w:jc w:val="both"/>
        <w:rPr>
          <w:rFonts w:ascii="Times New Roman" w:hAnsi="Times New Roman" w:cs="Times New Roman"/>
        </w:rPr>
      </w:pPr>
    </w:p>
    <w:p w14:paraId="05FAEE02" w14:textId="1CCE1509" w:rsidR="00750165" w:rsidRDefault="00750165" w:rsidP="002A2FB5">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 </w:t>
      </w:r>
      <w:r w:rsidR="006D277F">
        <w:rPr>
          <w:rFonts w:ascii="Times New Roman" w:hAnsi="Times New Roman" w:cs="Times New Roman"/>
        </w:rPr>
        <w:t xml:space="preserve">La CJUE a toutefois reconnu </w:t>
      </w:r>
      <w:r w:rsidR="00CD75AD">
        <w:rPr>
          <w:rFonts w:ascii="Times New Roman" w:hAnsi="Times New Roman" w:cs="Times New Roman"/>
        </w:rPr>
        <w:t xml:space="preserve">dans un arrêt </w:t>
      </w:r>
      <w:r w:rsidR="00CD75AD">
        <w:rPr>
          <w:rFonts w:ascii="Times New Roman" w:hAnsi="Times New Roman" w:cs="Times New Roman"/>
          <w:i/>
          <w:iCs/>
        </w:rPr>
        <w:t xml:space="preserve">Iveco Orecchia </w:t>
      </w:r>
      <w:r w:rsidR="00CD75AD">
        <w:rPr>
          <w:rFonts w:ascii="Times New Roman" w:hAnsi="Times New Roman" w:cs="Times New Roman"/>
        </w:rPr>
        <w:t>rendu le 27 octobre 2022</w:t>
      </w:r>
      <w:r w:rsidR="00CD75AD">
        <w:rPr>
          <w:rStyle w:val="Appelnotedebasdep"/>
          <w:rFonts w:ascii="Times New Roman" w:hAnsi="Times New Roman" w:cs="Times New Roman"/>
        </w:rPr>
        <w:footnoteReference w:id="28"/>
      </w:r>
      <w:r w:rsidR="00CD75AD">
        <w:rPr>
          <w:rFonts w:ascii="Times New Roman" w:hAnsi="Times New Roman" w:cs="Times New Roman"/>
        </w:rPr>
        <w:t xml:space="preserve"> </w:t>
      </w:r>
      <w:r w:rsidR="006D277F">
        <w:rPr>
          <w:rFonts w:ascii="Times New Roman" w:hAnsi="Times New Roman" w:cs="Times New Roman"/>
        </w:rPr>
        <w:t>que l</w:t>
      </w:r>
      <w:r w:rsidR="00B32310">
        <w:rPr>
          <w:rFonts w:ascii="Times New Roman" w:hAnsi="Times New Roman" w:cs="Times New Roman"/>
        </w:rPr>
        <w:t xml:space="preserve">es </w:t>
      </w:r>
      <w:r w:rsidR="006D277F">
        <w:rPr>
          <w:rFonts w:ascii="Times New Roman" w:hAnsi="Times New Roman" w:cs="Times New Roman"/>
        </w:rPr>
        <w:t>article</w:t>
      </w:r>
      <w:r w:rsidR="00B32310">
        <w:rPr>
          <w:rFonts w:ascii="Times New Roman" w:hAnsi="Times New Roman" w:cs="Times New Roman"/>
        </w:rPr>
        <w:t>s</w:t>
      </w:r>
      <w:r w:rsidR="006D277F">
        <w:rPr>
          <w:rFonts w:ascii="Times New Roman" w:hAnsi="Times New Roman" w:cs="Times New Roman"/>
        </w:rPr>
        <w:t xml:space="preserve"> 60</w:t>
      </w:r>
      <w:r w:rsidR="00AF7C89">
        <w:rPr>
          <w:rStyle w:val="Appelnotedebasdep"/>
          <w:rFonts w:ascii="Times New Roman" w:hAnsi="Times New Roman" w:cs="Times New Roman"/>
        </w:rPr>
        <w:footnoteReference w:id="29"/>
      </w:r>
      <w:r w:rsidR="00B32310">
        <w:rPr>
          <w:rFonts w:ascii="Times New Roman" w:hAnsi="Times New Roman" w:cs="Times New Roman"/>
        </w:rPr>
        <w:t xml:space="preserve"> et 62</w:t>
      </w:r>
      <w:r w:rsidR="00AF7C89">
        <w:rPr>
          <w:rStyle w:val="Appelnotedebasdep"/>
          <w:rFonts w:ascii="Times New Roman" w:hAnsi="Times New Roman" w:cs="Times New Roman"/>
        </w:rPr>
        <w:footnoteReference w:id="30"/>
      </w:r>
      <w:r w:rsidR="009E01D2">
        <w:rPr>
          <w:rFonts w:ascii="Times New Roman" w:hAnsi="Times New Roman" w:cs="Times New Roman"/>
        </w:rPr>
        <w:t xml:space="preserve"> de la directive 2014/25</w:t>
      </w:r>
      <w:r w:rsidR="002866B5">
        <w:rPr>
          <w:rFonts w:ascii="Times New Roman" w:hAnsi="Times New Roman" w:cs="Times New Roman"/>
        </w:rPr>
        <w:t xml:space="preserve">, visent </w:t>
      </w:r>
      <w:r w:rsidR="0008409D">
        <w:rPr>
          <w:rFonts w:ascii="Times New Roman" w:hAnsi="Times New Roman" w:cs="Times New Roman"/>
        </w:rPr>
        <w:t>« à ce que les spécifications techniques soient rédigées en termes de performances et d’exigences fonctionnelles et à éviter que lesdites spécifications techniques restreignent artificielle</w:t>
      </w:r>
      <w:r w:rsidR="00C8233D">
        <w:rPr>
          <w:rFonts w:ascii="Times New Roman" w:hAnsi="Times New Roman" w:cs="Times New Roman"/>
        </w:rPr>
        <w:t>ment la concurrence en instaurant des exigences qui favorisent un opérateur économique particulier en reprenant les principales caractéristiques des fournitures, des services ou des travaux qu’il propose habituellement »</w:t>
      </w:r>
      <w:r w:rsidR="00CD75AD">
        <w:rPr>
          <w:rFonts w:ascii="Times New Roman" w:hAnsi="Times New Roman" w:cs="Times New Roman"/>
        </w:rPr>
        <w:t xml:space="preserve"> (point </w:t>
      </w:r>
      <w:r w:rsidR="0051766F">
        <w:rPr>
          <w:rFonts w:ascii="Times New Roman" w:hAnsi="Times New Roman" w:cs="Times New Roman"/>
        </w:rPr>
        <w:t>89</w:t>
      </w:r>
      <w:r w:rsidR="00CD75AD">
        <w:rPr>
          <w:rFonts w:ascii="Times New Roman" w:hAnsi="Times New Roman" w:cs="Times New Roman"/>
        </w:rPr>
        <w:t>)</w:t>
      </w:r>
      <w:r w:rsidR="00C8233D">
        <w:rPr>
          <w:rFonts w:ascii="Times New Roman" w:hAnsi="Times New Roman" w:cs="Times New Roman"/>
        </w:rPr>
        <w:t>.</w:t>
      </w:r>
      <w:r w:rsidR="008353C3">
        <w:rPr>
          <w:rFonts w:ascii="Times New Roman" w:hAnsi="Times New Roman" w:cs="Times New Roman"/>
        </w:rPr>
        <w:t xml:space="preserve"> Cette considération n</w:t>
      </w:r>
      <w:r w:rsidR="00C10A76">
        <w:rPr>
          <w:rFonts w:ascii="Times New Roman" w:hAnsi="Times New Roman" w:cs="Times New Roman"/>
        </w:rPr>
        <w:t xml:space="preserve">e </w:t>
      </w:r>
      <w:r w:rsidR="008021B3">
        <w:rPr>
          <w:rFonts w:ascii="Times New Roman" w:hAnsi="Times New Roman" w:cs="Times New Roman"/>
        </w:rPr>
        <w:t>p</w:t>
      </w:r>
      <w:r w:rsidR="00C624FB">
        <w:rPr>
          <w:rFonts w:ascii="Times New Roman" w:hAnsi="Times New Roman" w:cs="Times New Roman"/>
        </w:rPr>
        <w:t>ermet toutefois pas qu’il soit fait « abstraction des exigences impératives imposées par d’autres règles du droit de l’Union en matière, notamment, de sécurité et de protection environnementale, telles que l’exigence de réception</w:t>
      </w:r>
      <w:r w:rsidR="002B1F3E">
        <w:rPr>
          <w:rFonts w:ascii="Times New Roman" w:hAnsi="Times New Roman" w:cs="Times New Roman"/>
        </w:rPr>
        <w:t xml:space="preserve"> </w:t>
      </w:r>
      <w:r w:rsidR="00C624FB">
        <w:rPr>
          <w:rFonts w:ascii="Times New Roman" w:hAnsi="Times New Roman" w:cs="Times New Roman"/>
        </w:rPr>
        <w:t>établie</w:t>
      </w:r>
      <w:r w:rsidR="004C049F">
        <w:rPr>
          <w:rFonts w:ascii="Times New Roman" w:hAnsi="Times New Roman" w:cs="Times New Roman"/>
        </w:rPr>
        <w:t>, pour ces mêmes raisons</w:t>
      </w:r>
      <w:r w:rsidR="0006603C">
        <w:rPr>
          <w:rFonts w:ascii="Times New Roman" w:hAnsi="Times New Roman" w:cs="Times New Roman"/>
        </w:rPr>
        <w:t>,</w:t>
      </w:r>
      <w:r w:rsidR="004C049F">
        <w:rPr>
          <w:rFonts w:ascii="Times New Roman" w:hAnsi="Times New Roman" w:cs="Times New Roman"/>
        </w:rPr>
        <w:t xml:space="preserve"> par la directive 2007/46</w:t>
      </w:r>
      <w:r w:rsidR="00E15D68">
        <w:rPr>
          <w:rStyle w:val="Appelnotedebasdep"/>
          <w:rFonts w:ascii="Times New Roman" w:hAnsi="Times New Roman" w:cs="Times New Roman"/>
        </w:rPr>
        <w:footnoteReference w:id="31"/>
      </w:r>
      <w:r w:rsidR="0006603C">
        <w:rPr>
          <w:rFonts w:ascii="Times New Roman" w:hAnsi="Times New Roman" w:cs="Times New Roman"/>
        </w:rPr>
        <w:t> »</w:t>
      </w:r>
      <w:r w:rsidR="000644F6">
        <w:rPr>
          <w:rFonts w:ascii="Times New Roman" w:hAnsi="Times New Roman" w:cs="Times New Roman"/>
        </w:rPr>
        <w:t xml:space="preserve"> (point 90)</w:t>
      </w:r>
      <w:r w:rsidR="0006603C">
        <w:rPr>
          <w:rFonts w:ascii="Times New Roman" w:hAnsi="Times New Roman" w:cs="Times New Roman"/>
        </w:rPr>
        <w:t xml:space="preserve">. </w:t>
      </w:r>
      <w:r w:rsidR="00483111">
        <w:rPr>
          <w:rFonts w:ascii="Times New Roman" w:hAnsi="Times New Roman" w:cs="Times New Roman"/>
        </w:rPr>
        <w:t>Dans cet arrêt</w:t>
      </w:r>
      <w:r w:rsidR="00CD75AD">
        <w:rPr>
          <w:rFonts w:ascii="Times New Roman" w:hAnsi="Times New Roman" w:cs="Times New Roman"/>
        </w:rPr>
        <w:t>,</w:t>
      </w:r>
      <w:r w:rsidR="00483111">
        <w:rPr>
          <w:rFonts w:ascii="Times New Roman" w:hAnsi="Times New Roman" w:cs="Times New Roman"/>
        </w:rPr>
        <w:t xml:space="preserve"> </w:t>
      </w:r>
      <w:r w:rsidR="0064445A">
        <w:rPr>
          <w:rFonts w:ascii="Times New Roman" w:hAnsi="Times New Roman" w:cs="Times New Roman"/>
        </w:rPr>
        <w:t xml:space="preserve">la Cour </w:t>
      </w:r>
      <w:r w:rsidR="00F16486">
        <w:rPr>
          <w:rFonts w:ascii="Times New Roman" w:hAnsi="Times New Roman" w:cs="Times New Roman"/>
        </w:rPr>
        <w:t>a aussi précisé qu</w:t>
      </w:r>
      <w:r w:rsidR="00B125DC">
        <w:rPr>
          <w:rFonts w:ascii="Times New Roman" w:hAnsi="Times New Roman" w:cs="Times New Roman"/>
        </w:rPr>
        <w:t>’une déclaration d’équivalence, pour pouvoir constituer un moyen approprié</w:t>
      </w:r>
      <w:r w:rsidR="00271A13">
        <w:rPr>
          <w:rFonts w:ascii="Times New Roman" w:hAnsi="Times New Roman" w:cs="Times New Roman"/>
        </w:rPr>
        <w:t xml:space="preserve"> de preuve de l’équivalence </w:t>
      </w:r>
      <w:r w:rsidR="00B5114E">
        <w:rPr>
          <w:rFonts w:ascii="Times New Roman" w:hAnsi="Times New Roman" w:cs="Times New Roman"/>
        </w:rPr>
        <w:t>aux s</w:t>
      </w:r>
      <w:r w:rsidR="008D258A">
        <w:rPr>
          <w:rFonts w:ascii="Times New Roman" w:hAnsi="Times New Roman" w:cs="Times New Roman"/>
        </w:rPr>
        <w:t>pécifications techniques</w:t>
      </w:r>
      <w:r w:rsidR="00C23170">
        <w:rPr>
          <w:rFonts w:ascii="Times New Roman" w:hAnsi="Times New Roman" w:cs="Times New Roman"/>
        </w:rPr>
        <w:t>, doit « émaner d’une instance qui est en mesure de garantir une telle équivalence, ce qui requiert que cette instance assume la responsabilité technique pour les composants en cause et détienne les moyens nécessaires pour assurer la qualité de ces composants</w:t>
      </w:r>
      <w:r w:rsidR="00CD75AD">
        <w:rPr>
          <w:rFonts w:ascii="Times New Roman" w:hAnsi="Times New Roman" w:cs="Times New Roman"/>
        </w:rPr>
        <w:t> ». Ces conditions ne p</w:t>
      </w:r>
      <w:r w:rsidR="00932721">
        <w:rPr>
          <w:rFonts w:ascii="Times New Roman" w:hAnsi="Times New Roman" w:cs="Times New Roman"/>
        </w:rPr>
        <w:t>e</w:t>
      </w:r>
      <w:r w:rsidR="00CD75AD">
        <w:rPr>
          <w:rFonts w:ascii="Times New Roman" w:hAnsi="Times New Roman" w:cs="Times New Roman"/>
        </w:rPr>
        <w:t>uv</w:t>
      </w:r>
      <w:r w:rsidR="00932721">
        <w:rPr>
          <w:rFonts w:ascii="Times New Roman" w:hAnsi="Times New Roman" w:cs="Times New Roman"/>
        </w:rPr>
        <w:t>e</w:t>
      </w:r>
      <w:r w:rsidR="00CD75AD">
        <w:rPr>
          <w:rFonts w:ascii="Times New Roman" w:hAnsi="Times New Roman" w:cs="Times New Roman"/>
        </w:rPr>
        <w:t xml:space="preserve">nt « être remplies que par </w:t>
      </w:r>
      <w:r w:rsidR="000644F6">
        <w:rPr>
          <w:rFonts w:ascii="Times New Roman" w:hAnsi="Times New Roman" w:cs="Times New Roman"/>
        </w:rPr>
        <w:t>le producteur ou le fabricant desdits composants » (point 100).</w:t>
      </w:r>
      <w:r w:rsidR="00AB4BA7">
        <w:rPr>
          <w:rFonts w:ascii="Times New Roman" w:hAnsi="Times New Roman" w:cs="Times New Roman"/>
        </w:rPr>
        <w:t xml:space="preserve"> </w:t>
      </w:r>
      <w:r w:rsidR="001C7B9A">
        <w:rPr>
          <w:rFonts w:ascii="Times New Roman" w:hAnsi="Times New Roman" w:cs="Times New Roman"/>
        </w:rPr>
        <w:t>Une telle déclaration pourra émaner du constructeur du composant sans qu’il ne doive</w:t>
      </w:r>
      <w:r w:rsidR="00CE6FA6">
        <w:rPr>
          <w:rFonts w:ascii="Times New Roman" w:hAnsi="Times New Roman" w:cs="Times New Roman"/>
        </w:rPr>
        <w:t> « nécessairement intervenir directement à toutes les étapes de la construction dudit composant » (point 106)</w:t>
      </w:r>
      <w:r w:rsidR="00DB29F5">
        <w:rPr>
          <w:rFonts w:ascii="Times New Roman" w:hAnsi="Times New Roman" w:cs="Times New Roman"/>
        </w:rPr>
        <w:t>, mais ne pourra pas émaner d’un revendeur ou d’un négociant (point 107).</w:t>
      </w:r>
    </w:p>
    <w:p w14:paraId="0689783B" w14:textId="77777777" w:rsidR="00750165" w:rsidRPr="00750165" w:rsidRDefault="00750165" w:rsidP="00750165">
      <w:pPr>
        <w:pStyle w:val="Paragraphedeliste"/>
        <w:rPr>
          <w:rFonts w:ascii="Times New Roman" w:hAnsi="Times New Roman" w:cs="Times New Roman"/>
        </w:rPr>
      </w:pPr>
    </w:p>
    <w:p w14:paraId="5C9FBD60" w14:textId="36BD28B4" w:rsidR="00E85F5A" w:rsidRDefault="009E5794" w:rsidP="002A2FB5">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lastRenderedPageBreak/>
        <w:t xml:space="preserve">La CJUE s’était encore prononcée récemment sur la matière des spécifications techniques par un arrêt </w:t>
      </w:r>
      <w:r w:rsidR="00A67C8A">
        <w:rPr>
          <w:rFonts w:ascii="Times New Roman" w:hAnsi="Times New Roman" w:cs="Times New Roman"/>
          <w:i/>
          <w:iCs/>
        </w:rPr>
        <w:t>Obshtina Pleven</w:t>
      </w:r>
      <w:r w:rsidR="00A67C8A">
        <w:rPr>
          <w:rFonts w:ascii="Times New Roman" w:hAnsi="Times New Roman" w:cs="Times New Roman"/>
        </w:rPr>
        <w:t xml:space="preserve"> </w:t>
      </w:r>
      <w:r>
        <w:rPr>
          <w:rFonts w:ascii="Times New Roman" w:hAnsi="Times New Roman" w:cs="Times New Roman"/>
        </w:rPr>
        <w:t>du 24 octobre 2024</w:t>
      </w:r>
      <w:r w:rsidR="00F26137">
        <w:rPr>
          <w:rFonts w:ascii="Times New Roman" w:hAnsi="Times New Roman" w:cs="Times New Roman"/>
        </w:rPr>
        <w:t xml:space="preserve">. Dans cet arrêt, la Cour confirme </w:t>
      </w:r>
      <w:r w:rsidR="00AB4CC4">
        <w:rPr>
          <w:rFonts w:ascii="Times New Roman" w:hAnsi="Times New Roman" w:cs="Times New Roman"/>
        </w:rPr>
        <w:t xml:space="preserve">que la mention « ou équivalent » doit être ajoutée lorsque les spécifications techniques « sont formulées par référence </w:t>
      </w:r>
      <w:r w:rsidR="001724E5">
        <w:rPr>
          <w:rFonts w:ascii="Times New Roman" w:hAnsi="Times New Roman" w:cs="Times New Roman"/>
        </w:rPr>
        <w:t>à des normes nationales transposant des normes européennes, y compris des normes harmonisées relevant du règlement n°</w:t>
      </w:r>
      <w:r w:rsidR="00460C7F">
        <w:rPr>
          <w:rFonts w:ascii="Times New Roman" w:hAnsi="Times New Roman" w:cs="Times New Roman"/>
        </w:rPr>
        <w:t xml:space="preserve"> </w:t>
      </w:r>
      <w:r w:rsidR="001724E5">
        <w:rPr>
          <w:rFonts w:ascii="Times New Roman" w:hAnsi="Times New Roman" w:cs="Times New Roman"/>
        </w:rPr>
        <w:t>305/2011 »</w:t>
      </w:r>
      <w:r w:rsidR="00192217">
        <w:rPr>
          <w:rStyle w:val="Appelnotedebasdep"/>
          <w:rFonts w:ascii="Times New Roman" w:hAnsi="Times New Roman" w:cs="Times New Roman"/>
        </w:rPr>
        <w:footnoteReference w:id="32"/>
      </w:r>
      <w:r w:rsidR="002A2FB5">
        <w:rPr>
          <w:rFonts w:ascii="Times New Roman" w:hAnsi="Times New Roman" w:cs="Times New Roman"/>
        </w:rPr>
        <w:t xml:space="preserve"> établissant des conditions harmonisées de commercialisation pour les produits de construction</w:t>
      </w:r>
      <w:r w:rsidR="002A2FB5">
        <w:rPr>
          <w:rStyle w:val="Appelnotedebasdep"/>
          <w:rFonts w:ascii="Times New Roman" w:hAnsi="Times New Roman" w:cs="Times New Roman"/>
        </w:rPr>
        <w:footnoteReference w:id="33"/>
      </w:r>
      <w:r w:rsidR="001724E5" w:rsidRPr="002A2FB5">
        <w:rPr>
          <w:rFonts w:ascii="Times New Roman" w:hAnsi="Times New Roman" w:cs="Times New Roman"/>
        </w:rPr>
        <w:t>.</w:t>
      </w:r>
      <w:r w:rsidR="004329B1">
        <w:rPr>
          <w:rFonts w:ascii="Times New Roman" w:hAnsi="Times New Roman" w:cs="Times New Roman"/>
        </w:rPr>
        <w:t xml:space="preserve"> </w:t>
      </w:r>
    </w:p>
    <w:p w14:paraId="14D75084" w14:textId="77777777" w:rsidR="004329B1" w:rsidRPr="00F82355" w:rsidRDefault="004329B1" w:rsidP="00F82355">
      <w:pPr>
        <w:pStyle w:val="Paragraphedeliste"/>
        <w:rPr>
          <w:rFonts w:ascii="Times New Roman" w:hAnsi="Times New Roman" w:cs="Times New Roman"/>
        </w:rPr>
      </w:pPr>
    </w:p>
    <w:p w14:paraId="6C8A687C" w14:textId="20A59EAE" w:rsidR="004329B1" w:rsidRPr="002A2FB5" w:rsidRDefault="00EA5D4A" w:rsidP="002A2FB5">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Il ressort de la jurisprudence </w:t>
      </w:r>
      <w:r w:rsidR="008D1A38">
        <w:rPr>
          <w:rFonts w:ascii="Times New Roman" w:hAnsi="Times New Roman" w:cs="Times New Roman"/>
        </w:rPr>
        <w:t xml:space="preserve">de la CJUE </w:t>
      </w:r>
      <w:r>
        <w:rPr>
          <w:rFonts w:ascii="Times New Roman" w:hAnsi="Times New Roman" w:cs="Times New Roman"/>
        </w:rPr>
        <w:t>précitée que</w:t>
      </w:r>
      <w:r w:rsidR="008D1A38">
        <w:rPr>
          <w:rFonts w:ascii="Times New Roman" w:hAnsi="Times New Roman" w:cs="Times New Roman"/>
        </w:rPr>
        <w:t xml:space="preserve"> </w:t>
      </w:r>
      <w:r>
        <w:rPr>
          <w:rFonts w:ascii="Times New Roman" w:hAnsi="Times New Roman" w:cs="Times New Roman"/>
        </w:rPr>
        <w:t xml:space="preserve">les principes </w:t>
      </w:r>
      <w:r w:rsidR="0029420F">
        <w:rPr>
          <w:rFonts w:ascii="Times New Roman" w:hAnsi="Times New Roman" w:cs="Times New Roman"/>
        </w:rPr>
        <w:t>de la passation</w:t>
      </w:r>
      <w:r w:rsidR="00F1596C">
        <w:rPr>
          <w:rFonts w:ascii="Times New Roman" w:hAnsi="Times New Roman" w:cs="Times New Roman"/>
        </w:rPr>
        <w:t xml:space="preserve"> des marchés publics que sont la concurrence, </w:t>
      </w:r>
      <w:r w:rsidR="00D73148">
        <w:rPr>
          <w:rFonts w:ascii="Times New Roman" w:hAnsi="Times New Roman" w:cs="Times New Roman"/>
        </w:rPr>
        <w:t>l</w:t>
      </w:r>
      <w:r w:rsidR="00F1596C">
        <w:rPr>
          <w:rFonts w:ascii="Times New Roman" w:hAnsi="Times New Roman" w:cs="Times New Roman"/>
        </w:rPr>
        <w:t xml:space="preserve">’égalité et </w:t>
      </w:r>
      <w:r w:rsidR="00D73148">
        <w:rPr>
          <w:rFonts w:ascii="Times New Roman" w:hAnsi="Times New Roman" w:cs="Times New Roman"/>
        </w:rPr>
        <w:t>la</w:t>
      </w:r>
      <w:r w:rsidR="00F1596C">
        <w:rPr>
          <w:rFonts w:ascii="Times New Roman" w:hAnsi="Times New Roman" w:cs="Times New Roman"/>
        </w:rPr>
        <w:t xml:space="preserve"> non-discrimination, et </w:t>
      </w:r>
      <w:r w:rsidR="00D73148">
        <w:rPr>
          <w:rFonts w:ascii="Times New Roman" w:hAnsi="Times New Roman" w:cs="Times New Roman"/>
        </w:rPr>
        <w:t>la</w:t>
      </w:r>
      <w:r w:rsidR="00F1596C">
        <w:rPr>
          <w:rFonts w:ascii="Times New Roman" w:hAnsi="Times New Roman" w:cs="Times New Roman"/>
        </w:rPr>
        <w:t xml:space="preserve"> transparence</w:t>
      </w:r>
      <w:r w:rsidR="0044545C">
        <w:rPr>
          <w:rFonts w:ascii="Times New Roman" w:hAnsi="Times New Roman" w:cs="Times New Roman"/>
        </w:rPr>
        <w:t>,</w:t>
      </w:r>
      <w:r w:rsidR="00F1596C">
        <w:rPr>
          <w:rFonts w:ascii="Times New Roman" w:hAnsi="Times New Roman" w:cs="Times New Roman"/>
        </w:rPr>
        <w:t xml:space="preserve"> </w:t>
      </w:r>
      <w:r w:rsidR="00B10EAF">
        <w:rPr>
          <w:rFonts w:ascii="Times New Roman" w:hAnsi="Times New Roman" w:cs="Times New Roman"/>
        </w:rPr>
        <w:t>gouvernent l</w:t>
      </w:r>
      <w:r w:rsidR="0026656D">
        <w:rPr>
          <w:rFonts w:ascii="Times New Roman" w:hAnsi="Times New Roman" w:cs="Times New Roman"/>
        </w:rPr>
        <w:t xml:space="preserve">e raisonnement de la Cour </w:t>
      </w:r>
      <w:r w:rsidR="001D2B17">
        <w:rPr>
          <w:rFonts w:ascii="Times New Roman" w:hAnsi="Times New Roman" w:cs="Times New Roman"/>
        </w:rPr>
        <w:t xml:space="preserve">sur la </w:t>
      </w:r>
      <w:r w:rsidR="00B10EAF">
        <w:rPr>
          <w:rFonts w:ascii="Times New Roman" w:hAnsi="Times New Roman" w:cs="Times New Roman"/>
        </w:rPr>
        <w:t xml:space="preserve">formulation des spécifications techniques. </w:t>
      </w:r>
      <w:r w:rsidR="00FB60C4">
        <w:rPr>
          <w:rFonts w:ascii="Times New Roman" w:hAnsi="Times New Roman" w:cs="Times New Roman"/>
        </w:rPr>
        <w:t xml:space="preserve">Compte tenu de l’impact de cette formulation sur les </w:t>
      </w:r>
      <w:r w:rsidR="00BF5C2A">
        <w:rPr>
          <w:rFonts w:ascii="Times New Roman" w:hAnsi="Times New Roman" w:cs="Times New Roman"/>
        </w:rPr>
        <w:t>principes précités,</w:t>
      </w:r>
      <w:r w:rsidR="00B55ABB">
        <w:rPr>
          <w:rFonts w:ascii="Times New Roman" w:hAnsi="Times New Roman" w:cs="Times New Roman"/>
        </w:rPr>
        <w:t xml:space="preserve"> la CJUE fait une application stricte des règles </w:t>
      </w:r>
      <w:r w:rsidR="00340D29">
        <w:rPr>
          <w:rFonts w:ascii="Times New Roman" w:hAnsi="Times New Roman" w:cs="Times New Roman"/>
        </w:rPr>
        <w:t>applicables, et en particuli</w:t>
      </w:r>
      <w:r w:rsidR="000B67AC">
        <w:rPr>
          <w:rFonts w:ascii="Times New Roman" w:hAnsi="Times New Roman" w:cs="Times New Roman"/>
        </w:rPr>
        <w:t>er s’agissant des références prohibées telle</w:t>
      </w:r>
      <w:r w:rsidR="00866570">
        <w:rPr>
          <w:rFonts w:ascii="Times New Roman" w:hAnsi="Times New Roman" w:cs="Times New Roman"/>
        </w:rPr>
        <w:t>s qu’une marque ou une or</w:t>
      </w:r>
      <w:r w:rsidR="00183C42">
        <w:rPr>
          <w:rFonts w:ascii="Times New Roman" w:hAnsi="Times New Roman" w:cs="Times New Roman"/>
        </w:rPr>
        <w:t xml:space="preserve">igine. </w:t>
      </w:r>
      <w:r w:rsidR="00CC7B23">
        <w:rPr>
          <w:rFonts w:ascii="Times New Roman" w:hAnsi="Times New Roman" w:cs="Times New Roman"/>
        </w:rPr>
        <w:t>L</w:t>
      </w:r>
      <w:r w:rsidR="00BC26FC">
        <w:rPr>
          <w:rFonts w:ascii="Times New Roman" w:hAnsi="Times New Roman" w:cs="Times New Roman"/>
        </w:rPr>
        <w:t xml:space="preserve">a Cour met </w:t>
      </w:r>
      <w:r w:rsidR="00CC7B23">
        <w:rPr>
          <w:rFonts w:ascii="Times New Roman" w:hAnsi="Times New Roman" w:cs="Times New Roman"/>
        </w:rPr>
        <w:t>de même</w:t>
      </w:r>
      <w:r w:rsidR="00BC26FC">
        <w:rPr>
          <w:rFonts w:ascii="Times New Roman" w:hAnsi="Times New Roman" w:cs="Times New Roman"/>
        </w:rPr>
        <w:t xml:space="preserve"> en évidence que</w:t>
      </w:r>
      <w:r w:rsidR="00B24A2B">
        <w:rPr>
          <w:rFonts w:ascii="Times New Roman" w:hAnsi="Times New Roman" w:cs="Times New Roman"/>
        </w:rPr>
        <w:t xml:space="preserve"> ces règles </w:t>
      </w:r>
      <w:r w:rsidR="007417E1">
        <w:rPr>
          <w:rFonts w:ascii="Times New Roman" w:hAnsi="Times New Roman" w:cs="Times New Roman"/>
        </w:rPr>
        <w:t xml:space="preserve">visent </w:t>
      </w:r>
      <w:r w:rsidR="006534BD">
        <w:rPr>
          <w:rFonts w:ascii="Times New Roman" w:hAnsi="Times New Roman" w:cs="Times New Roman"/>
        </w:rPr>
        <w:t xml:space="preserve">à la rédaction de spécifications techniques en termes </w:t>
      </w:r>
      <w:r w:rsidR="009E22A6">
        <w:rPr>
          <w:rFonts w:ascii="Times New Roman" w:hAnsi="Times New Roman" w:cs="Times New Roman"/>
        </w:rPr>
        <w:t xml:space="preserve">de performances ou </w:t>
      </w:r>
      <w:r w:rsidR="006534BD">
        <w:rPr>
          <w:rFonts w:ascii="Times New Roman" w:hAnsi="Times New Roman" w:cs="Times New Roman"/>
        </w:rPr>
        <w:t xml:space="preserve">d’exigences </w:t>
      </w:r>
      <w:r w:rsidR="009E22A6">
        <w:rPr>
          <w:rFonts w:ascii="Times New Roman" w:hAnsi="Times New Roman" w:cs="Times New Roman"/>
        </w:rPr>
        <w:t>fonctionnelle</w:t>
      </w:r>
      <w:r w:rsidR="00DC03E5">
        <w:rPr>
          <w:rFonts w:ascii="Times New Roman" w:hAnsi="Times New Roman" w:cs="Times New Roman"/>
        </w:rPr>
        <w:t>s</w:t>
      </w:r>
      <w:r w:rsidR="009E22A6">
        <w:rPr>
          <w:rFonts w:ascii="Times New Roman" w:hAnsi="Times New Roman" w:cs="Times New Roman"/>
        </w:rPr>
        <w:t>, même s’il n’existe pas de hiérarchie entre les différentes méthodes de formulation.</w:t>
      </w:r>
    </w:p>
    <w:p w14:paraId="6235AE27" w14:textId="77777777" w:rsidR="006572E1" w:rsidRPr="006572E1" w:rsidRDefault="006572E1" w:rsidP="006572E1">
      <w:pPr>
        <w:pStyle w:val="Paragraphedeliste"/>
        <w:rPr>
          <w:rFonts w:ascii="Times New Roman" w:hAnsi="Times New Roman" w:cs="Times New Roman"/>
        </w:rPr>
      </w:pPr>
    </w:p>
    <w:p w14:paraId="5F239584" w14:textId="7017CC24" w:rsidR="00AC1A33" w:rsidRDefault="008D44EA" w:rsidP="00AC1A33">
      <w:pPr>
        <w:pStyle w:val="Titre2"/>
        <w:numPr>
          <w:ilvl w:val="0"/>
          <w:numId w:val="2"/>
        </w:numPr>
        <w:rPr>
          <w:rFonts w:ascii="Times New Roman" w:hAnsi="Times New Roman" w:cs="Times New Roman"/>
          <w:color w:val="auto"/>
          <w:sz w:val="24"/>
          <w:szCs w:val="24"/>
        </w:rPr>
      </w:pPr>
      <w:r>
        <w:rPr>
          <w:rFonts w:ascii="Times New Roman" w:hAnsi="Times New Roman" w:cs="Times New Roman"/>
          <w:color w:val="auto"/>
          <w:sz w:val="24"/>
          <w:szCs w:val="24"/>
        </w:rPr>
        <w:t>L</w:t>
      </w:r>
      <w:r w:rsidR="00DF7579">
        <w:rPr>
          <w:rFonts w:ascii="Times New Roman" w:hAnsi="Times New Roman" w:cs="Times New Roman"/>
          <w:color w:val="auto"/>
          <w:sz w:val="24"/>
          <w:szCs w:val="24"/>
        </w:rPr>
        <w:t>a formulation des</w:t>
      </w:r>
      <w:r w:rsidR="00CB318B">
        <w:rPr>
          <w:rFonts w:ascii="Times New Roman" w:hAnsi="Times New Roman" w:cs="Times New Roman"/>
          <w:color w:val="auto"/>
          <w:sz w:val="24"/>
          <w:szCs w:val="24"/>
        </w:rPr>
        <w:t xml:space="preserve"> spécifications techniques </w:t>
      </w:r>
      <w:r w:rsidR="00AA42CB">
        <w:rPr>
          <w:rFonts w:ascii="Times New Roman" w:hAnsi="Times New Roman" w:cs="Times New Roman"/>
          <w:color w:val="auto"/>
          <w:sz w:val="24"/>
          <w:szCs w:val="24"/>
        </w:rPr>
        <w:t xml:space="preserve">– environnementales – </w:t>
      </w:r>
      <w:r w:rsidR="00CB318B">
        <w:rPr>
          <w:rFonts w:ascii="Times New Roman" w:hAnsi="Times New Roman" w:cs="Times New Roman"/>
          <w:color w:val="auto"/>
          <w:sz w:val="24"/>
          <w:szCs w:val="24"/>
        </w:rPr>
        <w:t>après l’</w:t>
      </w:r>
      <w:r>
        <w:rPr>
          <w:rFonts w:ascii="Times New Roman" w:hAnsi="Times New Roman" w:cs="Times New Roman"/>
          <w:color w:val="auto"/>
          <w:sz w:val="24"/>
          <w:szCs w:val="24"/>
        </w:rPr>
        <w:t xml:space="preserve">arrêt </w:t>
      </w:r>
      <w:r w:rsidR="00316B52">
        <w:rPr>
          <w:rFonts w:ascii="Times New Roman" w:hAnsi="Times New Roman" w:cs="Times New Roman"/>
          <w:i/>
          <w:iCs/>
          <w:color w:val="auto"/>
          <w:sz w:val="24"/>
          <w:szCs w:val="24"/>
        </w:rPr>
        <w:t>D</w:t>
      </w:r>
      <w:r w:rsidR="005D3FEF">
        <w:rPr>
          <w:rFonts w:ascii="Times New Roman" w:hAnsi="Times New Roman" w:cs="Times New Roman"/>
          <w:i/>
          <w:iCs/>
          <w:color w:val="auto"/>
          <w:sz w:val="24"/>
          <w:szCs w:val="24"/>
        </w:rPr>
        <w:t>YKA</w:t>
      </w:r>
      <w:r w:rsidR="00316B52">
        <w:rPr>
          <w:rFonts w:ascii="Times New Roman" w:hAnsi="Times New Roman" w:cs="Times New Roman"/>
          <w:i/>
          <w:iCs/>
          <w:color w:val="auto"/>
          <w:sz w:val="24"/>
          <w:szCs w:val="24"/>
        </w:rPr>
        <w:t xml:space="preserve"> Plastic</w:t>
      </w:r>
      <w:r w:rsidR="00C340FC">
        <w:rPr>
          <w:rFonts w:ascii="Times New Roman" w:hAnsi="Times New Roman" w:cs="Times New Roman"/>
          <w:i/>
          <w:iCs/>
          <w:color w:val="auto"/>
          <w:sz w:val="24"/>
          <w:szCs w:val="24"/>
        </w:rPr>
        <w:t>s</w:t>
      </w:r>
    </w:p>
    <w:p w14:paraId="17684A2E" w14:textId="77777777" w:rsidR="008B40D4" w:rsidRPr="008B40D4" w:rsidRDefault="008B40D4" w:rsidP="008B40D4"/>
    <w:p w14:paraId="324D0BF1" w14:textId="081012BD" w:rsidR="0081249B" w:rsidRPr="00771489" w:rsidRDefault="0059714C" w:rsidP="00C827E7">
      <w:pPr>
        <w:pStyle w:val="Paragraphedeliste"/>
        <w:numPr>
          <w:ilvl w:val="0"/>
          <w:numId w:val="3"/>
        </w:numPr>
        <w:spacing w:after="0" w:line="360" w:lineRule="auto"/>
        <w:ind w:left="0" w:firstLine="0"/>
        <w:jc w:val="both"/>
        <w:rPr>
          <w:rFonts w:ascii="Times New Roman" w:hAnsi="Times New Roman" w:cs="Times New Roman"/>
        </w:rPr>
      </w:pPr>
      <w:r w:rsidRPr="0059714C">
        <w:rPr>
          <w:rFonts w:ascii="Times New Roman" w:hAnsi="Times New Roman" w:cs="Times New Roman"/>
        </w:rPr>
        <w:t>La</w:t>
      </w:r>
      <w:r>
        <w:rPr>
          <w:rFonts w:ascii="Times New Roman" w:hAnsi="Times New Roman" w:cs="Times New Roman"/>
        </w:rPr>
        <w:t xml:space="preserve"> présente section </w:t>
      </w:r>
      <w:r w:rsidR="00F622F3">
        <w:rPr>
          <w:rFonts w:ascii="Times New Roman" w:hAnsi="Times New Roman" w:cs="Times New Roman"/>
        </w:rPr>
        <w:t>résume dans un premier temps l</w:t>
      </w:r>
      <w:r w:rsidR="00550FBC">
        <w:rPr>
          <w:rFonts w:ascii="Times New Roman" w:hAnsi="Times New Roman" w:cs="Times New Roman"/>
        </w:rPr>
        <w:t xml:space="preserve">’arrêt </w:t>
      </w:r>
      <w:r w:rsidR="00550FBC">
        <w:rPr>
          <w:rFonts w:ascii="Times New Roman" w:hAnsi="Times New Roman" w:cs="Times New Roman"/>
          <w:i/>
          <w:iCs/>
        </w:rPr>
        <w:t xml:space="preserve">DYKA Plastics </w:t>
      </w:r>
      <w:r w:rsidR="00D36B36">
        <w:rPr>
          <w:rFonts w:ascii="Times New Roman" w:hAnsi="Times New Roman" w:cs="Times New Roman"/>
        </w:rPr>
        <w:t xml:space="preserve">(a.) </w:t>
      </w:r>
      <w:r w:rsidR="00550FBC">
        <w:rPr>
          <w:rFonts w:ascii="Times New Roman" w:hAnsi="Times New Roman" w:cs="Times New Roman"/>
        </w:rPr>
        <w:t>ava</w:t>
      </w:r>
      <w:r w:rsidR="00D36B36">
        <w:rPr>
          <w:rFonts w:ascii="Times New Roman" w:hAnsi="Times New Roman" w:cs="Times New Roman"/>
        </w:rPr>
        <w:t>nt d’examiner plus précisément ses enseignements.</w:t>
      </w:r>
      <w:r w:rsidR="00F622F3">
        <w:rPr>
          <w:rFonts w:ascii="Times New Roman" w:hAnsi="Times New Roman" w:cs="Times New Roman"/>
        </w:rPr>
        <w:t xml:space="preserve"> </w:t>
      </w:r>
      <w:r w:rsidR="00C827E7" w:rsidRPr="00771489">
        <w:rPr>
          <w:rFonts w:ascii="Times New Roman" w:hAnsi="Times New Roman" w:cs="Times New Roman"/>
        </w:rPr>
        <w:t xml:space="preserve">La Cour </w:t>
      </w:r>
      <w:r w:rsidR="00932721">
        <w:rPr>
          <w:rFonts w:ascii="Times New Roman" w:hAnsi="Times New Roman" w:cs="Times New Roman"/>
        </w:rPr>
        <w:t>est</w:t>
      </w:r>
      <w:r w:rsidR="00C827E7" w:rsidRPr="00771489">
        <w:rPr>
          <w:rFonts w:ascii="Times New Roman" w:hAnsi="Times New Roman" w:cs="Times New Roman"/>
        </w:rPr>
        <w:t xml:space="preserve"> amenée</w:t>
      </w:r>
      <w:r w:rsidR="00AA42CB">
        <w:rPr>
          <w:rFonts w:ascii="Times New Roman" w:hAnsi="Times New Roman" w:cs="Times New Roman"/>
        </w:rPr>
        <w:t xml:space="preserve"> dans cet arrêt</w:t>
      </w:r>
      <w:r w:rsidR="00C827E7" w:rsidRPr="00771489">
        <w:rPr>
          <w:rFonts w:ascii="Times New Roman" w:hAnsi="Times New Roman" w:cs="Times New Roman"/>
        </w:rPr>
        <w:t xml:space="preserve"> à se prononcer sur le caractère exhaustif des méthodes de formulation des spécifications techniques (b.), la formulation fonctionnelle des spécifications techniques (c.), l</w:t>
      </w:r>
      <w:r w:rsidR="00771489">
        <w:rPr>
          <w:rFonts w:ascii="Times New Roman" w:hAnsi="Times New Roman" w:cs="Times New Roman"/>
        </w:rPr>
        <w:t>’interdiction de faire</w:t>
      </w:r>
      <w:r w:rsidR="00C827E7" w:rsidRPr="00771489">
        <w:rPr>
          <w:rFonts w:ascii="Times New Roman" w:hAnsi="Times New Roman" w:cs="Times New Roman"/>
        </w:rPr>
        <w:t xml:space="preserve"> référence à un type ou à une production déterminée (d.), ainsi que sur les exceptions </w:t>
      </w:r>
      <w:r w:rsidR="00771489">
        <w:rPr>
          <w:rFonts w:ascii="Times New Roman" w:hAnsi="Times New Roman" w:cs="Times New Roman"/>
        </w:rPr>
        <w:t>à cette interdiction</w:t>
      </w:r>
      <w:r w:rsidR="00C827E7" w:rsidRPr="00771489">
        <w:rPr>
          <w:rFonts w:ascii="Times New Roman" w:hAnsi="Times New Roman" w:cs="Times New Roman"/>
        </w:rPr>
        <w:t xml:space="preserve"> (e.).</w:t>
      </w:r>
    </w:p>
    <w:p w14:paraId="47A9FB90" w14:textId="77777777" w:rsidR="00C827E7" w:rsidRPr="00C827E7" w:rsidRDefault="00C827E7" w:rsidP="00C827E7">
      <w:pPr>
        <w:pStyle w:val="Paragraphedeliste"/>
        <w:spacing w:after="0" w:line="360" w:lineRule="auto"/>
        <w:ind w:left="0"/>
        <w:jc w:val="both"/>
        <w:rPr>
          <w:rFonts w:ascii="Times New Roman" w:hAnsi="Times New Roman" w:cs="Times New Roman"/>
        </w:rPr>
      </w:pPr>
    </w:p>
    <w:p w14:paraId="09BBE45B" w14:textId="29842918" w:rsidR="00C340FC" w:rsidRDefault="0081249B" w:rsidP="0081249B">
      <w:pPr>
        <w:pStyle w:val="Titre3"/>
        <w:numPr>
          <w:ilvl w:val="0"/>
          <w:numId w:val="6"/>
        </w:numPr>
        <w:rPr>
          <w:rFonts w:ascii="Times New Roman" w:hAnsi="Times New Roman" w:cs="Times New Roman"/>
          <w:color w:val="auto"/>
          <w:sz w:val="24"/>
          <w:szCs w:val="24"/>
        </w:rPr>
      </w:pPr>
      <w:r w:rsidRPr="0081249B">
        <w:rPr>
          <w:rFonts w:ascii="Times New Roman" w:hAnsi="Times New Roman" w:cs="Times New Roman"/>
          <w:color w:val="auto"/>
          <w:sz w:val="24"/>
          <w:szCs w:val="24"/>
        </w:rPr>
        <w:t xml:space="preserve">Résumé de l’arrêt </w:t>
      </w:r>
    </w:p>
    <w:p w14:paraId="18AD0968" w14:textId="77777777" w:rsidR="00212B70" w:rsidRPr="00212B70" w:rsidRDefault="00212B70" w:rsidP="00212B70"/>
    <w:p w14:paraId="0E240C33" w14:textId="27C0ED8A" w:rsidR="008732CD" w:rsidRPr="00D66DE9" w:rsidRDefault="00834196" w:rsidP="002F5E78">
      <w:pPr>
        <w:pStyle w:val="Paragraphedeliste"/>
        <w:numPr>
          <w:ilvl w:val="0"/>
          <w:numId w:val="3"/>
        </w:numPr>
        <w:spacing w:after="0" w:line="360" w:lineRule="auto"/>
        <w:ind w:left="0" w:firstLine="0"/>
        <w:jc w:val="both"/>
      </w:pPr>
      <w:r>
        <w:rPr>
          <w:rFonts w:ascii="Times New Roman" w:hAnsi="Times New Roman" w:cs="Times New Roman"/>
        </w:rPr>
        <w:lastRenderedPageBreak/>
        <w:t xml:space="preserve">Le litige à l’origine de la question préjudicielle posée par </w:t>
      </w:r>
      <w:r w:rsidR="005D3FEF">
        <w:rPr>
          <w:rFonts w:ascii="Times New Roman" w:hAnsi="Times New Roman" w:cs="Times New Roman"/>
        </w:rPr>
        <w:t>l</w:t>
      </w:r>
      <w:r w:rsidR="005D0B5A">
        <w:rPr>
          <w:rFonts w:ascii="Times New Roman" w:hAnsi="Times New Roman" w:cs="Times New Roman"/>
        </w:rPr>
        <w:t xml:space="preserve">e tribunal de l’entreprise </w:t>
      </w:r>
      <w:r w:rsidR="005D3FEF">
        <w:rPr>
          <w:rFonts w:ascii="Times New Roman" w:hAnsi="Times New Roman" w:cs="Times New Roman"/>
        </w:rPr>
        <w:t>de Gand</w:t>
      </w:r>
      <w:r w:rsidR="005D0B5A">
        <w:rPr>
          <w:rFonts w:ascii="Times New Roman" w:hAnsi="Times New Roman" w:cs="Times New Roman"/>
        </w:rPr>
        <w:t>, division Gand,</w:t>
      </w:r>
      <w:r w:rsidR="005D3FEF">
        <w:rPr>
          <w:rFonts w:ascii="Times New Roman" w:hAnsi="Times New Roman" w:cs="Times New Roman"/>
        </w:rPr>
        <w:t xml:space="preserve"> oppos</w:t>
      </w:r>
      <w:r w:rsidR="002420C4">
        <w:rPr>
          <w:rFonts w:ascii="Times New Roman" w:hAnsi="Times New Roman" w:cs="Times New Roman"/>
        </w:rPr>
        <w:t>e</w:t>
      </w:r>
      <w:r w:rsidR="005D3FEF">
        <w:rPr>
          <w:rFonts w:ascii="Times New Roman" w:hAnsi="Times New Roman" w:cs="Times New Roman"/>
        </w:rPr>
        <w:t xml:space="preserve"> DYKA Plastics NV</w:t>
      </w:r>
      <w:r w:rsidR="00635E85">
        <w:rPr>
          <w:rFonts w:ascii="Times New Roman" w:hAnsi="Times New Roman" w:cs="Times New Roman"/>
        </w:rPr>
        <w:t xml:space="preserve">, </w:t>
      </w:r>
      <w:r w:rsidR="006A6FD9">
        <w:rPr>
          <w:rFonts w:ascii="Times New Roman" w:hAnsi="Times New Roman" w:cs="Times New Roman"/>
        </w:rPr>
        <w:t>fabricant et fournisseur de tuyaux d’égouttage en plastique</w:t>
      </w:r>
      <w:r w:rsidR="00AA42CB">
        <w:rPr>
          <w:rFonts w:ascii="Times New Roman" w:hAnsi="Times New Roman" w:cs="Times New Roman"/>
        </w:rPr>
        <w:t>,</w:t>
      </w:r>
      <w:r w:rsidR="005D3FEF">
        <w:rPr>
          <w:rFonts w:ascii="Times New Roman" w:hAnsi="Times New Roman" w:cs="Times New Roman"/>
        </w:rPr>
        <w:t xml:space="preserve"> à Fluvius </w:t>
      </w:r>
      <w:r w:rsidR="004F7C16">
        <w:rPr>
          <w:rFonts w:ascii="Times New Roman" w:hAnsi="Times New Roman" w:cs="Times New Roman"/>
        </w:rPr>
        <w:t>System Operator CV</w:t>
      </w:r>
      <w:r w:rsidR="00632DD1">
        <w:rPr>
          <w:rFonts w:ascii="Times New Roman" w:hAnsi="Times New Roman" w:cs="Times New Roman"/>
        </w:rPr>
        <w:t xml:space="preserve">, </w:t>
      </w:r>
      <w:r w:rsidR="004C045F">
        <w:rPr>
          <w:rFonts w:ascii="Times New Roman" w:hAnsi="Times New Roman" w:cs="Times New Roman"/>
        </w:rPr>
        <w:t xml:space="preserve">chargée en Région flamande de la construction, de la gestion et de l’entretien de </w:t>
      </w:r>
      <w:r w:rsidR="00B13DF0">
        <w:rPr>
          <w:rFonts w:ascii="Times New Roman" w:hAnsi="Times New Roman" w:cs="Times New Roman"/>
        </w:rPr>
        <w:t xml:space="preserve">réseaux </w:t>
      </w:r>
      <w:r w:rsidR="00F14D06">
        <w:rPr>
          <w:rFonts w:ascii="Times New Roman" w:hAnsi="Times New Roman" w:cs="Times New Roman"/>
        </w:rPr>
        <w:t xml:space="preserve">d’utilité publique, dont des réseaux d’égouttage. </w:t>
      </w:r>
      <w:r w:rsidR="004F7C16">
        <w:rPr>
          <w:rFonts w:ascii="Times New Roman" w:hAnsi="Times New Roman" w:cs="Times New Roman"/>
        </w:rPr>
        <w:t>DYKA Plastics reproch</w:t>
      </w:r>
      <w:r w:rsidR="002420C4">
        <w:rPr>
          <w:rFonts w:ascii="Times New Roman" w:hAnsi="Times New Roman" w:cs="Times New Roman"/>
        </w:rPr>
        <w:t>e</w:t>
      </w:r>
      <w:r w:rsidR="004F7C16">
        <w:rPr>
          <w:rFonts w:ascii="Times New Roman" w:hAnsi="Times New Roman" w:cs="Times New Roman"/>
        </w:rPr>
        <w:t xml:space="preserve"> à Fluvius </w:t>
      </w:r>
      <w:r w:rsidR="0017026B">
        <w:rPr>
          <w:rFonts w:ascii="Times New Roman" w:hAnsi="Times New Roman" w:cs="Times New Roman"/>
        </w:rPr>
        <w:t>d’exige</w:t>
      </w:r>
      <w:r w:rsidR="00635E85">
        <w:rPr>
          <w:rFonts w:ascii="Times New Roman" w:hAnsi="Times New Roman" w:cs="Times New Roman"/>
        </w:rPr>
        <w:t>r</w:t>
      </w:r>
      <w:r w:rsidR="00976A71">
        <w:rPr>
          <w:rFonts w:ascii="Times New Roman" w:hAnsi="Times New Roman" w:cs="Times New Roman"/>
        </w:rPr>
        <w:t>,</w:t>
      </w:r>
      <w:r w:rsidR="00635E85">
        <w:rPr>
          <w:rFonts w:ascii="Times New Roman" w:hAnsi="Times New Roman" w:cs="Times New Roman"/>
        </w:rPr>
        <w:t xml:space="preserve"> </w:t>
      </w:r>
      <w:r w:rsidR="00A82712">
        <w:rPr>
          <w:rFonts w:ascii="Times New Roman" w:hAnsi="Times New Roman" w:cs="Times New Roman"/>
        </w:rPr>
        <w:t xml:space="preserve">pour ses marchés publics de travaux d’égouttage, </w:t>
      </w:r>
      <w:r w:rsidR="00635E85">
        <w:rPr>
          <w:rFonts w:ascii="Times New Roman" w:hAnsi="Times New Roman" w:cs="Times New Roman"/>
        </w:rPr>
        <w:t xml:space="preserve">sauf circonstances techniques particulières, </w:t>
      </w:r>
      <w:r w:rsidR="0017026B">
        <w:rPr>
          <w:rFonts w:ascii="Times New Roman" w:hAnsi="Times New Roman" w:cs="Times New Roman"/>
        </w:rPr>
        <w:t xml:space="preserve">l’utilisation de tuyaux d’égouttage en grès </w:t>
      </w:r>
      <w:r w:rsidR="00A82712">
        <w:rPr>
          <w:rFonts w:ascii="Times New Roman" w:hAnsi="Times New Roman" w:cs="Times New Roman"/>
        </w:rPr>
        <w:t xml:space="preserve">pour les systèmes d’évacuation des eaux usées </w:t>
      </w:r>
      <w:r w:rsidR="0017026B">
        <w:rPr>
          <w:rFonts w:ascii="Times New Roman" w:hAnsi="Times New Roman" w:cs="Times New Roman"/>
        </w:rPr>
        <w:t>et</w:t>
      </w:r>
      <w:r w:rsidR="005D6566">
        <w:rPr>
          <w:rFonts w:ascii="Times New Roman" w:hAnsi="Times New Roman" w:cs="Times New Roman"/>
        </w:rPr>
        <w:t xml:space="preserve"> des tuyaux</w:t>
      </w:r>
      <w:r w:rsidR="0017026B">
        <w:rPr>
          <w:rFonts w:ascii="Times New Roman" w:hAnsi="Times New Roman" w:cs="Times New Roman"/>
        </w:rPr>
        <w:t xml:space="preserve"> </w:t>
      </w:r>
      <w:r w:rsidR="001D3320">
        <w:rPr>
          <w:rFonts w:ascii="Times New Roman" w:hAnsi="Times New Roman" w:cs="Times New Roman"/>
        </w:rPr>
        <w:t>en béton</w:t>
      </w:r>
      <w:r w:rsidR="005D6566">
        <w:rPr>
          <w:rFonts w:ascii="Times New Roman" w:hAnsi="Times New Roman" w:cs="Times New Roman"/>
        </w:rPr>
        <w:t xml:space="preserve"> pour les systèmes d’évacuation des eaux pluviales</w:t>
      </w:r>
      <w:r w:rsidR="001D3320">
        <w:rPr>
          <w:rFonts w:ascii="Times New Roman" w:hAnsi="Times New Roman" w:cs="Times New Roman"/>
        </w:rPr>
        <w:t xml:space="preserve">. </w:t>
      </w:r>
      <w:r w:rsidR="006A6FD9">
        <w:rPr>
          <w:rFonts w:ascii="Times New Roman" w:hAnsi="Times New Roman" w:cs="Times New Roman"/>
        </w:rPr>
        <w:t xml:space="preserve">Suivant DYKA Plastics, cette exigence viole </w:t>
      </w:r>
      <w:r w:rsidR="00AA42CB">
        <w:rPr>
          <w:rFonts w:ascii="Times New Roman" w:hAnsi="Times New Roman" w:cs="Times New Roman"/>
        </w:rPr>
        <w:t>les principes</w:t>
      </w:r>
      <w:r w:rsidR="008732CD">
        <w:rPr>
          <w:rFonts w:ascii="Times New Roman" w:hAnsi="Times New Roman" w:cs="Times New Roman"/>
        </w:rPr>
        <w:t xml:space="preserve"> de passation des marchés publics contenus aux </w:t>
      </w:r>
      <w:r w:rsidR="00092C8B">
        <w:rPr>
          <w:rFonts w:ascii="Times New Roman" w:hAnsi="Times New Roman" w:cs="Times New Roman"/>
        </w:rPr>
        <w:t xml:space="preserve">articles 4, 5 et 53 de la loi du </w:t>
      </w:r>
      <w:r w:rsidR="008732CD">
        <w:rPr>
          <w:rFonts w:ascii="Times New Roman" w:hAnsi="Times New Roman" w:cs="Times New Roman"/>
        </w:rPr>
        <w:t>17 juin 2016</w:t>
      </w:r>
      <w:r w:rsidR="00092C8B">
        <w:rPr>
          <w:rFonts w:ascii="Times New Roman" w:hAnsi="Times New Roman" w:cs="Times New Roman"/>
        </w:rPr>
        <w:t>, mettant en œuvre les articles 18 et 42 de la directive 2014/24.</w:t>
      </w:r>
      <w:r w:rsidR="008732CD">
        <w:rPr>
          <w:rFonts w:ascii="Times New Roman" w:hAnsi="Times New Roman" w:cs="Times New Roman"/>
        </w:rPr>
        <w:t xml:space="preserve"> </w:t>
      </w:r>
      <w:r w:rsidR="008732CD" w:rsidRPr="00D66DE9">
        <w:rPr>
          <w:rFonts w:ascii="Times New Roman" w:hAnsi="Times New Roman" w:cs="Times New Roman"/>
        </w:rPr>
        <w:t xml:space="preserve">Bien que Fluvius ne </w:t>
      </w:r>
      <w:r w:rsidR="00D3746B" w:rsidRPr="00D66DE9">
        <w:rPr>
          <w:rFonts w:ascii="Times New Roman" w:hAnsi="Times New Roman" w:cs="Times New Roman"/>
        </w:rPr>
        <w:t>motivait</w:t>
      </w:r>
      <w:r w:rsidR="008732CD" w:rsidRPr="00D66DE9">
        <w:rPr>
          <w:rFonts w:ascii="Times New Roman" w:hAnsi="Times New Roman" w:cs="Times New Roman"/>
        </w:rPr>
        <w:t xml:space="preserve"> au départ </w:t>
      </w:r>
      <w:r w:rsidR="00262B85" w:rsidRPr="00D66DE9">
        <w:rPr>
          <w:rFonts w:ascii="Times New Roman" w:hAnsi="Times New Roman" w:cs="Times New Roman"/>
        </w:rPr>
        <w:t>pas</w:t>
      </w:r>
      <w:r w:rsidR="008732CD" w:rsidRPr="00D66DE9">
        <w:rPr>
          <w:rFonts w:ascii="Times New Roman" w:hAnsi="Times New Roman" w:cs="Times New Roman"/>
        </w:rPr>
        <w:t xml:space="preserve"> </w:t>
      </w:r>
      <w:r w:rsidR="00CC182F" w:rsidRPr="00D66DE9">
        <w:rPr>
          <w:rFonts w:ascii="Times New Roman" w:hAnsi="Times New Roman" w:cs="Times New Roman"/>
        </w:rPr>
        <w:t xml:space="preserve">cette exigence, </w:t>
      </w:r>
      <w:r w:rsidR="007214F0" w:rsidRPr="00D66DE9">
        <w:rPr>
          <w:rFonts w:ascii="Times New Roman" w:hAnsi="Times New Roman" w:cs="Times New Roman"/>
        </w:rPr>
        <w:t xml:space="preserve">elle a </w:t>
      </w:r>
      <w:r w:rsidR="00262B85" w:rsidRPr="00D66DE9">
        <w:rPr>
          <w:rFonts w:ascii="Times New Roman" w:hAnsi="Times New Roman" w:cs="Times New Roman"/>
        </w:rPr>
        <w:t>avancé</w:t>
      </w:r>
      <w:r w:rsidR="007214F0" w:rsidRPr="00D66DE9">
        <w:rPr>
          <w:rFonts w:ascii="Times New Roman" w:hAnsi="Times New Roman" w:cs="Times New Roman"/>
        </w:rPr>
        <w:t xml:space="preserve"> </w:t>
      </w:r>
      <w:r w:rsidR="00C9668B" w:rsidRPr="00D66DE9">
        <w:rPr>
          <w:rFonts w:ascii="Times New Roman" w:hAnsi="Times New Roman" w:cs="Times New Roman"/>
        </w:rPr>
        <w:t xml:space="preserve">un motif de durabilité </w:t>
      </w:r>
      <w:r w:rsidR="007214F0" w:rsidRPr="00D66DE9">
        <w:rPr>
          <w:rFonts w:ascii="Times New Roman" w:hAnsi="Times New Roman" w:cs="Times New Roman"/>
        </w:rPr>
        <w:t>devant le tribunal de l’e</w:t>
      </w:r>
      <w:r w:rsidR="00033C5A" w:rsidRPr="00D66DE9">
        <w:rPr>
          <w:rFonts w:ascii="Times New Roman" w:hAnsi="Times New Roman" w:cs="Times New Roman"/>
        </w:rPr>
        <w:t>ntreprise de Gand</w:t>
      </w:r>
      <w:r w:rsidR="005D0B5A" w:rsidRPr="00D66DE9">
        <w:rPr>
          <w:rFonts w:ascii="Times New Roman" w:hAnsi="Times New Roman" w:cs="Times New Roman"/>
        </w:rPr>
        <w:t xml:space="preserve"> (point 18 de l’arrêt)</w:t>
      </w:r>
      <w:r w:rsidR="00C9668B" w:rsidRPr="00D66DE9">
        <w:rPr>
          <w:rFonts w:ascii="Times New Roman" w:hAnsi="Times New Roman" w:cs="Times New Roman"/>
        </w:rPr>
        <w:t>.</w:t>
      </w:r>
      <w:r w:rsidR="00981C2C" w:rsidRPr="00D66DE9">
        <w:rPr>
          <w:rFonts w:ascii="Times New Roman" w:hAnsi="Times New Roman" w:cs="Times New Roman"/>
        </w:rPr>
        <w:t xml:space="preserve"> </w:t>
      </w:r>
    </w:p>
    <w:p w14:paraId="080E6720" w14:textId="0071B739" w:rsidR="002F5E78" w:rsidRPr="002F5E78" w:rsidRDefault="002F5E78" w:rsidP="002F5E78">
      <w:pPr>
        <w:spacing w:after="0" w:line="360" w:lineRule="auto"/>
        <w:jc w:val="both"/>
        <w:rPr>
          <w:rFonts w:ascii="Times New Roman" w:hAnsi="Times New Roman" w:cs="Times New Roman"/>
        </w:rPr>
      </w:pPr>
    </w:p>
    <w:p w14:paraId="677829D6" w14:textId="4A5635B4" w:rsidR="00BE3113" w:rsidRPr="00EC0B37" w:rsidRDefault="005350F4" w:rsidP="00BE3113">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Le tribunal</w:t>
      </w:r>
      <w:r w:rsidR="00E440A0">
        <w:rPr>
          <w:rFonts w:ascii="Times New Roman" w:hAnsi="Times New Roman" w:cs="Times New Roman"/>
        </w:rPr>
        <w:t xml:space="preserve"> de Gand</w:t>
      </w:r>
      <w:r w:rsidR="00A443FA">
        <w:rPr>
          <w:rFonts w:ascii="Times New Roman" w:hAnsi="Times New Roman" w:cs="Times New Roman"/>
        </w:rPr>
        <w:t xml:space="preserve"> estime pour sa part que l’article 42, § 3, de la directive 2014/24 pourrait exiger que les spécifications techniques </w:t>
      </w:r>
      <w:r w:rsidR="00122D23">
        <w:rPr>
          <w:rFonts w:ascii="Times New Roman" w:hAnsi="Times New Roman" w:cs="Times New Roman"/>
        </w:rPr>
        <w:t>ne puissent être formulées que de l’une des quatre façons qu’il énonce et d’aucune autre</w:t>
      </w:r>
      <w:r w:rsidR="0080311B">
        <w:rPr>
          <w:rFonts w:ascii="Times New Roman" w:hAnsi="Times New Roman" w:cs="Times New Roman"/>
        </w:rPr>
        <w:t>. L</w:t>
      </w:r>
      <w:r w:rsidR="004B4300">
        <w:rPr>
          <w:rFonts w:ascii="Times New Roman" w:hAnsi="Times New Roman" w:cs="Times New Roman"/>
        </w:rPr>
        <w:t>a spécification litigieuse ne rentrerait quant à elle pas dans une de ces catégories.</w:t>
      </w:r>
      <w:r>
        <w:rPr>
          <w:rFonts w:ascii="Times New Roman" w:hAnsi="Times New Roman" w:cs="Times New Roman"/>
        </w:rPr>
        <w:t xml:space="preserve"> </w:t>
      </w:r>
      <w:r w:rsidR="00932721">
        <w:rPr>
          <w:rFonts w:ascii="Times New Roman" w:hAnsi="Times New Roman" w:cs="Times New Roman"/>
        </w:rPr>
        <w:t>Étant</w:t>
      </w:r>
      <w:r w:rsidR="00522B06">
        <w:rPr>
          <w:rFonts w:ascii="Times New Roman" w:hAnsi="Times New Roman" w:cs="Times New Roman"/>
        </w:rPr>
        <w:t xml:space="preserve"> donné que cette spécification a en outre pour effet d’éliminer certaines entreprises ou certains produits, elle pourrait relever de l’interdiction contenue à l’article 42, § 4 de la directive. Par</w:t>
      </w:r>
      <w:r w:rsidR="00497F4A">
        <w:rPr>
          <w:rFonts w:ascii="Times New Roman" w:hAnsi="Times New Roman" w:cs="Times New Roman"/>
        </w:rPr>
        <w:t xml:space="preserve"> conséquent</w:t>
      </w:r>
      <w:r w:rsidR="00522B06">
        <w:rPr>
          <w:rFonts w:ascii="Times New Roman" w:hAnsi="Times New Roman" w:cs="Times New Roman"/>
        </w:rPr>
        <w:t xml:space="preserve">, le tribunal a posé quatre questions préjudicielles </w:t>
      </w:r>
      <w:r w:rsidR="00497F4A">
        <w:rPr>
          <w:rFonts w:ascii="Times New Roman" w:hAnsi="Times New Roman" w:cs="Times New Roman"/>
        </w:rPr>
        <w:t>à la CJUE</w:t>
      </w:r>
      <w:r w:rsidR="00EA3FF6">
        <w:rPr>
          <w:rFonts w:ascii="Times New Roman" w:hAnsi="Times New Roman" w:cs="Times New Roman"/>
        </w:rPr>
        <w:t xml:space="preserve">. </w:t>
      </w:r>
    </w:p>
    <w:p w14:paraId="4841280B" w14:textId="77777777" w:rsidR="004B72EF" w:rsidRDefault="004B72EF" w:rsidP="004B72EF">
      <w:pPr>
        <w:pStyle w:val="Paragraphedeliste"/>
        <w:spacing w:after="0" w:line="360" w:lineRule="auto"/>
        <w:ind w:left="0"/>
        <w:jc w:val="both"/>
        <w:rPr>
          <w:rFonts w:ascii="Times New Roman" w:hAnsi="Times New Roman" w:cs="Times New Roman"/>
        </w:rPr>
      </w:pPr>
    </w:p>
    <w:p w14:paraId="2ED3B1CA" w14:textId="050B11B6" w:rsidR="00EA3FF6" w:rsidRDefault="004B72EF" w:rsidP="008732CD">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Par sa première question, le tribunal demande si l’énumération des méthodes de formulation des spécification</w:t>
      </w:r>
      <w:r w:rsidR="00E020C0">
        <w:rPr>
          <w:rFonts w:ascii="Times New Roman" w:hAnsi="Times New Roman" w:cs="Times New Roman"/>
        </w:rPr>
        <w:t>s</w:t>
      </w:r>
      <w:r>
        <w:rPr>
          <w:rFonts w:ascii="Times New Roman" w:hAnsi="Times New Roman" w:cs="Times New Roman"/>
        </w:rPr>
        <w:t xml:space="preserve"> techniques de l’article 42, § 3, de la directive 2014/24 est exhaustive. </w:t>
      </w:r>
      <w:r w:rsidR="00776260">
        <w:rPr>
          <w:rFonts w:ascii="Times New Roman" w:hAnsi="Times New Roman" w:cs="Times New Roman"/>
        </w:rPr>
        <w:t xml:space="preserve">Les </w:t>
      </w:r>
      <w:r w:rsidR="00A127EA">
        <w:rPr>
          <w:rFonts w:ascii="Times New Roman" w:hAnsi="Times New Roman" w:cs="Times New Roman"/>
        </w:rPr>
        <w:t>deux</w:t>
      </w:r>
      <w:r w:rsidR="00776260">
        <w:rPr>
          <w:rFonts w:ascii="Times New Roman" w:hAnsi="Times New Roman" w:cs="Times New Roman"/>
        </w:rPr>
        <w:t>ième et troisième questions visent quant à elle</w:t>
      </w:r>
      <w:r w:rsidR="00DC0C21">
        <w:rPr>
          <w:rFonts w:ascii="Times New Roman" w:hAnsi="Times New Roman" w:cs="Times New Roman"/>
        </w:rPr>
        <w:t>s</w:t>
      </w:r>
      <w:r w:rsidR="00776260">
        <w:rPr>
          <w:rFonts w:ascii="Times New Roman" w:hAnsi="Times New Roman" w:cs="Times New Roman"/>
        </w:rPr>
        <w:t xml:space="preserve"> à déterminer « si l’article 42, paragraphe 4, de la directive 2014/24 doit être interprété en ce sens que les pouvoirs adjudicateurs peuvent préciser, dans les spécifications techniques d’un marché de travaux, de quels matériaux les produits proposés par les soumissionnaires doivent être constitués » (point 39 de l’arrêt). </w:t>
      </w:r>
      <w:r w:rsidR="00057FB4">
        <w:rPr>
          <w:rFonts w:ascii="Times New Roman" w:hAnsi="Times New Roman" w:cs="Times New Roman"/>
        </w:rPr>
        <w:t>Par sa quatrième question, le tribunal demande si l’article 42, § 2,</w:t>
      </w:r>
      <w:r w:rsidR="001444CE">
        <w:rPr>
          <w:rFonts w:ascii="Times New Roman" w:hAnsi="Times New Roman" w:cs="Times New Roman"/>
        </w:rPr>
        <w:t xml:space="preserve"> lu en combinaison avec l’article 18, § 1</w:t>
      </w:r>
      <w:r w:rsidR="008A757E">
        <w:rPr>
          <w:rStyle w:val="Appelnotedebasdep"/>
          <w:rFonts w:ascii="Times New Roman" w:hAnsi="Times New Roman" w:cs="Times New Roman"/>
        </w:rPr>
        <w:footnoteReference w:id="34"/>
      </w:r>
      <w:r w:rsidR="001444CE">
        <w:rPr>
          <w:rFonts w:ascii="Times New Roman" w:hAnsi="Times New Roman" w:cs="Times New Roman"/>
        </w:rPr>
        <w:t xml:space="preserve">, de la directive 2014/24, </w:t>
      </w:r>
      <w:r w:rsidR="00E63902">
        <w:rPr>
          <w:rFonts w:ascii="Times New Roman" w:hAnsi="Times New Roman" w:cs="Times New Roman"/>
        </w:rPr>
        <w:t xml:space="preserve">contenant </w:t>
      </w:r>
      <w:r w:rsidR="00382F6E">
        <w:rPr>
          <w:rFonts w:ascii="Times New Roman" w:hAnsi="Times New Roman" w:cs="Times New Roman"/>
        </w:rPr>
        <w:t xml:space="preserve">les obligations d’égalité </w:t>
      </w:r>
      <w:r w:rsidR="00382F6E">
        <w:rPr>
          <w:rFonts w:ascii="Times New Roman" w:hAnsi="Times New Roman" w:cs="Times New Roman"/>
        </w:rPr>
        <w:lastRenderedPageBreak/>
        <w:t xml:space="preserve">et de non-discrimination, ainsi que d’ouverture des marchés publics à la concurrence, </w:t>
      </w:r>
      <w:r w:rsidR="00E62B55">
        <w:rPr>
          <w:rFonts w:ascii="Times New Roman" w:hAnsi="Times New Roman" w:cs="Times New Roman"/>
        </w:rPr>
        <w:t xml:space="preserve">est </w:t>
      </w:r>
      <w:r w:rsidR="00B23400">
        <w:rPr>
          <w:rFonts w:ascii="Times New Roman" w:hAnsi="Times New Roman" w:cs="Times New Roman"/>
        </w:rPr>
        <w:t>nécessairement méconn</w:t>
      </w:r>
      <w:r w:rsidR="00640784">
        <w:rPr>
          <w:rFonts w:ascii="Times New Roman" w:hAnsi="Times New Roman" w:cs="Times New Roman"/>
        </w:rPr>
        <w:t xml:space="preserve">u </w:t>
      </w:r>
      <w:r w:rsidR="005A6E52">
        <w:rPr>
          <w:rFonts w:ascii="Times New Roman" w:hAnsi="Times New Roman" w:cs="Times New Roman"/>
        </w:rPr>
        <w:t xml:space="preserve">« lorsqu’un pouvoir adjudicateur élimine, par une spécification technique qui </w:t>
      </w:r>
      <w:r w:rsidR="0088186A">
        <w:rPr>
          <w:rFonts w:ascii="Times New Roman" w:hAnsi="Times New Roman" w:cs="Times New Roman"/>
        </w:rPr>
        <w:t xml:space="preserve">n’est </w:t>
      </w:r>
      <w:r w:rsidR="005A6E52">
        <w:rPr>
          <w:rFonts w:ascii="Times New Roman" w:hAnsi="Times New Roman" w:cs="Times New Roman"/>
        </w:rPr>
        <w:t>pas compatible avec les règles énoncées à l’article 42, paragraphes 3 et 4, de ladite directiv</w:t>
      </w:r>
      <w:r w:rsidR="00CC2318">
        <w:rPr>
          <w:rFonts w:ascii="Times New Roman" w:hAnsi="Times New Roman" w:cs="Times New Roman"/>
        </w:rPr>
        <w:t xml:space="preserve">e, certaines entreprises ou certains produits » (point 63 de l’arrêt). </w:t>
      </w:r>
      <w:r w:rsidR="00776260">
        <w:rPr>
          <w:rFonts w:ascii="Times New Roman" w:hAnsi="Times New Roman" w:cs="Times New Roman"/>
        </w:rPr>
        <w:t xml:space="preserve">La Cour répondra par la positive </w:t>
      </w:r>
      <w:r w:rsidR="00311F5B">
        <w:rPr>
          <w:rFonts w:ascii="Times New Roman" w:hAnsi="Times New Roman" w:cs="Times New Roman"/>
        </w:rPr>
        <w:t xml:space="preserve">aux première et </w:t>
      </w:r>
      <w:r w:rsidR="00A15462">
        <w:rPr>
          <w:rFonts w:ascii="Times New Roman" w:hAnsi="Times New Roman" w:cs="Times New Roman"/>
        </w:rPr>
        <w:t>quatrième</w:t>
      </w:r>
      <w:r w:rsidR="00311F5B">
        <w:rPr>
          <w:rFonts w:ascii="Times New Roman" w:hAnsi="Times New Roman" w:cs="Times New Roman"/>
        </w:rPr>
        <w:t xml:space="preserve"> questions, </w:t>
      </w:r>
      <w:r w:rsidR="00776260">
        <w:rPr>
          <w:rFonts w:ascii="Times New Roman" w:hAnsi="Times New Roman" w:cs="Times New Roman"/>
        </w:rPr>
        <w:t>et par la négative aux deux autres</w:t>
      </w:r>
      <w:r w:rsidR="00EC74B1">
        <w:rPr>
          <w:rFonts w:ascii="Times New Roman" w:hAnsi="Times New Roman" w:cs="Times New Roman"/>
        </w:rPr>
        <w:t>, qu’elle examine ensemble</w:t>
      </w:r>
      <w:r w:rsidR="00776260">
        <w:rPr>
          <w:rFonts w:ascii="Times New Roman" w:hAnsi="Times New Roman" w:cs="Times New Roman"/>
        </w:rPr>
        <w:t>.</w:t>
      </w:r>
    </w:p>
    <w:p w14:paraId="4ED34FB2" w14:textId="77777777" w:rsidR="00EC0B37" w:rsidRPr="001551C1" w:rsidRDefault="00EC0B37" w:rsidP="00EC0B37">
      <w:pPr>
        <w:pStyle w:val="Paragraphedeliste"/>
        <w:spacing w:after="0" w:line="360" w:lineRule="auto"/>
        <w:ind w:left="0"/>
        <w:jc w:val="both"/>
        <w:rPr>
          <w:rFonts w:ascii="Times New Roman" w:hAnsi="Times New Roman" w:cs="Times New Roman"/>
        </w:rPr>
      </w:pPr>
    </w:p>
    <w:p w14:paraId="1E7D629F" w14:textId="1A1412D8" w:rsidR="00EC0B37" w:rsidRDefault="006D4BBD" w:rsidP="00EC0B37">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D</w:t>
      </w:r>
      <w:r w:rsidR="00EC0B37">
        <w:rPr>
          <w:rFonts w:ascii="Times New Roman" w:hAnsi="Times New Roman" w:cs="Times New Roman"/>
        </w:rPr>
        <w:t xml:space="preserve">ans ses conclusions, l’Avocat général M. MANUEL CAMPOS SÁNCHES-BORDONA </w:t>
      </w:r>
      <w:r>
        <w:rPr>
          <w:rFonts w:ascii="Times New Roman" w:hAnsi="Times New Roman" w:cs="Times New Roman"/>
        </w:rPr>
        <w:t>précisera</w:t>
      </w:r>
      <w:r w:rsidR="00EC0B37">
        <w:rPr>
          <w:rFonts w:ascii="Times New Roman" w:hAnsi="Times New Roman" w:cs="Times New Roman"/>
        </w:rPr>
        <w:t xml:space="preserve"> les motivations de Fluvius qui sont d’ordre technique, environnemental, financier et liées aux intérêts du pouvoir adjudicateur </w:t>
      </w:r>
      <w:r w:rsidR="00EC0B37" w:rsidRPr="002F5E78">
        <w:rPr>
          <w:rFonts w:ascii="Times New Roman" w:hAnsi="Times New Roman" w:cs="Times New Roman"/>
        </w:rPr>
        <w:t>(point 18 des conclusions)</w:t>
      </w:r>
      <w:r w:rsidR="00EC0B37">
        <w:rPr>
          <w:rFonts w:ascii="Times New Roman" w:hAnsi="Times New Roman" w:cs="Times New Roman"/>
        </w:rPr>
        <w:t>. S’agissant du point de vue technique, les tuyaux en grès ont une durée de vie d’au moins 100 ans, bien plus élevée que les 50 années des tuyaux en plastique. Le taux de défectuosité et de dysfonctionnement, ainsi que les coûts d’entretien de ces derniers seraient aussi visiblement plus élevés que ceux des tuyaux en grès. Du point de vue environnemental, les tuyaux rigides présentent l’avantage d’être recyclables à l’infini et d’être composés de matériaux naturels, non nocifs pour l’environnement. Les tuyaux en plastique doivent à l’inverse être incinérés et peuvent relâcher des microplastiques dans le sous-sol qui risquent d’y subsister lors de leur remplacement (note infrapaginale 7 des conclusions).</w:t>
      </w:r>
    </w:p>
    <w:p w14:paraId="29242CAE" w14:textId="77777777" w:rsidR="00484F65" w:rsidRDefault="00484F65" w:rsidP="008732CD">
      <w:pPr>
        <w:pStyle w:val="Paragraphedeliste"/>
        <w:spacing w:after="0" w:line="360" w:lineRule="auto"/>
        <w:ind w:left="0"/>
        <w:jc w:val="both"/>
        <w:rPr>
          <w:rFonts w:ascii="Times New Roman" w:hAnsi="Times New Roman" w:cs="Times New Roman"/>
        </w:rPr>
      </w:pPr>
    </w:p>
    <w:p w14:paraId="4BC20333" w14:textId="44EC4FEB" w:rsidR="00EA3FF6" w:rsidRDefault="00EA3FF6" w:rsidP="00EA3FF6">
      <w:pPr>
        <w:pStyle w:val="Titre3"/>
        <w:numPr>
          <w:ilvl w:val="0"/>
          <w:numId w:val="6"/>
        </w:numPr>
        <w:rPr>
          <w:rFonts w:ascii="Times New Roman" w:hAnsi="Times New Roman" w:cs="Times New Roman"/>
          <w:color w:val="auto"/>
          <w:sz w:val="24"/>
          <w:szCs w:val="24"/>
        </w:rPr>
      </w:pPr>
      <w:r w:rsidRPr="00484F65">
        <w:rPr>
          <w:rFonts w:ascii="Times New Roman" w:hAnsi="Times New Roman" w:cs="Times New Roman"/>
          <w:color w:val="auto"/>
          <w:sz w:val="24"/>
          <w:szCs w:val="24"/>
        </w:rPr>
        <w:t>Liste fermée des méthodes de formulation</w:t>
      </w:r>
    </w:p>
    <w:p w14:paraId="3A6B0AB8" w14:textId="77777777" w:rsidR="00D109E6" w:rsidRPr="00D109E6" w:rsidRDefault="00D109E6" w:rsidP="00D109E6"/>
    <w:p w14:paraId="5048C3E8" w14:textId="7CF7D167" w:rsidR="00D109E6" w:rsidRDefault="001E3B8D" w:rsidP="005D67CA">
      <w:pPr>
        <w:pStyle w:val="Paragraphedeliste"/>
        <w:numPr>
          <w:ilvl w:val="0"/>
          <w:numId w:val="3"/>
        </w:numPr>
        <w:spacing w:after="0" w:line="360" w:lineRule="auto"/>
        <w:ind w:left="0" w:firstLine="0"/>
        <w:jc w:val="both"/>
        <w:rPr>
          <w:rFonts w:ascii="Times New Roman" w:hAnsi="Times New Roman" w:cs="Times New Roman"/>
        </w:rPr>
      </w:pPr>
      <w:r w:rsidRPr="00776260">
        <w:rPr>
          <w:rFonts w:ascii="Times New Roman" w:hAnsi="Times New Roman" w:cs="Times New Roman"/>
        </w:rPr>
        <w:t xml:space="preserve">Pour répondre à </w:t>
      </w:r>
      <w:r w:rsidR="00776260">
        <w:rPr>
          <w:rFonts w:ascii="Times New Roman" w:hAnsi="Times New Roman" w:cs="Times New Roman"/>
        </w:rPr>
        <w:t xml:space="preserve">la première question du tribunal </w:t>
      </w:r>
      <w:r w:rsidR="00D109E6">
        <w:rPr>
          <w:rFonts w:ascii="Times New Roman" w:hAnsi="Times New Roman" w:cs="Times New Roman"/>
        </w:rPr>
        <w:t>de savoir si l’énumération des méthodes de formulation des spécification</w:t>
      </w:r>
      <w:r w:rsidR="00AE45D0">
        <w:rPr>
          <w:rFonts w:ascii="Times New Roman" w:hAnsi="Times New Roman" w:cs="Times New Roman"/>
        </w:rPr>
        <w:t>s</w:t>
      </w:r>
      <w:r w:rsidR="00D109E6">
        <w:rPr>
          <w:rFonts w:ascii="Times New Roman" w:hAnsi="Times New Roman" w:cs="Times New Roman"/>
        </w:rPr>
        <w:t xml:space="preserve"> techniques de l’article 42, § 3, de la directive 2014/24 est exhaustive</w:t>
      </w:r>
      <w:r w:rsidRPr="00776260">
        <w:rPr>
          <w:rFonts w:ascii="Times New Roman" w:hAnsi="Times New Roman" w:cs="Times New Roman"/>
        </w:rPr>
        <w:t>, la Cour relève qu</w:t>
      </w:r>
      <w:r w:rsidR="002332D9" w:rsidRPr="00776260">
        <w:rPr>
          <w:rFonts w:ascii="Times New Roman" w:hAnsi="Times New Roman" w:cs="Times New Roman"/>
        </w:rPr>
        <w:t>’il résulte de la formulation de la phrase « les spécifications techniques sont formulées de l’une des façons suivantes »</w:t>
      </w:r>
      <w:r w:rsidR="00FC7F1D" w:rsidRPr="00776260">
        <w:rPr>
          <w:rFonts w:ascii="Times New Roman" w:hAnsi="Times New Roman" w:cs="Times New Roman"/>
        </w:rPr>
        <w:t xml:space="preserve"> que l’article </w:t>
      </w:r>
      <w:r w:rsidR="004D1137" w:rsidRPr="00776260">
        <w:rPr>
          <w:rFonts w:ascii="Times New Roman" w:hAnsi="Times New Roman" w:cs="Times New Roman"/>
        </w:rPr>
        <w:t xml:space="preserve">42, § 3 précité </w:t>
      </w:r>
      <w:r w:rsidR="00CB45BA" w:rsidRPr="00776260">
        <w:rPr>
          <w:rFonts w:ascii="Times New Roman" w:hAnsi="Times New Roman" w:cs="Times New Roman"/>
        </w:rPr>
        <w:t>prévoit de manière exhaustive les méthodes de formulation d</w:t>
      </w:r>
      <w:r w:rsidR="0013793C" w:rsidRPr="00776260">
        <w:rPr>
          <w:rFonts w:ascii="Times New Roman" w:hAnsi="Times New Roman" w:cs="Times New Roman"/>
        </w:rPr>
        <w:t>es spécifications techniques.</w:t>
      </w:r>
      <w:r w:rsidR="008324BD" w:rsidRPr="00776260">
        <w:rPr>
          <w:rFonts w:ascii="Times New Roman" w:hAnsi="Times New Roman" w:cs="Times New Roman"/>
        </w:rPr>
        <w:t xml:space="preserve"> </w:t>
      </w:r>
      <w:r w:rsidR="00AD7855" w:rsidRPr="00776260">
        <w:rPr>
          <w:rFonts w:ascii="Times New Roman" w:hAnsi="Times New Roman" w:cs="Times New Roman"/>
        </w:rPr>
        <w:t>Si la volonté d</w:t>
      </w:r>
      <w:r w:rsidR="00745C8F">
        <w:rPr>
          <w:rFonts w:ascii="Times New Roman" w:hAnsi="Times New Roman" w:cs="Times New Roman"/>
        </w:rPr>
        <w:t>u</w:t>
      </w:r>
      <w:r w:rsidR="00AD7855" w:rsidRPr="00776260">
        <w:rPr>
          <w:rFonts w:ascii="Times New Roman" w:hAnsi="Times New Roman" w:cs="Times New Roman"/>
        </w:rPr>
        <w:t xml:space="preserve"> législateur européen était d’admettre d’autres méthodes, </w:t>
      </w:r>
      <w:r w:rsidR="00AC613A" w:rsidRPr="00776260">
        <w:rPr>
          <w:rFonts w:ascii="Times New Roman" w:hAnsi="Times New Roman" w:cs="Times New Roman"/>
        </w:rPr>
        <w:t xml:space="preserve">il aurait pu avoir recours à </w:t>
      </w:r>
      <w:r w:rsidR="00AD7855" w:rsidRPr="00776260">
        <w:rPr>
          <w:rFonts w:ascii="Times New Roman" w:hAnsi="Times New Roman" w:cs="Times New Roman"/>
        </w:rPr>
        <w:t xml:space="preserve">une formule telle que « peuvent </w:t>
      </w:r>
      <w:r w:rsidR="00AC613A" w:rsidRPr="00776260">
        <w:rPr>
          <w:rFonts w:ascii="Times New Roman" w:hAnsi="Times New Roman" w:cs="Times New Roman"/>
        </w:rPr>
        <w:t>être formulées »</w:t>
      </w:r>
      <w:r w:rsidR="007803FB" w:rsidRPr="00776260">
        <w:rPr>
          <w:rFonts w:ascii="Times New Roman" w:hAnsi="Times New Roman" w:cs="Times New Roman"/>
        </w:rPr>
        <w:t xml:space="preserve"> (point 30 de l’arrêt)</w:t>
      </w:r>
      <w:r w:rsidR="00AC613A" w:rsidRPr="00776260">
        <w:rPr>
          <w:rFonts w:ascii="Times New Roman" w:hAnsi="Times New Roman" w:cs="Times New Roman"/>
        </w:rPr>
        <w:t>.</w:t>
      </w:r>
      <w:r w:rsidR="00195C4F" w:rsidRPr="00776260">
        <w:rPr>
          <w:rFonts w:ascii="Times New Roman" w:hAnsi="Times New Roman" w:cs="Times New Roman"/>
        </w:rPr>
        <w:t xml:space="preserve"> </w:t>
      </w:r>
    </w:p>
    <w:p w14:paraId="49A246AD" w14:textId="77777777" w:rsidR="00D109E6" w:rsidRDefault="00D109E6" w:rsidP="00D109E6">
      <w:pPr>
        <w:pStyle w:val="Paragraphedeliste"/>
        <w:spacing w:after="0" w:line="360" w:lineRule="auto"/>
        <w:ind w:left="0"/>
        <w:jc w:val="both"/>
        <w:rPr>
          <w:rFonts w:ascii="Times New Roman" w:hAnsi="Times New Roman" w:cs="Times New Roman"/>
        </w:rPr>
      </w:pPr>
    </w:p>
    <w:p w14:paraId="6ACAE64E" w14:textId="71E692B8" w:rsidR="005D67CA" w:rsidRDefault="00195C4F" w:rsidP="00D109E6">
      <w:pPr>
        <w:pStyle w:val="Paragraphedeliste"/>
        <w:spacing w:after="0" w:line="360" w:lineRule="auto"/>
        <w:ind w:left="0"/>
        <w:jc w:val="both"/>
        <w:rPr>
          <w:rFonts w:ascii="Times New Roman" w:hAnsi="Times New Roman" w:cs="Times New Roman"/>
        </w:rPr>
      </w:pPr>
      <w:r w:rsidRPr="00776260">
        <w:rPr>
          <w:rFonts w:ascii="Times New Roman" w:hAnsi="Times New Roman" w:cs="Times New Roman"/>
        </w:rPr>
        <w:t xml:space="preserve">La précision figurant au début de l’article 42, § 3, </w:t>
      </w:r>
      <w:r w:rsidR="003C2885" w:rsidRPr="00776260">
        <w:rPr>
          <w:rFonts w:ascii="Times New Roman" w:hAnsi="Times New Roman" w:cs="Times New Roman"/>
        </w:rPr>
        <w:t>prévoyant que ce dernier s’applique « [s]ans préjudice des règles techniques nationales obligatoires, dans la mesure où elles sont compatibles avec le droit de l’Union »</w:t>
      </w:r>
      <w:r w:rsidR="00B203BF" w:rsidRPr="00776260">
        <w:rPr>
          <w:rFonts w:ascii="Times New Roman" w:hAnsi="Times New Roman" w:cs="Times New Roman"/>
        </w:rPr>
        <w:t xml:space="preserve"> permet de déroger aux méthodes de formulations exhaustives</w:t>
      </w:r>
      <w:r w:rsidR="00A4085D">
        <w:rPr>
          <w:rFonts w:ascii="Times New Roman" w:hAnsi="Times New Roman" w:cs="Times New Roman"/>
        </w:rPr>
        <w:t>,</w:t>
      </w:r>
      <w:r w:rsidR="00B203BF" w:rsidRPr="00776260">
        <w:rPr>
          <w:rFonts w:ascii="Times New Roman" w:hAnsi="Times New Roman" w:cs="Times New Roman"/>
        </w:rPr>
        <w:t xml:space="preserve"> mais </w:t>
      </w:r>
      <w:r w:rsidR="0064779B" w:rsidRPr="00776260">
        <w:rPr>
          <w:rFonts w:ascii="Times New Roman" w:hAnsi="Times New Roman" w:cs="Times New Roman"/>
        </w:rPr>
        <w:t>ne remet pas en question ce caractère exhaustif (point 31 de l’arrêt).</w:t>
      </w:r>
      <w:r w:rsidR="004B2654" w:rsidRPr="00776260">
        <w:rPr>
          <w:rFonts w:ascii="Times New Roman" w:hAnsi="Times New Roman" w:cs="Times New Roman"/>
        </w:rPr>
        <w:t xml:space="preserve"> La Cour juge qu’il en va </w:t>
      </w:r>
      <w:r w:rsidR="004B2654" w:rsidRPr="00776260">
        <w:rPr>
          <w:rFonts w:ascii="Times New Roman" w:hAnsi="Times New Roman" w:cs="Times New Roman"/>
        </w:rPr>
        <w:lastRenderedPageBreak/>
        <w:t xml:space="preserve">de même pour </w:t>
      </w:r>
      <w:r w:rsidR="00BA1BDA" w:rsidRPr="00776260">
        <w:rPr>
          <w:rFonts w:ascii="Times New Roman" w:hAnsi="Times New Roman" w:cs="Times New Roman"/>
        </w:rPr>
        <w:t xml:space="preserve">le cas prévu à l’article 42, § 4, de la directive </w:t>
      </w:r>
      <w:r w:rsidR="009D7E4D" w:rsidRPr="00776260">
        <w:rPr>
          <w:rFonts w:ascii="Times New Roman" w:hAnsi="Times New Roman" w:cs="Times New Roman"/>
        </w:rPr>
        <w:t xml:space="preserve">2014/24 permettant exceptionnellement de faire référence à une fabrication </w:t>
      </w:r>
      <w:r w:rsidR="00803C02" w:rsidRPr="00776260">
        <w:rPr>
          <w:rFonts w:ascii="Times New Roman" w:hAnsi="Times New Roman" w:cs="Times New Roman"/>
        </w:rPr>
        <w:t xml:space="preserve">déterminée ou </w:t>
      </w:r>
      <w:r w:rsidR="00A4085D">
        <w:rPr>
          <w:rFonts w:ascii="Times New Roman" w:hAnsi="Times New Roman" w:cs="Times New Roman"/>
        </w:rPr>
        <w:t xml:space="preserve">à </w:t>
      </w:r>
      <w:r w:rsidR="00803C02" w:rsidRPr="00776260">
        <w:rPr>
          <w:rFonts w:ascii="Times New Roman" w:hAnsi="Times New Roman" w:cs="Times New Roman"/>
        </w:rPr>
        <w:t>autre élément particulier, à savoir les cas « où il n’est pas possible de fou</w:t>
      </w:r>
      <w:r w:rsidR="00C45BE2" w:rsidRPr="00776260">
        <w:rPr>
          <w:rFonts w:ascii="Times New Roman" w:hAnsi="Times New Roman" w:cs="Times New Roman"/>
        </w:rPr>
        <w:t xml:space="preserve">rnir une description suffisamment précise et intelligible de l’objet du marché en application du paragraphe 3 » </w:t>
      </w:r>
      <w:r w:rsidR="00514506" w:rsidRPr="00776260">
        <w:rPr>
          <w:rFonts w:ascii="Times New Roman" w:hAnsi="Times New Roman" w:cs="Times New Roman"/>
        </w:rPr>
        <w:t>ainsi que lorsque la référence est justifiée par l’objet du marché</w:t>
      </w:r>
      <w:r w:rsidR="00C45BE2" w:rsidRPr="00776260">
        <w:rPr>
          <w:rFonts w:ascii="Times New Roman" w:hAnsi="Times New Roman" w:cs="Times New Roman"/>
        </w:rPr>
        <w:t>.</w:t>
      </w:r>
      <w:r w:rsidR="00931642" w:rsidRPr="00776260">
        <w:rPr>
          <w:rFonts w:ascii="Times New Roman" w:hAnsi="Times New Roman" w:cs="Times New Roman"/>
        </w:rPr>
        <w:t xml:space="preserve"> Ces cas de figure constituent aussi une dérogation </w:t>
      </w:r>
      <w:r w:rsidR="00270C64" w:rsidRPr="00776260">
        <w:rPr>
          <w:rFonts w:ascii="Times New Roman" w:hAnsi="Times New Roman" w:cs="Times New Roman"/>
        </w:rPr>
        <w:t xml:space="preserve">« à l’applicabilité exclusive des méthodes de formulation des spécifications techniques énumérées </w:t>
      </w:r>
      <w:r w:rsidR="00C93DDE" w:rsidRPr="00776260">
        <w:rPr>
          <w:rFonts w:ascii="Times New Roman" w:hAnsi="Times New Roman" w:cs="Times New Roman"/>
        </w:rPr>
        <w:t>à l’article 42, paragraphe 3, de ladite directive » (point 35 de l’arrêt).</w:t>
      </w:r>
    </w:p>
    <w:p w14:paraId="3A49AE29" w14:textId="77777777" w:rsidR="00D109E6" w:rsidRDefault="00D109E6" w:rsidP="00D109E6">
      <w:pPr>
        <w:pStyle w:val="Paragraphedeliste"/>
        <w:spacing w:after="0" w:line="360" w:lineRule="auto"/>
        <w:ind w:left="0"/>
        <w:jc w:val="both"/>
        <w:rPr>
          <w:rFonts w:ascii="Times New Roman" w:hAnsi="Times New Roman" w:cs="Times New Roman"/>
        </w:rPr>
      </w:pPr>
    </w:p>
    <w:p w14:paraId="332329E7" w14:textId="3C9E04BB" w:rsidR="00D109E6" w:rsidRDefault="00EB6682" w:rsidP="00D109E6">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La conclusion à laquelle parvient la Cour n’est pas surprenante. </w:t>
      </w:r>
      <w:r w:rsidR="000E2ACB">
        <w:rPr>
          <w:rFonts w:ascii="Times New Roman" w:hAnsi="Times New Roman" w:cs="Times New Roman"/>
        </w:rPr>
        <w:t xml:space="preserve">Elle </w:t>
      </w:r>
      <w:r w:rsidR="005748CA">
        <w:rPr>
          <w:rFonts w:ascii="Times New Roman" w:hAnsi="Times New Roman" w:cs="Times New Roman"/>
        </w:rPr>
        <w:t xml:space="preserve">ressortait </w:t>
      </w:r>
      <w:r w:rsidR="000E2ACB">
        <w:rPr>
          <w:rFonts w:ascii="Times New Roman" w:hAnsi="Times New Roman" w:cs="Times New Roman"/>
        </w:rPr>
        <w:t xml:space="preserve">selon nous déjà de l’arrêt </w:t>
      </w:r>
      <w:r w:rsidR="000E2ACB">
        <w:rPr>
          <w:rFonts w:ascii="Times New Roman" w:hAnsi="Times New Roman" w:cs="Times New Roman"/>
          <w:i/>
          <w:iCs/>
        </w:rPr>
        <w:t>Roche Lietuva</w:t>
      </w:r>
      <w:r w:rsidR="00D92A1F" w:rsidRPr="00D92A1F">
        <w:rPr>
          <w:rStyle w:val="Appelnotedebasdep"/>
          <w:rFonts w:ascii="Times New Roman" w:hAnsi="Times New Roman" w:cs="Times New Roman"/>
        </w:rPr>
        <w:footnoteReference w:id="35"/>
      </w:r>
      <w:r w:rsidR="000E2ACB">
        <w:rPr>
          <w:rFonts w:ascii="Times New Roman" w:hAnsi="Times New Roman" w:cs="Times New Roman"/>
        </w:rPr>
        <w:t xml:space="preserve"> (cf. </w:t>
      </w:r>
      <w:r w:rsidR="000D6EB2">
        <w:rPr>
          <w:rFonts w:ascii="Times New Roman" w:hAnsi="Times New Roman" w:cs="Times New Roman"/>
        </w:rPr>
        <w:t>§ 1</w:t>
      </w:r>
      <w:r w:rsidR="00035A22">
        <w:rPr>
          <w:rFonts w:ascii="Times New Roman" w:hAnsi="Times New Roman" w:cs="Times New Roman"/>
        </w:rPr>
        <w:t xml:space="preserve">6 </w:t>
      </w:r>
      <w:r w:rsidR="00035A22">
        <w:rPr>
          <w:rFonts w:ascii="Times New Roman" w:hAnsi="Times New Roman" w:cs="Times New Roman"/>
          <w:i/>
          <w:iCs/>
        </w:rPr>
        <w:t>supra</w:t>
      </w:r>
      <w:r w:rsidR="00287DF0">
        <w:rPr>
          <w:rFonts w:ascii="Times New Roman" w:hAnsi="Times New Roman" w:cs="Times New Roman"/>
        </w:rPr>
        <w:t>)</w:t>
      </w:r>
      <w:r w:rsidR="00D92A1F">
        <w:rPr>
          <w:rFonts w:ascii="Times New Roman" w:hAnsi="Times New Roman" w:cs="Times New Roman"/>
        </w:rPr>
        <w:t>. La doctrine</w:t>
      </w:r>
      <w:r w:rsidR="00075721">
        <w:rPr>
          <w:rFonts w:ascii="Times New Roman" w:hAnsi="Times New Roman" w:cs="Times New Roman"/>
        </w:rPr>
        <w:t xml:space="preserve"> </w:t>
      </w:r>
      <w:r w:rsidR="00123CD6">
        <w:rPr>
          <w:rFonts w:ascii="Times New Roman" w:hAnsi="Times New Roman" w:cs="Times New Roman"/>
        </w:rPr>
        <w:t>exposait également qu’il existait quatre méthodes de formulation</w:t>
      </w:r>
      <w:r w:rsidR="002E4657">
        <w:rPr>
          <w:rFonts w:ascii="Times New Roman" w:hAnsi="Times New Roman" w:cs="Times New Roman"/>
        </w:rPr>
        <w:t xml:space="preserve">, sans émettre la possibilité que d’autres </w:t>
      </w:r>
      <w:r w:rsidR="00E312BD">
        <w:rPr>
          <w:rFonts w:ascii="Times New Roman" w:hAnsi="Times New Roman" w:cs="Times New Roman"/>
        </w:rPr>
        <w:t>méthodes puissent s’appliquer</w:t>
      </w:r>
      <w:r w:rsidR="00075721">
        <w:rPr>
          <w:rStyle w:val="Appelnotedebasdep"/>
          <w:rFonts w:ascii="Times New Roman" w:hAnsi="Times New Roman" w:cs="Times New Roman"/>
        </w:rPr>
        <w:footnoteReference w:id="36"/>
      </w:r>
      <w:r w:rsidR="00E312BD">
        <w:rPr>
          <w:rFonts w:ascii="Times New Roman" w:hAnsi="Times New Roman" w:cs="Times New Roman"/>
        </w:rPr>
        <w:t>.</w:t>
      </w:r>
    </w:p>
    <w:p w14:paraId="292B7648" w14:textId="77777777" w:rsidR="001551C1" w:rsidRPr="00776260" w:rsidRDefault="001551C1" w:rsidP="001551C1">
      <w:pPr>
        <w:pStyle w:val="Paragraphedeliste"/>
        <w:spacing w:after="0" w:line="360" w:lineRule="auto"/>
        <w:ind w:left="0"/>
        <w:jc w:val="both"/>
        <w:rPr>
          <w:rFonts w:ascii="Times New Roman" w:hAnsi="Times New Roman" w:cs="Times New Roman"/>
        </w:rPr>
      </w:pPr>
    </w:p>
    <w:p w14:paraId="422551E5" w14:textId="74D7121C" w:rsidR="00D109E6" w:rsidRDefault="008617CF" w:rsidP="00D109E6">
      <w:pPr>
        <w:pStyle w:val="Titre3"/>
        <w:numPr>
          <w:ilvl w:val="0"/>
          <w:numId w:val="6"/>
        </w:numPr>
        <w:rPr>
          <w:rFonts w:ascii="Times New Roman" w:hAnsi="Times New Roman" w:cs="Times New Roman"/>
          <w:color w:val="auto"/>
          <w:sz w:val="24"/>
          <w:szCs w:val="24"/>
        </w:rPr>
      </w:pPr>
      <w:r>
        <w:rPr>
          <w:rFonts w:ascii="Times New Roman" w:hAnsi="Times New Roman" w:cs="Times New Roman"/>
          <w:color w:val="auto"/>
          <w:sz w:val="24"/>
          <w:szCs w:val="24"/>
        </w:rPr>
        <w:t>Propension à</w:t>
      </w:r>
      <w:r w:rsidR="00D109E6" w:rsidRPr="00484F65">
        <w:rPr>
          <w:rFonts w:ascii="Times New Roman" w:hAnsi="Times New Roman" w:cs="Times New Roman"/>
          <w:color w:val="auto"/>
          <w:sz w:val="24"/>
          <w:szCs w:val="24"/>
        </w:rPr>
        <w:t xml:space="preserve"> la formulation fonctionnelle </w:t>
      </w:r>
    </w:p>
    <w:p w14:paraId="20EDBDAD" w14:textId="77777777" w:rsidR="00EC74B1" w:rsidRDefault="00EC74B1" w:rsidP="00EC74B1"/>
    <w:p w14:paraId="54181160" w14:textId="77777777" w:rsidR="000D6EB2" w:rsidRDefault="00AE405D" w:rsidP="00603558">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Dans le cadre de son analyse des deuxième et troisième questions, l</w:t>
      </w:r>
      <w:r w:rsidR="00216F0E" w:rsidRPr="00AE405D">
        <w:rPr>
          <w:rFonts w:ascii="Times New Roman" w:hAnsi="Times New Roman" w:cs="Times New Roman"/>
        </w:rPr>
        <w:t>a C</w:t>
      </w:r>
      <w:r>
        <w:rPr>
          <w:rFonts w:ascii="Times New Roman" w:hAnsi="Times New Roman" w:cs="Times New Roman"/>
        </w:rPr>
        <w:t>JUE</w:t>
      </w:r>
      <w:r w:rsidR="00216F0E" w:rsidRPr="00AE405D">
        <w:rPr>
          <w:rFonts w:ascii="Times New Roman" w:hAnsi="Times New Roman" w:cs="Times New Roman"/>
        </w:rPr>
        <w:t xml:space="preserve"> rappelle que, bien que les pouvoirs adjudicateurs jouissent d’une large marge d’appréciation pour déterminer les spécifications techniques de leur marché, celle-ci n’est pas sans limite. </w:t>
      </w:r>
    </w:p>
    <w:p w14:paraId="7BC0281F" w14:textId="77777777" w:rsidR="000D6EB2" w:rsidRDefault="000D6EB2" w:rsidP="000D6EB2">
      <w:pPr>
        <w:pStyle w:val="Paragraphedeliste"/>
        <w:spacing w:after="0" w:line="360" w:lineRule="auto"/>
        <w:ind w:left="0"/>
        <w:jc w:val="both"/>
        <w:rPr>
          <w:rFonts w:ascii="Times New Roman" w:hAnsi="Times New Roman" w:cs="Times New Roman"/>
        </w:rPr>
      </w:pPr>
    </w:p>
    <w:p w14:paraId="6BC3BEB3" w14:textId="71828D82" w:rsidR="000D6EB2" w:rsidRDefault="00216F0E" w:rsidP="000D6EB2">
      <w:pPr>
        <w:pStyle w:val="Paragraphedeliste"/>
        <w:spacing w:after="0" w:line="360" w:lineRule="auto"/>
        <w:ind w:left="0"/>
        <w:jc w:val="both"/>
        <w:rPr>
          <w:rFonts w:ascii="Times New Roman" w:hAnsi="Times New Roman" w:cs="Times New Roman"/>
        </w:rPr>
      </w:pPr>
      <w:r w:rsidRPr="00603558">
        <w:rPr>
          <w:rFonts w:ascii="Times New Roman" w:hAnsi="Times New Roman" w:cs="Times New Roman"/>
        </w:rPr>
        <w:t xml:space="preserve">Conformément à l’article 42, § 2, combiné à l’article 18, § 1, de la directive 2014/24, les spécifications techniques doivent donner « aux opérateurs économiques une égalité d’accès aux procédures de passation de marchés » et ne doivent pas avoir « pour effet de créer des obstacles injustifiés à l’ouverture des marchés publics à la concurrence » (point 42 de l’arrêt). </w:t>
      </w:r>
    </w:p>
    <w:p w14:paraId="42BEAACD" w14:textId="77777777" w:rsidR="000D6EB2" w:rsidRDefault="000D6EB2" w:rsidP="000D6EB2">
      <w:pPr>
        <w:pStyle w:val="Paragraphedeliste"/>
        <w:spacing w:after="0" w:line="360" w:lineRule="auto"/>
        <w:ind w:left="0"/>
        <w:jc w:val="both"/>
        <w:rPr>
          <w:rFonts w:ascii="Times New Roman" w:hAnsi="Times New Roman" w:cs="Times New Roman"/>
        </w:rPr>
      </w:pPr>
    </w:p>
    <w:p w14:paraId="19A9EB40" w14:textId="4F77D1F6" w:rsidR="00216F0E" w:rsidRDefault="00216F0E" w:rsidP="000D6EB2">
      <w:pPr>
        <w:pStyle w:val="Paragraphedeliste"/>
        <w:spacing w:after="0" w:line="360" w:lineRule="auto"/>
        <w:ind w:left="0"/>
        <w:jc w:val="both"/>
        <w:rPr>
          <w:rFonts w:ascii="Times New Roman" w:hAnsi="Times New Roman" w:cs="Times New Roman"/>
        </w:rPr>
      </w:pPr>
      <w:r w:rsidRPr="00603558">
        <w:rPr>
          <w:rFonts w:ascii="Times New Roman" w:hAnsi="Times New Roman" w:cs="Times New Roman"/>
        </w:rPr>
        <w:t xml:space="preserve">La Cour fait également référence au considérant 74 suivant lequel les spécifications techniques doivent « permettre que soient présentées des offres qui reflètent notamment la diversité des solutions techniques existant sur le marché » et « que la formulation de spécifications </w:t>
      </w:r>
      <w:r w:rsidRPr="00603558">
        <w:rPr>
          <w:rFonts w:ascii="Times New Roman" w:hAnsi="Times New Roman" w:cs="Times New Roman"/>
        </w:rPr>
        <w:lastRenderedPageBreak/>
        <w:t>techniques en termes de performances et d’exigences fonctionnelles permet généralement d’atteindre au mieux l’objectif d’ouverture à la concurrence et que, partant, cette méthode de formulation, qui promeut l’innovation dans la passation des marchés publics, devrait être utilisée aussi largement que possible » (points 43 et 44 de l’arrêt). La Cour constate à cet égard que la formulation fonctionnelle des spécifications techniques permet aux opérateurs économiques « de soumissionner, indépendamment, notamment du procédé suivi dans la fabrication de ses produits et du matériau dont celui-ci sont constitués » (point 45 de l’arrêt). Quant à la deuxième méthode de formulation, l’ouverture à la concurrence est garantie par l’obligation d’accompagner la spécification technique de la mention « ou équivalent » (point 46 de l’arrêt).</w:t>
      </w:r>
    </w:p>
    <w:p w14:paraId="0138E2FE" w14:textId="77777777" w:rsidR="00A93B81" w:rsidRPr="00603558" w:rsidRDefault="00A93B81" w:rsidP="00A93B81">
      <w:pPr>
        <w:pStyle w:val="Paragraphedeliste"/>
        <w:spacing w:after="0" w:line="360" w:lineRule="auto"/>
        <w:ind w:left="0"/>
        <w:jc w:val="both"/>
        <w:rPr>
          <w:rFonts w:ascii="Times New Roman" w:hAnsi="Times New Roman" w:cs="Times New Roman"/>
        </w:rPr>
      </w:pPr>
    </w:p>
    <w:p w14:paraId="15AAB821" w14:textId="01B56797" w:rsidR="00A93B81" w:rsidRDefault="00A93B81" w:rsidP="005A163F">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La doctrine constate que depuis les directives de 2004</w:t>
      </w:r>
      <w:r>
        <w:rPr>
          <w:rStyle w:val="Appelnotedebasdep"/>
          <w:rFonts w:ascii="Times New Roman" w:hAnsi="Times New Roman" w:cs="Times New Roman"/>
        </w:rPr>
        <w:footnoteReference w:id="37"/>
      </w:r>
      <w:r>
        <w:rPr>
          <w:rFonts w:ascii="Times New Roman" w:hAnsi="Times New Roman" w:cs="Times New Roman"/>
        </w:rPr>
        <w:t xml:space="preserve"> le législateur européen favorise la formulation des spécifications techniques en termes de performances et d’exigences fonctionnelles, à l’inverse du « principe de la prééminence de la normalisation » des précédentes directives</w:t>
      </w:r>
      <w:r>
        <w:rPr>
          <w:rStyle w:val="Appelnotedebasdep"/>
          <w:rFonts w:ascii="Times New Roman" w:hAnsi="Times New Roman" w:cs="Times New Roman"/>
        </w:rPr>
        <w:footnoteReference w:id="38"/>
      </w:r>
      <w:r>
        <w:rPr>
          <w:rFonts w:ascii="Times New Roman" w:hAnsi="Times New Roman" w:cs="Times New Roman"/>
        </w:rPr>
        <w:t>. Ceci ressortirait aussi de la circonstance que, même si le pouvoir adjudicateur peut faire référence à des spécifications techniques, cette référence devrait tout de même être accompagnée de la mention « ou équivalent ». Ceci ne vaut pas s’il est fait référence à des performances ou des exigences fonctionnelles, car elles permettraient une description plus large favorisant la concurrence</w:t>
      </w:r>
      <w:r>
        <w:rPr>
          <w:rStyle w:val="Appelnotedebasdep"/>
          <w:rFonts w:ascii="Times New Roman" w:hAnsi="Times New Roman" w:cs="Times New Roman"/>
        </w:rPr>
        <w:footnoteReference w:id="39"/>
      </w:r>
      <w:r>
        <w:rPr>
          <w:rFonts w:ascii="Times New Roman" w:hAnsi="Times New Roman" w:cs="Times New Roman"/>
        </w:rPr>
        <w:t>. Ce faisant une « approche fonctionnelle des spécifications techniques » est privilégiée, se concentrant sur « la fonction ou l’usage auxquels les travaux, les matériaux, les produits ou les services qui font l’objet du marché sont destinés »</w:t>
      </w:r>
      <w:r>
        <w:rPr>
          <w:rStyle w:val="Appelnotedebasdep"/>
          <w:rFonts w:ascii="Times New Roman" w:hAnsi="Times New Roman" w:cs="Times New Roman"/>
        </w:rPr>
        <w:footnoteReference w:id="40"/>
      </w:r>
      <w:r>
        <w:rPr>
          <w:rFonts w:ascii="Times New Roman" w:hAnsi="Times New Roman" w:cs="Times New Roman"/>
        </w:rPr>
        <w:t>.</w:t>
      </w:r>
      <w:r w:rsidR="00A12D66">
        <w:rPr>
          <w:rFonts w:ascii="Times New Roman" w:hAnsi="Times New Roman" w:cs="Times New Roman"/>
        </w:rPr>
        <w:t xml:space="preserve">  </w:t>
      </w:r>
    </w:p>
    <w:p w14:paraId="75F6BFCA" w14:textId="77777777" w:rsidR="00A12D66" w:rsidRDefault="00A12D66" w:rsidP="00F82355">
      <w:pPr>
        <w:pStyle w:val="Paragraphedeliste"/>
        <w:spacing w:after="0" w:line="360" w:lineRule="auto"/>
        <w:ind w:left="0"/>
        <w:jc w:val="both"/>
        <w:rPr>
          <w:rFonts w:ascii="Times New Roman" w:hAnsi="Times New Roman" w:cs="Times New Roman"/>
        </w:rPr>
      </w:pPr>
    </w:p>
    <w:p w14:paraId="2506C713" w14:textId="03A80628" w:rsidR="00A12D66" w:rsidRDefault="00A12D66" w:rsidP="005A163F">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L’importance accordée aux principes de concurrence et d’égalité et de non</w:t>
      </w:r>
      <w:r w:rsidR="00041357">
        <w:rPr>
          <w:rFonts w:ascii="Times New Roman" w:hAnsi="Times New Roman" w:cs="Times New Roman"/>
        </w:rPr>
        <w:t>-discrimination est ainsi à nouveau rappelée. Ceci ressort également de la réponse de la Cour à la quatrième question</w:t>
      </w:r>
      <w:r w:rsidR="002A049C">
        <w:rPr>
          <w:rFonts w:ascii="Times New Roman" w:hAnsi="Times New Roman" w:cs="Times New Roman"/>
        </w:rPr>
        <w:t xml:space="preserve"> préjudicielle.  </w:t>
      </w:r>
      <w:r w:rsidR="00BB03EE">
        <w:rPr>
          <w:rFonts w:ascii="Times New Roman" w:hAnsi="Times New Roman" w:cs="Times New Roman"/>
        </w:rPr>
        <w:t xml:space="preserve">La Cour y confirme que </w:t>
      </w:r>
      <w:r w:rsidR="00921F95">
        <w:rPr>
          <w:rFonts w:ascii="Times New Roman" w:hAnsi="Times New Roman" w:cs="Times New Roman"/>
        </w:rPr>
        <w:t>l’article 42, § 2, de la directive 2014/24</w:t>
      </w:r>
      <w:r w:rsidR="00FF7ED3">
        <w:rPr>
          <w:rFonts w:ascii="Times New Roman" w:hAnsi="Times New Roman" w:cs="Times New Roman"/>
        </w:rPr>
        <w:t>, qui</w:t>
      </w:r>
      <w:r w:rsidR="00921F95">
        <w:rPr>
          <w:rFonts w:ascii="Times New Roman" w:hAnsi="Times New Roman" w:cs="Times New Roman"/>
        </w:rPr>
        <w:t xml:space="preserve"> rappelle les obligations d’égalité et de concurrence énoncées à l’article 18, § 1</w:t>
      </w:r>
      <w:r w:rsidR="00033B69">
        <w:rPr>
          <w:rFonts w:ascii="Times New Roman" w:hAnsi="Times New Roman" w:cs="Times New Roman"/>
        </w:rPr>
        <w:t xml:space="preserve">, de cette </w:t>
      </w:r>
      <w:r w:rsidR="00033B69">
        <w:rPr>
          <w:rFonts w:ascii="Times New Roman" w:hAnsi="Times New Roman" w:cs="Times New Roman"/>
        </w:rPr>
        <w:lastRenderedPageBreak/>
        <w:t>directive</w:t>
      </w:r>
      <w:r w:rsidR="00FF7ED3">
        <w:rPr>
          <w:rFonts w:ascii="Times New Roman" w:hAnsi="Times New Roman" w:cs="Times New Roman"/>
        </w:rPr>
        <w:t>, est concrétisé par les paragraphes 3 et 4 de cet article 42.</w:t>
      </w:r>
      <w:r w:rsidR="00FB3539">
        <w:rPr>
          <w:rFonts w:ascii="Times New Roman" w:hAnsi="Times New Roman" w:cs="Times New Roman"/>
        </w:rPr>
        <w:t xml:space="preserve"> Partant, lorsqu</w:t>
      </w:r>
      <w:r w:rsidR="00FA466B">
        <w:rPr>
          <w:rFonts w:ascii="Times New Roman" w:hAnsi="Times New Roman" w:cs="Times New Roman"/>
        </w:rPr>
        <w:t xml:space="preserve">e des entreprises ou produits sont exclus en raison d’une spécification technique </w:t>
      </w:r>
      <w:r w:rsidR="008A5518">
        <w:rPr>
          <w:rFonts w:ascii="Times New Roman" w:hAnsi="Times New Roman" w:cs="Times New Roman"/>
        </w:rPr>
        <w:t>contraire à l’article 42, paragraphe</w:t>
      </w:r>
      <w:r w:rsidR="00BE4CA8">
        <w:rPr>
          <w:rFonts w:ascii="Times New Roman" w:hAnsi="Times New Roman" w:cs="Times New Roman"/>
        </w:rPr>
        <w:t>s</w:t>
      </w:r>
      <w:r w:rsidR="008A5518">
        <w:rPr>
          <w:rFonts w:ascii="Times New Roman" w:hAnsi="Times New Roman" w:cs="Times New Roman"/>
        </w:rPr>
        <w:t xml:space="preserve"> 3 et 4, </w:t>
      </w:r>
      <w:r w:rsidR="003D441F">
        <w:rPr>
          <w:rFonts w:ascii="Times New Roman" w:hAnsi="Times New Roman" w:cs="Times New Roman"/>
        </w:rPr>
        <w:t>« cette exclusion porte nécessairement atteinte à l’obligation énoncée au paragraphe 2 de cet article 42, de veiller à ce que les spécifications techniques donnent un accès égal à la procédure de passation et ne limitent pas indûment la concurrence » (point 66 de l’arrêt).</w:t>
      </w:r>
    </w:p>
    <w:p w14:paraId="5ECE6779" w14:textId="77777777" w:rsidR="00605202" w:rsidRPr="00EC74B1" w:rsidRDefault="00605202" w:rsidP="00EC74B1"/>
    <w:p w14:paraId="2CC38D18" w14:textId="3F2568A1" w:rsidR="00D109E6" w:rsidRDefault="00D109E6" w:rsidP="00D109E6">
      <w:pPr>
        <w:pStyle w:val="Titre3"/>
        <w:numPr>
          <w:ilvl w:val="0"/>
          <w:numId w:val="6"/>
        </w:numPr>
        <w:rPr>
          <w:rFonts w:ascii="Times New Roman" w:hAnsi="Times New Roman" w:cs="Times New Roman"/>
          <w:color w:val="auto"/>
          <w:sz w:val="24"/>
          <w:szCs w:val="24"/>
        </w:rPr>
      </w:pPr>
      <w:r w:rsidRPr="00484F65">
        <w:rPr>
          <w:rFonts w:ascii="Times New Roman" w:hAnsi="Times New Roman" w:cs="Times New Roman"/>
          <w:color w:val="auto"/>
          <w:sz w:val="24"/>
          <w:szCs w:val="24"/>
        </w:rPr>
        <w:t>L</w:t>
      </w:r>
      <w:r w:rsidR="0060583D">
        <w:rPr>
          <w:rFonts w:ascii="Times New Roman" w:hAnsi="Times New Roman" w:cs="Times New Roman"/>
          <w:color w:val="auto"/>
          <w:sz w:val="24"/>
          <w:szCs w:val="24"/>
        </w:rPr>
        <w:t>’interdiction d</w:t>
      </w:r>
      <w:r w:rsidR="00E1439F">
        <w:rPr>
          <w:rFonts w:ascii="Times New Roman" w:hAnsi="Times New Roman" w:cs="Times New Roman"/>
          <w:color w:val="auto"/>
          <w:sz w:val="24"/>
          <w:szCs w:val="24"/>
        </w:rPr>
        <w:t>’une</w:t>
      </w:r>
      <w:r w:rsidRPr="00484F65">
        <w:rPr>
          <w:rFonts w:ascii="Times New Roman" w:hAnsi="Times New Roman" w:cs="Times New Roman"/>
          <w:color w:val="auto"/>
          <w:sz w:val="24"/>
          <w:szCs w:val="24"/>
        </w:rPr>
        <w:t xml:space="preserve"> référence à un type ou à une production déterminée </w:t>
      </w:r>
    </w:p>
    <w:p w14:paraId="75DC388C" w14:textId="77777777" w:rsidR="005F0F73" w:rsidRDefault="005F0F73" w:rsidP="00A001F3">
      <w:pPr>
        <w:pStyle w:val="Paragraphedeliste"/>
        <w:spacing w:after="0" w:line="360" w:lineRule="auto"/>
        <w:ind w:left="0"/>
        <w:jc w:val="both"/>
        <w:rPr>
          <w:rFonts w:ascii="Times New Roman" w:hAnsi="Times New Roman" w:cs="Times New Roman"/>
        </w:rPr>
      </w:pPr>
    </w:p>
    <w:p w14:paraId="7C3972C9" w14:textId="3F2C7233" w:rsidR="007F142B" w:rsidRDefault="007F142B" w:rsidP="00A001F3">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En ce qui concerne </w:t>
      </w:r>
      <w:r w:rsidR="00972C9D" w:rsidRPr="007F142B">
        <w:rPr>
          <w:rFonts w:ascii="Times New Roman" w:hAnsi="Times New Roman" w:cs="Times New Roman"/>
        </w:rPr>
        <w:t>l’interdiction de</w:t>
      </w:r>
      <w:r w:rsidR="002B403A">
        <w:rPr>
          <w:rFonts w:ascii="Times New Roman" w:hAnsi="Times New Roman" w:cs="Times New Roman"/>
        </w:rPr>
        <w:t xml:space="preserve"> faire</w:t>
      </w:r>
      <w:r w:rsidR="00972C9D" w:rsidRPr="007F142B">
        <w:rPr>
          <w:rFonts w:ascii="Times New Roman" w:hAnsi="Times New Roman" w:cs="Times New Roman"/>
        </w:rPr>
        <w:t xml:space="preserve"> référence à une fabrication déterminée ou à un autre élément particulier visé à l’article 42, § 4, de la directive 2014/24, la Cour constate que ces références ont pour effet de restreindre la concurrence (point 49 de l’arrêt). </w:t>
      </w:r>
    </w:p>
    <w:p w14:paraId="6156192D" w14:textId="77777777" w:rsidR="007F142B" w:rsidRDefault="007F142B" w:rsidP="007F142B">
      <w:pPr>
        <w:pStyle w:val="Paragraphedeliste"/>
        <w:spacing w:after="0" w:line="360" w:lineRule="auto"/>
        <w:ind w:left="0"/>
        <w:jc w:val="both"/>
        <w:rPr>
          <w:rFonts w:ascii="Times New Roman" w:hAnsi="Times New Roman" w:cs="Times New Roman"/>
        </w:rPr>
      </w:pPr>
    </w:p>
    <w:p w14:paraId="77BE8B1F" w14:textId="29DD5571" w:rsidR="002D73C2" w:rsidRPr="007F142B" w:rsidRDefault="007F142B" w:rsidP="007F142B">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S’agissant plus précisément </w:t>
      </w:r>
      <w:r w:rsidRPr="000429FE">
        <w:rPr>
          <w:rFonts w:ascii="Times New Roman" w:hAnsi="Times New Roman" w:cs="Times New Roman"/>
        </w:rPr>
        <w:t xml:space="preserve">du cas d’espèce, et donc </w:t>
      </w:r>
      <w:r>
        <w:rPr>
          <w:rFonts w:ascii="Times New Roman" w:hAnsi="Times New Roman" w:cs="Times New Roman"/>
        </w:rPr>
        <w:t xml:space="preserve">de </w:t>
      </w:r>
      <w:r w:rsidRPr="000429FE">
        <w:rPr>
          <w:rFonts w:ascii="Times New Roman" w:hAnsi="Times New Roman" w:cs="Times New Roman"/>
        </w:rPr>
        <w:t>l’exigence de l’utilisation de tuyaux en grès et en béton</w:t>
      </w:r>
      <w:r>
        <w:rPr>
          <w:rFonts w:ascii="Times New Roman" w:hAnsi="Times New Roman" w:cs="Times New Roman"/>
        </w:rPr>
        <w:t>, l</w:t>
      </w:r>
      <w:r w:rsidR="00987784" w:rsidRPr="007F142B">
        <w:rPr>
          <w:rFonts w:ascii="Times New Roman" w:hAnsi="Times New Roman" w:cs="Times New Roman"/>
        </w:rPr>
        <w:t>a Cour indique dans un premier temps qu</w:t>
      </w:r>
      <w:r w:rsidR="00A47660" w:rsidRPr="007F142B">
        <w:rPr>
          <w:rFonts w:ascii="Times New Roman" w:hAnsi="Times New Roman" w:cs="Times New Roman"/>
        </w:rPr>
        <w:t xml:space="preserve">e « le matériau dont un produit est constitué </w:t>
      </w:r>
      <w:r w:rsidR="003F2D4E" w:rsidRPr="007F142B">
        <w:rPr>
          <w:rFonts w:ascii="Times New Roman" w:hAnsi="Times New Roman" w:cs="Times New Roman"/>
        </w:rPr>
        <w:t>ne saurait être qualifié de ‘performance’ ou d’‘exigence fonctionnelle’ »</w:t>
      </w:r>
      <w:r w:rsidR="00095D2C" w:rsidRPr="007F142B">
        <w:rPr>
          <w:rFonts w:ascii="Times New Roman" w:hAnsi="Times New Roman" w:cs="Times New Roman"/>
        </w:rPr>
        <w:t>. Ce matériau peut au contraire contribuer à cette performance ou l’aptitude de ce produit à remplir une telle exigence fonctionnelle (point 56 de l’arrêt).</w:t>
      </w:r>
      <w:r w:rsidR="00CE7938" w:rsidRPr="007F142B">
        <w:rPr>
          <w:rFonts w:ascii="Times New Roman" w:hAnsi="Times New Roman" w:cs="Times New Roman"/>
        </w:rPr>
        <w:t xml:space="preserve"> La Cour considère </w:t>
      </w:r>
      <w:r w:rsidR="00D730F2">
        <w:rPr>
          <w:rFonts w:ascii="Times New Roman" w:hAnsi="Times New Roman" w:cs="Times New Roman"/>
        </w:rPr>
        <w:t>ensuite que</w:t>
      </w:r>
      <w:r w:rsidR="00CE7938" w:rsidRPr="007F142B">
        <w:rPr>
          <w:rFonts w:ascii="Times New Roman" w:hAnsi="Times New Roman" w:cs="Times New Roman"/>
        </w:rPr>
        <w:t xml:space="preserve"> </w:t>
      </w:r>
      <w:r w:rsidR="00241A59" w:rsidRPr="007F142B">
        <w:rPr>
          <w:rFonts w:ascii="Times New Roman" w:hAnsi="Times New Roman" w:cs="Times New Roman"/>
        </w:rPr>
        <w:t xml:space="preserve">dans le secteur économique concerné, </w:t>
      </w:r>
      <w:r w:rsidR="006C4FA1" w:rsidRPr="007F142B">
        <w:rPr>
          <w:rFonts w:ascii="Times New Roman" w:hAnsi="Times New Roman" w:cs="Times New Roman"/>
        </w:rPr>
        <w:t>des produits sont différenciables suivant leur fabrication et p</w:t>
      </w:r>
      <w:r w:rsidR="00242EA5" w:rsidRPr="007F142B">
        <w:rPr>
          <w:rFonts w:ascii="Times New Roman" w:hAnsi="Times New Roman" w:cs="Times New Roman"/>
        </w:rPr>
        <w:t xml:space="preserve">articulièrement leur matériau, et qu’ainsi, </w:t>
      </w:r>
      <w:r w:rsidR="00AA58E6" w:rsidRPr="007F142B">
        <w:rPr>
          <w:rFonts w:ascii="Times New Roman" w:hAnsi="Times New Roman" w:cs="Times New Roman"/>
        </w:rPr>
        <w:t xml:space="preserve">la référence à un matériau particulier </w:t>
      </w:r>
      <w:r w:rsidR="008937A4" w:rsidRPr="007F142B">
        <w:rPr>
          <w:rFonts w:ascii="Times New Roman" w:hAnsi="Times New Roman" w:cs="Times New Roman"/>
        </w:rPr>
        <w:t xml:space="preserve">constitue une référence à un « type » ou à une « production déterminée » ayant « pour effet de favoriser ou d’éliminer </w:t>
      </w:r>
      <w:r w:rsidR="00685147" w:rsidRPr="007F142B">
        <w:rPr>
          <w:rFonts w:ascii="Times New Roman" w:hAnsi="Times New Roman" w:cs="Times New Roman"/>
        </w:rPr>
        <w:t>certaines entreprises ou certains produits » (point 57 de l’arrêt).</w:t>
      </w:r>
      <w:r w:rsidR="00333ABF" w:rsidRPr="007F142B">
        <w:rPr>
          <w:rFonts w:ascii="Times New Roman" w:hAnsi="Times New Roman" w:cs="Times New Roman"/>
        </w:rPr>
        <w:t xml:space="preserve"> </w:t>
      </w:r>
    </w:p>
    <w:p w14:paraId="39816781" w14:textId="77777777" w:rsidR="00D14D0A" w:rsidRDefault="00D14D0A" w:rsidP="00A001F3">
      <w:pPr>
        <w:pStyle w:val="Paragraphedeliste"/>
        <w:spacing w:after="0" w:line="360" w:lineRule="auto"/>
        <w:ind w:left="0"/>
        <w:jc w:val="both"/>
        <w:rPr>
          <w:rFonts w:ascii="Times New Roman" w:hAnsi="Times New Roman" w:cs="Times New Roman"/>
        </w:rPr>
      </w:pPr>
    </w:p>
    <w:p w14:paraId="0570AA4E" w14:textId="44887E85" w:rsidR="006D73CE" w:rsidRDefault="00D14D0A" w:rsidP="00A07298">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Contrairement à l’</w:t>
      </w:r>
      <w:r w:rsidR="00C57DBD">
        <w:rPr>
          <w:rFonts w:ascii="Times New Roman" w:hAnsi="Times New Roman" w:cs="Times New Roman"/>
        </w:rPr>
        <w:t>Avocat général</w:t>
      </w:r>
      <w:r w:rsidR="00FE0F7C">
        <w:rPr>
          <w:rFonts w:ascii="Times New Roman" w:hAnsi="Times New Roman" w:cs="Times New Roman"/>
        </w:rPr>
        <w:t xml:space="preserve"> </w:t>
      </w:r>
      <w:r w:rsidR="000C328E">
        <w:rPr>
          <w:rFonts w:ascii="Times New Roman" w:hAnsi="Times New Roman" w:cs="Times New Roman"/>
        </w:rPr>
        <w:t>M. MANUEL CAMPOS SÁNCHES-BORDONA</w:t>
      </w:r>
      <w:r w:rsidR="00C57DBD">
        <w:rPr>
          <w:rFonts w:ascii="Times New Roman" w:hAnsi="Times New Roman" w:cs="Times New Roman"/>
        </w:rPr>
        <w:t>, la Cour n’expli</w:t>
      </w:r>
      <w:r w:rsidR="006A2D58">
        <w:rPr>
          <w:rFonts w:ascii="Times New Roman" w:hAnsi="Times New Roman" w:cs="Times New Roman"/>
        </w:rPr>
        <w:t>que</w:t>
      </w:r>
      <w:r w:rsidR="00C57DBD">
        <w:rPr>
          <w:rFonts w:ascii="Times New Roman" w:hAnsi="Times New Roman" w:cs="Times New Roman"/>
        </w:rPr>
        <w:t xml:space="preserve"> pas</w:t>
      </w:r>
      <w:r w:rsidR="006A2D58">
        <w:rPr>
          <w:rFonts w:ascii="Times New Roman" w:hAnsi="Times New Roman" w:cs="Times New Roman"/>
        </w:rPr>
        <w:t xml:space="preserve"> précisément</w:t>
      </w:r>
      <w:r w:rsidR="00C57DBD">
        <w:rPr>
          <w:rFonts w:ascii="Times New Roman" w:hAnsi="Times New Roman" w:cs="Times New Roman"/>
        </w:rPr>
        <w:t xml:space="preserve"> pourquoi la référence à un matériau constitue une référence à un type ou à une production déterminée. </w:t>
      </w:r>
      <w:r w:rsidR="00C22E1C">
        <w:rPr>
          <w:rFonts w:ascii="Times New Roman" w:hAnsi="Times New Roman" w:cs="Times New Roman"/>
        </w:rPr>
        <w:t xml:space="preserve">Suivant l’Avocat général, cela s’expliquerait par le fait </w:t>
      </w:r>
      <w:r w:rsidR="00413522">
        <w:rPr>
          <w:rFonts w:ascii="Times New Roman" w:hAnsi="Times New Roman" w:cs="Times New Roman"/>
        </w:rPr>
        <w:t xml:space="preserve">que « le grès et le béton ne sont pas des matières naturelles (comme le bois), mais des matériaux ‘produits’ à la suite d’un procédé particulier </w:t>
      </w:r>
      <w:r w:rsidR="00B12AB7">
        <w:rPr>
          <w:rFonts w:ascii="Times New Roman" w:hAnsi="Times New Roman" w:cs="Times New Roman"/>
        </w:rPr>
        <w:t xml:space="preserve">de fabrication artificielle ». Par conséquent, </w:t>
      </w:r>
      <w:r w:rsidR="00050950">
        <w:rPr>
          <w:rFonts w:ascii="Times New Roman" w:hAnsi="Times New Roman" w:cs="Times New Roman"/>
        </w:rPr>
        <w:t xml:space="preserve">le choix de ces matériaux profiterait « logiquement, aux entreprises qui produisent ou fournissent des tuyaux en grès et en béton », ce qui aurait « pour </w:t>
      </w:r>
      <w:r w:rsidR="00050950">
        <w:rPr>
          <w:rFonts w:ascii="Times New Roman" w:hAnsi="Times New Roman" w:cs="Times New Roman"/>
          <w:i/>
          <w:iCs/>
        </w:rPr>
        <w:t>effet</w:t>
      </w:r>
      <w:r w:rsidR="00050950">
        <w:rPr>
          <w:rFonts w:ascii="Times New Roman" w:hAnsi="Times New Roman" w:cs="Times New Roman"/>
        </w:rPr>
        <w:t xml:space="preserve"> (inévitable) d’éliminer celles qui proposent des tuyaux en plastique ou en tout autre matériau »</w:t>
      </w:r>
      <w:r w:rsidR="00897BCE">
        <w:rPr>
          <w:rFonts w:ascii="Times New Roman" w:hAnsi="Times New Roman" w:cs="Times New Roman"/>
        </w:rPr>
        <w:t xml:space="preserve"> (point 72 des conclusions).</w:t>
      </w:r>
      <w:r w:rsidR="008A6133">
        <w:rPr>
          <w:rFonts w:ascii="Times New Roman" w:hAnsi="Times New Roman" w:cs="Times New Roman"/>
        </w:rPr>
        <w:t xml:space="preserve"> </w:t>
      </w:r>
    </w:p>
    <w:p w14:paraId="5B8EDB45" w14:textId="77777777" w:rsidR="006D73CE" w:rsidRDefault="006D73CE" w:rsidP="006D73CE">
      <w:pPr>
        <w:pStyle w:val="Paragraphedeliste"/>
        <w:spacing w:after="0" w:line="360" w:lineRule="auto"/>
        <w:ind w:left="0"/>
        <w:jc w:val="both"/>
        <w:rPr>
          <w:rFonts w:ascii="Times New Roman" w:hAnsi="Times New Roman" w:cs="Times New Roman"/>
        </w:rPr>
      </w:pPr>
    </w:p>
    <w:p w14:paraId="3B349C02" w14:textId="13EA13DB" w:rsidR="00DB6D69" w:rsidRDefault="007917D6" w:rsidP="00DB6D69">
      <w:pPr>
        <w:pStyle w:val="Paragraphedeliste"/>
        <w:spacing w:after="0" w:line="360" w:lineRule="auto"/>
        <w:ind w:left="0"/>
        <w:jc w:val="both"/>
        <w:rPr>
          <w:rFonts w:ascii="Times New Roman" w:hAnsi="Times New Roman" w:cs="Times New Roman"/>
        </w:rPr>
      </w:pPr>
      <w:r>
        <w:rPr>
          <w:rFonts w:ascii="Times New Roman" w:hAnsi="Times New Roman" w:cs="Times New Roman"/>
        </w:rPr>
        <w:lastRenderedPageBreak/>
        <w:t xml:space="preserve">Cette </w:t>
      </w:r>
      <w:r w:rsidR="00DD69EA">
        <w:rPr>
          <w:rFonts w:ascii="Times New Roman" w:hAnsi="Times New Roman" w:cs="Times New Roman"/>
        </w:rPr>
        <w:t xml:space="preserve">justification </w:t>
      </w:r>
      <w:r>
        <w:rPr>
          <w:rFonts w:ascii="Times New Roman" w:hAnsi="Times New Roman" w:cs="Times New Roman"/>
        </w:rPr>
        <w:t xml:space="preserve">permet selon nous plus d’expliquer pourquoi </w:t>
      </w:r>
      <w:r w:rsidR="00F87C20">
        <w:rPr>
          <w:rFonts w:ascii="Times New Roman" w:hAnsi="Times New Roman" w:cs="Times New Roman"/>
        </w:rPr>
        <w:t xml:space="preserve">cette référence est faite à </w:t>
      </w:r>
      <w:r w:rsidR="001601AE">
        <w:rPr>
          <w:rFonts w:ascii="Times New Roman" w:hAnsi="Times New Roman" w:cs="Times New Roman"/>
        </w:rPr>
        <w:t>une production déterminée</w:t>
      </w:r>
      <w:r w:rsidR="00F87C20">
        <w:rPr>
          <w:rFonts w:ascii="Times New Roman" w:hAnsi="Times New Roman" w:cs="Times New Roman"/>
        </w:rPr>
        <w:t xml:space="preserve">. </w:t>
      </w:r>
      <w:r w:rsidR="00E90D79">
        <w:rPr>
          <w:rFonts w:ascii="Times New Roman" w:hAnsi="Times New Roman" w:cs="Times New Roman"/>
        </w:rPr>
        <w:t xml:space="preserve">Nous ne comprenons pas pourquoi </w:t>
      </w:r>
      <w:r w:rsidR="0072350B">
        <w:rPr>
          <w:rFonts w:ascii="Times New Roman" w:hAnsi="Times New Roman" w:cs="Times New Roman"/>
        </w:rPr>
        <w:t>la référence à des tuyaux en bois</w:t>
      </w:r>
      <w:r w:rsidR="00C924C4">
        <w:rPr>
          <w:rFonts w:ascii="Times New Roman" w:hAnsi="Times New Roman" w:cs="Times New Roman"/>
        </w:rPr>
        <w:t xml:space="preserve">, en raison de </w:t>
      </w:r>
      <w:r w:rsidR="00720303">
        <w:rPr>
          <w:rFonts w:ascii="Times New Roman" w:hAnsi="Times New Roman" w:cs="Times New Roman"/>
        </w:rPr>
        <w:t>leur</w:t>
      </w:r>
      <w:r w:rsidR="00C924C4">
        <w:rPr>
          <w:rFonts w:ascii="Times New Roman" w:hAnsi="Times New Roman" w:cs="Times New Roman"/>
        </w:rPr>
        <w:t xml:space="preserve"> caractéristique naturelle,</w:t>
      </w:r>
      <w:r w:rsidR="0072350B">
        <w:rPr>
          <w:rFonts w:ascii="Times New Roman" w:hAnsi="Times New Roman" w:cs="Times New Roman"/>
        </w:rPr>
        <w:t xml:space="preserve"> ne constituerait pas </w:t>
      </w:r>
      <w:r w:rsidR="00CE7A40">
        <w:rPr>
          <w:rFonts w:ascii="Times New Roman" w:hAnsi="Times New Roman" w:cs="Times New Roman"/>
        </w:rPr>
        <w:t xml:space="preserve">une référence à un type, qui suivant le sens courant, n’exige pas </w:t>
      </w:r>
      <w:r w:rsidR="00376CFF">
        <w:rPr>
          <w:rFonts w:ascii="Times New Roman" w:hAnsi="Times New Roman" w:cs="Times New Roman"/>
        </w:rPr>
        <w:t>nécessairement</w:t>
      </w:r>
      <w:r w:rsidR="00E436C1">
        <w:rPr>
          <w:rFonts w:ascii="Times New Roman" w:hAnsi="Times New Roman" w:cs="Times New Roman"/>
        </w:rPr>
        <w:t xml:space="preserve"> </w:t>
      </w:r>
      <w:r w:rsidR="00D47621">
        <w:rPr>
          <w:rFonts w:ascii="Times New Roman" w:hAnsi="Times New Roman" w:cs="Times New Roman"/>
        </w:rPr>
        <w:t xml:space="preserve">une </w:t>
      </w:r>
      <w:r w:rsidR="00E436C1">
        <w:rPr>
          <w:rFonts w:ascii="Times New Roman" w:hAnsi="Times New Roman" w:cs="Times New Roman"/>
        </w:rPr>
        <w:t xml:space="preserve">caractéristique </w:t>
      </w:r>
      <w:r w:rsidR="00376CFF">
        <w:rPr>
          <w:rFonts w:ascii="Times New Roman" w:hAnsi="Times New Roman" w:cs="Times New Roman"/>
        </w:rPr>
        <w:t>artificielle</w:t>
      </w:r>
      <w:r w:rsidR="00E436C1">
        <w:rPr>
          <w:rStyle w:val="Appelnotedebasdep"/>
          <w:rFonts w:ascii="Times New Roman" w:hAnsi="Times New Roman" w:cs="Times New Roman"/>
        </w:rPr>
        <w:footnoteReference w:id="41"/>
      </w:r>
      <w:r w:rsidR="00E436C1">
        <w:rPr>
          <w:rFonts w:ascii="Times New Roman" w:hAnsi="Times New Roman" w:cs="Times New Roman"/>
        </w:rPr>
        <w:t>.</w:t>
      </w:r>
    </w:p>
    <w:p w14:paraId="500FC55D" w14:textId="77777777" w:rsidR="0068597E" w:rsidRDefault="0068597E" w:rsidP="00DB6D69">
      <w:pPr>
        <w:pStyle w:val="Paragraphedeliste"/>
        <w:spacing w:after="0" w:line="360" w:lineRule="auto"/>
        <w:ind w:left="0"/>
        <w:jc w:val="both"/>
        <w:rPr>
          <w:rFonts w:ascii="Times New Roman" w:hAnsi="Times New Roman" w:cs="Times New Roman"/>
        </w:rPr>
      </w:pPr>
    </w:p>
    <w:p w14:paraId="2D67AE73" w14:textId="290D2EFE" w:rsidR="00FA72FC" w:rsidRDefault="007F07F0" w:rsidP="00FA72FC">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Alors que </w:t>
      </w:r>
      <w:r w:rsidR="00884C6E">
        <w:rPr>
          <w:rFonts w:ascii="Times New Roman" w:hAnsi="Times New Roman" w:cs="Times New Roman"/>
        </w:rPr>
        <w:t xml:space="preserve">le raisonnement de la Cour sur les autres points de l’arrêt semblait prévisible </w:t>
      </w:r>
      <w:r w:rsidR="00371146">
        <w:rPr>
          <w:rFonts w:ascii="Times New Roman" w:hAnsi="Times New Roman" w:cs="Times New Roman"/>
        </w:rPr>
        <w:t>au regard de la jurisprudence et de la doctrine préexistante, ainsi que sur base de la législation</w:t>
      </w:r>
      <w:r w:rsidR="002B0D94">
        <w:rPr>
          <w:rFonts w:ascii="Times New Roman" w:hAnsi="Times New Roman" w:cs="Times New Roman"/>
        </w:rPr>
        <w:noBreakHyphen/>
      </w:r>
      <w:r w:rsidR="00371146">
        <w:rPr>
          <w:rFonts w:ascii="Times New Roman" w:hAnsi="Times New Roman" w:cs="Times New Roman"/>
        </w:rPr>
        <w:t xml:space="preserve">même, </w:t>
      </w:r>
      <w:r w:rsidR="004E0B98">
        <w:rPr>
          <w:rFonts w:ascii="Times New Roman" w:hAnsi="Times New Roman" w:cs="Times New Roman"/>
        </w:rPr>
        <w:t xml:space="preserve">il en allait moins de </w:t>
      </w:r>
      <w:r w:rsidR="00967A35">
        <w:rPr>
          <w:rFonts w:ascii="Times New Roman" w:hAnsi="Times New Roman" w:cs="Times New Roman"/>
        </w:rPr>
        <w:t xml:space="preserve">la réponse </w:t>
      </w:r>
      <w:r w:rsidR="0061710D">
        <w:rPr>
          <w:rFonts w:ascii="Times New Roman" w:hAnsi="Times New Roman" w:cs="Times New Roman"/>
        </w:rPr>
        <w:t xml:space="preserve">de </w:t>
      </w:r>
      <w:r w:rsidR="004E0B98">
        <w:rPr>
          <w:rFonts w:ascii="Times New Roman" w:hAnsi="Times New Roman" w:cs="Times New Roman"/>
        </w:rPr>
        <w:t xml:space="preserve">la Cour </w:t>
      </w:r>
      <w:r w:rsidR="006032D3">
        <w:rPr>
          <w:rFonts w:ascii="Times New Roman" w:hAnsi="Times New Roman" w:cs="Times New Roman"/>
        </w:rPr>
        <w:t xml:space="preserve">à </w:t>
      </w:r>
      <w:r w:rsidR="00967A35">
        <w:rPr>
          <w:rFonts w:ascii="Times New Roman" w:hAnsi="Times New Roman" w:cs="Times New Roman"/>
        </w:rPr>
        <w:t>la question</w:t>
      </w:r>
      <w:r w:rsidR="006761BE">
        <w:rPr>
          <w:rFonts w:ascii="Times New Roman" w:hAnsi="Times New Roman" w:cs="Times New Roman"/>
        </w:rPr>
        <w:t xml:space="preserve"> de savoir si l</w:t>
      </w:r>
      <w:r w:rsidR="009E4993">
        <w:rPr>
          <w:rFonts w:ascii="Times New Roman" w:hAnsi="Times New Roman" w:cs="Times New Roman"/>
        </w:rPr>
        <w:t>a référence à un matériau déterminé constitue une référence interdite par l’article 42, § 4, de la directive 2014/24</w:t>
      </w:r>
      <w:r w:rsidR="00E86312">
        <w:rPr>
          <w:rFonts w:ascii="Times New Roman" w:hAnsi="Times New Roman" w:cs="Times New Roman"/>
        </w:rPr>
        <w:t>.</w:t>
      </w:r>
    </w:p>
    <w:p w14:paraId="5084CDC5" w14:textId="77777777" w:rsidR="0061710D" w:rsidRDefault="0061710D" w:rsidP="00E86312">
      <w:pPr>
        <w:pStyle w:val="Paragraphedeliste"/>
        <w:spacing w:after="0" w:line="360" w:lineRule="auto"/>
        <w:ind w:left="0"/>
        <w:jc w:val="both"/>
        <w:rPr>
          <w:rFonts w:ascii="Times New Roman" w:hAnsi="Times New Roman" w:cs="Times New Roman"/>
        </w:rPr>
      </w:pPr>
    </w:p>
    <w:p w14:paraId="473DECDC" w14:textId="0D812DE2" w:rsidR="0061710D" w:rsidRDefault="0061710D" w:rsidP="00E86312">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Dans son </w:t>
      </w:r>
      <w:r w:rsidR="00396E51">
        <w:rPr>
          <w:rFonts w:ascii="Times New Roman" w:hAnsi="Times New Roman" w:cs="Times New Roman"/>
        </w:rPr>
        <w:t>guide sur l’achat public vert, l</w:t>
      </w:r>
      <w:r>
        <w:rPr>
          <w:rFonts w:ascii="Times New Roman" w:hAnsi="Times New Roman" w:cs="Times New Roman"/>
        </w:rPr>
        <w:t>a Commission européenne</w:t>
      </w:r>
      <w:r w:rsidR="00396E51">
        <w:rPr>
          <w:rFonts w:ascii="Times New Roman" w:hAnsi="Times New Roman" w:cs="Times New Roman"/>
        </w:rPr>
        <w:t xml:space="preserve"> avan</w:t>
      </w:r>
      <w:r w:rsidR="00704DAC">
        <w:rPr>
          <w:rFonts w:ascii="Times New Roman" w:hAnsi="Times New Roman" w:cs="Times New Roman"/>
        </w:rPr>
        <w:t>ce</w:t>
      </w:r>
      <w:r w:rsidR="00396E51">
        <w:rPr>
          <w:rFonts w:ascii="Times New Roman" w:hAnsi="Times New Roman" w:cs="Times New Roman"/>
        </w:rPr>
        <w:t xml:space="preserve"> par exemple </w:t>
      </w:r>
      <w:r w:rsidR="00DA299E">
        <w:rPr>
          <w:rFonts w:ascii="Times New Roman" w:hAnsi="Times New Roman" w:cs="Times New Roman"/>
        </w:rPr>
        <w:t xml:space="preserve">de façon générale </w:t>
      </w:r>
      <w:r w:rsidR="00396E51">
        <w:rPr>
          <w:rFonts w:ascii="Times New Roman" w:hAnsi="Times New Roman" w:cs="Times New Roman"/>
        </w:rPr>
        <w:t xml:space="preserve">que les pouvoirs adjudicateurs </w:t>
      </w:r>
      <w:r w:rsidR="00564C65">
        <w:rPr>
          <w:rFonts w:ascii="Times New Roman" w:hAnsi="Times New Roman" w:cs="Times New Roman"/>
        </w:rPr>
        <w:t xml:space="preserve">peuvent exiger que le </w:t>
      </w:r>
      <w:r w:rsidR="00704DAC">
        <w:rPr>
          <w:rFonts w:ascii="Times New Roman" w:hAnsi="Times New Roman" w:cs="Times New Roman"/>
        </w:rPr>
        <w:t xml:space="preserve">produit qu’ils achètent </w:t>
      </w:r>
      <w:r w:rsidR="003A3458">
        <w:rPr>
          <w:rFonts w:ascii="Times New Roman" w:hAnsi="Times New Roman" w:cs="Times New Roman"/>
        </w:rPr>
        <w:t>soit composé d’un matériau spécifique</w:t>
      </w:r>
      <w:r w:rsidR="00DA299E">
        <w:rPr>
          <w:rStyle w:val="Appelnotedebasdep"/>
          <w:rFonts w:ascii="Times New Roman" w:hAnsi="Times New Roman" w:cs="Times New Roman"/>
        </w:rPr>
        <w:footnoteReference w:id="42"/>
      </w:r>
      <w:r w:rsidR="003A3458">
        <w:rPr>
          <w:rFonts w:ascii="Times New Roman" w:hAnsi="Times New Roman" w:cs="Times New Roman"/>
        </w:rPr>
        <w:t>.</w:t>
      </w:r>
    </w:p>
    <w:p w14:paraId="66351E7C" w14:textId="77777777" w:rsidR="006E3645" w:rsidRDefault="006E3645" w:rsidP="00E86312">
      <w:pPr>
        <w:pStyle w:val="Paragraphedeliste"/>
        <w:spacing w:after="0" w:line="360" w:lineRule="auto"/>
        <w:ind w:left="0"/>
        <w:jc w:val="both"/>
        <w:rPr>
          <w:rFonts w:ascii="Times New Roman" w:hAnsi="Times New Roman" w:cs="Times New Roman"/>
        </w:rPr>
      </w:pPr>
    </w:p>
    <w:p w14:paraId="4CC4FB9D" w14:textId="3C47CCBE" w:rsidR="00B53623" w:rsidRDefault="006E3645" w:rsidP="00E86312">
      <w:pPr>
        <w:pStyle w:val="Paragraphedeliste"/>
        <w:spacing w:after="0" w:line="360" w:lineRule="auto"/>
        <w:ind w:left="0"/>
        <w:jc w:val="both"/>
        <w:rPr>
          <w:rFonts w:ascii="Times New Roman" w:hAnsi="Times New Roman" w:cs="Times New Roman"/>
        </w:rPr>
      </w:pPr>
      <w:r>
        <w:rPr>
          <w:rFonts w:ascii="Times New Roman" w:hAnsi="Times New Roman" w:cs="Times New Roman"/>
        </w:rPr>
        <w:t>Le Conseil d’État belge</w:t>
      </w:r>
      <w:r w:rsidR="00971473">
        <w:rPr>
          <w:rFonts w:ascii="Times New Roman" w:hAnsi="Times New Roman" w:cs="Times New Roman"/>
        </w:rPr>
        <w:t xml:space="preserve"> a quant à lui jugé</w:t>
      </w:r>
      <w:r w:rsidR="00DE5649">
        <w:rPr>
          <w:rFonts w:ascii="Times New Roman" w:hAnsi="Times New Roman" w:cs="Times New Roman"/>
        </w:rPr>
        <w:t xml:space="preserve"> </w:t>
      </w:r>
      <w:r w:rsidR="00E65076">
        <w:rPr>
          <w:rFonts w:ascii="Times New Roman" w:hAnsi="Times New Roman" w:cs="Times New Roman"/>
        </w:rPr>
        <w:t xml:space="preserve">dans un arrêt </w:t>
      </w:r>
      <w:r w:rsidR="00E65076">
        <w:rPr>
          <w:rFonts w:ascii="Times New Roman" w:hAnsi="Times New Roman" w:cs="Times New Roman"/>
          <w:i/>
          <w:iCs/>
        </w:rPr>
        <w:t>KRINKELS</w:t>
      </w:r>
      <w:r w:rsidR="00E65076">
        <w:rPr>
          <w:rFonts w:ascii="Times New Roman" w:hAnsi="Times New Roman" w:cs="Times New Roman"/>
        </w:rPr>
        <w:t xml:space="preserve"> </w:t>
      </w:r>
      <w:r w:rsidR="00DE5649">
        <w:rPr>
          <w:rFonts w:ascii="Times New Roman" w:hAnsi="Times New Roman" w:cs="Times New Roman"/>
        </w:rPr>
        <w:t>en 2023</w:t>
      </w:r>
      <w:r w:rsidR="00971473">
        <w:rPr>
          <w:rFonts w:ascii="Times New Roman" w:hAnsi="Times New Roman" w:cs="Times New Roman"/>
        </w:rPr>
        <w:t xml:space="preserve">, en extrême urgence, </w:t>
      </w:r>
      <w:r w:rsidR="00E42959">
        <w:rPr>
          <w:rFonts w:ascii="Times New Roman" w:hAnsi="Times New Roman" w:cs="Times New Roman"/>
        </w:rPr>
        <w:t>qu</w:t>
      </w:r>
      <w:r w:rsidR="00E6675B">
        <w:rPr>
          <w:rFonts w:ascii="Times New Roman" w:hAnsi="Times New Roman" w:cs="Times New Roman"/>
        </w:rPr>
        <w:t>’une spécification technique précisant le matériau</w:t>
      </w:r>
      <w:r w:rsidR="00AB6E17">
        <w:rPr>
          <w:rFonts w:ascii="Times New Roman" w:hAnsi="Times New Roman" w:cs="Times New Roman"/>
        </w:rPr>
        <w:t xml:space="preserve"> particulier</w:t>
      </w:r>
      <w:r w:rsidR="00E6675B">
        <w:rPr>
          <w:rFonts w:ascii="Times New Roman" w:hAnsi="Times New Roman" w:cs="Times New Roman"/>
        </w:rPr>
        <w:t xml:space="preserve"> d’un rocher de grimpe à fournir n</w:t>
      </w:r>
      <w:r w:rsidR="007A2722">
        <w:rPr>
          <w:rFonts w:ascii="Times New Roman" w:hAnsi="Times New Roman" w:cs="Times New Roman"/>
        </w:rPr>
        <w:t>e fait pas mention « d’une f</w:t>
      </w:r>
      <w:r w:rsidR="000B25A0">
        <w:rPr>
          <w:rFonts w:ascii="Times New Roman" w:hAnsi="Times New Roman" w:cs="Times New Roman"/>
        </w:rPr>
        <w:t xml:space="preserve">abrication ou d’une provenance déterminée ou d’un procédé particulier qui </w:t>
      </w:r>
      <w:r w:rsidR="00786D09">
        <w:rPr>
          <w:rFonts w:ascii="Times New Roman" w:hAnsi="Times New Roman" w:cs="Times New Roman"/>
        </w:rPr>
        <w:t xml:space="preserve">caractérise les produits ou les services fournis par un opérateur économique spécifique » et ne fait pas </w:t>
      </w:r>
      <w:r w:rsidR="00082823">
        <w:rPr>
          <w:rFonts w:ascii="Times New Roman" w:hAnsi="Times New Roman" w:cs="Times New Roman"/>
        </w:rPr>
        <w:t>« référence à une marque, à un brevet ou à un type, à une origine ou à une production déterminée »</w:t>
      </w:r>
      <w:r w:rsidR="003D69AD">
        <w:rPr>
          <w:rStyle w:val="Appelnotedebasdep"/>
          <w:rFonts w:ascii="Times New Roman" w:hAnsi="Times New Roman" w:cs="Times New Roman"/>
        </w:rPr>
        <w:footnoteReference w:id="43"/>
      </w:r>
      <w:r w:rsidR="00082823">
        <w:rPr>
          <w:rFonts w:ascii="Times New Roman" w:hAnsi="Times New Roman" w:cs="Times New Roman"/>
        </w:rPr>
        <w:t>.</w:t>
      </w:r>
      <w:r w:rsidR="00DE5649">
        <w:rPr>
          <w:rFonts w:ascii="Times New Roman" w:hAnsi="Times New Roman" w:cs="Times New Roman"/>
        </w:rPr>
        <w:t xml:space="preserve"> </w:t>
      </w:r>
    </w:p>
    <w:p w14:paraId="59E79027" w14:textId="77777777" w:rsidR="00B53623" w:rsidRDefault="00B53623" w:rsidP="00E86312">
      <w:pPr>
        <w:pStyle w:val="Paragraphedeliste"/>
        <w:spacing w:after="0" w:line="360" w:lineRule="auto"/>
        <w:ind w:left="0"/>
        <w:jc w:val="both"/>
        <w:rPr>
          <w:rFonts w:ascii="Times New Roman" w:hAnsi="Times New Roman" w:cs="Times New Roman"/>
        </w:rPr>
      </w:pPr>
    </w:p>
    <w:p w14:paraId="7B54DCC7" w14:textId="3ED34616" w:rsidR="006E3645" w:rsidRDefault="00DE5649" w:rsidP="00E86312">
      <w:pPr>
        <w:pStyle w:val="Paragraphedeliste"/>
        <w:spacing w:after="0" w:line="360" w:lineRule="auto"/>
        <w:ind w:left="0"/>
        <w:jc w:val="both"/>
        <w:rPr>
          <w:rFonts w:ascii="Times New Roman" w:hAnsi="Times New Roman" w:cs="Times New Roman"/>
        </w:rPr>
      </w:pPr>
      <w:r>
        <w:rPr>
          <w:rFonts w:ascii="Times New Roman" w:hAnsi="Times New Roman" w:cs="Times New Roman"/>
        </w:rPr>
        <w:t>Cet arrêt</w:t>
      </w:r>
      <w:r w:rsidR="00A21BFA">
        <w:rPr>
          <w:rFonts w:ascii="Times New Roman" w:hAnsi="Times New Roman" w:cs="Times New Roman"/>
        </w:rPr>
        <w:t xml:space="preserve"> </w:t>
      </w:r>
      <w:r w:rsidR="00A21BFA">
        <w:rPr>
          <w:rFonts w:ascii="Times New Roman" w:hAnsi="Times New Roman" w:cs="Times New Roman"/>
          <w:i/>
          <w:iCs/>
        </w:rPr>
        <w:t>K</w:t>
      </w:r>
      <w:r w:rsidR="000B3535">
        <w:rPr>
          <w:rFonts w:ascii="Times New Roman" w:hAnsi="Times New Roman" w:cs="Times New Roman"/>
          <w:i/>
          <w:iCs/>
        </w:rPr>
        <w:t>RINKELS</w:t>
      </w:r>
      <w:r>
        <w:rPr>
          <w:rFonts w:ascii="Times New Roman" w:hAnsi="Times New Roman" w:cs="Times New Roman"/>
        </w:rPr>
        <w:t xml:space="preserve"> contraste avec </w:t>
      </w:r>
      <w:r w:rsidR="00A21BFA">
        <w:rPr>
          <w:rFonts w:ascii="Times New Roman" w:hAnsi="Times New Roman" w:cs="Times New Roman"/>
        </w:rPr>
        <w:t xml:space="preserve">l’arrêt </w:t>
      </w:r>
      <w:r w:rsidR="000B3535" w:rsidRPr="000B3535">
        <w:rPr>
          <w:rFonts w:ascii="Times New Roman" w:hAnsi="Times New Roman" w:cs="Times New Roman"/>
          <w:i/>
          <w:iCs/>
        </w:rPr>
        <w:t>ÉTABLISSEMENTS GDA</w:t>
      </w:r>
      <w:r>
        <w:rPr>
          <w:rFonts w:ascii="Times New Roman" w:hAnsi="Times New Roman" w:cs="Times New Roman"/>
        </w:rPr>
        <w:t xml:space="preserve">, rendu </w:t>
      </w:r>
      <w:r w:rsidR="00D549ED">
        <w:rPr>
          <w:rFonts w:ascii="Times New Roman" w:hAnsi="Times New Roman" w:cs="Times New Roman"/>
        </w:rPr>
        <w:t xml:space="preserve">en 2017 dans le cadre d’une procédure ordinaire, </w:t>
      </w:r>
      <w:r w:rsidR="000B3535">
        <w:rPr>
          <w:rFonts w:ascii="Times New Roman" w:hAnsi="Times New Roman" w:cs="Times New Roman"/>
        </w:rPr>
        <w:t xml:space="preserve">où le Conseil d’État </w:t>
      </w:r>
      <w:r w:rsidR="00E32CD7">
        <w:rPr>
          <w:rFonts w:ascii="Times New Roman" w:hAnsi="Times New Roman" w:cs="Times New Roman"/>
        </w:rPr>
        <w:t>a procédé à une interprétation large de</w:t>
      </w:r>
      <w:r w:rsidR="00E95AD0">
        <w:rPr>
          <w:rFonts w:ascii="Times New Roman" w:hAnsi="Times New Roman" w:cs="Times New Roman"/>
        </w:rPr>
        <w:t xml:space="preserve">s références prohibées </w:t>
      </w:r>
      <w:r w:rsidR="00F0386A">
        <w:rPr>
          <w:rFonts w:ascii="Times New Roman" w:hAnsi="Times New Roman" w:cs="Times New Roman"/>
        </w:rPr>
        <w:t>par l’article 42, § 4, de la directive 2014/24</w:t>
      </w:r>
      <w:r w:rsidR="00DE2368">
        <w:rPr>
          <w:rStyle w:val="Appelnotedebasdep"/>
          <w:rFonts w:ascii="Times New Roman" w:hAnsi="Times New Roman" w:cs="Times New Roman"/>
        </w:rPr>
        <w:footnoteReference w:id="44"/>
      </w:r>
      <w:r w:rsidR="002C3D30">
        <w:rPr>
          <w:rFonts w:ascii="Times New Roman" w:hAnsi="Times New Roman" w:cs="Times New Roman"/>
        </w:rPr>
        <w:t>.</w:t>
      </w:r>
      <w:r w:rsidR="00DE2368">
        <w:rPr>
          <w:rFonts w:ascii="Times New Roman" w:hAnsi="Times New Roman" w:cs="Times New Roman"/>
        </w:rPr>
        <w:t xml:space="preserve"> Dans cet arrêt </w:t>
      </w:r>
      <w:r w:rsidR="00DE2368" w:rsidRPr="000B3535">
        <w:rPr>
          <w:rFonts w:ascii="Times New Roman" w:hAnsi="Times New Roman" w:cs="Times New Roman"/>
          <w:i/>
          <w:iCs/>
        </w:rPr>
        <w:t>ÉTABLISSEMENTS GDA</w:t>
      </w:r>
      <w:r w:rsidR="001B5299">
        <w:rPr>
          <w:rFonts w:ascii="Times New Roman" w:hAnsi="Times New Roman" w:cs="Times New Roman"/>
        </w:rPr>
        <w:t xml:space="preserve">, </w:t>
      </w:r>
      <w:r w:rsidR="000E2E0E">
        <w:rPr>
          <w:rFonts w:ascii="Times New Roman" w:hAnsi="Times New Roman" w:cs="Times New Roman"/>
        </w:rPr>
        <w:t>le Conseil d’État reconnaît que certaines des références prohibées peuvent laisser place à l’interprétation, tel</w:t>
      </w:r>
      <w:r w:rsidR="00E600FA">
        <w:rPr>
          <w:rFonts w:ascii="Times New Roman" w:hAnsi="Times New Roman" w:cs="Times New Roman"/>
        </w:rPr>
        <w:t xml:space="preserve">s que </w:t>
      </w:r>
      <w:r w:rsidR="00DC5679">
        <w:rPr>
          <w:rFonts w:ascii="Times New Roman" w:hAnsi="Times New Roman" w:cs="Times New Roman"/>
        </w:rPr>
        <w:t>le « type » ou « le procédé particulier »</w:t>
      </w:r>
      <w:r w:rsidR="001A102D">
        <w:rPr>
          <w:rFonts w:ascii="Times New Roman" w:hAnsi="Times New Roman" w:cs="Times New Roman"/>
        </w:rPr>
        <w:t>. Sur cette base, le Conseil d’État énonce qu</w:t>
      </w:r>
      <w:r w:rsidR="00E93168">
        <w:rPr>
          <w:rFonts w:ascii="Times New Roman" w:hAnsi="Times New Roman" w:cs="Times New Roman"/>
        </w:rPr>
        <w:t>’</w:t>
      </w:r>
      <w:r w:rsidR="001A102D">
        <w:rPr>
          <w:rFonts w:ascii="Times New Roman" w:hAnsi="Times New Roman" w:cs="Times New Roman"/>
        </w:rPr>
        <w:t>« [e]n énumérant cette variété d’hypothèses</w:t>
      </w:r>
      <w:r w:rsidR="00310C27">
        <w:rPr>
          <w:rFonts w:ascii="Times New Roman" w:hAnsi="Times New Roman" w:cs="Times New Roman"/>
        </w:rPr>
        <w:t xml:space="preserve">, en des </w:t>
      </w:r>
      <w:r w:rsidR="00310C27">
        <w:rPr>
          <w:rFonts w:ascii="Times New Roman" w:hAnsi="Times New Roman" w:cs="Times New Roman"/>
        </w:rPr>
        <w:lastRenderedPageBreak/>
        <w:t>termes parfois assez généraux, cette disposition ne se limite donc pas à cibler certains cas aisément identifiables de limitation de la concurrence</w:t>
      </w:r>
      <w:r w:rsidR="001247B8">
        <w:rPr>
          <w:rFonts w:ascii="Times New Roman" w:hAnsi="Times New Roman" w:cs="Times New Roman"/>
        </w:rPr>
        <w:t>, mais interdit, plus largement, de recourir à des spécifications qui seraient définies par rapport à une solution technique permettant d’atteindre un résultat et non par ce résultat lui-même »</w:t>
      </w:r>
      <w:r w:rsidR="00996751">
        <w:rPr>
          <w:rFonts w:ascii="Times New Roman" w:hAnsi="Times New Roman" w:cs="Times New Roman"/>
        </w:rPr>
        <w:t xml:space="preserve"> et qu’ainsi « lorsque la qualification d’une spécification prête lieu à discussion, la question qu’il convient de se poser tient </w:t>
      </w:r>
      <w:r w:rsidR="00E4390D">
        <w:rPr>
          <w:rFonts w:ascii="Times New Roman" w:hAnsi="Times New Roman" w:cs="Times New Roman"/>
        </w:rPr>
        <w:t>à</w:t>
      </w:r>
      <w:r w:rsidR="00996751">
        <w:rPr>
          <w:rFonts w:ascii="Times New Roman" w:hAnsi="Times New Roman" w:cs="Times New Roman"/>
        </w:rPr>
        <w:t xml:space="preserve"> savoir si elle détermine une performance à atteindre ou une exigence fonctionnelle, ou si elle impose, en réalité, une solution technique déterminée pour parvenir à cette performance ou répondre à cette exigence fonctionnelle ». </w:t>
      </w:r>
      <w:r w:rsidR="00D06D37">
        <w:rPr>
          <w:rFonts w:ascii="Times New Roman" w:hAnsi="Times New Roman" w:cs="Times New Roman"/>
        </w:rPr>
        <w:t xml:space="preserve">Ce raisonnement semble toutefois aller à l’encontre de l’article 42, § 3, de la directive 2014/24 </w:t>
      </w:r>
      <w:r w:rsidR="00780E82">
        <w:rPr>
          <w:rFonts w:ascii="Times New Roman" w:hAnsi="Times New Roman" w:cs="Times New Roman"/>
        </w:rPr>
        <w:t>puisqu’il exige la formulation des spécifications techniques en termes de performances et d’exigences fonctionnelle</w:t>
      </w:r>
      <w:r w:rsidR="00E93168">
        <w:rPr>
          <w:rFonts w:ascii="Times New Roman" w:hAnsi="Times New Roman" w:cs="Times New Roman"/>
        </w:rPr>
        <w:t>s</w:t>
      </w:r>
      <w:r w:rsidR="00B53623">
        <w:rPr>
          <w:rStyle w:val="Appelnotedebasdep"/>
          <w:rFonts w:ascii="Times New Roman" w:hAnsi="Times New Roman" w:cs="Times New Roman"/>
        </w:rPr>
        <w:footnoteReference w:id="45"/>
      </w:r>
      <w:r w:rsidR="00780E82">
        <w:rPr>
          <w:rFonts w:ascii="Times New Roman" w:hAnsi="Times New Roman" w:cs="Times New Roman"/>
        </w:rPr>
        <w:t xml:space="preserve">. </w:t>
      </w:r>
    </w:p>
    <w:p w14:paraId="413F9BEA" w14:textId="77777777" w:rsidR="00E86312" w:rsidRDefault="00E86312" w:rsidP="00E86312">
      <w:pPr>
        <w:pStyle w:val="Paragraphedeliste"/>
        <w:spacing w:after="0" w:line="360" w:lineRule="auto"/>
        <w:ind w:left="0"/>
        <w:jc w:val="both"/>
        <w:rPr>
          <w:rFonts w:ascii="Times New Roman" w:hAnsi="Times New Roman" w:cs="Times New Roman"/>
        </w:rPr>
      </w:pPr>
    </w:p>
    <w:p w14:paraId="269656EE" w14:textId="77D56BD7" w:rsidR="002E5039" w:rsidRDefault="00442A62" w:rsidP="00813DCC">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À la suite de l’arrêt </w:t>
      </w:r>
      <w:r>
        <w:rPr>
          <w:rFonts w:ascii="Times New Roman" w:hAnsi="Times New Roman" w:cs="Times New Roman"/>
          <w:i/>
          <w:iCs/>
        </w:rPr>
        <w:t xml:space="preserve">Dyka </w:t>
      </w:r>
      <w:r w:rsidRPr="00442A62">
        <w:rPr>
          <w:rFonts w:ascii="Times New Roman" w:hAnsi="Times New Roman" w:cs="Times New Roman"/>
          <w:i/>
          <w:iCs/>
        </w:rPr>
        <w:t>Plastics</w:t>
      </w:r>
      <w:r>
        <w:rPr>
          <w:rFonts w:ascii="Times New Roman" w:hAnsi="Times New Roman" w:cs="Times New Roman"/>
        </w:rPr>
        <w:t xml:space="preserve">, il </w:t>
      </w:r>
      <w:r w:rsidR="002E5039">
        <w:rPr>
          <w:rFonts w:ascii="Times New Roman" w:hAnsi="Times New Roman" w:cs="Times New Roman"/>
        </w:rPr>
        <w:t xml:space="preserve">est également possible de se demander dans quelle mesure </w:t>
      </w:r>
      <w:r w:rsidR="003C7EAD">
        <w:rPr>
          <w:rFonts w:ascii="Times New Roman" w:hAnsi="Times New Roman" w:cs="Times New Roman"/>
        </w:rPr>
        <w:t>l’article 53, § 7, de la loi du 17 juin 2016</w:t>
      </w:r>
      <w:r w:rsidR="00813DCC">
        <w:rPr>
          <w:rFonts w:ascii="Times New Roman" w:hAnsi="Times New Roman" w:cs="Times New Roman"/>
        </w:rPr>
        <w:t xml:space="preserve"> est compatible avec </w:t>
      </w:r>
      <w:r>
        <w:rPr>
          <w:rFonts w:ascii="Times New Roman" w:hAnsi="Times New Roman" w:cs="Times New Roman"/>
        </w:rPr>
        <w:t xml:space="preserve">l’article </w:t>
      </w:r>
      <w:r w:rsidR="00162E47">
        <w:rPr>
          <w:rFonts w:ascii="Times New Roman" w:hAnsi="Times New Roman" w:cs="Times New Roman"/>
        </w:rPr>
        <w:t xml:space="preserve">42, § 4, de la directive 2014/24. En effet, en énonçant que </w:t>
      </w:r>
      <w:r w:rsidR="00073687">
        <w:rPr>
          <w:rFonts w:ascii="Times New Roman" w:hAnsi="Times New Roman" w:cs="Times New Roman"/>
        </w:rPr>
        <w:t>« [s]i les travaux, fournitures ou services sont définis à la fois par des plans, modèles et échantillons, les plans déterminent</w:t>
      </w:r>
      <w:r w:rsidR="001B4733">
        <w:rPr>
          <w:rFonts w:ascii="Times New Roman" w:hAnsi="Times New Roman" w:cs="Times New Roman"/>
        </w:rPr>
        <w:t xml:space="preserve">, sauf disposition contraire dans les documents du marché, la forme du produit, ses dimensions et </w:t>
      </w:r>
      <w:r w:rsidR="001B4733" w:rsidRPr="001B4733">
        <w:rPr>
          <w:rFonts w:ascii="Times New Roman" w:hAnsi="Times New Roman" w:cs="Times New Roman"/>
          <w:i/>
          <w:iCs/>
          <w:u w:val="single"/>
        </w:rPr>
        <w:t>la nature de la matière dont il est constitué</w:t>
      </w:r>
      <w:r w:rsidR="001B4733">
        <w:rPr>
          <w:rFonts w:ascii="Times New Roman" w:hAnsi="Times New Roman" w:cs="Times New Roman"/>
        </w:rPr>
        <w:t> »</w:t>
      </w:r>
      <w:r w:rsidR="00D81B1D">
        <w:rPr>
          <w:rFonts w:ascii="Times New Roman" w:hAnsi="Times New Roman" w:cs="Times New Roman"/>
        </w:rPr>
        <w:t xml:space="preserve">, </w:t>
      </w:r>
      <w:r w:rsidR="009922A8">
        <w:rPr>
          <w:rFonts w:ascii="Times New Roman" w:hAnsi="Times New Roman" w:cs="Times New Roman"/>
        </w:rPr>
        <w:t>cet article 53, § 7, semble autoriser la référence au m</w:t>
      </w:r>
      <w:r w:rsidR="00196B9E">
        <w:rPr>
          <w:rFonts w:ascii="Times New Roman" w:hAnsi="Times New Roman" w:cs="Times New Roman"/>
        </w:rPr>
        <w:t>at</w:t>
      </w:r>
      <w:r w:rsidR="008B2DE8">
        <w:rPr>
          <w:rFonts w:ascii="Times New Roman" w:hAnsi="Times New Roman" w:cs="Times New Roman"/>
        </w:rPr>
        <w:t xml:space="preserve">ériau dont est constitué le produit, sans </w:t>
      </w:r>
      <w:r w:rsidR="00CB6F36">
        <w:rPr>
          <w:rFonts w:ascii="Times New Roman" w:hAnsi="Times New Roman" w:cs="Times New Roman"/>
        </w:rPr>
        <w:t>autre restriction</w:t>
      </w:r>
      <w:r w:rsidR="00897EA6">
        <w:rPr>
          <w:rStyle w:val="Appelnotedebasdep"/>
          <w:rFonts w:ascii="Times New Roman" w:hAnsi="Times New Roman" w:cs="Times New Roman"/>
        </w:rPr>
        <w:footnoteReference w:id="46"/>
      </w:r>
      <w:r w:rsidR="00CB6F36">
        <w:rPr>
          <w:rFonts w:ascii="Times New Roman" w:hAnsi="Times New Roman" w:cs="Times New Roman"/>
        </w:rPr>
        <w:t>.</w:t>
      </w:r>
    </w:p>
    <w:p w14:paraId="18482CFC" w14:textId="77777777" w:rsidR="008328C3" w:rsidRPr="00FA72FC" w:rsidRDefault="008328C3" w:rsidP="008328C3">
      <w:pPr>
        <w:pStyle w:val="Paragraphedeliste"/>
        <w:spacing w:after="0" w:line="360" w:lineRule="auto"/>
        <w:ind w:left="0"/>
        <w:jc w:val="both"/>
        <w:rPr>
          <w:rFonts w:ascii="Times New Roman" w:hAnsi="Times New Roman" w:cs="Times New Roman"/>
        </w:rPr>
      </w:pPr>
    </w:p>
    <w:p w14:paraId="05EA7E68" w14:textId="2307236C" w:rsidR="00972C9D" w:rsidRPr="00484F65" w:rsidRDefault="00972C9D" w:rsidP="00972C9D">
      <w:pPr>
        <w:pStyle w:val="Titre3"/>
        <w:numPr>
          <w:ilvl w:val="0"/>
          <w:numId w:val="6"/>
        </w:numPr>
        <w:rPr>
          <w:rFonts w:ascii="Times New Roman" w:hAnsi="Times New Roman" w:cs="Times New Roman"/>
          <w:color w:val="auto"/>
          <w:sz w:val="24"/>
          <w:szCs w:val="24"/>
        </w:rPr>
      </w:pPr>
      <w:r w:rsidRPr="00484F65">
        <w:rPr>
          <w:rFonts w:ascii="Times New Roman" w:hAnsi="Times New Roman" w:cs="Times New Roman"/>
          <w:color w:val="auto"/>
          <w:sz w:val="24"/>
          <w:szCs w:val="24"/>
        </w:rPr>
        <w:t xml:space="preserve">Les exceptions </w:t>
      </w:r>
      <w:r w:rsidR="00EB14D7">
        <w:rPr>
          <w:rFonts w:ascii="Times New Roman" w:hAnsi="Times New Roman" w:cs="Times New Roman"/>
          <w:color w:val="auto"/>
          <w:sz w:val="24"/>
          <w:szCs w:val="24"/>
        </w:rPr>
        <w:t xml:space="preserve">à l’interdiction d’une référence à un </w:t>
      </w:r>
      <w:r w:rsidR="006740D1">
        <w:rPr>
          <w:rFonts w:ascii="Times New Roman" w:hAnsi="Times New Roman" w:cs="Times New Roman"/>
          <w:color w:val="auto"/>
          <w:sz w:val="24"/>
          <w:szCs w:val="24"/>
        </w:rPr>
        <w:t xml:space="preserve">type ou </w:t>
      </w:r>
      <w:r w:rsidR="007B2BE9">
        <w:rPr>
          <w:rFonts w:ascii="Times New Roman" w:hAnsi="Times New Roman" w:cs="Times New Roman"/>
          <w:color w:val="auto"/>
          <w:sz w:val="24"/>
          <w:szCs w:val="24"/>
        </w:rPr>
        <w:t xml:space="preserve">à </w:t>
      </w:r>
      <w:r w:rsidR="00DA27C5">
        <w:rPr>
          <w:rFonts w:ascii="Times New Roman" w:hAnsi="Times New Roman" w:cs="Times New Roman"/>
          <w:color w:val="auto"/>
          <w:sz w:val="24"/>
          <w:szCs w:val="24"/>
        </w:rPr>
        <w:t>une production déterminée</w:t>
      </w:r>
      <w:r w:rsidRPr="00484F65">
        <w:rPr>
          <w:rFonts w:ascii="Times New Roman" w:hAnsi="Times New Roman" w:cs="Times New Roman"/>
          <w:color w:val="auto"/>
          <w:sz w:val="24"/>
          <w:szCs w:val="24"/>
        </w:rPr>
        <w:t xml:space="preserve"> </w:t>
      </w:r>
    </w:p>
    <w:p w14:paraId="10000DB0" w14:textId="77777777" w:rsidR="00972C9D" w:rsidRDefault="00972C9D" w:rsidP="00972C9D"/>
    <w:p w14:paraId="6D19CB5D" w14:textId="6BB46089" w:rsidR="00972C9D" w:rsidRDefault="00972C9D" w:rsidP="00972C9D">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Quant aux possibilités de déroger à </w:t>
      </w:r>
      <w:r w:rsidR="00DB6D69">
        <w:rPr>
          <w:rFonts w:ascii="Times New Roman" w:hAnsi="Times New Roman" w:cs="Times New Roman"/>
        </w:rPr>
        <w:t>l’</w:t>
      </w:r>
      <w:r>
        <w:rPr>
          <w:rFonts w:ascii="Times New Roman" w:hAnsi="Times New Roman" w:cs="Times New Roman"/>
        </w:rPr>
        <w:t>interdiction</w:t>
      </w:r>
      <w:r w:rsidR="00DB6D69">
        <w:rPr>
          <w:rFonts w:ascii="Times New Roman" w:hAnsi="Times New Roman" w:cs="Times New Roman"/>
        </w:rPr>
        <w:t xml:space="preserve"> contenu</w:t>
      </w:r>
      <w:r w:rsidR="007B2BE9">
        <w:rPr>
          <w:rFonts w:ascii="Times New Roman" w:hAnsi="Times New Roman" w:cs="Times New Roman"/>
        </w:rPr>
        <w:t>e</w:t>
      </w:r>
      <w:r w:rsidR="00DB6D69">
        <w:rPr>
          <w:rFonts w:ascii="Times New Roman" w:hAnsi="Times New Roman" w:cs="Times New Roman"/>
        </w:rPr>
        <w:t xml:space="preserve"> à l’article 42, § 4, de la directive 2014/24</w:t>
      </w:r>
      <w:r>
        <w:rPr>
          <w:rFonts w:ascii="Times New Roman" w:hAnsi="Times New Roman" w:cs="Times New Roman"/>
        </w:rPr>
        <w:t xml:space="preserve">, la Cour distingue </w:t>
      </w:r>
      <w:r w:rsidR="00770914">
        <w:rPr>
          <w:rFonts w:ascii="Times New Roman" w:hAnsi="Times New Roman" w:cs="Times New Roman"/>
        </w:rPr>
        <w:t>nettement</w:t>
      </w:r>
      <w:r>
        <w:rPr>
          <w:rFonts w:ascii="Times New Roman" w:hAnsi="Times New Roman" w:cs="Times New Roman"/>
        </w:rPr>
        <w:t xml:space="preserve"> deux cas de figure. </w:t>
      </w:r>
    </w:p>
    <w:p w14:paraId="119B91FE" w14:textId="77777777" w:rsidR="00972C9D" w:rsidRDefault="00972C9D" w:rsidP="00972C9D">
      <w:pPr>
        <w:pStyle w:val="Paragraphedeliste"/>
        <w:spacing w:after="0" w:line="360" w:lineRule="auto"/>
        <w:ind w:left="0"/>
        <w:jc w:val="both"/>
        <w:rPr>
          <w:rFonts w:ascii="Times New Roman" w:hAnsi="Times New Roman" w:cs="Times New Roman"/>
        </w:rPr>
      </w:pPr>
    </w:p>
    <w:p w14:paraId="183C83A2" w14:textId="77777777" w:rsidR="00972C9D" w:rsidRDefault="00972C9D" w:rsidP="00972C9D">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D’une part, la dérogation justifiée par le fait que les méthodes de formulation prévues par l’article 42, § 3, ne permettent pas de fournir une description suffisamment précise et intelligible de l’objet du marché. Dans ce cas, la spécification technique doit être accompagnée de la mention « ou équivalent ». </w:t>
      </w:r>
    </w:p>
    <w:p w14:paraId="6492A6D4" w14:textId="77777777" w:rsidR="00972C9D" w:rsidRDefault="00972C9D" w:rsidP="00972C9D">
      <w:pPr>
        <w:pStyle w:val="Paragraphedeliste"/>
        <w:spacing w:after="0" w:line="360" w:lineRule="auto"/>
        <w:ind w:left="0"/>
        <w:jc w:val="both"/>
        <w:rPr>
          <w:rFonts w:ascii="Times New Roman" w:hAnsi="Times New Roman" w:cs="Times New Roman"/>
        </w:rPr>
      </w:pPr>
    </w:p>
    <w:p w14:paraId="69171012" w14:textId="1E2CFE26" w:rsidR="00972C9D" w:rsidRDefault="00972C9D" w:rsidP="00972C9D">
      <w:pPr>
        <w:pStyle w:val="Paragraphedeliste"/>
        <w:spacing w:after="0" w:line="360" w:lineRule="auto"/>
        <w:ind w:left="0"/>
        <w:jc w:val="both"/>
        <w:rPr>
          <w:rFonts w:ascii="Times New Roman" w:hAnsi="Times New Roman" w:cs="Times New Roman"/>
        </w:rPr>
      </w:pPr>
      <w:r>
        <w:rPr>
          <w:rFonts w:ascii="Times New Roman" w:hAnsi="Times New Roman" w:cs="Times New Roman"/>
        </w:rPr>
        <w:lastRenderedPageBreak/>
        <w:t>D’autre part, la dérogation justifiée par l’objet du marché qui ne doit pas ajouter la mention « ou équivalent ». Cette dérogation, située au début du paragraphe et commençant par les termes « à moins que », permet « d’écarter l’applicabilité même du contenu normatif du paragraphe 4 » (points 50 et 51 de l’arrêt). Cette deuxième possibilité doit toutefois, « sous peine de porter atteinte à l’objectif d’ouverture des marchés publics à la concurrence », être interprétée « de manière restrictive », et ne couvre ainsi que « les situations dans lesquelles une exigence tenant à l’utilisation d’un produit d’un type ou d’une origine voire d’une marque déterminés, ou obtenu sur le fondement d’un brevet ou d’un procédé déterminés, découle inévitablement de l’objet du marché » (point 53 de l’arrêt).</w:t>
      </w:r>
      <w:r w:rsidR="00013175">
        <w:rPr>
          <w:rFonts w:ascii="Times New Roman" w:hAnsi="Times New Roman" w:cs="Times New Roman"/>
        </w:rPr>
        <w:t xml:space="preserve"> </w:t>
      </w:r>
    </w:p>
    <w:p w14:paraId="7553DA25" w14:textId="77777777" w:rsidR="002D73C2" w:rsidRDefault="002D73C2" w:rsidP="00A001F3">
      <w:pPr>
        <w:pStyle w:val="Paragraphedeliste"/>
        <w:spacing w:after="0" w:line="360" w:lineRule="auto"/>
        <w:ind w:left="0"/>
        <w:jc w:val="both"/>
        <w:rPr>
          <w:rFonts w:ascii="Times New Roman" w:hAnsi="Times New Roman" w:cs="Times New Roman"/>
        </w:rPr>
      </w:pPr>
    </w:p>
    <w:p w14:paraId="41AAB532" w14:textId="20B7D21F" w:rsidR="00434B08" w:rsidRDefault="00333ABF" w:rsidP="00DB6D69">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 xml:space="preserve">La </w:t>
      </w:r>
      <w:r w:rsidR="002D73C2">
        <w:rPr>
          <w:rFonts w:ascii="Times New Roman" w:hAnsi="Times New Roman" w:cs="Times New Roman"/>
        </w:rPr>
        <w:t xml:space="preserve">Cour </w:t>
      </w:r>
      <w:r w:rsidR="00D47119">
        <w:rPr>
          <w:rFonts w:ascii="Times New Roman" w:hAnsi="Times New Roman" w:cs="Times New Roman"/>
        </w:rPr>
        <w:t>applique</w:t>
      </w:r>
      <w:r w:rsidR="002D73C2">
        <w:rPr>
          <w:rFonts w:ascii="Times New Roman" w:hAnsi="Times New Roman" w:cs="Times New Roman"/>
        </w:rPr>
        <w:t xml:space="preserve"> </w:t>
      </w:r>
      <w:r w:rsidR="00DB6D69">
        <w:rPr>
          <w:rFonts w:ascii="Times New Roman" w:hAnsi="Times New Roman" w:cs="Times New Roman"/>
        </w:rPr>
        <w:t>ensuite ces principes au cas d’espèce. V</w:t>
      </w:r>
      <w:r w:rsidR="00060AE0">
        <w:rPr>
          <w:rFonts w:ascii="Times New Roman" w:hAnsi="Times New Roman" w:cs="Times New Roman"/>
        </w:rPr>
        <w:t xml:space="preserve">u que l’exigence en cause n’était pas accompagnée de la mention « ou équivalent », </w:t>
      </w:r>
      <w:r w:rsidR="001816A3">
        <w:rPr>
          <w:rFonts w:ascii="Times New Roman" w:hAnsi="Times New Roman" w:cs="Times New Roman"/>
        </w:rPr>
        <w:t>la dérogation justifiée par l’impossibilité de fournir une description suffisamment précise et intelligible du marché</w:t>
      </w:r>
      <w:r w:rsidR="00B857A6">
        <w:rPr>
          <w:rFonts w:ascii="Times New Roman" w:hAnsi="Times New Roman" w:cs="Times New Roman"/>
        </w:rPr>
        <w:t xml:space="preserve"> ne peut pas être appliquée en l’espèce</w:t>
      </w:r>
      <w:r w:rsidR="00B059F2">
        <w:rPr>
          <w:rFonts w:ascii="Times New Roman" w:hAnsi="Times New Roman" w:cs="Times New Roman"/>
        </w:rPr>
        <w:t xml:space="preserve"> (points 58 et 59 de l’arrêt)</w:t>
      </w:r>
      <w:r w:rsidR="00B857A6">
        <w:rPr>
          <w:rFonts w:ascii="Times New Roman" w:hAnsi="Times New Roman" w:cs="Times New Roman"/>
        </w:rPr>
        <w:t>.</w:t>
      </w:r>
    </w:p>
    <w:p w14:paraId="6A3BEB13" w14:textId="77777777" w:rsidR="00AF48A5" w:rsidRDefault="00AF48A5" w:rsidP="00A001F3">
      <w:pPr>
        <w:pStyle w:val="Paragraphedeliste"/>
        <w:spacing w:after="0" w:line="360" w:lineRule="auto"/>
        <w:ind w:left="0"/>
        <w:jc w:val="both"/>
        <w:rPr>
          <w:rFonts w:ascii="Times New Roman" w:hAnsi="Times New Roman" w:cs="Times New Roman"/>
        </w:rPr>
      </w:pPr>
    </w:p>
    <w:p w14:paraId="2318FA02" w14:textId="77777777" w:rsidR="00DB6D69" w:rsidRDefault="00AF48A5" w:rsidP="00A001F3">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Quant à la dérogation justifiée par la nécessité liée à l’objet du marché, la Cour </w:t>
      </w:r>
      <w:r w:rsidR="00D15C73">
        <w:rPr>
          <w:rFonts w:ascii="Times New Roman" w:hAnsi="Times New Roman" w:cs="Times New Roman"/>
        </w:rPr>
        <w:t>considère que « l’exigence relative à l’utilisation d’un matériau déterminé pour un marché public ou pour une partie de celui-ci peut, en particulier, découler inévitablement de l’objet du marché lorsqu’elle se fonde sur l’esthétique recherchée</w:t>
      </w:r>
      <w:r w:rsidR="00B059F2">
        <w:rPr>
          <w:rFonts w:ascii="Times New Roman" w:hAnsi="Times New Roman" w:cs="Times New Roman"/>
        </w:rPr>
        <w:t xml:space="preserve"> par le pouvoir adjudicateur ou sur la nécessité </w:t>
      </w:r>
      <w:r w:rsidR="00E171DB">
        <w:rPr>
          <w:rFonts w:ascii="Times New Roman" w:hAnsi="Times New Roman" w:cs="Times New Roman"/>
        </w:rPr>
        <w:t>d’obtenir l’adéquation</w:t>
      </w:r>
      <w:r w:rsidR="00152B96">
        <w:rPr>
          <w:rFonts w:ascii="Times New Roman" w:hAnsi="Times New Roman" w:cs="Times New Roman"/>
        </w:rPr>
        <w:t xml:space="preserve"> d’un ouvrage à son environnement, ou lorsque, au regard d’une performance ou d’une exigence fonctionnelle</w:t>
      </w:r>
      <w:r w:rsidR="009A4130">
        <w:rPr>
          <w:rFonts w:ascii="Times New Roman" w:hAnsi="Times New Roman" w:cs="Times New Roman"/>
        </w:rPr>
        <w:t xml:space="preserve"> […] il est inévitable d’utiliser des produits constitués </w:t>
      </w:r>
      <w:r w:rsidR="00F34B72">
        <w:rPr>
          <w:rFonts w:ascii="Times New Roman" w:hAnsi="Times New Roman" w:cs="Times New Roman"/>
        </w:rPr>
        <w:t>de ce matériau. En effet, dans de telles situations, aucune alternative fondée sur une solution technique différente n’est envisageable »</w:t>
      </w:r>
      <w:r w:rsidR="009B19A3">
        <w:rPr>
          <w:rFonts w:ascii="Times New Roman" w:hAnsi="Times New Roman" w:cs="Times New Roman"/>
        </w:rPr>
        <w:t xml:space="preserve"> (point </w:t>
      </w:r>
      <w:r w:rsidR="002B2F82">
        <w:rPr>
          <w:rFonts w:ascii="Times New Roman" w:hAnsi="Times New Roman" w:cs="Times New Roman"/>
        </w:rPr>
        <w:t>60 de l’arrêt)</w:t>
      </w:r>
      <w:r w:rsidR="00F34B72">
        <w:rPr>
          <w:rFonts w:ascii="Times New Roman" w:hAnsi="Times New Roman" w:cs="Times New Roman"/>
        </w:rPr>
        <w:t>.</w:t>
      </w:r>
      <w:r w:rsidR="000E71D3">
        <w:rPr>
          <w:rFonts w:ascii="Times New Roman" w:hAnsi="Times New Roman" w:cs="Times New Roman"/>
        </w:rPr>
        <w:t xml:space="preserve"> </w:t>
      </w:r>
    </w:p>
    <w:p w14:paraId="6257E26C" w14:textId="77777777" w:rsidR="00DB6D69" w:rsidRDefault="00DB6D69" w:rsidP="00A001F3">
      <w:pPr>
        <w:pStyle w:val="Paragraphedeliste"/>
        <w:spacing w:after="0" w:line="360" w:lineRule="auto"/>
        <w:ind w:left="0"/>
        <w:jc w:val="both"/>
        <w:rPr>
          <w:rFonts w:ascii="Times New Roman" w:hAnsi="Times New Roman" w:cs="Times New Roman"/>
        </w:rPr>
      </w:pPr>
    </w:p>
    <w:p w14:paraId="432BE5A5" w14:textId="30D6D8CA" w:rsidR="00AF48A5" w:rsidRDefault="000E71D3" w:rsidP="00A001F3">
      <w:pPr>
        <w:pStyle w:val="Paragraphedeliste"/>
        <w:spacing w:after="0" w:line="360" w:lineRule="auto"/>
        <w:ind w:left="0"/>
        <w:jc w:val="both"/>
        <w:rPr>
          <w:rFonts w:ascii="Times New Roman" w:hAnsi="Times New Roman" w:cs="Times New Roman"/>
        </w:rPr>
      </w:pPr>
      <w:r>
        <w:rPr>
          <w:rFonts w:ascii="Times New Roman" w:hAnsi="Times New Roman" w:cs="Times New Roman"/>
        </w:rPr>
        <w:t xml:space="preserve">En dehors de ces cas, le pouvoir adjudicateur ne </w:t>
      </w:r>
      <w:r w:rsidR="00493F65">
        <w:rPr>
          <w:rFonts w:ascii="Times New Roman" w:hAnsi="Times New Roman" w:cs="Times New Roman"/>
        </w:rPr>
        <w:t>peut donc pas faire référence à l’utilisation d’un matériau déterminé</w:t>
      </w:r>
      <w:r w:rsidR="00677D9E">
        <w:rPr>
          <w:rFonts w:ascii="Times New Roman" w:hAnsi="Times New Roman" w:cs="Times New Roman"/>
        </w:rPr>
        <w:t>, sauf s’il y ajoute la mention « ou équivalent » (point 61 de l’arrêt).</w:t>
      </w:r>
      <w:r w:rsidR="000E7AD1">
        <w:rPr>
          <w:rFonts w:ascii="Times New Roman" w:hAnsi="Times New Roman" w:cs="Times New Roman"/>
        </w:rPr>
        <w:t xml:space="preserve"> Ceci permet </w:t>
      </w:r>
      <w:r w:rsidR="008A73DF">
        <w:rPr>
          <w:rFonts w:ascii="Times New Roman" w:hAnsi="Times New Roman" w:cs="Times New Roman"/>
        </w:rPr>
        <w:t xml:space="preserve">de se conformer à l’objectif d’ouverture à la concurrence, </w:t>
      </w:r>
      <w:r w:rsidR="007E0075">
        <w:rPr>
          <w:rFonts w:ascii="Times New Roman" w:hAnsi="Times New Roman" w:cs="Times New Roman"/>
        </w:rPr>
        <w:t xml:space="preserve">les offres constituant dans ce cas « aussi bien celles qui proposent des produits constitués </w:t>
      </w:r>
      <w:r w:rsidR="00B84731">
        <w:rPr>
          <w:rFonts w:ascii="Times New Roman" w:hAnsi="Times New Roman" w:cs="Times New Roman"/>
        </w:rPr>
        <w:t xml:space="preserve">de matériaux dont l’utilisation est </w:t>
      </w:r>
      <w:r w:rsidR="00BD64BE">
        <w:rPr>
          <w:rFonts w:ascii="Times New Roman" w:hAnsi="Times New Roman" w:cs="Times New Roman"/>
        </w:rPr>
        <w:t>courante</w:t>
      </w:r>
      <w:r w:rsidR="00B84731">
        <w:rPr>
          <w:rFonts w:ascii="Times New Roman" w:hAnsi="Times New Roman" w:cs="Times New Roman"/>
        </w:rPr>
        <w:t xml:space="preserve"> dans le secteur concerné que celles qui proposent des produits constitués de matériaux moins habituels, voire innovants » (point 61 de l’arrêt).</w:t>
      </w:r>
    </w:p>
    <w:p w14:paraId="7EC83F3B" w14:textId="77777777" w:rsidR="00212B70" w:rsidRDefault="00212B70" w:rsidP="00A001F3">
      <w:pPr>
        <w:pStyle w:val="Paragraphedeliste"/>
        <w:spacing w:after="0" w:line="360" w:lineRule="auto"/>
        <w:ind w:left="0"/>
        <w:jc w:val="both"/>
        <w:rPr>
          <w:rFonts w:ascii="Times New Roman" w:hAnsi="Times New Roman" w:cs="Times New Roman"/>
        </w:rPr>
      </w:pPr>
    </w:p>
    <w:p w14:paraId="442765F0" w14:textId="087D9111" w:rsidR="00476948" w:rsidRDefault="004B1BB8" w:rsidP="00476948">
      <w:pPr>
        <w:pStyle w:val="Paragraphedeliste"/>
        <w:numPr>
          <w:ilvl w:val="0"/>
          <w:numId w:val="3"/>
        </w:numPr>
        <w:spacing w:after="0" w:line="360" w:lineRule="auto"/>
        <w:ind w:left="0" w:firstLine="0"/>
        <w:jc w:val="both"/>
        <w:rPr>
          <w:rFonts w:ascii="Times New Roman" w:hAnsi="Times New Roman" w:cs="Times New Roman"/>
        </w:rPr>
      </w:pPr>
      <w:r>
        <w:rPr>
          <w:rFonts w:ascii="Times New Roman" w:hAnsi="Times New Roman" w:cs="Times New Roman"/>
        </w:rPr>
        <w:t>Nous constatons par conséquent que la Cour n’aborde pas expressément la justification de Flu</w:t>
      </w:r>
      <w:r w:rsidR="00D420D6">
        <w:rPr>
          <w:rFonts w:ascii="Times New Roman" w:hAnsi="Times New Roman" w:cs="Times New Roman"/>
        </w:rPr>
        <w:t>vius</w:t>
      </w:r>
      <w:r>
        <w:rPr>
          <w:rFonts w:ascii="Times New Roman" w:hAnsi="Times New Roman" w:cs="Times New Roman"/>
        </w:rPr>
        <w:t xml:space="preserve"> suivant laquelle </w:t>
      </w:r>
      <w:r w:rsidR="00C4126D">
        <w:rPr>
          <w:rFonts w:ascii="Times New Roman" w:hAnsi="Times New Roman" w:cs="Times New Roman"/>
        </w:rPr>
        <w:t xml:space="preserve">les spécifications techniques litigieuses auraient été introduites pour des raisons environnementales et de durabilité. Au premier abord, </w:t>
      </w:r>
      <w:r w:rsidR="003A152E">
        <w:rPr>
          <w:rFonts w:ascii="Times New Roman" w:hAnsi="Times New Roman" w:cs="Times New Roman"/>
        </w:rPr>
        <w:t xml:space="preserve">l’arrêt </w:t>
      </w:r>
      <w:r w:rsidR="003A152E">
        <w:rPr>
          <w:rFonts w:ascii="Times New Roman" w:hAnsi="Times New Roman" w:cs="Times New Roman"/>
          <w:i/>
          <w:iCs/>
        </w:rPr>
        <w:t xml:space="preserve">DYKA Plastics </w:t>
      </w:r>
      <w:r w:rsidR="002A4459">
        <w:rPr>
          <w:rFonts w:ascii="Times New Roman" w:hAnsi="Times New Roman" w:cs="Times New Roman"/>
        </w:rPr>
        <w:lastRenderedPageBreak/>
        <w:t>pourrait do</w:t>
      </w:r>
      <w:r w:rsidR="003A152E">
        <w:rPr>
          <w:rFonts w:ascii="Times New Roman" w:hAnsi="Times New Roman" w:cs="Times New Roman"/>
        </w:rPr>
        <w:t xml:space="preserve">nc </w:t>
      </w:r>
      <w:r w:rsidR="002A4459">
        <w:rPr>
          <w:rFonts w:ascii="Times New Roman" w:hAnsi="Times New Roman" w:cs="Times New Roman"/>
        </w:rPr>
        <w:t xml:space="preserve">être lu comme </w:t>
      </w:r>
      <w:r w:rsidR="003A152E">
        <w:rPr>
          <w:rFonts w:ascii="Times New Roman" w:hAnsi="Times New Roman" w:cs="Times New Roman"/>
        </w:rPr>
        <w:t xml:space="preserve">constituant un obstacle supplémentaire à l’insertion de spécifications techniques environnementales </w:t>
      </w:r>
      <w:r w:rsidR="00476948">
        <w:rPr>
          <w:rFonts w:ascii="Times New Roman" w:hAnsi="Times New Roman" w:cs="Times New Roman"/>
        </w:rPr>
        <w:t>dans les documents du marché</w:t>
      </w:r>
      <w:r w:rsidR="00B614E8">
        <w:rPr>
          <w:rFonts w:ascii="Times New Roman" w:hAnsi="Times New Roman" w:cs="Times New Roman"/>
        </w:rPr>
        <w:t>, en ce que la seule justification environnementale ne suffit pas</w:t>
      </w:r>
      <w:r w:rsidR="00476948">
        <w:rPr>
          <w:rFonts w:ascii="Times New Roman" w:hAnsi="Times New Roman" w:cs="Times New Roman"/>
        </w:rPr>
        <w:t>.</w:t>
      </w:r>
    </w:p>
    <w:p w14:paraId="29B7CC76" w14:textId="77777777" w:rsidR="00476948" w:rsidRDefault="00476948" w:rsidP="00476948">
      <w:pPr>
        <w:spacing w:after="0" w:line="360" w:lineRule="auto"/>
        <w:jc w:val="both"/>
        <w:rPr>
          <w:rFonts w:ascii="Times New Roman" w:hAnsi="Times New Roman" w:cs="Times New Roman"/>
        </w:rPr>
      </w:pPr>
    </w:p>
    <w:p w14:paraId="1BD82654" w14:textId="77654C81" w:rsidR="00476948" w:rsidRDefault="00E334DF" w:rsidP="00476948">
      <w:pPr>
        <w:spacing w:after="0" w:line="360" w:lineRule="auto"/>
        <w:jc w:val="both"/>
        <w:rPr>
          <w:rFonts w:ascii="Times New Roman" w:hAnsi="Times New Roman" w:cs="Times New Roman"/>
        </w:rPr>
      </w:pPr>
      <w:r>
        <w:rPr>
          <w:rFonts w:ascii="Times New Roman" w:hAnsi="Times New Roman" w:cs="Times New Roman"/>
        </w:rPr>
        <w:t>C</w:t>
      </w:r>
      <w:r w:rsidR="00476948">
        <w:rPr>
          <w:rFonts w:ascii="Times New Roman" w:hAnsi="Times New Roman" w:cs="Times New Roman"/>
        </w:rPr>
        <w:t xml:space="preserve">omme cela transparaît tout au long de l’arrêt, </w:t>
      </w:r>
      <w:r w:rsidR="001F0233">
        <w:rPr>
          <w:rFonts w:ascii="Times New Roman" w:hAnsi="Times New Roman" w:cs="Times New Roman"/>
        </w:rPr>
        <w:t>le raisonnement de la Cour est</w:t>
      </w:r>
      <w:r w:rsidR="00693538">
        <w:rPr>
          <w:rFonts w:ascii="Times New Roman" w:hAnsi="Times New Roman" w:cs="Times New Roman"/>
        </w:rPr>
        <w:t xml:space="preserve"> guidé </w:t>
      </w:r>
      <w:r w:rsidR="000C6EB7">
        <w:rPr>
          <w:rFonts w:ascii="Times New Roman" w:hAnsi="Times New Roman" w:cs="Times New Roman"/>
        </w:rPr>
        <w:t>par l’objectif de concurrence</w:t>
      </w:r>
      <w:r w:rsidR="00930A20">
        <w:rPr>
          <w:rFonts w:ascii="Times New Roman" w:hAnsi="Times New Roman" w:cs="Times New Roman"/>
        </w:rPr>
        <w:t>,</w:t>
      </w:r>
      <w:r w:rsidR="000C6EB7">
        <w:rPr>
          <w:rFonts w:ascii="Times New Roman" w:hAnsi="Times New Roman" w:cs="Times New Roman"/>
        </w:rPr>
        <w:t xml:space="preserve"> qui semble prévaloir sur </w:t>
      </w:r>
      <w:r w:rsidR="00930A20">
        <w:rPr>
          <w:rFonts w:ascii="Times New Roman" w:hAnsi="Times New Roman" w:cs="Times New Roman"/>
        </w:rPr>
        <w:t xml:space="preserve">l’objectif environnemental. </w:t>
      </w:r>
      <w:r w:rsidR="004C6B02">
        <w:rPr>
          <w:rFonts w:ascii="Times New Roman" w:hAnsi="Times New Roman" w:cs="Times New Roman"/>
        </w:rPr>
        <w:t xml:space="preserve">Mais </w:t>
      </w:r>
      <w:r w:rsidR="00D06CC5">
        <w:rPr>
          <w:rFonts w:ascii="Times New Roman" w:hAnsi="Times New Roman" w:cs="Times New Roman"/>
        </w:rPr>
        <w:t>le</w:t>
      </w:r>
      <w:r w:rsidR="004C6B02">
        <w:rPr>
          <w:rFonts w:ascii="Times New Roman" w:hAnsi="Times New Roman" w:cs="Times New Roman"/>
        </w:rPr>
        <w:t xml:space="preserve"> raisonnement</w:t>
      </w:r>
      <w:r w:rsidR="00D06CC5">
        <w:rPr>
          <w:rFonts w:ascii="Times New Roman" w:hAnsi="Times New Roman" w:cs="Times New Roman"/>
        </w:rPr>
        <w:t xml:space="preserve"> de la Cour</w:t>
      </w:r>
      <w:r w:rsidR="004C6B02">
        <w:rPr>
          <w:rFonts w:ascii="Times New Roman" w:hAnsi="Times New Roman" w:cs="Times New Roman"/>
        </w:rPr>
        <w:t xml:space="preserve"> est aussi</w:t>
      </w:r>
      <w:r w:rsidR="00930A20">
        <w:rPr>
          <w:rFonts w:ascii="Times New Roman" w:hAnsi="Times New Roman" w:cs="Times New Roman"/>
        </w:rPr>
        <w:t xml:space="preserve"> </w:t>
      </w:r>
      <w:r w:rsidR="001F0233">
        <w:rPr>
          <w:rFonts w:ascii="Times New Roman" w:hAnsi="Times New Roman" w:cs="Times New Roman"/>
        </w:rPr>
        <w:t xml:space="preserve">empreint </w:t>
      </w:r>
      <w:r w:rsidR="004B2778">
        <w:rPr>
          <w:rFonts w:ascii="Times New Roman" w:hAnsi="Times New Roman" w:cs="Times New Roman"/>
        </w:rPr>
        <w:t xml:space="preserve">de l’objectif du législateur de l’Union de favoriser l’innovation. </w:t>
      </w:r>
      <w:r w:rsidR="00F8473A">
        <w:rPr>
          <w:rFonts w:ascii="Times New Roman" w:hAnsi="Times New Roman" w:cs="Times New Roman"/>
        </w:rPr>
        <w:t xml:space="preserve"> </w:t>
      </w:r>
      <w:r w:rsidR="004B2778">
        <w:rPr>
          <w:rFonts w:ascii="Times New Roman" w:hAnsi="Times New Roman" w:cs="Times New Roman"/>
        </w:rPr>
        <w:t>B</w:t>
      </w:r>
      <w:r w:rsidR="00D7678B">
        <w:rPr>
          <w:rFonts w:ascii="Times New Roman" w:hAnsi="Times New Roman" w:cs="Times New Roman"/>
        </w:rPr>
        <w:t xml:space="preserve">ien que </w:t>
      </w:r>
      <w:r w:rsidR="004B2778">
        <w:rPr>
          <w:rFonts w:ascii="Times New Roman" w:hAnsi="Times New Roman" w:cs="Times New Roman"/>
        </w:rPr>
        <w:t>ce</w:t>
      </w:r>
      <w:r w:rsidR="001406BE">
        <w:rPr>
          <w:rFonts w:ascii="Times New Roman" w:hAnsi="Times New Roman" w:cs="Times New Roman"/>
        </w:rPr>
        <w:t>tte considération</w:t>
      </w:r>
      <w:r w:rsidR="004B2778">
        <w:rPr>
          <w:rFonts w:ascii="Times New Roman" w:hAnsi="Times New Roman" w:cs="Times New Roman"/>
        </w:rPr>
        <w:t xml:space="preserve"> </w:t>
      </w:r>
      <w:r w:rsidR="007847C7">
        <w:rPr>
          <w:rFonts w:ascii="Times New Roman" w:hAnsi="Times New Roman" w:cs="Times New Roman"/>
        </w:rPr>
        <w:t xml:space="preserve">découle en premier lieu </w:t>
      </w:r>
      <w:r w:rsidR="004B2778">
        <w:rPr>
          <w:rFonts w:ascii="Times New Roman" w:hAnsi="Times New Roman" w:cs="Times New Roman"/>
        </w:rPr>
        <w:t xml:space="preserve">des </w:t>
      </w:r>
      <w:r w:rsidR="00D7678B">
        <w:rPr>
          <w:rFonts w:ascii="Times New Roman" w:hAnsi="Times New Roman" w:cs="Times New Roman"/>
        </w:rPr>
        <w:t xml:space="preserve">principes </w:t>
      </w:r>
      <w:r w:rsidR="005D5C4A">
        <w:rPr>
          <w:rFonts w:ascii="Times New Roman" w:hAnsi="Times New Roman" w:cs="Times New Roman"/>
        </w:rPr>
        <w:t>originels</w:t>
      </w:r>
      <w:r w:rsidR="000D3D13">
        <w:rPr>
          <w:rFonts w:ascii="Times New Roman" w:hAnsi="Times New Roman" w:cs="Times New Roman"/>
        </w:rPr>
        <w:t xml:space="preserve"> du droit des marchés publics, à savoir les principes de concurrence</w:t>
      </w:r>
      <w:r w:rsidR="000A3297">
        <w:rPr>
          <w:rFonts w:ascii="Times New Roman" w:hAnsi="Times New Roman" w:cs="Times New Roman"/>
        </w:rPr>
        <w:t>, ainsi que</w:t>
      </w:r>
      <w:r w:rsidR="000D6121">
        <w:rPr>
          <w:rFonts w:ascii="Times New Roman" w:hAnsi="Times New Roman" w:cs="Times New Roman"/>
        </w:rPr>
        <w:t xml:space="preserve"> </w:t>
      </w:r>
      <w:r w:rsidR="000D3D13">
        <w:rPr>
          <w:rFonts w:ascii="Times New Roman" w:hAnsi="Times New Roman" w:cs="Times New Roman"/>
        </w:rPr>
        <w:t>d’égalité et de non</w:t>
      </w:r>
      <w:r w:rsidR="000D6121">
        <w:rPr>
          <w:rFonts w:ascii="Times New Roman" w:hAnsi="Times New Roman" w:cs="Times New Roman"/>
        </w:rPr>
        <w:t>-</w:t>
      </w:r>
      <w:r w:rsidR="000D3D13">
        <w:rPr>
          <w:rFonts w:ascii="Times New Roman" w:hAnsi="Times New Roman" w:cs="Times New Roman"/>
        </w:rPr>
        <w:t xml:space="preserve">discrimination, </w:t>
      </w:r>
      <w:r w:rsidR="007847C7">
        <w:rPr>
          <w:rFonts w:ascii="Times New Roman" w:hAnsi="Times New Roman" w:cs="Times New Roman"/>
        </w:rPr>
        <w:t xml:space="preserve">force est de constater que </w:t>
      </w:r>
      <w:r w:rsidR="00A01473">
        <w:rPr>
          <w:rFonts w:ascii="Times New Roman" w:hAnsi="Times New Roman" w:cs="Times New Roman"/>
        </w:rPr>
        <w:t>l</w:t>
      </w:r>
      <w:r w:rsidR="007858A9">
        <w:rPr>
          <w:rFonts w:ascii="Times New Roman" w:hAnsi="Times New Roman" w:cs="Times New Roman"/>
        </w:rPr>
        <w:t>es objectifs de</w:t>
      </w:r>
      <w:r w:rsidR="00A01473">
        <w:rPr>
          <w:rFonts w:ascii="Times New Roman" w:hAnsi="Times New Roman" w:cs="Times New Roman"/>
        </w:rPr>
        <w:t xml:space="preserve"> durabilité motive</w:t>
      </w:r>
      <w:r w:rsidR="007858A9">
        <w:rPr>
          <w:rFonts w:ascii="Times New Roman" w:hAnsi="Times New Roman" w:cs="Times New Roman"/>
        </w:rPr>
        <w:t>nt</w:t>
      </w:r>
      <w:r w:rsidR="00A01473">
        <w:rPr>
          <w:rFonts w:ascii="Times New Roman" w:hAnsi="Times New Roman" w:cs="Times New Roman"/>
        </w:rPr>
        <w:t xml:space="preserve"> aussi le </w:t>
      </w:r>
      <w:r w:rsidR="0016522D">
        <w:rPr>
          <w:rFonts w:ascii="Times New Roman" w:hAnsi="Times New Roman" w:cs="Times New Roman"/>
        </w:rPr>
        <w:t>législateur européen (cf. considérant 74 de la directive 2014/24)</w:t>
      </w:r>
      <w:r w:rsidR="00D268A1">
        <w:rPr>
          <w:rFonts w:ascii="Times New Roman" w:hAnsi="Times New Roman" w:cs="Times New Roman"/>
        </w:rPr>
        <w:t xml:space="preserve">. </w:t>
      </w:r>
      <w:r w:rsidR="007858A9">
        <w:rPr>
          <w:rFonts w:ascii="Times New Roman" w:hAnsi="Times New Roman" w:cs="Times New Roman"/>
        </w:rPr>
        <w:t xml:space="preserve">Ces objectifs bénéficient </w:t>
      </w:r>
      <w:r w:rsidR="00CD332C">
        <w:rPr>
          <w:rFonts w:ascii="Times New Roman" w:hAnsi="Times New Roman" w:cs="Times New Roman"/>
        </w:rPr>
        <w:t>pareillement</w:t>
      </w:r>
      <w:r w:rsidR="007858A9">
        <w:rPr>
          <w:rFonts w:ascii="Times New Roman" w:hAnsi="Times New Roman" w:cs="Times New Roman"/>
        </w:rPr>
        <w:t xml:space="preserve"> </w:t>
      </w:r>
      <w:r w:rsidR="00115985">
        <w:rPr>
          <w:rFonts w:ascii="Times New Roman" w:hAnsi="Times New Roman" w:cs="Times New Roman"/>
        </w:rPr>
        <w:t>d’une priorisation de l’innovation</w:t>
      </w:r>
      <w:r w:rsidR="00DE172C">
        <w:rPr>
          <w:rFonts w:ascii="Times New Roman" w:hAnsi="Times New Roman" w:cs="Times New Roman"/>
        </w:rPr>
        <w:t xml:space="preserve">. Le pouvoir adjudicateur ne pourrait en effet pas être au courant d’autres techniques </w:t>
      </w:r>
      <w:r w:rsidR="00372BFE">
        <w:rPr>
          <w:rFonts w:ascii="Times New Roman" w:hAnsi="Times New Roman" w:cs="Times New Roman"/>
        </w:rPr>
        <w:t xml:space="preserve">plus respectueuses de l’environnement. Il a à cet égard déjà été constaté que </w:t>
      </w:r>
      <w:r w:rsidR="009A1F34">
        <w:rPr>
          <w:rFonts w:ascii="Times New Roman" w:hAnsi="Times New Roman" w:cs="Times New Roman"/>
        </w:rPr>
        <w:t xml:space="preserve">la normalisation </w:t>
      </w:r>
      <w:r w:rsidR="005C6E21">
        <w:rPr>
          <w:rFonts w:ascii="Times New Roman" w:hAnsi="Times New Roman" w:cs="Times New Roman"/>
        </w:rPr>
        <w:t>« ne répond pas toujours nécessairement aux besoins spécifiques » du pouvoir adjudicateur</w:t>
      </w:r>
      <w:r w:rsidR="00372BFE">
        <w:rPr>
          <w:rStyle w:val="Appelnotedebasdep"/>
          <w:rFonts w:ascii="Times New Roman" w:hAnsi="Times New Roman" w:cs="Times New Roman"/>
        </w:rPr>
        <w:footnoteReference w:id="47"/>
      </w:r>
      <w:r w:rsidR="005C6E21">
        <w:rPr>
          <w:rFonts w:ascii="Times New Roman" w:hAnsi="Times New Roman" w:cs="Times New Roman"/>
        </w:rPr>
        <w:t>.</w:t>
      </w:r>
      <w:r w:rsidR="00115985">
        <w:rPr>
          <w:rFonts w:ascii="Times New Roman" w:hAnsi="Times New Roman" w:cs="Times New Roman"/>
        </w:rPr>
        <w:t xml:space="preserve"> </w:t>
      </w:r>
      <w:r w:rsidR="00F5277A">
        <w:rPr>
          <w:rFonts w:ascii="Times New Roman" w:hAnsi="Times New Roman" w:cs="Times New Roman"/>
        </w:rPr>
        <w:t>L’Avocat général M. MANUEL CAMPOS SÁNCHES-BORDONA relève ainsi que</w:t>
      </w:r>
      <w:r w:rsidR="00CF27F0">
        <w:rPr>
          <w:rFonts w:ascii="Times New Roman" w:hAnsi="Times New Roman" w:cs="Times New Roman"/>
        </w:rPr>
        <w:t xml:space="preserve"> « [d]</w:t>
      </w:r>
      <w:r w:rsidR="00CF27F0" w:rsidRPr="00CF27F0">
        <w:rPr>
          <w:rFonts w:ascii="Times New Roman" w:hAnsi="Times New Roman" w:cs="Times New Roman"/>
        </w:rPr>
        <w:t>e nouvelles propositions technologiques de matériaux égalisant ou dépassant les propriétés des canalisations en grès ou en béton seraient susceptibles, par nature, d’optimiser le résultat de la passation de marchés publics</w:t>
      </w:r>
      <w:r w:rsidR="00CF27F0">
        <w:rPr>
          <w:rFonts w:ascii="Times New Roman" w:hAnsi="Times New Roman" w:cs="Times New Roman"/>
        </w:rPr>
        <w:t> »</w:t>
      </w:r>
      <w:r w:rsidR="00F5277A">
        <w:rPr>
          <w:rFonts w:ascii="Times New Roman" w:hAnsi="Times New Roman" w:cs="Times New Roman"/>
        </w:rPr>
        <w:t xml:space="preserve"> </w:t>
      </w:r>
      <w:r w:rsidR="00CF27F0">
        <w:rPr>
          <w:rFonts w:ascii="Times New Roman" w:hAnsi="Times New Roman" w:cs="Times New Roman"/>
        </w:rPr>
        <w:t>(point 92 des conclusions).</w:t>
      </w:r>
    </w:p>
    <w:p w14:paraId="7582808E" w14:textId="77777777" w:rsidR="00530E40" w:rsidRDefault="00530E40" w:rsidP="00476948">
      <w:pPr>
        <w:spacing w:after="0" w:line="360" w:lineRule="auto"/>
        <w:jc w:val="both"/>
        <w:rPr>
          <w:rFonts w:ascii="Times New Roman" w:hAnsi="Times New Roman" w:cs="Times New Roman"/>
        </w:rPr>
      </w:pPr>
    </w:p>
    <w:p w14:paraId="29925CF5" w14:textId="1C485002" w:rsidR="00530E40" w:rsidRDefault="00DF3224" w:rsidP="00476948">
      <w:pPr>
        <w:spacing w:after="0" w:line="360" w:lineRule="auto"/>
        <w:jc w:val="both"/>
        <w:rPr>
          <w:rFonts w:ascii="Times New Roman" w:hAnsi="Times New Roman" w:cs="Times New Roman"/>
        </w:rPr>
      </w:pPr>
      <w:r>
        <w:rPr>
          <w:rFonts w:ascii="Times New Roman" w:hAnsi="Times New Roman" w:cs="Times New Roman"/>
        </w:rPr>
        <w:t>Il n’en demeure pas moins qu’il n’est pas certain que</w:t>
      </w:r>
      <w:r w:rsidR="00AB1FFA">
        <w:rPr>
          <w:rFonts w:ascii="Times New Roman" w:hAnsi="Times New Roman" w:cs="Times New Roman"/>
        </w:rPr>
        <w:t xml:space="preserve">, dans les faits, la protection de l’environnement </w:t>
      </w:r>
      <w:r w:rsidR="00F81DD0">
        <w:rPr>
          <w:rFonts w:ascii="Times New Roman" w:hAnsi="Times New Roman" w:cs="Times New Roman"/>
        </w:rPr>
        <w:t>s</w:t>
      </w:r>
      <w:r w:rsidR="001743CB">
        <w:rPr>
          <w:rFonts w:ascii="Times New Roman" w:hAnsi="Times New Roman" w:cs="Times New Roman"/>
        </w:rPr>
        <w:t>oit</w:t>
      </w:r>
      <w:r w:rsidR="00F81DD0">
        <w:rPr>
          <w:rFonts w:ascii="Times New Roman" w:hAnsi="Times New Roman" w:cs="Times New Roman"/>
        </w:rPr>
        <w:t xml:space="preserve"> assurée. </w:t>
      </w:r>
      <w:r w:rsidR="002E19A6">
        <w:rPr>
          <w:rFonts w:ascii="Times New Roman" w:hAnsi="Times New Roman" w:cs="Times New Roman"/>
        </w:rPr>
        <w:t>Le</w:t>
      </w:r>
      <w:r w:rsidR="00364D94">
        <w:rPr>
          <w:rFonts w:ascii="Times New Roman" w:hAnsi="Times New Roman" w:cs="Times New Roman"/>
        </w:rPr>
        <w:t xml:space="preserve"> pouvoir adjudicateur </w:t>
      </w:r>
      <w:r w:rsidR="004962D9">
        <w:rPr>
          <w:rFonts w:ascii="Times New Roman" w:hAnsi="Times New Roman" w:cs="Times New Roman"/>
        </w:rPr>
        <w:t xml:space="preserve">pourrait en réalité se trouver dans l’impossibilité </w:t>
      </w:r>
      <w:r w:rsidR="00DB530F">
        <w:rPr>
          <w:rFonts w:ascii="Times New Roman" w:hAnsi="Times New Roman" w:cs="Times New Roman"/>
        </w:rPr>
        <w:t xml:space="preserve">technique </w:t>
      </w:r>
      <w:r w:rsidR="004962D9">
        <w:rPr>
          <w:rFonts w:ascii="Times New Roman" w:hAnsi="Times New Roman" w:cs="Times New Roman"/>
        </w:rPr>
        <w:t xml:space="preserve">d’édicter des </w:t>
      </w:r>
      <w:r w:rsidR="00DB530F">
        <w:rPr>
          <w:rFonts w:ascii="Times New Roman" w:hAnsi="Times New Roman" w:cs="Times New Roman"/>
        </w:rPr>
        <w:t xml:space="preserve">spécifications techniques </w:t>
      </w:r>
      <w:r w:rsidR="001743CB">
        <w:rPr>
          <w:rFonts w:ascii="Times New Roman" w:hAnsi="Times New Roman" w:cs="Times New Roman"/>
        </w:rPr>
        <w:t xml:space="preserve">environnementales </w:t>
      </w:r>
      <w:r w:rsidR="00DB530F">
        <w:rPr>
          <w:rFonts w:ascii="Times New Roman" w:hAnsi="Times New Roman" w:cs="Times New Roman"/>
        </w:rPr>
        <w:t xml:space="preserve">en termes </w:t>
      </w:r>
      <w:r w:rsidR="001743CB">
        <w:rPr>
          <w:rFonts w:ascii="Times New Roman" w:hAnsi="Times New Roman" w:cs="Times New Roman"/>
        </w:rPr>
        <w:t xml:space="preserve">de performances ou </w:t>
      </w:r>
      <w:r w:rsidR="00DB530F">
        <w:rPr>
          <w:rFonts w:ascii="Times New Roman" w:hAnsi="Times New Roman" w:cs="Times New Roman"/>
        </w:rPr>
        <w:t xml:space="preserve">d’exigences </w:t>
      </w:r>
      <w:r w:rsidR="001743CB">
        <w:rPr>
          <w:rFonts w:ascii="Times New Roman" w:hAnsi="Times New Roman" w:cs="Times New Roman"/>
        </w:rPr>
        <w:t>fonctionnelles</w:t>
      </w:r>
      <w:r w:rsidR="0075308F">
        <w:rPr>
          <w:rStyle w:val="Appelnotedebasdep"/>
          <w:rFonts w:ascii="Times New Roman" w:hAnsi="Times New Roman" w:cs="Times New Roman"/>
        </w:rPr>
        <w:footnoteReference w:id="48"/>
      </w:r>
      <w:r w:rsidR="001743CB">
        <w:rPr>
          <w:rFonts w:ascii="Times New Roman" w:hAnsi="Times New Roman" w:cs="Times New Roman"/>
        </w:rPr>
        <w:t xml:space="preserve">. Ou encore, </w:t>
      </w:r>
      <w:r w:rsidR="00E07E2A">
        <w:rPr>
          <w:rFonts w:ascii="Times New Roman" w:hAnsi="Times New Roman" w:cs="Times New Roman"/>
        </w:rPr>
        <w:t xml:space="preserve">de pouvoir évaluer la conformité des offres à ces exigences </w:t>
      </w:r>
      <w:r w:rsidR="00135750">
        <w:rPr>
          <w:rFonts w:ascii="Times New Roman" w:hAnsi="Times New Roman" w:cs="Times New Roman"/>
        </w:rPr>
        <w:t xml:space="preserve">ou </w:t>
      </w:r>
      <w:r w:rsidR="00A00EB0">
        <w:rPr>
          <w:rFonts w:ascii="Times New Roman" w:hAnsi="Times New Roman" w:cs="Times New Roman"/>
        </w:rPr>
        <w:t>leur équivalence aux spécifications techniques</w:t>
      </w:r>
      <w:r w:rsidR="00E834B3">
        <w:rPr>
          <w:rFonts w:ascii="Times New Roman" w:hAnsi="Times New Roman" w:cs="Times New Roman"/>
        </w:rPr>
        <w:t xml:space="preserve"> édictées conformément à l’article 42, § 3, b), de la directive 2014/24. </w:t>
      </w:r>
      <w:r w:rsidR="00E129BF">
        <w:rPr>
          <w:rFonts w:ascii="Times New Roman" w:hAnsi="Times New Roman" w:cs="Times New Roman"/>
        </w:rPr>
        <w:t xml:space="preserve">La réforme du droit </w:t>
      </w:r>
      <w:r w:rsidR="00FB00F4">
        <w:rPr>
          <w:rFonts w:ascii="Times New Roman" w:hAnsi="Times New Roman" w:cs="Times New Roman"/>
        </w:rPr>
        <w:t xml:space="preserve">européen </w:t>
      </w:r>
      <w:r w:rsidR="00E129BF">
        <w:rPr>
          <w:rFonts w:ascii="Times New Roman" w:hAnsi="Times New Roman" w:cs="Times New Roman"/>
        </w:rPr>
        <w:t xml:space="preserve">des marchés publics mise en route récemment pourrait permettre </w:t>
      </w:r>
      <w:r w:rsidR="008A2B50">
        <w:rPr>
          <w:rFonts w:ascii="Times New Roman" w:hAnsi="Times New Roman" w:cs="Times New Roman"/>
        </w:rPr>
        <w:t xml:space="preserve">de </w:t>
      </w:r>
      <w:r w:rsidR="003C2D16">
        <w:rPr>
          <w:rFonts w:ascii="Times New Roman" w:hAnsi="Times New Roman" w:cs="Times New Roman"/>
        </w:rPr>
        <w:t>pallier</w:t>
      </w:r>
      <w:r w:rsidR="008A2B50">
        <w:rPr>
          <w:rFonts w:ascii="Times New Roman" w:hAnsi="Times New Roman" w:cs="Times New Roman"/>
        </w:rPr>
        <w:t xml:space="preserve"> ces problèmes.</w:t>
      </w:r>
      <w:r w:rsidR="003C2D16">
        <w:rPr>
          <w:rFonts w:ascii="Times New Roman" w:hAnsi="Times New Roman" w:cs="Times New Roman"/>
        </w:rPr>
        <w:t xml:space="preserve"> Les pouvoirs adjudicateurs pourraient être obligés de procéder à une évaluation environnementale </w:t>
      </w:r>
      <w:r w:rsidR="003C2D16">
        <w:rPr>
          <w:rFonts w:ascii="Times New Roman" w:hAnsi="Times New Roman" w:cs="Times New Roman"/>
        </w:rPr>
        <w:lastRenderedPageBreak/>
        <w:t xml:space="preserve">de leur marché </w:t>
      </w:r>
      <w:r w:rsidR="006624E8">
        <w:rPr>
          <w:rFonts w:ascii="Times New Roman" w:hAnsi="Times New Roman" w:cs="Times New Roman"/>
        </w:rPr>
        <w:t xml:space="preserve">afin d’identifier </w:t>
      </w:r>
      <w:r w:rsidR="003903F7">
        <w:rPr>
          <w:rFonts w:ascii="Times New Roman" w:hAnsi="Times New Roman" w:cs="Times New Roman"/>
        </w:rPr>
        <w:t>les spécifications techniques environnementales à adopter</w:t>
      </w:r>
      <w:r w:rsidR="001513CC">
        <w:rPr>
          <w:rFonts w:ascii="Times New Roman" w:hAnsi="Times New Roman" w:cs="Times New Roman"/>
        </w:rPr>
        <w:t xml:space="preserve"> (et les adopter ensuite)</w:t>
      </w:r>
      <w:r w:rsidR="00CC02A2">
        <w:rPr>
          <w:rStyle w:val="Appelnotedebasdep"/>
          <w:rFonts w:ascii="Times New Roman" w:hAnsi="Times New Roman" w:cs="Times New Roman"/>
        </w:rPr>
        <w:footnoteReference w:id="49"/>
      </w:r>
      <w:r w:rsidR="003903F7">
        <w:rPr>
          <w:rFonts w:ascii="Times New Roman" w:hAnsi="Times New Roman" w:cs="Times New Roman"/>
        </w:rPr>
        <w:t>.</w:t>
      </w:r>
      <w:r w:rsidR="006D535D">
        <w:rPr>
          <w:rFonts w:ascii="Times New Roman" w:hAnsi="Times New Roman" w:cs="Times New Roman"/>
        </w:rPr>
        <w:t xml:space="preserve"> Il s’agirait </w:t>
      </w:r>
      <w:r w:rsidR="00FA2969">
        <w:rPr>
          <w:rFonts w:ascii="Times New Roman" w:hAnsi="Times New Roman" w:cs="Times New Roman"/>
        </w:rPr>
        <w:t xml:space="preserve">par exemple </w:t>
      </w:r>
      <w:r w:rsidR="005653E8">
        <w:rPr>
          <w:rFonts w:ascii="Times New Roman" w:hAnsi="Times New Roman" w:cs="Times New Roman"/>
        </w:rPr>
        <w:t xml:space="preserve">de déterminer les spécifications techniques </w:t>
      </w:r>
      <w:r w:rsidR="007119BF">
        <w:rPr>
          <w:rFonts w:ascii="Times New Roman" w:hAnsi="Times New Roman" w:cs="Times New Roman"/>
        </w:rPr>
        <w:t>nécessaires pour</w:t>
      </w:r>
      <w:r w:rsidR="005653E8">
        <w:rPr>
          <w:rFonts w:ascii="Times New Roman" w:hAnsi="Times New Roman" w:cs="Times New Roman"/>
        </w:rPr>
        <w:t xml:space="preserve"> que le</w:t>
      </w:r>
      <w:r w:rsidR="00607C94">
        <w:rPr>
          <w:rFonts w:ascii="Times New Roman" w:hAnsi="Times New Roman" w:cs="Times New Roman"/>
        </w:rPr>
        <w:t>s fournitures</w:t>
      </w:r>
      <w:r w:rsidR="005653E8">
        <w:rPr>
          <w:rFonts w:ascii="Times New Roman" w:hAnsi="Times New Roman" w:cs="Times New Roman"/>
        </w:rPr>
        <w:t xml:space="preserve"> </w:t>
      </w:r>
      <w:r w:rsidR="00B85284">
        <w:rPr>
          <w:rFonts w:ascii="Times New Roman" w:hAnsi="Times New Roman" w:cs="Times New Roman"/>
        </w:rPr>
        <w:t>faisant l’objet du marché</w:t>
      </w:r>
      <w:r w:rsidR="00607C94">
        <w:rPr>
          <w:rFonts w:ascii="Times New Roman" w:hAnsi="Times New Roman" w:cs="Times New Roman"/>
        </w:rPr>
        <w:t xml:space="preserve"> aient l’impact environnemental le plus faible possible.</w:t>
      </w:r>
      <w:r w:rsidR="00B85284">
        <w:rPr>
          <w:rFonts w:ascii="Times New Roman" w:hAnsi="Times New Roman" w:cs="Times New Roman"/>
        </w:rPr>
        <w:t xml:space="preserve"> </w:t>
      </w:r>
      <w:r w:rsidR="003903F7">
        <w:rPr>
          <w:rFonts w:ascii="Times New Roman" w:hAnsi="Times New Roman" w:cs="Times New Roman"/>
        </w:rPr>
        <w:t xml:space="preserve"> Pour que cette évaluation soit effective, </w:t>
      </w:r>
      <w:r w:rsidR="009D24F0">
        <w:rPr>
          <w:rFonts w:ascii="Times New Roman" w:hAnsi="Times New Roman" w:cs="Times New Roman"/>
        </w:rPr>
        <w:t>des mesures de professionnalisation obligatoires pourraient être imposées au pouvoir adjudicateur en cette matière</w:t>
      </w:r>
      <w:r w:rsidR="00FF137D">
        <w:rPr>
          <w:rFonts w:ascii="Times New Roman" w:hAnsi="Times New Roman" w:cs="Times New Roman"/>
        </w:rPr>
        <w:t>, ainsi que la création de « centres de compétences »</w:t>
      </w:r>
      <w:r w:rsidR="00DD5151">
        <w:rPr>
          <w:rStyle w:val="Appelnotedebasdep"/>
          <w:rFonts w:ascii="Times New Roman" w:hAnsi="Times New Roman" w:cs="Times New Roman"/>
        </w:rPr>
        <w:footnoteReference w:id="50"/>
      </w:r>
      <w:r w:rsidR="00AA1C83">
        <w:rPr>
          <w:rFonts w:ascii="Times New Roman" w:hAnsi="Times New Roman" w:cs="Times New Roman"/>
        </w:rPr>
        <w:t>, qui pourraient être assistés d’experts</w:t>
      </w:r>
      <w:r w:rsidR="00016D27">
        <w:rPr>
          <w:rFonts w:ascii="Times New Roman" w:hAnsi="Times New Roman" w:cs="Times New Roman"/>
        </w:rPr>
        <w:t>, tels que des chercheurs, d</w:t>
      </w:r>
      <w:r w:rsidR="005F57B8">
        <w:rPr>
          <w:rFonts w:ascii="Times New Roman" w:hAnsi="Times New Roman" w:cs="Times New Roman"/>
        </w:rPr>
        <w:t>es membres d’organisations non gouvernementales ou du secteur privé</w:t>
      </w:r>
      <w:r w:rsidR="00E43AC5">
        <w:rPr>
          <w:rStyle w:val="Appelnotedebasdep"/>
          <w:rFonts w:ascii="Times New Roman" w:hAnsi="Times New Roman" w:cs="Times New Roman"/>
        </w:rPr>
        <w:footnoteReference w:id="51"/>
      </w:r>
      <w:r w:rsidR="005F57B8">
        <w:rPr>
          <w:rFonts w:ascii="Times New Roman" w:hAnsi="Times New Roman" w:cs="Times New Roman"/>
        </w:rPr>
        <w:t>,</w:t>
      </w:r>
      <w:r w:rsidR="00FF137D">
        <w:rPr>
          <w:rFonts w:ascii="Times New Roman" w:hAnsi="Times New Roman" w:cs="Times New Roman"/>
        </w:rPr>
        <w:t xml:space="preserve"> en vue d</w:t>
      </w:r>
      <w:r w:rsidR="00DD5151">
        <w:rPr>
          <w:rFonts w:ascii="Times New Roman" w:hAnsi="Times New Roman" w:cs="Times New Roman"/>
        </w:rPr>
        <w:t>e</w:t>
      </w:r>
      <w:r w:rsidR="007D1CCE">
        <w:rPr>
          <w:rFonts w:ascii="Times New Roman" w:hAnsi="Times New Roman" w:cs="Times New Roman"/>
        </w:rPr>
        <w:t xml:space="preserve"> l’</w:t>
      </w:r>
      <w:r w:rsidR="00DD5151">
        <w:rPr>
          <w:rFonts w:ascii="Times New Roman" w:hAnsi="Times New Roman" w:cs="Times New Roman"/>
        </w:rPr>
        <w:t xml:space="preserve">aider </w:t>
      </w:r>
      <w:r w:rsidR="00A911D9">
        <w:rPr>
          <w:rFonts w:ascii="Times New Roman" w:hAnsi="Times New Roman" w:cs="Times New Roman"/>
        </w:rPr>
        <w:t xml:space="preserve">dans cette évaluation environnementale et </w:t>
      </w:r>
      <w:r w:rsidR="007D1CCE">
        <w:rPr>
          <w:rFonts w:ascii="Times New Roman" w:hAnsi="Times New Roman" w:cs="Times New Roman"/>
        </w:rPr>
        <w:t xml:space="preserve">cette </w:t>
      </w:r>
      <w:r w:rsidR="006651FF">
        <w:rPr>
          <w:rFonts w:ascii="Times New Roman" w:hAnsi="Times New Roman" w:cs="Times New Roman"/>
        </w:rPr>
        <w:t>analyse de</w:t>
      </w:r>
      <w:r w:rsidR="00A911D9">
        <w:rPr>
          <w:rFonts w:ascii="Times New Roman" w:hAnsi="Times New Roman" w:cs="Times New Roman"/>
        </w:rPr>
        <w:t xml:space="preserve"> conformité des offres</w:t>
      </w:r>
      <w:r w:rsidR="00A64B8E">
        <w:rPr>
          <w:rStyle w:val="Appelnotedebasdep"/>
          <w:rFonts w:ascii="Times New Roman" w:hAnsi="Times New Roman" w:cs="Times New Roman"/>
        </w:rPr>
        <w:footnoteReference w:id="52"/>
      </w:r>
      <w:r w:rsidR="00DD5151">
        <w:rPr>
          <w:rFonts w:ascii="Times New Roman" w:hAnsi="Times New Roman" w:cs="Times New Roman"/>
        </w:rPr>
        <w:t>.</w:t>
      </w:r>
    </w:p>
    <w:p w14:paraId="7DA595F3" w14:textId="77777777" w:rsidR="00F95A8E" w:rsidRDefault="00F95A8E" w:rsidP="00476948">
      <w:pPr>
        <w:spacing w:after="0" w:line="360" w:lineRule="auto"/>
        <w:jc w:val="both"/>
        <w:rPr>
          <w:rFonts w:ascii="Times New Roman" w:hAnsi="Times New Roman" w:cs="Times New Roman"/>
        </w:rPr>
      </w:pPr>
    </w:p>
    <w:p w14:paraId="23DF72A2" w14:textId="4EB1AD10" w:rsidR="00A90646" w:rsidRPr="008328C3" w:rsidRDefault="008328C3" w:rsidP="008328C3">
      <w:pPr>
        <w:pStyle w:val="Titre2"/>
        <w:numPr>
          <w:ilvl w:val="0"/>
          <w:numId w:val="2"/>
        </w:numPr>
        <w:rPr>
          <w:rFonts w:ascii="Times New Roman" w:hAnsi="Times New Roman" w:cs="Times New Roman"/>
          <w:color w:val="auto"/>
          <w:sz w:val="24"/>
          <w:szCs w:val="24"/>
        </w:rPr>
      </w:pPr>
      <w:r w:rsidRPr="008328C3">
        <w:rPr>
          <w:rFonts w:ascii="Times New Roman" w:hAnsi="Times New Roman" w:cs="Times New Roman"/>
          <w:color w:val="auto"/>
          <w:sz w:val="24"/>
          <w:szCs w:val="24"/>
        </w:rPr>
        <w:t>Conclusion</w:t>
      </w:r>
    </w:p>
    <w:p w14:paraId="4166D840" w14:textId="77777777" w:rsidR="00A71E9F" w:rsidRPr="00051365" w:rsidRDefault="00A71E9F" w:rsidP="00A001F3">
      <w:pPr>
        <w:pStyle w:val="Paragraphedeliste"/>
        <w:spacing w:after="0" w:line="360" w:lineRule="auto"/>
        <w:ind w:left="0"/>
        <w:jc w:val="both"/>
        <w:rPr>
          <w:rFonts w:ascii="Times New Roman" w:hAnsi="Times New Roman" w:cs="Times New Roman"/>
        </w:rPr>
      </w:pPr>
    </w:p>
    <w:p w14:paraId="1031264C" w14:textId="3703B7D5" w:rsidR="002B04E6" w:rsidRPr="002B04E6" w:rsidRDefault="00FE6FAA" w:rsidP="00BE35F7">
      <w:pPr>
        <w:pStyle w:val="Paragraphedeliste"/>
        <w:numPr>
          <w:ilvl w:val="0"/>
          <w:numId w:val="3"/>
        </w:numPr>
        <w:spacing w:after="0" w:line="360" w:lineRule="auto"/>
        <w:ind w:left="0" w:firstLine="0"/>
        <w:jc w:val="both"/>
      </w:pPr>
      <w:r>
        <w:rPr>
          <w:rFonts w:ascii="Times New Roman" w:hAnsi="Times New Roman" w:cs="Times New Roman"/>
        </w:rPr>
        <w:t xml:space="preserve">Dans son </w:t>
      </w:r>
      <w:r w:rsidR="00D853E6">
        <w:rPr>
          <w:rFonts w:ascii="Times New Roman" w:hAnsi="Times New Roman" w:cs="Times New Roman"/>
        </w:rPr>
        <w:t xml:space="preserve">arrêt </w:t>
      </w:r>
      <w:r w:rsidR="00D853E6">
        <w:rPr>
          <w:rFonts w:ascii="Times New Roman" w:hAnsi="Times New Roman" w:cs="Times New Roman"/>
          <w:i/>
          <w:iCs/>
        </w:rPr>
        <w:t>DYKA Plastics</w:t>
      </w:r>
      <w:r>
        <w:rPr>
          <w:rFonts w:ascii="Times New Roman" w:hAnsi="Times New Roman" w:cs="Times New Roman"/>
        </w:rPr>
        <w:t xml:space="preserve">, la CJUE </w:t>
      </w:r>
      <w:r w:rsidR="00E51612">
        <w:rPr>
          <w:rFonts w:ascii="Times New Roman" w:hAnsi="Times New Roman" w:cs="Times New Roman"/>
        </w:rPr>
        <w:t>apporte la précision qu</w:t>
      </w:r>
      <w:r w:rsidR="00055040">
        <w:rPr>
          <w:rFonts w:ascii="Times New Roman" w:hAnsi="Times New Roman" w:cs="Times New Roman"/>
        </w:rPr>
        <w:t xml:space="preserve">’un pouvoir adjudicateur ne peut </w:t>
      </w:r>
      <w:r w:rsidR="004A4DE1">
        <w:rPr>
          <w:rFonts w:ascii="Times New Roman" w:hAnsi="Times New Roman" w:cs="Times New Roman"/>
        </w:rPr>
        <w:t xml:space="preserve">imposer </w:t>
      </w:r>
      <w:r w:rsidR="00590873">
        <w:rPr>
          <w:rFonts w:ascii="Times New Roman" w:hAnsi="Times New Roman" w:cs="Times New Roman"/>
        </w:rPr>
        <w:t xml:space="preserve">les matériaux qui seront utilisés dans le cadre d’un marché public de travaux, à moins </w:t>
      </w:r>
      <w:r w:rsidR="002959DB">
        <w:rPr>
          <w:rFonts w:ascii="Times New Roman" w:hAnsi="Times New Roman" w:cs="Times New Roman"/>
        </w:rPr>
        <w:t xml:space="preserve">que cela </w:t>
      </w:r>
      <w:r w:rsidR="009928C2">
        <w:rPr>
          <w:rFonts w:ascii="Times New Roman" w:hAnsi="Times New Roman" w:cs="Times New Roman"/>
        </w:rPr>
        <w:t>soit inévitablement justifié par l’objet du marché ou qu’il n</w:t>
      </w:r>
      <w:r w:rsidR="00E62F6B">
        <w:rPr>
          <w:rFonts w:ascii="Times New Roman" w:hAnsi="Times New Roman" w:cs="Times New Roman"/>
        </w:rPr>
        <w:t xml:space="preserve">e soit </w:t>
      </w:r>
      <w:r w:rsidR="009928C2">
        <w:rPr>
          <w:rFonts w:ascii="Times New Roman" w:hAnsi="Times New Roman" w:cs="Times New Roman"/>
        </w:rPr>
        <w:t xml:space="preserve">pas possible </w:t>
      </w:r>
      <w:r w:rsidR="008511C5">
        <w:rPr>
          <w:rFonts w:ascii="Times New Roman" w:hAnsi="Times New Roman" w:cs="Times New Roman"/>
        </w:rPr>
        <w:t xml:space="preserve">de fournir une description suffisamment précise et intelligible de l’objet du marché </w:t>
      </w:r>
      <w:r w:rsidR="001E33EF">
        <w:rPr>
          <w:rFonts w:ascii="Times New Roman" w:hAnsi="Times New Roman" w:cs="Times New Roman"/>
        </w:rPr>
        <w:t xml:space="preserve">via les méthodes de formulations contenues à l’article 42, </w:t>
      </w:r>
      <w:r w:rsidR="00E62F6B">
        <w:rPr>
          <w:rFonts w:ascii="Times New Roman" w:hAnsi="Times New Roman" w:cs="Times New Roman"/>
        </w:rPr>
        <w:t xml:space="preserve">§ </w:t>
      </w:r>
      <w:r w:rsidR="001E33EF">
        <w:rPr>
          <w:rFonts w:ascii="Times New Roman" w:hAnsi="Times New Roman" w:cs="Times New Roman"/>
        </w:rPr>
        <w:t>3,</w:t>
      </w:r>
      <w:r w:rsidR="002B04E6">
        <w:rPr>
          <w:rFonts w:ascii="Times New Roman" w:hAnsi="Times New Roman" w:cs="Times New Roman"/>
        </w:rPr>
        <w:t xml:space="preserve"> de la directive 2014/24</w:t>
      </w:r>
      <w:r w:rsidR="00742E44">
        <w:rPr>
          <w:rFonts w:ascii="Times New Roman" w:hAnsi="Times New Roman" w:cs="Times New Roman"/>
        </w:rPr>
        <w:t xml:space="preserve">, et dans ce dernier cas que </w:t>
      </w:r>
      <w:r w:rsidR="00327E9A">
        <w:rPr>
          <w:rFonts w:ascii="Times New Roman" w:hAnsi="Times New Roman" w:cs="Times New Roman"/>
        </w:rPr>
        <w:t>la spécification soit accompagnée de la mention « ou équivalent »</w:t>
      </w:r>
      <w:r w:rsidR="002B04E6">
        <w:rPr>
          <w:rFonts w:ascii="Times New Roman" w:hAnsi="Times New Roman" w:cs="Times New Roman"/>
        </w:rPr>
        <w:t>.</w:t>
      </w:r>
      <w:r w:rsidR="001E33EF">
        <w:rPr>
          <w:rFonts w:ascii="Times New Roman" w:hAnsi="Times New Roman" w:cs="Times New Roman"/>
        </w:rPr>
        <w:t xml:space="preserve"> </w:t>
      </w:r>
    </w:p>
    <w:p w14:paraId="5E5B401F" w14:textId="77777777" w:rsidR="002B04E6" w:rsidRPr="002B04E6" w:rsidRDefault="002B04E6" w:rsidP="002B04E6">
      <w:pPr>
        <w:pStyle w:val="Paragraphedeliste"/>
        <w:spacing w:after="0" w:line="360" w:lineRule="auto"/>
        <w:ind w:left="0"/>
        <w:jc w:val="both"/>
      </w:pPr>
    </w:p>
    <w:p w14:paraId="73C5FE27" w14:textId="3EFBEC2F" w:rsidR="00BB6B32" w:rsidRPr="007A5093" w:rsidRDefault="00E75E3E" w:rsidP="007A5093">
      <w:pPr>
        <w:pStyle w:val="Paragraphedeliste"/>
        <w:numPr>
          <w:ilvl w:val="0"/>
          <w:numId w:val="3"/>
        </w:numPr>
        <w:spacing w:after="0" w:line="360" w:lineRule="auto"/>
        <w:ind w:left="0" w:firstLine="0"/>
        <w:jc w:val="both"/>
      </w:pPr>
      <w:r>
        <w:rPr>
          <w:rFonts w:ascii="Times New Roman" w:hAnsi="Times New Roman" w:cs="Times New Roman"/>
        </w:rPr>
        <w:t xml:space="preserve">L’arrêt </w:t>
      </w:r>
      <w:r>
        <w:rPr>
          <w:rFonts w:ascii="Times New Roman" w:hAnsi="Times New Roman" w:cs="Times New Roman"/>
          <w:i/>
          <w:iCs/>
        </w:rPr>
        <w:t xml:space="preserve">DYKA Plastics </w:t>
      </w:r>
      <w:r w:rsidR="00114CD4">
        <w:rPr>
          <w:rFonts w:ascii="Times New Roman" w:hAnsi="Times New Roman" w:cs="Times New Roman"/>
        </w:rPr>
        <w:t>confirme</w:t>
      </w:r>
      <w:r>
        <w:rPr>
          <w:rFonts w:ascii="Times New Roman" w:hAnsi="Times New Roman" w:cs="Times New Roman"/>
        </w:rPr>
        <w:t xml:space="preserve"> </w:t>
      </w:r>
      <w:r w:rsidR="00BE5AF9">
        <w:rPr>
          <w:rFonts w:ascii="Times New Roman" w:hAnsi="Times New Roman" w:cs="Times New Roman"/>
        </w:rPr>
        <w:t>l</w:t>
      </w:r>
      <w:r w:rsidR="003A1285">
        <w:rPr>
          <w:rFonts w:ascii="Times New Roman" w:hAnsi="Times New Roman" w:cs="Times New Roman"/>
        </w:rPr>
        <w:t>a préférence</w:t>
      </w:r>
      <w:r w:rsidR="00BE5AF9">
        <w:rPr>
          <w:rFonts w:ascii="Times New Roman" w:hAnsi="Times New Roman" w:cs="Times New Roman"/>
        </w:rPr>
        <w:t xml:space="preserve"> </w:t>
      </w:r>
      <w:r w:rsidR="0053764B">
        <w:rPr>
          <w:rFonts w:ascii="Times New Roman" w:hAnsi="Times New Roman" w:cs="Times New Roman"/>
        </w:rPr>
        <w:t>donné</w:t>
      </w:r>
      <w:r w:rsidR="003A1285">
        <w:rPr>
          <w:rFonts w:ascii="Times New Roman" w:hAnsi="Times New Roman" w:cs="Times New Roman"/>
        </w:rPr>
        <w:t>e</w:t>
      </w:r>
      <w:r w:rsidR="0053764B">
        <w:rPr>
          <w:rFonts w:ascii="Times New Roman" w:hAnsi="Times New Roman" w:cs="Times New Roman"/>
        </w:rPr>
        <w:t xml:space="preserve"> à la formulation fonctionnelle des spécifications techniques. Bien que la motivation environnementale du pouvoir adjudicateur n</w:t>
      </w:r>
      <w:r w:rsidR="00B25C21">
        <w:rPr>
          <w:rFonts w:ascii="Times New Roman" w:hAnsi="Times New Roman" w:cs="Times New Roman"/>
        </w:rPr>
        <w:t xml:space="preserve">e soit pas retenue par la Cour, </w:t>
      </w:r>
      <w:r w:rsidR="00A37751">
        <w:rPr>
          <w:rFonts w:ascii="Times New Roman" w:hAnsi="Times New Roman" w:cs="Times New Roman"/>
        </w:rPr>
        <w:t>la formulation fonctionnelle</w:t>
      </w:r>
      <w:r w:rsidR="00C3264E">
        <w:rPr>
          <w:rFonts w:ascii="Times New Roman" w:hAnsi="Times New Roman" w:cs="Times New Roman"/>
        </w:rPr>
        <w:t>,</w:t>
      </w:r>
      <w:r w:rsidR="00A37751">
        <w:rPr>
          <w:rFonts w:ascii="Times New Roman" w:hAnsi="Times New Roman" w:cs="Times New Roman"/>
        </w:rPr>
        <w:t xml:space="preserve"> favorisant l’innovation</w:t>
      </w:r>
      <w:r w:rsidR="00C3264E">
        <w:rPr>
          <w:rFonts w:ascii="Times New Roman" w:hAnsi="Times New Roman" w:cs="Times New Roman"/>
        </w:rPr>
        <w:t>,</w:t>
      </w:r>
      <w:r w:rsidR="00A37751">
        <w:rPr>
          <w:rFonts w:ascii="Times New Roman" w:hAnsi="Times New Roman" w:cs="Times New Roman"/>
        </w:rPr>
        <w:t xml:space="preserve"> pourrait permettre de </w:t>
      </w:r>
      <w:r w:rsidR="00FB602E">
        <w:rPr>
          <w:rFonts w:ascii="Times New Roman" w:hAnsi="Times New Roman" w:cs="Times New Roman"/>
        </w:rPr>
        <w:t>recourir</w:t>
      </w:r>
      <w:r w:rsidR="001F04BD">
        <w:rPr>
          <w:rFonts w:ascii="Times New Roman" w:hAnsi="Times New Roman" w:cs="Times New Roman"/>
        </w:rPr>
        <w:t xml:space="preserve"> à</w:t>
      </w:r>
      <w:r w:rsidR="00E91055">
        <w:rPr>
          <w:rFonts w:ascii="Times New Roman" w:hAnsi="Times New Roman" w:cs="Times New Roman"/>
        </w:rPr>
        <w:t xml:space="preserve"> </w:t>
      </w:r>
      <w:r w:rsidR="00A37751">
        <w:rPr>
          <w:rFonts w:ascii="Times New Roman" w:hAnsi="Times New Roman" w:cs="Times New Roman"/>
        </w:rPr>
        <w:t>des techniques et technologies plus respectueuses de l’environnement.</w:t>
      </w:r>
      <w:r w:rsidR="008D3E06">
        <w:t xml:space="preserve"> </w:t>
      </w:r>
      <w:r w:rsidR="00152828" w:rsidRPr="008D3E06">
        <w:rPr>
          <w:rFonts w:ascii="Times New Roman" w:hAnsi="Times New Roman" w:cs="Times New Roman"/>
        </w:rPr>
        <w:t>Il n’est toutefois pas certain qu</w:t>
      </w:r>
      <w:r w:rsidR="00345A91">
        <w:rPr>
          <w:rFonts w:ascii="Times New Roman" w:hAnsi="Times New Roman" w:cs="Times New Roman"/>
        </w:rPr>
        <w:t>’à l’heure actuelle</w:t>
      </w:r>
      <w:r w:rsidR="00EA08ED">
        <w:rPr>
          <w:rFonts w:ascii="Times New Roman" w:hAnsi="Times New Roman" w:cs="Times New Roman"/>
        </w:rPr>
        <w:t xml:space="preserve"> la théorie </w:t>
      </w:r>
      <w:r w:rsidR="00441031">
        <w:rPr>
          <w:rFonts w:ascii="Times New Roman" w:hAnsi="Times New Roman" w:cs="Times New Roman"/>
        </w:rPr>
        <w:t>s’appliq</w:t>
      </w:r>
      <w:r w:rsidR="005B5074">
        <w:rPr>
          <w:rFonts w:ascii="Times New Roman" w:hAnsi="Times New Roman" w:cs="Times New Roman"/>
        </w:rPr>
        <w:t>ue à la pratique</w:t>
      </w:r>
      <w:r w:rsidR="00F95A8E" w:rsidRPr="008D3E06">
        <w:rPr>
          <w:rFonts w:ascii="Times New Roman" w:hAnsi="Times New Roman" w:cs="Times New Roman"/>
        </w:rPr>
        <w:t>,</w:t>
      </w:r>
      <w:r w:rsidR="00152828" w:rsidRPr="008D3E06">
        <w:rPr>
          <w:rFonts w:ascii="Times New Roman" w:hAnsi="Times New Roman" w:cs="Times New Roman"/>
        </w:rPr>
        <w:t xml:space="preserve"> le pouvoir adjudicateur </w:t>
      </w:r>
      <w:r w:rsidR="00E1625F">
        <w:rPr>
          <w:rFonts w:ascii="Times New Roman" w:hAnsi="Times New Roman" w:cs="Times New Roman"/>
        </w:rPr>
        <w:t xml:space="preserve">ne </w:t>
      </w:r>
      <w:r w:rsidR="00152828" w:rsidRPr="008D3E06">
        <w:rPr>
          <w:rFonts w:ascii="Times New Roman" w:hAnsi="Times New Roman" w:cs="Times New Roman"/>
        </w:rPr>
        <w:t>dispos</w:t>
      </w:r>
      <w:r w:rsidR="005B5074">
        <w:rPr>
          <w:rFonts w:ascii="Times New Roman" w:hAnsi="Times New Roman" w:cs="Times New Roman"/>
        </w:rPr>
        <w:t>ant pas forcément</w:t>
      </w:r>
      <w:r w:rsidR="00152828" w:rsidRPr="008D3E06">
        <w:rPr>
          <w:rFonts w:ascii="Times New Roman" w:hAnsi="Times New Roman" w:cs="Times New Roman"/>
        </w:rPr>
        <w:t xml:space="preserve"> des compétences techniques </w:t>
      </w:r>
      <w:r w:rsidR="005B5074">
        <w:rPr>
          <w:rFonts w:ascii="Times New Roman" w:hAnsi="Times New Roman" w:cs="Times New Roman"/>
        </w:rPr>
        <w:t xml:space="preserve">nécessaires </w:t>
      </w:r>
      <w:r w:rsidR="00152828" w:rsidRPr="008D3E06">
        <w:rPr>
          <w:rFonts w:ascii="Times New Roman" w:hAnsi="Times New Roman" w:cs="Times New Roman"/>
        </w:rPr>
        <w:t xml:space="preserve">pour procéder à une telle formulation fonctionnelle ou </w:t>
      </w:r>
      <w:r w:rsidR="00223961" w:rsidRPr="008D3E06">
        <w:rPr>
          <w:rFonts w:ascii="Times New Roman" w:hAnsi="Times New Roman" w:cs="Times New Roman"/>
        </w:rPr>
        <w:t xml:space="preserve">évaluer la compatibilité des offres à </w:t>
      </w:r>
      <w:r w:rsidR="005B5074">
        <w:rPr>
          <w:rFonts w:ascii="Times New Roman" w:hAnsi="Times New Roman" w:cs="Times New Roman"/>
        </w:rPr>
        <w:t>ces</w:t>
      </w:r>
      <w:r w:rsidR="00223961" w:rsidRPr="008D3E06">
        <w:rPr>
          <w:rFonts w:ascii="Times New Roman" w:hAnsi="Times New Roman" w:cs="Times New Roman"/>
        </w:rPr>
        <w:t xml:space="preserve"> spécifications.</w:t>
      </w:r>
      <w:r w:rsidR="00A87F9A" w:rsidRPr="008D3E06">
        <w:rPr>
          <w:rFonts w:ascii="Times New Roman" w:hAnsi="Times New Roman" w:cs="Times New Roman"/>
        </w:rPr>
        <w:t xml:space="preserve"> </w:t>
      </w:r>
    </w:p>
    <w:sectPr w:rsidR="00BB6B32" w:rsidRPr="007A509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15940" w14:textId="77777777" w:rsidR="00711A0B" w:rsidRDefault="00711A0B" w:rsidP="00C42034">
      <w:pPr>
        <w:spacing w:after="0" w:line="240" w:lineRule="auto"/>
      </w:pPr>
      <w:r>
        <w:separator/>
      </w:r>
    </w:p>
  </w:endnote>
  <w:endnote w:type="continuationSeparator" w:id="0">
    <w:p w14:paraId="228742A4" w14:textId="77777777" w:rsidR="00711A0B" w:rsidRDefault="00711A0B" w:rsidP="00C42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69A32" w14:textId="77777777" w:rsidR="00711A0B" w:rsidRDefault="00711A0B" w:rsidP="00C42034">
      <w:pPr>
        <w:spacing w:after="0" w:line="240" w:lineRule="auto"/>
      </w:pPr>
      <w:r>
        <w:separator/>
      </w:r>
    </w:p>
  </w:footnote>
  <w:footnote w:type="continuationSeparator" w:id="0">
    <w:p w14:paraId="405281ED" w14:textId="77777777" w:rsidR="00711A0B" w:rsidRDefault="00711A0B" w:rsidP="00C42034">
      <w:pPr>
        <w:spacing w:after="0" w:line="240" w:lineRule="auto"/>
      </w:pPr>
      <w:r>
        <w:continuationSeparator/>
      </w:r>
    </w:p>
  </w:footnote>
  <w:footnote w:id="1">
    <w:p w14:paraId="4EDB94DD" w14:textId="0410577A" w:rsidR="000821FC" w:rsidRPr="008B0805" w:rsidRDefault="000821FC" w:rsidP="000F7A71">
      <w:pPr>
        <w:pStyle w:val="Notedebasdepage"/>
        <w:jc w:val="both"/>
        <w:rPr>
          <w:rFonts w:ascii="Times New Roman" w:hAnsi="Times New Roman" w:cs="Times New Roman"/>
          <w:lang w:val="fr-FR"/>
        </w:rPr>
      </w:pPr>
      <w:r w:rsidRPr="000821FC">
        <w:rPr>
          <w:rStyle w:val="Appelnotedebasdep"/>
          <w:rFonts w:ascii="Times New Roman" w:hAnsi="Times New Roman" w:cs="Times New Roman"/>
        </w:rPr>
        <w:footnoteRef/>
      </w:r>
      <w:r w:rsidRPr="000821FC">
        <w:rPr>
          <w:rFonts w:ascii="Times New Roman" w:hAnsi="Times New Roman" w:cs="Times New Roman"/>
        </w:rPr>
        <w:t xml:space="preserve"> </w:t>
      </w:r>
      <w:r>
        <w:rPr>
          <w:rFonts w:ascii="Times New Roman" w:hAnsi="Times New Roman" w:cs="Times New Roman"/>
        </w:rPr>
        <w:t>C.J.</w:t>
      </w:r>
      <w:r w:rsidR="005F3CD2">
        <w:rPr>
          <w:rFonts w:ascii="Times New Roman" w:hAnsi="Times New Roman" w:cs="Times New Roman"/>
        </w:rPr>
        <w:t>U.E.</w:t>
      </w:r>
      <w:r>
        <w:rPr>
          <w:rFonts w:ascii="Times New Roman" w:hAnsi="Times New Roman" w:cs="Times New Roman"/>
        </w:rPr>
        <w:t xml:space="preserve">, arrêt </w:t>
      </w:r>
      <w:r>
        <w:rPr>
          <w:rFonts w:ascii="Times New Roman" w:hAnsi="Times New Roman" w:cs="Times New Roman"/>
          <w:i/>
          <w:iCs/>
        </w:rPr>
        <w:t>DYKA Plastics NV</w:t>
      </w:r>
      <w:r>
        <w:rPr>
          <w:rFonts w:ascii="Times New Roman" w:hAnsi="Times New Roman" w:cs="Times New Roman"/>
        </w:rPr>
        <w:t xml:space="preserve"> </w:t>
      </w:r>
      <w:r>
        <w:rPr>
          <w:rFonts w:ascii="Times New Roman" w:hAnsi="Times New Roman" w:cs="Times New Roman"/>
          <w:i/>
          <w:iCs/>
        </w:rPr>
        <w:t>c. Fl</w:t>
      </w:r>
      <w:r w:rsidR="008B0805">
        <w:rPr>
          <w:rFonts w:ascii="Times New Roman" w:hAnsi="Times New Roman" w:cs="Times New Roman"/>
          <w:i/>
          <w:iCs/>
        </w:rPr>
        <w:t>uvius System Operator CV</w:t>
      </w:r>
      <w:r w:rsidR="008B0805">
        <w:rPr>
          <w:rFonts w:ascii="Times New Roman" w:hAnsi="Times New Roman" w:cs="Times New Roman"/>
        </w:rPr>
        <w:t>, 16 janvier 2025, C-424/23, EU:C:2025:15.</w:t>
      </w:r>
    </w:p>
  </w:footnote>
  <w:footnote w:id="2">
    <w:p w14:paraId="1350E98E" w14:textId="14392ADC" w:rsidR="0010253A" w:rsidRPr="0010253A" w:rsidRDefault="0010253A" w:rsidP="000F7A71">
      <w:pPr>
        <w:pStyle w:val="Notedebasdepage"/>
        <w:jc w:val="both"/>
        <w:rPr>
          <w:rFonts w:ascii="Times New Roman" w:hAnsi="Times New Roman" w:cs="Times New Roman"/>
        </w:rPr>
      </w:pPr>
      <w:r w:rsidRPr="0010253A">
        <w:rPr>
          <w:rStyle w:val="Appelnotedebasdep"/>
          <w:rFonts w:ascii="Times New Roman" w:hAnsi="Times New Roman" w:cs="Times New Roman"/>
        </w:rPr>
        <w:footnoteRef/>
      </w:r>
      <w:r w:rsidRPr="0010253A">
        <w:rPr>
          <w:rFonts w:ascii="Times New Roman" w:hAnsi="Times New Roman" w:cs="Times New Roman"/>
        </w:rPr>
        <w:t xml:space="preserve"> </w:t>
      </w:r>
      <w:r w:rsidRPr="00E105DE">
        <w:rPr>
          <w:rFonts w:ascii="Times New Roman" w:hAnsi="Times New Roman" w:cs="Times New Roman"/>
        </w:rPr>
        <w:t xml:space="preserve">Commission européenne, </w:t>
      </w:r>
      <w:r w:rsidRPr="00967B01">
        <w:rPr>
          <w:rFonts w:ascii="Times New Roman" w:hAnsi="Times New Roman" w:cs="Times New Roman"/>
          <w:i/>
          <w:iCs/>
        </w:rPr>
        <w:t xml:space="preserve">Buying Green. </w:t>
      </w:r>
      <w:r w:rsidRPr="00F82355">
        <w:rPr>
          <w:rFonts w:ascii="Times New Roman" w:hAnsi="Times New Roman" w:cs="Times New Roman"/>
          <w:i/>
          <w:iCs/>
          <w:lang w:val="en-GB"/>
        </w:rPr>
        <w:t xml:space="preserve">A Handbook on Green Public Procurement. </w:t>
      </w:r>
      <w:r w:rsidRPr="00F82355">
        <w:rPr>
          <w:rFonts w:ascii="Times New Roman" w:hAnsi="Times New Roman" w:cs="Times New Roman"/>
        </w:rPr>
        <w:t>3rd Edition</w:t>
      </w:r>
      <w:r w:rsidRPr="00F1712B">
        <w:rPr>
          <w:rFonts w:ascii="Times New Roman" w:hAnsi="Times New Roman" w:cs="Times New Roman"/>
        </w:rPr>
        <w:t>,</w:t>
      </w:r>
      <w:r w:rsidRPr="00E105DE">
        <w:rPr>
          <w:rFonts w:ascii="Times New Roman" w:hAnsi="Times New Roman" w:cs="Times New Roman"/>
        </w:rPr>
        <w:t xml:space="preserve"> Luxembourg, Office des publications de l’Union européenne, 2016</w:t>
      </w:r>
      <w:r>
        <w:rPr>
          <w:rFonts w:ascii="Times New Roman" w:hAnsi="Times New Roman" w:cs="Times New Roman"/>
        </w:rPr>
        <w:t>, p. 3</w:t>
      </w:r>
      <w:r w:rsidR="00557E5A">
        <w:rPr>
          <w:rFonts w:ascii="Times New Roman" w:hAnsi="Times New Roman" w:cs="Times New Roman"/>
        </w:rPr>
        <w:t>4</w:t>
      </w:r>
      <w:r>
        <w:rPr>
          <w:rFonts w:ascii="Times New Roman" w:hAnsi="Times New Roman" w:cs="Times New Roman"/>
        </w:rPr>
        <w:t>.</w:t>
      </w:r>
    </w:p>
  </w:footnote>
  <w:footnote w:id="3">
    <w:p w14:paraId="29117685" w14:textId="5BA394C5" w:rsidR="00F24161" w:rsidRPr="00F24161" w:rsidRDefault="00F24161" w:rsidP="000F7A71">
      <w:pPr>
        <w:pStyle w:val="Notedebasdepage"/>
        <w:jc w:val="both"/>
        <w:rPr>
          <w:rFonts w:ascii="Times New Roman" w:hAnsi="Times New Roman" w:cs="Times New Roman"/>
          <w:lang w:val="fr-FR"/>
        </w:rPr>
      </w:pPr>
      <w:r w:rsidRPr="00F24161">
        <w:rPr>
          <w:rStyle w:val="Appelnotedebasdep"/>
          <w:rFonts w:ascii="Times New Roman" w:hAnsi="Times New Roman" w:cs="Times New Roman"/>
        </w:rPr>
        <w:footnoteRef/>
      </w:r>
      <w:r w:rsidRPr="00F24161">
        <w:rPr>
          <w:rFonts w:ascii="Times New Roman" w:hAnsi="Times New Roman" w:cs="Times New Roman"/>
        </w:rPr>
        <w:t xml:space="preserve"> </w:t>
      </w:r>
      <w:r w:rsidR="00D96038" w:rsidRPr="00D96038">
        <w:rPr>
          <w:rFonts w:ascii="Times New Roman" w:hAnsi="Times New Roman" w:cs="Times New Roman"/>
        </w:rPr>
        <w:t xml:space="preserve">M. VERDUSSEN et C. ROMAINVILLE, « Les clauses éthiques dans les marchés publics », </w:t>
      </w:r>
      <w:r w:rsidR="00D96038" w:rsidRPr="00D96038">
        <w:rPr>
          <w:rFonts w:ascii="Times New Roman" w:hAnsi="Times New Roman" w:cs="Times New Roman"/>
          <w:i/>
          <w:iCs/>
        </w:rPr>
        <w:t>D.A.O.R.,</w:t>
      </w:r>
      <w:r w:rsidR="00D96038" w:rsidRPr="00D96038">
        <w:rPr>
          <w:rFonts w:ascii="Times New Roman" w:hAnsi="Times New Roman" w:cs="Times New Roman"/>
        </w:rPr>
        <w:t xml:space="preserve"> 2010, p. 40 et 41.</w:t>
      </w:r>
    </w:p>
  </w:footnote>
  <w:footnote w:id="4">
    <w:p w14:paraId="52D7B250" w14:textId="3C8672E8" w:rsidR="008C0AAF" w:rsidRPr="00564557" w:rsidRDefault="008C0AAF" w:rsidP="008B0805">
      <w:pPr>
        <w:pStyle w:val="Notedebasdepage"/>
        <w:jc w:val="both"/>
        <w:rPr>
          <w:rFonts w:ascii="Times New Roman" w:hAnsi="Times New Roman" w:cs="Times New Roman"/>
          <w:lang w:val="fr-FR"/>
        </w:rPr>
      </w:pPr>
      <w:r w:rsidRPr="008C0AAF">
        <w:rPr>
          <w:rStyle w:val="Appelnotedebasdep"/>
          <w:rFonts w:ascii="Times New Roman" w:hAnsi="Times New Roman" w:cs="Times New Roman"/>
        </w:rPr>
        <w:footnoteRef/>
      </w:r>
      <w:r w:rsidRPr="008C0AAF">
        <w:rPr>
          <w:rFonts w:ascii="Times New Roman" w:hAnsi="Times New Roman" w:cs="Times New Roman"/>
        </w:rPr>
        <w:t xml:space="preserve"> </w:t>
      </w:r>
      <w:r w:rsidR="008157E2">
        <w:rPr>
          <w:rFonts w:ascii="Times New Roman" w:hAnsi="Times New Roman" w:cs="Times New Roman"/>
        </w:rPr>
        <w:t xml:space="preserve">Directive 2014/24/UE du Parlement européen et du Conseil du 26 février 2014 sur la passation des </w:t>
      </w:r>
      <w:r w:rsidR="0042424C">
        <w:rPr>
          <w:rFonts w:ascii="Times New Roman" w:hAnsi="Times New Roman" w:cs="Times New Roman"/>
        </w:rPr>
        <w:t>marchés publics et abrogeant la directive 2004/18</w:t>
      </w:r>
      <w:r w:rsidR="007731AD">
        <w:rPr>
          <w:rFonts w:ascii="Times New Roman" w:hAnsi="Times New Roman" w:cs="Times New Roman"/>
        </w:rPr>
        <w:t>/CE</w:t>
      </w:r>
      <w:r w:rsidR="00564557">
        <w:rPr>
          <w:rFonts w:ascii="Times New Roman" w:hAnsi="Times New Roman" w:cs="Times New Roman"/>
        </w:rPr>
        <w:t xml:space="preserve">, </w:t>
      </w:r>
      <w:r w:rsidR="00564557">
        <w:rPr>
          <w:rFonts w:ascii="Times New Roman" w:hAnsi="Times New Roman" w:cs="Times New Roman"/>
          <w:i/>
          <w:iCs/>
        </w:rPr>
        <w:t>J.O.U.E.</w:t>
      </w:r>
      <w:r w:rsidR="00564557">
        <w:rPr>
          <w:rFonts w:ascii="Times New Roman" w:hAnsi="Times New Roman" w:cs="Times New Roman"/>
        </w:rPr>
        <w:t>, L 094, 28 mars 2014</w:t>
      </w:r>
      <w:r w:rsidR="00FF7E25">
        <w:rPr>
          <w:rFonts w:ascii="Times New Roman" w:hAnsi="Times New Roman" w:cs="Times New Roman"/>
        </w:rPr>
        <w:t>.</w:t>
      </w:r>
      <w:r w:rsidR="008904B2">
        <w:rPr>
          <w:rFonts w:ascii="Times New Roman" w:hAnsi="Times New Roman" w:cs="Times New Roman"/>
        </w:rPr>
        <w:t xml:space="preserve"> </w:t>
      </w:r>
      <w:r w:rsidR="00FF7E25">
        <w:rPr>
          <w:rFonts w:ascii="Times New Roman" w:hAnsi="Times New Roman" w:cs="Times New Roman"/>
        </w:rPr>
        <w:t>L</w:t>
      </w:r>
      <w:r w:rsidR="001A1B96">
        <w:rPr>
          <w:rFonts w:ascii="Times New Roman" w:hAnsi="Times New Roman" w:cs="Times New Roman"/>
        </w:rPr>
        <w:t>e même régime est prévu pour les marchés publics des secteurs spéciaux</w:t>
      </w:r>
      <w:r w:rsidR="00FF7E25">
        <w:rPr>
          <w:rFonts w:ascii="Times New Roman" w:hAnsi="Times New Roman" w:cs="Times New Roman"/>
        </w:rPr>
        <w:t xml:space="preserve"> aux</w:t>
      </w:r>
      <w:r w:rsidR="001A1B96">
        <w:rPr>
          <w:rFonts w:ascii="Times New Roman" w:hAnsi="Times New Roman" w:cs="Times New Roman"/>
        </w:rPr>
        <w:t xml:space="preserve"> articles 60 à 62 de la directive </w:t>
      </w:r>
      <w:r w:rsidR="009C6A65">
        <w:rPr>
          <w:rFonts w:ascii="Times New Roman" w:hAnsi="Times New Roman" w:cs="Times New Roman"/>
        </w:rPr>
        <w:t xml:space="preserve">2014/25 du Parlement européen et du Conseil du 26 février 2014 relative à la passation de marchés par des entités </w:t>
      </w:r>
      <w:r w:rsidR="0065217B">
        <w:rPr>
          <w:rFonts w:ascii="Times New Roman" w:hAnsi="Times New Roman" w:cs="Times New Roman"/>
        </w:rPr>
        <w:t>opérant dans les secteurs de l’eau, de l’énergie, des transports et des services postaux et abrogeant la directive 2004/17/CE</w:t>
      </w:r>
      <w:r w:rsidR="002F1ABD">
        <w:rPr>
          <w:rFonts w:ascii="Times New Roman" w:hAnsi="Times New Roman" w:cs="Times New Roman"/>
        </w:rPr>
        <w:t xml:space="preserve">, </w:t>
      </w:r>
      <w:r w:rsidR="002F1ABD">
        <w:rPr>
          <w:rFonts w:ascii="Times New Roman" w:hAnsi="Times New Roman" w:cs="Times New Roman"/>
          <w:i/>
          <w:iCs/>
        </w:rPr>
        <w:t>J.O.U.E.</w:t>
      </w:r>
      <w:r w:rsidR="002F1ABD">
        <w:rPr>
          <w:rFonts w:ascii="Times New Roman" w:hAnsi="Times New Roman" w:cs="Times New Roman"/>
        </w:rPr>
        <w:t>, L 094, 28 mars 2014</w:t>
      </w:r>
      <w:r w:rsidR="00FF7E25">
        <w:rPr>
          <w:rFonts w:ascii="Times New Roman" w:hAnsi="Times New Roman" w:cs="Times New Roman"/>
        </w:rPr>
        <w:t xml:space="preserve">. Voy. toutefois l’article 63 de la directive </w:t>
      </w:r>
      <w:r w:rsidR="00855143">
        <w:rPr>
          <w:rFonts w:ascii="Times New Roman" w:hAnsi="Times New Roman" w:cs="Times New Roman"/>
        </w:rPr>
        <w:t xml:space="preserve">2014/25 </w:t>
      </w:r>
      <w:r w:rsidR="00155C1D">
        <w:rPr>
          <w:rFonts w:ascii="Times New Roman" w:hAnsi="Times New Roman" w:cs="Times New Roman"/>
        </w:rPr>
        <w:t>sur la communication des spécifications techniques</w:t>
      </w:r>
      <w:r w:rsidR="00E01B8F">
        <w:rPr>
          <w:rFonts w:ascii="Times New Roman" w:hAnsi="Times New Roman" w:cs="Times New Roman"/>
        </w:rPr>
        <w:t>,</w:t>
      </w:r>
      <w:r w:rsidR="00E70ECE">
        <w:rPr>
          <w:rFonts w:ascii="Times New Roman" w:hAnsi="Times New Roman" w:cs="Times New Roman"/>
        </w:rPr>
        <w:t xml:space="preserve"> propre aux secteurs spéciaux.</w:t>
      </w:r>
    </w:p>
  </w:footnote>
  <w:footnote w:id="5">
    <w:p w14:paraId="1731C7C4" w14:textId="5B4FE8A9" w:rsidR="006968AD" w:rsidRPr="003A34BE" w:rsidRDefault="006968AD" w:rsidP="006968AD">
      <w:pPr>
        <w:pStyle w:val="Notedebasdepage"/>
        <w:jc w:val="both"/>
        <w:rPr>
          <w:rFonts w:ascii="Times New Roman" w:hAnsi="Times New Roman" w:cs="Times New Roman"/>
          <w:lang w:val="fr-FR"/>
        </w:rPr>
      </w:pPr>
      <w:r w:rsidRPr="006968AD">
        <w:rPr>
          <w:rStyle w:val="Appelnotedebasdep"/>
          <w:rFonts w:ascii="Times New Roman" w:hAnsi="Times New Roman" w:cs="Times New Roman"/>
        </w:rPr>
        <w:footnoteRef/>
      </w:r>
      <w:r w:rsidRPr="001C1FDD">
        <w:rPr>
          <w:rFonts w:ascii="Times New Roman" w:hAnsi="Times New Roman" w:cs="Times New Roman"/>
          <w:lang w:val="nl-NL"/>
        </w:rPr>
        <w:t xml:space="preserve"> </w:t>
      </w:r>
      <w:r w:rsidR="00D52C2F" w:rsidRPr="001C1FDD">
        <w:rPr>
          <w:rFonts w:ascii="Times New Roman" w:hAnsi="Times New Roman" w:cs="Times New Roman"/>
          <w:lang w:val="nl-NL"/>
        </w:rPr>
        <w:t xml:space="preserve">B. SCHUTYSER, « Het bestek en de voorwaarden van de overheidsopdracht of concessie », </w:t>
      </w:r>
      <w:r w:rsidR="00D52C2F" w:rsidRPr="001C1FDD">
        <w:rPr>
          <w:rFonts w:ascii="Times New Roman" w:hAnsi="Times New Roman" w:cs="Times New Roman"/>
          <w:i/>
          <w:iCs/>
          <w:lang w:val="nl-NL"/>
        </w:rPr>
        <w:t>De aanbesteding van overheidsopdrachten en concessies. Een interpretatieve benadering</w:t>
      </w:r>
      <w:r w:rsidR="00D52C2F" w:rsidRPr="001C1FDD">
        <w:rPr>
          <w:rFonts w:ascii="Times New Roman" w:hAnsi="Times New Roman" w:cs="Times New Roman"/>
          <w:lang w:val="nl-NL"/>
        </w:rPr>
        <w:t>, B. Schutyser</w:t>
      </w:r>
      <w:r w:rsidR="00EA494C">
        <w:rPr>
          <w:rFonts w:ascii="Times New Roman" w:hAnsi="Times New Roman" w:cs="Times New Roman"/>
          <w:lang w:val="nl-NL"/>
        </w:rPr>
        <w:t xml:space="preserve"> (dir.)</w:t>
      </w:r>
      <w:r w:rsidR="00D52C2F" w:rsidRPr="001C1FDD">
        <w:rPr>
          <w:rFonts w:ascii="Times New Roman" w:hAnsi="Times New Roman" w:cs="Times New Roman"/>
          <w:lang w:val="nl-NL"/>
        </w:rPr>
        <w:t xml:space="preserve">, </w:t>
      </w:r>
      <w:r w:rsidR="003F725D" w:rsidRPr="001C1FDD">
        <w:rPr>
          <w:rFonts w:ascii="Times New Roman" w:hAnsi="Times New Roman" w:cs="Times New Roman"/>
          <w:lang w:val="nl-NL"/>
        </w:rPr>
        <w:t xml:space="preserve">Malines, </w:t>
      </w:r>
      <w:r w:rsidR="00D52C2F" w:rsidRPr="001C1FDD">
        <w:rPr>
          <w:rFonts w:ascii="Times New Roman" w:hAnsi="Times New Roman" w:cs="Times New Roman"/>
          <w:lang w:val="nl-NL"/>
        </w:rPr>
        <w:t xml:space="preserve">Wolters Kluwer Belgium, 2023, </w:t>
      </w:r>
      <w:r w:rsidRPr="001C1FDD">
        <w:rPr>
          <w:rFonts w:ascii="Times New Roman" w:hAnsi="Times New Roman" w:cs="Times New Roman"/>
          <w:lang w:val="nl-NL"/>
        </w:rPr>
        <w:t>p. 760</w:t>
      </w:r>
      <w:r w:rsidR="00D61431" w:rsidRPr="001C1FDD">
        <w:rPr>
          <w:rFonts w:ascii="Times New Roman" w:hAnsi="Times New Roman" w:cs="Times New Roman"/>
          <w:lang w:val="nl-NL"/>
        </w:rPr>
        <w:t xml:space="preserve"> ; </w:t>
      </w:r>
      <w:r w:rsidR="006C239A" w:rsidRPr="001C1FDD">
        <w:rPr>
          <w:rFonts w:ascii="Times New Roman" w:hAnsi="Times New Roman" w:cs="Times New Roman"/>
          <w:lang w:val="nl-NL"/>
        </w:rPr>
        <w:t xml:space="preserve">C. R. HAMER, « Article 42 </w:t>
      </w:r>
      <w:r w:rsidR="00A2384A" w:rsidRPr="001C1FDD">
        <w:rPr>
          <w:rFonts w:ascii="Times New Roman" w:hAnsi="Times New Roman" w:cs="Times New Roman"/>
          <w:lang w:val="nl-NL"/>
        </w:rPr>
        <w:t xml:space="preserve">Technical Specifications », </w:t>
      </w:r>
      <w:r w:rsidR="00AB3438" w:rsidRPr="001C1FDD">
        <w:rPr>
          <w:rFonts w:ascii="Times New Roman" w:hAnsi="Times New Roman" w:cs="Times New Roman"/>
          <w:i/>
          <w:iCs/>
          <w:lang w:val="nl-NL"/>
        </w:rPr>
        <w:t xml:space="preserve">European Public Procurement. </w:t>
      </w:r>
      <w:r w:rsidR="00AB3438" w:rsidRPr="003A34BE">
        <w:rPr>
          <w:rFonts w:ascii="Times New Roman" w:hAnsi="Times New Roman" w:cs="Times New Roman"/>
          <w:i/>
          <w:iCs/>
          <w:lang w:val="fr-FR"/>
        </w:rPr>
        <w:t>Commentary on Directive 2014/24/EU</w:t>
      </w:r>
      <w:r w:rsidR="00CA0179" w:rsidRPr="003A34BE">
        <w:rPr>
          <w:rFonts w:ascii="Times New Roman" w:hAnsi="Times New Roman" w:cs="Times New Roman"/>
          <w:lang w:val="fr-FR"/>
        </w:rPr>
        <w:t>, R. Carenta et A. Sanchez-Graells (dir.),</w:t>
      </w:r>
      <w:r w:rsidR="00FD02E9" w:rsidRPr="003A34BE">
        <w:rPr>
          <w:rFonts w:ascii="Times New Roman" w:hAnsi="Times New Roman" w:cs="Times New Roman"/>
          <w:lang w:val="fr-FR"/>
        </w:rPr>
        <w:t xml:space="preserve"> Cheltenham</w:t>
      </w:r>
      <w:r w:rsidR="006D59F9" w:rsidRPr="003A34BE">
        <w:rPr>
          <w:rFonts w:ascii="Times New Roman" w:hAnsi="Times New Roman" w:cs="Times New Roman"/>
          <w:lang w:val="fr-FR"/>
        </w:rPr>
        <w:t>,</w:t>
      </w:r>
      <w:r w:rsidR="00CA0179" w:rsidRPr="003A34BE">
        <w:rPr>
          <w:rFonts w:ascii="Times New Roman" w:hAnsi="Times New Roman" w:cs="Times New Roman"/>
          <w:lang w:val="fr-FR"/>
        </w:rPr>
        <w:t xml:space="preserve"> </w:t>
      </w:r>
      <w:r w:rsidR="00FD02E9" w:rsidRPr="003A34BE">
        <w:rPr>
          <w:rFonts w:ascii="Times New Roman" w:hAnsi="Times New Roman" w:cs="Times New Roman"/>
          <w:lang w:val="fr-FR"/>
        </w:rPr>
        <w:t xml:space="preserve">Edward Elgar Publishing, </w:t>
      </w:r>
      <w:r w:rsidR="006D59F9" w:rsidRPr="003A34BE">
        <w:rPr>
          <w:rFonts w:ascii="Times New Roman" w:hAnsi="Times New Roman" w:cs="Times New Roman"/>
          <w:lang w:val="fr-FR"/>
        </w:rPr>
        <w:t>2021,</w:t>
      </w:r>
      <w:r w:rsidR="006C239A" w:rsidRPr="003A34BE">
        <w:rPr>
          <w:rFonts w:ascii="Times New Roman" w:hAnsi="Times New Roman" w:cs="Times New Roman"/>
          <w:lang w:val="fr-FR"/>
        </w:rPr>
        <w:t xml:space="preserve"> </w:t>
      </w:r>
      <w:r w:rsidR="00D61431" w:rsidRPr="003A34BE">
        <w:rPr>
          <w:rFonts w:ascii="Times New Roman" w:hAnsi="Times New Roman" w:cs="Times New Roman"/>
          <w:lang w:val="fr-FR"/>
        </w:rPr>
        <w:t>p. 470.</w:t>
      </w:r>
    </w:p>
  </w:footnote>
  <w:footnote w:id="6">
    <w:p w14:paraId="4757E4C5" w14:textId="1A30BB90" w:rsidR="00A85DF9" w:rsidRPr="00A85DF9" w:rsidRDefault="00A85DF9" w:rsidP="00AA0FAB">
      <w:pPr>
        <w:pStyle w:val="Notedebasdepage"/>
        <w:jc w:val="both"/>
        <w:rPr>
          <w:rFonts w:ascii="Times New Roman" w:hAnsi="Times New Roman" w:cs="Times New Roman"/>
          <w:lang w:val="fr-FR"/>
        </w:rPr>
      </w:pPr>
      <w:r w:rsidRPr="00A85DF9">
        <w:rPr>
          <w:rStyle w:val="Appelnotedebasdep"/>
          <w:rFonts w:ascii="Times New Roman" w:hAnsi="Times New Roman" w:cs="Times New Roman"/>
        </w:rPr>
        <w:footnoteRef/>
      </w:r>
      <w:r w:rsidRPr="00A85DF9">
        <w:rPr>
          <w:rFonts w:ascii="Times New Roman" w:hAnsi="Times New Roman" w:cs="Times New Roman"/>
        </w:rPr>
        <w:t xml:space="preserve"> </w:t>
      </w:r>
      <w:r>
        <w:rPr>
          <w:rFonts w:ascii="Times New Roman" w:hAnsi="Times New Roman" w:cs="Times New Roman"/>
        </w:rPr>
        <w:t>L’article 44</w:t>
      </w:r>
      <w:r w:rsidR="00CA4A62">
        <w:rPr>
          <w:rFonts w:ascii="Times New Roman" w:hAnsi="Times New Roman" w:cs="Times New Roman"/>
        </w:rPr>
        <w:t xml:space="preserve"> concerne quant à lui l</w:t>
      </w:r>
      <w:r w:rsidR="00605A26">
        <w:rPr>
          <w:rFonts w:ascii="Times New Roman" w:hAnsi="Times New Roman" w:cs="Times New Roman"/>
        </w:rPr>
        <w:t>es rapports d’essai, certifications et autres moyens de preuve.</w:t>
      </w:r>
    </w:p>
  </w:footnote>
  <w:footnote w:id="7">
    <w:p w14:paraId="6226FB51" w14:textId="77777777" w:rsidR="002A66C8" w:rsidRPr="00EF7305" w:rsidRDefault="002A66C8" w:rsidP="008539A2">
      <w:pPr>
        <w:pStyle w:val="Notedebasdepage"/>
        <w:jc w:val="both"/>
        <w:rPr>
          <w:rFonts w:ascii="Times New Roman" w:hAnsi="Times New Roman" w:cs="Times New Roman"/>
          <w:lang w:val="fr-FR"/>
        </w:rPr>
      </w:pPr>
      <w:r w:rsidRPr="004F232D">
        <w:rPr>
          <w:rStyle w:val="Appelnotedebasdep"/>
          <w:rFonts w:ascii="Times New Roman" w:hAnsi="Times New Roman" w:cs="Times New Roman"/>
        </w:rPr>
        <w:footnoteRef/>
      </w:r>
      <w:r w:rsidRPr="004F232D">
        <w:rPr>
          <w:rFonts w:ascii="Times New Roman" w:hAnsi="Times New Roman" w:cs="Times New Roman"/>
        </w:rPr>
        <w:t xml:space="preserve"> </w:t>
      </w:r>
      <w:r>
        <w:rPr>
          <w:rFonts w:ascii="Times New Roman" w:hAnsi="Times New Roman" w:cs="Times New Roman"/>
        </w:rPr>
        <w:t xml:space="preserve">Loi du 17 juin 2016 relative aux marchés publics, </w:t>
      </w:r>
      <w:r>
        <w:rPr>
          <w:rFonts w:ascii="Times New Roman" w:hAnsi="Times New Roman" w:cs="Times New Roman"/>
          <w:i/>
          <w:iCs/>
        </w:rPr>
        <w:t>M.B.</w:t>
      </w:r>
      <w:r>
        <w:rPr>
          <w:rFonts w:ascii="Times New Roman" w:hAnsi="Times New Roman" w:cs="Times New Roman"/>
        </w:rPr>
        <w:t>, 14 juillet 2016. Pour les secteurs spéciaux, voy. l’article 133 de la loi du 17 juin 2016.</w:t>
      </w:r>
    </w:p>
  </w:footnote>
  <w:footnote w:id="8">
    <w:p w14:paraId="067E4D45" w14:textId="6B35668C" w:rsidR="004759D8" w:rsidRPr="004759D8" w:rsidRDefault="004759D8" w:rsidP="008539A2">
      <w:pPr>
        <w:pStyle w:val="Notedebasdepage"/>
        <w:jc w:val="both"/>
        <w:rPr>
          <w:rFonts w:ascii="Times New Roman" w:hAnsi="Times New Roman" w:cs="Times New Roman"/>
          <w:lang w:val="fr-FR"/>
        </w:rPr>
      </w:pPr>
      <w:r w:rsidRPr="004759D8">
        <w:rPr>
          <w:rStyle w:val="Appelnotedebasdep"/>
          <w:rFonts w:ascii="Times New Roman" w:hAnsi="Times New Roman" w:cs="Times New Roman"/>
        </w:rPr>
        <w:footnoteRef/>
      </w:r>
      <w:r w:rsidRPr="004759D8">
        <w:rPr>
          <w:rFonts w:ascii="Times New Roman" w:hAnsi="Times New Roman" w:cs="Times New Roman"/>
        </w:rPr>
        <w:t xml:space="preserve"> </w:t>
      </w:r>
      <w:r>
        <w:rPr>
          <w:rFonts w:ascii="Times New Roman" w:hAnsi="Times New Roman" w:cs="Times New Roman"/>
        </w:rPr>
        <w:t>Voy. pour un commentaire de cette disposition, B. LOMBAERT, I. MATHY et M. THOMAS</w:t>
      </w:r>
      <w:r w:rsidR="00B134D4">
        <w:rPr>
          <w:rFonts w:ascii="Times New Roman" w:hAnsi="Times New Roman" w:cs="Times New Roman"/>
        </w:rPr>
        <w:t xml:space="preserve">, « Cahier spécial des charges », </w:t>
      </w:r>
      <w:r w:rsidR="00B134D4">
        <w:rPr>
          <w:rFonts w:ascii="Times New Roman" w:hAnsi="Times New Roman" w:cs="Times New Roman"/>
          <w:i/>
          <w:iCs/>
        </w:rPr>
        <w:t>Droit des marchés publics. Passation, exécution, recours</w:t>
      </w:r>
      <w:r w:rsidR="00B134D4">
        <w:rPr>
          <w:rFonts w:ascii="Times New Roman" w:hAnsi="Times New Roman" w:cs="Times New Roman"/>
        </w:rPr>
        <w:t>, B. Lombaert (dir.), Bruges, die Keure/la Charte</w:t>
      </w:r>
      <w:r>
        <w:rPr>
          <w:rFonts w:ascii="Times New Roman" w:hAnsi="Times New Roman" w:cs="Times New Roman"/>
        </w:rPr>
        <w:t>, p. 659 et 660.</w:t>
      </w:r>
    </w:p>
  </w:footnote>
  <w:footnote w:id="9">
    <w:p w14:paraId="1E7CBD4E" w14:textId="1612A213" w:rsidR="007C00EE" w:rsidRPr="00104B27" w:rsidRDefault="007C00EE" w:rsidP="008539A2">
      <w:pPr>
        <w:pStyle w:val="Notedebasdepage"/>
        <w:jc w:val="both"/>
        <w:rPr>
          <w:rFonts w:ascii="Times New Roman" w:hAnsi="Times New Roman" w:cs="Times New Roman"/>
          <w:lang w:val="fr-FR"/>
        </w:rPr>
      </w:pPr>
      <w:r w:rsidRPr="007C00EE">
        <w:rPr>
          <w:rStyle w:val="Appelnotedebasdep"/>
          <w:rFonts w:ascii="Times New Roman" w:hAnsi="Times New Roman" w:cs="Times New Roman"/>
        </w:rPr>
        <w:footnoteRef/>
      </w:r>
      <w:r w:rsidRPr="007C00EE">
        <w:rPr>
          <w:rFonts w:ascii="Times New Roman" w:hAnsi="Times New Roman" w:cs="Times New Roman"/>
        </w:rPr>
        <w:t xml:space="preserve"> </w:t>
      </w:r>
      <w:r>
        <w:rPr>
          <w:rFonts w:ascii="Times New Roman" w:hAnsi="Times New Roman" w:cs="Times New Roman"/>
        </w:rPr>
        <w:t xml:space="preserve">Arrêté royal du 15 </w:t>
      </w:r>
      <w:r w:rsidR="00104B27">
        <w:rPr>
          <w:rFonts w:ascii="Times New Roman" w:hAnsi="Times New Roman" w:cs="Times New Roman"/>
        </w:rPr>
        <w:t xml:space="preserve">juillet 2011 relatif à la passation des marchés publics dans les secteurs classiques, </w:t>
      </w:r>
      <w:r w:rsidR="00104B27">
        <w:rPr>
          <w:rFonts w:ascii="Times New Roman" w:hAnsi="Times New Roman" w:cs="Times New Roman"/>
          <w:i/>
          <w:iCs/>
        </w:rPr>
        <w:t>M.B.</w:t>
      </w:r>
      <w:r w:rsidR="00104B27">
        <w:rPr>
          <w:rFonts w:ascii="Times New Roman" w:hAnsi="Times New Roman" w:cs="Times New Roman"/>
        </w:rPr>
        <w:t xml:space="preserve">, </w:t>
      </w:r>
      <w:r w:rsidR="001B5ADF">
        <w:rPr>
          <w:rFonts w:ascii="Times New Roman" w:hAnsi="Times New Roman" w:cs="Times New Roman"/>
        </w:rPr>
        <w:t>9 août 2011.</w:t>
      </w:r>
      <w:r w:rsidR="004430FC">
        <w:rPr>
          <w:rFonts w:ascii="Times New Roman" w:hAnsi="Times New Roman" w:cs="Times New Roman"/>
        </w:rPr>
        <w:t xml:space="preserve"> Voy. </w:t>
      </w:r>
      <w:r w:rsidR="00DD5691">
        <w:rPr>
          <w:rFonts w:ascii="Times New Roman" w:hAnsi="Times New Roman" w:cs="Times New Roman"/>
        </w:rPr>
        <w:t xml:space="preserve">pour les secteurs spéciaux, </w:t>
      </w:r>
      <w:r w:rsidR="002B2C71">
        <w:rPr>
          <w:rFonts w:ascii="Times New Roman" w:hAnsi="Times New Roman" w:cs="Times New Roman"/>
        </w:rPr>
        <w:t>arrêté royal du 23 janvier 2012 relatif à la pass</w:t>
      </w:r>
      <w:r w:rsidR="00DD5691">
        <w:rPr>
          <w:rFonts w:ascii="Times New Roman" w:hAnsi="Times New Roman" w:cs="Times New Roman"/>
        </w:rPr>
        <w:t>at</w:t>
      </w:r>
      <w:r w:rsidR="002B2C71">
        <w:rPr>
          <w:rFonts w:ascii="Times New Roman" w:hAnsi="Times New Roman" w:cs="Times New Roman"/>
        </w:rPr>
        <w:t xml:space="preserve">ion des marchés publics et de certains marchés de travaux, de fournitures et de services dans les domaines de la défense et de la sécurité, </w:t>
      </w:r>
      <w:r w:rsidR="000D4D3B">
        <w:rPr>
          <w:rFonts w:ascii="Times New Roman" w:hAnsi="Times New Roman" w:cs="Times New Roman"/>
          <w:i/>
          <w:iCs/>
        </w:rPr>
        <w:t>M.B.</w:t>
      </w:r>
      <w:r w:rsidR="000D4D3B">
        <w:rPr>
          <w:rFonts w:ascii="Times New Roman" w:hAnsi="Times New Roman" w:cs="Times New Roman"/>
        </w:rPr>
        <w:t>, 1</w:t>
      </w:r>
      <w:r w:rsidR="000D4D3B" w:rsidRPr="000D4D3B">
        <w:rPr>
          <w:rFonts w:ascii="Times New Roman" w:hAnsi="Times New Roman" w:cs="Times New Roman"/>
          <w:vertAlign w:val="superscript"/>
        </w:rPr>
        <w:t>er</w:t>
      </w:r>
      <w:r w:rsidR="000D4D3B">
        <w:rPr>
          <w:rFonts w:ascii="Times New Roman" w:hAnsi="Times New Roman" w:cs="Times New Roman"/>
        </w:rPr>
        <w:t xml:space="preserve"> février 2012,</w:t>
      </w:r>
      <w:r w:rsidR="00DD5691">
        <w:rPr>
          <w:rFonts w:ascii="Times New Roman" w:hAnsi="Times New Roman" w:cs="Times New Roman"/>
        </w:rPr>
        <w:t xml:space="preserve"> 8, § 7.</w:t>
      </w:r>
    </w:p>
  </w:footnote>
  <w:footnote w:id="10">
    <w:p w14:paraId="76CDB0BF" w14:textId="2A43A649" w:rsidR="009B5312" w:rsidRPr="009B5312" w:rsidRDefault="009B5312" w:rsidP="008539A2">
      <w:pPr>
        <w:pStyle w:val="Notedebasdepage"/>
        <w:jc w:val="both"/>
        <w:rPr>
          <w:rFonts w:ascii="Times New Roman" w:hAnsi="Times New Roman" w:cs="Times New Roman"/>
        </w:rPr>
      </w:pPr>
      <w:r w:rsidRPr="009B5312">
        <w:rPr>
          <w:rStyle w:val="Appelnotedebasdep"/>
          <w:rFonts w:ascii="Times New Roman" w:hAnsi="Times New Roman" w:cs="Times New Roman"/>
        </w:rPr>
        <w:footnoteRef/>
      </w:r>
      <w:r w:rsidR="008A2004">
        <w:rPr>
          <w:rFonts w:ascii="Times New Roman" w:hAnsi="Times New Roman" w:cs="Times New Roman"/>
        </w:rPr>
        <w:t xml:space="preserve"> </w:t>
      </w:r>
      <w:r>
        <w:rPr>
          <w:rFonts w:ascii="Times New Roman" w:hAnsi="Times New Roman" w:cs="Times New Roman"/>
        </w:rPr>
        <w:t>Voy.</w:t>
      </w:r>
      <w:r w:rsidR="003917BA">
        <w:rPr>
          <w:rFonts w:ascii="Times New Roman" w:hAnsi="Times New Roman" w:cs="Times New Roman"/>
        </w:rPr>
        <w:t xml:space="preserve"> sur ce point </w:t>
      </w:r>
      <w:r w:rsidR="00855E70">
        <w:rPr>
          <w:rFonts w:ascii="Times New Roman" w:hAnsi="Times New Roman" w:cs="Times New Roman"/>
        </w:rPr>
        <w:t>et les différentes</w:t>
      </w:r>
      <w:r w:rsidR="008539A2">
        <w:rPr>
          <w:rFonts w:ascii="Times New Roman" w:hAnsi="Times New Roman" w:cs="Times New Roman"/>
        </w:rPr>
        <w:t xml:space="preserve"> spécifications techniques environnementales possibles : </w:t>
      </w:r>
      <w:r w:rsidR="008A2004">
        <w:rPr>
          <w:rFonts w:ascii="Times New Roman" w:hAnsi="Times New Roman" w:cs="Times New Roman"/>
        </w:rPr>
        <w:t xml:space="preserve">L. </w:t>
      </w:r>
      <w:r w:rsidR="008A2004" w:rsidRPr="008A2004">
        <w:rPr>
          <w:rFonts w:ascii="Times New Roman" w:hAnsi="Times New Roman" w:cs="Times New Roman"/>
        </w:rPr>
        <w:t xml:space="preserve">DERARD et </w:t>
      </w:r>
      <w:r w:rsidR="008A2004">
        <w:rPr>
          <w:rFonts w:ascii="Times New Roman" w:hAnsi="Times New Roman" w:cs="Times New Roman"/>
        </w:rPr>
        <w:t xml:space="preserve">M. </w:t>
      </w:r>
      <w:r w:rsidR="008A2004" w:rsidRPr="008A2004">
        <w:rPr>
          <w:rFonts w:ascii="Times New Roman" w:hAnsi="Times New Roman" w:cs="Times New Roman"/>
        </w:rPr>
        <w:t xml:space="preserve">VANDERSTRAETEN, « Les clauses environnementales dans les marchés publics: entre nécessité et contrainte », </w:t>
      </w:r>
      <w:r w:rsidR="008A2004" w:rsidRPr="008A2004">
        <w:rPr>
          <w:rFonts w:ascii="Times New Roman" w:hAnsi="Times New Roman" w:cs="Times New Roman"/>
          <w:i/>
          <w:iCs/>
        </w:rPr>
        <w:t>Amén.</w:t>
      </w:r>
      <w:r w:rsidR="008A2004" w:rsidRPr="008A2004">
        <w:rPr>
          <w:rFonts w:ascii="Times New Roman" w:hAnsi="Times New Roman" w:cs="Times New Roman"/>
        </w:rPr>
        <w:t>, 2024, p. 2</w:t>
      </w:r>
      <w:r w:rsidR="008A2004">
        <w:rPr>
          <w:rFonts w:ascii="Times New Roman" w:hAnsi="Times New Roman" w:cs="Times New Roman"/>
        </w:rPr>
        <w:t>50 et suiv</w:t>
      </w:r>
      <w:r w:rsidR="008A2004" w:rsidRPr="008A2004">
        <w:rPr>
          <w:rFonts w:ascii="Times New Roman" w:hAnsi="Times New Roman" w:cs="Times New Roman"/>
        </w:rPr>
        <w:t>.</w:t>
      </w:r>
      <w:r>
        <w:rPr>
          <w:rFonts w:ascii="Times New Roman" w:hAnsi="Times New Roman" w:cs="Times New Roman"/>
        </w:rPr>
        <w:t xml:space="preserve"> </w:t>
      </w:r>
    </w:p>
  </w:footnote>
  <w:footnote w:id="11">
    <w:p w14:paraId="47A90CFE" w14:textId="44F01904" w:rsidR="00E105DE" w:rsidRPr="00E105DE" w:rsidRDefault="00E105DE" w:rsidP="000F7A71">
      <w:pPr>
        <w:pStyle w:val="Notedebasdepage"/>
        <w:jc w:val="both"/>
        <w:rPr>
          <w:rFonts w:ascii="Times New Roman" w:hAnsi="Times New Roman" w:cs="Times New Roman"/>
        </w:rPr>
      </w:pPr>
      <w:r w:rsidRPr="00E105DE">
        <w:rPr>
          <w:rStyle w:val="Appelnotedebasdep"/>
          <w:rFonts w:ascii="Times New Roman" w:hAnsi="Times New Roman" w:cs="Times New Roman"/>
        </w:rPr>
        <w:footnoteRef/>
      </w:r>
      <w:r w:rsidRPr="00E105DE">
        <w:rPr>
          <w:rFonts w:ascii="Times New Roman" w:hAnsi="Times New Roman" w:cs="Times New Roman"/>
        </w:rPr>
        <w:t xml:space="preserve"> Commission européenne, </w:t>
      </w:r>
      <w:r w:rsidR="0010253A">
        <w:rPr>
          <w:rFonts w:ascii="Times New Roman" w:hAnsi="Times New Roman" w:cs="Times New Roman"/>
          <w:i/>
          <w:iCs/>
        </w:rPr>
        <w:t>op. cit.</w:t>
      </w:r>
      <w:r w:rsidR="00967B01">
        <w:rPr>
          <w:rFonts w:ascii="Times New Roman" w:hAnsi="Times New Roman" w:cs="Times New Roman"/>
        </w:rPr>
        <w:t>, p. 35.</w:t>
      </w:r>
    </w:p>
  </w:footnote>
  <w:footnote w:id="12">
    <w:p w14:paraId="289AE93D" w14:textId="0D31FE7B" w:rsidR="00761584" w:rsidRPr="004E718D" w:rsidRDefault="00761584" w:rsidP="000F7A71">
      <w:pPr>
        <w:pStyle w:val="Notedebasdepage"/>
        <w:jc w:val="both"/>
        <w:rPr>
          <w:rFonts w:ascii="Times New Roman" w:hAnsi="Times New Roman" w:cs="Times New Roman"/>
          <w:lang w:val="en-US"/>
        </w:rPr>
      </w:pPr>
      <w:r w:rsidRPr="00CD0F9E">
        <w:rPr>
          <w:rStyle w:val="Appelnotedebasdep"/>
          <w:rFonts w:ascii="Times New Roman" w:hAnsi="Times New Roman" w:cs="Times New Roman"/>
        </w:rPr>
        <w:footnoteRef/>
      </w:r>
      <w:r w:rsidRPr="00B246E7">
        <w:rPr>
          <w:rFonts w:ascii="Times New Roman" w:hAnsi="Times New Roman" w:cs="Times New Roman"/>
        </w:rPr>
        <w:t xml:space="preserve"> </w:t>
      </w:r>
      <w:r w:rsidR="00B246E7" w:rsidRPr="00B246E7">
        <w:rPr>
          <w:rFonts w:ascii="Times New Roman" w:hAnsi="Times New Roman" w:cs="Times New Roman"/>
        </w:rPr>
        <w:t>Sur ce point et les autres propositions de réformes de l’arti</w:t>
      </w:r>
      <w:r w:rsidR="00B246E7">
        <w:rPr>
          <w:rFonts w:ascii="Times New Roman" w:hAnsi="Times New Roman" w:cs="Times New Roman"/>
        </w:rPr>
        <w:t xml:space="preserve">cle </w:t>
      </w:r>
      <w:r w:rsidR="007D63E7">
        <w:rPr>
          <w:rFonts w:ascii="Times New Roman" w:hAnsi="Times New Roman" w:cs="Times New Roman"/>
        </w:rPr>
        <w:t xml:space="preserve">42 sur le plan environnemental : </w:t>
      </w:r>
      <w:r w:rsidR="006D5E4F" w:rsidRPr="00B246E7">
        <w:rPr>
          <w:rFonts w:ascii="Times New Roman" w:hAnsi="Times New Roman" w:cs="Times New Roman"/>
        </w:rPr>
        <w:t>Y. MARIQUE et L. DERARD, « Article 42 – Technical specifications »</w:t>
      </w:r>
      <w:r w:rsidR="004E718D" w:rsidRPr="00B246E7">
        <w:rPr>
          <w:rFonts w:ascii="Times New Roman" w:hAnsi="Times New Roman" w:cs="Times New Roman"/>
        </w:rPr>
        <w:t xml:space="preserve">, </w:t>
      </w:r>
      <w:r w:rsidR="004E718D" w:rsidRPr="00B246E7">
        <w:rPr>
          <w:rFonts w:ascii="Times New Roman" w:hAnsi="Times New Roman" w:cs="Times New Roman"/>
          <w:i/>
          <w:iCs/>
        </w:rPr>
        <w:t xml:space="preserve">Evaluation of the 2014 public procurement directives. </w:t>
      </w:r>
      <w:r w:rsidR="004E718D" w:rsidRPr="004E718D">
        <w:rPr>
          <w:rFonts w:ascii="Times New Roman" w:hAnsi="Times New Roman" w:cs="Times New Roman"/>
          <w:i/>
          <w:iCs/>
          <w:lang w:val="en-US"/>
        </w:rPr>
        <w:t xml:space="preserve">Answer to the call of evidence Ref. </w:t>
      </w:r>
      <w:r w:rsidR="004E718D">
        <w:rPr>
          <w:rFonts w:ascii="Times New Roman" w:hAnsi="Times New Roman" w:cs="Times New Roman"/>
          <w:i/>
          <w:iCs/>
          <w:lang w:val="en-US"/>
        </w:rPr>
        <w:t>Ares(2024)</w:t>
      </w:r>
      <w:r w:rsidR="004E718D" w:rsidRPr="00F14594">
        <w:rPr>
          <w:rFonts w:ascii="Times New Roman" w:hAnsi="Times New Roman" w:cs="Times New Roman"/>
          <w:i/>
          <w:iCs/>
          <w:lang w:val="en-US"/>
        </w:rPr>
        <w:t>89</w:t>
      </w:r>
      <w:r w:rsidR="00F14594" w:rsidRPr="00F14594">
        <w:rPr>
          <w:rFonts w:ascii="Times New Roman" w:hAnsi="Times New Roman" w:cs="Times New Roman"/>
          <w:i/>
          <w:iCs/>
          <w:lang w:val="en-US"/>
        </w:rPr>
        <w:t>28678</w:t>
      </w:r>
      <w:r w:rsidR="00F14594">
        <w:rPr>
          <w:rFonts w:ascii="Times New Roman" w:hAnsi="Times New Roman" w:cs="Times New Roman"/>
          <w:lang w:val="en-US"/>
        </w:rPr>
        <w:t xml:space="preserve">, </w:t>
      </w:r>
      <w:r w:rsidR="005463D2">
        <w:rPr>
          <w:rFonts w:ascii="Times New Roman" w:hAnsi="Times New Roman" w:cs="Times New Roman"/>
          <w:lang w:val="en-US"/>
        </w:rPr>
        <w:t xml:space="preserve">Public Contracts in Legal Globalization Network, </w:t>
      </w:r>
      <w:hyperlink r:id="rId1" w:history="1">
        <w:r w:rsidR="00863E99" w:rsidRPr="00625ED5">
          <w:rPr>
            <w:rStyle w:val="Lienhypertexte"/>
            <w:rFonts w:ascii="Times New Roman" w:hAnsi="Times New Roman" w:cs="Times New Roman"/>
            <w:lang w:val="en-US"/>
          </w:rPr>
          <w:t>https://ec.europa.eu/info/law/better-regulation/have-your-say/initiatives/14427-Public-procurement-directives-evaluation/F3524844_en</w:t>
        </w:r>
      </w:hyperlink>
      <w:r w:rsidR="00863E99">
        <w:rPr>
          <w:rFonts w:ascii="Times New Roman" w:hAnsi="Times New Roman" w:cs="Times New Roman"/>
          <w:lang w:val="en-US"/>
        </w:rPr>
        <w:t xml:space="preserve">, </w:t>
      </w:r>
      <w:r w:rsidR="00CD0F9E" w:rsidRPr="00F14594">
        <w:rPr>
          <w:rFonts w:ascii="Times New Roman" w:hAnsi="Times New Roman" w:cs="Times New Roman"/>
          <w:lang w:val="en-US"/>
        </w:rPr>
        <w:t>p</w:t>
      </w:r>
      <w:r w:rsidR="00CD0F9E" w:rsidRPr="004E718D">
        <w:rPr>
          <w:rFonts w:ascii="Times New Roman" w:hAnsi="Times New Roman" w:cs="Times New Roman"/>
          <w:lang w:val="en-US"/>
        </w:rPr>
        <w:t>. 22 à 25.</w:t>
      </w:r>
      <w:r w:rsidR="00B246E7">
        <w:rPr>
          <w:rFonts w:ascii="Times New Roman" w:hAnsi="Times New Roman" w:cs="Times New Roman"/>
          <w:lang w:val="en-US"/>
        </w:rPr>
        <w:t xml:space="preserve"> </w:t>
      </w:r>
    </w:p>
  </w:footnote>
  <w:footnote w:id="13">
    <w:p w14:paraId="3C9202AB" w14:textId="0B7D86B4" w:rsidR="00FD0866" w:rsidRPr="00E56AE4" w:rsidRDefault="00FD0866" w:rsidP="000F7A71">
      <w:pPr>
        <w:pStyle w:val="Notedebasdepage"/>
        <w:jc w:val="both"/>
        <w:rPr>
          <w:rFonts w:ascii="Times New Roman" w:hAnsi="Times New Roman" w:cs="Times New Roman"/>
          <w:lang w:val="fr-FR"/>
        </w:rPr>
      </w:pPr>
      <w:r w:rsidRPr="00FD0866">
        <w:rPr>
          <w:rStyle w:val="Appelnotedebasdep"/>
          <w:rFonts w:ascii="Times New Roman" w:hAnsi="Times New Roman" w:cs="Times New Roman"/>
        </w:rPr>
        <w:footnoteRef/>
      </w:r>
      <w:r w:rsidRPr="00FD0866">
        <w:rPr>
          <w:rFonts w:ascii="Times New Roman" w:hAnsi="Times New Roman" w:cs="Times New Roman"/>
        </w:rPr>
        <w:t xml:space="preserve"> </w:t>
      </w:r>
      <w:r w:rsidR="00F003AE">
        <w:rPr>
          <w:rFonts w:ascii="Times New Roman" w:hAnsi="Times New Roman" w:cs="Times New Roman"/>
        </w:rPr>
        <w:t xml:space="preserve">Voy. pour plus de développements sur ce point : L. DERARD et M. VANDERSTRAETEN, </w:t>
      </w:r>
      <w:r w:rsidR="00E56AE4">
        <w:rPr>
          <w:rFonts w:ascii="Times New Roman" w:hAnsi="Times New Roman" w:cs="Times New Roman"/>
          <w:i/>
          <w:iCs/>
        </w:rPr>
        <w:t>op. cit.</w:t>
      </w:r>
      <w:r w:rsidR="00F003AE">
        <w:rPr>
          <w:rFonts w:ascii="Times New Roman" w:hAnsi="Times New Roman" w:cs="Times New Roman"/>
        </w:rPr>
        <w:t xml:space="preserve">, p. </w:t>
      </w:r>
      <w:r w:rsidR="0017164D">
        <w:rPr>
          <w:rFonts w:ascii="Times New Roman" w:hAnsi="Times New Roman" w:cs="Times New Roman"/>
        </w:rPr>
        <w:t>256 et suiv.</w:t>
      </w:r>
      <w:r w:rsidR="00F1712B">
        <w:rPr>
          <w:rFonts w:ascii="Times New Roman" w:hAnsi="Times New Roman" w:cs="Times New Roman"/>
        </w:rPr>
        <w:t xml:space="preserve"> </w:t>
      </w:r>
    </w:p>
  </w:footnote>
  <w:footnote w:id="14">
    <w:p w14:paraId="1CE9A4F2" w14:textId="366860B4" w:rsidR="00C42034" w:rsidRPr="004C5F01" w:rsidRDefault="00C42034" w:rsidP="000F7A71">
      <w:pPr>
        <w:pStyle w:val="Notedebasdepage"/>
        <w:jc w:val="both"/>
        <w:rPr>
          <w:rFonts w:ascii="Times New Roman" w:hAnsi="Times New Roman" w:cs="Times New Roman"/>
        </w:rPr>
      </w:pPr>
      <w:r w:rsidRPr="00C42034">
        <w:rPr>
          <w:rStyle w:val="Appelnotedebasdep"/>
          <w:rFonts w:ascii="Times New Roman" w:hAnsi="Times New Roman" w:cs="Times New Roman"/>
        </w:rPr>
        <w:footnoteRef/>
      </w:r>
      <w:r w:rsidR="00564557">
        <w:rPr>
          <w:rFonts w:ascii="Times New Roman" w:hAnsi="Times New Roman" w:cs="Times New Roman"/>
        </w:rPr>
        <w:t xml:space="preserve"> </w:t>
      </w:r>
      <w:r w:rsidR="003422FE">
        <w:rPr>
          <w:rFonts w:ascii="Times New Roman" w:hAnsi="Times New Roman" w:cs="Times New Roman"/>
        </w:rPr>
        <w:t>C.J.</w:t>
      </w:r>
      <w:r w:rsidR="000E782E">
        <w:rPr>
          <w:rFonts w:ascii="Times New Roman" w:hAnsi="Times New Roman" w:cs="Times New Roman"/>
        </w:rPr>
        <w:t>C.E.</w:t>
      </w:r>
      <w:r w:rsidR="003422FE">
        <w:rPr>
          <w:rFonts w:ascii="Times New Roman" w:hAnsi="Times New Roman" w:cs="Times New Roman"/>
        </w:rPr>
        <w:t xml:space="preserve">, </w:t>
      </w:r>
      <w:r w:rsidR="00B5380D">
        <w:rPr>
          <w:rFonts w:ascii="Times New Roman" w:hAnsi="Times New Roman" w:cs="Times New Roman"/>
        </w:rPr>
        <w:t xml:space="preserve">arrêt </w:t>
      </w:r>
      <w:r w:rsidR="00F66DA6" w:rsidRPr="004C5F01">
        <w:rPr>
          <w:rFonts w:ascii="Times New Roman" w:hAnsi="Times New Roman" w:cs="Times New Roman"/>
          <w:i/>
          <w:iCs/>
        </w:rPr>
        <w:t xml:space="preserve">Commission des Communautés européennes c. </w:t>
      </w:r>
      <w:r w:rsidR="00FA5535">
        <w:rPr>
          <w:rFonts w:ascii="Times New Roman" w:hAnsi="Times New Roman" w:cs="Times New Roman"/>
          <w:i/>
          <w:iCs/>
        </w:rPr>
        <w:t>Irlande</w:t>
      </w:r>
      <w:r w:rsidR="004C5F01">
        <w:rPr>
          <w:rFonts w:ascii="Times New Roman" w:hAnsi="Times New Roman" w:cs="Times New Roman"/>
        </w:rPr>
        <w:t xml:space="preserve">, 22 septembre 1988, 45/87, </w:t>
      </w:r>
      <w:r w:rsidR="0088223E">
        <w:rPr>
          <w:rFonts w:ascii="Times New Roman" w:hAnsi="Times New Roman" w:cs="Times New Roman"/>
        </w:rPr>
        <w:t>EU:C:1988:435.</w:t>
      </w:r>
    </w:p>
  </w:footnote>
  <w:footnote w:id="15">
    <w:p w14:paraId="5048AEB6" w14:textId="589FEAA3" w:rsidR="00B102C3" w:rsidRPr="00C1348F" w:rsidRDefault="00B102C3" w:rsidP="005463D2">
      <w:pPr>
        <w:pStyle w:val="Notedebasdepage"/>
        <w:jc w:val="both"/>
        <w:rPr>
          <w:rFonts w:ascii="Times New Roman" w:hAnsi="Times New Roman" w:cs="Times New Roman"/>
        </w:rPr>
      </w:pPr>
      <w:r w:rsidRPr="0019317B">
        <w:rPr>
          <w:rStyle w:val="Appelnotedebasdep"/>
          <w:rFonts w:ascii="Times New Roman" w:hAnsi="Times New Roman" w:cs="Times New Roman"/>
        </w:rPr>
        <w:footnoteRef/>
      </w:r>
      <w:r w:rsidRPr="0019317B">
        <w:rPr>
          <w:rFonts w:ascii="Times New Roman" w:hAnsi="Times New Roman" w:cs="Times New Roman"/>
        </w:rPr>
        <w:t xml:space="preserve"> </w:t>
      </w:r>
      <w:r w:rsidR="00D3123F">
        <w:rPr>
          <w:rFonts w:ascii="Times New Roman" w:hAnsi="Times New Roman" w:cs="Times New Roman"/>
        </w:rPr>
        <w:t xml:space="preserve">Directive 71/305/CEE du Conseil, du 26 juillet 1971, portant coordination des procédures de passation des marchés publics de travaux, </w:t>
      </w:r>
      <w:r w:rsidR="00C1348F">
        <w:rPr>
          <w:rFonts w:ascii="Times New Roman" w:hAnsi="Times New Roman" w:cs="Times New Roman"/>
          <w:i/>
          <w:iCs/>
        </w:rPr>
        <w:t>J.O.C.E.</w:t>
      </w:r>
      <w:r w:rsidR="00C1348F">
        <w:rPr>
          <w:rFonts w:ascii="Times New Roman" w:hAnsi="Times New Roman" w:cs="Times New Roman"/>
        </w:rPr>
        <w:t xml:space="preserve">, </w:t>
      </w:r>
      <w:r w:rsidR="00B67619">
        <w:rPr>
          <w:rFonts w:ascii="Times New Roman" w:hAnsi="Times New Roman" w:cs="Times New Roman"/>
        </w:rPr>
        <w:t>L 185</w:t>
      </w:r>
      <w:r w:rsidR="002C27C8">
        <w:rPr>
          <w:rFonts w:ascii="Times New Roman" w:hAnsi="Times New Roman" w:cs="Times New Roman"/>
        </w:rPr>
        <w:t>, 16 août 1971</w:t>
      </w:r>
      <w:r w:rsidR="000D2407">
        <w:rPr>
          <w:rFonts w:ascii="Times New Roman" w:hAnsi="Times New Roman" w:cs="Times New Roman"/>
        </w:rPr>
        <w:t xml:space="preserve"> ; </w:t>
      </w:r>
      <w:r w:rsidR="001C512C">
        <w:rPr>
          <w:rFonts w:ascii="Times New Roman" w:hAnsi="Times New Roman" w:cs="Times New Roman"/>
        </w:rPr>
        <w:t>C.J.</w:t>
      </w:r>
      <w:r w:rsidR="000E782E">
        <w:rPr>
          <w:rFonts w:ascii="Times New Roman" w:hAnsi="Times New Roman" w:cs="Times New Roman"/>
        </w:rPr>
        <w:t>C.E.</w:t>
      </w:r>
      <w:r w:rsidR="001C512C">
        <w:rPr>
          <w:rFonts w:ascii="Times New Roman" w:hAnsi="Times New Roman" w:cs="Times New Roman"/>
        </w:rPr>
        <w:t xml:space="preserve">, arrêt </w:t>
      </w:r>
      <w:r w:rsidR="001C512C" w:rsidRPr="004C5F01">
        <w:rPr>
          <w:rFonts w:ascii="Times New Roman" w:hAnsi="Times New Roman" w:cs="Times New Roman"/>
          <w:i/>
          <w:iCs/>
        </w:rPr>
        <w:t xml:space="preserve">Commission des Communautés européennes c. </w:t>
      </w:r>
      <w:r w:rsidR="001C512C">
        <w:rPr>
          <w:rFonts w:ascii="Times New Roman" w:hAnsi="Times New Roman" w:cs="Times New Roman"/>
          <w:i/>
          <w:iCs/>
        </w:rPr>
        <w:t>Irlande</w:t>
      </w:r>
      <w:r w:rsidR="001C512C">
        <w:rPr>
          <w:rFonts w:ascii="Times New Roman" w:hAnsi="Times New Roman" w:cs="Times New Roman"/>
        </w:rPr>
        <w:t>, 22 septembre 1988, 45/87, EU:C:1988:435, point 10.</w:t>
      </w:r>
    </w:p>
  </w:footnote>
  <w:footnote w:id="16">
    <w:p w14:paraId="285BAEA2" w14:textId="165F2FC4" w:rsidR="00381589" w:rsidRPr="00B14296" w:rsidRDefault="00381589" w:rsidP="00992369">
      <w:pPr>
        <w:pStyle w:val="Notedebasdepage"/>
        <w:jc w:val="both"/>
        <w:rPr>
          <w:rFonts w:ascii="Times New Roman" w:hAnsi="Times New Roman" w:cs="Times New Roman"/>
          <w:lang w:val="fr-FR"/>
        </w:rPr>
      </w:pPr>
      <w:r w:rsidRPr="000E782E">
        <w:rPr>
          <w:rStyle w:val="Appelnotedebasdep"/>
          <w:rFonts w:ascii="Times New Roman" w:hAnsi="Times New Roman" w:cs="Times New Roman"/>
        </w:rPr>
        <w:footnoteRef/>
      </w:r>
      <w:r w:rsidRPr="000E782E">
        <w:rPr>
          <w:rFonts w:ascii="Times New Roman" w:hAnsi="Times New Roman" w:cs="Times New Roman"/>
        </w:rPr>
        <w:t xml:space="preserve"> </w:t>
      </w:r>
      <w:r w:rsidRPr="000E782E">
        <w:rPr>
          <w:rFonts w:ascii="Times New Roman" w:hAnsi="Times New Roman" w:cs="Times New Roman"/>
          <w:lang w:val="fr-FR"/>
        </w:rPr>
        <w:t>C.J.C.E.</w:t>
      </w:r>
      <w:r w:rsidR="000E782E">
        <w:rPr>
          <w:rFonts w:ascii="Times New Roman" w:hAnsi="Times New Roman" w:cs="Times New Roman"/>
          <w:lang w:val="fr-FR"/>
        </w:rPr>
        <w:t xml:space="preserve">, </w:t>
      </w:r>
      <w:r w:rsidR="00CB4F0E">
        <w:rPr>
          <w:rFonts w:ascii="Times New Roman" w:hAnsi="Times New Roman" w:cs="Times New Roman"/>
          <w:lang w:val="fr-FR"/>
        </w:rPr>
        <w:t xml:space="preserve">arrêt </w:t>
      </w:r>
      <w:r w:rsidR="00CB4F0E">
        <w:rPr>
          <w:rFonts w:ascii="Times New Roman" w:hAnsi="Times New Roman" w:cs="Times New Roman"/>
          <w:i/>
          <w:iCs/>
          <w:lang w:val="fr-FR"/>
        </w:rPr>
        <w:t>Commission des Communautés européennes c. Royaume des Pays-Bas</w:t>
      </w:r>
      <w:r w:rsidR="00CB4F0E">
        <w:rPr>
          <w:rFonts w:ascii="Times New Roman" w:hAnsi="Times New Roman" w:cs="Times New Roman"/>
          <w:lang w:val="fr-FR"/>
        </w:rPr>
        <w:t>, 24 janvier 1995</w:t>
      </w:r>
      <w:r w:rsidR="00F806A5">
        <w:rPr>
          <w:rFonts w:ascii="Times New Roman" w:hAnsi="Times New Roman" w:cs="Times New Roman"/>
          <w:lang w:val="fr-FR"/>
        </w:rPr>
        <w:t>, C</w:t>
      </w:r>
      <w:r w:rsidR="00AF4844">
        <w:rPr>
          <w:rFonts w:ascii="Times New Roman" w:hAnsi="Times New Roman" w:cs="Times New Roman"/>
          <w:lang w:val="fr-FR"/>
        </w:rPr>
        <w:noBreakHyphen/>
      </w:r>
      <w:r w:rsidR="00F806A5">
        <w:rPr>
          <w:rFonts w:ascii="Times New Roman" w:hAnsi="Times New Roman" w:cs="Times New Roman"/>
          <w:lang w:val="fr-FR"/>
        </w:rPr>
        <w:t xml:space="preserve">359/93, </w:t>
      </w:r>
      <w:r w:rsidR="001D068C">
        <w:rPr>
          <w:rFonts w:ascii="Times New Roman" w:hAnsi="Times New Roman" w:cs="Times New Roman"/>
          <w:lang w:val="fr-FR"/>
        </w:rPr>
        <w:t>EU</w:t>
      </w:r>
      <w:r w:rsidR="00424CAC">
        <w:rPr>
          <w:rFonts w:ascii="Times New Roman" w:hAnsi="Times New Roman" w:cs="Times New Roman"/>
          <w:lang w:val="fr-FR"/>
        </w:rPr>
        <w:t>:C:1995:14</w:t>
      </w:r>
      <w:r w:rsidR="00F32EFD">
        <w:rPr>
          <w:rFonts w:ascii="Times New Roman" w:hAnsi="Times New Roman" w:cs="Times New Roman"/>
          <w:lang w:val="fr-FR"/>
        </w:rPr>
        <w:t xml:space="preserve"> ; voy. </w:t>
      </w:r>
      <w:r w:rsidR="006F285D">
        <w:rPr>
          <w:rFonts w:ascii="Times New Roman" w:hAnsi="Times New Roman" w:cs="Times New Roman"/>
          <w:lang w:val="fr-FR"/>
        </w:rPr>
        <w:t>a</w:t>
      </w:r>
      <w:r w:rsidR="00F32EFD">
        <w:rPr>
          <w:rFonts w:ascii="Times New Roman" w:hAnsi="Times New Roman" w:cs="Times New Roman"/>
          <w:lang w:val="fr-FR"/>
        </w:rPr>
        <w:t xml:space="preserve">ussi </w:t>
      </w:r>
      <w:r w:rsidR="00AD12BC">
        <w:rPr>
          <w:rFonts w:ascii="Times New Roman" w:hAnsi="Times New Roman" w:cs="Times New Roman"/>
          <w:lang w:val="fr-FR"/>
        </w:rPr>
        <w:t xml:space="preserve">C.J.C.E., arrêt </w:t>
      </w:r>
      <w:r w:rsidR="00175BA9">
        <w:rPr>
          <w:rFonts w:ascii="Times New Roman" w:hAnsi="Times New Roman" w:cs="Times New Roman"/>
          <w:i/>
          <w:iCs/>
          <w:lang w:val="fr-FR"/>
        </w:rPr>
        <w:t xml:space="preserve">Commission des Communautés européennes c. </w:t>
      </w:r>
      <w:r w:rsidR="00175BA9" w:rsidRPr="00175BA9">
        <w:rPr>
          <w:rFonts w:ascii="Times New Roman" w:hAnsi="Times New Roman" w:cs="Times New Roman"/>
          <w:i/>
          <w:iCs/>
          <w:lang w:val="fr-FR"/>
        </w:rPr>
        <w:t>République d’Autriche</w:t>
      </w:r>
      <w:r w:rsidR="00175BA9">
        <w:rPr>
          <w:rFonts w:ascii="Times New Roman" w:hAnsi="Times New Roman" w:cs="Times New Roman"/>
          <w:lang w:val="fr-FR"/>
        </w:rPr>
        <w:t xml:space="preserve">, 28 octobre 1999, </w:t>
      </w:r>
      <w:r w:rsidR="00A104D8">
        <w:rPr>
          <w:rFonts w:ascii="Times New Roman" w:hAnsi="Times New Roman" w:cs="Times New Roman"/>
          <w:lang w:val="fr-FR"/>
        </w:rPr>
        <w:t xml:space="preserve">C-328/96, EU:C:1999:526 ; </w:t>
      </w:r>
      <w:r w:rsidR="00F32EFD" w:rsidRPr="00175BA9">
        <w:rPr>
          <w:rFonts w:ascii="Times New Roman" w:hAnsi="Times New Roman" w:cs="Times New Roman"/>
          <w:lang w:val="fr-FR"/>
        </w:rPr>
        <w:t>C</w:t>
      </w:r>
      <w:r w:rsidR="00F32EFD">
        <w:rPr>
          <w:rFonts w:ascii="Times New Roman" w:hAnsi="Times New Roman" w:cs="Times New Roman"/>
          <w:lang w:val="fr-FR"/>
        </w:rPr>
        <w:t xml:space="preserve">.J.C.E., ordonnance </w:t>
      </w:r>
      <w:r w:rsidR="00236027">
        <w:rPr>
          <w:rFonts w:ascii="Times New Roman" w:hAnsi="Times New Roman" w:cs="Times New Roman"/>
          <w:i/>
          <w:iCs/>
          <w:lang w:val="fr-FR"/>
        </w:rPr>
        <w:t xml:space="preserve">Bent Mousten Vestergaard et </w:t>
      </w:r>
      <w:r w:rsidR="00B14296" w:rsidRPr="00B14296">
        <w:rPr>
          <w:rFonts w:ascii="Times New Roman" w:hAnsi="Times New Roman" w:cs="Times New Roman"/>
          <w:i/>
          <w:iCs/>
        </w:rPr>
        <w:t>Spøttrup Boligselskab</w:t>
      </w:r>
      <w:r w:rsidR="00B14296">
        <w:rPr>
          <w:rFonts w:ascii="Times New Roman" w:hAnsi="Times New Roman" w:cs="Times New Roman"/>
        </w:rPr>
        <w:t>, 3 décembre 2001, C-59/00</w:t>
      </w:r>
      <w:r w:rsidR="006F285D">
        <w:rPr>
          <w:rFonts w:ascii="Times New Roman" w:hAnsi="Times New Roman" w:cs="Times New Roman"/>
        </w:rPr>
        <w:t>, EU:C:2001:654</w:t>
      </w:r>
      <w:r w:rsidR="00A104D8">
        <w:rPr>
          <w:rFonts w:ascii="Times New Roman" w:hAnsi="Times New Roman" w:cs="Times New Roman"/>
        </w:rPr>
        <w:t xml:space="preserve"> (</w:t>
      </w:r>
      <w:r w:rsidR="00793166">
        <w:rPr>
          <w:rFonts w:ascii="Times New Roman" w:hAnsi="Times New Roman" w:cs="Times New Roman"/>
        </w:rPr>
        <w:t>exigence de fenêtres d’une marque déterminée</w:t>
      </w:r>
      <w:r w:rsidR="00A104D8">
        <w:rPr>
          <w:rFonts w:ascii="Times New Roman" w:hAnsi="Times New Roman" w:cs="Times New Roman"/>
        </w:rPr>
        <w:t>)</w:t>
      </w:r>
      <w:r w:rsidR="00793166">
        <w:rPr>
          <w:rFonts w:ascii="Times New Roman" w:hAnsi="Times New Roman" w:cs="Times New Roman"/>
        </w:rPr>
        <w:t>.</w:t>
      </w:r>
    </w:p>
  </w:footnote>
  <w:footnote w:id="17">
    <w:p w14:paraId="3D8AC70F" w14:textId="611637DD" w:rsidR="00E33912" w:rsidRPr="00992369" w:rsidRDefault="00E33912" w:rsidP="00992369">
      <w:pPr>
        <w:pStyle w:val="Notedebasdepage"/>
        <w:jc w:val="both"/>
        <w:rPr>
          <w:rFonts w:ascii="Times New Roman" w:hAnsi="Times New Roman" w:cs="Times New Roman"/>
          <w:lang w:val="fr-FR"/>
        </w:rPr>
      </w:pPr>
      <w:r w:rsidRPr="00E33912">
        <w:rPr>
          <w:rStyle w:val="Appelnotedebasdep"/>
          <w:rFonts w:ascii="Times New Roman" w:hAnsi="Times New Roman" w:cs="Times New Roman"/>
        </w:rPr>
        <w:footnoteRef/>
      </w:r>
      <w:r w:rsidRPr="00E33912">
        <w:rPr>
          <w:rFonts w:ascii="Times New Roman" w:hAnsi="Times New Roman" w:cs="Times New Roman"/>
        </w:rPr>
        <w:t xml:space="preserve"> </w:t>
      </w:r>
      <w:r>
        <w:rPr>
          <w:rFonts w:ascii="Times New Roman" w:hAnsi="Times New Roman" w:cs="Times New Roman"/>
        </w:rPr>
        <w:t xml:space="preserve">C.J.C.E., </w:t>
      </w:r>
      <w:r w:rsidR="006843B4">
        <w:rPr>
          <w:rFonts w:ascii="Times New Roman" w:hAnsi="Times New Roman" w:cs="Times New Roman"/>
        </w:rPr>
        <w:t xml:space="preserve">arrêt </w:t>
      </w:r>
      <w:r w:rsidR="006843B4">
        <w:rPr>
          <w:rFonts w:ascii="Times New Roman" w:hAnsi="Times New Roman" w:cs="Times New Roman"/>
          <w:i/>
          <w:iCs/>
        </w:rPr>
        <w:t>Commission des Communautés européennes c. Royaume de Danemark</w:t>
      </w:r>
      <w:r w:rsidR="006843B4">
        <w:rPr>
          <w:rFonts w:ascii="Times New Roman" w:hAnsi="Times New Roman" w:cs="Times New Roman"/>
        </w:rPr>
        <w:t xml:space="preserve">, </w:t>
      </w:r>
      <w:r w:rsidR="008B3391">
        <w:rPr>
          <w:rFonts w:ascii="Times New Roman" w:hAnsi="Times New Roman" w:cs="Times New Roman"/>
        </w:rPr>
        <w:t xml:space="preserve">22 juin 1993, C-243/89, </w:t>
      </w:r>
      <w:r w:rsidR="00317D36">
        <w:rPr>
          <w:rFonts w:ascii="Times New Roman" w:hAnsi="Times New Roman" w:cs="Times New Roman"/>
        </w:rPr>
        <w:t>EU:C:1993:257</w:t>
      </w:r>
      <w:r w:rsidR="00715796">
        <w:rPr>
          <w:rFonts w:ascii="Times New Roman" w:hAnsi="Times New Roman" w:cs="Times New Roman"/>
        </w:rPr>
        <w:t xml:space="preserve"> ; voy. </w:t>
      </w:r>
      <w:r w:rsidR="00325E5D">
        <w:rPr>
          <w:rFonts w:ascii="Times New Roman" w:hAnsi="Times New Roman" w:cs="Times New Roman"/>
        </w:rPr>
        <w:t xml:space="preserve">aussi </w:t>
      </w:r>
      <w:r w:rsidR="00325E5D">
        <w:rPr>
          <w:rFonts w:ascii="Times New Roman" w:hAnsi="Times New Roman" w:cs="Times New Roman"/>
          <w:lang w:val="fr-FR"/>
        </w:rPr>
        <w:t xml:space="preserve">C.J.C.E., arrêt </w:t>
      </w:r>
      <w:r w:rsidR="00325E5D">
        <w:rPr>
          <w:rFonts w:ascii="Times New Roman" w:hAnsi="Times New Roman" w:cs="Times New Roman"/>
          <w:i/>
          <w:iCs/>
          <w:lang w:val="fr-FR"/>
        </w:rPr>
        <w:t xml:space="preserve">Commission des Communautés européennes c. </w:t>
      </w:r>
      <w:r w:rsidR="00325E5D" w:rsidRPr="00175BA9">
        <w:rPr>
          <w:rFonts w:ascii="Times New Roman" w:hAnsi="Times New Roman" w:cs="Times New Roman"/>
          <w:i/>
          <w:iCs/>
          <w:lang w:val="fr-FR"/>
        </w:rPr>
        <w:t>République d’Autriche</w:t>
      </w:r>
      <w:r w:rsidR="00325E5D">
        <w:rPr>
          <w:rFonts w:ascii="Times New Roman" w:hAnsi="Times New Roman" w:cs="Times New Roman"/>
          <w:lang w:val="fr-FR"/>
        </w:rPr>
        <w:t>, 28 octobre 1999, C-328/96, EU:C:1999:526 ; </w:t>
      </w:r>
      <w:r w:rsidR="00C25CFB">
        <w:rPr>
          <w:rFonts w:ascii="Times New Roman" w:hAnsi="Times New Roman" w:cs="Times New Roman"/>
        </w:rPr>
        <w:t xml:space="preserve">pour une clause exigeant que les </w:t>
      </w:r>
      <w:r w:rsidR="00871FAC">
        <w:rPr>
          <w:rFonts w:ascii="Times New Roman" w:hAnsi="Times New Roman" w:cs="Times New Roman"/>
        </w:rPr>
        <w:t>prestations soient effectuées par des établissements hospitaliers privés situés dans une municipalité spécifique</w:t>
      </w:r>
      <w:r w:rsidR="00661724">
        <w:rPr>
          <w:rFonts w:ascii="Times New Roman" w:hAnsi="Times New Roman" w:cs="Times New Roman"/>
        </w:rPr>
        <w:t xml:space="preserve">, </w:t>
      </w:r>
      <w:r w:rsidR="00325E5D">
        <w:rPr>
          <w:rFonts w:ascii="Times New Roman" w:hAnsi="Times New Roman" w:cs="Times New Roman"/>
        </w:rPr>
        <w:t xml:space="preserve">voy. </w:t>
      </w:r>
      <w:r w:rsidR="00661724">
        <w:rPr>
          <w:rFonts w:ascii="Times New Roman" w:hAnsi="Times New Roman" w:cs="Times New Roman"/>
        </w:rPr>
        <w:t>C.J.</w:t>
      </w:r>
      <w:r w:rsidR="00777ABF">
        <w:rPr>
          <w:rFonts w:ascii="Times New Roman" w:hAnsi="Times New Roman" w:cs="Times New Roman"/>
        </w:rPr>
        <w:t>U.E.</w:t>
      </w:r>
      <w:r w:rsidR="00661724">
        <w:rPr>
          <w:rFonts w:ascii="Times New Roman" w:hAnsi="Times New Roman" w:cs="Times New Roman"/>
        </w:rPr>
        <w:t xml:space="preserve">, </w:t>
      </w:r>
      <w:r w:rsidR="00661724">
        <w:rPr>
          <w:rFonts w:ascii="Times New Roman" w:hAnsi="Times New Roman" w:cs="Times New Roman"/>
          <w:i/>
          <w:iCs/>
        </w:rPr>
        <w:t xml:space="preserve">arrêt </w:t>
      </w:r>
      <w:r w:rsidR="00107ADB" w:rsidRPr="00107ADB">
        <w:rPr>
          <w:rFonts w:ascii="Times New Roman" w:hAnsi="Times New Roman" w:cs="Times New Roman"/>
          <w:i/>
          <w:iCs/>
        </w:rPr>
        <w:t>Grupo Hospitalario Quirón SA</w:t>
      </w:r>
      <w:r w:rsidR="00107ADB">
        <w:rPr>
          <w:rFonts w:ascii="Times New Roman" w:hAnsi="Times New Roman" w:cs="Times New Roman"/>
        </w:rPr>
        <w:t xml:space="preserve"> </w:t>
      </w:r>
      <w:r w:rsidR="00107ADB" w:rsidRPr="00107ADB">
        <w:rPr>
          <w:rFonts w:ascii="Times New Roman" w:hAnsi="Times New Roman" w:cs="Times New Roman"/>
          <w:i/>
          <w:iCs/>
        </w:rPr>
        <w:t>c. Departamento de Sanidad del Gobierno Vasco</w:t>
      </w:r>
      <w:r w:rsidR="00107ADB">
        <w:rPr>
          <w:rFonts w:ascii="Times New Roman" w:hAnsi="Times New Roman" w:cs="Times New Roman"/>
          <w:i/>
          <w:iCs/>
        </w:rPr>
        <w:t xml:space="preserve"> et </w:t>
      </w:r>
      <w:r w:rsidR="00992369" w:rsidRPr="00992369">
        <w:rPr>
          <w:rFonts w:ascii="Times New Roman" w:hAnsi="Times New Roman" w:cs="Times New Roman"/>
          <w:i/>
          <w:iCs/>
        </w:rPr>
        <w:t>Instituto de Religiosas Siervas de Jesús de la Caridad</w:t>
      </w:r>
      <w:r w:rsidR="00992369">
        <w:rPr>
          <w:rFonts w:ascii="Times New Roman" w:hAnsi="Times New Roman" w:cs="Times New Roman"/>
        </w:rPr>
        <w:t>, 22 octobre 2015, C-552/13, EU:C:2015:713.</w:t>
      </w:r>
    </w:p>
  </w:footnote>
  <w:footnote w:id="18">
    <w:p w14:paraId="36EB3082" w14:textId="38A3F451" w:rsidR="00DE7320" w:rsidRPr="00420F8E" w:rsidRDefault="00DE7320" w:rsidP="00B666AF">
      <w:pPr>
        <w:pStyle w:val="Notedebasdepage"/>
        <w:jc w:val="both"/>
        <w:rPr>
          <w:rFonts w:ascii="Times New Roman" w:hAnsi="Times New Roman" w:cs="Times New Roman"/>
          <w:lang w:val="fr-FR"/>
        </w:rPr>
      </w:pPr>
      <w:r w:rsidRPr="00DE7320">
        <w:rPr>
          <w:rStyle w:val="Appelnotedebasdep"/>
          <w:rFonts w:ascii="Times New Roman" w:hAnsi="Times New Roman" w:cs="Times New Roman"/>
        </w:rPr>
        <w:footnoteRef/>
      </w:r>
      <w:r w:rsidRPr="00DE7320">
        <w:rPr>
          <w:rFonts w:ascii="Times New Roman" w:hAnsi="Times New Roman" w:cs="Times New Roman"/>
        </w:rPr>
        <w:t xml:space="preserve"> </w:t>
      </w:r>
      <w:r>
        <w:rPr>
          <w:rFonts w:ascii="Times New Roman" w:hAnsi="Times New Roman" w:cs="Times New Roman"/>
        </w:rPr>
        <w:t>C.J.</w:t>
      </w:r>
      <w:r w:rsidR="000B1BB5">
        <w:rPr>
          <w:rFonts w:ascii="Times New Roman" w:hAnsi="Times New Roman" w:cs="Times New Roman"/>
        </w:rPr>
        <w:t>U.E.</w:t>
      </w:r>
      <w:r>
        <w:rPr>
          <w:rFonts w:ascii="Times New Roman" w:hAnsi="Times New Roman" w:cs="Times New Roman"/>
        </w:rPr>
        <w:t xml:space="preserve">, </w:t>
      </w:r>
      <w:r w:rsidR="00420F8E">
        <w:rPr>
          <w:rFonts w:ascii="Times New Roman" w:hAnsi="Times New Roman" w:cs="Times New Roman"/>
        </w:rPr>
        <w:t xml:space="preserve">arrêt </w:t>
      </w:r>
      <w:r w:rsidR="00420F8E">
        <w:rPr>
          <w:rFonts w:ascii="Times New Roman" w:hAnsi="Times New Roman" w:cs="Times New Roman"/>
          <w:i/>
          <w:iCs/>
        </w:rPr>
        <w:t xml:space="preserve">Medisanus d.o.o. c. </w:t>
      </w:r>
      <w:r w:rsidR="00420F8E" w:rsidRPr="00420F8E">
        <w:rPr>
          <w:rFonts w:ascii="Times New Roman" w:hAnsi="Times New Roman" w:cs="Times New Roman"/>
          <w:i/>
          <w:iCs/>
        </w:rPr>
        <w:t>Splošna Bolnišnica Murska Sobota</w:t>
      </w:r>
      <w:r w:rsidR="00420F8E">
        <w:rPr>
          <w:rFonts w:ascii="Times New Roman" w:hAnsi="Times New Roman" w:cs="Times New Roman"/>
        </w:rPr>
        <w:t>, 8 juin 2017, C-296/15, EU:C:2017:431.</w:t>
      </w:r>
    </w:p>
  </w:footnote>
  <w:footnote w:id="19">
    <w:p w14:paraId="367C3A47" w14:textId="0AE7C57D" w:rsidR="00E96A03" w:rsidRPr="00E96A03" w:rsidRDefault="00E96A03" w:rsidP="00B666AF">
      <w:pPr>
        <w:pStyle w:val="Notedebasdepage"/>
        <w:jc w:val="both"/>
        <w:rPr>
          <w:rFonts w:ascii="Times New Roman" w:hAnsi="Times New Roman" w:cs="Times New Roman"/>
          <w:lang w:val="fr-FR"/>
        </w:rPr>
      </w:pPr>
      <w:r w:rsidRPr="00E96A03">
        <w:rPr>
          <w:rStyle w:val="Appelnotedebasdep"/>
          <w:rFonts w:ascii="Times New Roman" w:hAnsi="Times New Roman" w:cs="Times New Roman"/>
        </w:rPr>
        <w:footnoteRef/>
      </w:r>
      <w:r w:rsidRPr="00E96A03">
        <w:rPr>
          <w:rFonts w:ascii="Times New Roman" w:hAnsi="Times New Roman" w:cs="Times New Roman"/>
        </w:rPr>
        <w:t xml:space="preserve"> </w:t>
      </w:r>
      <w:r w:rsidR="008D4A3E">
        <w:rPr>
          <w:rFonts w:ascii="Times New Roman" w:hAnsi="Times New Roman" w:cs="Times New Roman"/>
        </w:rPr>
        <w:t xml:space="preserve">C.J.C.E., arrêt </w:t>
      </w:r>
      <w:r w:rsidR="008D4A3E">
        <w:rPr>
          <w:rFonts w:ascii="Times New Roman" w:hAnsi="Times New Roman" w:cs="Times New Roman"/>
          <w:i/>
          <w:iCs/>
        </w:rPr>
        <w:t xml:space="preserve">Commission des Communautés européennes c. </w:t>
      </w:r>
      <w:r w:rsidR="008D4A3E" w:rsidRPr="008D4A3E">
        <w:rPr>
          <w:rFonts w:ascii="Times New Roman" w:hAnsi="Times New Roman" w:cs="Times New Roman"/>
          <w:i/>
          <w:iCs/>
        </w:rPr>
        <w:t>République française</w:t>
      </w:r>
      <w:r w:rsidR="008D4A3E">
        <w:rPr>
          <w:rFonts w:ascii="Times New Roman" w:hAnsi="Times New Roman" w:cs="Times New Roman"/>
        </w:rPr>
        <w:t xml:space="preserve">, </w:t>
      </w:r>
      <w:r w:rsidR="00996D02">
        <w:rPr>
          <w:rFonts w:ascii="Times New Roman" w:hAnsi="Times New Roman" w:cs="Times New Roman"/>
        </w:rPr>
        <w:t>26 septembre 2000, C</w:t>
      </w:r>
      <w:r w:rsidR="00996D02">
        <w:rPr>
          <w:rFonts w:ascii="Times New Roman" w:hAnsi="Times New Roman" w:cs="Times New Roman"/>
        </w:rPr>
        <w:noBreakHyphen/>
        <w:t>225/98, EU:C</w:t>
      </w:r>
      <w:r w:rsidR="00EE1AA3">
        <w:rPr>
          <w:rFonts w:ascii="Times New Roman" w:hAnsi="Times New Roman" w:cs="Times New Roman"/>
        </w:rPr>
        <w:t xml:space="preserve">:2000:494, </w:t>
      </w:r>
      <w:r w:rsidRPr="008D4A3E">
        <w:rPr>
          <w:rFonts w:ascii="Times New Roman" w:hAnsi="Times New Roman" w:cs="Times New Roman"/>
        </w:rPr>
        <w:t>point</w:t>
      </w:r>
      <w:r>
        <w:rPr>
          <w:rFonts w:ascii="Times New Roman" w:hAnsi="Times New Roman" w:cs="Times New Roman"/>
        </w:rPr>
        <w:t xml:space="preserve"> 81.</w:t>
      </w:r>
    </w:p>
  </w:footnote>
  <w:footnote w:id="20">
    <w:p w14:paraId="512A584D" w14:textId="11B86521" w:rsidR="00001251" w:rsidRPr="001C0B67" w:rsidRDefault="00001251" w:rsidP="00B666AF">
      <w:pPr>
        <w:pStyle w:val="Notedebasdepage"/>
        <w:jc w:val="both"/>
        <w:rPr>
          <w:rFonts w:ascii="Times New Roman" w:hAnsi="Times New Roman" w:cs="Times New Roman"/>
        </w:rPr>
      </w:pPr>
      <w:r w:rsidRPr="00001251">
        <w:rPr>
          <w:rStyle w:val="Appelnotedebasdep"/>
          <w:rFonts w:ascii="Times New Roman" w:hAnsi="Times New Roman" w:cs="Times New Roman"/>
        </w:rPr>
        <w:footnoteRef/>
      </w:r>
      <w:r w:rsidRPr="00001251">
        <w:rPr>
          <w:rFonts w:ascii="Times New Roman" w:hAnsi="Times New Roman" w:cs="Times New Roman"/>
        </w:rPr>
        <w:t xml:space="preserve"> </w:t>
      </w:r>
      <w:r>
        <w:rPr>
          <w:rFonts w:ascii="Times New Roman" w:hAnsi="Times New Roman" w:cs="Times New Roman"/>
        </w:rPr>
        <w:t>C.J.</w:t>
      </w:r>
      <w:r w:rsidR="000B1BB5">
        <w:rPr>
          <w:rFonts w:ascii="Times New Roman" w:hAnsi="Times New Roman" w:cs="Times New Roman"/>
        </w:rPr>
        <w:t>U.E.</w:t>
      </w:r>
      <w:r>
        <w:rPr>
          <w:rFonts w:ascii="Times New Roman" w:hAnsi="Times New Roman" w:cs="Times New Roman"/>
        </w:rPr>
        <w:t xml:space="preserve">, arrêt </w:t>
      </w:r>
      <w:r w:rsidR="00E470A5">
        <w:rPr>
          <w:rFonts w:ascii="Times New Roman" w:hAnsi="Times New Roman" w:cs="Times New Roman"/>
          <w:i/>
          <w:iCs/>
        </w:rPr>
        <w:t>Commission e</w:t>
      </w:r>
      <w:r w:rsidR="002357EB">
        <w:rPr>
          <w:rFonts w:ascii="Times New Roman" w:hAnsi="Times New Roman" w:cs="Times New Roman"/>
          <w:i/>
          <w:iCs/>
        </w:rPr>
        <w:t>uropéenne c. Royaume des Pays-Bas</w:t>
      </w:r>
      <w:r w:rsidR="002357EB">
        <w:rPr>
          <w:rFonts w:ascii="Times New Roman" w:hAnsi="Times New Roman" w:cs="Times New Roman"/>
        </w:rPr>
        <w:t>, 10 mai 2012, C-368/10, EU:C</w:t>
      </w:r>
      <w:r w:rsidR="001C0B67">
        <w:rPr>
          <w:rFonts w:ascii="Times New Roman" w:hAnsi="Times New Roman" w:cs="Times New Roman"/>
        </w:rPr>
        <w:t>:2012:284.</w:t>
      </w:r>
    </w:p>
  </w:footnote>
  <w:footnote w:id="21">
    <w:p w14:paraId="0F36608A" w14:textId="2858F886" w:rsidR="00917FE3" w:rsidRPr="00917FE3" w:rsidRDefault="00917FE3" w:rsidP="00B666AF">
      <w:pPr>
        <w:pStyle w:val="Notedebasdepage"/>
        <w:jc w:val="both"/>
        <w:rPr>
          <w:rFonts w:ascii="Times New Roman" w:hAnsi="Times New Roman" w:cs="Times New Roman"/>
          <w:lang w:val="fr-FR"/>
        </w:rPr>
      </w:pPr>
      <w:r w:rsidRPr="00917FE3">
        <w:rPr>
          <w:rStyle w:val="Appelnotedebasdep"/>
          <w:rFonts w:ascii="Times New Roman" w:hAnsi="Times New Roman" w:cs="Times New Roman"/>
        </w:rPr>
        <w:footnoteRef/>
      </w:r>
      <w:r w:rsidRPr="00917FE3">
        <w:rPr>
          <w:rFonts w:ascii="Times New Roman" w:hAnsi="Times New Roman" w:cs="Times New Roman"/>
        </w:rPr>
        <w:t xml:space="preserve"> </w:t>
      </w:r>
      <w:r>
        <w:rPr>
          <w:rFonts w:ascii="Times New Roman" w:hAnsi="Times New Roman" w:cs="Times New Roman"/>
        </w:rPr>
        <w:t>La CJUE a considéré dans cet arrêt que l</w:t>
      </w:r>
      <w:r w:rsidR="0097633E">
        <w:rPr>
          <w:rFonts w:ascii="Times New Roman" w:hAnsi="Times New Roman" w:cs="Times New Roman"/>
        </w:rPr>
        <w:t>a référence au</w:t>
      </w:r>
      <w:r>
        <w:rPr>
          <w:rFonts w:ascii="Times New Roman" w:hAnsi="Times New Roman" w:cs="Times New Roman"/>
        </w:rPr>
        <w:t xml:space="preserve"> label Max Havelaar </w:t>
      </w:r>
      <w:r w:rsidR="0097633E">
        <w:rPr>
          <w:rFonts w:ascii="Times New Roman" w:hAnsi="Times New Roman" w:cs="Times New Roman"/>
        </w:rPr>
        <w:t>constituait une condition d’exécution du marché</w:t>
      </w:r>
      <w:r w:rsidR="00D233A6">
        <w:rPr>
          <w:rFonts w:ascii="Times New Roman" w:hAnsi="Times New Roman" w:cs="Times New Roman"/>
        </w:rPr>
        <w:t>, et non une spécification technique (cf. point 73 et suiv.).</w:t>
      </w:r>
    </w:p>
  </w:footnote>
  <w:footnote w:id="22">
    <w:p w14:paraId="219CBF1B" w14:textId="736C5C0B" w:rsidR="00241D42" w:rsidRPr="00241D42" w:rsidRDefault="00241D42" w:rsidP="00B666AF">
      <w:pPr>
        <w:pStyle w:val="Notedebasdepage"/>
        <w:jc w:val="both"/>
        <w:rPr>
          <w:rFonts w:ascii="Times New Roman" w:hAnsi="Times New Roman" w:cs="Times New Roman"/>
          <w:lang w:val="fr-FR"/>
        </w:rPr>
      </w:pPr>
      <w:r w:rsidRPr="00241D42">
        <w:rPr>
          <w:rStyle w:val="Appelnotedebasdep"/>
          <w:rFonts w:ascii="Times New Roman" w:hAnsi="Times New Roman" w:cs="Times New Roman"/>
        </w:rPr>
        <w:footnoteRef/>
      </w:r>
      <w:r w:rsidRPr="00241D42">
        <w:rPr>
          <w:rFonts w:ascii="Times New Roman" w:hAnsi="Times New Roman" w:cs="Times New Roman"/>
        </w:rPr>
        <w:t xml:space="preserve"> </w:t>
      </w:r>
      <w:r>
        <w:rPr>
          <w:rFonts w:ascii="Times New Roman" w:hAnsi="Times New Roman" w:cs="Times New Roman"/>
        </w:rPr>
        <w:t>C.J.</w:t>
      </w:r>
      <w:r w:rsidR="000B1BB5">
        <w:rPr>
          <w:rFonts w:ascii="Times New Roman" w:hAnsi="Times New Roman" w:cs="Times New Roman"/>
        </w:rPr>
        <w:t>U.E.</w:t>
      </w:r>
      <w:r>
        <w:rPr>
          <w:rFonts w:ascii="Times New Roman" w:hAnsi="Times New Roman" w:cs="Times New Roman"/>
        </w:rPr>
        <w:t xml:space="preserve">, </w:t>
      </w:r>
      <w:r w:rsidR="00001855">
        <w:rPr>
          <w:rFonts w:ascii="Times New Roman" w:hAnsi="Times New Roman" w:cs="Times New Roman"/>
        </w:rPr>
        <w:t xml:space="preserve">arrêt </w:t>
      </w:r>
      <w:r w:rsidR="00926CB3">
        <w:rPr>
          <w:rFonts w:ascii="Times New Roman" w:hAnsi="Times New Roman" w:cs="Times New Roman"/>
          <w:i/>
          <w:iCs/>
        </w:rPr>
        <w:t xml:space="preserve">SC Enterprise Focused Solutions SRL c. </w:t>
      </w:r>
      <w:r w:rsidR="00C75807" w:rsidRPr="00C75807">
        <w:rPr>
          <w:rFonts w:ascii="Times New Roman" w:hAnsi="Times New Roman" w:cs="Times New Roman"/>
          <w:i/>
          <w:iCs/>
        </w:rPr>
        <w:t>Spitalul Județean de Urgență Alba Iulia</w:t>
      </w:r>
      <w:r w:rsidR="00001855">
        <w:rPr>
          <w:rFonts w:ascii="Times New Roman" w:hAnsi="Times New Roman" w:cs="Times New Roman"/>
        </w:rPr>
        <w:t xml:space="preserve">, </w:t>
      </w:r>
      <w:r w:rsidR="00B34FD9">
        <w:rPr>
          <w:rFonts w:ascii="Times New Roman" w:hAnsi="Times New Roman" w:cs="Times New Roman"/>
        </w:rPr>
        <w:t>16 avril 2015, C</w:t>
      </w:r>
      <w:r w:rsidR="00B34FD9">
        <w:rPr>
          <w:rFonts w:ascii="Times New Roman" w:hAnsi="Times New Roman" w:cs="Times New Roman"/>
        </w:rPr>
        <w:noBreakHyphen/>
        <w:t xml:space="preserve">278/14, </w:t>
      </w:r>
      <w:r w:rsidR="00DA6271">
        <w:rPr>
          <w:rFonts w:ascii="Times New Roman" w:hAnsi="Times New Roman" w:cs="Times New Roman"/>
        </w:rPr>
        <w:t xml:space="preserve">EU:C:2015:228, </w:t>
      </w:r>
      <w:r w:rsidR="00001855">
        <w:rPr>
          <w:rFonts w:ascii="Times New Roman" w:hAnsi="Times New Roman" w:cs="Times New Roman"/>
        </w:rPr>
        <w:t>points 27 et 29.</w:t>
      </w:r>
    </w:p>
  </w:footnote>
  <w:footnote w:id="23">
    <w:p w14:paraId="33EB92BA" w14:textId="005F6041" w:rsidR="00EA56F2" w:rsidRPr="006F4375" w:rsidRDefault="00EA56F2" w:rsidP="006A0A1C">
      <w:pPr>
        <w:pStyle w:val="Notedebasdepage"/>
        <w:jc w:val="both"/>
        <w:rPr>
          <w:rFonts w:ascii="Times New Roman" w:hAnsi="Times New Roman" w:cs="Times New Roman"/>
          <w:lang w:val="fr-FR"/>
        </w:rPr>
      </w:pPr>
      <w:r w:rsidRPr="00EA56F2">
        <w:rPr>
          <w:rStyle w:val="Appelnotedebasdep"/>
          <w:rFonts w:ascii="Times New Roman" w:hAnsi="Times New Roman" w:cs="Times New Roman"/>
        </w:rPr>
        <w:footnoteRef/>
      </w:r>
      <w:r w:rsidRPr="00EA56F2">
        <w:rPr>
          <w:rFonts w:ascii="Times New Roman" w:hAnsi="Times New Roman" w:cs="Times New Roman"/>
        </w:rPr>
        <w:t xml:space="preserve"> </w:t>
      </w:r>
      <w:r w:rsidR="00B1536A">
        <w:rPr>
          <w:rFonts w:ascii="Times New Roman" w:hAnsi="Times New Roman" w:cs="Times New Roman"/>
        </w:rPr>
        <w:t>Telle que la procédure de sauvegarde</w:t>
      </w:r>
      <w:r w:rsidR="000E2CC7">
        <w:rPr>
          <w:rFonts w:ascii="Times New Roman" w:hAnsi="Times New Roman" w:cs="Times New Roman"/>
        </w:rPr>
        <w:t xml:space="preserve"> prévue par l’article 8 de la directive 93/</w:t>
      </w:r>
      <w:r w:rsidR="00614B7E">
        <w:rPr>
          <w:rFonts w:ascii="Times New Roman" w:hAnsi="Times New Roman" w:cs="Times New Roman"/>
        </w:rPr>
        <w:t>42/CEE du Conseil, du 14 juin 1993, relative aux dispositifs médicaux</w:t>
      </w:r>
      <w:r w:rsidR="00402067">
        <w:rPr>
          <w:rFonts w:ascii="Times New Roman" w:hAnsi="Times New Roman" w:cs="Times New Roman"/>
        </w:rPr>
        <w:t xml:space="preserve">, </w:t>
      </w:r>
      <w:r w:rsidR="00402067" w:rsidRPr="00DF5EAF">
        <w:rPr>
          <w:rFonts w:ascii="Times New Roman" w:hAnsi="Times New Roman" w:cs="Times New Roman"/>
          <w:i/>
          <w:iCs/>
        </w:rPr>
        <w:t>J.O.</w:t>
      </w:r>
      <w:r w:rsidR="00DF5EAF">
        <w:rPr>
          <w:rFonts w:ascii="Times New Roman" w:hAnsi="Times New Roman" w:cs="Times New Roman"/>
          <w:i/>
          <w:iCs/>
        </w:rPr>
        <w:t>C.E.</w:t>
      </w:r>
      <w:r w:rsidR="00DF5EAF">
        <w:rPr>
          <w:rFonts w:ascii="Times New Roman" w:hAnsi="Times New Roman" w:cs="Times New Roman"/>
        </w:rPr>
        <w:t>,</w:t>
      </w:r>
      <w:r w:rsidR="00C43D49">
        <w:rPr>
          <w:rFonts w:ascii="Times New Roman" w:hAnsi="Times New Roman" w:cs="Times New Roman"/>
        </w:rPr>
        <w:t xml:space="preserve"> L 169, concernée par l’arrêt</w:t>
      </w:r>
      <w:r w:rsidR="00EA0D90">
        <w:rPr>
          <w:rFonts w:ascii="Times New Roman" w:hAnsi="Times New Roman" w:cs="Times New Roman"/>
        </w:rPr>
        <w:t xml:space="preserve"> ; </w:t>
      </w:r>
      <w:r w:rsidR="00D9035E">
        <w:rPr>
          <w:rFonts w:ascii="Times New Roman" w:hAnsi="Times New Roman" w:cs="Times New Roman"/>
        </w:rPr>
        <w:t>C.J.</w:t>
      </w:r>
      <w:r w:rsidR="0058635B">
        <w:rPr>
          <w:rFonts w:ascii="Times New Roman" w:hAnsi="Times New Roman" w:cs="Times New Roman"/>
        </w:rPr>
        <w:t xml:space="preserve">C.E., arrêt </w:t>
      </w:r>
      <w:r w:rsidR="0058635B">
        <w:rPr>
          <w:rFonts w:ascii="Times New Roman" w:hAnsi="Times New Roman" w:cs="Times New Roman"/>
          <w:i/>
          <w:iCs/>
        </w:rPr>
        <w:t>Medipac</w:t>
      </w:r>
      <w:r w:rsidR="00A904C1">
        <w:rPr>
          <w:rFonts w:ascii="Times New Roman" w:hAnsi="Times New Roman" w:cs="Times New Roman"/>
          <w:i/>
          <w:iCs/>
        </w:rPr>
        <w:noBreakHyphen/>
        <w:t>Kazantzidis</w:t>
      </w:r>
      <w:r w:rsidR="00A51BBF">
        <w:rPr>
          <w:rFonts w:ascii="Times New Roman" w:hAnsi="Times New Roman" w:cs="Times New Roman"/>
          <w:i/>
          <w:iCs/>
        </w:rPr>
        <w:t xml:space="preserve"> AE c. Venizeleio-Pananeio (PE.S.Y. KRITIS)</w:t>
      </w:r>
      <w:r w:rsidR="00A51BBF">
        <w:rPr>
          <w:rFonts w:ascii="Times New Roman" w:hAnsi="Times New Roman" w:cs="Times New Roman"/>
        </w:rPr>
        <w:t xml:space="preserve">, </w:t>
      </w:r>
      <w:r w:rsidR="00690D93">
        <w:rPr>
          <w:rFonts w:ascii="Times New Roman" w:hAnsi="Times New Roman" w:cs="Times New Roman"/>
        </w:rPr>
        <w:t xml:space="preserve">14 juin 2007, C-6/05, </w:t>
      </w:r>
      <w:r w:rsidR="00077E63">
        <w:rPr>
          <w:rFonts w:ascii="Times New Roman" w:hAnsi="Times New Roman" w:cs="Times New Roman"/>
        </w:rPr>
        <w:t xml:space="preserve">EU:C:2007:337, </w:t>
      </w:r>
      <w:r>
        <w:rPr>
          <w:rFonts w:ascii="Times New Roman" w:hAnsi="Times New Roman" w:cs="Times New Roman"/>
        </w:rPr>
        <w:t>point 53</w:t>
      </w:r>
      <w:r w:rsidR="00FA35E9">
        <w:rPr>
          <w:rFonts w:ascii="Times New Roman" w:hAnsi="Times New Roman" w:cs="Times New Roman"/>
        </w:rPr>
        <w:t>. Voy.</w:t>
      </w:r>
      <w:r w:rsidR="00710A7F">
        <w:rPr>
          <w:rFonts w:ascii="Times New Roman" w:hAnsi="Times New Roman" w:cs="Times New Roman"/>
        </w:rPr>
        <w:t xml:space="preserve"> aussi</w:t>
      </w:r>
      <w:r w:rsidR="006F4375">
        <w:rPr>
          <w:rFonts w:ascii="Times New Roman" w:hAnsi="Times New Roman" w:cs="Times New Roman"/>
        </w:rPr>
        <w:t xml:space="preserve"> C.J.C.E., arrêt </w:t>
      </w:r>
      <w:r w:rsidR="006F4375">
        <w:rPr>
          <w:rFonts w:ascii="Times New Roman" w:hAnsi="Times New Roman" w:cs="Times New Roman"/>
          <w:i/>
          <w:iCs/>
        </w:rPr>
        <w:t>Commission des Communautés européennes c. République hellénique</w:t>
      </w:r>
      <w:r w:rsidR="004D5A53">
        <w:rPr>
          <w:rFonts w:ascii="Times New Roman" w:hAnsi="Times New Roman" w:cs="Times New Roman"/>
        </w:rPr>
        <w:t xml:space="preserve">, </w:t>
      </w:r>
      <w:r w:rsidR="00444014">
        <w:rPr>
          <w:rFonts w:ascii="Times New Roman" w:hAnsi="Times New Roman" w:cs="Times New Roman"/>
        </w:rPr>
        <w:t>19 mars 2009, C-489/06, EU:C:2009:165.</w:t>
      </w:r>
    </w:p>
  </w:footnote>
  <w:footnote w:id="24">
    <w:p w14:paraId="7A290B27" w14:textId="16DEEEAA" w:rsidR="006A0A1C" w:rsidRPr="006A0A1C" w:rsidRDefault="006A0A1C" w:rsidP="006A0A1C">
      <w:pPr>
        <w:pStyle w:val="Notedebasdepage"/>
        <w:jc w:val="both"/>
        <w:rPr>
          <w:rFonts w:ascii="Times New Roman" w:hAnsi="Times New Roman" w:cs="Times New Roman"/>
          <w:lang w:val="fr-FR"/>
        </w:rPr>
      </w:pPr>
      <w:r w:rsidRPr="006A0A1C">
        <w:rPr>
          <w:rStyle w:val="Appelnotedebasdep"/>
          <w:rFonts w:ascii="Times New Roman" w:hAnsi="Times New Roman" w:cs="Times New Roman"/>
        </w:rPr>
        <w:footnoteRef/>
      </w:r>
      <w:r>
        <w:rPr>
          <w:rFonts w:ascii="Times New Roman" w:hAnsi="Times New Roman" w:cs="Times New Roman"/>
        </w:rPr>
        <w:t xml:space="preserve"> C.J.C.E., arrêt </w:t>
      </w:r>
      <w:r>
        <w:rPr>
          <w:rFonts w:ascii="Times New Roman" w:hAnsi="Times New Roman" w:cs="Times New Roman"/>
          <w:i/>
          <w:iCs/>
        </w:rPr>
        <w:t>Medipac</w:t>
      </w:r>
      <w:r>
        <w:rPr>
          <w:rFonts w:ascii="Times New Roman" w:hAnsi="Times New Roman" w:cs="Times New Roman"/>
          <w:i/>
          <w:iCs/>
        </w:rPr>
        <w:noBreakHyphen/>
        <w:t>Kazantzidis AE c. Venizeleio-Pananeio (PE.S.Y. KRITIS)</w:t>
      </w:r>
      <w:r>
        <w:rPr>
          <w:rFonts w:ascii="Times New Roman" w:hAnsi="Times New Roman" w:cs="Times New Roman"/>
        </w:rPr>
        <w:t>, 14 juin 2007, C-6/05, EU:C:2007:337</w:t>
      </w:r>
      <w:r w:rsidRPr="006A0A1C">
        <w:rPr>
          <w:rFonts w:ascii="Times New Roman" w:hAnsi="Times New Roman" w:cs="Times New Roman"/>
        </w:rPr>
        <w:t xml:space="preserve"> </w:t>
      </w:r>
      <w:r>
        <w:rPr>
          <w:rFonts w:ascii="Times New Roman" w:hAnsi="Times New Roman" w:cs="Times New Roman"/>
        </w:rPr>
        <w:t xml:space="preserve">points 56 et suiv. </w:t>
      </w:r>
    </w:p>
  </w:footnote>
  <w:footnote w:id="25">
    <w:p w14:paraId="39E4CE78" w14:textId="26D017E8" w:rsidR="00DC0E75" w:rsidRPr="00E14876" w:rsidRDefault="00DC0E75" w:rsidP="006A0A1C">
      <w:pPr>
        <w:pStyle w:val="Notedebasdepage"/>
        <w:jc w:val="both"/>
        <w:rPr>
          <w:rFonts w:ascii="Times New Roman" w:hAnsi="Times New Roman" w:cs="Times New Roman"/>
          <w:lang w:val="it-IT"/>
        </w:rPr>
      </w:pPr>
      <w:r w:rsidRPr="00DC0E75">
        <w:rPr>
          <w:rStyle w:val="Appelnotedebasdep"/>
          <w:rFonts w:ascii="Times New Roman" w:hAnsi="Times New Roman" w:cs="Times New Roman"/>
        </w:rPr>
        <w:footnoteRef/>
      </w:r>
      <w:r w:rsidRPr="00E14876">
        <w:rPr>
          <w:rFonts w:ascii="Times New Roman" w:hAnsi="Times New Roman" w:cs="Times New Roman"/>
          <w:lang w:val="it-IT"/>
        </w:rPr>
        <w:t xml:space="preserve"> C.J.</w:t>
      </w:r>
      <w:r w:rsidR="00C96F78" w:rsidRPr="00E14876">
        <w:rPr>
          <w:rFonts w:ascii="Times New Roman" w:hAnsi="Times New Roman" w:cs="Times New Roman"/>
          <w:lang w:val="it-IT"/>
        </w:rPr>
        <w:t>U.E.</w:t>
      </w:r>
      <w:r w:rsidRPr="00E14876">
        <w:rPr>
          <w:rFonts w:ascii="Times New Roman" w:hAnsi="Times New Roman" w:cs="Times New Roman"/>
          <w:lang w:val="it-IT"/>
        </w:rPr>
        <w:t xml:space="preserve">, </w:t>
      </w:r>
      <w:r w:rsidR="00542E26" w:rsidRPr="00E14876">
        <w:rPr>
          <w:rFonts w:ascii="Times New Roman" w:hAnsi="Times New Roman" w:cs="Times New Roman"/>
          <w:lang w:val="it-IT"/>
        </w:rPr>
        <w:t xml:space="preserve">arrêt </w:t>
      </w:r>
      <w:r w:rsidR="005A040D" w:rsidRPr="00E14876">
        <w:rPr>
          <w:rFonts w:ascii="Times New Roman" w:hAnsi="Times New Roman" w:cs="Times New Roman"/>
          <w:i/>
          <w:iCs/>
          <w:lang w:val="it-IT"/>
        </w:rPr>
        <w:t>VARSrl et Azienda Trasporti Milanesi SpA (ATM)</w:t>
      </w:r>
      <w:r w:rsidR="00542E26" w:rsidRPr="00E14876">
        <w:rPr>
          <w:rFonts w:ascii="Times New Roman" w:hAnsi="Times New Roman" w:cs="Times New Roman"/>
          <w:i/>
          <w:iCs/>
          <w:lang w:val="it-IT"/>
        </w:rPr>
        <w:t xml:space="preserve"> c. Iveco Orecchia SpA</w:t>
      </w:r>
      <w:r w:rsidR="00542E26" w:rsidRPr="00E14876">
        <w:rPr>
          <w:rFonts w:ascii="Times New Roman" w:hAnsi="Times New Roman" w:cs="Times New Roman"/>
          <w:lang w:val="it-IT"/>
        </w:rPr>
        <w:t xml:space="preserve">, 12 juillet 2018, </w:t>
      </w:r>
      <w:r w:rsidR="000168E0" w:rsidRPr="00E14876">
        <w:rPr>
          <w:rFonts w:ascii="Times New Roman" w:hAnsi="Times New Roman" w:cs="Times New Roman"/>
          <w:lang w:val="it-IT"/>
        </w:rPr>
        <w:t>C-14/17, EU:C:2018:568.</w:t>
      </w:r>
    </w:p>
  </w:footnote>
  <w:footnote w:id="26">
    <w:p w14:paraId="313B1DAC" w14:textId="340D9248" w:rsidR="00F51807" w:rsidRPr="00E14876" w:rsidRDefault="00F51807" w:rsidP="006A0A1C">
      <w:pPr>
        <w:pStyle w:val="Notedebasdepage"/>
        <w:jc w:val="both"/>
        <w:rPr>
          <w:rFonts w:ascii="Times New Roman" w:hAnsi="Times New Roman" w:cs="Times New Roman"/>
          <w:lang w:val="it-IT"/>
        </w:rPr>
      </w:pPr>
      <w:r w:rsidRPr="00F51807">
        <w:rPr>
          <w:rStyle w:val="Appelnotedebasdep"/>
          <w:rFonts w:ascii="Times New Roman" w:hAnsi="Times New Roman" w:cs="Times New Roman"/>
        </w:rPr>
        <w:footnoteRef/>
      </w:r>
      <w:r w:rsidRPr="00E14876">
        <w:rPr>
          <w:rFonts w:ascii="Times New Roman" w:hAnsi="Times New Roman" w:cs="Times New Roman"/>
          <w:lang w:val="it-IT"/>
        </w:rPr>
        <w:t xml:space="preserve"> C.J.</w:t>
      </w:r>
      <w:r w:rsidR="00092C7E" w:rsidRPr="00E14876">
        <w:rPr>
          <w:rFonts w:ascii="Times New Roman" w:hAnsi="Times New Roman" w:cs="Times New Roman"/>
          <w:lang w:val="it-IT"/>
        </w:rPr>
        <w:t>U.E.</w:t>
      </w:r>
      <w:r w:rsidRPr="00E14876">
        <w:rPr>
          <w:rFonts w:ascii="Times New Roman" w:hAnsi="Times New Roman" w:cs="Times New Roman"/>
          <w:lang w:val="it-IT"/>
        </w:rPr>
        <w:t xml:space="preserve">, arrêt </w:t>
      </w:r>
      <w:r w:rsidR="002D6693" w:rsidRPr="00E14876">
        <w:rPr>
          <w:rFonts w:ascii="Times New Roman" w:hAnsi="Times New Roman" w:cs="Times New Roman"/>
          <w:i/>
          <w:iCs/>
          <w:lang w:val="it-IT"/>
        </w:rPr>
        <w:t>Klaipėdos regiono atliekų tvarkymo centras UAB</w:t>
      </w:r>
      <w:r w:rsidR="002D6693" w:rsidRPr="00E14876">
        <w:rPr>
          <w:rFonts w:ascii="Times New Roman" w:hAnsi="Times New Roman" w:cs="Times New Roman"/>
          <w:lang w:val="it-IT"/>
        </w:rPr>
        <w:t xml:space="preserve">, </w:t>
      </w:r>
      <w:r w:rsidR="007B496A" w:rsidRPr="00E14876">
        <w:rPr>
          <w:rFonts w:ascii="Times New Roman" w:hAnsi="Times New Roman" w:cs="Times New Roman"/>
          <w:lang w:val="it-IT"/>
        </w:rPr>
        <w:t>7 septembre 2021, C-927/19, EU:C:2021:700.</w:t>
      </w:r>
    </w:p>
  </w:footnote>
  <w:footnote w:id="27">
    <w:p w14:paraId="056C185D" w14:textId="3291930A" w:rsidR="008F51DE" w:rsidRPr="00695DF8" w:rsidRDefault="008F51DE" w:rsidP="006A0A1C">
      <w:pPr>
        <w:pStyle w:val="Notedebasdepage"/>
        <w:jc w:val="both"/>
        <w:rPr>
          <w:rFonts w:ascii="Times New Roman" w:hAnsi="Times New Roman" w:cs="Times New Roman"/>
          <w:lang w:val="fr-FR"/>
        </w:rPr>
      </w:pPr>
      <w:r w:rsidRPr="00695DF8">
        <w:rPr>
          <w:rStyle w:val="Appelnotedebasdep"/>
          <w:rFonts w:ascii="Times New Roman" w:hAnsi="Times New Roman" w:cs="Times New Roman"/>
        </w:rPr>
        <w:footnoteRef/>
      </w:r>
      <w:r w:rsidRPr="00695DF8">
        <w:rPr>
          <w:rFonts w:ascii="Times New Roman" w:hAnsi="Times New Roman" w:cs="Times New Roman"/>
        </w:rPr>
        <w:t xml:space="preserve"> </w:t>
      </w:r>
      <w:r>
        <w:rPr>
          <w:rFonts w:ascii="Times New Roman" w:hAnsi="Times New Roman" w:cs="Times New Roman"/>
        </w:rPr>
        <w:t>C.J.</w:t>
      </w:r>
      <w:r w:rsidR="00092C7E">
        <w:rPr>
          <w:rFonts w:ascii="Times New Roman" w:hAnsi="Times New Roman" w:cs="Times New Roman"/>
        </w:rPr>
        <w:t>U.E.</w:t>
      </w:r>
      <w:r>
        <w:rPr>
          <w:rFonts w:ascii="Times New Roman" w:hAnsi="Times New Roman" w:cs="Times New Roman"/>
        </w:rPr>
        <w:t xml:space="preserve">, arrêt </w:t>
      </w:r>
      <w:r>
        <w:rPr>
          <w:rFonts w:ascii="Times New Roman" w:hAnsi="Times New Roman" w:cs="Times New Roman"/>
          <w:i/>
          <w:iCs/>
        </w:rPr>
        <w:t>Roche Lietuva</w:t>
      </w:r>
      <w:r>
        <w:rPr>
          <w:rFonts w:ascii="Times New Roman" w:hAnsi="Times New Roman" w:cs="Times New Roman"/>
        </w:rPr>
        <w:t xml:space="preserve"> </w:t>
      </w:r>
      <w:r w:rsidRPr="00634CC5">
        <w:rPr>
          <w:rFonts w:ascii="Times New Roman" w:hAnsi="Times New Roman" w:cs="Times New Roman"/>
          <w:i/>
          <w:iCs/>
        </w:rPr>
        <w:t>UAB</w:t>
      </w:r>
      <w:r>
        <w:rPr>
          <w:rFonts w:ascii="Times New Roman" w:hAnsi="Times New Roman" w:cs="Times New Roman"/>
        </w:rPr>
        <w:t xml:space="preserve">, 25 octobre 2018, C-413/17, EU:C:2018:865. </w:t>
      </w:r>
    </w:p>
  </w:footnote>
  <w:footnote w:id="28">
    <w:p w14:paraId="6BA3CB3F" w14:textId="4A88C036" w:rsidR="00CD75AD" w:rsidRPr="00E14876" w:rsidRDefault="00CD75AD" w:rsidP="00B666AF">
      <w:pPr>
        <w:pStyle w:val="Notedebasdepage"/>
        <w:jc w:val="both"/>
        <w:rPr>
          <w:rFonts w:ascii="Times New Roman" w:hAnsi="Times New Roman" w:cs="Times New Roman"/>
          <w:lang w:val="it-IT"/>
        </w:rPr>
      </w:pPr>
      <w:r w:rsidRPr="00DE3366">
        <w:rPr>
          <w:rStyle w:val="Appelnotedebasdep"/>
          <w:rFonts w:ascii="Times New Roman" w:hAnsi="Times New Roman" w:cs="Times New Roman"/>
        </w:rPr>
        <w:footnoteRef/>
      </w:r>
      <w:r w:rsidRPr="00E14876">
        <w:rPr>
          <w:rFonts w:ascii="Times New Roman" w:hAnsi="Times New Roman" w:cs="Times New Roman"/>
          <w:lang w:val="it-IT"/>
        </w:rPr>
        <w:t xml:space="preserve"> C.J.</w:t>
      </w:r>
      <w:r w:rsidR="00092C7E" w:rsidRPr="00E14876">
        <w:rPr>
          <w:rFonts w:ascii="Times New Roman" w:hAnsi="Times New Roman" w:cs="Times New Roman"/>
          <w:lang w:val="it-IT"/>
        </w:rPr>
        <w:t>U.E.</w:t>
      </w:r>
      <w:r w:rsidRPr="00E14876">
        <w:rPr>
          <w:rFonts w:ascii="Times New Roman" w:hAnsi="Times New Roman" w:cs="Times New Roman"/>
          <w:lang w:val="it-IT"/>
        </w:rPr>
        <w:t xml:space="preserve">, arrêt </w:t>
      </w:r>
      <w:r w:rsidRPr="00E14876">
        <w:rPr>
          <w:rFonts w:ascii="Times New Roman" w:hAnsi="Times New Roman" w:cs="Times New Roman"/>
          <w:i/>
          <w:iCs/>
          <w:lang w:val="it-IT"/>
        </w:rPr>
        <w:t>Iveco Orecchia SpA c. APAM Esercizio SpA et Brescia Trasporti SpA</w:t>
      </w:r>
      <w:r w:rsidRPr="00E14876">
        <w:rPr>
          <w:rFonts w:ascii="Times New Roman" w:hAnsi="Times New Roman" w:cs="Times New Roman"/>
          <w:lang w:val="it-IT"/>
        </w:rPr>
        <w:t>, 27 octobre 2022, C-68/21 et C</w:t>
      </w:r>
      <w:r w:rsidR="00201F8D" w:rsidRPr="00E14876">
        <w:rPr>
          <w:rFonts w:ascii="Times New Roman" w:hAnsi="Times New Roman" w:cs="Times New Roman"/>
          <w:lang w:val="it-IT"/>
        </w:rPr>
        <w:noBreakHyphen/>
      </w:r>
      <w:r w:rsidRPr="00E14876">
        <w:rPr>
          <w:rFonts w:ascii="Times New Roman" w:hAnsi="Times New Roman" w:cs="Times New Roman"/>
          <w:lang w:val="it-IT"/>
        </w:rPr>
        <w:t>84/21, EU:C:2022:835.</w:t>
      </w:r>
    </w:p>
  </w:footnote>
  <w:footnote w:id="29">
    <w:p w14:paraId="0E835CBE" w14:textId="50DAA0D1" w:rsidR="00AF7C89" w:rsidRPr="00131B6C" w:rsidRDefault="00AF7C89" w:rsidP="00B666AF">
      <w:pPr>
        <w:pStyle w:val="Notedebasdepage"/>
        <w:jc w:val="both"/>
        <w:rPr>
          <w:rFonts w:ascii="Times New Roman" w:hAnsi="Times New Roman" w:cs="Times New Roman"/>
          <w:lang w:val="fr-FR"/>
        </w:rPr>
      </w:pPr>
      <w:r w:rsidRPr="00131B6C">
        <w:rPr>
          <w:rStyle w:val="Appelnotedebasdep"/>
          <w:rFonts w:ascii="Times New Roman" w:hAnsi="Times New Roman" w:cs="Times New Roman"/>
        </w:rPr>
        <w:footnoteRef/>
      </w:r>
      <w:r w:rsidRPr="00131B6C">
        <w:rPr>
          <w:rFonts w:ascii="Times New Roman" w:hAnsi="Times New Roman" w:cs="Times New Roman"/>
        </w:rPr>
        <w:t xml:space="preserve"> </w:t>
      </w:r>
      <w:r w:rsidR="00932721">
        <w:rPr>
          <w:rFonts w:ascii="Times New Roman" w:hAnsi="Times New Roman" w:cs="Times New Roman"/>
        </w:rPr>
        <w:t>Équivalent</w:t>
      </w:r>
      <w:r>
        <w:rPr>
          <w:rFonts w:ascii="Times New Roman" w:hAnsi="Times New Roman" w:cs="Times New Roman"/>
        </w:rPr>
        <w:t xml:space="preserve"> de l’article 42 de la directive 2014/24.</w:t>
      </w:r>
    </w:p>
  </w:footnote>
  <w:footnote w:id="30">
    <w:p w14:paraId="0EB8DD61" w14:textId="7146E17D" w:rsidR="00AF7C89" w:rsidRPr="00DF0D24" w:rsidRDefault="00AF7C89" w:rsidP="00B666AF">
      <w:pPr>
        <w:pStyle w:val="Notedebasdepage"/>
        <w:jc w:val="both"/>
        <w:rPr>
          <w:rFonts w:ascii="Times New Roman" w:hAnsi="Times New Roman" w:cs="Times New Roman"/>
          <w:lang w:val="fr-FR"/>
        </w:rPr>
      </w:pPr>
      <w:r w:rsidRPr="00DF0D24">
        <w:rPr>
          <w:rStyle w:val="Appelnotedebasdep"/>
          <w:rFonts w:ascii="Times New Roman" w:hAnsi="Times New Roman" w:cs="Times New Roman"/>
        </w:rPr>
        <w:footnoteRef/>
      </w:r>
      <w:r w:rsidRPr="00DF0D24">
        <w:rPr>
          <w:rFonts w:ascii="Times New Roman" w:hAnsi="Times New Roman" w:cs="Times New Roman"/>
        </w:rPr>
        <w:t xml:space="preserve"> </w:t>
      </w:r>
      <w:r w:rsidR="00932721">
        <w:rPr>
          <w:rFonts w:ascii="Times New Roman" w:hAnsi="Times New Roman" w:cs="Times New Roman"/>
        </w:rPr>
        <w:t>Équivalent</w:t>
      </w:r>
      <w:r>
        <w:rPr>
          <w:rFonts w:ascii="Times New Roman" w:hAnsi="Times New Roman" w:cs="Times New Roman"/>
        </w:rPr>
        <w:t xml:space="preserve"> de l’article 44 de la directive 2014/24.</w:t>
      </w:r>
    </w:p>
  </w:footnote>
  <w:footnote w:id="31">
    <w:p w14:paraId="388D1267" w14:textId="0B9C0936" w:rsidR="00E15D68" w:rsidRPr="00C2775C" w:rsidRDefault="00E15D68" w:rsidP="00B666AF">
      <w:pPr>
        <w:pStyle w:val="Notedebasdepage"/>
        <w:jc w:val="both"/>
        <w:rPr>
          <w:rFonts w:ascii="Times New Roman" w:hAnsi="Times New Roman" w:cs="Times New Roman"/>
          <w:lang w:val="fr-FR"/>
        </w:rPr>
      </w:pPr>
      <w:r w:rsidRPr="00E15D68">
        <w:rPr>
          <w:rStyle w:val="Appelnotedebasdep"/>
          <w:rFonts w:ascii="Times New Roman" w:hAnsi="Times New Roman" w:cs="Times New Roman"/>
        </w:rPr>
        <w:footnoteRef/>
      </w:r>
      <w:r w:rsidRPr="00E15D68">
        <w:rPr>
          <w:rFonts w:ascii="Times New Roman" w:hAnsi="Times New Roman" w:cs="Times New Roman"/>
        </w:rPr>
        <w:t xml:space="preserve"> </w:t>
      </w:r>
      <w:r w:rsidR="00540C23">
        <w:rPr>
          <w:rFonts w:ascii="Times New Roman" w:hAnsi="Times New Roman" w:cs="Times New Roman"/>
        </w:rPr>
        <w:t>Directive 2007/46/CE du Parlement européen et du Conseil du 5 septembre 2007 établissant un cadre pour la réception des véhicules à moteur</w:t>
      </w:r>
      <w:r w:rsidR="00AE0013">
        <w:rPr>
          <w:rFonts w:ascii="Times New Roman" w:hAnsi="Times New Roman" w:cs="Times New Roman"/>
        </w:rPr>
        <w:t>, de leurs remorques et des systèmes, des composants et des entités techniques destinés à ces véhicules (directive-cadre)</w:t>
      </w:r>
      <w:r w:rsidR="00C2775C">
        <w:rPr>
          <w:rFonts w:ascii="Times New Roman" w:hAnsi="Times New Roman" w:cs="Times New Roman"/>
        </w:rPr>
        <w:t xml:space="preserve">, </w:t>
      </w:r>
      <w:r w:rsidR="00C2775C">
        <w:rPr>
          <w:rFonts w:ascii="Times New Roman" w:hAnsi="Times New Roman" w:cs="Times New Roman"/>
          <w:i/>
          <w:iCs/>
        </w:rPr>
        <w:t>J.O.U.E.</w:t>
      </w:r>
      <w:r w:rsidR="00C2775C">
        <w:rPr>
          <w:rFonts w:ascii="Times New Roman" w:hAnsi="Times New Roman" w:cs="Times New Roman"/>
        </w:rPr>
        <w:t>, L 263, 9 octobre 2007.</w:t>
      </w:r>
      <w:r w:rsidR="00815616">
        <w:rPr>
          <w:rFonts w:ascii="Times New Roman" w:hAnsi="Times New Roman" w:cs="Times New Roman"/>
        </w:rPr>
        <w:t xml:space="preserve"> Cette exigence de réception de certaines pièces de rechange de véhicules est impérative en raison des objectifs qu’elle poursuit, à savoir « garantir un niveau élevé de sécurité routière, de protection de la santé et de l’environnement, de rendement énergétique et de protection contre une utilisation non autorisée » (point 91).</w:t>
      </w:r>
    </w:p>
  </w:footnote>
  <w:footnote w:id="32">
    <w:p w14:paraId="3F8F28CD" w14:textId="7CC4B086" w:rsidR="00192217" w:rsidRPr="009E5794" w:rsidRDefault="00192217" w:rsidP="009542E9">
      <w:pPr>
        <w:pStyle w:val="Notedebasdepage"/>
        <w:jc w:val="both"/>
        <w:rPr>
          <w:rFonts w:ascii="Times New Roman" w:hAnsi="Times New Roman" w:cs="Times New Roman"/>
          <w:lang w:val="fr-FR"/>
        </w:rPr>
      </w:pPr>
      <w:r w:rsidRPr="00192217">
        <w:rPr>
          <w:rStyle w:val="Appelnotedebasdep"/>
          <w:rFonts w:ascii="Times New Roman" w:hAnsi="Times New Roman" w:cs="Times New Roman"/>
        </w:rPr>
        <w:footnoteRef/>
      </w:r>
      <w:r w:rsidRPr="00192217">
        <w:rPr>
          <w:rFonts w:ascii="Times New Roman" w:hAnsi="Times New Roman" w:cs="Times New Roman"/>
        </w:rPr>
        <w:t xml:space="preserve"> </w:t>
      </w:r>
      <w:r w:rsidR="0052312C">
        <w:rPr>
          <w:rFonts w:ascii="Times New Roman" w:hAnsi="Times New Roman" w:cs="Times New Roman"/>
        </w:rPr>
        <w:t>C.J.</w:t>
      </w:r>
      <w:r w:rsidR="00092C7E">
        <w:rPr>
          <w:rFonts w:ascii="Times New Roman" w:hAnsi="Times New Roman" w:cs="Times New Roman"/>
        </w:rPr>
        <w:t>U.E.</w:t>
      </w:r>
      <w:r w:rsidR="0052312C">
        <w:rPr>
          <w:rFonts w:ascii="Times New Roman" w:hAnsi="Times New Roman" w:cs="Times New Roman"/>
        </w:rPr>
        <w:t xml:space="preserve">, arrêt </w:t>
      </w:r>
      <w:r w:rsidR="0052312C">
        <w:rPr>
          <w:rFonts w:ascii="Times New Roman" w:hAnsi="Times New Roman" w:cs="Times New Roman"/>
          <w:i/>
          <w:iCs/>
        </w:rPr>
        <w:t>Obshtina Pleven c.</w:t>
      </w:r>
      <w:r w:rsidR="009E5794">
        <w:rPr>
          <w:rFonts w:ascii="Times New Roman" w:hAnsi="Times New Roman" w:cs="Times New Roman"/>
          <w:i/>
          <w:iCs/>
        </w:rPr>
        <w:t xml:space="preserve"> </w:t>
      </w:r>
      <w:r w:rsidR="009E5794" w:rsidRPr="009E5794">
        <w:rPr>
          <w:rFonts w:ascii="Times New Roman" w:hAnsi="Times New Roman" w:cs="Times New Roman"/>
          <w:i/>
          <w:iCs/>
        </w:rPr>
        <w:t>Rakovoditel na Upravlyavashtia organ na Operativna programa « Regioni v rastezh » 2014-2020</w:t>
      </w:r>
      <w:r w:rsidR="009E5794">
        <w:rPr>
          <w:rFonts w:ascii="Times New Roman" w:hAnsi="Times New Roman" w:cs="Times New Roman"/>
        </w:rPr>
        <w:t>, 24 octobre 2024, C-513/23</w:t>
      </w:r>
      <w:r w:rsidR="004321ED">
        <w:rPr>
          <w:rFonts w:ascii="Times New Roman" w:hAnsi="Times New Roman" w:cs="Times New Roman"/>
        </w:rPr>
        <w:t>, EU:C:2024:917</w:t>
      </w:r>
      <w:r w:rsidR="00460C7F">
        <w:rPr>
          <w:rFonts w:ascii="Times New Roman" w:hAnsi="Times New Roman" w:cs="Times New Roman"/>
        </w:rPr>
        <w:t>, point 38</w:t>
      </w:r>
      <w:r w:rsidR="004321ED">
        <w:rPr>
          <w:rFonts w:ascii="Times New Roman" w:hAnsi="Times New Roman" w:cs="Times New Roman"/>
        </w:rPr>
        <w:t>.</w:t>
      </w:r>
    </w:p>
  </w:footnote>
  <w:footnote w:id="33">
    <w:p w14:paraId="4823B4DF" w14:textId="0E22E596" w:rsidR="002A2FB5" w:rsidRPr="00441FEB" w:rsidRDefault="002A2FB5" w:rsidP="009542E9">
      <w:pPr>
        <w:pStyle w:val="Notedebasdepage"/>
        <w:jc w:val="both"/>
        <w:rPr>
          <w:rFonts w:ascii="Times New Roman" w:hAnsi="Times New Roman" w:cs="Times New Roman"/>
          <w:lang w:val="fr-FR"/>
        </w:rPr>
      </w:pPr>
      <w:r w:rsidRPr="009542E9">
        <w:rPr>
          <w:rStyle w:val="Appelnotedebasdep"/>
          <w:rFonts w:ascii="Times New Roman" w:hAnsi="Times New Roman" w:cs="Times New Roman"/>
        </w:rPr>
        <w:footnoteRef/>
      </w:r>
      <w:r w:rsidRPr="009542E9">
        <w:rPr>
          <w:rFonts w:ascii="Times New Roman" w:hAnsi="Times New Roman" w:cs="Times New Roman"/>
        </w:rPr>
        <w:t xml:space="preserve"> </w:t>
      </w:r>
      <w:r w:rsidR="009542E9">
        <w:rPr>
          <w:rFonts w:ascii="Times New Roman" w:hAnsi="Times New Roman" w:cs="Times New Roman"/>
        </w:rPr>
        <w:t xml:space="preserve">Règlement (UE) n° 305/2011 du Parlement européen et du Conseil du 9 mars 2011 établissant des conditions harmonisées de commercialisation pour les produits de construction et abrogeant la directive 89/106/CEE du Conseil, </w:t>
      </w:r>
      <w:r w:rsidR="009542E9">
        <w:rPr>
          <w:rFonts w:ascii="Times New Roman" w:hAnsi="Times New Roman" w:cs="Times New Roman"/>
          <w:i/>
          <w:iCs/>
        </w:rPr>
        <w:t>J.O.</w:t>
      </w:r>
      <w:r w:rsidR="00441FEB">
        <w:rPr>
          <w:rFonts w:ascii="Times New Roman" w:hAnsi="Times New Roman" w:cs="Times New Roman"/>
          <w:i/>
          <w:iCs/>
        </w:rPr>
        <w:t>U.E.</w:t>
      </w:r>
      <w:r w:rsidR="00441FEB">
        <w:rPr>
          <w:rFonts w:ascii="Times New Roman" w:hAnsi="Times New Roman" w:cs="Times New Roman"/>
        </w:rPr>
        <w:t>, L 88</w:t>
      </w:r>
      <w:r w:rsidR="00AD3B5D">
        <w:rPr>
          <w:rFonts w:ascii="Times New Roman" w:hAnsi="Times New Roman" w:cs="Times New Roman"/>
        </w:rPr>
        <w:t>, 4 avril 2011</w:t>
      </w:r>
      <w:r w:rsidR="000615D4">
        <w:rPr>
          <w:rFonts w:ascii="Times New Roman" w:hAnsi="Times New Roman" w:cs="Times New Roman"/>
        </w:rPr>
        <w:t>.</w:t>
      </w:r>
    </w:p>
  </w:footnote>
  <w:footnote w:id="34">
    <w:p w14:paraId="25C746C3" w14:textId="77777777" w:rsidR="008A757E" w:rsidRDefault="008A757E" w:rsidP="008A757E">
      <w:pPr>
        <w:pStyle w:val="Notedebasdepage"/>
        <w:jc w:val="both"/>
        <w:rPr>
          <w:rFonts w:ascii="Times New Roman" w:hAnsi="Times New Roman" w:cs="Times New Roman"/>
        </w:rPr>
      </w:pPr>
      <w:r>
        <w:rPr>
          <w:rStyle w:val="Appelnotedebasdep"/>
        </w:rPr>
        <w:footnoteRef/>
      </w:r>
      <w:r>
        <w:rPr>
          <w:rFonts w:ascii="Times New Roman" w:hAnsi="Times New Roman" w:cs="Times New Roman"/>
        </w:rPr>
        <w:t xml:space="preserve"> L’article 18, § 1, de la directive 2014/24 se lit comme suit : « Les pouvoirs adjudicateurs traitent les opérateurs économiques sur un pied d’égalité et sans discrimination et agissent d’une manière transparente et proportionnée. </w:t>
      </w:r>
    </w:p>
    <w:p w14:paraId="68F25EBC" w14:textId="77777777" w:rsidR="008A757E" w:rsidRPr="00934D0C" w:rsidRDefault="008A757E" w:rsidP="008A757E">
      <w:pPr>
        <w:pStyle w:val="Notedebasdepage"/>
        <w:jc w:val="both"/>
        <w:rPr>
          <w:rFonts w:ascii="Times New Roman" w:hAnsi="Times New Roman" w:cs="Times New Roman"/>
        </w:rPr>
      </w:pPr>
      <w:r>
        <w:rPr>
          <w:rFonts w:ascii="Times New Roman" w:hAnsi="Times New Roman" w:cs="Times New Roman"/>
        </w:rPr>
        <w:t>Un marché ne peut pas être conçu dans l’intention de le soustraire au champ d’application de la présente directive ou de limiter artificiellement la concurrence. La concurrence est considérée comme artificiellement limitée lorsqu’un marché est conçu dans l’intention de favoriser ou de défavoriser indûment certains opérateurs économiques ».</w:t>
      </w:r>
    </w:p>
  </w:footnote>
  <w:footnote w:id="35">
    <w:p w14:paraId="61273BF3" w14:textId="29B09D0D" w:rsidR="00D92A1F" w:rsidRPr="00D92A1F" w:rsidRDefault="00D92A1F" w:rsidP="00513E38">
      <w:pPr>
        <w:pStyle w:val="Notedebasdepage"/>
        <w:jc w:val="both"/>
        <w:rPr>
          <w:rFonts w:ascii="Times New Roman" w:hAnsi="Times New Roman" w:cs="Times New Roman"/>
          <w:lang w:val="fr-FR"/>
        </w:rPr>
      </w:pPr>
      <w:r>
        <w:rPr>
          <w:rStyle w:val="Appelnotedebasdep"/>
        </w:rPr>
        <w:footnoteRef/>
      </w:r>
      <w:r>
        <w:t xml:space="preserve"> </w:t>
      </w:r>
      <w:r>
        <w:rPr>
          <w:rFonts w:ascii="Times New Roman" w:hAnsi="Times New Roman" w:cs="Times New Roman"/>
        </w:rPr>
        <w:t>C.J.</w:t>
      </w:r>
      <w:r w:rsidR="00866F62">
        <w:rPr>
          <w:rFonts w:ascii="Times New Roman" w:hAnsi="Times New Roman" w:cs="Times New Roman"/>
        </w:rPr>
        <w:t>U.E.</w:t>
      </w:r>
      <w:r>
        <w:rPr>
          <w:rFonts w:ascii="Times New Roman" w:hAnsi="Times New Roman" w:cs="Times New Roman"/>
        </w:rPr>
        <w:t xml:space="preserve">, arrêt </w:t>
      </w:r>
      <w:r>
        <w:rPr>
          <w:rFonts w:ascii="Times New Roman" w:hAnsi="Times New Roman" w:cs="Times New Roman"/>
          <w:i/>
          <w:iCs/>
        </w:rPr>
        <w:t>Roche Lietuva</w:t>
      </w:r>
      <w:r>
        <w:rPr>
          <w:rFonts w:ascii="Times New Roman" w:hAnsi="Times New Roman" w:cs="Times New Roman"/>
        </w:rPr>
        <w:t xml:space="preserve"> </w:t>
      </w:r>
      <w:r w:rsidRPr="00866F62">
        <w:rPr>
          <w:rFonts w:ascii="Times New Roman" w:hAnsi="Times New Roman" w:cs="Times New Roman"/>
          <w:i/>
          <w:iCs/>
        </w:rPr>
        <w:t>UAB</w:t>
      </w:r>
      <w:r>
        <w:rPr>
          <w:rFonts w:ascii="Times New Roman" w:hAnsi="Times New Roman" w:cs="Times New Roman"/>
        </w:rPr>
        <w:t>, 25 octobre 2018, C-413/17, EU:C:2018:865, point 26.</w:t>
      </w:r>
    </w:p>
  </w:footnote>
  <w:footnote w:id="36">
    <w:p w14:paraId="58053BBB" w14:textId="06A5964C" w:rsidR="00075721" w:rsidRPr="00262135" w:rsidRDefault="00075721" w:rsidP="00513E38">
      <w:pPr>
        <w:pStyle w:val="Notedebasdepage"/>
        <w:jc w:val="both"/>
        <w:rPr>
          <w:rFonts w:ascii="Times New Roman" w:hAnsi="Times New Roman" w:cs="Times New Roman"/>
        </w:rPr>
      </w:pPr>
      <w:r w:rsidRPr="00075721">
        <w:rPr>
          <w:rStyle w:val="Appelnotedebasdep"/>
          <w:rFonts w:ascii="Times New Roman" w:hAnsi="Times New Roman" w:cs="Times New Roman"/>
        </w:rPr>
        <w:footnoteRef/>
      </w:r>
      <w:r w:rsidRPr="00075721">
        <w:rPr>
          <w:rFonts w:ascii="Times New Roman" w:hAnsi="Times New Roman" w:cs="Times New Roman"/>
        </w:rPr>
        <w:t xml:space="preserve"> </w:t>
      </w:r>
      <w:r w:rsidR="00E312BD">
        <w:rPr>
          <w:rFonts w:ascii="Times New Roman" w:hAnsi="Times New Roman" w:cs="Times New Roman"/>
        </w:rPr>
        <w:t xml:space="preserve">Voy. par exemple : </w:t>
      </w:r>
      <w:r w:rsidR="00262135">
        <w:rPr>
          <w:rFonts w:ascii="Times New Roman" w:hAnsi="Times New Roman" w:cs="Times New Roman"/>
        </w:rPr>
        <w:t>C.R.</w:t>
      </w:r>
      <w:r w:rsidR="007C4DA2">
        <w:rPr>
          <w:rFonts w:ascii="Times New Roman" w:hAnsi="Times New Roman" w:cs="Times New Roman"/>
        </w:rPr>
        <w:t xml:space="preserve"> HAMER, </w:t>
      </w:r>
      <w:r w:rsidR="007C4DA2">
        <w:rPr>
          <w:rFonts w:ascii="Times New Roman" w:hAnsi="Times New Roman" w:cs="Times New Roman"/>
          <w:i/>
          <w:iCs/>
        </w:rPr>
        <w:t>op. cit.</w:t>
      </w:r>
      <w:r w:rsidR="007C4DA2">
        <w:rPr>
          <w:rFonts w:ascii="Times New Roman" w:hAnsi="Times New Roman" w:cs="Times New Roman"/>
        </w:rPr>
        <w:t xml:space="preserve">, </w:t>
      </w:r>
      <w:r w:rsidR="00513E38">
        <w:rPr>
          <w:rFonts w:ascii="Times New Roman" w:hAnsi="Times New Roman" w:cs="Times New Roman"/>
        </w:rPr>
        <w:t>p. 453 ;</w:t>
      </w:r>
      <w:r w:rsidR="007C4DA2">
        <w:rPr>
          <w:rFonts w:ascii="Times New Roman" w:hAnsi="Times New Roman" w:cs="Times New Roman"/>
        </w:rPr>
        <w:t xml:space="preserve"> </w:t>
      </w:r>
      <w:r w:rsidR="00294233" w:rsidRPr="00294233">
        <w:rPr>
          <w:rFonts w:ascii="Times New Roman" w:hAnsi="Times New Roman" w:cs="Times New Roman"/>
        </w:rPr>
        <w:t xml:space="preserve">B. SCHUTYSER, </w:t>
      </w:r>
      <w:r w:rsidR="00294233" w:rsidRPr="00294233">
        <w:rPr>
          <w:rFonts w:ascii="Times New Roman" w:hAnsi="Times New Roman" w:cs="Times New Roman"/>
          <w:i/>
          <w:iCs/>
        </w:rPr>
        <w:t>op. cit.</w:t>
      </w:r>
      <w:r w:rsidR="00294233" w:rsidRPr="00294233">
        <w:rPr>
          <w:rFonts w:ascii="Times New Roman" w:hAnsi="Times New Roman" w:cs="Times New Roman"/>
        </w:rPr>
        <w:t>,</w:t>
      </w:r>
      <w:r w:rsidR="00294233">
        <w:rPr>
          <w:rFonts w:ascii="Times New Roman" w:hAnsi="Times New Roman" w:cs="Times New Roman"/>
        </w:rPr>
        <w:t xml:space="preserve"> </w:t>
      </w:r>
      <w:r w:rsidR="00186322">
        <w:rPr>
          <w:rFonts w:ascii="Times New Roman" w:hAnsi="Times New Roman" w:cs="Times New Roman"/>
        </w:rPr>
        <w:t>p. 759 ;</w:t>
      </w:r>
      <w:r w:rsidR="006A249A">
        <w:rPr>
          <w:rFonts w:ascii="Times New Roman" w:hAnsi="Times New Roman" w:cs="Times New Roman"/>
        </w:rPr>
        <w:t xml:space="preserve"> P. THIEL</w:t>
      </w:r>
      <w:r w:rsidR="0054625D">
        <w:rPr>
          <w:rFonts w:ascii="Times New Roman" w:hAnsi="Times New Roman" w:cs="Times New Roman"/>
        </w:rPr>
        <w:t xml:space="preserve">, </w:t>
      </w:r>
      <w:r w:rsidR="0054625D">
        <w:rPr>
          <w:rFonts w:ascii="Times New Roman" w:hAnsi="Times New Roman" w:cs="Times New Roman"/>
          <w:i/>
          <w:iCs/>
        </w:rPr>
        <w:t>Mémento des marchés publics et des P.P.P</w:t>
      </w:r>
      <w:r w:rsidR="0054625D" w:rsidRPr="0054625D">
        <w:rPr>
          <w:rFonts w:ascii="Times New Roman" w:hAnsi="Times New Roman" w:cs="Times New Roman"/>
          <w:i/>
          <w:iCs/>
        </w:rPr>
        <w:t>.</w:t>
      </w:r>
      <w:r w:rsidR="0054625D" w:rsidRPr="00665B71">
        <w:rPr>
          <w:rFonts w:ascii="Times New Roman" w:hAnsi="Times New Roman" w:cs="Times New Roman"/>
        </w:rPr>
        <w:t>, t.</w:t>
      </w:r>
      <w:r w:rsidR="0054625D" w:rsidRPr="0054625D">
        <w:rPr>
          <w:rFonts w:ascii="Times New Roman" w:hAnsi="Times New Roman" w:cs="Times New Roman"/>
          <w:i/>
          <w:iCs/>
        </w:rPr>
        <w:t xml:space="preserve"> </w:t>
      </w:r>
      <w:r w:rsidR="0054625D" w:rsidRPr="00665B71">
        <w:rPr>
          <w:rFonts w:ascii="Times New Roman" w:hAnsi="Times New Roman" w:cs="Times New Roman"/>
        </w:rPr>
        <w:t xml:space="preserve">1 : </w:t>
      </w:r>
      <w:r w:rsidR="0054625D" w:rsidRPr="0054625D">
        <w:rPr>
          <w:rFonts w:ascii="Times New Roman" w:hAnsi="Times New Roman" w:cs="Times New Roman"/>
          <w:i/>
          <w:iCs/>
        </w:rPr>
        <w:t>Commentaire</w:t>
      </w:r>
      <w:r w:rsidR="004A6E15">
        <w:rPr>
          <w:rFonts w:ascii="Times New Roman" w:hAnsi="Times New Roman" w:cs="Times New Roman"/>
        </w:rPr>
        <w:t>, 24</w:t>
      </w:r>
      <w:r w:rsidR="004A6E15" w:rsidRPr="004A6E15">
        <w:rPr>
          <w:rFonts w:ascii="Times New Roman" w:hAnsi="Times New Roman" w:cs="Times New Roman"/>
          <w:vertAlign w:val="superscript"/>
        </w:rPr>
        <w:t>e</w:t>
      </w:r>
      <w:r w:rsidR="004A6E15">
        <w:rPr>
          <w:rFonts w:ascii="Times New Roman" w:hAnsi="Times New Roman" w:cs="Times New Roman"/>
        </w:rPr>
        <w:t xml:space="preserve"> éd., </w:t>
      </w:r>
      <w:r w:rsidR="00375958">
        <w:rPr>
          <w:rFonts w:ascii="Times New Roman" w:hAnsi="Times New Roman" w:cs="Times New Roman"/>
        </w:rPr>
        <w:t xml:space="preserve">Malines, Wolters Kluwer Belgium, </w:t>
      </w:r>
      <w:r w:rsidR="004A6E15">
        <w:rPr>
          <w:rFonts w:ascii="Times New Roman" w:hAnsi="Times New Roman" w:cs="Times New Roman"/>
        </w:rPr>
        <w:t>2024</w:t>
      </w:r>
      <w:r w:rsidR="005C2C86">
        <w:rPr>
          <w:rFonts w:ascii="Times New Roman" w:hAnsi="Times New Roman" w:cs="Times New Roman"/>
        </w:rPr>
        <w:t>, p. 535 ;</w:t>
      </w:r>
      <w:r w:rsidR="00D9468F">
        <w:rPr>
          <w:rFonts w:ascii="Times New Roman" w:hAnsi="Times New Roman" w:cs="Times New Roman"/>
        </w:rPr>
        <w:t> </w:t>
      </w:r>
      <w:r w:rsidR="00EA4493">
        <w:rPr>
          <w:rFonts w:ascii="Times New Roman" w:hAnsi="Times New Roman" w:cs="Times New Roman"/>
        </w:rPr>
        <w:t xml:space="preserve">M. VANDERSTRAETEN, « L’exception du fournisseur unique » et les spécifications techniques discriminatoires : la rigidité du droit </w:t>
      </w:r>
      <w:r w:rsidR="00513E38">
        <w:rPr>
          <w:rFonts w:ascii="Times New Roman" w:hAnsi="Times New Roman" w:cs="Times New Roman"/>
        </w:rPr>
        <w:t xml:space="preserve">l’épreuve des contraintes de la pratique, </w:t>
      </w:r>
      <w:r w:rsidR="00513E38">
        <w:rPr>
          <w:rFonts w:ascii="Times New Roman" w:hAnsi="Times New Roman" w:cs="Times New Roman"/>
          <w:i/>
          <w:iCs/>
        </w:rPr>
        <w:t>Jaarboek Overheidsopdrachten 2018-2019 / Chronique des Marchés Publics 2018-2019</w:t>
      </w:r>
      <w:r w:rsidR="00513E38">
        <w:rPr>
          <w:rFonts w:ascii="Times New Roman" w:hAnsi="Times New Roman" w:cs="Times New Roman"/>
        </w:rPr>
        <w:t xml:space="preserve">, C. De Koninck, P. Flamey et P. Thiel (dir.), Bruxelles, EBP </w:t>
      </w:r>
      <w:r w:rsidR="00EA4493">
        <w:rPr>
          <w:rFonts w:ascii="Times New Roman" w:hAnsi="Times New Roman" w:cs="Times New Roman"/>
        </w:rPr>
        <w:t xml:space="preserve">à </w:t>
      </w:r>
      <w:r w:rsidR="00BD7DD5">
        <w:rPr>
          <w:rFonts w:ascii="Times New Roman" w:hAnsi="Times New Roman" w:cs="Times New Roman"/>
        </w:rPr>
        <w:t xml:space="preserve">Consulting, 2019, </w:t>
      </w:r>
      <w:r w:rsidR="00E34262">
        <w:rPr>
          <w:rFonts w:ascii="Times New Roman" w:hAnsi="Times New Roman" w:cs="Times New Roman"/>
        </w:rPr>
        <w:t>p. 243</w:t>
      </w:r>
      <w:r w:rsidR="00BD7DD5">
        <w:rPr>
          <w:rFonts w:ascii="Times New Roman" w:hAnsi="Times New Roman" w:cs="Times New Roman"/>
        </w:rPr>
        <w:t xml:space="preserve"> </w:t>
      </w:r>
      <w:r w:rsidR="00D9468F" w:rsidRPr="00262135">
        <w:rPr>
          <w:rFonts w:ascii="Times New Roman" w:hAnsi="Times New Roman" w:cs="Times New Roman"/>
        </w:rPr>
        <w:t xml:space="preserve">; </w:t>
      </w:r>
      <w:r w:rsidR="005C2C86" w:rsidRPr="00262135">
        <w:rPr>
          <w:rFonts w:ascii="Times New Roman" w:hAnsi="Times New Roman" w:cs="Times New Roman"/>
        </w:rPr>
        <w:t>F. VLASSEMBROUCK</w:t>
      </w:r>
      <w:r w:rsidR="00B74C9B" w:rsidRPr="00262135">
        <w:rPr>
          <w:rFonts w:ascii="Times New Roman" w:hAnsi="Times New Roman" w:cs="Times New Roman"/>
        </w:rPr>
        <w:t xml:space="preserve">, W. MOONEN et I. KAMP, « Laatste stand van zaken inzake technische specificaties in overheidsopdrachten », </w:t>
      </w:r>
      <w:r w:rsidR="007065A2" w:rsidRPr="00262135">
        <w:rPr>
          <w:rFonts w:ascii="Times New Roman" w:hAnsi="Times New Roman" w:cs="Times New Roman"/>
          <w:i/>
          <w:iCs/>
        </w:rPr>
        <w:t>Jaarboek Overheidsopdrachten 2017-2018 / Chronique des Marchés Publics 2017-2018</w:t>
      </w:r>
      <w:r w:rsidR="007065A2" w:rsidRPr="00262135">
        <w:rPr>
          <w:rFonts w:ascii="Times New Roman" w:hAnsi="Times New Roman" w:cs="Times New Roman"/>
        </w:rPr>
        <w:t xml:space="preserve">, </w:t>
      </w:r>
      <w:r w:rsidR="007D3E06" w:rsidRPr="00262135">
        <w:rPr>
          <w:rFonts w:ascii="Times New Roman" w:hAnsi="Times New Roman" w:cs="Times New Roman"/>
        </w:rPr>
        <w:t xml:space="preserve">C. De Koninck, P. Flamey et P. Thiel (dir.), </w:t>
      </w:r>
      <w:r w:rsidR="007065A2" w:rsidRPr="00262135">
        <w:rPr>
          <w:rFonts w:ascii="Times New Roman" w:hAnsi="Times New Roman" w:cs="Times New Roman"/>
        </w:rPr>
        <w:t>Bruxelles, EBP Consulting, 2018</w:t>
      </w:r>
      <w:r w:rsidR="008E3F94" w:rsidRPr="00262135">
        <w:rPr>
          <w:rFonts w:ascii="Times New Roman" w:hAnsi="Times New Roman" w:cs="Times New Roman"/>
        </w:rPr>
        <w:t xml:space="preserve">, </w:t>
      </w:r>
      <w:r w:rsidR="00C73A2C" w:rsidRPr="00262135">
        <w:rPr>
          <w:rFonts w:ascii="Times New Roman" w:hAnsi="Times New Roman" w:cs="Times New Roman"/>
        </w:rPr>
        <w:t>p. 259</w:t>
      </w:r>
      <w:r w:rsidR="00D9468F" w:rsidRPr="00262135">
        <w:rPr>
          <w:rFonts w:ascii="Times New Roman" w:hAnsi="Times New Roman" w:cs="Times New Roman"/>
        </w:rPr>
        <w:t>.</w:t>
      </w:r>
    </w:p>
  </w:footnote>
  <w:footnote w:id="37">
    <w:p w14:paraId="51669118" w14:textId="77777777" w:rsidR="00A93B81" w:rsidRPr="009E109E" w:rsidRDefault="00A93B81" w:rsidP="00B666AF">
      <w:pPr>
        <w:pStyle w:val="Notedebasdepage"/>
        <w:jc w:val="both"/>
        <w:rPr>
          <w:rFonts w:ascii="Times New Roman" w:hAnsi="Times New Roman" w:cs="Times New Roman"/>
          <w:lang w:val="fr-FR"/>
        </w:rPr>
      </w:pPr>
      <w:r w:rsidRPr="00F2465A">
        <w:rPr>
          <w:rStyle w:val="Appelnotedebasdep"/>
          <w:rFonts w:ascii="Times New Roman" w:hAnsi="Times New Roman" w:cs="Times New Roman"/>
        </w:rPr>
        <w:footnoteRef/>
      </w:r>
      <w:r w:rsidRPr="00F2465A">
        <w:rPr>
          <w:rFonts w:ascii="Times New Roman" w:hAnsi="Times New Roman" w:cs="Times New Roman"/>
        </w:rPr>
        <w:t xml:space="preserve"> </w:t>
      </w:r>
      <w:r>
        <w:rPr>
          <w:rFonts w:ascii="Times New Roman" w:hAnsi="Times New Roman" w:cs="Times New Roman"/>
        </w:rPr>
        <w:t xml:space="preserve">Directive 2004/18/CE du Parlement européen et du Conseil du 31 mars 2004 relative à la coordination des procédures de passation des marchés publics de travaux, de fournitures et de services, </w:t>
      </w:r>
      <w:r>
        <w:rPr>
          <w:rFonts w:ascii="Times New Roman" w:hAnsi="Times New Roman" w:cs="Times New Roman"/>
          <w:i/>
          <w:iCs/>
        </w:rPr>
        <w:t>J.O.C.E.</w:t>
      </w:r>
      <w:r>
        <w:rPr>
          <w:rFonts w:ascii="Times New Roman" w:hAnsi="Times New Roman" w:cs="Times New Roman"/>
        </w:rPr>
        <w:t xml:space="preserve">, L 134, 30 avril 2004, art. 23 et cons. 29, et directive 2004/17/CE du Parlement européen et du Conseil du 31 mars 2004 portant coordination des procédures de passation des marchés dans les secteurs de l’eau, de l’énergie, des transports et des services postaux, </w:t>
      </w:r>
      <w:r>
        <w:rPr>
          <w:rFonts w:ascii="Times New Roman" w:hAnsi="Times New Roman" w:cs="Times New Roman"/>
          <w:i/>
          <w:iCs/>
        </w:rPr>
        <w:t>J.O.C.E.</w:t>
      </w:r>
      <w:r>
        <w:rPr>
          <w:rFonts w:ascii="Times New Roman" w:hAnsi="Times New Roman" w:cs="Times New Roman"/>
        </w:rPr>
        <w:t>, L 134, 30 avril 2004, art. 34 et cons. 42.</w:t>
      </w:r>
    </w:p>
  </w:footnote>
  <w:footnote w:id="38">
    <w:p w14:paraId="66D92E04" w14:textId="3B5707E4" w:rsidR="00A93B81" w:rsidRPr="000B2642" w:rsidRDefault="00A93B81" w:rsidP="00B666AF">
      <w:pPr>
        <w:pStyle w:val="Notedebasdepage"/>
        <w:jc w:val="both"/>
        <w:rPr>
          <w:rFonts w:ascii="Times New Roman" w:hAnsi="Times New Roman" w:cs="Times New Roman"/>
          <w:lang w:val="fr-FR"/>
        </w:rPr>
      </w:pPr>
      <w:r w:rsidRPr="00010A39">
        <w:rPr>
          <w:rStyle w:val="Appelnotedebasdep"/>
          <w:rFonts w:ascii="Times New Roman" w:hAnsi="Times New Roman" w:cs="Times New Roman"/>
        </w:rPr>
        <w:footnoteRef/>
      </w:r>
      <w:r w:rsidRPr="00010A39">
        <w:rPr>
          <w:rFonts w:ascii="Times New Roman" w:hAnsi="Times New Roman" w:cs="Times New Roman"/>
        </w:rPr>
        <w:t xml:space="preserve"> </w:t>
      </w:r>
      <w:r>
        <w:rPr>
          <w:rFonts w:ascii="Times New Roman" w:hAnsi="Times New Roman" w:cs="Times New Roman"/>
        </w:rPr>
        <w:t xml:space="preserve">B. LOMBAERT, I. MATHY et M. THOMAS, </w:t>
      </w:r>
      <w:r w:rsidR="00B134D4">
        <w:rPr>
          <w:rFonts w:ascii="Times New Roman" w:hAnsi="Times New Roman" w:cs="Times New Roman"/>
          <w:i/>
          <w:iCs/>
        </w:rPr>
        <w:t>op. cit.</w:t>
      </w:r>
      <w:r>
        <w:rPr>
          <w:rFonts w:ascii="Times New Roman" w:hAnsi="Times New Roman" w:cs="Times New Roman"/>
        </w:rPr>
        <w:t xml:space="preserve">, p. 651 ; directive 92/50/CEE du Conseil, du 18 juin 1992, portant coordination des procédures de passation des marchés publics de services, </w:t>
      </w:r>
      <w:r>
        <w:rPr>
          <w:rFonts w:ascii="Times New Roman" w:hAnsi="Times New Roman" w:cs="Times New Roman"/>
          <w:i/>
          <w:iCs/>
        </w:rPr>
        <w:t>J.O.C.E.</w:t>
      </w:r>
      <w:r>
        <w:rPr>
          <w:rFonts w:ascii="Times New Roman" w:hAnsi="Times New Roman" w:cs="Times New Roman"/>
        </w:rPr>
        <w:t xml:space="preserve">, L 209, 24 juillet 1992 art. 14 et directive 93/37/CEE du Conseil, du 14 juin 1993, portant coordination des procédures de passation des marchés publics de travaux, </w:t>
      </w:r>
      <w:r>
        <w:rPr>
          <w:rFonts w:ascii="Times New Roman" w:hAnsi="Times New Roman" w:cs="Times New Roman"/>
          <w:i/>
          <w:iCs/>
        </w:rPr>
        <w:t>J.O.C.E.</w:t>
      </w:r>
      <w:r>
        <w:rPr>
          <w:rFonts w:ascii="Times New Roman" w:hAnsi="Times New Roman" w:cs="Times New Roman"/>
        </w:rPr>
        <w:t>, L 199, 9 août 1993, art. 10.</w:t>
      </w:r>
    </w:p>
  </w:footnote>
  <w:footnote w:id="39">
    <w:p w14:paraId="34C749AA" w14:textId="77777777" w:rsidR="00A93B81" w:rsidRPr="001C1FDD" w:rsidRDefault="00A93B81" w:rsidP="00B666AF">
      <w:pPr>
        <w:pStyle w:val="Notedebasdepage"/>
        <w:jc w:val="both"/>
        <w:rPr>
          <w:rFonts w:ascii="Times New Roman" w:hAnsi="Times New Roman" w:cs="Times New Roman"/>
          <w:lang w:val="nl-NL"/>
        </w:rPr>
      </w:pPr>
      <w:r w:rsidRPr="00252D81">
        <w:rPr>
          <w:rStyle w:val="Appelnotedebasdep"/>
          <w:rFonts w:ascii="Times New Roman" w:hAnsi="Times New Roman" w:cs="Times New Roman"/>
        </w:rPr>
        <w:footnoteRef/>
      </w:r>
      <w:r w:rsidRPr="001C1FDD">
        <w:rPr>
          <w:rFonts w:ascii="Times New Roman" w:hAnsi="Times New Roman" w:cs="Times New Roman"/>
          <w:lang w:val="nl-NL"/>
        </w:rPr>
        <w:t xml:space="preserve"> B. SCHUTYSER, </w:t>
      </w:r>
      <w:r w:rsidRPr="001C1FDD">
        <w:rPr>
          <w:rFonts w:ascii="Times New Roman" w:hAnsi="Times New Roman" w:cs="Times New Roman"/>
          <w:i/>
          <w:iCs/>
          <w:lang w:val="nl-NL"/>
        </w:rPr>
        <w:t>op. cit.</w:t>
      </w:r>
      <w:r w:rsidRPr="001C1FDD">
        <w:rPr>
          <w:rFonts w:ascii="Times New Roman" w:hAnsi="Times New Roman" w:cs="Times New Roman"/>
          <w:lang w:val="nl-NL"/>
        </w:rPr>
        <w:t xml:space="preserve">, p. 762 et 763 ; W. ABBELOOS, </w:t>
      </w:r>
      <w:r w:rsidRPr="001C1FDD">
        <w:rPr>
          <w:rFonts w:ascii="Times New Roman" w:hAnsi="Times New Roman" w:cs="Times New Roman"/>
          <w:i/>
          <w:iCs/>
          <w:lang w:val="nl-NL"/>
        </w:rPr>
        <w:t>Kroniek overheidsopdrachten. Deel 1. De plaatsing van een overhiedsopdracht</w:t>
      </w:r>
      <w:r w:rsidRPr="001C1FDD">
        <w:rPr>
          <w:rFonts w:ascii="Times New Roman" w:hAnsi="Times New Roman" w:cs="Times New Roman"/>
          <w:lang w:val="nl-NL"/>
        </w:rPr>
        <w:t>, Jette, EBP Publishers, 2014, p. 158.</w:t>
      </w:r>
    </w:p>
  </w:footnote>
  <w:footnote w:id="40">
    <w:p w14:paraId="5C61BC0C" w14:textId="77777777" w:rsidR="00A93B81" w:rsidRPr="008369CC" w:rsidRDefault="00A93B81" w:rsidP="00B666AF">
      <w:pPr>
        <w:pStyle w:val="Notedebasdepage"/>
        <w:jc w:val="both"/>
        <w:rPr>
          <w:rFonts w:ascii="Times New Roman" w:hAnsi="Times New Roman" w:cs="Times New Roman"/>
          <w:lang w:val="fr-FR"/>
        </w:rPr>
      </w:pPr>
      <w:r w:rsidRPr="008369CC">
        <w:rPr>
          <w:rStyle w:val="Appelnotedebasdep"/>
          <w:rFonts w:ascii="Times New Roman" w:hAnsi="Times New Roman" w:cs="Times New Roman"/>
        </w:rPr>
        <w:footnoteRef/>
      </w:r>
      <w:r w:rsidRPr="008369CC">
        <w:rPr>
          <w:rFonts w:ascii="Times New Roman" w:hAnsi="Times New Roman" w:cs="Times New Roman"/>
        </w:rPr>
        <w:t xml:space="preserve"> </w:t>
      </w:r>
      <w:r>
        <w:rPr>
          <w:rFonts w:ascii="Times New Roman" w:hAnsi="Times New Roman" w:cs="Times New Roman"/>
        </w:rPr>
        <w:t xml:space="preserve">B. LOMBAERT, I. MATHY et M. THOMAS, </w:t>
      </w:r>
      <w:r>
        <w:rPr>
          <w:rFonts w:ascii="Times New Roman" w:hAnsi="Times New Roman" w:cs="Times New Roman"/>
          <w:i/>
          <w:iCs/>
        </w:rPr>
        <w:t>op. cit.</w:t>
      </w:r>
      <w:r>
        <w:rPr>
          <w:rFonts w:ascii="Times New Roman" w:hAnsi="Times New Roman" w:cs="Times New Roman"/>
        </w:rPr>
        <w:t>, p. 651.</w:t>
      </w:r>
    </w:p>
  </w:footnote>
  <w:footnote w:id="41">
    <w:p w14:paraId="73374209" w14:textId="30148383" w:rsidR="00E436C1" w:rsidRPr="00E436C1" w:rsidRDefault="00E436C1" w:rsidP="00E436C1">
      <w:pPr>
        <w:pStyle w:val="Notedebasdepage"/>
        <w:jc w:val="both"/>
        <w:rPr>
          <w:rFonts w:ascii="Times New Roman" w:hAnsi="Times New Roman" w:cs="Times New Roman"/>
        </w:rPr>
      </w:pPr>
      <w:r w:rsidRPr="00E436C1">
        <w:rPr>
          <w:rStyle w:val="Appelnotedebasdep"/>
          <w:rFonts w:ascii="Times New Roman" w:hAnsi="Times New Roman" w:cs="Times New Roman"/>
        </w:rPr>
        <w:footnoteRef/>
      </w:r>
      <w:r w:rsidRPr="00E436C1">
        <w:rPr>
          <w:rFonts w:ascii="Times New Roman" w:hAnsi="Times New Roman" w:cs="Times New Roman"/>
        </w:rPr>
        <w:t xml:space="preserve"> </w:t>
      </w:r>
      <w:r>
        <w:rPr>
          <w:rFonts w:ascii="Times New Roman" w:hAnsi="Times New Roman" w:cs="Times New Roman"/>
        </w:rPr>
        <w:t>Voy. par exemple la définition du Larousse</w:t>
      </w:r>
      <w:r w:rsidR="001543D0">
        <w:rPr>
          <w:rFonts w:ascii="Times New Roman" w:hAnsi="Times New Roman" w:cs="Times New Roman"/>
        </w:rPr>
        <w:t> : 1. « Modèle générique » ; 2. « Catégorie de choses, d’individus » ; 3. « </w:t>
      </w:r>
      <w:r w:rsidR="00D57EF1">
        <w:rPr>
          <w:rFonts w:ascii="Times New Roman" w:hAnsi="Times New Roman" w:cs="Times New Roman"/>
        </w:rPr>
        <w:t>Individu quelconque » (</w:t>
      </w:r>
      <w:hyperlink r:id="rId2" w:history="1">
        <w:r w:rsidR="00D57EF1" w:rsidRPr="00625ED5">
          <w:rPr>
            <w:rStyle w:val="Lienhypertexte"/>
            <w:rFonts w:ascii="Times New Roman" w:hAnsi="Times New Roman" w:cs="Times New Roman"/>
          </w:rPr>
          <w:t>www.larousse.fr</w:t>
        </w:r>
      </w:hyperlink>
      <w:r w:rsidR="00D57EF1">
        <w:rPr>
          <w:rFonts w:ascii="Times New Roman" w:hAnsi="Times New Roman" w:cs="Times New Roman"/>
        </w:rPr>
        <w:t>).</w:t>
      </w:r>
      <w:r w:rsidR="00D05FA6">
        <w:rPr>
          <w:rFonts w:ascii="Times New Roman" w:hAnsi="Times New Roman" w:cs="Times New Roman"/>
        </w:rPr>
        <w:t xml:space="preserve"> Bien que le Robert donne la définition « 4. Ensemble des caractères d’une série d’objets fabriqués », </w:t>
      </w:r>
      <w:r w:rsidR="003E7F44">
        <w:rPr>
          <w:rFonts w:ascii="Times New Roman" w:hAnsi="Times New Roman" w:cs="Times New Roman"/>
        </w:rPr>
        <w:t xml:space="preserve">il donne également la définition suivante « 2. Sciences. Ensemble des caractères qui permettent de distinguer des </w:t>
      </w:r>
      <w:r w:rsidR="00D2056B">
        <w:rPr>
          <w:rFonts w:ascii="Times New Roman" w:hAnsi="Times New Roman" w:cs="Times New Roman"/>
        </w:rPr>
        <w:t>catégories d’objets et de faits, d’individus »</w:t>
      </w:r>
      <w:r w:rsidR="005E5606">
        <w:rPr>
          <w:rFonts w:ascii="Times New Roman" w:hAnsi="Times New Roman" w:cs="Times New Roman"/>
        </w:rPr>
        <w:t xml:space="preserve"> (</w:t>
      </w:r>
      <w:r w:rsidR="00FC2518" w:rsidRPr="00FC2518">
        <w:rPr>
          <w:rFonts w:ascii="Times New Roman" w:hAnsi="Times New Roman" w:cs="Times New Roman"/>
        </w:rPr>
        <w:t>https://dictionnaire.lerobert.com/</w:t>
      </w:r>
      <w:r w:rsidR="005E5606">
        <w:rPr>
          <w:rFonts w:ascii="Times New Roman" w:hAnsi="Times New Roman" w:cs="Times New Roman"/>
        </w:rPr>
        <w:t>)</w:t>
      </w:r>
      <w:r w:rsidR="00D2056B">
        <w:rPr>
          <w:rFonts w:ascii="Times New Roman" w:hAnsi="Times New Roman" w:cs="Times New Roman"/>
        </w:rPr>
        <w:t>.</w:t>
      </w:r>
      <w:r w:rsidR="005E5606">
        <w:rPr>
          <w:rFonts w:ascii="Times New Roman" w:hAnsi="Times New Roman" w:cs="Times New Roman"/>
        </w:rPr>
        <w:t xml:space="preserve"> </w:t>
      </w:r>
    </w:p>
  </w:footnote>
  <w:footnote w:id="42">
    <w:p w14:paraId="2FC9F90A" w14:textId="674CD641" w:rsidR="00DA299E" w:rsidRPr="00DA299E" w:rsidRDefault="00DA299E" w:rsidP="002341FF">
      <w:pPr>
        <w:pStyle w:val="Notedebasdepage"/>
        <w:jc w:val="both"/>
        <w:rPr>
          <w:rFonts w:ascii="Times New Roman" w:hAnsi="Times New Roman" w:cs="Times New Roman"/>
          <w:lang w:val="fr-FR"/>
        </w:rPr>
      </w:pPr>
      <w:r w:rsidRPr="00DA299E">
        <w:rPr>
          <w:rStyle w:val="Appelnotedebasdep"/>
          <w:rFonts w:ascii="Times New Roman" w:hAnsi="Times New Roman" w:cs="Times New Roman"/>
        </w:rPr>
        <w:footnoteRef/>
      </w:r>
      <w:r w:rsidRPr="00DA299E">
        <w:rPr>
          <w:rFonts w:ascii="Times New Roman" w:hAnsi="Times New Roman" w:cs="Times New Roman"/>
        </w:rPr>
        <w:t xml:space="preserve"> </w:t>
      </w:r>
      <w:r>
        <w:rPr>
          <w:rFonts w:ascii="Times New Roman" w:hAnsi="Times New Roman" w:cs="Times New Roman"/>
        </w:rPr>
        <w:t xml:space="preserve">Commission européenne, </w:t>
      </w:r>
      <w:r>
        <w:rPr>
          <w:rFonts w:ascii="Times New Roman" w:hAnsi="Times New Roman" w:cs="Times New Roman"/>
          <w:i/>
          <w:iCs/>
        </w:rPr>
        <w:t>op. cit.</w:t>
      </w:r>
      <w:r>
        <w:rPr>
          <w:rFonts w:ascii="Times New Roman" w:hAnsi="Times New Roman" w:cs="Times New Roman"/>
        </w:rPr>
        <w:t xml:space="preserve">, p. </w:t>
      </w:r>
      <w:r w:rsidR="003B23CF">
        <w:rPr>
          <w:rFonts w:ascii="Times New Roman" w:hAnsi="Times New Roman" w:cs="Times New Roman"/>
        </w:rPr>
        <w:t>35.</w:t>
      </w:r>
    </w:p>
  </w:footnote>
  <w:footnote w:id="43">
    <w:p w14:paraId="22BC41B6" w14:textId="2B03C549" w:rsidR="003D69AD" w:rsidRPr="003A34BE" w:rsidRDefault="003D69AD" w:rsidP="002341FF">
      <w:pPr>
        <w:pStyle w:val="Notedebasdepage"/>
        <w:jc w:val="both"/>
        <w:rPr>
          <w:rFonts w:ascii="Times New Roman" w:hAnsi="Times New Roman" w:cs="Times New Roman"/>
          <w:lang w:val="nl-NL"/>
        </w:rPr>
      </w:pPr>
      <w:r w:rsidRPr="003D69AD">
        <w:rPr>
          <w:rStyle w:val="Appelnotedebasdep"/>
          <w:rFonts w:ascii="Times New Roman" w:hAnsi="Times New Roman" w:cs="Times New Roman"/>
        </w:rPr>
        <w:footnoteRef/>
      </w:r>
      <w:r w:rsidRPr="003A34BE">
        <w:rPr>
          <w:rFonts w:ascii="Times New Roman" w:hAnsi="Times New Roman" w:cs="Times New Roman"/>
          <w:lang w:val="nl-NL"/>
        </w:rPr>
        <w:t xml:space="preserve"> C.E., </w:t>
      </w:r>
      <w:r w:rsidR="00027E3B" w:rsidRPr="003A34BE">
        <w:rPr>
          <w:rFonts w:ascii="Times New Roman" w:hAnsi="Times New Roman" w:cs="Times New Roman"/>
          <w:lang w:val="nl-NL"/>
        </w:rPr>
        <w:t xml:space="preserve">7 juillet 2023, n° 257.081, </w:t>
      </w:r>
      <w:r w:rsidR="00027E3B" w:rsidRPr="003A34BE">
        <w:rPr>
          <w:rFonts w:ascii="Times New Roman" w:hAnsi="Times New Roman" w:cs="Times New Roman"/>
          <w:i/>
          <w:iCs/>
          <w:lang w:val="nl-NL"/>
        </w:rPr>
        <w:t>s.a. KRINKELS</w:t>
      </w:r>
      <w:r w:rsidR="00027E3B" w:rsidRPr="003A34BE">
        <w:rPr>
          <w:rFonts w:ascii="Times New Roman" w:hAnsi="Times New Roman" w:cs="Times New Roman"/>
          <w:lang w:val="nl-NL"/>
        </w:rPr>
        <w:t>.</w:t>
      </w:r>
    </w:p>
  </w:footnote>
  <w:footnote w:id="44">
    <w:p w14:paraId="5132CE8F" w14:textId="5F800E6D" w:rsidR="00DE2368" w:rsidRPr="001B5299" w:rsidRDefault="00DE2368" w:rsidP="002341FF">
      <w:pPr>
        <w:pStyle w:val="Notedebasdepage"/>
        <w:jc w:val="both"/>
        <w:rPr>
          <w:rFonts w:ascii="Times New Roman" w:hAnsi="Times New Roman" w:cs="Times New Roman"/>
          <w:lang w:val="fr-FR"/>
        </w:rPr>
      </w:pPr>
      <w:r w:rsidRPr="00DE2368">
        <w:rPr>
          <w:rStyle w:val="Appelnotedebasdep"/>
          <w:rFonts w:ascii="Times New Roman" w:hAnsi="Times New Roman" w:cs="Times New Roman"/>
        </w:rPr>
        <w:footnoteRef/>
      </w:r>
      <w:r w:rsidRPr="00DE2368">
        <w:rPr>
          <w:rFonts w:ascii="Times New Roman" w:hAnsi="Times New Roman" w:cs="Times New Roman"/>
        </w:rPr>
        <w:t xml:space="preserve"> </w:t>
      </w:r>
      <w:r w:rsidR="001B5299">
        <w:rPr>
          <w:rFonts w:ascii="Times New Roman" w:hAnsi="Times New Roman" w:cs="Times New Roman"/>
        </w:rPr>
        <w:t xml:space="preserve">C.E., 22 février 2017, n°237.449, </w:t>
      </w:r>
      <w:r w:rsidR="001B5299" w:rsidRPr="001B5299">
        <w:rPr>
          <w:rFonts w:ascii="Times New Roman" w:hAnsi="Times New Roman" w:cs="Times New Roman"/>
          <w:i/>
          <w:iCs/>
        </w:rPr>
        <w:t>s.a.</w:t>
      </w:r>
      <w:r w:rsidR="001B5299">
        <w:rPr>
          <w:rFonts w:ascii="Times New Roman" w:hAnsi="Times New Roman" w:cs="Times New Roman"/>
        </w:rPr>
        <w:t xml:space="preserve"> </w:t>
      </w:r>
      <w:r w:rsidR="001B5299" w:rsidRPr="000B3535">
        <w:rPr>
          <w:rFonts w:ascii="Times New Roman" w:hAnsi="Times New Roman" w:cs="Times New Roman"/>
          <w:i/>
          <w:iCs/>
        </w:rPr>
        <w:t>ÉTABLISSEMENTS GDA</w:t>
      </w:r>
      <w:r w:rsidR="002341FF">
        <w:rPr>
          <w:rFonts w:ascii="Times New Roman" w:hAnsi="Times New Roman" w:cs="Times New Roman"/>
        </w:rPr>
        <w:t>. La directive applicable au litige était la directive 2004/18/CE.</w:t>
      </w:r>
    </w:p>
  </w:footnote>
  <w:footnote w:id="45">
    <w:p w14:paraId="72A24DF3" w14:textId="2008C148" w:rsidR="00B53623" w:rsidRPr="003A34BE" w:rsidRDefault="00B53623" w:rsidP="002341FF">
      <w:pPr>
        <w:pStyle w:val="Notedebasdepage"/>
        <w:jc w:val="both"/>
        <w:rPr>
          <w:rFonts w:ascii="Times New Roman" w:hAnsi="Times New Roman" w:cs="Times New Roman"/>
          <w:lang w:val="nl-NL"/>
        </w:rPr>
      </w:pPr>
      <w:r w:rsidRPr="00B53623">
        <w:rPr>
          <w:rStyle w:val="Appelnotedebasdep"/>
          <w:rFonts w:ascii="Times New Roman" w:hAnsi="Times New Roman" w:cs="Times New Roman"/>
        </w:rPr>
        <w:footnoteRef/>
      </w:r>
      <w:r w:rsidRPr="003A34BE">
        <w:rPr>
          <w:rFonts w:ascii="Times New Roman" w:hAnsi="Times New Roman" w:cs="Times New Roman"/>
          <w:lang w:val="nl-NL"/>
        </w:rPr>
        <w:t xml:space="preserve"> Voy. M. VANDERSTRAETEN, </w:t>
      </w:r>
      <w:r w:rsidRPr="003A34BE">
        <w:rPr>
          <w:rFonts w:ascii="Times New Roman" w:hAnsi="Times New Roman" w:cs="Times New Roman"/>
          <w:i/>
          <w:iCs/>
          <w:lang w:val="nl-NL"/>
        </w:rPr>
        <w:t>op. cit.</w:t>
      </w:r>
      <w:r w:rsidRPr="003A34BE">
        <w:rPr>
          <w:rFonts w:ascii="Times New Roman" w:hAnsi="Times New Roman" w:cs="Times New Roman"/>
          <w:lang w:val="nl-NL"/>
        </w:rPr>
        <w:t xml:space="preserve">, p. </w:t>
      </w:r>
      <w:r w:rsidR="00C93B66" w:rsidRPr="003A34BE">
        <w:rPr>
          <w:rFonts w:ascii="Times New Roman" w:hAnsi="Times New Roman" w:cs="Times New Roman"/>
          <w:lang w:val="nl-NL"/>
        </w:rPr>
        <w:t>7, note infrapaginale 7.</w:t>
      </w:r>
    </w:p>
  </w:footnote>
  <w:footnote w:id="46">
    <w:p w14:paraId="519707B9" w14:textId="2A295049" w:rsidR="00897EA6" w:rsidRPr="00D941B5" w:rsidRDefault="00897EA6" w:rsidP="00531CD5">
      <w:pPr>
        <w:pStyle w:val="Notedebasdepage"/>
        <w:jc w:val="both"/>
        <w:rPr>
          <w:rFonts w:ascii="Times New Roman" w:hAnsi="Times New Roman" w:cs="Times New Roman"/>
          <w:lang w:val="fr-FR"/>
        </w:rPr>
      </w:pPr>
      <w:r w:rsidRPr="00897EA6">
        <w:rPr>
          <w:rStyle w:val="Appelnotedebasdep"/>
          <w:rFonts w:ascii="Times New Roman" w:hAnsi="Times New Roman" w:cs="Times New Roman"/>
        </w:rPr>
        <w:footnoteRef/>
      </w:r>
      <w:r w:rsidRPr="00897EA6">
        <w:rPr>
          <w:rFonts w:ascii="Times New Roman" w:hAnsi="Times New Roman" w:cs="Times New Roman"/>
        </w:rPr>
        <w:t xml:space="preserve"> </w:t>
      </w:r>
      <w:r w:rsidR="00D941B5">
        <w:rPr>
          <w:rFonts w:ascii="Times New Roman" w:hAnsi="Times New Roman" w:cs="Times New Roman"/>
        </w:rPr>
        <w:t xml:space="preserve">Le cahier général des charges des marchés publics de travaux, de fournitures et de services et des concessions de travaux publics du 26 septembre 1996, </w:t>
      </w:r>
      <w:r w:rsidR="00D941B5">
        <w:rPr>
          <w:rFonts w:ascii="Times New Roman" w:hAnsi="Times New Roman" w:cs="Times New Roman"/>
          <w:i/>
          <w:iCs/>
        </w:rPr>
        <w:t>M.B.</w:t>
      </w:r>
      <w:r w:rsidR="00A63ED5">
        <w:rPr>
          <w:rFonts w:ascii="Times New Roman" w:hAnsi="Times New Roman" w:cs="Times New Roman"/>
        </w:rPr>
        <w:t>,</w:t>
      </w:r>
      <w:r w:rsidR="00D941B5">
        <w:rPr>
          <w:rFonts w:ascii="Times New Roman" w:hAnsi="Times New Roman" w:cs="Times New Roman"/>
        </w:rPr>
        <w:t xml:space="preserve"> 18 octobre 1996, précisait </w:t>
      </w:r>
      <w:r w:rsidR="00096CFE">
        <w:rPr>
          <w:rFonts w:ascii="Times New Roman" w:hAnsi="Times New Roman" w:cs="Times New Roman"/>
        </w:rPr>
        <w:t xml:space="preserve">en outre </w:t>
      </w:r>
      <w:r w:rsidR="00D941B5">
        <w:rPr>
          <w:rFonts w:ascii="Times New Roman" w:hAnsi="Times New Roman" w:cs="Times New Roman"/>
        </w:rPr>
        <w:t xml:space="preserve">en son article 3 </w:t>
      </w:r>
      <w:r w:rsidR="00096CFE">
        <w:rPr>
          <w:rFonts w:ascii="Times New Roman" w:hAnsi="Times New Roman" w:cs="Times New Roman"/>
        </w:rPr>
        <w:t>que « [l]es travaux, fournitures et services doivent être conformes sous tous les rapports aux plans, métrés, documents et objets applicables au marché</w:t>
      </w:r>
      <w:r w:rsidR="00531CD5">
        <w:rPr>
          <w:rFonts w:ascii="Times New Roman" w:hAnsi="Times New Roman" w:cs="Times New Roman"/>
        </w:rPr>
        <w:t> ».</w:t>
      </w:r>
    </w:p>
  </w:footnote>
  <w:footnote w:id="47">
    <w:p w14:paraId="4FAE6905" w14:textId="3D2DC502" w:rsidR="00372BFE" w:rsidRPr="00372BFE" w:rsidRDefault="00372BFE" w:rsidP="00BB1F56">
      <w:pPr>
        <w:pStyle w:val="Notedebasdepage"/>
        <w:jc w:val="both"/>
        <w:rPr>
          <w:rFonts w:ascii="Times New Roman" w:hAnsi="Times New Roman" w:cs="Times New Roman"/>
        </w:rPr>
      </w:pPr>
      <w:r w:rsidRPr="00372BFE">
        <w:rPr>
          <w:rStyle w:val="Appelnotedebasdep"/>
          <w:rFonts w:ascii="Times New Roman" w:hAnsi="Times New Roman" w:cs="Times New Roman"/>
        </w:rPr>
        <w:footnoteRef/>
      </w:r>
      <w:r w:rsidR="00A13A5A">
        <w:rPr>
          <w:rFonts w:ascii="Times New Roman" w:hAnsi="Times New Roman" w:cs="Times New Roman"/>
        </w:rPr>
        <w:t xml:space="preserve"> S. </w:t>
      </w:r>
      <w:r w:rsidR="00A13A5A" w:rsidRPr="00A13A5A">
        <w:rPr>
          <w:rFonts w:ascii="Times New Roman" w:hAnsi="Times New Roman" w:cs="Times New Roman"/>
        </w:rPr>
        <w:t>D</w:t>
      </w:r>
      <w:r w:rsidR="00A13A5A">
        <w:rPr>
          <w:rFonts w:ascii="Times New Roman" w:hAnsi="Times New Roman" w:cs="Times New Roman"/>
        </w:rPr>
        <w:t>E</w:t>
      </w:r>
      <w:r w:rsidR="00A13A5A" w:rsidRPr="00A13A5A">
        <w:rPr>
          <w:rFonts w:ascii="Times New Roman" w:hAnsi="Times New Roman" w:cs="Times New Roman"/>
        </w:rPr>
        <w:t xml:space="preserve"> K</w:t>
      </w:r>
      <w:r w:rsidR="00A13A5A">
        <w:rPr>
          <w:rFonts w:ascii="Times New Roman" w:hAnsi="Times New Roman" w:cs="Times New Roman"/>
        </w:rPr>
        <w:t>EYZER</w:t>
      </w:r>
      <w:r w:rsidR="00A13A5A" w:rsidRPr="00A13A5A">
        <w:rPr>
          <w:rFonts w:ascii="Times New Roman" w:hAnsi="Times New Roman" w:cs="Times New Roman"/>
        </w:rPr>
        <w:t>, « Des standards privés en marchés publics</w:t>
      </w:r>
      <w:r w:rsidR="009618AA">
        <w:rPr>
          <w:rFonts w:ascii="Times New Roman" w:hAnsi="Times New Roman" w:cs="Times New Roman"/>
        </w:rPr>
        <w:t>.</w:t>
      </w:r>
      <w:r w:rsidR="00A13A5A" w:rsidRPr="00A13A5A">
        <w:rPr>
          <w:rFonts w:ascii="Times New Roman" w:hAnsi="Times New Roman" w:cs="Times New Roman"/>
        </w:rPr>
        <w:t xml:space="preserve"> </w:t>
      </w:r>
      <w:r w:rsidR="009618AA">
        <w:rPr>
          <w:rFonts w:ascii="Times New Roman" w:hAnsi="Times New Roman" w:cs="Times New Roman"/>
        </w:rPr>
        <w:t>L</w:t>
      </w:r>
      <w:r w:rsidR="00A13A5A" w:rsidRPr="00A13A5A">
        <w:rPr>
          <w:rFonts w:ascii="Times New Roman" w:hAnsi="Times New Roman" w:cs="Times New Roman"/>
        </w:rPr>
        <w:t>a normalisation en droit de la passation et en procédure d’exécution des marchés »</w:t>
      </w:r>
      <w:r w:rsidR="00A13A5A">
        <w:rPr>
          <w:rFonts w:ascii="Times New Roman" w:hAnsi="Times New Roman" w:cs="Times New Roman"/>
        </w:rPr>
        <w:t xml:space="preserve">, </w:t>
      </w:r>
      <w:r w:rsidR="00A13A5A" w:rsidRPr="00A13A5A">
        <w:rPr>
          <w:rFonts w:ascii="Times New Roman" w:hAnsi="Times New Roman" w:cs="Times New Roman"/>
          <w:i/>
          <w:iCs/>
        </w:rPr>
        <w:t>Jaarboek Overheidsopdrachten 2015-2016 / Chronique des Marchés Publics 2015-2016</w:t>
      </w:r>
      <w:r w:rsidR="00A13A5A" w:rsidRPr="00A13A5A">
        <w:rPr>
          <w:rFonts w:ascii="Times New Roman" w:hAnsi="Times New Roman" w:cs="Times New Roman"/>
        </w:rPr>
        <w:t>,</w:t>
      </w:r>
      <w:r w:rsidR="00A13A5A">
        <w:rPr>
          <w:rFonts w:ascii="Times New Roman" w:hAnsi="Times New Roman" w:cs="Times New Roman"/>
        </w:rPr>
        <w:t xml:space="preserve"> </w:t>
      </w:r>
      <w:r w:rsidR="00A13A5A" w:rsidRPr="00262135">
        <w:rPr>
          <w:rFonts w:ascii="Times New Roman" w:hAnsi="Times New Roman" w:cs="Times New Roman"/>
        </w:rPr>
        <w:t>C. De Koninck, P. Flamey et P. Thiel (dir.)</w:t>
      </w:r>
      <w:r w:rsidR="00A13A5A">
        <w:rPr>
          <w:rFonts w:ascii="Times New Roman" w:hAnsi="Times New Roman" w:cs="Times New Roman"/>
        </w:rPr>
        <w:t>,</w:t>
      </w:r>
      <w:r w:rsidR="00A13A5A" w:rsidRPr="00A13A5A">
        <w:rPr>
          <w:rFonts w:ascii="Times New Roman" w:hAnsi="Times New Roman" w:cs="Times New Roman"/>
        </w:rPr>
        <w:t xml:space="preserve"> Bruxelles, EBP Consulting, 2016, </w:t>
      </w:r>
      <w:r w:rsidR="00785B91">
        <w:rPr>
          <w:rFonts w:ascii="Times New Roman" w:hAnsi="Times New Roman" w:cs="Times New Roman"/>
        </w:rPr>
        <w:t>p. 760.</w:t>
      </w:r>
    </w:p>
  </w:footnote>
  <w:footnote w:id="48">
    <w:p w14:paraId="34D27D99" w14:textId="4C12D0A6" w:rsidR="0075308F" w:rsidRPr="00407638" w:rsidRDefault="0075308F" w:rsidP="00BB1F56">
      <w:pPr>
        <w:pStyle w:val="Notedebasdepage"/>
        <w:jc w:val="both"/>
        <w:rPr>
          <w:rFonts w:ascii="Times New Roman" w:hAnsi="Times New Roman" w:cs="Times New Roman"/>
          <w:lang w:val="fr-FR"/>
        </w:rPr>
      </w:pPr>
      <w:r w:rsidRPr="0075308F">
        <w:rPr>
          <w:rStyle w:val="Appelnotedebasdep"/>
          <w:rFonts w:ascii="Times New Roman" w:hAnsi="Times New Roman" w:cs="Times New Roman"/>
        </w:rPr>
        <w:footnoteRef/>
      </w:r>
      <w:r w:rsidRPr="0075308F">
        <w:rPr>
          <w:rFonts w:ascii="Times New Roman" w:hAnsi="Times New Roman" w:cs="Times New Roman"/>
        </w:rPr>
        <w:t xml:space="preserve"> </w:t>
      </w:r>
      <w:r>
        <w:rPr>
          <w:rFonts w:ascii="Times New Roman" w:hAnsi="Times New Roman" w:cs="Times New Roman"/>
        </w:rPr>
        <w:t xml:space="preserve">Voy. </w:t>
      </w:r>
      <w:r w:rsidRPr="003A34BE">
        <w:rPr>
          <w:rFonts w:ascii="Times New Roman" w:hAnsi="Times New Roman" w:cs="Times New Roman"/>
          <w:lang w:val="fr-FR"/>
        </w:rPr>
        <w:t xml:space="preserve">B. SCHUTYSER, </w:t>
      </w:r>
      <w:r w:rsidRPr="003A34BE">
        <w:rPr>
          <w:rFonts w:ascii="Times New Roman" w:hAnsi="Times New Roman" w:cs="Times New Roman"/>
          <w:i/>
          <w:iCs/>
          <w:lang w:val="fr-FR"/>
        </w:rPr>
        <w:t>op. cit.</w:t>
      </w:r>
      <w:r w:rsidRPr="003A34BE">
        <w:rPr>
          <w:rFonts w:ascii="Times New Roman" w:hAnsi="Times New Roman" w:cs="Times New Roman"/>
          <w:lang w:val="fr-FR"/>
        </w:rPr>
        <w:t xml:space="preserve">, </w:t>
      </w:r>
      <w:r w:rsidR="00A50E7C" w:rsidRPr="003A34BE">
        <w:rPr>
          <w:rFonts w:ascii="Times New Roman" w:hAnsi="Times New Roman" w:cs="Times New Roman"/>
          <w:lang w:val="fr-FR"/>
        </w:rPr>
        <w:t xml:space="preserve">p. 770, qui relève que </w:t>
      </w:r>
      <w:r w:rsidR="00360AB3" w:rsidRPr="003A34BE">
        <w:rPr>
          <w:rFonts w:ascii="Times New Roman" w:hAnsi="Times New Roman" w:cs="Times New Roman"/>
          <w:lang w:val="fr-FR"/>
        </w:rPr>
        <w:t>les méthodes de formulation des spécifications techniques exigent une connaissance technique importante</w:t>
      </w:r>
      <w:r w:rsidR="00EE0746" w:rsidRPr="003A34BE">
        <w:rPr>
          <w:rFonts w:ascii="Times New Roman" w:hAnsi="Times New Roman" w:cs="Times New Roman"/>
          <w:lang w:val="fr-FR"/>
        </w:rPr>
        <w:t xml:space="preserve"> ; F. LICHÈRE, </w:t>
      </w:r>
      <w:r w:rsidR="00B2442F">
        <w:rPr>
          <w:rFonts w:ascii="Times New Roman" w:hAnsi="Times New Roman" w:cs="Times New Roman"/>
          <w:lang w:val="fr-FR"/>
        </w:rPr>
        <w:t>« </w:t>
      </w:r>
      <w:r w:rsidR="00B244EA" w:rsidRPr="003A34BE">
        <w:rPr>
          <w:rFonts w:ascii="Times New Roman" w:hAnsi="Times New Roman" w:cs="Times New Roman"/>
          <w:lang w:val="fr-FR"/>
        </w:rPr>
        <w:t>CJUE, 16 janvier 2025, C-424/23, DYKA Plastics NV contre Fluvius System Operator CV</w:t>
      </w:r>
      <w:r w:rsidR="00B2442F">
        <w:rPr>
          <w:rFonts w:ascii="Times New Roman" w:hAnsi="Times New Roman" w:cs="Times New Roman"/>
          <w:lang w:val="fr-FR"/>
        </w:rPr>
        <w:t> »</w:t>
      </w:r>
      <w:r w:rsidR="00B244EA" w:rsidRPr="003A34BE">
        <w:rPr>
          <w:rFonts w:ascii="Times New Roman" w:hAnsi="Times New Roman" w:cs="Times New Roman"/>
          <w:lang w:val="fr-FR"/>
        </w:rPr>
        <w:t xml:space="preserve">, </w:t>
      </w:r>
      <w:r w:rsidR="00967EFC" w:rsidRPr="003A34BE">
        <w:rPr>
          <w:rFonts w:ascii="Times New Roman" w:hAnsi="Times New Roman" w:cs="Times New Roman"/>
          <w:i/>
          <w:iCs/>
          <w:lang w:val="fr-FR"/>
        </w:rPr>
        <w:t>Newsletter de la Chaire du droit des contrats publics</w:t>
      </w:r>
      <w:r w:rsidR="00407638" w:rsidRPr="003A34BE">
        <w:rPr>
          <w:rFonts w:ascii="Times New Roman" w:hAnsi="Times New Roman" w:cs="Times New Roman"/>
          <w:lang w:val="fr-FR"/>
        </w:rPr>
        <w:t>, janvier 2025, n° 13</w:t>
      </w:r>
      <w:r w:rsidR="00B0337F" w:rsidRPr="003A34BE">
        <w:rPr>
          <w:rFonts w:ascii="Times New Roman" w:hAnsi="Times New Roman" w:cs="Times New Roman"/>
          <w:lang w:val="fr-FR"/>
        </w:rPr>
        <w:t xml:space="preserve">, </w:t>
      </w:r>
      <w:hyperlink r:id="rId3" w:history="1">
        <w:r w:rsidR="001C3B83" w:rsidRPr="003A34BE">
          <w:rPr>
            <w:rStyle w:val="Lienhypertexte"/>
            <w:rFonts w:ascii="Times New Roman" w:hAnsi="Times New Roman" w:cs="Times New Roman"/>
            <w:lang w:val="fr-FR"/>
          </w:rPr>
          <w:t>https://chairedcp.univ-lyon3.fr/cjue-16-janvier-2025-c-424-23-dyka-plastics-nv-contre-fluvius-system-operator-cv</w:t>
        </w:r>
      </w:hyperlink>
      <w:r w:rsidR="001C3B83" w:rsidRPr="003A34BE">
        <w:rPr>
          <w:rFonts w:ascii="Times New Roman" w:hAnsi="Times New Roman" w:cs="Times New Roman"/>
          <w:lang w:val="fr-FR"/>
        </w:rPr>
        <w:t xml:space="preserve">, qui indique que cette jurisprudence </w:t>
      </w:r>
      <w:r w:rsidR="001C3B83">
        <w:rPr>
          <w:rFonts w:ascii="Times New Roman" w:hAnsi="Times New Roman" w:cs="Times New Roman"/>
        </w:rPr>
        <w:t xml:space="preserve">« </w:t>
      </w:r>
      <w:r w:rsidR="001C3B83" w:rsidRPr="001C3B83">
        <w:rPr>
          <w:rFonts w:ascii="Times New Roman" w:hAnsi="Times New Roman" w:cs="Times New Roman"/>
        </w:rPr>
        <w:t>conduira inévitablement à une certaine complexification du processus d’achat</w:t>
      </w:r>
      <w:r w:rsidR="001C3B83">
        <w:rPr>
          <w:rFonts w:ascii="Times New Roman" w:hAnsi="Times New Roman" w:cs="Times New Roman"/>
        </w:rPr>
        <w:t> ».</w:t>
      </w:r>
    </w:p>
  </w:footnote>
  <w:footnote w:id="49">
    <w:p w14:paraId="275CF0CE" w14:textId="15834E3E" w:rsidR="00CC02A2" w:rsidRPr="002128F3" w:rsidRDefault="00CC02A2" w:rsidP="00CC02A2">
      <w:pPr>
        <w:pStyle w:val="Notedebasdepage"/>
        <w:jc w:val="both"/>
        <w:rPr>
          <w:rFonts w:ascii="Times New Roman" w:hAnsi="Times New Roman" w:cs="Times New Roman"/>
        </w:rPr>
      </w:pPr>
      <w:r w:rsidRPr="00CC02A2">
        <w:rPr>
          <w:rStyle w:val="Appelnotedebasdep"/>
          <w:rFonts w:ascii="Times New Roman" w:hAnsi="Times New Roman" w:cs="Times New Roman"/>
        </w:rPr>
        <w:footnoteRef/>
      </w:r>
      <w:r w:rsidRPr="002128F3">
        <w:rPr>
          <w:rFonts w:ascii="Times New Roman" w:hAnsi="Times New Roman" w:cs="Times New Roman"/>
        </w:rPr>
        <w:t xml:space="preserve"> </w:t>
      </w:r>
      <w:r w:rsidR="002128F3" w:rsidRPr="002128F3">
        <w:rPr>
          <w:rFonts w:ascii="Times New Roman" w:hAnsi="Times New Roman" w:cs="Times New Roman"/>
        </w:rPr>
        <w:t xml:space="preserve">Le pouvoir adjudicateur devrait </w:t>
      </w:r>
      <w:r w:rsidR="002128F3">
        <w:rPr>
          <w:rFonts w:ascii="Times New Roman" w:hAnsi="Times New Roman" w:cs="Times New Roman"/>
        </w:rPr>
        <w:t xml:space="preserve">« rendre compte » de cette évaluation, en avoir la preuve, et </w:t>
      </w:r>
      <w:r w:rsidR="00112DF7">
        <w:rPr>
          <w:rFonts w:ascii="Times New Roman" w:hAnsi="Times New Roman" w:cs="Times New Roman"/>
        </w:rPr>
        <w:t xml:space="preserve">pas uniquement </w:t>
      </w:r>
      <w:r w:rsidR="003E2672">
        <w:rPr>
          <w:rFonts w:ascii="Times New Roman" w:hAnsi="Times New Roman" w:cs="Times New Roman"/>
        </w:rPr>
        <w:t>cocher une case qu’il</w:t>
      </w:r>
      <w:r w:rsidR="00112DF7">
        <w:rPr>
          <w:rFonts w:ascii="Times New Roman" w:hAnsi="Times New Roman" w:cs="Times New Roman"/>
        </w:rPr>
        <w:t xml:space="preserve"> </w:t>
      </w:r>
      <w:r w:rsidR="00863A9D">
        <w:rPr>
          <w:rFonts w:ascii="Times New Roman" w:hAnsi="Times New Roman" w:cs="Times New Roman"/>
        </w:rPr>
        <w:t xml:space="preserve">a </w:t>
      </w:r>
      <w:r w:rsidR="00BA3829">
        <w:rPr>
          <w:rFonts w:ascii="Times New Roman" w:hAnsi="Times New Roman" w:cs="Times New Roman"/>
        </w:rPr>
        <w:t>« pris en considération »</w:t>
      </w:r>
      <w:r w:rsidR="00F8534E">
        <w:rPr>
          <w:rFonts w:ascii="Times New Roman" w:hAnsi="Times New Roman" w:cs="Times New Roman"/>
        </w:rPr>
        <w:t xml:space="preserve">, pensé, à l’impact environnemental, sans évaluation concrète ; voy. sur ce point </w:t>
      </w:r>
      <w:r w:rsidR="004317D6">
        <w:rPr>
          <w:rFonts w:ascii="Times New Roman" w:hAnsi="Times New Roman" w:cs="Times New Roman"/>
        </w:rPr>
        <w:t xml:space="preserve">N. BOEGER, </w:t>
      </w:r>
      <w:r w:rsidR="00BC158E">
        <w:rPr>
          <w:rFonts w:ascii="Times New Roman" w:hAnsi="Times New Roman" w:cs="Times New Roman"/>
        </w:rPr>
        <w:t xml:space="preserve">« Reappraising the UK Social Value Legislation », </w:t>
      </w:r>
      <w:r w:rsidR="00BC158E">
        <w:rPr>
          <w:rFonts w:ascii="Times New Roman" w:hAnsi="Times New Roman" w:cs="Times New Roman"/>
          <w:i/>
          <w:iCs/>
        </w:rPr>
        <w:t xml:space="preserve">Public Money and </w:t>
      </w:r>
      <w:r w:rsidR="00BC158E" w:rsidRPr="00E77D1E">
        <w:rPr>
          <w:rFonts w:ascii="Times New Roman" w:hAnsi="Times New Roman" w:cs="Times New Roman"/>
          <w:i/>
          <w:iCs/>
        </w:rPr>
        <w:t>Management</w:t>
      </w:r>
      <w:r w:rsidR="00E77D1E">
        <w:rPr>
          <w:rFonts w:ascii="Times New Roman" w:hAnsi="Times New Roman" w:cs="Times New Roman"/>
        </w:rPr>
        <w:t xml:space="preserve">, 2017, 37(2), </w:t>
      </w:r>
      <w:r w:rsidR="005058F5" w:rsidRPr="00E77D1E">
        <w:rPr>
          <w:rFonts w:ascii="Times New Roman" w:hAnsi="Times New Roman" w:cs="Times New Roman"/>
        </w:rPr>
        <w:t>p.</w:t>
      </w:r>
      <w:r w:rsidR="005058F5">
        <w:rPr>
          <w:rFonts w:ascii="Times New Roman" w:hAnsi="Times New Roman" w:cs="Times New Roman"/>
        </w:rPr>
        <w:t xml:space="preserve"> </w:t>
      </w:r>
      <w:r w:rsidR="009B5A17">
        <w:rPr>
          <w:rFonts w:ascii="Times New Roman" w:hAnsi="Times New Roman" w:cs="Times New Roman"/>
        </w:rPr>
        <w:t xml:space="preserve">113 à </w:t>
      </w:r>
      <w:r w:rsidR="00ED7F2A">
        <w:rPr>
          <w:rFonts w:ascii="Times New Roman" w:hAnsi="Times New Roman" w:cs="Times New Roman"/>
        </w:rPr>
        <w:t>120</w:t>
      </w:r>
      <w:r w:rsidR="003159E6">
        <w:rPr>
          <w:rFonts w:ascii="Times New Roman" w:hAnsi="Times New Roman" w:cs="Times New Roman"/>
        </w:rPr>
        <w:t>.</w:t>
      </w:r>
    </w:p>
  </w:footnote>
  <w:footnote w:id="50">
    <w:p w14:paraId="67FDAA07" w14:textId="533594C9" w:rsidR="00DD5151" w:rsidRPr="003A34BE" w:rsidRDefault="00DD5151" w:rsidP="00B666AF">
      <w:pPr>
        <w:pStyle w:val="Notedebasdepage"/>
        <w:jc w:val="both"/>
        <w:rPr>
          <w:rFonts w:ascii="Times New Roman" w:hAnsi="Times New Roman" w:cs="Times New Roman"/>
          <w:lang w:val="en-GB"/>
        </w:rPr>
      </w:pPr>
      <w:r w:rsidRPr="00DD5151">
        <w:rPr>
          <w:rStyle w:val="Appelnotedebasdep"/>
          <w:rFonts w:ascii="Times New Roman" w:hAnsi="Times New Roman" w:cs="Times New Roman"/>
        </w:rPr>
        <w:footnoteRef/>
      </w:r>
      <w:r w:rsidRPr="00715698">
        <w:rPr>
          <w:rFonts w:ascii="Times New Roman" w:hAnsi="Times New Roman" w:cs="Times New Roman"/>
          <w:lang w:val="en-US"/>
        </w:rPr>
        <w:t xml:space="preserve"> </w:t>
      </w:r>
      <w:r w:rsidR="005A4AF4" w:rsidRPr="00715698">
        <w:rPr>
          <w:rFonts w:ascii="Times New Roman" w:hAnsi="Times New Roman" w:cs="Times New Roman"/>
          <w:lang w:val="en-US"/>
        </w:rPr>
        <w:t xml:space="preserve">M. ANDHOV </w:t>
      </w:r>
      <w:r w:rsidR="005A4AF4" w:rsidRPr="00715698">
        <w:rPr>
          <w:rFonts w:ascii="Times New Roman" w:hAnsi="Times New Roman" w:cs="Times New Roman"/>
          <w:i/>
          <w:iCs/>
          <w:lang w:val="en-US"/>
        </w:rPr>
        <w:t xml:space="preserve">et al. </w:t>
      </w:r>
      <w:r w:rsidR="005A4AF4" w:rsidRPr="003A34BE">
        <w:rPr>
          <w:rFonts w:ascii="Times New Roman" w:hAnsi="Times New Roman" w:cs="Times New Roman"/>
          <w:lang w:val="en-GB"/>
        </w:rPr>
        <w:t xml:space="preserve">(2020). </w:t>
      </w:r>
      <w:r w:rsidR="005A4AF4" w:rsidRPr="003A34BE">
        <w:rPr>
          <w:rFonts w:ascii="Times New Roman" w:hAnsi="Times New Roman" w:cs="Times New Roman"/>
          <w:i/>
          <w:iCs/>
          <w:lang w:val="en-GB"/>
        </w:rPr>
        <w:t>Sustainability through public procurement: the way forward – Reform Proposals</w:t>
      </w:r>
      <w:r w:rsidR="005A4AF4" w:rsidRPr="003A34BE">
        <w:rPr>
          <w:rFonts w:ascii="Times New Roman" w:hAnsi="Times New Roman" w:cs="Times New Roman"/>
          <w:lang w:val="en-GB"/>
        </w:rPr>
        <w:t xml:space="preserve">, </w:t>
      </w:r>
      <w:r w:rsidR="00F455AE" w:rsidRPr="003A34BE">
        <w:rPr>
          <w:rFonts w:ascii="Times New Roman" w:hAnsi="Times New Roman" w:cs="Times New Roman"/>
          <w:lang w:val="en-GB"/>
        </w:rPr>
        <w:t>p. 13 et 14.</w:t>
      </w:r>
    </w:p>
  </w:footnote>
  <w:footnote w:id="51">
    <w:p w14:paraId="69AEAED0" w14:textId="24798862" w:rsidR="00E43AC5" w:rsidRPr="00F82355" w:rsidRDefault="00E43AC5" w:rsidP="00B666AF">
      <w:pPr>
        <w:pStyle w:val="Notedebasdepage"/>
        <w:jc w:val="both"/>
        <w:rPr>
          <w:rFonts w:ascii="Times New Roman" w:hAnsi="Times New Roman" w:cs="Times New Roman"/>
          <w:lang w:val="en-US"/>
        </w:rPr>
      </w:pPr>
      <w:r w:rsidRPr="00F82355">
        <w:rPr>
          <w:rStyle w:val="Appelnotedebasdep"/>
          <w:rFonts w:ascii="Times New Roman" w:hAnsi="Times New Roman" w:cs="Times New Roman"/>
        </w:rPr>
        <w:footnoteRef/>
      </w:r>
      <w:r w:rsidRPr="00F82355">
        <w:rPr>
          <w:rFonts w:ascii="Times New Roman" w:hAnsi="Times New Roman" w:cs="Times New Roman"/>
          <w:lang w:val="en-US"/>
        </w:rPr>
        <w:t xml:space="preserve"> </w:t>
      </w:r>
      <w:r w:rsidRPr="00F7468A">
        <w:rPr>
          <w:rFonts w:ascii="Times New Roman" w:hAnsi="Times New Roman" w:cs="Times New Roman"/>
          <w:lang w:val="en-US"/>
        </w:rPr>
        <w:t xml:space="preserve">T. UEHARA, « Public procurement for sustainable development. </w:t>
      </w:r>
      <w:r w:rsidRPr="00F7468A">
        <w:rPr>
          <w:rFonts w:ascii="Times New Roman" w:hAnsi="Times New Roman" w:cs="Times New Roman"/>
          <w:lang w:val="en-GB"/>
        </w:rPr>
        <w:t xml:space="preserve">A framework for the public sector », </w:t>
      </w:r>
      <w:r w:rsidRPr="00F7468A">
        <w:rPr>
          <w:rFonts w:ascii="Times New Roman" w:hAnsi="Times New Roman" w:cs="Times New Roman"/>
          <w:i/>
          <w:iCs/>
          <w:lang w:val="en-GB"/>
        </w:rPr>
        <w:t>Research Paper, Energy, Environment and Resources Programme</w:t>
      </w:r>
      <w:r w:rsidRPr="00F7468A">
        <w:rPr>
          <w:rFonts w:ascii="Times New Roman" w:hAnsi="Times New Roman" w:cs="Times New Roman"/>
          <w:lang w:val="en-GB"/>
        </w:rPr>
        <w:t>, November 2020, p.</w:t>
      </w:r>
      <w:r>
        <w:rPr>
          <w:rFonts w:ascii="Times New Roman" w:hAnsi="Times New Roman" w:cs="Times New Roman"/>
          <w:lang w:val="en-GB"/>
        </w:rPr>
        <w:t xml:space="preserve"> 33 et 34.</w:t>
      </w:r>
    </w:p>
  </w:footnote>
  <w:footnote w:id="52">
    <w:p w14:paraId="6A456CC5" w14:textId="0ECF77F8" w:rsidR="00A64B8E" w:rsidRPr="00FA1CC3" w:rsidRDefault="00A64B8E" w:rsidP="00B666AF">
      <w:pPr>
        <w:pStyle w:val="Notedebasdepage"/>
        <w:jc w:val="both"/>
        <w:rPr>
          <w:rFonts w:ascii="Times New Roman" w:hAnsi="Times New Roman" w:cs="Times New Roman"/>
          <w:lang w:val="fr-FR"/>
        </w:rPr>
      </w:pPr>
      <w:r w:rsidRPr="00A64B8E">
        <w:rPr>
          <w:rStyle w:val="Appelnotedebasdep"/>
          <w:rFonts w:ascii="Times New Roman" w:hAnsi="Times New Roman" w:cs="Times New Roman"/>
        </w:rPr>
        <w:footnoteRef/>
      </w:r>
      <w:r w:rsidRPr="00A64B8E">
        <w:rPr>
          <w:rFonts w:ascii="Times New Roman" w:hAnsi="Times New Roman" w:cs="Times New Roman"/>
        </w:rPr>
        <w:t xml:space="preserve"> </w:t>
      </w:r>
      <w:r w:rsidR="00FA1CC3">
        <w:rPr>
          <w:rFonts w:ascii="Times New Roman" w:hAnsi="Times New Roman" w:cs="Times New Roman"/>
        </w:rPr>
        <w:t xml:space="preserve">Y. MARIQUE et L. DERARD, </w:t>
      </w:r>
      <w:r w:rsidR="00FA1CC3">
        <w:rPr>
          <w:rFonts w:ascii="Times New Roman" w:hAnsi="Times New Roman" w:cs="Times New Roman"/>
          <w:i/>
          <w:iCs/>
        </w:rPr>
        <w:t>op. cit.</w:t>
      </w:r>
      <w:r w:rsidR="00FA1CC3">
        <w:rPr>
          <w:rFonts w:ascii="Times New Roman" w:hAnsi="Times New Roman" w:cs="Times New Roman"/>
        </w:rPr>
        <w:t>, p. 23 à 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7012A"/>
    <w:multiLevelType w:val="hybridMultilevel"/>
    <w:tmpl w:val="3176CBF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1BE42AB4"/>
    <w:multiLevelType w:val="hybridMultilevel"/>
    <w:tmpl w:val="9AB22C02"/>
    <w:lvl w:ilvl="0" w:tplc="B928A218">
      <w:start w:val="1"/>
      <w:numFmt w:val="decimal"/>
      <w:lvlText w:val="%1."/>
      <w:lvlJc w:val="left"/>
      <w:pPr>
        <w:ind w:left="643" w:hanging="360"/>
      </w:pPr>
      <w:rPr>
        <w:rFonts w:hint="default"/>
        <w:i w:val="0"/>
        <w:iCs w:val="0"/>
        <w:color w:val="auto"/>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EF96B55"/>
    <w:multiLevelType w:val="hybridMultilevel"/>
    <w:tmpl w:val="B554CCE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326914C0"/>
    <w:multiLevelType w:val="hybridMultilevel"/>
    <w:tmpl w:val="4CC46D08"/>
    <w:lvl w:ilvl="0" w:tplc="080C0011">
      <w:start w:val="1"/>
      <w:numFmt w:val="decimal"/>
      <w:lvlText w:val="%1)"/>
      <w:lvlJc w:val="left"/>
      <w:pPr>
        <w:ind w:left="720" w:hanging="360"/>
      </w:pPr>
      <w:rPr>
        <w:rFonts w:ascii="Times New Roman" w:hAnsi="Times New Roman" w:cs="Times New Roman"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43A66BC3"/>
    <w:multiLevelType w:val="hybridMultilevel"/>
    <w:tmpl w:val="5E04158E"/>
    <w:lvl w:ilvl="0" w:tplc="5492D2AA">
      <w:start w:val="1"/>
      <w:numFmt w:val="decimal"/>
      <w:lvlText w:val="%1."/>
      <w:lvlJc w:val="left"/>
      <w:pPr>
        <w:ind w:left="720" w:hanging="360"/>
      </w:pPr>
      <w:rPr>
        <w:rFonts w:ascii="Times New Roman" w:hAnsi="Times New Roman" w:cs="Times New Roman" w:hint="default"/>
        <w:b/>
        <w:bCs/>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4E640C86"/>
    <w:multiLevelType w:val="multilevel"/>
    <w:tmpl w:val="CEA675EE"/>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2AB2B3A"/>
    <w:multiLevelType w:val="hybridMultilevel"/>
    <w:tmpl w:val="EAAC726C"/>
    <w:lvl w:ilvl="0" w:tplc="552E2918">
      <w:start w:val="4"/>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638C46A4"/>
    <w:multiLevelType w:val="hybridMultilevel"/>
    <w:tmpl w:val="0E589068"/>
    <w:lvl w:ilvl="0" w:tplc="18BC43F2">
      <w:start w:val="4"/>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5B4961"/>
    <w:multiLevelType w:val="hybridMultilevel"/>
    <w:tmpl w:val="BDF633F4"/>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478187634">
    <w:abstractNumId w:val="0"/>
  </w:num>
  <w:num w:numId="2" w16cid:durableId="155612822">
    <w:abstractNumId w:val="1"/>
  </w:num>
  <w:num w:numId="3" w16cid:durableId="1351296297">
    <w:abstractNumId w:val="4"/>
  </w:num>
  <w:num w:numId="4" w16cid:durableId="558327418">
    <w:abstractNumId w:val="2"/>
  </w:num>
  <w:num w:numId="5" w16cid:durableId="1422723363">
    <w:abstractNumId w:val="3"/>
  </w:num>
  <w:num w:numId="6" w16cid:durableId="952400402">
    <w:abstractNumId w:val="5"/>
  </w:num>
  <w:num w:numId="7" w16cid:durableId="2059469172">
    <w:abstractNumId w:val="8"/>
  </w:num>
  <w:num w:numId="8" w16cid:durableId="1461415377">
    <w:abstractNumId w:val="6"/>
  </w:num>
  <w:num w:numId="9" w16cid:durableId="9572202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28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DA9"/>
    <w:rsid w:val="0000094A"/>
    <w:rsid w:val="00001251"/>
    <w:rsid w:val="0000131E"/>
    <w:rsid w:val="0000152E"/>
    <w:rsid w:val="00001855"/>
    <w:rsid w:val="00003190"/>
    <w:rsid w:val="00004321"/>
    <w:rsid w:val="00007E72"/>
    <w:rsid w:val="00010A39"/>
    <w:rsid w:val="00011933"/>
    <w:rsid w:val="00012766"/>
    <w:rsid w:val="00012EAD"/>
    <w:rsid w:val="00013175"/>
    <w:rsid w:val="000168E0"/>
    <w:rsid w:val="00016D27"/>
    <w:rsid w:val="00017A73"/>
    <w:rsid w:val="00023279"/>
    <w:rsid w:val="00027E3B"/>
    <w:rsid w:val="00031027"/>
    <w:rsid w:val="0003241B"/>
    <w:rsid w:val="00033B69"/>
    <w:rsid w:val="00033C5A"/>
    <w:rsid w:val="00035A22"/>
    <w:rsid w:val="00036AFC"/>
    <w:rsid w:val="00037000"/>
    <w:rsid w:val="0003722F"/>
    <w:rsid w:val="00041357"/>
    <w:rsid w:val="000429FE"/>
    <w:rsid w:val="00042B5B"/>
    <w:rsid w:val="00043579"/>
    <w:rsid w:val="00045617"/>
    <w:rsid w:val="00045808"/>
    <w:rsid w:val="00046186"/>
    <w:rsid w:val="00050585"/>
    <w:rsid w:val="00050950"/>
    <w:rsid w:val="00051365"/>
    <w:rsid w:val="000515CA"/>
    <w:rsid w:val="00054EE4"/>
    <w:rsid w:val="00055040"/>
    <w:rsid w:val="00057FB4"/>
    <w:rsid w:val="00060AE0"/>
    <w:rsid w:val="000615D4"/>
    <w:rsid w:val="000631C8"/>
    <w:rsid w:val="0006341A"/>
    <w:rsid w:val="0006368E"/>
    <w:rsid w:val="000644F6"/>
    <w:rsid w:val="0006603C"/>
    <w:rsid w:val="000704E2"/>
    <w:rsid w:val="00073687"/>
    <w:rsid w:val="000741A2"/>
    <w:rsid w:val="00075721"/>
    <w:rsid w:val="00076854"/>
    <w:rsid w:val="000769D6"/>
    <w:rsid w:val="00077E63"/>
    <w:rsid w:val="000821FC"/>
    <w:rsid w:val="00082823"/>
    <w:rsid w:val="0008409D"/>
    <w:rsid w:val="00084C12"/>
    <w:rsid w:val="00086F13"/>
    <w:rsid w:val="00092C7E"/>
    <w:rsid w:val="00092C8B"/>
    <w:rsid w:val="000950EA"/>
    <w:rsid w:val="00095D2C"/>
    <w:rsid w:val="00096BE3"/>
    <w:rsid w:val="00096CFE"/>
    <w:rsid w:val="000A091D"/>
    <w:rsid w:val="000A3297"/>
    <w:rsid w:val="000A645B"/>
    <w:rsid w:val="000A71DB"/>
    <w:rsid w:val="000B1BB5"/>
    <w:rsid w:val="000B25A0"/>
    <w:rsid w:val="000B2642"/>
    <w:rsid w:val="000B266B"/>
    <w:rsid w:val="000B3535"/>
    <w:rsid w:val="000B67AC"/>
    <w:rsid w:val="000C0267"/>
    <w:rsid w:val="000C0348"/>
    <w:rsid w:val="000C2AA1"/>
    <w:rsid w:val="000C328E"/>
    <w:rsid w:val="000C34EC"/>
    <w:rsid w:val="000C53EF"/>
    <w:rsid w:val="000C55FC"/>
    <w:rsid w:val="000C6EB7"/>
    <w:rsid w:val="000D2407"/>
    <w:rsid w:val="000D3D13"/>
    <w:rsid w:val="000D4D3B"/>
    <w:rsid w:val="000D4F8E"/>
    <w:rsid w:val="000D6121"/>
    <w:rsid w:val="000D6EB2"/>
    <w:rsid w:val="000E1635"/>
    <w:rsid w:val="000E1B2E"/>
    <w:rsid w:val="000E2ACB"/>
    <w:rsid w:val="000E2CC7"/>
    <w:rsid w:val="000E2E0E"/>
    <w:rsid w:val="000E71D3"/>
    <w:rsid w:val="000E782E"/>
    <w:rsid w:val="000E7AD1"/>
    <w:rsid w:val="000F3004"/>
    <w:rsid w:val="000F7A71"/>
    <w:rsid w:val="0010253A"/>
    <w:rsid w:val="00102AB7"/>
    <w:rsid w:val="00104B27"/>
    <w:rsid w:val="00105382"/>
    <w:rsid w:val="0010632F"/>
    <w:rsid w:val="00106D30"/>
    <w:rsid w:val="00107342"/>
    <w:rsid w:val="00107ADB"/>
    <w:rsid w:val="00112DF7"/>
    <w:rsid w:val="00114CD4"/>
    <w:rsid w:val="00115985"/>
    <w:rsid w:val="00121D9F"/>
    <w:rsid w:val="00122D23"/>
    <w:rsid w:val="00123CD6"/>
    <w:rsid w:val="001247B8"/>
    <w:rsid w:val="00124A89"/>
    <w:rsid w:val="00127BE7"/>
    <w:rsid w:val="00131B6C"/>
    <w:rsid w:val="00132B00"/>
    <w:rsid w:val="00134C73"/>
    <w:rsid w:val="00135750"/>
    <w:rsid w:val="0013793C"/>
    <w:rsid w:val="001406BE"/>
    <w:rsid w:val="001421F6"/>
    <w:rsid w:val="001444CE"/>
    <w:rsid w:val="001450C9"/>
    <w:rsid w:val="00147D79"/>
    <w:rsid w:val="0015033C"/>
    <w:rsid w:val="001512FD"/>
    <w:rsid w:val="001513CC"/>
    <w:rsid w:val="001516FF"/>
    <w:rsid w:val="001517AE"/>
    <w:rsid w:val="00152828"/>
    <w:rsid w:val="00152B96"/>
    <w:rsid w:val="001531A8"/>
    <w:rsid w:val="00153C1C"/>
    <w:rsid w:val="001543D0"/>
    <w:rsid w:val="001551C1"/>
    <w:rsid w:val="00155C1D"/>
    <w:rsid w:val="001601AE"/>
    <w:rsid w:val="001604B7"/>
    <w:rsid w:val="00160EFF"/>
    <w:rsid w:val="00161CB0"/>
    <w:rsid w:val="001621BC"/>
    <w:rsid w:val="00162E47"/>
    <w:rsid w:val="0016329D"/>
    <w:rsid w:val="0016522D"/>
    <w:rsid w:val="0017026B"/>
    <w:rsid w:val="0017132C"/>
    <w:rsid w:val="0017164D"/>
    <w:rsid w:val="001724E5"/>
    <w:rsid w:val="001743CB"/>
    <w:rsid w:val="00174A1A"/>
    <w:rsid w:val="00175BA9"/>
    <w:rsid w:val="0017725A"/>
    <w:rsid w:val="001816A3"/>
    <w:rsid w:val="0018171D"/>
    <w:rsid w:val="00183C42"/>
    <w:rsid w:val="00186322"/>
    <w:rsid w:val="00186448"/>
    <w:rsid w:val="00187D4F"/>
    <w:rsid w:val="00192217"/>
    <w:rsid w:val="0019317B"/>
    <w:rsid w:val="00193474"/>
    <w:rsid w:val="0019367D"/>
    <w:rsid w:val="00193DAE"/>
    <w:rsid w:val="001941E7"/>
    <w:rsid w:val="001957B1"/>
    <w:rsid w:val="00195C4F"/>
    <w:rsid w:val="00196B9E"/>
    <w:rsid w:val="001A102D"/>
    <w:rsid w:val="001A1B96"/>
    <w:rsid w:val="001A471F"/>
    <w:rsid w:val="001A48F7"/>
    <w:rsid w:val="001A732D"/>
    <w:rsid w:val="001B24BD"/>
    <w:rsid w:val="001B3A34"/>
    <w:rsid w:val="001B4733"/>
    <w:rsid w:val="001B5299"/>
    <w:rsid w:val="001B558C"/>
    <w:rsid w:val="001B5728"/>
    <w:rsid w:val="001B5ADF"/>
    <w:rsid w:val="001C0B67"/>
    <w:rsid w:val="001C1FDD"/>
    <w:rsid w:val="001C22A9"/>
    <w:rsid w:val="001C3B83"/>
    <w:rsid w:val="001C512C"/>
    <w:rsid w:val="001C5E62"/>
    <w:rsid w:val="001C7B9A"/>
    <w:rsid w:val="001D001B"/>
    <w:rsid w:val="001D068C"/>
    <w:rsid w:val="001D0B71"/>
    <w:rsid w:val="001D2B17"/>
    <w:rsid w:val="001D3320"/>
    <w:rsid w:val="001D6B67"/>
    <w:rsid w:val="001D7AA5"/>
    <w:rsid w:val="001E33EF"/>
    <w:rsid w:val="001E3B8D"/>
    <w:rsid w:val="001F0233"/>
    <w:rsid w:val="001F04BD"/>
    <w:rsid w:val="001F0991"/>
    <w:rsid w:val="001F61F0"/>
    <w:rsid w:val="00201F8D"/>
    <w:rsid w:val="00202068"/>
    <w:rsid w:val="00202279"/>
    <w:rsid w:val="0020315E"/>
    <w:rsid w:val="00205430"/>
    <w:rsid w:val="00207AA0"/>
    <w:rsid w:val="002128F3"/>
    <w:rsid w:val="00212B70"/>
    <w:rsid w:val="002133B8"/>
    <w:rsid w:val="002150E2"/>
    <w:rsid w:val="002164AC"/>
    <w:rsid w:val="0021689F"/>
    <w:rsid w:val="00216F0E"/>
    <w:rsid w:val="002210CA"/>
    <w:rsid w:val="0022129B"/>
    <w:rsid w:val="00223961"/>
    <w:rsid w:val="00225C30"/>
    <w:rsid w:val="00227BF6"/>
    <w:rsid w:val="002332D9"/>
    <w:rsid w:val="002341FF"/>
    <w:rsid w:val="002357EB"/>
    <w:rsid w:val="00236027"/>
    <w:rsid w:val="00241A59"/>
    <w:rsid w:val="00241D42"/>
    <w:rsid w:val="002420C4"/>
    <w:rsid w:val="0024261C"/>
    <w:rsid w:val="00242EA5"/>
    <w:rsid w:val="00244311"/>
    <w:rsid w:val="00247FB7"/>
    <w:rsid w:val="002517A6"/>
    <w:rsid w:val="00252D81"/>
    <w:rsid w:val="002535C9"/>
    <w:rsid w:val="00253EDA"/>
    <w:rsid w:val="00261A1C"/>
    <w:rsid w:val="00262135"/>
    <w:rsid w:val="00262B85"/>
    <w:rsid w:val="00264DA4"/>
    <w:rsid w:val="0026656D"/>
    <w:rsid w:val="00270C64"/>
    <w:rsid w:val="00271A13"/>
    <w:rsid w:val="00272CDF"/>
    <w:rsid w:val="002753C2"/>
    <w:rsid w:val="002777F8"/>
    <w:rsid w:val="002866B5"/>
    <w:rsid w:val="0028748F"/>
    <w:rsid w:val="00287DF0"/>
    <w:rsid w:val="002934FC"/>
    <w:rsid w:val="0029420F"/>
    <w:rsid w:val="00294233"/>
    <w:rsid w:val="00294F55"/>
    <w:rsid w:val="00294F70"/>
    <w:rsid w:val="002959DB"/>
    <w:rsid w:val="002A01CD"/>
    <w:rsid w:val="002A049C"/>
    <w:rsid w:val="002A2FB5"/>
    <w:rsid w:val="002A36D4"/>
    <w:rsid w:val="002A4459"/>
    <w:rsid w:val="002A5E5A"/>
    <w:rsid w:val="002A66C8"/>
    <w:rsid w:val="002B04E6"/>
    <w:rsid w:val="002B069F"/>
    <w:rsid w:val="002B0D94"/>
    <w:rsid w:val="002B1F3E"/>
    <w:rsid w:val="002B2016"/>
    <w:rsid w:val="002B2C71"/>
    <w:rsid w:val="002B2F82"/>
    <w:rsid w:val="002B403A"/>
    <w:rsid w:val="002B64A6"/>
    <w:rsid w:val="002C06BA"/>
    <w:rsid w:val="002C27C8"/>
    <w:rsid w:val="002C3D30"/>
    <w:rsid w:val="002C6AA4"/>
    <w:rsid w:val="002C70DD"/>
    <w:rsid w:val="002C7BC8"/>
    <w:rsid w:val="002D0A97"/>
    <w:rsid w:val="002D23B3"/>
    <w:rsid w:val="002D6693"/>
    <w:rsid w:val="002D73C2"/>
    <w:rsid w:val="002E19A6"/>
    <w:rsid w:val="002E3910"/>
    <w:rsid w:val="002E39A5"/>
    <w:rsid w:val="002E4657"/>
    <w:rsid w:val="002E5039"/>
    <w:rsid w:val="002F1ABD"/>
    <w:rsid w:val="002F4141"/>
    <w:rsid w:val="002F5E78"/>
    <w:rsid w:val="00301579"/>
    <w:rsid w:val="00310C27"/>
    <w:rsid w:val="00311F5B"/>
    <w:rsid w:val="00313B1C"/>
    <w:rsid w:val="003159E6"/>
    <w:rsid w:val="00316B52"/>
    <w:rsid w:val="00316C84"/>
    <w:rsid w:val="00317838"/>
    <w:rsid w:val="00317D36"/>
    <w:rsid w:val="00320A24"/>
    <w:rsid w:val="00324626"/>
    <w:rsid w:val="00325E5D"/>
    <w:rsid w:val="003279AF"/>
    <w:rsid w:val="00327E9A"/>
    <w:rsid w:val="00330F67"/>
    <w:rsid w:val="00331891"/>
    <w:rsid w:val="00333ABF"/>
    <w:rsid w:val="00334FA8"/>
    <w:rsid w:val="00334FBE"/>
    <w:rsid w:val="0033570A"/>
    <w:rsid w:val="00336984"/>
    <w:rsid w:val="00340098"/>
    <w:rsid w:val="00340D29"/>
    <w:rsid w:val="00341643"/>
    <w:rsid w:val="003422FE"/>
    <w:rsid w:val="00343571"/>
    <w:rsid w:val="003435B8"/>
    <w:rsid w:val="00343D4D"/>
    <w:rsid w:val="0034445F"/>
    <w:rsid w:val="00345A91"/>
    <w:rsid w:val="00345C94"/>
    <w:rsid w:val="00346AD6"/>
    <w:rsid w:val="00351AAE"/>
    <w:rsid w:val="0035279F"/>
    <w:rsid w:val="00353C7C"/>
    <w:rsid w:val="00355B83"/>
    <w:rsid w:val="00360AB3"/>
    <w:rsid w:val="00364D94"/>
    <w:rsid w:val="00364FC2"/>
    <w:rsid w:val="00365870"/>
    <w:rsid w:val="00367F50"/>
    <w:rsid w:val="00371146"/>
    <w:rsid w:val="00372BFE"/>
    <w:rsid w:val="00374783"/>
    <w:rsid w:val="00375958"/>
    <w:rsid w:val="00376B83"/>
    <w:rsid w:val="00376CFF"/>
    <w:rsid w:val="0037754E"/>
    <w:rsid w:val="0038026D"/>
    <w:rsid w:val="00381589"/>
    <w:rsid w:val="00381C32"/>
    <w:rsid w:val="00382F6E"/>
    <w:rsid w:val="0039018C"/>
    <w:rsid w:val="003903F7"/>
    <w:rsid w:val="003917BA"/>
    <w:rsid w:val="00391A6F"/>
    <w:rsid w:val="00394716"/>
    <w:rsid w:val="00396E51"/>
    <w:rsid w:val="003A1285"/>
    <w:rsid w:val="003A152E"/>
    <w:rsid w:val="003A2430"/>
    <w:rsid w:val="003A3458"/>
    <w:rsid w:val="003A34BE"/>
    <w:rsid w:val="003A3BE6"/>
    <w:rsid w:val="003A3DBF"/>
    <w:rsid w:val="003A57C9"/>
    <w:rsid w:val="003A5DD7"/>
    <w:rsid w:val="003B23CF"/>
    <w:rsid w:val="003B739D"/>
    <w:rsid w:val="003C0500"/>
    <w:rsid w:val="003C0A41"/>
    <w:rsid w:val="003C1D73"/>
    <w:rsid w:val="003C2885"/>
    <w:rsid w:val="003C2D16"/>
    <w:rsid w:val="003C2E4D"/>
    <w:rsid w:val="003C4389"/>
    <w:rsid w:val="003C4680"/>
    <w:rsid w:val="003C702E"/>
    <w:rsid w:val="003C7515"/>
    <w:rsid w:val="003C7EAD"/>
    <w:rsid w:val="003D0C0F"/>
    <w:rsid w:val="003D4037"/>
    <w:rsid w:val="003D441F"/>
    <w:rsid w:val="003D69AD"/>
    <w:rsid w:val="003E10E6"/>
    <w:rsid w:val="003E2672"/>
    <w:rsid w:val="003E416F"/>
    <w:rsid w:val="003E4731"/>
    <w:rsid w:val="003E6FDB"/>
    <w:rsid w:val="003E7F44"/>
    <w:rsid w:val="003F2D4E"/>
    <w:rsid w:val="003F3BDF"/>
    <w:rsid w:val="003F4224"/>
    <w:rsid w:val="003F725D"/>
    <w:rsid w:val="00400B0D"/>
    <w:rsid w:val="00402067"/>
    <w:rsid w:val="0040270F"/>
    <w:rsid w:val="0040352E"/>
    <w:rsid w:val="004053C5"/>
    <w:rsid w:val="00407299"/>
    <w:rsid w:val="00407638"/>
    <w:rsid w:val="00412470"/>
    <w:rsid w:val="00413522"/>
    <w:rsid w:val="00413B11"/>
    <w:rsid w:val="0041618F"/>
    <w:rsid w:val="004166F9"/>
    <w:rsid w:val="004209F2"/>
    <w:rsid w:val="00420F8E"/>
    <w:rsid w:val="00423975"/>
    <w:rsid w:val="0042424C"/>
    <w:rsid w:val="004244C6"/>
    <w:rsid w:val="00424CAC"/>
    <w:rsid w:val="004317D6"/>
    <w:rsid w:val="004321ED"/>
    <w:rsid w:val="004327F2"/>
    <w:rsid w:val="004329B1"/>
    <w:rsid w:val="00432BDC"/>
    <w:rsid w:val="004330EA"/>
    <w:rsid w:val="00434B08"/>
    <w:rsid w:val="0044039E"/>
    <w:rsid w:val="00441031"/>
    <w:rsid w:val="00441FEB"/>
    <w:rsid w:val="00442077"/>
    <w:rsid w:val="0044267E"/>
    <w:rsid w:val="00442A62"/>
    <w:rsid w:val="00442CF4"/>
    <w:rsid w:val="00442F8A"/>
    <w:rsid w:val="004430FC"/>
    <w:rsid w:val="00443687"/>
    <w:rsid w:val="00444014"/>
    <w:rsid w:val="0044545C"/>
    <w:rsid w:val="004457D6"/>
    <w:rsid w:val="00451845"/>
    <w:rsid w:val="0045357E"/>
    <w:rsid w:val="00460C7F"/>
    <w:rsid w:val="004625BC"/>
    <w:rsid w:val="004662F8"/>
    <w:rsid w:val="00466CF7"/>
    <w:rsid w:val="00473598"/>
    <w:rsid w:val="00475413"/>
    <w:rsid w:val="004759D8"/>
    <w:rsid w:val="004759EB"/>
    <w:rsid w:val="00476948"/>
    <w:rsid w:val="004772F9"/>
    <w:rsid w:val="004777DD"/>
    <w:rsid w:val="00477855"/>
    <w:rsid w:val="00482A06"/>
    <w:rsid w:val="00483111"/>
    <w:rsid w:val="0048328C"/>
    <w:rsid w:val="00484F65"/>
    <w:rsid w:val="00490248"/>
    <w:rsid w:val="00490FC6"/>
    <w:rsid w:val="00493F65"/>
    <w:rsid w:val="004962D9"/>
    <w:rsid w:val="00497F4A"/>
    <w:rsid w:val="004A15B2"/>
    <w:rsid w:val="004A241A"/>
    <w:rsid w:val="004A4DE1"/>
    <w:rsid w:val="004A6E15"/>
    <w:rsid w:val="004B07A1"/>
    <w:rsid w:val="004B1BB8"/>
    <w:rsid w:val="004B2654"/>
    <w:rsid w:val="004B2778"/>
    <w:rsid w:val="004B2E29"/>
    <w:rsid w:val="004B4300"/>
    <w:rsid w:val="004B66D1"/>
    <w:rsid w:val="004B72EF"/>
    <w:rsid w:val="004C045F"/>
    <w:rsid w:val="004C049F"/>
    <w:rsid w:val="004C5F01"/>
    <w:rsid w:val="004C6B02"/>
    <w:rsid w:val="004C6BB4"/>
    <w:rsid w:val="004D1137"/>
    <w:rsid w:val="004D5A1D"/>
    <w:rsid w:val="004D5A53"/>
    <w:rsid w:val="004D6E53"/>
    <w:rsid w:val="004E0A1B"/>
    <w:rsid w:val="004E0B39"/>
    <w:rsid w:val="004E0B98"/>
    <w:rsid w:val="004E113B"/>
    <w:rsid w:val="004E2C7B"/>
    <w:rsid w:val="004E3853"/>
    <w:rsid w:val="004E445D"/>
    <w:rsid w:val="004E5C1B"/>
    <w:rsid w:val="004E718D"/>
    <w:rsid w:val="004F16B0"/>
    <w:rsid w:val="004F232D"/>
    <w:rsid w:val="004F2602"/>
    <w:rsid w:val="004F2C3A"/>
    <w:rsid w:val="004F7C16"/>
    <w:rsid w:val="005025C6"/>
    <w:rsid w:val="00502B54"/>
    <w:rsid w:val="005047CA"/>
    <w:rsid w:val="005057A8"/>
    <w:rsid w:val="005058F5"/>
    <w:rsid w:val="00505969"/>
    <w:rsid w:val="00511264"/>
    <w:rsid w:val="00513E38"/>
    <w:rsid w:val="00514230"/>
    <w:rsid w:val="00514506"/>
    <w:rsid w:val="005158DB"/>
    <w:rsid w:val="0051766F"/>
    <w:rsid w:val="005207BD"/>
    <w:rsid w:val="00522B06"/>
    <w:rsid w:val="0052312C"/>
    <w:rsid w:val="00525CBA"/>
    <w:rsid w:val="00526416"/>
    <w:rsid w:val="00526C27"/>
    <w:rsid w:val="00530E40"/>
    <w:rsid w:val="00531CD5"/>
    <w:rsid w:val="00534776"/>
    <w:rsid w:val="005350F4"/>
    <w:rsid w:val="0053764B"/>
    <w:rsid w:val="00540C23"/>
    <w:rsid w:val="0054284E"/>
    <w:rsid w:val="00542A4B"/>
    <w:rsid w:val="00542E26"/>
    <w:rsid w:val="00544704"/>
    <w:rsid w:val="0054625D"/>
    <w:rsid w:val="005463D2"/>
    <w:rsid w:val="00550FAA"/>
    <w:rsid w:val="00550FBC"/>
    <w:rsid w:val="00551EBB"/>
    <w:rsid w:val="00557E5A"/>
    <w:rsid w:val="00560D45"/>
    <w:rsid w:val="00561878"/>
    <w:rsid w:val="00564294"/>
    <w:rsid w:val="00564557"/>
    <w:rsid w:val="00564C65"/>
    <w:rsid w:val="005653E8"/>
    <w:rsid w:val="00574141"/>
    <w:rsid w:val="005748CA"/>
    <w:rsid w:val="005757D2"/>
    <w:rsid w:val="00580DA9"/>
    <w:rsid w:val="00581A72"/>
    <w:rsid w:val="005835AA"/>
    <w:rsid w:val="0058635B"/>
    <w:rsid w:val="005901DE"/>
    <w:rsid w:val="00590873"/>
    <w:rsid w:val="00591C9F"/>
    <w:rsid w:val="005927AC"/>
    <w:rsid w:val="0059428A"/>
    <w:rsid w:val="00594F1D"/>
    <w:rsid w:val="00595106"/>
    <w:rsid w:val="0059714C"/>
    <w:rsid w:val="005972E2"/>
    <w:rsid w:val="005A040D"/>
    <w:rsid w:val="005A163F"/>
    <w:rsid w:val="005A4AF4"/>
    <w:rsid w:val="005A6E52"/>
    <w:rsid w:val="005A7A15"/>
    <w:rsid w:val="005B22AE"/>
    <w:rsid w:val="005B4326"/>
    <w:rsid w:val="005B5074"/>
    <w:rsid w:val="005C0405"/>
    <w:rsid w:val="005C248D"/>
    <w:rsid w:val="005C2C86"/>
    <w:rsid w:val="005C4C52"/>
    <w:rsid w:val="005C5BE9"/>
    <w:rsid w:val="005C6E21"/>
    <w:rsid w:val="005D0B5A"/>
    <w:rsid w:val="005D0EB7"/>
    <w:rsid w:val="005D1632"/>
    <w:rsid w:val="005D3FEF"/>
    <w:rsid w:val="005D4A54"/>
    <w:rsid w:val="005D5C4A"/>
    <w:rsid w:val="005D6566"/>
    <w:rsid w:val="005D67CA"/>
    <w:rsid w:val="005D6C61"/>
    <w:rsid w:val="005E0169"/>
    <w:rsid w:val="005E5606"/>
    <w:rsid w:val="005E71D9"/>
    <w:rsid w:val="005F0F73"/>
    <w:rsid w:val="005F253B"/>
    <w:rsid w:val="005F3365"/>
    <w:rsid w:val="005F3CD2"/>
    <w:rsid w:val="005F57B8"/>
    <w:rsid w:val="006032D3"/>
    <w:rsid w:val="00603558"/>
    <w:rsid w:val="00605202"/>
    <w:rsid w:val="0060583D"/>
    <w:rsid w:val="00605A26"/>
    <w:rsid w:val="00605FF0"/>
    <w:rsid w:val="00607C94"/>
    <w:rsid w:val="00614AAD"/>
    <w:rsid w:val="00614B7E"/>
    <w:rsid w:val="00614C08"/>
    <w:rsid w:val="0061710D"/>
    <w:rsid w:val="0061715C"/>
    <w:rsid w:val="0062213A"/>
    <w:rsid w:val="0062392A"/>
    <w:rsid w:val="00625D47"/>
    <w:rsid w:val="006277D2"/>
    <w:rsid w:val="00632DD1"/>
    <w:rsid w:val="006344CD"/>
    <w:rsid w:val="00634CC5"/>
    <w:rsid w:val="00635E85"/>
    <w:rsid w:val="00636457"/>
    <w:rsid w:val="00636615"/>
    <w:rsid w:val="00640784"/>
    <w:rsid w:val="00643214"/>
    <w:rsid w:val="0064445A"/>
    <w:rsid w:val="0064779B"/>
    <w:rsid w:val="0065217B"/>
    <w:rsid w:val="00652562"/>
    <w:rsid w:val="006529ED"/>
    <w:rsid w:val="006534BD"/>
    <w:rsid w:val="006572E1"/>
    <w:rsid w:val="00661724"/>
    <w:rsid w:val="006624E8"/>
    <w:rsid w:val="006651FF"/>
    <w:rsid w:val="00665A47"/>
    <w:rsid w:val="00665B71"/>
    <w:rsid w:val="006740D1"/>
    <w:rsid w:val="006761BE"/>
    <w:rsid w:val="00677D9E"/>
    <w:rsid w:val="0068186D"/>
    <w:rsid w:val="0068197B"/>
    <w:rsid w:val="006843B4"/>
    <w:rsid w:val="00685070"/>
    <w:rsid w:val="00685147"/>
    <w:rsid w:val="0068597E"/>
    <w:rsid w:val="00685ABA"/>
    <w:rsid w:val="006865AD"/>
    <w:rsid w:val="00686673"/>
    <w:rsid w:val="00687C05"/>
    <w:rsid w:val="00690D93"/>
    <w:rsid w:val="00691B3D"/>
    <w:rsid w:val="00693538"/>
    <w:rsid w:val="00695DF8"/>
    <w:rsid w:val="006968AD"/>
    <w:rsid w:val="00697948"/>
    <w:rsid w:val="006A0A1C"/>
    <w:rsid w:val="006A249A"/>
    <w:rsid w:val="006A2D58"/>
    <w:rsid w:val="006A6003"/>
    <w:rsid w:val="006A64EA"/>
    <w:rsid w:val="006A6FD9"/>
    <w:rsid w:val="006A7573"/>
    <w:rsid w:val="006B0DD1"/>
    <w:rsid w:val="006B6229"/>
    <w:rsid w:val="006C0977"/>
    <w:rsid w:val="006C105C"/>
    <w:rsid w:val="006C1C2E"/>
    <w:rsid w:val="006C239A"/>
    <w:rsid w:val="006C3F6F"/>
    <w:rsid w:val="006C4FA1"/>
    <w:rsid w:val="006C6158"/>
    <w:rsid w:val="006D227C"/>
    <w:rsid w:val="006D277F"/>
    <w:rsid w:val="006D3364"/>
    <w:rsid w:val="006D4BBD"/>
    <w:rsid w:val="006D535D"/>
    <w:rsid w:val="006D59F9"/>
    <w:rsid w:val="006D5E4F"/>
    <w:rsid w:val="006D73CE"/>
    <w:rsid w:val="006D7903"/>
    <w:rsid w:val="006E3645"/>
    <w:rsid w:val="006E6238"/>
    <w:rsid w:val="006E7FDD"/>
    <w:rsid w:val="006F0CD1"/>
    <w:rsid w:val="006F285D"/>
    <w:rsid w:val="006F4179"/>
    <w:rsid w:val="006F4375"/>
    <w:rsid w:val="006F607F"/>
    <w:rsid w:val="006F6DE4"/>
    <w:rsid w:val="007007AD"/>
    <w:rsid w:val="00702286"/>
    <w:rsid w:val="00704DAC"/>
    <w:rsid w:val="007065A2"/>
    <w:rsid w:val="00710870"/>
    <w:rsid w:val="00710A7F"/>
    <w:rsid w:val="007119BF"/>
    <w:rsid w:val="00711A0B"/>
    <w:rsid w:val="00711ED9"/>
    <w:rsid w:val="00712463"/>
    <w:rsid w:val="00713BC7"/>
    <w:rsid w:val="00713FA3"/>
    <w:rsid w:val="00715698"/>
    <w:rsid w:val="00715796"/>
    <w:rsid w:val="00716DF5"/>
    <w:rsid w:val="00720303"/>
    <w:rsid w:val="007214F0"/>
    <w:rsid w:val="0072350B"/>
    <w:rsid w:val="00725BDF"/>
    <w:rsid w:val="007350D6"/>
    <w:rsid w:val="007410F0"/>
    <w:rsid w:val="007417E1"/>
    <w:rsid w:val="00742A1D"/>
    <w:rsid w:val="00742E44"/>
    <w:rsid w:val="007430D4"/>
    <w:rsid w:val="00743C22"/>
    <w:rsid w:val="00744EDB"/>
    <w:rsid w:val="00745C8F"/>
    <w:rsid w:val="0075011F"/>
    <w:rsid w:val="00750165"/>
    <w:rsid w:val="0075021E"/>
    <w:rsid w:val="0075308F"/>
    <w:rsid w:val="00754FBC"/>
    <w:rsid w:val="007559A3"/>
    <w:rsid w:val="00760E32"/>
    <w:rsid w:val="00761584"/>
    <w:rsid w:val="0077065C"/>
    <w:rsid w:val="00770914"/>
    <w:rsid w:val="00770998"/>
    <w:rsid w:val="00770BFF"/>
    <w:rsid w:val="00771489"/>
    <w:rsid w:val="007723D8"/>
    <w:rsid w:val="007725CA"/>
    <w:rsid w:val="007731AD"/>
    <w:rsid w:val="00774433"/>
    <w:rsid w:val="007752EA"/>
    <w:rsid w:val="00775419"/>
    <w:rsid w:val="00776260"/>
    <w:rsid w:val="007767D0"/>
    <w:rsid w:val="00776B65"/>
    <w:rsid w:val="00777ABF"/>
    <w:rsid w:val="007803FB"/>
    <w:rsid w:val="0078069F"/>
    <w:rsid w:val="00780E82"/>
    <w:rsid w:val="00783969"/>
    <w:rsid w:val="00784650"/>
    <w:rsid w:val="007847C7"/>
    <w:rsid w:val="007858A9"/>
    <w:rsid w:val="00785B91"/>
    <w:rsid w:val="00786D09"/>
    <w:rsid w:val="007917D6"/>
    <w:rsid w:val="00793166"/>
    <w:rsid w:val="00793CE1"/>
    <w:rsid w:val="0079409A"/>
    <w:rsid w:val="00794F18"/>
    <w:rsid w:val="00797BF8"/>
    <w:rsid w:val="00797D27"/>
    <w:rsid w:val="007A2722"/>
    <w:rsid w:val="007A449A"/>
    <w:rsid w:val="007A5093"/>
    <w:rsid w:val="007A522B"/>
    <w:rsid w:val="007B0289"/>
    <w:rsid w:val="007B2BE9"/>
    <w:rsid w:val="007B32E9"/>
    <w:rsid w:val="007B3635"/>
    <w:rsid w:val="007B496A"/>
    <w:rsid w:val="007B64B0"/>
    <w:rsid w:val="007B69E4"/>
    <w:rsid w:val="007B76B5"/>
    <w:rsid w:val="007C00EE"/>
    <w:rsid w:val="007C03D0"/>
    <w:rsid w:val="007C280D"/>
    <w:rsid w:val="007C2DB4"/>
    <w:rsid w:val="007C368C"/>
    <w:rsid w:val="007C4DA2"/>
    <w:rsid w:val="007D1CCE"/>
    <w:rsid w:val="007D3E06"/>
    <w:rsid w:val="007D4B78"/>
    <w:rsid w:val="007D63E7"/>
    <w:rsid w:val="007D6CBB"/>
    <w:rsid w:val="007E0075"/>
    <w:rsid w:val="007F07F0"/>
    <w:rsid w:val="007F142B"/>
    <w:rsid w:val="008021B3"/>
    <w:rsid w:val="0080311B"/>
    <w:rsid w:val="00803C02"/>
    <w:rsid w:val="00807421"/>
    <w:rsid w:val="0081012D"/>
    <w:rsid w:val="0081249B"/>
    <w:rsid w:val="00813DCC"/>
    <w:rsid w:val="00815616"/>
    <w:rsid w:val="008157E2"/>
    <w:rsid w:val="00816A5B"/>
    <w:rsid w:val="008324BD"/>
    <w:rsid w:val="008328C3"/>
    <w:rsid w:val="00834196"/>
    <w:rsid w:val="008353C3"/>
    <w:rsid w:val="008358A9"/>
    <w:rsid w:val="00835A80"/>
    <w:rsid w:val="008369CC"/>
    <w:rsid w:val="00837774"/>
    <w:rsid w:val="00837E40"/>
    <w:rsid w:val="00843DD9"/>
    <w:rsid w:val="00846AEE"/>
    <w:rsid w:val="00847943"/>
    <w:rsid w:val="008511C5"/>
    <w:rsid w:val="00851551"/>
    <w:rsid w:val="00851798"/>
    <w:rsid w:val="008520FF"/>
    <w:rsid w:val="00852F24"/>
    <w:rsid w:val="008539A2"/>
    <w:rsid w:val="0085406D"/>
    <w:rsid w:val="0085492B"/>
    <w:rsid w:val="00855096"/>
    <w:rsid w:val="00855143"/>
    <w:rsid w:val="00855E70"/>
    <w:rsid w:val="00860ED1"/>
    <w:rsid w:val="008617CF"/>
    <w:rsid w:val="00863A9D"/>
    <w:rsid w:val="00863AE7"/>
    <w:rsid w:val="00863E99"/>
    <w:rsid w:val="00866570"/>
    <w:rsid w:val="00866F62"/>
    <w:rsid w:val="00871FAC"/>
    <w:rsid w:val="008732CD"/>
    <w:rsid w:val="008746FF"/>
    <w:rsid w:val="00880355"/>
    <w:rsid w:val="00880EBE"/>
    <w:rsid w:val="0088186A"/>
    <w:rsid w:val="0088192D"/>
    <w:rsid w:val="00881DA9"/>
    <w:rsid w:val="0088223E"/>
    <w:rsid w:val="00882EE3"/>
    <w:rsid w:val="00884C6E"/>
    <w:rsid w:val="008904B2"/>
    <w:rsid w:val="008937A4"/>
    <w:rsid w:val="008944D1"/>
    <w:rsid w:val="0089768B"/>
    <w:rsid w:val="00897BCE"/>
    <w:rsid w:val="00897EA6"/>
    <w:rsid w:val="008A1CCA"/>
    <w:rsid w:val="008A1D4C"/>
    <w:rsid w:val="008A2004"/>
    <w:rsid w:val="008A217F"/>
    <w:rsid w:val="008A222F"/>
    <w:rsid w:val="008A2B50"/>
    <w:rsid w:val="008A4CE0"/>
    <w:rsid w:val="008A5518"/>
    <w:rsid w:val="008A6133"/>
    <w:rsid w:val="008A729B"/>
    <w:rsid w:val="008A73DF"/>
    <w:rsid w:val="008A757E"/>
    <w:rsid w:val="008B0805"/>
    <w:rsid w:val="008B2DE8"/>
    <w:rsid w:val="008B3391"/>
    <w:rsid w:val="008B40D4"/>
    <w:rsid w:val="008B4A8E"/>
    <w:rsid w:val="008B6B84"/>
    <w:rsid w:val="008C06F3"/>
    <w:rsid w:val="008C0AAF"/>
    <w:rsid w:val="008C165F"/>
    <w:rsid w:val="008C64BD"/>
    <w:rsid w:val="008D1A38"/>
    <w:rsid w:val="008D1D01"/>
    <w:rsid w:val="008D258A"/>
    <w:rsid w:val="008D3E06"/>
    <w:rsid w:val="008D44EA"/>
    <w:rsid w:val="008D4A3E"/>
    <w:rsid w:val="008D51CE"/>
    <w:rsid w:val="008E3F94"/>
    <w:rsid w:val="008E701B"/>
    <w:rsid w:val="008E745F"/>
    <w:rsid w:val="008E7764"/>
    <w:rsid w:val="008F2341"/>
    <w:rsid w:val="008F51DE"/>
    <w:rsid w:val="008F5F51"/>
    <w:rsid w:val="009000D2"/>
    <w:rsid w:val="0091520E"/>
    <w:rsid w:val="00916190"/>
    <w:rsid w:val="00917414"/>
    <w:rsid w:val="00917FE3"/>
    <w:rsid w:val="00921F95"/>
    <w:rsid w:val="00926CB3"/>
    <w:rsid w:val="00930A20"/>
    <w:rsid w:val="00931642"/>
    <w:rsid w:val="00932721"/>
    <w:rsid w:val="00934B89"/>
    <w:rsid w:val="00934D0C"/>
    <w:rsid w:val="0094522B"/>
    <w:rsid w:val="00947883"/>
    <w:rsid w:val="00951B27"/>
    <w:rsid w:val="009542E9"/>
    <w:rsid w:val="0095545F"/>
    <w:rsid w:val="00956291"/>
    <w:rsid w:val="00956B13"/>
    <w:rsid w:val="00956F00"/>
    <w:rsid w:val="00956F47"/>
    <w:rsid w:val="0096167F"/>
    <w:rsid w:val="009618AA"/>
    <w:rsid w:val="009624BB"/>
    <w:rsid w:val="009650F1"/>
    <w:rsid w:val="009671B0"/>
    <w:rsid w:val="00967A35"/>
    <w:rsid w:val="00967B01"/>
    <w:rsid w:val="00967EFC"/>
    <w:rsid w:val="00971473"/>
    <w:rsid w:val="00972C9D"/>
    <w:rsid w:val="0097392D"/>
    <w:rsid w:val="00973EA7"/>
    <w:rsid w:val="00974CE8"/>
    <w:rsid w:val="00975C6D"/>
    <w:rsid w:val="0097633E"/>
    <w:rsid w:val="00976A71"/>
    <w:rsid w:val="00981C2C"/>
    <w:rsid w:val="00983D2E"/>
    <w:rsid w:val="0098565F"/>
    <w:rsid w:val="00987784"/>
    <w:rsid w:val="009922A8"/>
    <w:rsid w:val="00992369"/>
    <w:rsid w:val="009928C2"/>
    <w:rsid w:val="00994268"/>
    <w:rsid w:val="00994484"/>
    <w:rsid w:val="00996751"/>
    <w:rsid w:val="00996D02"/>
    <w:rsid w:val="009A044C"/>
    <w:rsid w:val="009A1F34"/>
    <w:rsid w:val="009A3A3E"/>
    <w:rsid w:val="009A4130"/>
    <w:rsid w:val="009A5359"/>
    <w:rsid w:val="009A650A"/>
    <w:rsid w:val="009B0130"/>
    <w:rsid w:val="009B19A3"/>
    <w:rsid w:val="009B30A3"/>
    <w:rsid w:val="009B5312"/>
    <w:rsid w:val="009B5512"/>
    <w:rsid w:val="009B5A17"/>
    <w:rsid w:val="009B6383"/>
    <w:rsid w:val="009C0960"/>
    <w:rsid w:val="009C43EC"/>
    <w:rsid w:val="009C6A65"/>
    <w:rsid w:val="009C7C8E"/>
    <w:rsid w:val="009D24F0"/>
    <w:rsid w:val="009D2648"/>
    <w:rsid w:val="009D6202"/>
    <w:rsid w:val="009D6C1A"/>
    <w:rsid w:val="009D7E4D"/>
    <w:rsid w:val="009D7F39"/>
    <w:rsid w:val="009E01D2"/>
    <w:rsid w:val="009E0921"/>
    <w:rsid w:val="009E109E"/>
    <w:rsid w:val="009E110A"/>
    <w:rsid w:val="009E22A6"/>
    <w:rsid w:val="009E471C"/>
    <w:rsid w:val="009E477F"/>
    <w:rsid w:val="009E4993"/>
    <w:rsid w:val="009E5794"/>
    <w:rsid w:val="009E63D8"/>
    <w:rsid w:val="009F0462"/>
    <w:rsid w:val="009F0A97"/>
    <w:rsid w:val="009F420E"/>
    <w:rsid w:val="009F7317"/>
    <w:rsid w:val="00A001F3"/>
    <w:rsid w:val="00A00EB0"/>
    <w:rsid w:val="00A01473"/>
    <w:rsid w:val="00A01F67"/>
    <w:rsid w:val="00A0251F"/>
    <w:rsid w:val="00A0300D"/>
    <w:rsid w:val="00A030BC"/>
    <w:rsid w:val="00A031AC"/>
    <w:rsid w:val="00A0437E"/>
    <w:rsid w:val="00A07298"/>
    <w:rsid w:val="00A104D8"/>
    <w:rsid w:val="00A1109D"/>
    <w:rsid w:val="00A1156D"/>
    <w:rsid w:val="00A11E5B"/>
    <w:rsid w:val="00A127EA"/>
    <w:rsid w:val="00A12D66"/>
    <w:rsid w:val="00A13A5A"/>
    <w:rsid w:val="00A15462"/>
    <w:rsid w:val="00A20C4C"/>
    <w:rsid w:val="00A21150"/>
    <w:rsid w:val="00A21BFA"/>
    <w:rsid w:val="00A22AC8"/>
    <w:rsid w:val="00A2384A"/>
    <w:rsid w:val="00A25D7A"/>
    <w:rsid w:val="00A30FFE"/>
    <w:rsid w:val="00A3485A"/>
    <w:rsid w:val="00A35D85"/>
    <w:rsid w:val="00A37751"/>
    <w:rsid w:val="00A4085D"/>
    <w:rsid w:val="00A433BC"/>
    <w:rsid w:val="00A43F12"/>
    <w:rsid w:val="00A443FA"/>
    <w:rsid w:val="00A45480"/>
    <w:rsid w:val="00A466F2"/>
    <w:rsid w:val="00A46D10"/>
    <w:rsid w:val="00A47660"/>
    <w:rsid w:val="00A50E7C"/>
    <w:rsid w:val="00A51BBF"/>
    <w:rsid w:val="00A54C12"/>
    <w:rsid w:val="00A63ED5"/>
    <w:rsid w:val="00A64B8E"/>
    <w:rsid w:val="00A6547C"/>
    <w:rsid w:val="00A67C8A"/>
    <w:rsid w:val="00A718BD"/>
    <w:rsid w:val="00A71E9F"/>
    <w:rsid w:val="00A727B4"/>
    <w:rsid w:val="00A72EEA"/>
    <w:rsid w:val="00A73629"/>
    <w:rsid w:val="00A73A79"/>
    <w:rsid w:val="00A73BC9"/>
    <w:rsid w:val="00A747CC"/>
    <w:rsid w:val="00A74990"/>
    <w:rsid w:val="00A74F84"/>
    <w:rsid w:val="00A82712"/>
    <w:rsid w:val="00A827C5"/>
    <w:rsid w:val="00A85DF9"/>
    <w:rsid w:val="00A87F9A"/>
    <w:rsid w:val="00A904C1"/>
    <w:rsid w:val="00A90646"/>
    <w:rsid w:val="00A911D9"/>
    <w:rsid w:val="00A9219A"/>
    <w:rsid w:val="00A93B81"/>
    <w:rsid w:val="00A93E25"/>
    <w:rsid w:val="00A95E58"/>
    <w:rsid w:val="00AA0FAB"/>
    <w:rsid w:val="00AA1C83"/>
    <w:rsid w:val="00AA42CB"/>
    <w:rsid w:val="00AA58E6"/>
    <w:rsid w:val="00AA6816"/>
    <w:rsid w:val="00AB0726"/>
    <w:rsid w:val="00AB1FFA"/>
    <w:rsid w:val="00AB3438"/>
    <w:rsid w:val="00AB4BA7"/>
    <w:rsid w:val="00AB4CC4"/>
    <w:rsid w:val="00AB6E17"/>
    <w:rsid w:val="00AB7BE8"/>
    <w:rsid w:val="00AC0AA8"/>
    <w:rsid w:val="00AC0CEA"/>
    <w:rsid w:val="00AC1A33"/>
    <w:rsid w:val="00AC2BEC"/>
    <w:rsid w:val="00AC613A"/>
    <w:rsid w:val="00AD12BC"/>
    <w:rsid w:val="00AD1A84"/>
    <w:rsid w:val="00AD2D5C"/>
    <w:rsid w:val="00AD3B5D"/>
    <w:rsid w:val="00AD49F2"/>
    <w:rsid w:val="00AD58C8"/>
    <w:rsid w:val="00AD7649"/>
    <w:rsid w:val="00AD7855"/>
    <w:rsid w:val="00AE0013"/>
    <w:rsid w:val="00AE1BE9"/>
    <w:rsid w:val="00AE282C"/>
    <w:rsid w:val="00AE2978"/>
    <w:rsid w:val="00AE405D"/>
    <w:rsid w:val="00AE45D0"/>
    <w:rsid w:val="00AE799E"/>
    <w:rsid w:val="00AF26F2"/>
    <w:rsid w:val="00AF4844"/>
    <w:rsid w:val="00AF48A5"/>
    <w:rsid w:val="00AF7C89"/>
    <w:rsid w:val="00B0337F"/>
    <w:rsid w:val="00B03512"/>
    <w:rsid w:val="00B036E2"/>
    <w:rsid w:val="00B03A98"/>
    <w:rsid w:val="00B03B01"/>
    <w:rsid w:val="00B044A4"/>
    <w:rsid w:val="00B04BB8"/>
    <w:rsid w:val="00B059F2"/>
    <w:rsid w:val="00B102C3"/>
    <w:rsid w:val="00B10EAF"/>
    <w:rsid w:val="00B11A27"/>
    <w:rsid w:val="00B125DC"/>
    <w:rsid w:val="00B12AB7"/>
    <w:rsid w:val="00B12DF4"/>
    <w:rsid w:val="00B134D4"/>
    <w:rsid w:val="00B13DF0"/>
    <w:rsid w:val="00B14296"/>
    <w:rsid w:val="00B1536A"/>
    <w:rsid w:val="00B17D33"/>
    <w:rsid w:val="00B203BF"/>
    <w:rsid w:val="00B23400"/>
    <w:rsid w:val="00B238CB"/>
    <w:rsid w:val="00B2442F"/>
    <w:rsid w:val="00B244EA"/>
    <w:rsid w:val="00B246E7"/>
    <w:rsid w:val="00B24A2B"/>
    <w:rsid w:val="00B24C35"/>
    <w:rsid w:val="00B25993"/>
    <w:rsid w:val="00B25C21"/>
    <w:rsid w:val="00B25F46"/>
    <w:rsid w:val="00B2716D"/>
    <w:rsid w:val="00B32310"/>
    <w:rsid w:val="00B3454C"/>
    <w:rsid w:val="00B3499E"/>
    <w:rsid w:val="00B34AC9"/>
    <w:rsid w:val="00B34FD9"/>
    <w:rsid w:val="00B35CC7"/>
    <w:rsid w:val="00B504FF"/>
    <w:rsid w:val="00B50932"/>
    <w:rsid w:val="00B5114E"/>
    <w:rsid w:val="00B53623"/>
    <w:rsid w:val="00B5380D"/>
    <w:rsid w:val="00B54091"/>
    <w:rsid w:val="00B55ABB"/>
    <w:rsid w:val="00B60F57"/>
    <w:rsid w:val="00B614E8"/>
    <w:rsid w:val="00B61DF3"/>
    <w:rsid w:val="00B64204"/>
    <w:rsid w:val="00B64E98"/>
    <w:rsid w:val="00B666AF"/>
    <w:rsid w:val="00B67619"/>
    <w:rsid w:val="00B724DC"/>
    <w:rsid w:val="00B728EB"/>
    <w:rsid w:val="00B72989"/>
    <w:rsid w:val="00B72FFE"/>
    <w:rsid w:val="00B74C9B"/>
    <w:rsid w:val="00B80668"/>
    <w:rsid w:val="00B80C6E"/>
    <w:rsid w:val="00B81C2B"/>
    <w:rsid w:val="00B8219F"/>
    <w:rsid w:val="00B846E4"/>
    <w:rsid w:val="00B84731"/>
    <w:rsid w:val="00B85284"/>
    <w:rsid w:val="00B857A6"/>
    <w:rsid w:val="00B90C06"/>
    <w:rsid w:val="00B9236C"/>
    <w:rsid w:val="00B94280"/>
    <w:rsid w:val="00B95704"/>
    <w:rsid w:val="00BA1BDA"/>
    <w:rsid w:val="00BA2C65"/>
    <w:rsid w:val="00BA3829"/>
    <w:rsid w:val="00BA52DD"/>
    <w:rsid w:val="00BB03EE"/>
    <w:rsid w:val="00BB1F56"/>
    <w:rsid w:val="00BB3F75"/>
    <w:rsid w:val="00BB6B32"/>
    <w:rsid w:val="00BC158E"/>
    <w:rsid w:val="00BC2109"/>
    <w:rsid w:val="00BC26FC"/>
    <w:rsid w:val="00BC4D2B"/>
    <w:rsid w:val="00BC548A"/>
    <w:rsid w:val="00BC7157"/>
    <w:rsid w:val="00BD1482"/>
    <w:rsid w:val="00BD1756"/>
    <w:rsid w:val="00BD64BE"/>
    <w:rsid w:val="00BD7DD5"/>
    <w:rsid w:val="00BE3113"/>
    <w:rsid w:val="00BE35F7"/>
    <w:rsid w:val="00BE4CA8"/>
    <w:rsid w:val="00BE51CF"/>
    <w:rsid w:val="00BE5AF9"/>
    <w:rsid w:val="00BF3A3E"/>
    <w:rsid w:val="00BF512A"/>
    <w:rsid w:val="00BF5C2A"/>
    <w:rsid w:val="00C01022"/>
    <w:rsid w:val="00C05472"/>
    <w:rsid w:val="00C10825"/>
    <w:rsid w:val="00C10A76"/>
    <w:rsid w:val="00C1348F"/>
    <w:rsid w:val="00C163DD"/>
    <w:rsid w:val="00C20E48"/>
    <w:rsid w:val="00C2212A"/>
    <w:rsid w:val="00C22E1C"/>
    <w:rsid w:val="00C23170"/>
    <w:rsid w:val="00C2483B"/>
    <w:rsid w:val="00C25CFB"/>
    <w:rsid w:val="00C2775C"/>
    <w:rsid w:val="00C3264E"/>
    <w:rsid w:val="00C340FC"/>
    <w:rsid w:val="00C34801"/>
    <w:rsid w:val="00C405C5"/>
    <w:rsid w:val="00C4126D"/>
    <w:rsid w:val="00C42034"/>
    <w:rsid w:val="00C43D49"/>
    <w:rsid w:val="00C45BE2"/>
    <w:rsid w:val="00C46043"/>
    <w:rsid w:val="00C4607D"/>
    <w:rsid w:val="00C54BFA"/>
    <w:rsid w:val="00C57DBD"/>
    <w:rsid w:val="00C606A8"/>
    <w:rsid w:val="00C60B35"/>
    <w:rsid w:val="00C6194D"/>
    <w:rsid w:val="00C61FCE"/>
    <w:rsid w:val="00C624FB"/>
    <w:rsid w:val="00C64E21"/>
    <w:rsid w:val="00C65916"/>
    <w:rsid w:val="00C66EF2"/>
    <w:rsid w:val="00C701DB"/>
    <w:rsid w:val="00C717B8"/>
    <w:rsid w:val="00C73A2C"/>
    <w:rsid w:val="00C75807"/>
    <w:rsid w:val="00C8066F"/>
    <w:rsid w:val="00C8233D"/>
    <w:rsid w:val="00C827E7"/>
    <w:rsid w:val="00C84BF8"/>
    <w:rsid w:val="00C85427"/>
    <w:rsid w:val="00C860C7"/>
    <w:rsid w:val="00C8702B"/>
    <w:rsid w:val="00C91A8D"/>
    <w:rsid w:val="00C924C4"/>
    <w:rsid w:val="00C93549"/>
    <w:rsid w:val="00C93B66"/>
    <w:rsid w:val="00C93DDE"/>
    <w:rsid w:val="00C95883"/>
    <w:rsid w:val="00C95DA2"/>
    <w:rsid w:val="00C9668B"/>
    <w:rsid w:val="00C96A83"/>
    <w:rsid w:val="00C96F78"/>
    <w:rsid w:val="00C9765C"/>
    <w:rsid w:val="00CA0179"/>
    <w:rsid w:val="00CA2AE2"/>
    <w:rsid w:val="00CA4159"/>
    <w:rsid w:val="00CA4A62"/>
    <w:rsid w:val="00CA752A"/>
    <w:rsid w:val="00CB318B"/>
    <w:rsid w:val="00CB45BA"/>
    <w:rsid w:val="00CB4F0E"/>
    <w:rsid w:val="00CB6F36"/>
    <w:rsid w:val="00CC02A2"/>
    <w:rsid w:val="00CC182F"/>
    <w:rsid w:val="00CC1C0C"/>
    <w:rsid w:val="00CC1E38"/>
    <w:rsid w:val="00CC2318"/>
    <w:rsid w:val="00CC7B23"/>
    <w:rsid w:val="00CD02A8"/>
    <w:rsid w:val="00CD0D7F"/>
    <w:rsid w:val="00CD0F9E"/>
    <w:rsid w:val="00CD3157"/>
    <w:rsid w:val="00CD332C"/>
    <w:rsid w:val="00CD3C02"/>
    <w:rsid w:val="00CD75AD"/>
    <w:rsid w:val="00CE3C8C"/>
    <w:rsid w:val="00CE6FA6"/>
    <w:rsid w:val="00CE7938"/>
    <w:rsid w:val="00CE7A40"/>
    <w:rsid w:val="00CF27F0"/>
    <w:rsid w:val="00CF55F4"/>
    <w:rsid w:val="00D00221"/>
    <w:rsid w:val="00D01E3A"/>
    <w:rsid w:val="00D0242A"/>
    <w:rsid w:val="00D038EF"/>
    <w:rsid w:val="00D03AF6"/>
    <w:rsid w:val="00D040A7"/>
    <w:rsid w:val="00D05FA6"/>
    <w:rsid w:val="00D06CC5"/>
    <w:rsid w:val="00D06D37"/>
    <w:rsid w:val="00D10651"/>
    <w:rsid w:val="00D109E6"/>
    <w:rsid w:val="00D11994"/>
    <w:rsid w:val="00D14D0A"/>
    <w:rsid w:val="00D15C73"/>
    <w:rsid w:val="00D2056B"/>
    <w:rsid w:val="00D233A6"/>
    <w:rsid w:val="00D2409E"/>
    <w:rsid w:val="00D246BF"/>
    <w:rsid w:val="00D268A1"/>
    <w:rsid w:val="00D3123F"/>
    <w:rsid w:val="00D32367"/>
    <w:rsid w:val="00D32BDE"/>
    <w:rsid w:val="00D32F8A"/>
    <w:rsid w:val="00D34DCA"/>
    <w:rsid w:val="00D353AE"/>
    <w:rsid w:val="00D36B36"/>
    <w:rsid w:val="00D373D4"/>
    <w:rsid w:val="00D3746B"/>
    <w:rsid w:val="00D4148F"/>
    <w:rsid w:val="00D420D6"/>
    <w:rsid w:val="00D436C0"/>
    <w:rsid w:val="00D43771"/>
    <w:rsid w:val="00D4656C"/>
    <w:rsid w:val="00D47119"/>
    <w:rsid w:val="00D472B9"/>
    <w:rsid w:val="00D47621"/>
    <w:rsid w:val="00D4788F"/>
    <w:rsid w:val="00D520D8"/>
    <w:rsid w:val="00D52C2F"/>
    <w:rsid w:val="00D535CC"/>
    <w:rsid w:val="00D54563"/>
    <w:rsid w:val="00D549ED"/>
    <w:rsid w:val="00D573CF"/>
    <w:rsid w:val="00D57EF1"/>
    <w:rsid w:val="00D61431"/>
    <w:rsid w:val="00D61F7E"/>
    <w:rsid w:val="00D62923"/>
    <w:rsid w:val="00D63684"/>
    <w:rsid w:val="00D6620F"/>
    <w:rsid w:val="00D66DE9"/>
    <w:rsid w:val="00D73020"/>
    <w:rsid w:val="00D730F2"/>
    <w:rsid w:val="00D73148"/>
    <w:rsid w:val="00D74A80"/>
    <w:rsid w:val="00D7678B"/>
    <w:rsid w:val="00D81B1D"/>
    <w:rsid w:val="00D84911"/>
    <w:rsid w:val="00D84AAD"/>
    <w:rsid w:val="00D853E6"/>
    <w:rsid w:val="00D85EA6"/>
    <w:rsid w:val="00D9035E"/>
    <w:rsid w:val="00D92A1F"/>
    <w:rsid w:val="00D934DC"/>
    <w:rsid w:val="00D941B5"/>
    <w:rsid w:val="00D9468F"/>
    <w:rsid w:val="00D96038"/>
    <w:rsid w:val="00DA0082"/>
    <w:rsid w:val="00DA0104"/>
    <w:rsid w:val="00DA1421"/>
    <w:rsid w:val="00DA27C5"/>
    <w:rsid w:val="00DA299E"/>
    <w:rsid w:val="00DA6271"/>
    <w:rsid w:val="00DA66EA"/>
    <w:rsid w:val="00DA6A1C"/>
    <w:rsid w:val="00DB03EA"/>
    <w:rsid w:val="00DB2104"/>
    <w:rsid w:val="00DB29F5"/>
    <w:rsid w:val="00DB530F"/>
    <w:rsid w:val="00DB6D69"/>
    <w:rsid w:val="00DC03E5"/>
    <w:rsid w:val="00DC0C21"/>
    <w:rsid w:val="00DC0E75"/>
    <w:rsid w:val="00DC22FE"/>
    <w:rsid w:val="00DC2771"/>
    <w:rsid w:val="00DC4251"/>
    <w:rsid w:val="00DC52BA"/>
    <w:rsid w:val="00DC5679"/>
    <w:rsid w:val="00DC58F3"/>
    <w:rsid w:val="00DD0936"/>
    <w:rsid w:val="00DD3E5B"/>
    <w:rsid w:val="00DD5151"/>
    <w:rsid w:val="00DD5691"/>
    <w:rsid w:val="00DD666E"/>
    <w:rsid w:val="00DD69EA"/>
    <w:rsid w:val="00DE0832"/>
    <w:rsid w:val="00DE109E"/>
    <w:rsid w:val="00DE172C"/>
    <w:rsid w:val="00DE2368"/>
    <w:rsid w:val="00DE3366"/>
    <w:rsid w:val="00DE5649"/>
    <w:rsid w:val="00DE7320"/>
    <w:rsid w:val="00DF0D24"/>
    <w:rsid w:val="00DF3224"/>
    <w:rsid w:val="00DF469E"/>
    <w:rsid w:val="00DF5EAF"/>
    <w:rsid w:val="00DF7579"/>
    <w:rsid w:val="00E01B8F"/>
    <w:rsid w:val="00E020C0"/>
    <w:rsid w:val="00E07E2A"/>
    <w:rsid w:val="00E105DE"/>
    <w:rsid w:val="00E129BF"/>
    <w:rsid w:val="00E1439F"/>
    <w:rsid w:val="00E14876"/>
    <w:rsid w:val="00E15CE3"/>
    <w:rsid w:val="00E15D68"/>
    <w:rsid w:val="00E1625F"/>
    <w:rsid w:val="00E171DB"/>
    <w:rsid w:val="00E21869"/>
    <w:rsid w:val="00E23268"/>
    <w:rsid w:val="00E30912"/>
    <w:rsid w:val="00E312BD"/>
    <w:rsid w:val="00E31CAB"/>
    <w:rsid w:val="00E32CD7"/>
    <w:rsid w:val="00E334DF"/>
    <w:rsid w:val="00E33912"/>
    <w:rsid w:val="00E3407C"/>
    <w:rsid w:val="00E34262"/>
    <w:rsid w:val="00E40067"/>
    <w:rsid w:val="00E40CC5"/>
    <w:rsid w:val="00E41405"/>
    <w:rsid w:val="00E42959"/>
    <w:rsid w:val="00E436C1"/>
    <w:rsid w:val="00E4390D"/>
    <w:rsid w:val="00E43AC5"/>
    <w:rsid w:val="00E440A0"/>
    <w:rsid w:val="00E4666A"/>
    <w:rsid w:val="00E470A5"/>
    <w:rsid w:val="00E51612"/>
    <w:rsid w:val="00E545DE"/>
    <w:rsid w:val="00E56AE4"/>
    <w:rsid w:val="00E56B2A"/>
    <w:rsid w:val="00E573D2"/>
    <w:rsid w:val="00E600FA"/>
    <w:rsid w:val="00E62B55"/>
    <w:rsid w:val="00E62F6B"/>
    <w:rsid w:val="00E63902"/>
    <w:rsid w:val="00E640B0"/>
    <w:rsid w:val="00E65076"/>
    <w:rsid w:val="00E6675B"/>
    <w:rsid w:val="00E70ECE"/>
    <w:rsid w:val="00E75599"/>
    <w:rsid w:val="00E755F9"/>
    <w:rsid w:val="00E75E3E"/>
    <w:rsid w:val="00E760F9"/>
    <w:rsid w:val="00E77D1E"/>
    <w:rsid w:val="00E825BF"/>
    <w:rsid w:val="00E834B3"/>
    <w:rsid w:val="00E8443E"/>
    <w:rsid w:val="00E85F5A"/>
    <w:rsid w:val="00E86312"/>
    <w:rsid w:val="00E866B2"/>
    <w:rsid w:val="00E90D79"/>
    <w:rsid w:val="00E91055"/>
    <w:rsid w:val="00E93168"/>
    <w:rsid w:val="00E95AD0"/>
    <w:rsid w:val="00E96A03"/>
    <w:rsid w:val="00EA08ED"/>
    <w:rsid w:val="00EA0D90"/>
    <w:rsid w:val="00EA2178"/>
    <w:rsid w:val="00EA3813"/>
    <w:rsid w:val="00EA3E7F"/>
    <w:rsid w:val="00EA3FF6"/>
    <w:rsid w:val="00EA4493"/>
    <w:rsid w:val="00EA4591"/>
    <w:rsid w:val="00EA494C"/>
    <w:rsid w:val="00EA56F2"/>
    <w:rsid w:val="00EA5D4A"/>
    <w:rsid w:val="00EB14D7"/>
    <w:rsid w:val="00EB1FFE"/>
    <w:rsid w:val="00EB59D1"/>
    <w:rsid w:val="00EB6682"/>
    <w:rsid w:val="00EC0B37"/>
    <w:rsid w:val="00EC74B1"/>
    <w:rsid w:val="00EC78FE"/>
    <w:rsid w:val="00ED7F2A"/>
    <w:rsid w:val="00EE0746"/>
    <w:rsid w:val="00EE1AA3"/>
    <w:rsid w:val="00EE2346"/>
    <w:rsid w:val="00EE284F"/>
    <w:rsid w:val="00EE2EB2"/>
    <w:rsid w:val="00EE3C68"/>
    <w:rsid w:val="00EE484C"/>
    <w:rsid w:val="00EF2007"/>
    <w:rsid w:val="00EF2224"/>
    <w:rsid w:val="00EF7007"/>
    <w:rsid w:val="00EF7305"/>
    <w:rsid w:val="00F003AE"/>
    <w:rsid w:val="00F0386A"/>
    <w:rsid w:val="00F042BB"/>
    <w:rsid w:val="00F0591E"/>
    <w:rsid w:val="00F12D7E"/>
    <w:rsid w:val="00F14594"/>
    <w:rsid w:val="00F14D06"/>
    <w:rsid w:val="00F1596C"/>
    <w:rsid w:val="00F16486"/>
    <w:rsid w:val="00F1712B"/>
    <w:rsid w:val="00F20E33"/>
    <w:rsid w:val="00F24161"/>
    <w:rsid w:val="00F2465A"/>
    <w:rsid w:val="00F2541A"/>
    <w:rsid w:val="00F26137"/>
    <w:rsid w:val="00F32A98"/>
    <w:rsid w:val="00F32C9A"/>
    <w:rsid w:val="00F32EFD"/>
    <w:rsid w:val="00F34B72"/>
    <w:rsid w:val="00F424F0"/>
    <w:rsid w:val="00F455AE"/>
    <w:rsid w:val="00F51807"/>
    <w:rsid w:val="00F51D24"/>
    <w:rsid w:val="00F51F67"/>
    <w:rsid w:val="00F5277A"/>
    <w:rsid w:val="00F52AE5"/>
    <w:rsid w:val="00F5323E"/>
    <w:rsid w:val="00F622F3"/>
    <w:rsid w:val="00F66DA6"/>
    <w:rsid w:val="00F77B9D"/>
    <w:rsid w:val="00F806A5"/>
    <w:rsid w:val="00F81DD0"/>
    <w:rsid w:val="00F82355"/>
    <w:rsid w:val="00F8473A"/>
    <w:rsid w:val="00F8534E"/>
    <w:rsid w:val="00F85D8B"/>
    <w:rsid w:val="00F86E51"/>
    <w:rsid w:val="00F87C20"/>
    <w:rsid w:val="00F90349"/>
    <w:rsid w:val="00F90C5B"/>
    <w:rsid w:val="00F91479"/>
    <w:rsid w:val="00F915C9"/>
    <w:rsid w:val="00F93923"/>
    <w:rsid w:val="00F95698"/>
    <w:rsid w:val="00F95A8E"/>
    <w:rsid w:val="00F96020"/>
    <w:rsid w:val="00FA1CC3"/>
    <w:rsid w:val="00FA2969"/>
    <w:rsid w:val="00FA35E9"/>
    <w:rsid w:val="00FA466B"/>
    <w:rsid w:val="00FA4B75"/>
    <w:rsid w:val="00FA4DC4"/>
    <w:rsid w:val="00FA5074"/>
    <w:rsid w:val="00FA5535"/>
    <w:rsid w:val="00FA72FC"/>
    <w:rsid w:val="00FA730A"/>
    <w:rsid w:val="00FB00F4"/>
    <w:rsid w:val="00FB076A"/>
    <w:rsid w:val="00FB0CF1"/>
    <w:rsid w:val="00FB3539"/>
    <w:rsid w:val="00FB602E"/>
    <w:rsid w:val="00FB60C4"/>
    <w:rsid w:val="00FC0F5E"/>
    <w:rsid w:val="00FC16D4"/>
    <w:rsid w:val="00FC1DDC"/>
    <w:rsid w:val="00FC2518"/>
    <w:rsid w:val="00FC5685"/>
    <w:rsid w:val="00FC7F1D"/>
    <w:rsid w:val="00FD02E9"/>
    <w:rsid w:val="00FD039B"/>
    <w:rsid w:val="00FD0866"/>
    <w:rsid w:val="00FD2B4C"/>
    <w:rsid w:val="00FD36A7"/>
    <w:rsid w:val="00FD4440"/>
    <w:rsid w:val="00FE0F7C"/>
    <w:rsid w:val="00FE6FAA"/>
    <w:rsid w:val="00FF0CC6"/>
    <w:rsid w:val="00FF137D"/>
    <w:rsid w:val="00FF2BB1"/>
    <w:rsid w:val="00FF3962"/>
    <w:rsid w:val="00FF3B50"/>
    <w:rsid w:val="00FF6BDC"/>
    <w:rsid w:val="00FF7E25"/>
    <w:rsid w:val="00FF7ED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ADDC2"/>
  <w15:chartTrackingRefBased/>
  <w15:docId w15:val="{BBDD7A7A-72CE-4846-BA24-A906A4731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81D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81D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881D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81D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81D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81D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81D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81D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81D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1D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81D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881D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81D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81D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81D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81D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81D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81DA9"/>
    <w:rPr>
      <w:rFonts w:eastAsiaTheme="majorEastAsia" w:cstheme="majorBidi"/>
      <w:color w:val="272727" w:themeColor="text1" w:themeTint="D8"/>
    </w:rPr>
  </w:style>
  <w:style w:type="paragraph" w:styleId="Titre">
    <w:name w:val="Title"/>
    <w:basedOn w:val="Normal"/>
    <w:next w:val="Normal"/>
    <w:link w:val="TitreCar"/>
    <w:uiPriority w:val="10"/>
    <w:qFormat/>
    <w:rsid w:val="00881D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81D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81D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81D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81DA9"/>
    <w:pPr>
      <w:spacing w:before="160"/>
      <w:jc w:val="center"/>
    </w:pPr>
    <w:rPr>
      <w:i/>
      <w:iCs/>
      <w:color w:val="404040" w:themeColor="text1" w:themeTint="BF"/>
    </w:rPr>
  </w:style>
  <w:style w:type="character" w:customStyle="1" w:styleId="CitationCar">
    <w:name w:val="Citation Car"/>
    <w:basedOn w:val="Policepardfaut"/>
    <w:link w:val="Citation"/>
    <w:uiPriority w:val="29"/>
    <w:rsid w:val="00881DA9"/>
    <w:rPr>
      <w:i/>
      <w:iCs/>
      <w:color w:val="404040" w:themeColor="text1" w:themeTint="BF"/>
    </w:rPr>
  </w:style>
  <w:style w:type="paragraph" w:styleId="Paragraphedeliste">
    <w:name w:val="List Paragraph"/>
    <w:basedOn w:val="Normal"/>
    <w:uiPriority w:val="34"/>
    <w:qFormat/>
    <w:rsid w:val="00881DA9"/>
    <w:pPr>
      <w:ind w:left="720"/>
      <w:contextualSpacing/>
    </w:pPr>
  </w:style>
  <w:style w:type="character" w:styleId="Accentuationintense">
    <w:name w:val="Intense Emphasis"/>
    <w:basedOn w:val="Policepardfaut"/>
    <w:uiPriority w:val="21"/>
    <w:qFormat/>
    <w:rsid w:val="00881DA9"/>
    <w:rPr>
      <w:i/>
      <w:iCs/>
      <w:color w:val="0F4761" w:themeColor="accent1" w:themeShade="BF"/>
    </w:rPr>
  </w:style>
  <w:style w:type="paragraph" w:styleId="Citationintense">
    <w:name w:val="Intense Quote"/>
    <w:basedOn w:val="Normal"/>
    <w:next w:val="Normal"/>
    <w:link w:val="CitationintenseCar"/>
    <w:uiPriority w:val="30"/>
    <w:qFormat/>
    <w:rsid w:val="00881D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81DA9"/>
    <w:rPr>
      <w:i/>
      <w:iCs/>
      <w:color w:val="0F4761" w:themeColor="accent1" w:themeShade="BF"/>
    </w:rPr>
  </w:style>
  <w:style w:type="character" w:styleId="Rfrenceintense">
    <w:name w:val="Intense Reference"/>
    <w:basedOn w:val="Policepardfaut"/>
    <w:uiPriority w:val="32"/>
    <w:qFormat/>
    <w:rsid w:val="00881DA9"/>
    <w:rPr>
      <w:b/>
      <w:bCs/>
      <w:smallCaps/>
      <w:color w:val="0F4761" w:themeColor="accent1" w:themeShade="BF"/>
      <w:spacing w:val="5"/>
    </w:rPr>
  </w:style>
  <w:style w:type="paragraph" w:styleId="Notedefin">
    <w:name w:val="endnote text"/>
    <w:basedOn w:val="Normal"/>
    <w:link w:val="NotedefinCar"/>
    <w:uiPriority w:val="99"/>
    <w:semiHidden/>
    <w:unhideWhenUsed/>
    <w:rsid w:val="00C42034"/>
    <w:pPr>
      <w:spacing w:after="0" w:line="240" w:lineRule="auto"/>
    </w:pPr>
    <w:rPr>
      <w:sz w:val="20"/>
      <w:szCs w:val="20"/>
    </w:rPr>
  </w:style>
  <w:style w:type="character" w:customStyle="1" w:styleId="NotedefinCar">
    <w:name w:val="Note de fin Car"/>
    <w:basedOn w:val="Policepardfaut"/>
    <w:link w:val="Notedefin"/>
    <w:uiPriority w:val="99"/>
    <w:semiHidden/>
    <w:rsid w:val="00C42034"/>
    <w:rPr>
      <w:sz w:val="20"/>
      <w:szCs w:val="20"/>
    </w:rPr>
  </w:style>
  <w:style w:type="character" w:styleId="Appeldenotedefin">
    <w:name w:val="endnote reference"/>
    <w:basedOn w:val="Policepardfaut"/>
    <w:uiPriority w:val="99"/>
    <w:semiHidden/>
    <w:unhideWhenUsed/>
    <w:rsid w:val="00C42034"/>
    <w:rPr>
      <w:vertAlign w:val="superscript"/>
    </w:rPr>
  </w:style>
  <w:style w:type="paragraph" w:styleId="Notedebasdepage">
    <w:name w:val="footnote text"/>
    <w:basedOn w:val="Normal"/>
    <w:link w:val="NotedebasdepageCar"/>
    <w:uiPriority w:val="99"/>
    <w:semiHidden/>
    <w:unhideWhenUsed/>
    <w:rsid w:val="00C4203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42034"/>
    <w:rPr>
      <w:sz w:val="20"/>
      <w:szCs w:val="20"/>
    </w:rPr>
  </w:style>
  <w:style w:type="character" w:styleId="Appelnotedebasdep">
    <w:name w:val="footnote reference"/>
    <w:basedOn w:val="Policepardfaut"/>
    <w:uiPriority w:val="99"/>
    <w:semiHidden/>
    <w:unhideWhenUsed/>
    <w:rsid w:val="00C42034"/>
    <w:rPr>
      <w:vertAlign w:val="superscript"/>
    </w:rPr>
  </w:style>
  <w:style w:type="character" w:styleId="Lienhypertexte">
    <w:name w:val="Hyperlink"/>
    <w:basedOn w:val="Policepardfaut"/>
    <w:uiPriority w:val="99"/>
    <w:unhideWhenUsed/>
    <w:rsid w:val="00863E99"/>
    <w:rPr>
      <w:color w:val="467886" w:themeColor="hyperlink"/>
      <w:u w:val="single"/>
    </w:rPr>
  </w:style>
  <w:style w:type="character" w:styleId="Mentionnonrsolue">
    <w:name w:val="Unresolved Mention"/>
    <w:basedOn w:val="Policepardfaut"/>
    <w:uiPriority w:val="99"/>
    <w:semiHidden/>
    <w:unhideWhenUsed/>
    <w:rsid w:val="00863E99"/>
    <w:rPr>
      <w:color w:val="605E5C"/>
      <w:shd w:val="clear" w:color="auto" w:fill="E1DFDD"/>
    </w:rPr>
  </w:style>
  <w:style w:type="character" w:styleId="Lienhypertextesuivivisit">
    <w:name w:val="FollowedHyperlink"/>
    <w:basedOn w:val="Policepardfaut"/>
    <w:uiPriority w:val="99"/>
    <w:semiHidden/>
    <w:unhideWhenUsed/>
    <w:rsid w:val="005E5606"/>
    <w:rPr>
      <w:color w:val="96607D" w:themeColor="followedHyperlink"/>
      <w:u w:val="single"/>
    </w:rPr>
  </w:style>
  <w:style w:type="paragraph" w:styleId="Rvision">
    <w:name w:val="Revision"/>
    <w:hidden/>
    <w:uiPriority w:val="99"/>
    <w:semiHidden/>
    <w:rsid w:val="003A34BE"/>
    <w:pPr>
      <w:spacing w:after="0" w:line="240" w:lineRule="auto"/>
    </w:pPr>
  </w:style>
  <w:style w:type="character" w:styleId="Marquedecommentaire">
    <w:name w:val="annotation reference"/>
    <w:basedOn w:val="Policepardfaut"/>
    <w:uiPriority w:val="99"/>
    <w:semiHidden/>
    <w:unhideWhenUsed/>
    <w:rsid w:val="00F1712B"/>
    <w:rPr>
      <w:sz w:val="16"/>
      <w:szCs w:val="16"/>
    </w:rPr>
  </w:style>
  <w:style w:type="paragraph" w:styleId="Commentaire">
    <w:name w:val="annotation text"/>
    <w:basedOn w:val="Normal"/>
    <w:link w:val="CommentaireCar"/>
    <w:uiPriority w:val="99"/>
    <w:unhideWhenUsed/>
    <w:rsid w:val="00F1712B"/>
    <w:pPr>
      <w:spacing w:line="240" w:lineRule="auto"/>
    </w:pPr>
    <w:rPr>
      <w:sz w:val="20"/>
      <w:szCs w:val="20"/>
    </w:rPr>
  </w:style>
  <w:style w:type="character" w:customStyle="1" w:styleId="CommentaireCar">
    <w:name w:val="Commentaire Car"/>
    <w:basedOn w:val="Policepardfaut"/>
    <w:link w:val="Commentaire"/>
    <w:uiPriority w:val="99"/>
    <w:rsid w:val="00F1712B"/>
    <w:rPr>
      <w:sz w:val="20"/>
      <w:szCs w:val="20"/>
    </w:rPr>
  </w:style>
  <w:style w:type="paragraph" w:styleId="Objetducommentaire">
    <w:name w:val="annotation subject"/>
    <w:basedOn w:val="Commentaire"/>
    <w:next w:val="Commentaire"/>
    <w:link w:val="ObjetducommentaireCar"/>
    <w:uiPriority w:val="99"/>
    <w:semiHidden/>
    <w:unhideWhenUsed/>
    <w:rsid w:val="00F1712B"/>
    <w:rPr>
      <w:b/>
      <w:bCs/>
    </w:rPr>
  </w:style>
  <w:style w:type="character" w:customStyle="1" w:styleId="ObjetducommentaireCar">
    <w:name w:val="Objet du commentaire Car"/>
    <w:basedOn w:val="CommentaireCar"/>
    <w:link w:val="Objetducommentaire"/>
    <w:uiPriority w:val="99"/>
    <w:semiHidden/>
    <w:rsid w:val="00F171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227465">
      <w:bodyDiv w:val="1"/>
      <w:marLeft w:val="0"/>
      <w:marRight w:val="0"/>
      <w:marTop w:val="0"/>
      <w:marBottom w:val="0"/>
      <w:divBdr>
        <w:top w:val="none" w:sz="0" w:space="0" w:color="auto"/>
        <w:left w:val="none" w:sz="0" w:space="0" w:color="auto"/>
        <w:bottom w:val="none" w:sz="0" w:space="0" w:color="auto"/>
        <w:right w:val="none" w:sz="0" w:space="0" w:color="auto"/>
      </w:divBdr>
    </w:div>
    <w:div w:id="245963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chairedcp.univ-lyon3.fr/cjue-16-janvier-2025-c-424-23-dyka-plastics-nv-contre-fluvius-system-operator-cv" TargetMode="External"/><Relationship Id="rId2" Type="http://schemas.openxmlformats.org/officeDocument/2006/relationships/hyperlink" Target="http://www.larousse.fr" TargetMode="External"/><Relationship Id="rId1" Type="http://schemas.openxmlformats.org/officeDocument/2006/relationships/hyperlink" Target="https://ec.europa.eu/info/law/better-regulation/have-your-say/initiatives/14427-Public-procurement-directives-evaluation/F3524844_en"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49843-30A9-4835-9C47-0168C1EE4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7117</Words>
  <Characters>39147</Characters>
  <Application>Microsoft Office Word</Application>
  <DocSecurity>0</DocSecurity>
  <Lines>326</Lines>
  <Paragraphs>92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Leana Derard</dc:creator>
  <cp:keywords/>
  <dc:description/>
  <cp:lastModifiedBy>Leana Derard</cp:lastModifiedBy>
  <cp:revision>24</cp:revision>
  <dcterms:created xsi:type="dcterms:W3CDTF">2025-04-04T07:59:00Z</dcterms:created>
  <dcterms:modified xsi:type="dcterms:W3CDTF">2025-04-04T10:46:00Z</dcterms:modified>
</cp:coreProperties>
</file>