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D06DDC" w14:textId="77777777" w:rsidR="00F6206F" w:rsidRPr="00495E7D" w:rsidRDefault="00F6206F" w:rsidP="00D45449">
      <w:pPr>
        <w:jc w:val="both"/>
        <w:rPr>
          <w:rFonts w:ascii="Garamond" w:hAnsi="Garamond"/>
          <w:b/>
          <w:sz w:val="28"/>
          <w:szCs w:val="28"/>
        </w:rPr>
      </w:pPr>
      <w:r w:rsidRPr="00495E7D">
        <w:rPr>
          <w:rFonts w:ascii="Garamond" w:hAnsi="Garamond"/>
          <w:b/>
          <w:sz w:val="28"/>
          <w:szCs w:val="28"/>
        </w:rPr>
        <w:t>Les débordements d’un dispositif participatif institutionnel : comment l’Initiative Citoyenne Européenne impose aux participants de contourner un contrôle maximal des affects</w:t>
      </w:r>
    </w:p>
    <w:p w14:paraId="5B5AB802" w14:textId="77777777" w:rsidR="00AC5DF9" w:rsidRPr="00495E7D" w:rsidRDefault="00AC5DF9" w:rsidP="00D45449">
      <w:pPr>
        <w:jc w:val="both"/>
        <w:rPr>
          <w:rFonts w:ascii="Garamond" w:hAnsi="Garamond"/>
          <w:sz w:val="28"/>
          <w:szCs w:val="28"/>
        </w:rPr>
      </w:pPr>
    </w:p>
    <w:p w14:paraId="01DC8D8D" w14:textId="464A8032" w:rsidR="00F6206F" w:rsidRPr="00495E7D" w:rsidRDefault="008F6B36" w:rsidP="008F6B36">
      <w:pPr>
        <w:pStyle w:val="Paragraphedeliste"/>
        <w:numPr>
          <w:ilvl w:val="0"/>
          <w:numId w:val="1"/>
        </w:numPr>
        <w:jc w:val="both"/>
        <w:rPr>
          <w:rFonts w:ascii="Garamond" w:hAnsi="Garamond"/>
          <w:sz w:val="28"/>
          <w:szCs w:val="28"/>
          <w:u w:val="single"/>
        </w:rPr>
      </w:pPr>
      <w:r w:rsidRPr="00495E7D">
        <w:rPr>
          <w:rFonts w:ascii="Garamond" w:hAnsi="Garamond"/>
          <w:sz w:val="28"/>
          <w:szCs w:val="28"/>
          <w:u w:val="single"/>
        </w:rPr>
        <w:t>Introduction</w:t>
      </w:r>
    </w:p>
    <w:p w14:paraId="29F0F49F" w14:textId="77777777" w:rsidR="008F6B36" w:rsidRPr="00495E7D" w:rsidRDefault="008F6B36" w:rsidP="008F6B36">
      <w:pPr>
        <w:pStyle w:val="Paragraphedeliste"/>
        <w:jc w:val="both"/>
        <w:rPr>
          <w:rFonts w:ascii="Garamond" w:hAnsi="Garamond"/>
          <w:sz w:val="28"/>
          <w:szCs w:val="28"/>
        </w:rPr>
      </w:pPr>
    </w:p>
    <w:p w14:paraId="40EEB06A" w14:textId="77777777" w:rsidR="00B17278" w:rsidRPr="00495E7D" w:rsidRDefault="002D5830" w:rsidP="002D5830">
      <w:pPr>
        <w:jc w:val="both"/>
        <w:rPr>
          <w:rFonts w:ascii="Garamond" w:hAnsi="Garamond"/>
          <w:sz w:val="28"/>
          <w:szCs w:val="28"/>
        </w:rPr>
      </w:pPr>
      <w:r w:rsidRPr="00495E7D">
        <w:rPr>
          <w:rFonts w:ascii="Garamond" w:hAnsi="Garamond"/>
          <w:sz w:val="28"/>
          <w:szCs w:val="28"/>
        </w:rPr>
        <w:t>Cette présentation prend pour objet les pratiques participatives d’acteurs d’initiatives dans le cadre du</w:t>
      </w:r>
      <w:r w:rsidR="00F6206F" w:rsidRPr="00495E7D">
        <w:rPr>
          <w:rFonts w:ascii="Garamond" w:hAnsi="Garamond"/>
          <w:sz w:val="28"/>
          <w:szCs w:val="28"/>
        </w:rPr>
        <w:t xml:space="preserve"> dispositif institutionnel de l’Initiative Citoyenne Européenne (ICE). </w:t>
      </w:r>
    </w:p>
    <w:p w14:paraId="59B731AC" w14:textId="63E226A6" w:rsidR="002D5830" w:rsidRPr="00495E7D" w:rsidRDefault="00662879" w:rsidP="00662879">
      <w:pPr>
        <w:ind w:left="567" w:right="561"/>
        <w:jc w:val="both"/>
        <w:rPr>
          <w:rFonts w:ascii="Garamond" w:hAnsi="Garamond"/>
          <w:sz w:val="28"/>
          <w:szCs w:val="28"/>
        </w:rPr>
      </w:pPr>
      <w:r w:rsidRPr="00495E7D">
        <w:rPr>
          <w:rFonts w:ascii="Garamond" w:hAnsi="Garamond"/>
          <w:i/>
          <w:sz w:val="28"/>
          <w:szCs w:val="28"/>
        </w:rPr>
        <w:t>U</w:t>
      </w:r>
      <w:r w:rsidR="002D5830" w:rsidRPr="00495E7D">
        <w:rPr>
          <w:rStyle w:val="Accentuation"/>
          <w:rFonts w:ascii="Garamond" w:hAnsi="Garamond"/>
          <w:sz w:val="28"/>
          <w:szCs w:val="28"/>
        </w:rPr>
        <w:t>ne initiative citoyenne européenne est une invitation faite à la Commission européenne de présenter une proposition législative dans un domaine dans lequel l'UE est habilitée à légiférer. L'initiative doit être soutenue par au moins un million de citoyens européens issus d'au moins 7 pays sur les 28 que compte l'Union. Un </w:t>
      </w:r>
      <w:hyperlink r:id="rId8" w:history="1">
        <w:r w:rsidR="002D5830" w:rsidRPr="00495E7D">
          <w:rPr>
            <w:rStyle w:val="Accentuation"/>
            <w:rFonts w:ascii="Garamond" w:hAnsi="Garamond"/>
            <w:sz w:val="28"/>
            <w:szCs w:val="28"/>
          </w:rPr>
          <w:t>nombre minimum de signataires</w:t>
        </w:r>
      </w:hyperlink>
      <w:r w:rsidR="002D5830" w:rsidRPr="00495E7D">
        <w:rPr>
          <w:rStyle w:val="Accentuation"/>
          <w:rFonts w:ascii="Garamond" w:hAnsi="Garamond"/>
          <w:sz w:val="28"/>
          <w:szCs w:val="28"/>
        </w:rPr>
        <w:t> est requis dans chacun de ces 7 États membres. Une initiative citoyenne peut porter sur les domaines dans lesquels la Commission est habilitée à présenter une proposition législative, par exemple l'environnement, l'agriculture, les transports ou la santé publique.</w:t>
      </w:r>
    </w:p>
    <w:p w14:paraId="50A33D70" w14:textId="60D2446C" w:rsidR="002D5830" w:rsidRPr="00495E7D" w:rsidRDefault="002D5830" w:rsidP="002D5830">
      <w:pPr>
        <w:jc w:val="both"/>
        <w:rPr>
          <w:rFonts w:ascii="Garamond" w:hAnsi="Garamond"/>
          <w:sz w:val="28"/>
          <w:szCs w:val="28"/>
        </w:rPr>
      </w:pPr>
      <w:r w:rsidRPr="00495E7D">
        <w:rPr>
          <w:rFonts w:ascii="Garamond" w:hAnsi="Garamond"/>
          <w:sz w:val="28"/>
          <w:szCs w:val="28"/>
        </w:rPr>
        <w:t>Cette présentation est élaborée à partir d’une recherche effectuée dans le cadre d’une thèse de doctorat</w:t>
      </w:r>
      <w:r w:rsidR="00496F00" w:rsidRPr="00495E7D">
        <w:rPr>
          <w:rFonts w:ascii="Garamond" w:hAnsi="Garamond"/>
          <w:sz w:val="28"/>
          <w:szCs w:val="28"/>
        </w:rPr>
        <w:t xml:space="preserve"> (Dufrasne, 2016)</w:t>
      </w:r>
      <w:r w:rsidRPr="00495E7D">
        <w:rPr>
          <w:rFonts w:ascii="Garamond" w:hAnsi="Garamond"/>
          <w:sz w:val="28"/>
          <w:szCs w:val="28"/>
        </w:rPr>
        <w:t>. Les résultats proviennent d’observations participantes réalisées durant 2 ans au sein des comités belges de deux initiatives citoyennes européennes</w:t>
      </w:r>
      <w:r w:rsidR="00447A69" w:rsidRPr="00495E7D">
        <w:rPr>
          <w:rFonts w:ascii="Garamond" w:hAnsi="Garamond"/>
          <w:sz w:val="28"/>
          <w:szCs w:val="28"/>
        </w:rPr>
        <w:t xml:space="preserve"> (</w:t>
      </w:r>
      <w:r w:rsidR="00447A69" w:rsidRPr="00495E7D">
        <w:rPr>
          <w:rFonts w:ascii="Garamond" w:hAnsi="Garamond"/>
          <w:i/>
          <w:sz w:val="28"/>
          <w:szCs w:val="28"/>
        </w:rPr>
        <w:t>Stop TTIP</w:t>
      </w:r>
      <w:r w:rsidR="00447A69" w:rsidRPr="00495E7D">
        <w:rPr>
          <w:rFonts w:ascii="Garamond" w:hAnsi="Garamond"/>
          <w:sz w:val="28"/>
          <w:szCs w:val="28"/>
        </w:rPr>
        <w:t xml:space="preserve"> et </w:t>
      </w:r>
      <w:r w:rsidR="00447A69" w:rsidRPr="00495E7D">
        <w:rPr>
          <w:rFonts w:ascii="Garamond" w:hAnsi="Garamond"/>
          <w:i/>
          <w:sz w:val="28"/>
          <w:szCs w:val="28"/>
        </w:rPr>
        <w:t>New Deal 4 Europe</w:t>
      </w:r>
      <w:r w:rsidR="00447A69" w:rsidRPr="00495E7D">
        <w:rPr>
          <w:rFonts w:ascii="Garamond" w:hAnsi="Garamond"/>
          <w:sz w:val="28"/>
          <w:szCs w:val="28"/>
        </w:rPr>
        <w:t>)</w:t>
      </w:r>
      <w:r w:rsidRPr="00495E7D">
        <w:rPr>
          <w:rFonts w:ascii="Garamond" w:hAnsi="Garamond"/>
          <w:sz w:val="28"/>
          <w:szCs w:val="28"/>
        </w:rPr>
        <w:t xml:space="preserve">. L’observation participante s’articule également à des entretiens, des courriels, des listes de diffusion et des observations lors d’événements institutionnels européens. </w:t>
      </w:r>
    </w:p>
    <w:p w14:paraId="452066BC" w14:textId="77777777" w:rsidR="00AC5DF9" w:rsidRPr="00495E7D" w:rsidRDefault="00AC5DF9" w:rsidP="002D5830">
      <w:pPr>
        <w:jc w:val="both"/>
        <w:rPr>
          <w:rFonts w:ascii="Garamond" w:hAnsi="Garamond"/>
          <w:sz w:val="28"/>
          <w:szCs w:val="28"/>
        </w:rPr>
      </w:pPr>
    </w:p>
    <w:p w14:paraId="03CEB89D" w14:textId="57C793AF" w:rsidR="008F6B36" w:rsidRPr="00495E7D" w:rsidRDefault="008F6B36" w:rsidP="008F6B36">
      <w:pPr>
        <w:pStyle w:val="Paragraphedeliste"/>
        <w:numPr>
          <w:ilvl w:val="0"/>
          <w:numId w:val="1"/>
        </w:numPr>
        <w:jc w:val="both"/>
        <w:rPr>
          <w:rFonts w:ascii="Garamond" w:hAnsi="Garamond"/>
          <w:sz w:val="28"/>
          <w:szCs w:val="28"/>
          <w:u w:val="single"/>
        </w:rPr>
      </w:pPr>
      <w:r w:rsidRPr="00495E7D">
        <w:rPr>
          <w:rFonts w:ascii="Garamond" w:hAnsi="Garamond"/>
          <w:sz w:val="28"/>
          <w:szCs w:val="28"/>
          <w:u w:val="single"/>
        </w:rPr>
        <w:t xml:space="preserve">Une approche compréhensive </w:t>
      </w:r>
    </w:p>
    <w:p w14:paraId="2C8D1A15" w14:textId="77777777" w:rsidR="008F6B36" w:rsidRPr="00495E7D" w:rsidRDefault="008F6B36" w:rsidP="008F6B36">
      <w:pPr>
        <w:pStyle w:val="Paragraphedeliste"/>
        <w:jc w:val="both"/>
        <w:rPr>
          <w:rFonts w:ascii="Garamond" w:hAnsi="Garamond"/>
          <w:sz w:val="28"/>
          <w:szCs w:val="28"/>
        </w:rPr>
      </w:pPr>
    </w:p>
    <w:p w14:paraId="04A5EEBE" w14:textId="77777777" w:rsidR="004B1046" w:rsidRPr="00495E7D" w:rsidRDefault="00B17278" w:rsidP="00B17278">
      <w:pPr>
        <w:jc w:val="both"/>
        <w:rPr>
          <w:rFonts w:ascii="Garamond" w:eastAsia="Times New Roman" w:hAnsi="Garamond"/>
          <w:sz w:val="28"/>
          <w:szCs w:val="28"/>
        </w:rPr>
      </w:pPr>
      <w:r w:rsidRPr="00495E7D">
        <w:rPr>
          <w:rFonts w:ascii="Garamond" w:hAnsi="Garamond" w:cs="TimesNewRomanPSMT"/>
          <w:sz w:val="28"/>
          <w:szCs w:val="28"/>
          <w:lang w:bidi="fr-FR"/>
        </w:rPr>
        <w:t xml:space="preserve">Je suis partie du constat que la large majorité des articles scientifiques sur l’ICE surestiment l’impact </w:t>
      </w:r>
      <w:r w:rsidR="00CC2419" w:rsidRPr="00495E7D">
        <w:rPr>
          <w:rFonts w:ascii="Garamond" w:hAnsi="Garamond" w:cs="TimesNewRomanPSMT"/>
          <w:sz w:val="28"/>
          <w:szCs w:val="28"/>
          <w:lang w:bidi="fr-FR"/>
        </w:rPr>
        <w:t xml:space="preserve">démocratique </w:t>
      </w:r>
      <w:r w:rsidRPr="00495E7D">
        <w:rPr>
          <w:rFonts w:ascii="Garamond" w:hAnsi="Garamond" w:cs="TimesNewRomanPSMT"/>
          <w:sz w:val="28"/>
          <w:szCs w:val="28"/>
          <w:lang w:bidi="fr-FR"/>
        </w:rPr>
        <w:t xml:space="preserve">potentiel des initiatives, faisant finalement fort peu mention de la manière assez décevante dont la Commission considère </w:t>
      </w:r>
      <w:r w:rsidR="00255482" w:rsidRPr="00495E7D">
        <w:rPr>
          <w:rFonts w:ascii="Garamond" w:hAnsi="Garamond" w:cs="TimesNewRomanPSMT"/>
          <w:sz w:val="28"/>
          <w:szCs w:val="28"/>
          <w:lang w:bidi="fr-FR"/>
        </w:rPr>
        <w:t>l’ICE en pratique et de la grande</w:t>
      </w:r>
      <w:r w:rsidRPr="00495E7D">
        <w:rPr>
          <w:rFonts w:ascii="Garamond" w:hAnsi="Garamond" w:cs="TimesNewRomanPSMT"/>
          <w:sz w:val="28"/>
          <w:szCs w:val="28"/>
          <w:lang w:bidi="fr-FR"/>
        </w:rPr>
        <w:t xml:space="preserve"> déception des participants qui en découle.</w:t>
      </w:r>
      <w:r w:rsidRPr="00495E7D">
        <w:rPr>
          <w:rFonts w:ascii="Garamond" w:eastAsia="Times New Roman" w:hAnsi="Garamond"/>
          <w:sz w:val="28"/>
          <w:szCs w:val="28"/>
        </w:rPr>
        <w:t xml:space="preserve"> </w:t>
      </w:r>
      <w:r w:rsidRPr="00495E7D">
        <w:rPr>
          <w:rFonts w:ascii="Garamond" w:eastAsia="Bookman Old Style" w:hAnsi="Garamond"/>
          <w:sz w:val="28"/>
          <w:szCs w:val="28"/>
        </w:rPr>
        <w:t xml:space="preserve">Les discours d’acteurs et les descriptions du vécu des acteurs présents dans ma recherche ont tenté de rendre compte des émotions de la participation en mettant en avant la force vitale de l’engagement et en n’oblitérant pas la présence du conflit dans la participation. </w:t>
      </w:r>
      <w:r w:rsidR="00954A89" w:rsidRPr="00495E7D">
        <w:rPr>
          <w:rFonts w:ascii="Garamond" w:eastAsia="Bookman Old Style" w:hAnsi="Garamond"/>
          <w:sz w:val="28"/>
          <w:szCs w:val="28"/>
        </w:rPr>
        <w:t xml:space="preserve">Dans ma thèse, j’analyse tout d’abord les conceptions qu’ont les participants de la participation citoyenne, des politiques européennes par exemple, comme autant de représentations d’arrière-plan en fonction desquelles vont s’articuler les discours et les émotions. </w:t>
      </w:r>
      <w:r w:rsidRPr="00495E7D">
        <w:rPr>
          <w:rFonts w:ascii="Garamond" w:eastAsia="Bookman Old Style" w:hAnsi="Garamond"/>
          <w:sz w:val="28"/>
          <w:szCs w:val="28"/>
        </w:rPr>
        <w:t>L’émotion émerge, si l’on s’en tient au niveau individuel, du décalage pouvant exister entre un état du monde, ou sa projection, et les attentes de l’individu. Les émotions sont en ce sens des révélateurs de valeurs (</w:t>
      </w:r>
      <w:proofErr w:type="spellStart"/>
      <w:r w:rsidRPr="00495E7D">
        <w:rPr>
          <w:rFonts w:ascii="Garamond" w:eastAsia="Bookman Old Style" w:hAnsi="Garamond"/>
          <w:sz w:val="28"/>
          <w:szCs w:val="28"/>
        </w:rPr>
        <w:t>Feildel</w:t>
      </w:r>
      <w:proofErr w:type="spellEnd"/>
      <w:r w:rsidRPr="00495E7D">
        <w:rPr>
          <w:rFonts w:ascii="Garamond" w:eastAsia="Bookman Old Style" w:hAnsi="Garamond"/>
          <w:sz w:val="28"/>
          <w:szCs w:val="28"/>
        </w:rPr>
        <w:t xml:space="preserve">, 2011). </w:t>
      </w:r>
      <w:r w:rsidRPr="00495E7D">
        <w:rPr>
          <w:rFonts w:ascii="Garamond" w:eastAsia="Times New Roman" w:hAnsi="Garamond"/>
          <w:sz w:val="28"/>
          <w:szCs w:val="28"/>
        </w:rPr>
        <w:t xml:space="preserve">L’approche compréhensive postule en effet la possibilité qu’a un chercheur de pénétrer le monde des significations d’un acteur, de son vécu et de son ressenti. </w:t>
      </w:r>
    </w:p>
    <w:p w14:paraId="4C6493A6" w14:textId="77777777" w:rsidR="004B1046" w:rsidRPr="00495E7D" w:rsidRDefault="004B1046" w:rsidP="00B17278">
      <w:pPr>
        <w:jc w:val="both"/>
        <w:rPr>
          <w:rFonts w:ascii="Garamond" w:eastAsia="Times New Roman" w:hAnsi="Garamond"/>
          <w:sz w:val="28"/>
          <w:szCs w:val="28"/>
        </w:rPr>
      </w:pPr>
    </w:p>
    <w:p w14:paraId="6A7B9AFF" w14:textId="77777777" w:rsidR="004B1046" w:rsidRPr="00495E7D" w:rsidRDefault="00B17278" w:rsidP="00B17278">
      <w:pPr>
        <w:jc w:val="both"/>
        <w:rPr>
          <w:rFonts w:ascii="Garamond" w:eastAsia="Times New Roman" w:hAnsi="Garamond"/>
          <w:sz w:val="28"/>
          <w:szCs w:val="28"/>
        </w:rPr>
      </w:pPr>
      <w:r w:rsidRPr="00495E7D">
        <w:rPr>
          <w:rFonts w:ascii="Garamond" w:eastAsia="Times New Roman" w:hAnsi="Garamond"/>
          <w:sz w:val="28"/>
          <w:szCs w:val="28"/>
        </w:rPr>
        <w:lastRenderedPageBreak/>
        <w:t>Cet effort d’enquête réintroduit les repères de la sensibilité, de l’imaginaire et de l’affectivité. Les affects constituent une donnée nécessaire à prendre en compte dans le processus de construction de l’action collective – à travers les discussions notamment. Ne pas les relever revient à se priver de la connaissance des conditions qui, en partie, expliquent les échecs, les revers, mais aussi les réussites de l’action publique.</w:t>
      </w:r>
      <w:r w:rsidRPr="00495E7D">
        <w:rPr>
          <w:rFonts w:ascii="Garamond" w:eastAsia="Bookman Old Style" w:hAnsi="Garamond"/>
          <w:sz w:val="28"/>
          <w:szCs w:val="28"/>
        </w:rPr>
        <w:t xml:space="preserve"> </w:t>
      </w:r>
      <w:r w:rsidRPr="00495E7D">
        <w:rPr>
          <w:rFonts w:ascii="Garamond" w:eastAsia="Times New Roman" w:hAnsi="Garamond"/>
          <w:sz w:val="28"/>
          <w:szCs w:val="28"/>
        </w:rPr>
        <w:t>« La construction de l’action doit tenir compte des émotions qu’elle enclenche, qu’elle suscite, de celles qui lui préexistent, et de la façon dont elle contribue à les structurer, si ce n’est pour tenter de les contrebalancer, au moins parce que l’émotion est susceptible de considérablement modifier l’action, et que sachant ce fait, il serait tout simplement irrationnel de ne pas tenir compte de cette donnée affective » (</w:t>
      </w:r>
      <w:proofErr w:type="spellStart"/>
      <w:r w:rsidRPr="00495E7D">
        <w:rPr>
          <w:rFonts w:ascii="Garamond" w:eastAsia="Times New Roman" w:hAnsi="Garamond"/>
          <w:sz w:val="28"/>
          <w:szCs w:val="28"/>
        </w:rPr>
        <w:t>Feildel</w:t>
      </w:r>
      <w:proofErr w:type="spellEnd"/>
      <w:r w:rsidRPr="00495E7D">
        <w:rPr>
          <w:rFonts w:ascii="Garamond" w:eastAsia="Times New Roman" w:hAnsi="Garamond"/>
          <w:sz w:val="28"/>
          <w:szCs w:val="28"/>
        </w:rPr>
        <w:t xml:space="preserve">, 2011 : 2-3). </w:t>
      </w:r>
    </w:p>
    <w:p w14:paraId="73A3CBE2" w14:textId="77777777" w:rsidR="004B1046" w:rsidRPr="00495E7D" w:rsidRDefault="004B1046" w:rsidP="00B17278">
      <w:pPr>
        <w:jc w:val="both"/>
        <w:rPr>
          <w:rFonts w:ascii="Garamond" w:eastAsia="Times New Roman" w:hAnsi="Garamond"/>
          <w:sz w:val="28"/>
          <w:szCs w:val="28"/>
        </w:rPr>
      </w:pPr>
    </w:p>
    <w:p w14:paraId="6D59787F" w14:textId="1751C049" w:rsidR="00B17278" w:rsidRPr="00495E7D" w:rsidRDefault="00B17278" w:rsidP="00B17278">
      <w:pPr>
        <w:jc w:val="both"/>
        <w:rPr>
          <w:rFonts w:ascii="Garamond" w:eastAsia="Times New Roman" w:hAnsi="Garamond"/>
          <w:sz w:val="28"/>
          <w:szCs w:val="28"/>
        </w:rPr>
      </w:pPr>
      <w:r w:rsidRPr="00495E7D">
        <w:rPr>
          <w:rFonts w:ascii="Garamond" w:hAnsi="Garamond"/>
          <w:sz w:val="28"/>
          <w:szCs w:val="28"/>
        </w:rPr>
        <w:t xml:space="preserve">Le modèle du psychologue </w:t>
      </w:r>
      <w:proofErr w:type="spellStart"/>
      <w:r w:rsidRPr="00495E7D">
        <w:rPr>
          <w:rFonts w:ascii="Garamond" w:hAnsi="Garamond"/>
          <w:sz w:val="28"/>
          <w:szCs w:val="28"/>
        </w:rPr>
        <w:t>Plutchik</w:t>
      </w:r>
      <w:proofErr w:type="spellEnd"/>
      <w:r w:rsidRPr="00495E7D">
        <w:rPr>
          <w:rFonts w:ascii="Garamond" w:hAnsi="Garamond"/>
          <w:sz w:val="28"/>
          <w:szCs w:val="28"/>
        </w:rPr>
        <w:t xml:space="preserve"> (1980) me permet de repérer les multiples émotions</w:t>
      </w:r>
      <w:r w:rsidRPr="00495E7D">
        <w:rPr>
          <w:rStyle w:val="Marquenotebasdepage"/>
          <w:rFonts w:ascii="Garamond" w:hAnsi="Garamond"/>
          <w:sz w:val="28"/>
          <w:szCs w:val="28"/>
        </w:rPr>
        <w:footnoteReference w:id="1"/>
      </w:r>
      <w:r w:rsidR="004B1046" w:rsidRPr="00495E7D">
        <w:rPr>
          <w:rFonts w:ascii="Garamond" w:hAnsi="Garamond"/>
          <w:sz w:val="28"/>
          <w:szCs w:val="28"/>
        </w:rPr>
        <w:t xml:space="preserve"> éprouvées </w:t>
      </w:r>
      <w:r w:rsidRPr="00495E7D">
        <w:rPr>
          <w:rFonts w:ascii="Garamond" w:hAnsi="Garamond"/>
          <w:sz w:val="28"/>
          <w:szCs w:val="28"/>
        </w:rPr>
        <w:t>dans la participa</w:t>
      </w:r>
      <w:r w:rsidR="003A232C" w:rsidRPr="00495E7D">
        <w:rPr>
          <w:rFonts w:ascii="Garamond" w:hAnsi="Garamond"/>
          <w:sz w:val="28"/>
          <w:szCs w:val="28"/>
        </w:rPr>
        <w:t>tion au travers des initiatives. Ces émotions et leurs résultats sont soulignées dans cette présentation.</w:t>
      </w:r>
    </w:p>
    <w:p w14:paraId="614C5003" w14:textId="77777777" w:rsidR="002156FD" w:rsidRPr="00495E7D" w:rsidRDefault="002156FD" w:rsidP="002D5830">
      <w:pPr>
        <w:jc w:val="both"/>
        <w:rPr>
          <w:rFonts w:ascii="Garamond" w:hAnsi="Garamond"/>
          <w:sz w:val="28"/>
          <w:szCs w:val="28"/>
        </w:rPr>
      </w:pPr>
    </w:p>
    <w:p w14:paraId="674ADDFD" w14:textId="1169476E" w:rsidR="00885371" w:rsidRPr="00495E7D" w:rsidRDefault="00885371" w:rsidP="00885371">
      <w:pPr>
        <w:pStyle w:val="Paragraphedeliste"/>
        <w:numPr>
          <w:ilvl w:val="0"/>
          <w:numId w:val="1"/>
        </w:numPr>
        <w:jc w:val="both"/>
        <w:rPr>
          <w:rFonts w:ascii="Garamond" w:hAnsi="Garamond"/>
          <w:sz w:val="28"/>
          <w:szCs w:val="28"/>
          <w:u w:val="single"/>
        </w:rPr>
      </w:pPr>
      <w:r w:rsidRPr="00495E7D">
        <w:rPr>
          <w:rFonts w:ascii="Garamond" w:hAnsi="Garamond"/>
          <w:sz w:val="28"/>
          <w:szCs w:val="28"/>
          <w:u w:val="single"/>
        </w:rPr>
        <w:t>Pas de participation sans passion</w:t>
      </w:r>
    </w:p>
    <w:p w14:paraId="3E331BF6" w14:textId="77777777" w:rsidR="00885371" w:rsidRPr="00495E7D" w:rsidRDefault="00885371" w:rsidP="00885371">
      <w:pPr>
        <w:pStyle w:val="Paragraphedeliste"/>
        <w:jc w:val="both"/>
        <w:rPr>
          <w:rFonts w:ascii="Garamond" w:hAnsi="Garamond"/>
          <w:sz w:val="28"/>
          <w:szCs w:val="28"/>
        </w:rPr>
      </w:pPr>
    </w:p>
    <w:p w14:paraId="784D27C9" w14:textId="15720ACC" w:rsidR="00EE2D32" w:rsidRPr="00495E7D" w:rsidRDefault="002D5830" w:rsidP="002D5830">
      <w:pPr>
        <w:jc w:val="both"/>
        <w:rPr>
          <w:rFonts w:ascii="Garamond" w:eastAsia="Bookman Old Style" w:hAnsi="Garamond"/>
          <w:sz w:val="28"/>
          <w:szCs w:val="28"/>
          <w:lang w:bidi="fr-FR"/>
        </w:rPr>
      </w:pPr>
      <w:r w:rsidRPr="00495E7D">
        <w:rPr>
          <w:rFonts w:ascii="Garamond" w:hAnsi="Garamond"/>
          <w:sz w:val="28"/>
          <w:szCs w:val="28"/>
        </w:rPr>
        <w:t>Le dispositif de l’ICE est extrêmement cadré.</w:t>
      </w:r>
      <w:r w:rsidRPr="00495E7D">
        <w:rPr>
          <w:rFonts w:ascii="Garamond" w:eastAsia="Bookman Old Style" w:hAnsi="Garamond"/>
          <w:sz w:val="28"/>
          <w:szCs w:val="28"/>
        </w:rPr>
        <w:t xml:space="preserve"> </w:t>
      </w:r>
      <w:r w:rsidR="00EE2D32" w:rsidRPr="00495E7D">
        <w:rPr>
          <w:rFonts w:ascii="Garamond" w:eastAsia="Bookman Old Style" w:hAnsi="Garamond"/>
          <w:sz w:val="28"/>
          <w:szCs w:val="28"/>
        </w:rPr>
        <w:t xml:space="preserve">La réglementation de l’ICE prescrit le registre d’interaction dans lequel vont se placer les participants. En effet, la plupart des échanges avec la Commission se déroulent en ligne (enregistrement de la proposition, réception de la réponse, activation du système de récolte de signatures en ligne). Les contraintes juridiques et formelles qui pèsent sur les participants sont très fortes et laissent peu de place à l’expression, certains promoteurs d’initiatives qualifiant même le comportement de la Commission de harcèlement administratif. </w:t>
      </w:r>
      <w:r w:rsidR="00EE2D32" w:rsidRPr="00495E7D">
        <w:rPr>
          <w:rFonts w:ascii="Garamond" w:eastAsia="Bookman Old Style" w:hAnsi="Garamond"/>
          <w:sz w:val="28"/>
          <w:szCs w:val="28"/>
          <w:lang w:bidi="fr-FR"/>
        </w:rPr>
        <w:t>Les promoteurs disent se sentir obligés d’élaborer des propositions raisonnables et de se plier à des pratiques en adéquation avec la manière de fonctionner de la Commission pour pouvoir être considérés.</w:t>
      </w:r>
    </w:p>
    <w:p w14:paraId="1FC91D4E" w14:textId="77777777" w:rsidR="006252CC" w:rsidRPr="00495E7D" w:rsidRDefault="006252CC" w:rsidP="002D5830">
      <w:pPr>
        <w:jc w:val="both"/>
        <w:rPr>
          <w:rFonts w:ascii="Garamond" w:eastAsia="Bookman Old Style" w:hAnsi="Garamond"/>
          <w:sz w:val="28"/>
          <w:szCs w:val="28"/>
          <w:lang w:bidi="fr-FR"/>
        </w:rPr>
      </w:pPr>
    </w:p>
    <w:p w14:paraId="20B5CFD5" w14:textId="79F2F07F" w:rsidR="002D5830" w:rsidRPr="00495E7D" w:rsidRDefault="00EE2D32" w:rsidP="006A3A2C">
      <w:pPr>
        <w:jc w:val="both"/>
        <w:rPr>
          <w:rFonts w:ascii="Garamond" w:eastAsia="Times New Roman" w:hAnsi="Garamond"/>
          <w:sz w:val="28"/>
          <w:szCs w:val="28"/>
        </w:rPr>
      </w:pPr>
      <w:r w:rsidRPr="00495E7D">
        <w:rPr>
          <w:rFonts w:ascii="Garamond" w:eastAsia="Bookman Old Style" w:hAnsi="Garamond"/>
          <w:sz w:val="28"/>
          <w:szCs w:val="28"/>
        </w:rPr>
        <w:t>La norme de rationalité dans le cadre des débats et des discussions pour aboutir à la décision publique est communément tenue pour supérieure (</w:t>
      </w:r>
      <w:proofErr w:type="spellStart"/>
      <w:r w:rsidRPr="00495E7D">
        <w:rPr>
          <w:rFonts w:ascii="Garamond" w:eastAsia="Bookman Old Style" w:hAnsi="Garamond"/>
          <w:sz w:val="28"/>
          <w:szCs w:val="28"/>
        </w:rPr>
        <w:t>Feildel</w:t>
      </w:r>
      <w:proofErr w:type="spellEnd"/>
      <w:r w:rsidRPr="00495E7D">
        <w:rPr>
          <w:rFonts w:ascii="Garamond" w:eastAsia="Bookman Old Style" w:hAnsi="Garamond"/>
          <w:sz w:val="28"/>
          <w:szCs w:val="28"/>
        </w:rPr>
        <w:t>, 2011).</w:t>
      </w:r>
      <w:r w:rsidR="002D5830" w:rsidRPr="00495E7D">
        <w:rPr>
          <w:rFonts w:ascii="Garamond" w:eastAsia="Bookman Old Style" w:hAnsi="Garamond"/>
          <w:sz w:val="28"/>
          <w:szCs w:val="28"/>
        </w:rPr>
        <w:t xml:space="preserve"> Cette supériorité de la norme de rationalité conduit la plupart du temps à disqualifier tout autre registre mobilisé pour justifier des positions dans le débat, surtout dans le cadre des institutions européennes. L’attachement des acteurs à certaines valeurs ou l’émotion qu’ils ressentent dans le cadre de leurs actions ne sauraient « trouver à s’exprimer dans ces formes institutionnalisées censées permettre d’atteindre l’idéal d’un agir communicationnel par la formation rationnelle de la volonté » (</w:t>
      </w:r>
      <w:proofErr w:type="spellStart"/>
      <w:r w:rsidR="002D5830" w:rsidRPr="00495E7D">
        <w:rPr>
          <w:rFonts w:ascii="Garamond" w:eastAsia="Bookman Old Style" w:hAnsi="Garamond"/>
          <w:sz w:val="28"/>
          <w:szCs w:val="28"/>
        </w:rPr>
        <w:t>Feildel</w:t>
      </w:r>
      <w:proofErr w:type="spellEnd"/>
      <w:r w:rsidR="002D5830" w:rsidRPr="00495E7D">
        <w:rPr>
          <w:rFonts w:ascii="Garamond" w:eastAsia="Bookman Old Style" w:hAnsi="Garamond"/>
          <w:sz w:val="28"/>
          <w:szCs w:val="28"/>
        </w:rPr>
        <w:t>, 2011 : 1).</w:t>
      </w:r>
      <w:r w:rsidR="002D5830" w:rsidRPr="00495E7D">
        <w:rPr>
          <w:rFonts w:ascii="Garamond" w:eastAsia="Times New Roman" w:hAnsi="Garamond"/>
          <w:sz w:val="28"/>
          <w:szCs w:val="28"/>
        </w:rPr>
        <w:t xml:space="preserve"> </w:t>
      </w:r>
      <w:r w:rsidR="002D5830" w:rsidRPr="00495E7D">
        <w:rPr>
          <w:rFonts w:ascii="Garamond" w:eastAsia="Bookman Old Style" w:hAnsi="Garamond"/>
          <w:sz w:val="28"/>
          <w:szCs w:val="28"/>
        </w:rPr>
        <w:t xml:space="preserve">Il ne faut effectivement pas négliger « l’importance des contraintes pesant sur les arènes de la démocratie participative qui exigent, non seulement un contrôle minimal des affects, mais encore la maîtrise d’expertises relatives aux enjeux soumis aux débats, aux techniques de la communication, aux obligations juridiques, et de </w:t>
      </w:r>
      <w:r w:rsidR="002D5830" w:rsidRPr="00495E7D">
        <w:rPr>
          <w:rFonts w:ascii="Garamond" w:eastAsia="Bookman Old Style" w:hAnsi="Garamond"/>
          <w:sz w:val="28"/>
          <w:szCs w:val="28"/>
        </w:rPr>
        <w:lastRenderedPageBreak/>
        <w:t>manière croissante à une ingénierie participative dédiée au bon déroulement de la participation</w:t>
      </w:r>
      <w:r w:rsidR="002D5830" w:rsidRPr="00495E7D">
        <w:rPr>
          <w:rFonts w:ascii="Garamond" w:eastAsia="Bookman Old Style" w:hAnsi="Garamond"/>
          <w:i/>
          <w:sz w:val="28"/>
          <w:szCs w:val="28"/>
        </w:rPr>
        <w:t> </w:t>
      </w:r>
      <w:r w:rsidR="002D5830" w:rsidRPr="00495E7D">
        <w:rPr>
          <w:rFonts w:ascii="Garamond" w:eastAsia="Bookman Old Style" w:hAnsi="Garamond"/>
          <w:sz w:val="28"/>
          <w:szCs w:val="28"/>
        </w:rPr>
        <w:t>» (Démocratie &amp; Participation, 2015).</w:t>
      </w:r>
      <w:r w:rsidR="002D5830" w:rsidRPr="00495E7D">
        <w:rPr>
          <w:rFonts w:ascii="Garamond" w:eastAsia="Times New Roman" w:hAnsi="Garamond"/>
          <w:sz w:val="28"/>
          <w:szCs w:val="28"/>
        </w:rPr>
        <w:t xml:space="preserve"> </w:t>
      </w:r>
    </w:p>
    <w:p w14:paraId="74FDED00" w14:textId="77777777" w:rsidR="00660DB7" w:rsidRPr="00495E7D" w:rsidRDefault="00660DB7" w:rsidP="006A3A2C">
      <w:pPr>
        <w:jc w:val="both"/>
        <w:rPr>
          <w:rFonts w:ascii="Garamond" w:eastAsia="Times New Roman" w:hAnsi="Garamond"/>
          <w:sz w:val="28"/>
          <w:szCs w:val="28"/>
        </w:rPr>
      </w:pPr>
    </w:p>
    <w:p w14:paraId="575A8425" w14:textId="77777777" w:rsidR="00066E22" w:rsidRPr="00495E7D" w:rsidRDefault="002D5830" w:rsidP="006A3A2C">
      <w:pPr>
        <w:widowControl w:val="0"/>
        <w:autoSpaceDE w:val="0"/>
        <w:autoSpaceDN w:val="0"/>
        <w:adjustRightInd w:val="0"/>
        <w:jc w:val="both"/>
        <w:rPr>
          <w:rFonts w:ascii="Garamond" w:eastAsia="Times New Roman" w:hAnsi="Garamond"/>
          <w:sz w:val="28"/>
          <w:szCs w:val="28"/>
        </w:rPr>
      </w:pPr>
      <w:r w:rsidRPr="00495E7D">
        <w:rPr>
          <w:rFonts w:ascii="Garamond" w:eastAsia="Bookman Old Style" w:hAnsi="Garamond"/>
          <w:sz w:val="28"/>
          <w:szCs w:val="28"/>
        </w:rPr>
        <w:t>L’audition auprès du Parlement européen constitue le principal moment d’expression</w:t>
      </w:r>
      <w:r w:rsidR="00660DB7" w:rsidRPr="00495E7D">
        <w:rPr>
          <w:rFonts w:ascii="Garamond" w:eastAsia="Bookman Old Style" w:hAnsi="Garamond"/>
          <w:sz w:val="28"/>
          <w:szCs w:val="28"/>
        </w:rPr>
        <w:t xml:space="preserve"> « officiel » prévu par le dispositif</w:t>
      </w:r>
      <w:r w:rsidRPr="00495E7D">
        <w:rPr>
          <w:rFonts w:ascii="Garamond" w:eastAsia="Bookman Old Style" w:hAnsi="Garamond"/>
          <w:sz w:val="28"/>
          <w:szCs w:val="28"/>
        </w:rPr>
        <w:t>. Or, celui-ci requiert, comme de nombreuses situations dans les arènes institutionnelles européennes, d’utiliser la grammaire qui convient, qui n’accepte aucunement le registre de l’émotion puisque l’enjeu principal est de faire la démonstration de son expertise relative à la proposition en un temps réduit et en respectant scrupuleusement les modalités imposées.</w:t>
      </w:r>
      <w:r w:rsidR="00496C75" w:rsidRPr="00495E7D">
        <w:rPr>
          <w:rFonts w:ascii="Garamond" w:eastAsia="Times New Roman" w:hAnsi="Garamond"/>
          <w:sz w:val="28"/>
          <w:szCs w:val="28"/>
        </w:rPr>
        <w:t xml:space="preserve"> La rigidité des institutions se manifeste également par l’imposition de cadres rigides lors des rencontres avec les participants. Les intervenants sont choisis pour leur capacité à se plier aux règles d’une audition publique, les temps de parole sont stricts et le contenu déterminé à l’avance avec l’accord des institutions organisatrices. </w:t>
      </w:r>
    </w:p>
    <w:p w14:paraId="7BA500B0" w14:textId="77777777" w:rsidR="00C44F4C" w:rsidRPr="00495E7D" w:rsidRDefault="00C44F4C" w:rsidP="006A3A2C">
      <w:pPr>
        <w:widowControl w:val="0"/>
        <w:autoSpaceDE w:val="0"/>
        <w:autoSpaceDN w:val="0"/>
        <w:adjustRightInd w:val="0"/>
        <w:jc w:val="both"/>
        <w:rPr>
          <w:rFonts w:ascii="Garamond" w:eastAsia="Times New Roman" w:hAnsi="Garamond"/>
          <w:sz w:val="28"/>
          <w:szCs w:val="28"/>
        </w:rPr>
      </w:pPr>
    </w:p>
    <w:p w14:paraId="4047577D" w14:textId="133DB2E4" w:rsidR="00AC1500" w:rsidRPr="00495E7D" w:rsidRDefault="00066E22" w:rsidP="006A3A2C">
      <w:pPr>
        <w:widowControl w:val="0"/>
        <w:autoSpaceDE w:val="0"/>
        <w:autoSpaceDN w:val="0"/>
        <w:adjustRightInd w:val="0"/>
        <w:jc w:val="both"/>
        <w:rPr>
          <w:rFonts w:ascii="Garamond" w:eastAsia="Bookman Old Style" w:hAnsi="Garamond"/>
          <w:sz w:val="28"/>
          <w:szCs w:val="28"/>
        </w:rPr>
      </w:pPr>
      <w:r w:rsidRPr="00495E7D">
        <w:rPr>
          <w:rFonts w:ascii="Garamond" w:eastAsia="Times New Roman" w:hAnsi="Garamond"/>
          <w:sz w:val="28"/>
          <w:szCs w:val="28"/>
        </w:rPr>
        <w:t>Par contre,</w:t>
      </w:r>
      <w:r w:rsidR="00496C75" w:rsidRPr="00495E7D">
        <w:rPr>
          <w:rFonts w:ascii="Garamond" w:eastAsia="Times New Roman" w:hAnsi="Garamond"/>
          <w:sz w:val="28"/>
          <w:szCs w:val="28"/>
        </w:rPr>
        <w:t xml:space="preserve"> le cadre rigide de l’ICE va révéler la capacité des acteurs à entrer dans différentes situations en respectant les codes de l’institution, à passer du débat à la communication, à gérer le fond des dossiers, à comprendre la procédure et à diversifier leurs actions. Les acteurs des initiatives ont la capacité de se présenter sous différentes formes, de jongler avec des identités plurielles et de se projeter sur différentes arènes.</w:t>
      </w:r>
      <w:r w:rsidR="00AC1500" w:rsidRPr="00495E7D">
        <w:rPr>
          <w:rFonts w:ascii="Garamond" w:eastAsia="Bookman Old Style" w:hAnsi="Garamond"/>
          <w:sz w:val="28"/>
          <w:szCs w:val="28"/>
          <w:lang w:bidi="fr-FR"/>
        </w:rPr>
        <w:t xml:space="preserve"> </w:t>
      </w:r>
      <w:r w:rsidR="00B624C9" w:rsidRPr="00495E7D">
        <w:rPr>
          <w:rFonts w:ascii="Garamond" w:eastAsia="Bookman Old Style" w:hAnsi="Garamond"/>
          <w:sz w:val="28"/>
          <w:szCs w:val="28"/>
          <w:lang w:bidi="fr-FR"/>
        </w:rPr>
        <w:t xml:space="preserve">Autre arène, autre réalité. </w:t>
      </w:r>
      <w:r w:rsidR="00AC1500" w:rsidRPr="00495E7D">
        <w:rPr>
          <w:rFonts w:ascii="Garamond" w:eastAsia="Bookman Old Style" w:hAnsi="Garamond"/>
          <w:sz w:val="28"/>
          <w:szCs w:val="28"/>
          <w:lang w:bidi="fr-FR"/>
        </w:rPr>
        <w:t>Au sein des comités, l’expression des</w:t>
      </w:r>
      <w:r w:rsidR="00B624C9" w:rsidRPr="00495E7D">
        <w:rPr>
          <w:rFonts w:ascii="Garamond" w:eastAsia="Bookman Old Style" w:hAnsi="Garamond"/>
          <w:sz w:val="28"/>
          <w:szCs w:val="28"/>
          <w:lang w:bidi="fr-FR"/>
        </w:rPr>
        <w:t xml:space="preserve"> états affectifs est</w:t>
      </w:r>
      <w:r w:rsidR="00AC1500" w:rsidRPr="00495E7D">
        <w:rPr>
          <w:rFonts w:ascii="Garamond" w:eastAsia="Bookman Old Style" w:hAnsi="Garamond"/>
          <w:sz w:val="28"/>
          <w:szCs w:val="28"/>
          <w:lang w:bidi="fr-FR"/>
        </w:rPr>
        <w:t xml:space="preserve"> relativement c</w:t>
      </w:r>
      <w:r w:rsidR="00B624C9" w:rsidRPr="00495E7D">
        <w:rPr>
          <w:rFonts w:ascii="Garamond" w:eastAsia="Bookman Old Style" w:hAnsi="Garamond"/>
          <w:sz w:val="28"/>
          <w:szCs w:val="28"/>
          <w:lang w:bidi="fr-FR"/>
        </w:rPr>
        <w:t>ourante en réunion au moment d’évoquer les motifs d’action, les échanges d’idées, l’</w:t>
      </w:r>
      <w:r w:rsidR="00AC1500" w:rsidRPr="00495E7D">
        <w:rPr>
          <w:rFonts w:ascii="Garamond" w:eastAsia="Bookman Old Style" w:hAnsi="Garamond"/>
          <w:sz w:val="28"/>
          <w:szCs w:val="28"/>
          <w:lang w:bidi="fr-FR"/>
        </w:rPr>
        <w:t>évaluation des prati</w:t>
      </w:r>
      <w:r w:rsidR="00B624C9" w:rsidRPr="00495E7D">
        <w:rPr>
          <w:rFonts w:ascii="Garamond" w:eastAsia="Bookman Old Style" w:hAnsi="Garamond"/>
          <w:sz w:val="28"/>
          <w:szCs w:val="28"/>
          <w:lang w:bidi="fr-FR"/>
        </w:rPr>
        <w:t>ques et des événements vécus, le</w:t>
      </w:r>
      <w:r w:rsidR="00AC1500" w:rsidRPr="00495E7D">
        <w:rPr>
          <w:rFonts w:ascii="Garamond" w:eastAsia="Bookman Old Style" w:hAnsi="Garamond"/>
          <w:sz w:val="28"/>
          <w:szCs w:val="28"/>
          <w:lang w:bidi="fr-FR"/>
        </w:rPr>
        <w:t xml:space="preserve"> ressenti personnel vis-à-vis de l’échec ou de reconstruction des bénéfices personnels retirés. </w:t>
      </w:r>
      <w:r w:rsidR="00B17278" w:rsidRPr="00495E7D">
        <w:rPr>
          <w:rFonts w:ascii="Garamond" w:eastAsia="Bookman Old Style" w:hAnsi="Garamond"/>
          <w:sz w:val="28"/>
          <w:szCs w:val="28"/>
        </w:rPr>
        <w:t xml:space="preserve"> </w:t>
      </w:r>
    </w:p>
    <w:p w14:paraId="6505147B" w14:textId="77777777" w:rsidR="00B624C9" w:rsidRPr="00495E7D" w:rsidRDefault="00B624C9" w:rsidP="006A3A2C">
      <w:pPr>
        <w:widowControl w:val="0"/>
        <w:autoSpaceDE w:val="0"/>
        <w:autoSpaceDN w:val="0"/>
        <w:adjustRightInd w:val="0"/>
        <w:jc w:val="both"/>
        <w:rPr>
          <w:rFonts w:ascii="Garamond" w:eastAsia="Bookman Old Style" w:hAnsi="Garamond"/>
          <w:sz w:val="28"/>
          <w:szCs w:val="28"/>
        </w:rPr>
      </w:pPr>
    </w:p>
    <w:p w14:paraId="6AF9C07C" w14:textId="6245C2F4" w:rsidR="006A3A2C" w:rsidRPr="00495E7D" w:rsidRDefault="006A3A2C" w:rsidP="006A3A2C">
      <w:pPr>
        <w:widowControl w:val="0"/>
        <w:autoSpaceDE w:val="0"/>
        <w:autoSpaceDN w:val="0"/>
        <w:adjustRightInd w:val="0"/>
        <w:jc w:val="both"/>
        <w:rPr>
          <w:rFonts w:ascii="Garamond" w:hAnsi="Garamond"/>
          <w:sz w:val="28"/>
          <w:szCs w:val="28"/>
          <w:lang w:eastAsia="ja-JP"/>
        </w:rPr>
      </w:pPr>
      <w:r w:rsidRPr="00495E7D">
        <w:rPr>
          <w:rFonts w:ascii="Garamond" w:hAnsi="Garamond"/>
          <w:sz w:val="28"/>
          <w:szCs w:val="28"/>
        </w:rPr>
        <w:t xml:space="preserve">Les promoteurs d’initiatives se sont rapidement rendus compte que le dispositif, tel qu’il est conçu par les institutions, ne permet, à leur grand regret, qu’une participation sans débat, que ce soit entre les acteurs ou entre les institutions et les acteurs. Mais la participation massive d’acteurs politisés, membres d’associations militantes et de mouvements sociaux (souvent de gauche), témoigne d’attentes importantes en termes de discussions politiques de fond et de débats d’idées. </w:t>
      </w:r>
      <w:r w:rsidR="00AC1500" w:rsidRPr="00495E7D">
        <w:rPr>
          <w:rFonts w:ascii="Garamond" w:hAnsi="Garamond"/>
          <w:sz w:val="28"/>
          <w:szCs w:val="28"/>
        </w:rPr>
        <w:t>D’autres finalités émer</w:t>
      </w:r>
      <w:r w:rsidR="004A41AE" w:rsidRPr="00495E7D">
        <w:rPr>
          <w:rFonts w:ascii="Garamond" w:hAnsi="Garamond"/>
          <w:sz w:val="28"/>
          <w:szCs w:val="28"/>
        </w:rPr>
        <w:t>gent donc</w:t>
      </w:r>
      <w:r w:rsidR="00AC1500" w:rsidRPr="00495E7D">
        <w:rPr>
          <w:rFonts w:ascii="Garamond" w:hAnsi="Garamond"/>
          <w:sz w:val="28"/>
          <w:szCs w:val="28"/>
        </w:rPr>
        <w:t xml:space="preserve">. Pour rencontrer leurs besoins de débats, de partage et d’expression, les promoteurs d’initiatives ont mis en place des espaces en marge du dispositif officiel, </w:t>
      </w:r>
      <w:r w:rsidR="004A41AE" w:rsidRPr="00495E7D">
        <w:rPr>
          <w:rFonts w:ascii="Garamond" w:hAnsi="Garamond"/>
          <w:sz w:val="28"/>
          <w:szCs w:val="28"/>
        </w:rPr>
        <w:t xml:space="preserve">dépassent le cadre du dispositif et le redéfinissent, </w:t>
      </w:r>
      <w:r w:rsidR="00AC1500" w:rsidRPr="00495E7D">
        <w:rPr>
          <w:rFonts w:ascii="Garamond" w:hAnsi="Garamond"/>
          <w:sz w:val="28"/>
          <w:szCs w:val="28"/>
        </w:rPr>
        <w:t xml:space="preserve">générant des débordements de la participation programmée : </w:t>
      </w:r>
      <w:r w:rsidRPr="00495E7D">
        <w:rPr>
          <w:rFonts w:ascii="Garamond" w:hAnsi="Garamond"/>
          <w:sz w:val="28"/>
          <w:szCs w:val="28"/>
        </w:rPr>
        <w:t xml:space="preserve">des réunions d’élaboration des slogans et autres supports de campagne, des conférences-débats organisées par les associations, des interpellations de parlementaires ou de représentants officiels des institutions européennes, des communiqués de presse donnant lieu à des articles commentés et partagés en ligne ou en réunion et des échanges sur Facebook ou Twitter. </w:t>
      </w:r>
      <w:r w:rsidRPr="00495E7D">
        <w:rPr>
          <w:rFonts w:ascii="Garamond" w:hAnsi="Garamond"/>
          <w:sz w:val="28"/>
          <w:szCs w:val="28"/>
          <w:lang w:eastAsia="ja-JP"/>
        </w:rPr>
        <w:t xml:space="preserve">Créer des espaces de débats en marge du dispositif officiel permet aux participants de discuter des sujets qu’ils veulent, même s’il s’agit de larges digressions par rapport au sujet de base de leur initiative. Ce qui n’aurait évidemment pas été possible dans le dispositif en lui-même. Ces </w:t>
      </w:r>
      <w:r w:rsidRPr="00495E7D">
        <w:rPr>
          <w:rFonts w:ascii="Garamond" w:hAnsi="Garamond"/>
          <w:sz w:val="28"/>
          <w:szCs w:val="28"/>
          <w:lang w:eastAsia="ja-JP"/>
        </w:rPr>
        <w:lastRenderedPageBreak/>
        <w:t>moments de débats plus larges contribuent à (</w:t>
      </w:r>
      <w:proofErr w:type="spellStart"/>
      <w:r w:rsidRPr="00495E7D">
        <w:rPr>
          <w:rFonts w:ascii="Garamond" w:hAnsi="Garamond"/>
          <w:sz w:val="28"/>
          <w:szCs w:val="28"/>
          <w:lang w:eastAsia="ja-JP"/>
        </w:rPr>
        <w:t>re</w:t>
      </w:r>
      <w:proofErr w:type="spellEnd"/>
      <w:r w:rsidRPr="00495E7D">
        <w:rPr>
          <w:rFonts w:ascii="Garamond" w:hAnsi="Garamond"/>
          <w:sz w:val="28"/>
          <w:szCs w:val="28"/>
          <w:lang w:eastAsia="ja-JP"/>
        </w:rPr>
        <w:t>)constituer du sens et des visions à long terme (</w:t>
      </w:r>
      <w:proofErr w:type="spellStart"/>
      <w:r w:rsidRPr="00495E7D">
        <w:rPr>
          <w:rFonts w:ascii="Garamond" w:hAnsi="Garamond"/>
          <w:sz w:val="28"/>
          <w:szCs w:val="28"/>
          <w:lang w:eastAsia="ja-JP"/>
        </w:rPr>
        <w:t>Bertheleu</w:t>
      </w:r>
      <w:proofErr w:type="spellEnd"/>
      <w:r w:rsidRPr="00495E7D">
        <w:rPr>
          <w:rFonts w:ascii="Garamond" w:hAnsi="Garamond"/>
          <w:sz w:val="28"/>
          <w:szCs w:val="28"/>
          <w:lang w:eastAsia="ja-JP"/>
        </w:rPr>
        <w:t xml:space="preserve"> &amp; Neveu, 2006).</w:t>
      </w:r>
    </w:p>
    <w:p w14:paraId="3EFA3E1C" w14:textId="77777777" w:rsidR="00B17278" w:rsidRPr="00495E7D" w:rsidRDefault="00B17278" w:rsidP="006A3A2C">
      <w:pPr>
        <w:jc w:val="both"/>
        <w:rPr>
          <w:rFonts w:ascii="Garamond" w:eastAsia="Times New Roman" w:hAnsi="Garamond"/>
          <w:sz w:val="28"/>
          <w:szCs w:val="28"/>
        </w:rPr>
      </w:pPr>
    </w:p>
    <w:p w14:paraId="754B27CD" w14:textId="1066758B" w:rsidR="00B17278" w:rsidRPr="00495E7D" w:rsidRDefault="00B17278" w:rsidP="006A3A2C">
      <w:pPr>
        <w:jc w:val="both"/>
        <w:rPr>
          <w:rFonts w:ascii="Garamond" w:eastAsia="Bookman Old Style" w:hAnsi="Garamond"/>
          <w:sz w:val="28"/>
          <w:szCs w:val="28"/>
        </w:rPr>
      </w:pPr>
      <w:r w:rsidRPr="00495E7D">
        <w:rPr>
          <w:rFonts w:ascii="Garamond" w:eastAsia="Bookman Old Style" w:hAnsi="Garamond"/>
          <w:sz w:val="28"/>
          <w:szCs w:val="28"/>
        </w:rPr>
        <w:t xml:space="preserve">Le cas de l’initiative </w:t>
      </w:r>
      <w:r w:rsidRPr="00495E7D">
        <w:rPr>
          <w:rFonts w:ascii="Garamond" w:eastAsia="Bookman Old Style" w:hAnsi="Garamond"/>
          <w:i/>
          <w:sz w:val="28"/>
          <w:szCs w:val="28"/>
        </w:rPr>
        <w:t>Stop TTIP</w:t>
      </w:r>
      <w:r w:rsidRPr="00495E7D">
        <w:rPr>
          <w:rFonts w:ascii="Garamond" w:eastAsia="Bookman Old Style" w:hAnsi="Garamond"/>
          <w:sz w:val="28"/>
          <w:szCs w:val="28"/>
        </w:rPr>
        <w:t xml:space="preserve"> qui a été </w:t>
      </w:r>
      <w:r w:rsidRPr="00495E7D">
        <w:rPr>
          <w:rFonts w:ascii="Garamond" w:eastAsia="Bookman Old Style" w:hAnsi="Garamond"/>
          <w:i/>
          <w:sz w:val="28"/>
          <w:szCs w:val="28"/>
        </w:rPr>
        <w:t>surprise</w:t>
      </w:r>
      <w:r w:rsidRPr="00495E7D">
        <w:rPr>
          <w:rFonts w:ascii="Garamond" w:eastAsia="Bookman Old Style" w:hAnsi="Garamond"/>
          <w:sz w:val="28"/>
          <w:szCs w:val="28"/>
        </w:rPr>
        <w:t xml:space="preserve"> par le refus d’enregistrement de la Commission et qui s’est auto-organisée par contestation de ce refus est une forme de détournement du dispositif, de réappropriation de la participation par les citoyens. Les supporters de </w:t>
      </w:r>
      <w:r w:rsidRPr="00495E7D">
        <w:rPr>
          <w:rFonts w:ascii="Garamond" w:eastAsia="Bookman Old Style" w:hAnsi="Garamond"/>
          <w:i/>
          <w:sz w:val="28"/>
          <w:szCs w:val="28"/>
        </w:rPr>
        <w:t>Stop TTIP</w:t>
      </w:r>
      <w:r w:rsidRPr="00495E7D">
        <w:rPr>
          <w:rFonts w:ascii="Garamond" w:eastAsia="Bookman Old Style" w:hAnsi="Garamond"/>
          <w:sz w:val="28"/>
          <w:szCs w:val="28"/>
        </w:rPr>
        <w:t xml:space="preserve"> ont converti leur </w:t>
      </w:r>
      <w:r w:rsidRPr="00495E7D">
        <w:rPr>
          <w:rFonts w:ascii="Garamond" w:eastAsia="Bookman Old Style" w:hAnsi="Garamond"/>
          <w:i/>
          <w:sz w:val="28"/>
          <w:szCs w:val="28"/>
        </w:rPr>
        <w:t>colère</w:t>
      </w:r>
      <w:r w:rsidRPr="00495E7D">
        <w:rPr>
          <w:rFonts w:ascii="Garamond" w:eastAsia="Bookman Old Style" w:hAnsi="Garamond"/>
          <w:sz w:val="28"/>
          <w:szCs w:val="28"/>
        </w:rPr>
        <w:t xml:space="preserve">, leur </w:t>
      </w:r>
      <w:r w:rsidRPr="00495E7D">
        <w:rPr>
          <w:rFonts w:ascii="Garamond" w:eastAsia="Bookman Old Style" w:hAnsi="Garamond"/>
          <w:i/>
          <w:sz w:val="28"/>
          <w:szCs w:val="28"/>
        </w:rPr>
        <w:t>désespoir</w:t>
      </w:r>
      <w:r w:rsidRPr="00495E7D">
        <w:rPr>
          <w:rFonts w:ascii="Garamond" w:eastAsia="Bookman Old Style" w:hAnsi="Garamond"/>
          <w:sz w:val="28"/>
          <w:szCs w:val="28"/>
        </w:rPr>
        <w:t xml:space="preserve"> et leur </w:t>
      </w:r>
      <w:r w:rsidRPr="00495E7D">
        <w:rPr>
          <w:rFonts w:ascii="Garamond" w:eastAsia="Bookman Old Style" w:hAnsi="Garamond"/>
          <w:i/>
          <w:sz w:val="28"/>
          <w:szCs w:val="28"/>
        </w:rPr>
        <w:t>indignation</w:t>
      </w:r>
      <w:r w:rsidRPr="00495E7D">
        <w:rPr>
          <w:rFonts w:ascii="Garamond" w:eastAsia="Bookman Old Style" w:hAnsi="Garamond"/>
          <w:sz w:val="28"/>
          <w:szCs w:val="28"/>
        </w:rPr>
        <w:t xml:space="preserve"> en multipliant les moyens d’action : ils conjuguent des actions militantes classiques du type de la manifestation à la créativité, au recours à l’humour, à du médiactivisme en ligne et à la formulation d’une contre-expertise invoquant, d’une part, une caution universitaire et, d’autre part, des exemples quotidiens et des témoignages. Ces pratiques de débordement leur permettent de donner place aux émotions. L’urgence de la situation et leurs </w:t>
      </w:r>
      <w:r w:rsidRPr="00495E7D">
        <w:rPr>
          <w:rFonts w:ascii="Garamond" w:eastAsia="Bookman Old Style" w:hAnsi="Garamond"/>
          <w:i/>
          <w:sz w:val="28"/>
          <w:szCs w:val="28"/>
        </w:rPr>
        <w:t>appréhensions</w:t>
      </w:r>
      <w:r w:rsidRPr="00495E7D">
        <w:rPr>
          <w:rFonts w:ascii="Garamond" w:eastAsia="Bookman Old Style" w:hAnsi="Garamond"/>
          <w:sz w:val="28"/>
          <w:szCs w:val="28"/>
        </w:rPr>
        <w:t xml:space="preserve"> vis-à-vis des négociations politiques en cours concernant le traité transatlantique les a poussés à exprimer leurs </w:t>
      </w:r>
      <w:r w:rsidRPr="00495E7D">
        <w:rPr>
          <w:rFonts w:ascii="Garamond" w:eastAsia="Bookman Old Style" w:hAnsi="Garamond"/>
          <w:i/>
          <w:sz w:val="28"/>
          <w:szCs w:val="28"/>
        </w:rPr>
        <w:t>craintes</w:t>
      </w:r>
      <w:r w:rsidRPr="00495E7D">
        <w:rPr>
          <w:rFonts w:ascii="Garamond" w:eastAsia="Bookman Old Style" w:hAnsi="Garamond"/>
          <w:sz w:val="28"/>
          <w:szCs w:val="28"/>
        </w:rPr>
        <w:t xml:space="preserve"> avec une virulence et une </w:t>
      </w:r>
      <w:r w:rsidRPr="00495E7D">
        <w:rPr>
          <w:rFonts w:ascii="Garamond" w:eastAsia="Bookman Old Style" w:hAnsi="Garamond"/>
          <w:i/>
          <w:sz w:val="28"/>
          <w:szCs w:val="28"/>
        </w:rPr>
        <w:t>agressivité</w:t>
      </w:r>
      <w:r w:rsidRPr="00495E7D">
        <w:rPr>
          <w:rFonts w:ascii="Garamond" w:eastAsia="Bookman Old Style" w:hAnsi="Garamond"/>
          <w:sz w:val="28"/>
          <w:szCs w:val="28"/>
        </w:rPr>
        <w:t xml:space="preserve"> assez inédite dans ces cénacles. L’UE est bel et bien confrontée au désarroi et au mécontentement dans ses propres arènes, auxquels elle semble hermétique. </w:t>
      </w:r>
      <w:r w:rsidRPr="00495E7D">
        <w:rPr>
          <w:rFonts w:ascii="Garamond" w:eastAsia="Times New Roman" w:hAnsi="Garamond"/>
          <w:sz w:val="28"/>
          <w:szCs w:val="28"/>
        </w:rPr>
        <w:t xml:space="preserve">Les conflits et les controverses autour de l’action publique étaient bien présents au niveau national, ils s’expriment dès à présent bien plus nettement qu’avant au niveau européen. Les réactions suscitées par le TTIP à travers toute l’Europe fait partie des premiers grands conflits citoyens-institutions au niveau européen. La plupart des participants sont </w:t>
      </w:r>
      <w:proofErr w:type="spellStart"/>
      <w:r w:rsidRPr="00495E7D">
        <w:rPr>
          <w:rFonts w:ascii="Garamond" w:eastAsia="Times New Roman" w:hAnsi="Garamond"/>
          <w:sz w:val="28"/>
          <w:szCs w:val="28"/>
        </w:rPr>
        <w:t>mûs</w:t>
      </w:r>
      <w:proofErr w:type="spellEnd"/>
      <w:r w:rsidRPr="00495E7D">
        <w:rPr>
          <w:rFonts w:ascii="Garamond" w:eastAsia="Times New Roman" w:hAnsi="Garamond"/>
          <w:sz w:val="28"/>
          <w:szCs w:val="28"/>
        </w:rPr>
        <w:t xml:space="preserve"> par leur </w:t>
      </w:r>
      <w:r w:rsidRPr="00495E7D">
        <w:rPr>
          <w:rFonts w:ascii="Garamond" w:eastAsia="Times New Roman" w:hAnsi="Garamond"/>
          <w:i/>
          <w:sz w:val="28"/>
          <w:szCs w:val="28"/>
        </w:rPr>
        <w:t>indignation</w:t>
      </w:r>
      <w:r w:rsidRPr="00495E7D">
        <w:rPr>
          <w:rFonts w:ascii="Garamond" w:eastAsia="Times New Roman" w:hAnsi="Garamond"/>
          <w:sz w:val="28"/>
          <w:szCs w:val="28"/>
        </w:rPr>
        <w:t xml:space="preserve"> quant au non-respect des principes démocratiques au niveau européen et leur </w:t>
      </w:r>
      <w:r w:rsidRPr="00495E7D">
        <w:rPr>
          <w:rFonts w:ascii="Garamond" w:eastAsia="Times New Roman" w:hAnsi="Garamond"/>
          <w:i/>
          <w:sz w:val="28"/>
          <w:szCs w:val="28"/>
        </w:rPr>
        <w:t>aversion</w:t>
      </w:r>
      <w:r w:rsidRPr="00495E7D">
        <w:rPr>
          <w:rFonts w:ascii="Garamond" w:eastAsia="Times New Roman" w:hAnsi="Garamond"/>
          <w:sz w:val="28"/>
          <w:szCs w:val="28"/>
        </w:rPr>
        <w:t xml:space="preserve"> pour l’imposition de mécanismes qui leur semblent favorables au commerce plutôt qu’au bien commun.</w:t>
      </w:r>
    </w:p>
    <w:p w14:paraId="267518F5" w14:textId="77777777" w:rsidR="00B17278" w:rsidRPr="00495E7D" w:rsidRDefault="00B17278" w:rsidP="006A3A2C">
      <w:pPr>
        <w:jc w:val="both"/>
        <w:rPr>
          <w:rFonts w:ascii="Garamond" w:eastAsia="Times New Roman" w:hAnsi="Garamond"/>
          <w:sz w:val="28"/>
          <w:szCs w:val="28"/>
        </w:rPr>
      </w:pPr>
    </w:p>
    <w:p w14:paraId="42C9C550" w14:textId="4B645607" w:rsidR="00F6206F" w:rsidRPr="00495E7D" w:rsidRDefault="00F6206F" w:rsidP="002D5830">
      <w:pPr>
        <w:jc w:val="both"/>
        <w:rPr>
          <w:rFonts w:ascii="Garamond" w:eastAsia="Bookman Old Style" w:hAnsi="Garamond"/>
          <w:sz w:val="28"/>
          <w:szCs w:val="28"/>
          <w:lang w:bidi="fr-FR"/>
        </w:rPr>
      </w:pPr>
      <w:r w:rsidRPr="00495E7D">
        <w:rPr>
          <w:rFonts w:ascii="Garamond" w:hAnsi="Garamond"/>
          <w:sz w:val="28"/>
          <w:szCs w:val="28"/>
        </w:rPr>
        <w:t xml:space="preserve">Certains acteurs ont également </w:t>
      </w:r>
      <w:r w:rsidRPr="00495E7D">
        <w:rPr>
          <w:rFonts w:ascii="Garamond" w:eastAsia="Times New Roman" w:hAnsi="Garamond"/>
          <w:sz w:val="28"/>
          <w:szCs w:val="28"/>
        </w:rPr>
        <w:t>détourné le dispositif pour tenter de récupérer un peu d’autonomie dans l’usage : ils ont créé un logiciel de récolte de signature alternatif à celui de la Commission qui « </w:t>
      </w:r>
      <w:r w:rsidRPr="00495E7D">
        <w:rPr>
          <w:rFonts w:ascii="Garamond" w:eastAsia="Times New Roman" w:hAnsi="Garamond"/>
          <w:i/>
          <w:sz w:val="28"/>
          <w:szCs w:val="28"/>
        </w:rPr>
        <w:t>restait sourde </w:t>
      </w:r>
      <w:r w:rsidRPr="00495E7D">
        <w:rPr>
          <w:rFonts w:ascii="Garamond" w:eastAsia="Times New Roman" w:hAnsi="Garamond"/>
          <w:sz w:val="28"/>
          <w:szCs w:val="28"/>
        </w:rPr>
        <w:t>» à leurs demandes de modifications et ont élaboré un widget du formulaire de signature qui peut être embarqué sur tous les sites des ass</w:t>
      </w:r>
      <w:r w:rsidR="00A34A6E" w:rsidRPr="00495E7D">
        <w:rPr>
          <w:rFonts w:ascii="Garamond" w:eastAsia="Times New Roman" w:hAnsi="Garamond"/>
          <w:sz w:val="28"/>
          <w:szCs w:val="28"/>
        </w:rPr>
        <w:t>ociations supportrices d’une initiative</w:t>
      </w:r>
      <w:r w:rsidRPr="00495E7D">
        <w:rPr>
          <w:rFonts w:ascii="Garamond" w:eastAsia="Times New Roman" w:hAnsi="Garamond"/>
          <w:sz w:val="28"/>
          <w:szCs w:val="28"/>
        </w:rPr>
        <w:t>.</w:t>
      </w:r>
    </w:p>
    <w:p w14:paraId="51A3705E" w14:textId="77777777" w:rsidR="00F6206F" w:rsidRPr="00495E7D" w:rsidRDefault="00F6206F" w:rsidP="002D5830">
      <w:pPr>
        <w:jc w:val="both"/>
        <w:rPr>
          <w:rFonts w:ascii="Garamond" w:hAnsi="Garamond"/>
          <w:sz w:val="28"/>
          <w:szCs w:val="28"/>
        </w:rPr>
      </w:pPr>
    </w:p>
    <w:p w14:paraId="061AABFB" w14:textId="44660B11" w:rsidR="00F6206F" w:rsidRPr="00495E7D" w:rsidRDefault="00F6206F" w:rsidP="002D5830">
      <w:pPr>
        <w:jc w:val="both"/>
        <w:rPr>
          <w:rFonts w:ascii="Garamond" w:eastAsia="Bookman Old Style" w:hAnsi="Garamond"/>
          <w:sz w:val="28"/>
          <w:szCs w:val="28"/>
        </w:rPr>
      </w:pPr>
      <w:r w:rsidRPr="00495E7D">
        <w:rPr>
          <w:rFonts w:ascii="Garamond" w:hAnsi="Garamond"/>
          <w:sz w:val="28"/>
          <w:szCs w:val="28"/>
        </w:rPr>
        <w:t xml:space="preserve">Par ailleurs, les affects sont d’une certaine manière mis à distance par le format campaigning que revêt l’ICE en requérant de récolter un million de signatures. Les participants se voient élaborer des messages à diffuser au grand public et des slogans pour faire mouche. La recherche de la </w:t>
      </w:r>
      <w:proofErr w:type="spellStart"/>
      <w:r w:rsidRPr="00495E7D">
        <w:rPr>
          <w:rFonts w:ascii="Garamond" w:hAnsi="Garamond"/>
          <w:sz w:val="28"/>
          <w:szCs w:val="28"/>
        </w:rPr>
        <w:t>viralité</w:t>
      </w:r>
      <w:proofErr w:type="spellEnd"/>
      <w:r w:rsidRPr="00495E7D">
        <w:rPr>
          <w:rFonts w:ascii="Garamond" w:hAnsi="Garamond"/>
          <w:sz w:val="28"/>
          <w:szCs w:val="28"/>
        </w:rPr>
        <w:t xml:space="preserve"> ne laisse place qu’à une certaine forme d’émotion, celle qui créera le buzz et touchera un maximum de signataires.</w:t>
      </w:r>
      <w:r w:rsidR="00662879" w:rsidRPr="00495E7D">
        <w:rPr>
          <w:rFonts w:ascii="Garamond" w:eastAsia="Bookman Old Style" w:hAnsi="Garamond"/>
          <w:sz w:val="28"/>
          <w:szCs w:val="28"/>
        </w:rPr>
        <w:t xml:space="preserve"> Les messages et slogans cherchent à susciter la </w:t>
      </w:r>
      <w:r w:rsidR="00662879" w:rsidRPr="00495E7D">
        <w:rPr>
          <w:rFonts w:ascii="Garamond" w:eastAsia="Bookman Old Style" w:hAnsi="Garamond"/>
          <w:i/>
          <w:sz w:val="28"/>
          <w:szCs w:val="28"/>
        </w:rPr>
        <w:t>curiosité</w:t>
      </w:r>
      <w:r w:rsidR="00662879" w:rsidRPr="00495E7D">
        <w:rPr>
          <w:rFonts w:ascii="Garamond" w:eastAsia="Bookman Old Style" w:hAnsi="Garamond"/>
          <w:sz w:val="28"/>
          <w:szCs w:val="28"/>
        </w:rPr>
        <w:t>, l’</w:t>
      </w:r>
      <w:r w:rsidR="00662879" w:rsidRPr="00495E7D">
        <w:rPr>
          <w:rFonts w:ascii="Garamond" w:eastAsia="Bookman Old Style" w:hAnsi="Garamond"/>
          <w:i/>
          <w:sz w:val="28"/>
          <w:szCs w:val="28"/>
        </w:rPr>
        <w:t>indignation</w:t>
      </w:r>
      <w:r w:rsidR="00662879" w:rsidRPr="00495E7D">
        <w:rPr>
          <w:rFonts w:ascii="Garamond" w:eastAsia="Bookman Old Style" w:hAnsi="Garamond"/>
          <w:sz w:val="28"/>
          <w:szCs w:val="28"/>
        </w:rPr>
        <w:t xml:space="preserve"> ou la </w:t>
      </w:r>
      <w:r w:rsidR="00662879" w:rsidRPr="00495E7D">
        <w:rPr>
          <w:rFonts w:ascii="Garamond" w:eastAsia="Bookman Old Style" w:hAnsi="Garamond"/>
          <w:i/>
          <w:sz w:val="28"/>
          <w:szCs w:val="28"/>
        </w:rPr>
        <w:t>peur</w:t>
      </w:r>
      <w:r w:rsidR="00662879" w:rsidRPr="00495E7D">
        <w:rPr>
          <w:rFonts w:ascii="Garamond" w:eastAsia="Bookman Old Style" w:hAnsi="Garamond"/>
          <w:sz w:val="28"/>
          <w:szCs w:val="28"/>
        </w:rPr>
        <w:t>. Par ailleurs, ces slogans rendent l’Europe choquante, inconvenante, « sexy » ou conflictuelle, ce qui est tout à fait nouveau comme manière de représenter l’UE.</w:t>
      </w:r>
      <w:r w:rsidRPr="00495E7D">
        <w:rPr>
          <w:rFonts w:ascii="Garamond" w:hAnsi="Garamond"/>
          <w:sz w:val="28"/>
          <w:szCs w:val="28"/>
        </w:rPr>
        <w:t xml:space="preserve"> </w:t>
      </w:r>
    </w:p>
    <w:p w14:paraId="484469E4" w14:textId="77777777" w:rsidR="00F6206F" w:rsidRPr="00495E7D" w:rsidRDefault="00F6206F" w:rsidP="002D5830">
      <w:pPr>
        <w:jc w:val="both"/>
        <w:rPr>
          <w:rFonts w:ascii="Garamond" w:eastAsia="Times New Roman" w:hAnsi="Garamond"/>
          <w:sz w:val="28"/>
          <w:szCs w:val="28"/>
        </w:rPr>
      </w:pPr>
    </w:p>
    <w:p w14:paraId="31FC3ECB" w14:textId="61C4551A" w:rsidR="00662879" w:rsidRPr="00495E7D" w:rsidRDefault="00F6206F" w:rsidP="00447A69">
      <w:pPr>
        <w:jc w:val="both"/>
        <w:rPr>
          <w:rFonts w:ascii="Garamond" w:hAnsi="Garamond"/>
          <w:sz w:val="28"/>
          <w:szCs w:val="28"/>
        </w:rPr>
      </w:pPr>
      <w:r w:rsidRPr="00495E7D">
        <w:rPr>
          <w:rFonts w:ascii="Garamond" w:hAnsi="Garamond"/>
          <w:sz w:val="28"/>
          <w:szCs w:val="28"/>
        </w:rPr>
        <w:t>L’enthousiasme</w:t>
      </w:r>
      <w:r w:rsidR="00662879" w:rsidRPr="00495E7D">
        <w:rPr>
          <w:rFonts w:ascii="Garamond" w:eastAsia="Bookman Old Style" w:hAnsi="Garamond"/>
          <w:sz w:val="28"/>
          <w:szCs w:val="28"/>
        </w:rPr>
        <w:t xml:space="preserve"> et l’</w:t>
      </w:r>
      <w:r w:rsidR="00662879" w:rsidRPr="00495E7D">
        <w:rPr>
          <w:rFonts w:ascii="Garamond" w:eastAsia="Bookman Old Style" w:hAnsi="Garamond"/>
          <w:i/>
          <w:sz w:val="28"/>
          <w:szCs w:val="28"/>
        </w:rPr>
        <w:t>optimisme</w:t>
      </w:r>
      <w:r w:rsidR="00662879" w:rsidRPr="00495E7D">
        <w:rPr>
          <w:rFonts w:ascii="Garamond" w:hAnsi="Garamond"/>
          <w:sz w:val="28"/>
          <w:szCs w:val="28"/>
        </w:rPr>
        <w:t xml:space="preserve"> des débuts ont</w:t>
      </w:r>
      <w:r w:rsidRPr="00495E7D">
        <w:rPr>
          <w:rFonts w:ascii="Garamond" w:hAnsi="Garamond"/>
          <w:sz w:val="28"/>
          <w:szCs w:val="28"/>
        </w:rPr>
        <w:t xml:space="preserve"> </w:t>
      </w:r>
      <w:r w:rsidR="00662879" w:rsidRPr="00495E7D">
        <w:rPr>
          <w:rFonts w:ascii="Garamond" w:hAnsi="Garamond"/>
          <w:sz w:val="28"/>
          <w:szCs w:val="28"/>
        </w:rPr>
        <w:t xml:space="preserve">donc </w:t>
      </w:r>
      <w:r w:rsidRPr="00495E7D">
        <w:rPr>
          <w:rFonts w:ascii="Garamond" w:hAnsi="Garamond"/>
          <w:sz w:val="28"/>
          <w:szCs w:val="28"/>
        </w:rPr>
        <w:t>rapidement laissé la place à une grande déception face aux pratiques « </w:t>
      </w:r>
      <w:r w:rsidRPr="00495E7D">
        <w:rPr>
          <w:rFonts w:ascii="Garamond" w:hAnsi="Garamond"/>
          <w:i/>
          <w:sz w:val="28"/>
          <w:szCs w:val="28"/>
        </w:rPr>
        <w:t>procédurières</w:t>
      </w:r>
      <w:r w:rsidRPr="00495E7D">
        <w:rPr>
          <w:rFonts w:ascii="Garamond" w:hAnsi="Garamond"/>
          <w:sz w:val="28"/>
          <w:szCs w:val="28"/>
        </w:rPr>
        <w:t> » et « </w:t>
      </w:r>
      <w:r w:rsidRPr="00495E7D">
        <w:rPr>
          <w:rFonts w:ascii="Garamond" w:hAnsi="Garamond"/>
          <w:i/>
          <w:sz w:val="28"/>
          <w:szCs w:val="28"/>
        </w:rPr>
        <w:t>juridico-techniques </w:t>
      </w:r>
      <w:r w:rsidRPr="00495E7D">
        <w:rPr>
          <w:rFonts w:ascii="Garamond" w:hAnsi="Garamond"/>
          <w:sz w:val="28"/>
          <w:szCs w:val="28"/>
        </w:rPr>
        <w:t xml:space="preserve">» de la Commission. </w:t>
      </w:r>
      <w:r w:rsidR="00662879" w:rsidRPr="00495E7D">
        <w:rPr>
          <w:rFonts w:ascii="Garamond" w:hAnsi="Garamond"/>
          <w:sz w:val="28"/>
          <w:szCs w:val="28"/>
        </w:rPr>
        <w:t xml:space="preserve">Le règlement ne prévoit pas que la Commission ait une relation suivie avec les promoteurs d’initiatives. Elle intervient relativement rarement dans le </w:t>
      </w:r>
      <w:r w:rsidR="00662879" w:rsidRPr="00495E7D">
        <w:rPr>
          <w:rFonts w:ascii="Garamond" w:hAnsi="Garamond"/>
          <w:sz w:val="28"/>
          <w:szCs w:val="28"/>
        </w:rPr>
        <w:lastRenderedPageBreak/>
        <w:t xml:space="preserve">dispositif lui-même. Le fait qu’elle ne réponde pas aux questions en amont d’une proposition, qu’elle décline régulièrement des invitations à débattre sur le dispositif ne fait que renforcer l’aversion envers cette institution et la croyance que celle-ci se désintéresse totalement du dispositif qu’elle a elle-même initié. </w:t>
      </w:r>
      <w:r w:rsidRPr="00495E7D">
        <w:rPr>
          <w:rFonts w:ascii="Garamond" w:hAnsi="Garamond"/>
          <w:sz w:val="28"/>
          <w:szCs w:val="28"/>
        </w:rPr>
        <w:t>La plupart des promoteurs estiment qu’ils sont « </w:t>
      </w:r>
      <w:r w:rsidRPr="00495E7D">
        <w:rPr>
          <w:rFonts w:ascii="Garamond" w:hAnsi="Garamond"/>
          <w:i/>
          <w:sz w:val="28"/>
          <w:szCs w:val="28"/>
        </w:rPr>
        <w:t>méprisés</w:t>
      </w:r>
      <w:r w:rsidRPr="00495E7D">
        <w:rPr>
          <w:rFonts w:ascii="Garamond" w:hAnsi="Garamond"/>
          <w:sz w:val="28"/>
          <w:szCs w:val="28"/>
        </w:rPr>
        <w:t> » par la Commission et ne sont aucunement « </w:t>
      </w:r>
      <w:r w:rsidRPr="00495E7D">
        <w:rPr>
          <w:rFonts w:ascii="Garamond" w:hAnsi="Garamond"/>
          <w:i/>
          <w:sz w:val="28"/>
          <w:szCs w:val="28"/>
        </w:rPr>
        <w:t>considérés</w:t>
      </w:r>
      <w:r w:rsidRPr="00495E7D">
        <w:rPr>
          <w:rFonts w:ascii="Garamond" w:hAnsi="Garamond"/>
          <w:sz w:val="28"/>
          <w:szCs w:val="28"/>
        </w:rPr>
        <w:t> » comme des partenaires ratifiés, ils se sentent constamment tenus à distance. Ils estiment que leur expression est « </w:t>
      </w:r>
      <w:r w:rsidRPr="00495E7D">
        <w:rPr>
          <w:rFonts w:ascii="Garamond" w:hAnsi="Garamond"/>
          <w:i/>
          <w:sz w:val="28"/>
          <w:szCs w:val="28"/>
        </w:rPr>
        <w:t>muselée</w:t>
      </w:r>
      <w:r w:rsidRPr="00495E7D">
        <w:rPr>
          <w:rFonts w:ascii="Garamond" w:hAnsi="Garamond"/>
          <w:sz w:val="28"/>
          <w:szCs w:val="28"/>
        </w:rPr>
        <w:t xml:space="preserve"> ». </w:t>
      </w:r>
      <w:r w:rsidR="00662879" w:rsidRPr="00495E7D">
        <w:rPr>
          <w:rFonts w:ascii="Garamond" w:eastAsia="Bookman Old Style" w:hAnsi="Garamond"/>
          <w:sz w:val="28"/>
          <w:szCs w:val="28"/>
        </w:rPr>
        <w:t xml:space="preserve">La majorité des participants sont </w:t>
      </w:r>
      <w:r w:rsidR="00662879" w:rsidRPr="00495E7D">
        <w:rPr>
          <w:rFonts w:ascii="Garamond" w:eastAsia="Bookman Old Style" w:hAnsi="Garamond"/>
          <w:i/>
          <w:sz w:val="28"/>
          <w:szCs w:val="28"/>
        </w:rPr>
        <w:t>pessimistes</w:t>
      </w:r>
      <w:r w:rsidR="00662879" w:rsidRPr="00495E7D">
        <w:rPr>
          <w:rFonts w:ascii="Garamond" w:eastAsia="Bookman Old Style" w:hAnsi="Garamond"/>
          <w:sz w:val="28"/>
          <w:szCs w:val="28"/>
        </w:rPr>
        <w:t xml:space="preserve"> quant à l’avenir de l’ICE et ressortent </w:t>
      </w:r>
      <w:r w:rsidR="00662879" w:rsidRPr="00495E7D">
        <w:rPr>
          <w:rFonts w:ascii="Garamond" w:eastAsia="Bookman Old Style" w:hAnsi="Garamond"/>
          <w:i/>
          <w:sz w:val="28"/>
          <w:szCs w:val="28"/>
        </w:rPr>
        <w:t>dégoûtés</w:t>
      </w:r>
      <w:r w:rsidR="00662879" w:rsidRPr="00495E7D">
        <w:rPr>
          <w:rFonts w:ascii="Garamond" w:eastAsia="Bookman Old Style" w:hAnsi="Garamond"/>
          <w:sz w:val="28"/>
          <w:szCs w:val="28"/>
        </w:rPr>
        <w:t xml:space="preserve"> des événements institutionnels auxquels ils ont assisté. Après quatre ans de fonctionnement, les discours sur l’ICE tenus par les acteurs d’initiatives sont majoritaire</w:t>
      </w:r>
      <w:r w:rsidR="00A1623F" w:rsidRPr="00495E7D">
        <w:rPr>
          <w:rFonts w:ascii="Garamond" w:eastAsia="Bookman Old Style" w:hAnsi="Garamond"/>
          <w:sz w:val="28"/>
          <w:szCs w:val="28"/>
        </w:rPr>
        <w:t>ment empreints</w:t>
      </w:r>
      <w:r w:rsidR="00662879" w:rsidRPr="00495E7D">
        <w:rPr>
          <w:rFonts w:ascii="Garamond" w:eastAsia="Bookman Old Style" w:hAnsi="Garamond"/>
          <w:sz w:val="28"/>
          <w:szCs w:val="28"/>
        </w:rPr>
        <w:t xml:space="preserve"> de </w:t>
      </w:r>
      <w:r w:rsidR="00662879" w:rsidRPr="00495E7D">
        <w:rPr>
          <w:rFonts w:ascii="Garamond" w:eastAsia="Bookman Old Style" w:hAnsi="Garamond"/>
          <w:i/>
          <w:sz w:val="28"/>
          <w:szCs w:val="28"/>
        </w:rPr>
        <w:t>tristesse</w:t>
      </w:r>
      <w:r w:rsidR="00662879" w:rsidRPr="00495E7D">
        <w:rPr>
          <w:rFonts w:ascii="Garamond" w:eastAsia="Bookman Old Style" w:hAnsi="Garamond"/>
          <w:sz w:val="28"/>
          <w:szCs w:val="28"/>
        </w:rPr>
        <w:t xml:space="preserve">, de </w:t>
      </w:r>
      <w:r w:rsidR="00662879" w:rsidRPr="00495E7D">
        <w:rPr>
          <w:rFonts w:ascii="Garamond" w:eastAsia="Bookman Old Style" w:hAnsi="Garamond"/>
          <w:i/>
          <w:sz w:val="28"/>
          <w:szCs w:val="28"/>
        </w:rPr>
        <w:t>désappointement</w:t>
      </w:r>
      <w:r w:rsidR="00662879" w:rsidRPr="00495E7D">
        <w:rPr>
          <w:rFonts w:ascii="Garamond" w:eastAsia="Bookman Old Style" w:hAnsi="Garamond"/>
          <w:sz w:val="28"/>
          <w:szCs w:val="28"/>
        </w:rPr>
        <w:t xml:space="preserve">, de défiance vis-à-vis des institutions et même parfois d’une </w:t>
      </w:r>
      <w:r w:rsidR="00662879" w:rsidRPr="00495E7D">
        <w:rPr>
          <w:rFonts w:ascii="Garamond" w:eastAsia="Bookman Old Style" w:hAnsi="Garamond"/>
          <w:i/>
          <w:sz w:val="28"/>
          <w:szCs w:val="28"/>
        </w:rPr>
        <w:t>rage</w:t>
      </w:r>
      <w:r w:rsidR="00662879" w:rsidRPr="00495E7D">
        <w:rPr>
          <w:rFonts w:ascii="Garamond" w:eastAsia="Bookman Old Style" w:hAnsi="Garamond"/>
          <w:sz w:val="28"/>
          <w:szCs w:val="28"/>
        </w:rPr>
        <w:t xml:space="preserve"> concernant le peu de considération attribué à la parole citoyenne au niveau européen.</w:t>
      </w:r>
      <w:r w:rsidR="00662879" w:rsidRPr="00495E7D">
        <w:rPr>
          <w:rFonts w:ascii="Garamond" w:eastAsia="Times New Roman" w:hAnsi="Garamond"/>
          <w:sz w:val="28"/>
          <w:szCs w:val="28"/>
        </w:rPr>
        <w:t xml:space="preserve"> </w:t>
      </w:r>
      <w:r w:rsidR="00662879" w:rsidRPr="00495E7D">
        <w:rPr>
          <w:rFonts w:ascii="Garamond" w:eastAsia="Bookman Old Style" w:hAnsi="Garamond"/>
          <w:sz w:val="28"/>
          <w:szCs w:val="28"/>
        </w:rPr>
        <w:t>Selon les promoteurs, la valeur sociétale des résultats est d’autant plus importante que l’ICE est un outil à destination de la sphère civile.</w:t>
      </w:r>
      <w:r w:rsidR="00662879" w:rsidRPr="00495E7D">
        <w:rPr>
          <w:rFonts w:ascii="Garamond" w:hAnsi="Garamond"/>
          <w:sz w:val="28"/>
          <w:szCs w:val="28"/>
        </w:rPr>
        <w:t xml:space="preserve"> La timidité voire l’absence de valorisation sociétale des résultats d’une initiative constitue une raison supplémentaire à la déception des participants.</w:t>
      </w:r>
      <w:r w:rsidR="00662879" w:rsidRPr="00495E7D">
        <w:rPr>
          <w:rFonts w:ascii="Garamond" w:eastAsia="Bookman Old Style" w:hAnsi="Garamond"/>
          <w:sz w:val="28"/>
          <w:szCs w:val="28"/>
        </w:rPr>
        <w:t xml:space="preserve"> </w:t>
      </w:r>
      <w:r w:rsidR="00662879" w:rsidRPr="00495E7D">
        <w:rPr>
          <w:rFonts w:ascii="Garamond" w:eastAsia="Times New Roman" w:hAnsi="Garamond"/>
          <w:sz w:val="28"/>
          <w:szCs w:val="28"/>
        </w:rPr>
        <w:t xml:space="preserve">Pour eux, l’ICE n’a aucunement renforcé la légitimité de la Commission et de ses décisions, bien au contraire, elle aurait renforcé le </w:t>
      </w:r>
      <w:r w:rsidR="00662879" w:rsidRPr="00495E7D">
        <w:rPr>
          <w:rFonts w:ascii="Garamond" w:eastAsia="Times New Roman" w:hAnsi="Garamond"/>
          <w:i/>
          <w:sz w:val="28"/>
          <w:szCs w:val="28"/>
        </w:rPr>
        <w:t>cynisme</w:t>
      </w:r>
      <w:r w:rsidR="00662879" w:rsidRPr="00495E7D">
        <w:rPr>
          <w:rFonts w:ascii="Garamond" w:eastAsia="Times New Roman" w:hAnsi="Garamond"/>
          <w:sz w:val="28"/>
          <w:szCs w:val="28"/>
        </w:rPr>
        <w:t xml:space="preserve"> vis-à-vis de cette institution. </w:t>
      </w:r>
    </w:p>
    <w:p w14:paraId="5C6B72D5" w14:textId="77777777" w:rsidR="00010F15" w:rsidRPr="00495E7D" w:rsidRDefault="00010F15" w:rsidP="00447A69">
      <w:pPr>
        <w:jc w:val="both"/>
        <w:rPr>
          <w:rFonts w:ascii="Garamond" w:eastAsia="Bookman Old Style" w:hAnsi="Garamond"/>
          <w:sz w:val="28"/>
          <w:szCs w:val="28"/>
        </w:rPr>
      </w:pPr>
    </w:p>
    <w:p w14:paraId="34944A8A" w14:textId="638F803D" w:rsidR="00010F15" w:rsidRPr="00495E7D" w:rsidRDefault="00010F15" w:rsidP="00010F15">
      <w:pPr>
        <w:pStyle w:val="Paragraphedeliste"/>
        <w:numPr>
          <w:ilvl w:val="0"/>
          <w:numId w:val="1"/>
        </w:numPr>
        <w:jc w:val="both"/>
        <w:rPr>
          <w:rFonts w:ascii="Garamond" w:eastAsia="Bookman Old Style" w:hAnsi="Garamond"/>
          <w:sz w:val="28"/>
          <w:szCs w:val="28"/>
          <w:u w:val="single"/>
        </w:rPr>
      </w:pPr>
      <w:r w:rsidRPr="00495E7D">
        <w:rPr>
          <w:rFonts w:ascii="Garamond" w:eastAsia="Bookman Old Style" w:hAnsi="Garamond"/>
          <w:sz w:val="28"/>
          <w:szCs w:val="28"/>
          <w:u w:val="single"/>
        </w:rPr>
        <w:t>Conclusion</w:t>
      </w:r>
    </w:p>
    <w:p w14:paraId="37FC724A" w14:textId="77777777" w:rsidR="00010F15" w:rsidRPr="00495E7D" w:rsidRDefault="00010F15" w:rsidP="00010F15">
      <w:pPr>
        <w:pStyle w:val="Paragraphedeliste"/>
        <w:jc w:val="both"/>
        <w:rPr>
          <w:rFonts w:ascii="Garamond" w:eastAsia="Bookman Old Style" w:hAnsi="Garamond"/>
          <w:sz w:val="28"/>
          <w:szCs w:val="28"/>
        </w:rPr>
      </w:pPr>
    </w:p>
    <w:p w14:paraId="5A3BAC9A" w14:textId="20071E9E" w:rsidR="00447A69" w:rsidRPr="00495E7D" w:rsidRDefault="00662879" w:rsidP="00447A69">
      <w:pPr>
        <w:jc w:val="both"/>
        <w:rPr>
          <w:rFonts w:ascii="Garamond" w:eastAsia="Times New Roman" w:hAnsi="Garamond" w:cstheme="minorBidi"/>
          <w:sz w:val="28"/>
          <w:szCs w:val="28"/>
          <w:lang w:val="fr-BE" w:eastAsia="en-US"/>
        </w:rPr>
      </w:pPr>
      <w:r w:rsidRPr="00495E7D">
        <w:rPr>
          <w:rFonts w:ascii="Garamond" w:eastAsia="Times New Roman" w:hAnsi="Garamond"/>
          <w:sz w:val="28"/>
          <w:szCs w:val="28"/>
        </w:rPr>
        <w:t>Par ailleurs, cette</w:t>
      </w:r>
      <w:r w:rsidR="00D45449" w:rsidRPr="00495E7D">
        <w:rPr>
          <w:rFonts w:ascii="Garamond" w:eastAsia="Times New Roman" w:hAnsi="Garamond"/>
          <w:sz w:val="28"/>
          <w:szCs w:val="28"/>
        </w:rPr>
        <w:t xml:space="preserve"> participation citoyenne contribue </w:t>
      </w:r>
      <w:r w:rsidRPr="00495E7D">
        <w:rPr>
          <w:rFonts w:ascii="Garamond" w:eastAsia="Times New Roman" w:hAnsi="Garamond"/>
          <w:sz w:val="28"/>
          <w:szCs w:val="28"/>
        </w:rPr>
        <w:t xml:space="preserve">toutefois </w:t>
      </w:r>
      <w:r w:rsidR="00D45449" w:rsidRPr="00495E7D">
        <w:rPr>
          <w:rFonts w:ascii="Garamond" w:eastAsia="Times New Roman" w:hAnsi="Garamond"/>
          <w:sz w:val="28"/>
          <w:szCs w:val="28"/>
        </w:rPr>
        <w:t>à la construction d’un rapport affectif à l’espace (</w:t>
      </w:r>
      <w:proofErr w:type="spellStart"/>
      <w:r w:rsidR="00D45449" w:rsidRPr="00495E7D">
        <w:rPr>
          <w:rFonts w:ascii="Garamond" w:eastAsia="Times New Roman" w:hAnsi="Garamond"/>
          <w:sz w:val="28"/>
          <w:szCs w:val="28"/>
        </w:rPr>
        <w:t>Feildel</w:t>
      </w:r>
      <w:proofErr w:type="spellEnd"/>
      <w:r w:rsidR="00D45449" w:rsidRPr="00495E7D">
        <w:rPr>
          <w:rFonts w:ascii="Garamond" w:eastAsia="Times New Roman" w:hAnsi="Garamond"/>
          <w:sz w:val="28"/>
          <w:szCs w:val="28"/>
        </w:rPr>
        <w:t>, 2011)</w:t>
      </w:r>
      <w:r w:rsidR="00010F15" w:rsidRPr="00495E7D">
        <w:rPr>
          <w:rFonts w:ascii="Garamond" w:eastAsia="Times New Roman" w:hAnsi="Garamond"/>
          <w:sz w:val="28"/>
          <w:szCs w:val="28"/>
        </w:rPr>
        <w:t xml:space="preserve">, d’une </w:t>
      </w:r>
      <w:proofErr w:type="spellStart"/>
      <w:r w:rsidR="00010F15" w:rsidRPr="00495E7D">
        <w:rPr>
          <w:rFonts w:ascii="Garamond" w:eastAsia="Times New Roman" w:hAnsi="Garamond"/>
          <w:sz w:val="28"/>
          <w:szCs w:val="28"/>
        </w:rPr>
        <w:t>transnationalisation</w:t>
      </w:r>
      <w:proofErr w:type="spellEnd"/>
      <w:r w:rsidR="00010F15" w:rsidRPr="00495E7D">
        <w:rPr>
          <w:rFonts w:ascii="Garamond" w:eastAsia="Times New Roman" w:hAnsi="Garamond"/>
          <w:sz w:val="28"/>
          <w:szCs w:val="28"/>
        </w:rPr>
        <w:t xml:space="preserve"> de certains combats,</w:t>
      </w:r>
      <w:r w:rsidR="00D45449" w:rsidRPr="00495E7D">
        <w:rPr>
          <w:rFonts w:ascii="Garamond" w:eastAsia="Times New Roman" w:hAnsi="Garamond"/>
          <w:sz w:val="28"/>
          <w:szCs w:val="28"/>
        </w:rPr>
        <w:t xml:space="preserve"> et accompagne les phénomènes d’attachement, d’ancrage, d’appartenance. « Les individus veulent s’impliquer d’une manière grandissante dans le débat public aussi bien que dans les émotions collectives » (Maillet, 2006 : 22). Les pratiques dans les initiatives apportent de la convivialité, des liens sociaux dans un univers européen fort aseptisé et hautement</w:t>
      </w:r>
      <w:bookmarkStart w:id="0" w:name="_GoBack"/>
      <w:bookmarkEnd w:id="0"/>
      <w:r w:rsidR="00D45449" w:rsidRPr="00495E7D">
        <w:rPr>
          <w:rFonts w:ascii="Garamond" w:eastAsia="Times New Roman" w:hAnsi="Garamond"/>
          <w:sz w:val="28"/>
          <w:szCs w:val="28"/>
        </w:rPr>
        <w:t xml:space="preserve"> technocratique. Elles ont créé une forme de communauté de sociabilité. Ces acteurs </w:t>
      </w:r>
      <w:proofErr w:type="spellStart"/>
      <w:r w:rsidR="00D45449" w:rsidRPr="00495E7D">
        <w:rPr>
          <w:rFonts w:ascii="Garamond" w:eastAsia="Times New Roman" w:hAnsi="Garamond"/>
          <w:sz w:val="28"/>
          <w:szCs w:val="28"/>
        </w:rPr>
        <w:t>co</w:t>
      </w:r>
      <w:proofErr w:type="spellEnd"/>
      <w:r w:rsidR="00D45449" w:rsidRPr="00495E7D">
        <w:rPr>
          <w:rFonts w:ascii="Garamond" w:eastAsia="Times New Roman" w:hAnsi="Garamond"/>
          <w:sz w:val="28"/>
          <w:szCs w:val="28"/>
        </w:rPr>
        <w:t xml:space="preserve">-construisent leur </w:t>
      </w:r>
      <w:r w:rsidR="00D45449" w:rsidRPr="00495E7D">
        <w:rPr>
          <w:rFonts w:ascii="Garamond" w:eastAsia="Times New Roman" w:hAnsi="Garamond"/>
          <w:i/>
          <w:sz w:val="28"/>
          <w:szCs w:val="28"/>
        </w:rPr>
        <w:t>intérêt</w:t>
      </w:r>
      <w:r w:rsidR="00D45449" w:rsidRPr="00495E7D">
        <w:rPr>
          <w:rFonts w:ascii="Garamond" w:eastAsia="Times New Roman" w:hAnsi="Garamond"/>
          <w:sz w:val="28"/>
          <w:szCs w:val="28"/>
        </w:rPr>
        <w:t xml:space="preserve">, partagent cet état de </w:t>
      </w:r>
      <w:r w:rsidR="00D45449" w:rsidRPr="00495E7D">
        <w:rPr>
          <w:rFonts w:ascii="Garamond" w:eastAsia="Times New Roman" w:hAnsi="Garamond"/>
          <w:i/>
          <w:sz w:val="28"/>
          <w:szCs w:val="28"/>
        </w:rPr>
        <w:t>vigilance</w:t>
      </w:r>
      <w:r w:rsidR="00D45449" w:rsidRPr="00495E7D">
        <w:rPr>
          <w:rFonts w:ascii="Garamond" w:eastAsia="Times New Roman" w:hAnsi="Garamond"/>
          <w:sz w:val="28"/>
          <w:szCs w:val="28"/>
        </w:rPr>
        <w:t xml:space="preserve"> et d’</w:t>
      </w:r>
      <w:r w:rsidR="00D45449" w:rsidRPr="00495E7D">
        <w:rPr>
          <w:rFonts w:ascii="Garamond" w:eastAsia="Times New Roman" w:hAnsi="Garamond"/>
          <w:i/>
          <w:sz w:val="28"/>
          <w:szCs w:val="28"/>
        </w:rPr>
        <w:t>anticipation</w:t>
      </w:r>
      <w:r w:rsidR="00D45449" w:rsidRPr="00495E7D">
        <w:rPr>
          <w:rFonts w:ascii="Garamond" w:eastAsia="Times New Roman" w:hAnsi="Garamond"/>
          <w:sz w:val="28"/>
          <w:szCs w:val="28"/>
        </w:rPr>
        <w:t xml:space="preserve"> politique. Ils établissent des rapports de </w:t>
      </w:r>
      <w:r w:rsidR="00D45449" w:rsidRPr="00495E7D">
        <w:rPr>
          <w:rFonts w:ascii="Garamond" w:eastAsia="Times New Roman" w:hAnsi="Garamond"/>
          <w:i/>
          <w:sz w:val="28"/>
          <w:szCs w:val="28"/>
        </w:rPr>
        <w:t>confiance</w:t>
      </w:r>
      <w:r w:rsidR="00D45449" w:rsidRPr="00495E7D">
        <w:rPr>
          <w:rFonts w:ascii="Garamond" w:eastAsia="Times New Roman" w:hAnsi="Garamond"/>
          <w:sz w:val="28"/>
          <w:szCs w:val="28"/>
        </w:rPr>
        <w:t>, d’</w:t>
      </w:r>
      <w:r w:rsidR="00D45449" w:rsidRPr="00495E7D">
        <w:rPr>
          <w:rFonts w:ascii="Garamond" w:eastAsia="Times New Roman" w:hAnsi="Garamond"/>
          <w:i/>
          <w:sz w:val="28"/>
          <w:szCs w:val="28"/>
        </w:rPr>
        <w:t>acceptation</w:t>
      </w:r>
      <w:r w:rsidR="00D45449" w:rsidRPr="00495E7D">
        <w:rPr>
          <w:rFonts w:ascii="Garamond" w:eastAsia="Times New Roman" w:hAnsi="Garamond"/>
          <w:sz w:val="28"/>
          <w:szCs w:val="28"/>
        </w:rPr>
        <w:t xml:space="preserve"> face à des positions divergentes au sein de la coalition et expriment parfois une </w:t>
      </w:r>
      <w:r w:rsidR="00D45449" w:rsidRPr="00495E7D">
        <w:rPr>
          <w:rFonts w:ascii="Garamond" w:eastAsia="Times New Roman" w:hAnsi="Garamond"/>
          <w:i/>
          <w:sz w:val="28"/>
          <w:szCs w:val="28"/>
        </w:rPr>
        <w:t>admiration</w:t>
      </w:r>
      <w:r w:rsidR="00D45449" w:rsidRPr="00495E7D">
        <w:rPr>
          <w:rFonts w:ascii="Garamond" w:eastAsia="Times New Roman" w:hAnsi="Garamond"/>
          <w:sz w:val="28"/>
          <w:szCs w:val="28"/>
        </w:rPr>
        <w:t xml:space="preserve"> pour les prises de parole ou les actions menées par des collègues. Ils communient autour de la </w:t>
      </w:r>
      <w:r w:rsidR="00D45449" w:rsidRPr="00495E7D">
        <w:rPr>
          <w:rFonts w:ascii="Garamond" w:eastAsia="Times New Roman" w:hAnsi="Garamond"/>
          <w:i/>
          <w:sz w:val="28"/>
          <w:szCs w:val="28"/>
        </w:rPr>
        <w:t>fierté</w:t>
      </w:r>
      <w:r w:rsidR="00D45449" w:rsidRPr="00495E7D">
        <w:rPr>
          <w:rFonts w:ascii="Garamond" w:eastAsia="Times New Roman" w:hAnsi="Garamond"/>
          <w:sz w:val="28"/>
          <w:szCs w:val="28"/>
        </w:rPr>
        <w:t xml:space="preserve"> d’être parvenus à atteindre tel ou tel objectif (comme un quorum national ou une entrevu</w:t>
      </w:r>
      <w:r w:rsidR="00447A69" w:rsidRPr="00495E7D">
        <w:rPr>
          <w:rFonts w:ascii="Garamond" w:eastAsia="Times New Roman" w:hAnsi="Garamond"/>
          <w:sz w:val="28"/>
          <w:szCs w:val="28"/>
        </w:rPr>
        <w:t>e avec un groupe parlementaire)</w:t>
      </w:r>
      <w:r w:rsidR="00447A69" w:rsidRPr="00495E7D">
        <w:rPr>
          <w:rFonts w:ascii="Garamond" w:eastAsia="Cambria" w:hAnsi="Garamond" w:cstheme="minorBidi"/>
          <w:sz w:val="28"/>
          <w:szCs w:val="28"/>
          <w:lang w:val="fr-BE" w:eastAsia="en-US"/>
        </w:rPr>
        <w:t>.</w:t>
      </w:r>
      <w:r w:rsidR="00447A69" w:rsidRPr="00495E7D">
        <w:rPr>
          <w:rFonts w:ascii="Garamond" w:eastAsia="Times New Roman" w:hAnsi="Garamond" w:cstheme="minorBidi"/>
          <w:sz w:val="28"/>
          <w:szCs w:val="28"/>
          <w:lang w:val="fr-BE" w:eastAsia="en-US"/>
        </w:rPr>
        <w:t xml:space="preserve"> </w:t>
      </w:r>
      <w:r w:rsidR="00447A69" w:rsidRPr="00495E7D">
        <w:rPr>
          <w:rFonts w:ascii="Garamond" w:eastAsia="Cambria" w:hAnsi="Garamond" w:cstheme="minorBidi"/>
          <w:sz w:val="28"/>
          <w:szCs w:val="28"/>
          <w:lang w:val="fr-BE" w:eastAsia="en-US"/>
        </w:rPr>
        <w:t>L’obligation de se fondre dans un outil va pousser les participants à étendre le champ de leurs relations, à constituer ou réactiver un réseau, à savoir être et faire ensemble et à développer des compétences. Il leur a été difficile de s’ajuster à un dispositif technique rude auquel ils se heurtent, surtout dans la sphère d’actions pour une cause qui les touche, qu’ils investissent avec passion, laquelle s’accorde peu avec un dispositif technique oppressant.</w:t>
      </w:r>
      <w:r w:rsidR="00447A69" w:rsidRPr="00495E7D">
        <w:rPr>
          <w:rFonts w:ascii="Garamond" w:eastAsiaTheme="minorHAnsi" w:hAnsi="Garamond" w:cstheme="minorBidi"/>
          <w:sz w:val="28"/>
          <w:szCs w:val="28"/>
          <w:lang w:val="fr-BE" w:eastAsia="ja-JP"/>
        </w:rPr>
        <w:t xml:space="preserve"> </w:t>
      </w:r>
      <w:r w:rsidR="00447A69" w:rsidRPr="00495E7D">
        <w:rPr>
          <w:rFonts w:ascii="Garamond" w:eastAsia="Cambria" w:hAnsi="Garamond" w:cstheme="minorBidi"/>
          <w:sz w:val="28"/>
          <w:szCs w:val="28"/>
          <w:lang w:val="fr-BE" w:eastAsia="en-US"/>
        </w:rPr>
        <w:t xml:space="preserve">Les participants essaient de se départir des normes, valeurs et représentations qui se matérialisent dans un tel dispositif. </w:t>
      </w:r>
      <w:r w:rsidR="00447A69" w:rsidRPr="00495E7D">
        <w:rPr>
          <w:rFonts w:ascii="Garamond" w:eastAsia="Times New Roman" w:hAnsi="Garamond" w:cstheme="minorBidi"/>
          <w:sz w:val="28"/>
          <w:szCs w:val="28"/>
          <w:lang w:val="fr-BE" w:eastAsia="en-US"/>
        </w:rPr>
        <w:t xml:space="preserve">La mise en place et le maintien d’un outil cadenassé et rigide provoque le fait que les participants en sortent. Ceux-ci doivent être inventifs dedans ou en </w:t>
      </w:r>
      <w:r w:rsidR="00447A69" w:rsidRPr="00495E7D">
        <w:rPr>
          <w:rFonts w:ascii="Garamond" w:eastAsia="Times New Roman" w:hAnsi="Garamond" w:cstheme="minorBidi"/>
          <w:sz w:val="28"/>
          <w:szCs w:val="28"/>
          <w:lang w:val="fr-BE" w:eastAsia="en-US"/>
        </w:rPr>
        <w:lastRenderedPageBreak/>
        <w:t xml:space="preserve">sortir pour être inventifs en dehors, au point de modifier parfois leurs propres objectifs et de trouver une porte de sortie. Cette sortie va également témoigner de leur capacité à la reconversion (des actions, des textes d’initiative ou des buts). Au stade suivant, après avoir adapté les actions ou changé les objectifs, les coalitions se rendent compte qu’elles peuvent aller plus loin, inventer elles-mêmes un cadre. La capacitation des citoyens est bien présente, comme en témoigne le changement des objectifs et des modes d’action de </w:t>
      </w:r>
      <w:r w:rsidR="00447A69" w:rsidRPr="00495E7D">
        <w:rPr>
          <w:rFonts w:ascii="Garamond" w:eastAsia="Times New Roman" w:hAnsi="Garamond" w:cstheme="minorBidi"/>
          <w:i/>
          <w:sz w:val="28"/>
          <w:szCs w:val="28"/>
          <w:lang w:val="fr-BE" w:eastAsia="en-US"/>
        </w:rPr>
        <w:t>Stop TTIP</w:t>
      </w:r>
      <w:r w:rsidR="00447A69" w:rsidRPr="00495E7D">
        <w:rPr>
          <w:rFonts w:ascii="Garamond" w:eastAsia="Times New Roman" w:hAnsi="Garamond" w:cstheme="minorBidi"/>
          <w:sz w:val="28"/>
          <w:szCs w:val="28"/>
          <w:lang w:val="fr-BE" w:eastAsia="en-US"/>
        </w:rPr>
        <w:t xml:space="preserve"> et </w:t>
      </w:r>
      <w:r w:rsidR="00447A69" w:rsidRPr="00495E7D">
        <w:rPr>
          <w:rFonts w:ascii="Garamond" w:eastAsia="Times New Roman" w:hAnsi="Garamond" w:cstheme="minorBidi"/>
          <w:i/>
          <w:sz w:val="28"/>
          <w:szCs w:val="28"/>
          <w:lang w:val="fr-BE" w:eastAsia="en-US"/>
        </w:rPr>
        <w:t>New Deal 4 Europe</w:t>
      </w:r>
      <w:r w:rsidR="00447A69" w:rsidRPr="00495E7D">
        <w:rPr>
          <w:rFonts w:ascii="Garamond" w:eastAsia="Times New Roman" w:hAnsi="Garamond" w:cstheme="minorBidi"/>
          <w:sz w:val="28"/>
          <w:szCs w:val="28"/>
          <w:lang w:val="fr-BE" w:eastAsia="en-US"/>
        </w:rPr>
        <w:t>. Les acteurs ne se restreignent pas, ils convertissent, ils contournent, ils inventent. Habituellement, changer d’objectif, c’est retourner sa veste. Dans le cas des initiatives, il y a une force, une forme d’ouverture qui leur permet de s’affranchir de l’ICE, de l’échec.</w:t>
      </w:r>
    </w:p>
    <w:p w14:paraId="4D6B9D04" w14:textId="77777777" w:rsidR="00D45449" w:rsidRPr="00495E7D" w:rsidRDefault="00D45449" w:rsidP="002D5830">
      <w:pPr>
        <w:jc w:val="both"/>
        <w:rPr>
          <w:rFonts w:ascii="Garamond" w:eastAsia="Times New Roman" w:hAnsi="Garamond"/>
          <w:sz w:val="28"/>
          <w:szCs w:val="28"/>
        </w:rPr>
      </w:pPr>
    </w:p>
    <w:p w14:paraId="347393D2" w14:textId="77777777" w:rsidR="00D45449" w:rsidRPr="00495E7D" w:rsidRDefault="00D45449" w:rsidP="002D5830">
      <w:pPr>
        <w:jc w:val="both"/>
        <w:rPr>
          <w:rFonts w:ascii="Garamond" w:eastAsia="Times New Roman" w:hAnsi="Garamond"/>
          <w:sz w:val="28"/>
          <w:szCs w:val="28"/>
        </w:rPr>
      </w:pPr>
      <w:r w:rsidRPr="00495E7D">
        <w:rPr>
          <w:rFonts w:ascii="Garamond" w:eastAsia="Bookman Old Style" w:hAnsi="Garamond"/>
          <w:sz w:val="28"/>
          <w:szCs w:val="28"/>
        </w:rPr>
        <w:t>Les participants doivent gérer une tension entre, d’une part, un intense désenchantement vis-à-vis de l’Europe, de la fonction démocratique et de la participation qui est proposée, et, d’autre part, une forme d’adhésion à l’Europe que suppose un tel engagement, accompagné d’espoirs et d’un certain idéalisme concernant la participation citoyenne.</w:t>
      </w:r>
      <w:r w:rsidRPr="00495E7D">
        <w:rPr>
          <w:rFonts w:ascii="Garamond" w:eastAsia="Times New Roman" w:hAnsi="Garamond"/>
          <w:sz w:val="28"/>
          <w:szCs w:val="28"/>
        </w:rPr>
        <w:t xml:space="preserve"> C’est effectivement en se saisissant de l’ICE qu’ils montrent leur foi en l’Europe, en un combat pour que l’Europe soit meilleure. </w:t>
      </w:r>
      <w:r w:rsidRPr="00495E7D">
        <w:rPr>
          <w:rFonts w:ascii="Garamond" w:eastAsia="Bookman Old Style" w:hAnsi="Garamond"/>
          <w:sz w:val="28"/>
          <w:szCs w:val="28"/>
        </w:rPr>
        <w:t xml:space="preserve">Ce qui est extrêmement paradoxal mais tout à fait intéressant à noter, c’est la coexistence de cette vision de ce que devrait être l’ICE et l’Europe avec une déception extrême vis-à-vis de ce qu’elles sont réellement. Leur position est empreinte de </w:t>
      </w:r>
      <w:r w:rsidRPr="00495E7D">
        <w:rPr>
          <w:rFonts w:ascii="Garamond" w:eastAsia="Bookman Old Style" w:hAnsi="Garamond"/>
          <w:i/>
          <w:sz w:val="28"/>
          <w:szCs w:val="28"/>
        </w:rPr>
        <w:t>fatalisme</w:t>
      </w:r>
      <w:r w:rsidRPr="00495E7D">
        <w:rPr>
          <w:rFonts w:ascii="Garamond" w:eastAsia="Bookman Old Style" w:hAnsi="Garamond"/>
          <w:sz w:val="28"/>
          <w:szCs w:val="28"/>
        </w:rPr>
        <w:t> : ils doivent passer par l’institution pour changer l’institution. Ils acceptent donc de prendre part à un dispositif d’une institution qu’ils critiquent fortement dans une forme de coopération conflictuelle</w:t>
      </w:r>
      <w:r w:rsidRPr="00495E7D">
        <w:rPr>
          <w:rStyle w:val="Marquenotebasdepage"/>
          <w:rFonts w:ascii="Garamond" w:eastAsia="Bookman Old Style" w:hAnsi="Garamond"/>
          <w:sz w:val="28"/>
          <w:szCs w:val="28"/>
        </w:rPr>
        <w:footnoteReference w:id="2"/>
      </w:r>
      <w:r w:rsidRPr="00495E7D">
        <w:rPr>
          <w:rFonts w:ascii="Garamond" w:eastAsia="Bookman Old Style" w:hAnsi="Garamond"/>
          <w:sz w:val="28"/>
          <w:szCs w:val="28"/>
        </w:rPr>
        <w:t>.</w:t>
      </w:r>
    </w:p>
    <w:p w14:paraId="50FAB24F" w14:textId="77777777" w:rsidR="00D45449" w:rsidRPr="00495E7D" w:rsidRDefault="00D45449" w:rsidP="002D5830">
      <w:pPr>
        <w:jc w:val="both"/>
        <w:rPr>
          <w:rFonts w:ascii="Garamond" w:hAnsi="Garamond"/>
          <w:sz w:val="28"/>
          <w:szCs w:val="28"/>
        </w:rPr>
      </w:pPr>
    </w:p>
    <w:p w14:paraId="341568AE" w14:textId="7A549629" w:rsidR="00A608EA" w:rsidRPr="00495E7D" w:rsidRDefault="00A608EA" w:rsidP="002D5830">
      <w:pPr>
        <w:jc w:val="both"/>
        <w:rPr>
          <w:rFonts w:ascii="Garamond" w:hAnsi="Garamond"/>
          <w:sz w:val="28"/>
          <w:szCs w:val="28"/>
        </w:rPr>
      </w:pPr>
      <w:r w:rsidRPr="00495E7D">
        <w:rPr>
          <w:rFonts w:ascii="Garamond" w:hAnsi="Garamond"/>
          <w:sz w:val="28"/>
          <w:szCs w:val="28"/>
          <w:u w:val="single"/>
        </w:rPr>
        <w:t>Références</w:t>
      </w:r>
      <w:r w:rsidRPr="00495E7D">
        <w:rPr>
          <w:rFonts w:ascii="Garamond" w:hAnsi="Garamond"/>
          <w:sz w:val="28"/>
          <w:szCs w:val="28"/>
        </w:rPr>
        <w:t> :</w:t>
      </w:r>
    </w:p>
    <w:p w14:paraId="1A119623" w14:textId="77777777" w:rsidR="00A608EA" w:rsidRPr="00495E7D" w:rsidRDefault="00A608EA" w:rsidP="002D5830">
      <w:pPr>
        <w:jc w:val="both"/>
        <w:rPr>
          <w:rFonts w:ascii="Garamond" w:hAnsi="Garamond"/>
          <w:sz w:val="28"/>
          <w:szCs w:val="28"/>
        </w:rPr>
      </w:pPr>
    </w:p>
    <w:p w14:paraId="3E5319FF" w14:textId="77777777" w:rsidR="00A32BE7" w:rsidRPr="00495E7D" w:rsidRDefault="00A32BE7" w:rsidP="00A32BE7">
      <w:pPr>
        <w:rPr>
          <w:rFonts w:ascii="Garamond" w:eastAsiaTheme="minorHAnsi" w:hAnsi="Garamond"/>
          <w:sz w:val="28"/>
          <w:szCs w:val="28"/>
          <w:lang w:val="fr-BE" w:eastAsia="en-US"/>
        </w:rPr>
      </w:pPr>
      <w:r w:rsidRPr="00495E7D">
        <w:rPr>
          <w:rFonts w:ascii="Garamond" w:eastAsiaTheme="minorHAnsi" w:hAnsi="Garamond"/>
          <w:sz w:val="28"/>
          <w:szCs w:val="28"/>
          <w:lang w:val="fr-BE" w:eastAsia="en-US"/>
        </w:rPr>
        <w:t xml:space="preserve">Bertheleu, H., &amp; Neveu, C. (2006). De petits lieux du politique: individus et collectifs dans des instances de «débat public» à Tours. </w:t>
      </w:r>
      <w:r w:rsidRPr="00495E7D">
        <w:rPr>
          <w:rFonts w:ascii="Garamond" w:eastAsiaTheme="minorHAnsi" w:hAnsi="Garamond"/>
          <w:i/>
          <w:iCs/>
          <w:sz w:val="28"/>
          <w:szCs w:val="28"/>
          <w:lang w:val="fr-BE" w:eastAsia="en-US"/>
        </w:rPr>
        <w:t>Espaces et Sociétés</w:t>
      </w:r>
      <w:r w:rsidRPr="00495E7D">
        <w:rPr>
          <w:rFonts w:ascii="Garamond" w:eastAsiaTheme="minorHAnsi" w:hAnsi="Garamond"/>
          <w:sz w:val="28"/>
          <w:szCs w:val="28"/>
          <w:lang w:val="fr-BE" w:eastAsia="en-US"/>
        </w:rPr>
        <w:t xml:space="preserve">, </w:t>
      </w:r>
      <w:r w:rsidRPr="00495E7D">
        <w:rPr>
          <w:rFonts w:ascii="Garamond" w:eastAsiaTheme="minorHAnsi" w:hAnsi="Garamond"/>
          <w:i/>
          <w:iCs/>
          <w:sz w:val="28"/>
          <w:szCs w:val="28"/>
          <w:lang w:val="fr-BE" w:eastAsia="en-US"/>
        </w:rPr>
        <w:t>1</w:t>
      </w:r>
      <w:r w:rsidRPr="00495E7D">
        <w:rPr>
          <w:rFonts w:ascii="Garamond" w:eastAsiaTheme="minorHAnsi" w:hAnsi="Garamond"/>
          <w:sz w:val="28"/>
          <w:szCs w:val="28"/>
          <w:lang w:val="fr-BE" w:eastAsia="en-US"/>
        </w:rPr>
        <w:t>(123), 37–51.</w:t>
      </w:r>
    </w:p>
    <w:p w14:paraId="3BD03A23" w14:textId="77777777" w:rsidR="00A32BE7" w:rsidRPr="00495E7D" w:rsidRDefault="00A32BE7" w:rsidP="00A32BE7">
      <w:pPr>
        <w:rPr>
          <w:rFonts w:ascii="Garamond" w:eastAsiaTheme="minorHAnsi" w:hAnsi="Garamond"/>
          <w:sz w:val="28"/>
          <w:szCs w:val="28"/>
          <w:lang w:val="fr-BE" w:eastAsia="en-US"/>
        </w:rPr>
      </w:pPr>
    </w:p>
    <w:p w14:paraId="7FECC7EF" w14:textId="78A83F3F" w:rsidR="00A32BE7" w:rsidRPr="00495E7D" w:rsidRDefault="00A32BE7" w:rsidP="00A32BE7">
      <w:pPr>
        <w:rPr>
          <w:rFonts w:ascii="Garamond" w:eastAsiaTheme="minorHAnsi" w:hAnsi="Garamond"/>
          <w:sz w:val="28"/>
          <w:szCs w:val="28"/>
          <w:lang w:val="fr-BE" w:eastAsia="en-US"/>
        </w:rPr>
      </w:pPr>
      <w:r w:rsidRPr="00495E7D">
        <w:rPr>
          <w:rFonts w:ascii="Garamond" w:eastAsiaTheme="minorHAnsi" w:hAnsi="Garamond"/>
          <w:sz w:val="28"/>
          <w:szCs w:val="28"/>
          <w:lang w:val="fr-BE" w:eastAsia="en-US"/>
        </w:rPr>
        <w:t xml:space="preserve">Démocratie &amp; Participation. (2015). Appel du </w:t>
      </w:r>
      <w:r w:rsidRPr="00495E7D">
        <w:rPr>
          <w:rFonts w:ascii="Garamond" w:eastAsiaTheme="minorHAnsi" w:hAnsi="Garamond"/>
          <w:i/>
          <w:sz w:val="28"/>
          <w:szCs w:val="28"/>
          <w:lang w:val="fr-BE" w:eastAsia="en-US"/>
        </w:rPr>
        <w:t>Colloque international « La démocratie délibérative et participative : refoulement ou formalisation des émotions ?</w:t>
      </w:r>
      <w:r w:rsidRPr="00495E7D">
        <w:rPr>
          <w:rFonts w:ascii="Garamond" w:eastAsiaTheme="minorHAnsi" w:hAnsi="Garamond"/>
          <w:sz w:val="28"/>
          <w:szCs w:val="28"/>
          <w:lang w:val="fr-BE" w:eastAsia="en-US"/>
        </w:rPr>
        <w:t xml:space="preserve"> Université Paris 1, Paris. En ligne</w:t>
      </w:r>
      <w:r w:rsidRPr="00495E7D">
        <w:rPr>
          <w:rFonts w:ascii="Garamond" w:eastAsiaTheme="minorHAnsi" w:hAnsi="Garamond"/>
          <w:color w:val="0000FF" w:themeColor="hyperlink"/>
          <w:sz w:val="28"/>
          <w:szCs w:val="28"/>
          <w:lang w:val="fr-BE" w:eastAsia="en-US"/>
        </w:rPr>
        <w:t xml:space="preserve"> </w:t>
      </w:r>
      <w:r w:rsidRPr="00495E7D">
        <w:rPr>
          <w:rFonts w:ascii="Garamond" w:eastAsiaTheme="minorHAnsi" w:hAnsi="Garamond"/>
          <w:sz w:val="28"/>
          <w:szCs w:val="28"/>
          <w:lang w:val="fr-BE" w:eastAsia="en-US"/>
        </w:rPr>
        <w:t>http://www.participation-et-democratie.fr/fr/content/la-democratie-participative-et-deliberative-refoulement-ou-formalisation-des-emotions, consulté le 17 juillet 2015.</w:t>
      </w:r>
    </w:p>
    <w:p w14:paraId="15E39A07" w14:textId="77777777" w:rsidR="00A608EA" w:rsidRPr="00495E7D" w:rsidRDefault="00A608EA" w:rsidP="002D5830">
      <w:pPr>
        <w:jc w:val="both"/>
        <w:rPr>
          <w:rFonts w:ascii="Garamond" w:hAnsi="Garamond"/>
          <w:sz w:val="28"/>
          <w:szCs w:val="28"/>
          <w:lang w:val="fr-BE"/>
        </w:rPr>
      </w:pPr>
    </w:p>
    <w:p w14:paraId="2FB97E47" w14:textId="49D1B9D8" w:rsidR="00A608EA" w:rsidRPr="00495E7D" w:rsidRDefault="00A608EA" w:rsidP="002D5830">
      <w:pPr>
        <w:jc w:val="both"/>
        <w:rPr>
          <w:rFonts w:ascii="Garamond" w:hAnsi="Garamond"/>
          <w:sz w:val="28"/>
          <w:szCs w:val="28"/>
        </w:rPr>
      </w:pPr>
      <w:r w:rsidRPr="00495E7D">
        <w:rPr>
          <w:rFonts w:ascii="Garamond" w:hAnsi="Garamond"/>
          <w:sz w:val="28"/>
          <w:szCs w:val="28"/>
        </w:rPr>
        <w:t xml:space="preserve">Dufrasne, M. (2016). </w:t>
      </w:r>
      <w:r w:rsidRPr="00495E7D">
        <w:rPr>
          <w:rFonts w:ascii="Garamond" w:hAnsi="Garamond"/>
          <w:i/>
          <w:sz w:val="28"/>
          <w:szCs w:val="28"/>
        </w:rPr>
        <w:t>La participation composite. Extensions et déclinaisons de la participation citoyenne vues au travers des pratiques de l’Initiative Citoyenne Européenne</w:t>
      </w:r>
      <w:r w:rsidRPr="00495E7D">
        <w:rPr>
          <w:rFonts w:ascii="Garamond" w:hAnsi="Garamond"/>
          <w:sz w:val="28"/>
          <w:szCs w:val="28"/>
        </w:rPr>
        <w:t>. Thèse de doctorat en Information et Communication, Université Saint-Louis – Bruxelles, 2016.</w:t>
      </w:r>
    </w:p>
    <w:p w14:paraId="5886D033" w14:textId="77777777" w:rsidR="00A608EA" w:rsidRPr="00495E7D" w:rsidRDefault="00A608EA" w:rsidP="002D5830">
      <w:pPr>
        <w:jc w:val="both"/>
        <w:rPr>
          <w:rFonts w:ascii="Garamond" w:hAnsi="Garamond"/>
          <w:sz w:val="28"/>
          <w:szCs w:val="28"/>
        </w:rPr>
      </w:pPr>
    </w:p>
    <w:p w14:paraId="0D63D43C" w14:textId="59D33443" w:rsidR="00A608EA" w:rsidRPr="00495E7D" w:rsidRDefault="00A608EA" w:rsidP="00A608EA">
      <w:pPr>
        <w:rPr>
          <w:rFonts w:ascii="Garamond" w:eastAsiaTheme="minorHAnsi" w:hAnsi="Garamond"/>
          <w:sz w:val="28"/>
          <w:szCs w:val="28"/>
          <w:lang w:val="fr-BE" w:eastAsia="en-US"/>
        </w:rPr>
      </w:pPr>
      <w:r w:rsidRPr="00495E7D">
        <w:rPr>
          <w:rFonts w:ascii="Garamond" w:eastAsiaTheme="minorHAnsi" w:hAnsi="Garamond"/>
          <w:sz w:val="28"/>
          <w:szCs w:val="28"/>
          <w:lang w:val="fr-BE" w:eastAsia="en-US"/>
        </w:rPr>
        <w:lastRenderedPageBreak/>
        <w:t xml:space="preserve">Feildel, B. (2011). </w:t>
      </w:r>
      <w:r w:rsidRPr="00495E7D">
        <w:rPr>
          <w:rFonts w:ascii="Garamond" w:eastAsiaTheme="minorHAnsi" w:hAnsi="Garamond"/>
          <w:i/>
          <w:sz w:val="28"/>
          <w:szCs w:val="28"/>
          <w:lang w:val="fr-BE" w:eastAsia="en-US"/>
        </w:rPr>
        <w:t>Émotions et participation ou comment la délibération autour des projets d’aménagement participe de la construction du rapport affectif à l’espace.</w:t>
      </w:r>
      <w:r w:rsidRPr="00495E7D">
        <w:rPr>
          <w:rFonts w:ascii="Garamond" w:eastAsiaTheme="minorHAnsi" w:hAnsi="Garamond"/>
          <w:sz w:val="28"/>
          <w:szCs w:val="28"/>
          <w:lang w:val="fr-BE" w:eastAsia="en-US"/>
        </w:rPr>
        <w:t xml:space="preserve"> Communication présentée à la journée d'études sur les effets de la participation, « GIS Participation du public, décision, démocratie participative », Paris. </w:t>
      </w:r>
      <w:hyperlink r:id="rId9" w:history="1">
        <w:r w:rsidRPr="00495E7D">
          <w:rPr>
            <w:rStyle w:val="Lienhypertexte"/>
            <w:rFonts w:ascii="Garamond" w:eastAsiaTheme="minorHAnsi" w:hAnsi="Garamond"/>
            <w:sz w:val="28"/>
            <w:szCs w:val="28"/>
            <w:lang w:val="fr-BE" w:eastAsia="en-US"/>
          </w:rPr>
          <w:t>http://www.participation-etdemocratie.fr/sites/default/files/atelier_1-1_benoit_feildel.pdf</w:t>
        </w:r>
      </w:hyperlink>
    </w:p>
    <w:p w14:paraId="480CCDC7" w14:textId="77777777" w:rsidR="00A32BE7" w:rsidRPr="00495E7D" w:rsidRDefault="00A32BE7" w:rsidP="00A608EA">
      <w:pPr>
        <w:rPr>
          <w:rFonts w:ascii="Garamond" w:eastAsiaTheme="minorHAnsi" w:hAnsi="Garamond"/>
          <w:sz w:val="28"/>
          <w:szCs w:val="28"/>
          <w:lang w:val="fr-BE" w:eastAsia="en-US"/>
        </w:rPr>
      </w:pPr>
    </w:p>
    <w:p w14:paraId="5CA88540" w14:textId="77777777" w:rsidR="00A32BE7" w:rsidRPr="00495E7D" w:rsidRDefault="00A32BE7" w:rsidP="00A32BE7">
      <w:pPr>
        <w:rPr>
          <w:rFonts w:ascii="Garamond" w:eastAsiaTheme="minorHAnsi" w:hAnsi="Garamond"/>
          <w:sz w:val="28"/>
          <w:szCs w:val="28"/>
          <w:lang w:val="fr-BE" w:eastAsia="en-US"/>
        </w:rPr>
      </w:pPr>
      <w:r w:rsidRPr="00495E7D">
        <w:rPr>
          <w:rFonts w:ascii="Garamond" w:eastAsiaTheme="minorHAnsi" w:hAnsi="Garamond"/>
          <w:sz w:val="28"/>
          <w:szCs w:val="28"/>
          <w:lang w:val="fr-BE" w:eastAsia="en-US"/>
        </w:rPr>
        <w:t xml:space="preserve">Maillet, T. (2006). </w:t>
      </w:r>
      <w:r w:rsidRPr="00495E7D">
        <w:rPr>
          <w:rFonts w:ascii="Garamond" w:eastAsiaTheme="minorHAnsi" w:hAnsi="Garamond"/>
          <w:i/>
          <w:sz w:val="28"/>
          <w:szCs w:val="28"/>
          <w:lang w:val="fr-BE" w:eastAsia="en-US"/>
        </w:rPr>
        <w:t>Génération participation: de la société de consommation à la société de participation.</w:t>
      </w:r>
      <w:r w:rsidRPr="00495E7D">
        <w:rPr>
          <w:rFonts w:ascii="Garamond" w:eastAsiaTheme="minorHAnsi" w:hAnsi="Garamond"/>
          <w:sz w:val="28"/>
          <w:szCs w:val="28"/>
          <w:lang w:val="fr-BE" w:eastAsia="en-US"/>
        </w:rPr>
        <w:t xml:space="preserve"> Paris : M21 Éditions.</w:t>
      </w:r>
    </w:p>
    <w:p w14:paraId="46EE1CFA" w14:textId="77777777" w:rsidR="00A608EA" w:rsidRPr="00495E7D" w:rsidRDefault="00A608EA" w:rsidP="00A608EA">
      <w:pPr>
        <w:rPr>
          <w:rFonts w:ascii="Garamond" w:eastAsiaTheme="minorHAnsi" w:hAnsi="Garamond"/>
          <w:sz w:val="28"/>
          <w:szCs w:val="28"/>
          <w:lang w:val="fr-BE" w:eastAsia="en-US"/>
        </w:rPr>
      </w:pPr>
    </w:p>
    <w:p w14:paraId="1158DDCE" w14:textId="77777777" w:rsidR="00A608EA" w:rsidRPr="00495E7D" w:rsidRDefault="00A608EA" w:rsidP="00A608EA">
      <w:pPr>
        <w:tabs>
          <w:tab w:val="left" w:pos="1600"/>
        </w:tabs>
        <w:jc w:val="both"/>
        <w:rPr>
          <w:rFonts w:ascii="Garamond" w:eastAsiaTheme="minorHAnsi" w:hAnsi="Garamond" w:cstheme="minorBidi"/>
          <w:i/>
          <w:iCs/>
          <w:sz w:val="28"/>
          <w:szCs w:val="28"/>
          <w:lang w:val="fr-BE" w:eastAsia="en-US"/>
        </w:rPr>
      </w:pPr>
      <w:proofErr w:type="spellStart"/>
      <w:r w:rsidRPr="00495E7D">
        <w:rPr>
          <w:rFonts w:ascii="Garamond" w:eastAsiaTheme="minorHAnsi" w:hAnsi="Garamond" w:cstheme="minorBidi"/>
          <w:bCs/>
          <w:sz w:val="28"/>
          <w:szCs w:val="28"/>
          <w:lang w:val="en-US" w:eastAsia="en-US"/>
        </w:rPr>
        <w:t>Plutchik</w:t>
      </w:r>
      <w:proofErr w:type="spellEnd"/>
      <w:r w:rsidRPr="00495E7D">
        <w:rPr>
          <w:rFonts w:ascii="Garamond" w:eastAsiaTheme="minorHAnsi" w:hAnsi="Garamond" w:cstheme="minorBidi"/>
          <w:bCs/>
          <w:sz w:val="28"/>
          <w:szCs w:val="28"/>
          <w:lang w:val="en-US" w:eastAsia="en-US"/>
        </w:rPr>
        <w:t xml:space="preserve">, R. (1980). </w:t>
      </w:r>
      <w:r w:rsidRPr="00495E7D">
        <w:rPr>
          <w:rFonts w:ascii="Garamond" w:eastAsiaTheme="minorHAnsi" w:hAnsi="Garamond" w:cstheme="minorBidi"/>
          <w:i/>
          <w:iCs/>
          <w:sz w:val="28"/>
          <w:szCs w:val="28"/>
          <w:lang w:val="en-US" w:eastAsia="en-US"/>
        </w:rPr>
        <w:t xml:space="preserve">Emotion : A </w:t>
      </w:r>
      <w:proofErr w:type="spellStart"/>
      <w:r w:rsidRPr="00495E7D">
        <w:rPr>
          <w:rFonts w:ascii="Garamond" w:eastAsiaTheme="minorHAnsi" w:hAnsi="Garamond" w:cstheme="minorBidi"/>
          <w:i/>
          <w:iCs/>
          <w:sz w:val="28"/>
          <w:szCs w:val="28"/>
          <w:lang w:val="en-US" w:eastAsia="en-US"/>
        </w:rPr>
        <w:t>Psychoevolutionary</w:t>
      </w:r>
      <w:proofErr w:type="spellEnd"/>
      <w:r w:rsidRPr="00495E7D">
        <w:rPr>
          <w:rFonts w:ascii="Garamond" w:eastAsiaTheme="minorHAnsi" w:hAnsi="Garamond" w:cstheme="minorBidi"/>
          <w:i/>
          <w:iCs/>
          <w:sz w:val="28"/>
          <w:szCs w:val="28"/>
          <w:lang w:val="en-US" w:eastAsia="en-US"/>
        </w:rPr>
        <w:t xml:space="preserve"> Synthesis. </w:t>
      </w:r>
      <w:r w:rsidRPr="00495E7D">
        <w:rPr>
          <w:rFonts w:ascii="Garamond" w:eastAsiaTheme="minorHAnsi" w:hAnsi="Garamond" w:cstheme="minorBidi"/>
          <w:i/>
          <w:iCs/>
          <w:sz w:val="28"/>
          <w:szCs w:val="28"/>
          <w:lang w:val="fr-BE" w:eastAsia="en-US"/>
        </w:rPr>
        <w:t>New York : Harper&amp;Row.</w:t>
      </w:r>
    </w:p>
    <w:p w14:paraId="483572E0" w14:textId="77777777" w:rsidR="00A32BE7" w:rsidRPr="00495E7D" w:rsidRDefault="00A32BE7" w:rsidP="00A608EA">
      <w:pPr>
        <w:tabs>
          <w:tab w:val="left" w:pos="1600"/>
        </w:tabs>
        <w:jc w:val="both"/>
        <w:rPr>
          <w:rFonts w:ascii="Garamond" w:eastAsiaTheme="minorHAnsi" w:hAnsi="Garamond" w:cstheme="minorBidi"/>
          <w:i/>
          <w:iCs/>
          <w:sz w:val="28"/>
          <w:szCs w:val="28"/>
          <w:lang w:val="fr-BE" w:eastAsia="en-US"/>
        </w:rPr>
      </w:pPr>
    </w:p>
    <w:p w14:paraId="1539420B" w14:textId="77777777" w:rsidR="00A32BE7" w:rsidRPr="00495E7D" w:rsidRDefault="00A32BE7" w:rsidP="00A32BE7">
      <w:pPr>
        <w:rPr>
          <w:rFonts w:ascii="Garamond" w:eastAsia="Times New Roman" w:hAnsi="Garamond"/>
          <w:color w:val="FF0000"/>
          <w:sz w:val="28"/>
          <w:szCs w:val="28"/>
          <w:lang w:val="fr-BE"/>
        </w:rPr>
      </w:pPr>
      <w:r w:rsidRPr="00495E7D">
        <w:rPr>
          <w:rFonts w:ascii="Garamond" w:eastAsia="Times New Roman" w:hAnsi="Garamond"/>
          <w:sz w:val="28"/>
          <w:szCs w:val="28"/>
          <w:lang w:val="fr-BE"/>
        </w:rPr>
        <w:t xml:space="preserve">Van Campenhoudt, L., &amp; de Saint-Georges, P. (1982). </w:t>
      </w:r>
      <w:r w:rsidRPr="00495E7D">
        <w:rPr>
          <w:rFonts w:ascii="Garamond" w:eastAsia="Times New Roman" w:hAnsi="Garamond"/>
          <w:i/>
          <w:iCs/>
          <w:sz w:val="28"/>
          <w:szCs w:val="28"/>
          <w:lang w:val="fr-BE"/>
        </w:rPr>
        <w:t>Enseignement et transformation sociale</w:t>
      </w:r>
      <w:r w:rsidRPr="00495E7D">
        <w:rPr>
          <w:rFonts w:ascii="Garamond" w:eastAsia="Times New Roman" w:hAnsi="Garamond"/>
          <w:sz w:val="28"/>
          <w:szCs w:val="28"/>
          <w:lang w:val="fr-BE"/>
        </w:rPr>
        <w:t>. Louvain-la-Neuve : Presses de l’Université catholique de Louvain</w:t>
      </w:r>
      <w:r w:rsidRPr="00495E7D">
        <w:rPr>
          <w:rFonts w:ascii="Garamond" w:eastAsia="Times New Roman" w:hAnsi="Garamond"/>
          <w:color w:val="FF0000"/>
          <w:sz w:val="28"/>
          <w:szCs w:val="28"/>
          <w:lang w:val="fr-BE"/>
        </w:rPr>
        <w:t>.</w:t>
      </w:r>
    </w:p>
    <w:p w14:paraId="4584DDAE" w14:textId="77777777" w:rsidR="00A32BE7" w:rsidRPr="00495E7D" w:rsidRDefault="00A32BE7" w:rsidP="00A608EA">
      <w:pPr>
        <w:tabs>
          <w:tab w:val="left" w:pos="1600"/>
        </w:tabs>
        <w:jc w:val="both"/>
        <w:rPr>
          <w:rFonts w:ascii="Garamond" w:eastAsiaTheme="minorHAnsi" w:hAnsi="Garamond" w:cstheme="minorBidi"/>
          <w:i/>
          <w:iCs/>
          <w:sz w:val="28"/>
          <w:szCs w:val="28"/>
          <w:lang w:val="fr-BE" w:eastAsia="en-US"/>
        </w:rPr>
      </w:pPr>
    </w:p>
    <w:p w14:paraId="1688CE53" w14:textId="77777777" w:rsidR="00A608EA" w:rsidRPr="00495E7D" w:rsidRDefault="00A608EA" w:rsidP="00A608EA">
      <w:pPr>
        <w:tabs>
          <w:tab w:val="left" w:pos="1600"/>
        </w:tabs>
        <w:jc w:val="both"/>
        <w:rPr>
          <w:rFonts w:ascii="Garamond" w:eastAsiaTheme="minorHAnsi" w:hAnsi="Garamond" w:cstheme="minorBidi"/>
          <w:i/>
          <w:iCs/>
          <w:sz w:val="28"/>
          <w:szCs w:val="28"/>
          <w:lang w:val="fr-BE" w:eastAsia="en-US"/>
        </w:rPr>
      </w:pPr>
    </w:p>
    <w:p w14:paraId="1D127923" w14:textId="77777777" w:rsidR="00A608EA" w:rsidRPr="00495E7D" w:rsidRDefault="00A608EA" w:rsidP="002D5830">
      <w:pPr>
        <w:jc w:val="both"/>
        <w:rPr>
          <w:rFonts w:ascii="Garamond" w:hAnsi="Garamond"/>
          <w:sz w:val="28"/>
          <w:szCs w:val="28"/>
          <w:lang w:val="fr-BE"/>
        </w:rPr>
      </w:pPr>
    </w:p>
    <w:sectPr w:rsidR="00A608EA" w:rsidRPr="00495E7D" w:rsidSect="000476D1">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8CE35" w14:textId="77777777" w:rsidR="003A232C" w:rsidRDefault="003A232C" w:rsidP="00F6206F">
      <w:r>
        <w:separator/>
      </w:r>
    </w:p>
  </w:endnote>
  <w:endnote w:type="continuationSeparator" w:id="0">
    <w:p w14:paraId="77458605" w14:textId="77777777" w:rsidR="003A232C" w:rsidRDefault="003A232C" w:rsidP="00F6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Bookman Old Style">
    <w:panose1 w:val="02050604050505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075B2B" w14:textId="77777777" w:rsidR="003A232C" w:rsidRDefault="003A232C" w:rsidP="00F6206F">
      <w:r>
        <w:separator/>
      </w:r>
    </w:p>
  </w:footnote>
  <w:footnote w:type="continuationSeparator" w:id="0">
    <w:p w14:paraId="2ECA74ED" w14:textId="77777777" w:rsidR="003A232C" w:rsidRDefault="003A232C" w:rsidP="00F6206F">
      <w:r>
        <w:continuationSeparator/>
      </w:r>
    </w:p>
  </w:footnote>
  <w:footnote w:id="1">
    <w:p w14:paraId="7280796D" w14:textId="45BF4F85" w:rsidR="003A232C" w:rsidRPr="00CD4BAF" w:rsidRDefault="003A232C" w:rsidP="00B17278">
      <w:pPr>
        <w:pStyle w:val="Notedebasdepage"/>
        <w:rPr>
          <w:rFonts w:ascii="Garamond" w:hAnsi="Garamond"/>
          <w:sz w:val="20"/>
          <w:szCs w:val="20"/>
        </w:rPr>
      </w:pPr>
      <w:r w:rsidRPr="00CD4BAF">
        <w:rPr>
          <w:rStyle w:val="Marquenotebasdepage"/>
          <w:rFonts w:ascii="Garamond" w:eastAsiaTheme="majorEastAsia" w:hAnsi="Garamond"/>
          <w:sz w:val="20"/>
          <w:szCs w:val="20"/>
        </w:rPr>
        <w:footnoteRef/>
      </w:r>
      <w:r w:rsidRPr="00CD4BAF">
        <w:rPr>
          <w:rFonts w:ascii="Garamond" w:hAnsi="Garamond"/>
          <w:sz w:val="20"/>
          <w:szCs w:val="20"/>
        </w:rPr>
        <w:t xml:space="preserve"> Les émotions et leurs résultats seront placé</w:t>
      </w:r>
      <w:r>
        <w:rPr>
          <w:rFonts w:ascii="Garamond" w:hAnsi="Garamond"/>
          <w:sz w:val="20"/>
          <w:szCs w:val="20"/>
        </w:rPr>
        <w:t>s en italiques dans cette version écrite</w:t>
      </w:r>
      <w:r w:rsidRPr="00CD4BAF">
        <w:rPr>
          <w:rFonts w:ascii="Garamond" w:hAnsi="Garamond"/>
          <w:sz w:val="20"/>
          <w:szCs w:val="20"/>
        </w:rPr>
        <w:t>.</w:t>
      </w:r>
      <w:r>
        <w:rPr>
          <w:rFonts w:ascii="Garamond" w:hAnsi="Garamond"/>
          <w:sz w:val="20"/>
          <w:szCs w:val="20"/>
        </w:rPr>
        <w:t xml:space="preserve"> Les citations de discours d’acteurs sont quant à elles placées entre guillemets.</w:t>
      </w:r>
    </w:p>
  </w:footnote>
  <w:footnote w:id="2">
    <w:p w14:paraId="6A69FAFC" w14:textId="77777777" w:rsidR="003A232C" w:rsidRPr="00CD4BAF" w:rsidRDefault="003A232C" w:rsidP="00D45449">
      <w:pPr>
        <w:pStyle w:val="Notedebasdepage"/>
        <w:jc w:val="both"/>
        <w:rPr>
          <w:rFonts w:ascii="Garamond" w:hAnsi="Garamond"/>
          <w:sz w:val="20"/>
          <w:szCs w:val="20"/>
        </w:rPr>
      </w:pPr>
      <w:r w:rsidRPr="00CD4BAF">
        <w:rPr>
          <w:rStyle w:val="Marquenotebasdepage"/>
          <w:rFonts w:ascii="Garamond" w:eastAsiaTheme="majorEastAsia" w:hAnsi="Garamond"/>
          <w:sz w:val="20"/>
          <w:szCs w:val="20"/>
        </w:rPr>
        <w:footnoteRef/>
      </w:r>
      <w:r w:rsidRPr="00CD4BAF">
        <w:rPr>
          <w:rFonts w:ascii="Garamond" w:hAnsi="Garamond"/>
          <w:sz w:val="20"/>
          <w:szCs w:val="20"/>
        </w:rPr>
        <w:t xml:space="preserve"> La coopération est la participation à la même production, qui est nécessairement conflictuelle car les acteurs sont inégaux. Le conflit traduit l’opposition entre les acteurs qui ont des positions et des intérêts différents dans cette collaboration (voir notamment Van </w:t>
      </w:r>
      <w:proofErr w:type="spellStart"/>
      <w:r w:rsidRPr="00CD4BAF">
        <w:rPr>
          <w:rFonts w:ascii="Garamond" w:hAnsi="Garamond"/>
          <w:sz w:val="20"/>
          <w:szCs w:val="20"/>
        </w:rPr>
        <w:t>Campenhoudt</w:t>
      </w:r>
      <w:proofErr w:type="spellEnd"/>
      <w:r w:rsidRPr="00CD4BAF">
        <w:rPr>
          <w:rFonts w:ascii="Garamond" w:hAnsi="Garamond"/>
          <w:sz w:val="20"/>
          <w:szCs w:val="20"/>
        </w:rPr>
        <w:t xml:space="preserve"> &amp; de Saint-Georges, 1982).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42908"/>
    <w:multiLevelType w:val="hybridMultilevel"/>
    <w:tmpl w:val="B2062B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06F"/>
    <w:rsid w:val="00010F15"/>
    <w:rsid w:val="000476D1"/>
    <w:rsid w:val="00066E22"/>
    <w:rsid w:val="000F371D"/>
    <w:rsid w:val="002156FD"/>
    <w:rsid w:val="00255482"/>
    <w:rsid w:val="002D5830"/>
    <w:rsid w:val="003A232C"/>
    <w:rsid w:val="00447A69"/>
    <w:rsid w:val="00495E7D"/>
    <w:rsid w:val="00496C75"/>
    <w:rsid w:val="00496F00"/>
    <w:rsid w:val="004A41AE"/>
    <w:rsid w:val="004B1046"/>
    <w:rsid w:val="006252CC"/>
    <w:rsid w:val="00660DB7"/>
    <w:rsid w:val="00662879"/>
    <w:rsid w:val="00681A37"/>
    <w:rsid w:val="006A3A2C"/>
    <w:rsid w:val="00885371"/>
    <w:rsid w:val="008F6B36"/>
    <w:rsid w:val="00954A89"/>
    <w:rsid w:val="00A1623F"/>
    <w:rsid w:val="00A32BE7"/>
    <w:rsid w:val="00A34A6E"/>
    <w:rsid w:val="00A57C33"/>
    <w:rsid w:val="00A608EA"/>
    <w:rsid w:val="00AB0F51"/>
    <w:rsid w:val="00AC1500"/>
    <w:rsid w:val="00AC5DF9"/>
    <w:rsid w:val="00B00BA7"/>
    <w:rsid w:val="00B17278"/>
    <w:rsid w:val="00B624C9"/>
    <w:rsid w:val="00C44F4C"/>
    <w:rsid w:val="00CC2419"/>
    <w:rsid w:val="00D45449"/>
    <w:rsid w:val="00EE2D32"/>
    <w:rsid w:val="00F6206F"/>
    <w:rsid w:val="00F83A96"/>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163B4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B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06F"/>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132804"/>
    <w:rPr>
      <w:rFonts w:ascii="Lucida Grande" w:hAnsi="Lucida Grande"/>
      <w:sz w:val="18"/>
      <w:szCs w:val="18"/>
    </w:rPr>
  </w:style>
  <w:style w:type="character" w:styleId="Lienhypertexte">
    <w:name w:val="Hyperlink"/>
    <w:basedOn w:val="Policepardfaut"/>
    <w:uiPriority w:val="99"/>
    <w:unhideWhenUsed/>
    <w:rsid w:val="00F6206F"/>
    <w:rPr>
      <w:color w:val="0000FF" w:themeColor="hyperlink"/>
      <w:u w:val="single"/>
    </w:rPr>
  </w:style>
  <w:style w:type="character" w:styleId="Marquenotebasdepage">
    <w:name w:val="footnote reference"/>
    <w:basedOn w:val="Policepardfaut"/>
    <w:uiPriority w:val="99"/>
    <w:unhideWhenUsed/>
    <w:rsid w:val="00F6206F"/>
    <w:rPr>
      <w:vertAlign w:val="superscript"/>
    </w:rPr>
  </w:style>
  <w:style w:type="character" w:styleId="Accentuation">
    <w:name w:val="Emphasis"/>
    <w:basedOn w:val="Policepardfaut"/>
    <w:uiPriority w:val="20"/>
    <w:qFormat/>
    <w:rsid w:val="00F6206F"/>
    <w:rPr>
      <w:i/>
      <w:iCs/>
    </w:rPr>
  </w:style>
  <w:style w:type="paragraph" w:styleId="Notedebasdepage">
    <w:name w:val="footnote text"/>
    <w:basedOn w:val="Normal"/>
    <w:link w:val="NotedebasdepageCar"/>
    <w:uiPriority w:val="99"/>
    <w:rsid w:val="00D45449"/>
    <w:rPr>
      <w:rFonts w:ascii="Bookman Old Style" w:eastAsia="Times New Roman" w:hAnsi="Bookman Old Style"/>
    </w:rPr>
  </w:style>
  <w:style w:type="character" w:customStyle="1" w:styleId="NotedebasdepageCar">
    <w:name w:val="Note de bas de page Car"/>
    <w:basedOn w:val="Policepardfaut"/>
    <w:link w:val="Notedebasdepage"/>
    <w:uiPriority w:val="99"/>
    <w:rsid w:val="00D45449"/>
    <w:rPr>
      <w:rFonts w:ascii="Bookman Old Style" w:eastAsia="Times New Roman" w:hAnsi="Bookman Old Style"/>
      <w:sz w:val="24"/>
      <w:szCs w:val="24"/>
      <w:lang w:val="fr-FR" w:eastAsia="fr-FR"/>
    </w:rPr>
  </w:style>
  <w:style w:type="paragraph" w:styleId="Paragraphedeliste">
    <w:name w:val="List Paragraph"/>
    <w:basedOn w:val="Normal"/>
    <w:uiPriority w:val="34"/>
    <w:qFormat/>
    <w:rsid w:val="008F6B3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B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06F"/>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132804"/>
    <w:rPr>
      <w:rFonts w:ascii="Lucida Grande" w:hAnsi="Lucida Grande"/>
      <w:sz w:val="18"/>
      <w:szCs w:val="18"/>
    </w:rPr>
  </w:style>
  <w:style w:type="character" w:styleId="Lienhypertexte">
    <w:name w:val="Hyperlink"/>
    <w:basedOn w:val="Policepardfaut"/>
    <w:uiPriority w:val="99"/>
    <w:unhideWhenUsed/>
    <w:rsid w:val="00F6206F"/>
    <w:rPr>
      <w:color w:val="0000FF" w:themeColor="hyperlink"/>
      <w:u w:val="single"/>
    </w:rPr>
  </w:style>
  <w:style w:type="character" w:styleId="Marquenotebasdepage">
    <w:name w:val="footnote reference"/>
    <w:basedOn w:val="Policepardfaut"/>
    <w:uiPriority w:val="99"/>
    <w:unhideWhenUsed/>
    <w:rsid w:val="00F6206F"/>
    <w:rPr>
      <w:vertAlign w:val="superscript"/>
    </w:rPr>
  </w:style>
  <w:style w:type="character" w:styleId="Accentuation">
    <w:name w:val="Emphasis"/>
    <w:basedOn w:val="Policepardfaut"/>
    <w:uiPriority w:val="20"/>
    <w:qFormat/>
    <w:rsid w:val="00F6206F"/>
    <w:rPr>
      <w:i/>
      <w:iCs/>
    </w:rPr>
  </w:style>
  <w:style w:type="paragraph" w:styleId="Notedebasdepage">
    <w:name w:val="footnote text"/>
    <w:basedOn w:val="Normal"/>
    <w:link w:val="NotedebasdepageCar"/>
    <w:uiPriority w:val="99"/>
    <w:rsid w:val="00D45449"/>
    <w:rPr>
      <w:rFonts w:ascii="Bookman Old Style" w:eastAsia="Times New Roman" w:hAnsi="Bookman Old Style"/>
    </w:rPr>
  </w:style>
  <w:style w:type="character" w:customStyle="1" w:styleId="NotedebasdepageCar">
    <w:name w:val="Note de bas de page Car"/>
    <w:basedOn w:val="Policepardfaut"/>
    <w:link w:val="Notedebasdepage"/>
    <w:uiPriority w:val="99"/>
    <w:rsid w:val="00D45449"/>
    <w:rPr>
      <w:rFonts w:ascii="Bookman Old Style" w:eastAsia="Times New Roman" w:hAnsi="Bookman Old Style"/>
      <w:sz w:val="24"/>
      <w:szCs w:val="24"/>
      <w:lang w:val="fr-FR" w:eastAsia="fr-FR"/>
    </w:rPr>
  </w:style>
  <w:style w:type="paragraph" w:styleId="Paragraphedeliste">
    <w:name w:val="List Paragraph"/>
    <w:basedOn w:val="Normal"/>
    <w:uiPriority w:val="34"/>
    <w:qFormat/>
    <w:rsid w:val="008F6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ec.europa.eu/citizens-initiative/public/signatories" TargetMode="External"/><Relationship Id="rId9" Type="http://schemas.openxmlformats.org/officeDocument/2006/relationships/hyperlink" Target="http://www.participation-etdemocratie.fr/sites/default/files/atelier_1-1_benoit_feildel.pdf"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7</Pages>
  <Words>2928</Words>
  <Characters>16107</Characters>
  <Application>Microsoft Macintosh Word</Application>
  <DocSecurity>0</DocSecurity>
  <Lines>134</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Dufrasne</dc:creator>
  <cp:keywords/>
  <dc:description/>
  <cp:lastModifiedBy>Marie Dufrasne</cp:lastModifiedBy>
  <cp:revision>16</cp:revision>
  <dcterms:created xsi:type="dcterms:W3CDTF">2016-06-08T08:19:00Z</dcterms:created>
  <dcterms:modified xsi:type="dcterms:W3CDTF">2016-06-15T17:58:00Z</dcterms:modified>
</cp:coreProperties>
</file>