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0F356C" w14:textId="2A54F7BB" w:rsidR="001E6651" w:rsidRPr="001E6651" w:rsidRDefault="001E6651" w:rsidP="00302113">
      <w:pPr>
        <w:jc w:val="both"/>
        <w:rPr>
          <w:smallCaps/>
        </w:rPr>
      </w:pPr>
      <w:r w:rsidRPr="001E6651">
        <w:rPr>
          <w:smallCaps/>
        </w:rPr>
        <w:t xml:space="preserve">Obligation in solidum – </w:t>
      </w:r>
      <w:r w:rsidR="006460ED">
        <w:rPr>
          <w:smallCaps/>
        </w:rPr>
        <w:t xml:space="preserve">obligation a la dette - </w:t>
      </w:r>
      <w:r w:rsidRPr="001E6651">
        <w:rPr>
          <w:smallCaps/>
        </w:rPr>
        <w:t xml:space="preserve">exception opposée par un codébiteur in solidum – </w:t>
      </w:r>
      <w:r w:rsidR="006460ED">
        <w:rPr>
          <w:smallCaps/>
        </w:rPr>
        <w:t xml:space="preserve">effet sur la dette des autres codebiteurs - </w:t>
      </w:r>
      <w:r w:rsidRPr="001E6651">
        <w:rPr>
          <w:smallCaps/>
        </w:rPr>
        <w:t>imputation d’un paiement partiel – art. 1254 C. civ.</w:t>
      </w:r>
      <w:r w:rsidR="006460ED">
        <w:rPr>
          <w:smallCaps/>
        </w:rPr>
        <w:t xml:space="preserve"> et interets compensatoires</w:t>
      </w:r>
    </w:p>
    <w:p w14:paraId="1881334C" w14:textId="77777777" w:rsidR="001E6651" w:rsidRDefault="001E6651" w:rsidP="00302113">
      <w:pPr>
        <w:jc w:val="both"/>
        <w:rPr>
          <w:b/>
        </w:rPr>
      </w:pPr>
    </w:p>
    <w:p w14:paraId="5519D496" w14:textId="728066FE" w:rsidR="001E6651" w:rsidRPr="001E6651" w:rsidRDefault="001E6651" w:rsidP="001E6651">
      <w:pPr>
        <w:jc w:val="both"/>
        <w:rPr>
          <w:i/>
        </w:rPr>
      </w:pPr>
      <w:r w:rsidRPr="001E6651">
        <w:rPr>
          <w:i/>
        </w:rPr>
        <w:t>Il résulte des articles 1254 et 1382 du Code civil que, en règle, le paiement partiel de la dette propre par un débiteur in solidum s'impute d'abord sur les intérêts de la dette due par les codébiteurs in solidum au créancier en réparation intégrale de son dommage, sans que les exceptions opposées par ce débiteur in solidum qui limitent le montant de sa dette propre à l'égard du créancier affectent, en le diminuant, le montant de la dette due par les codébiteurs in solidum au créancier en réparation intégrale de son dommage, partant, la dette propre des autres codébiteurs in solidum.</w:t>
      </w:r>
    </w:p>
    <w:p w14:paraId="1F47D9C8" w14:textId="77777777" w:rsidR="001E6651" w:rsidRDefault="001E6651" w:rsidP="00302113">
      <w:pPr>
        <w:jc w:val="both"/>
        <w:rPr>
          <w:b/>
        </w:rPr>
      </w:pPr>
    </w:p>
    <w:p w14:paraId="39A4EE94" w14:textId="5ED0CE89" w:rsidR="001E6651" w:rsidRPr="00FB58B7" w:rsidRDefault="001E6651" w:rsidP="00302113">
      <w:pPr>
        <w:jc w:val="both"/>
      </w:pPr>
      <w:r>
        <w:rPr>
          <w:b/>
        </w:rPr>
        <w:t>Décision</w:t>
      </w:r>
      <w:r w:rsidR="00FB58B7">
        <w:rPr>
          <w:b/>
        </w:rPr>
        <w:t xml:space="preserve"> : </w:t>
      </w:r>
      <w:r w:rsidR="00FB58B7" w:rsidRPr="00FB58B7">
        <w:t>RF14139 – Cass. 18 septembre 2014</w:t>
      </w:r>
      <w:r w:rsidR="006460ED">
        <w:t xml:space="preserve"> (…) </w:t>
      </w:r>
    </w:p>
    <w:p w14:paraId="0761645C" w14:textId="77777777" w:rsidR="001E6651" w:rsidRDefault="001E6651" w:rsidP="00302113">
      <w:pPr>
        <w:jc w:val="both"/>
        <w:rPr>
          <w:b/>
        </w:rPr>
      </w:pPr>
    </w:p>
    <w:p w14:paraId="44D79D3D" w14:textId="759D1FB2" w:rsidR="007A67DF" w:rsidRPr="00200A01" w:rsidRDefault="007A67DF" w:rsidP="00302113">
      <w:pPr>
        <w:jc w:val="both"/>
        <w:rPr>
          <w:b/>
        </w:rPr>
      </w:pPr>
      <w:r w:rsidRPr="00200A01">
        <w:rPr>
          <w:b/>
        </w:rPr>
        <w:t>Note d’observations</w:t>
      </w:r>
    </w:p>
    <w:p w14:paraId="496BA48A" w14:textId="77777777" w:rsidR="00302113" w:rsidRDefault="00302113" w:rsidP="00302113">
      <w:pPr>
        <w:jc w:val="both"/>
      </w:pPr>
    </w:p>
    <w:p w14:paraId="33009C3E" w14:textId="3379B6A5" w:rsidR="00BE1DE3" w:rsidRDefault="00200A01" w:rsidP="00152156">
      <w:pPr>
        <w:jc w:val="both"/>
      </w:pPr>
      <w:r>
        <w:t xml:space="preserve">1. </w:t>
      </w:r>
      <w:r w:rsidR="00152156">
        <w:t>L’</w:t>
      </w:r>
      <w:r w:rsidR="00302113">
        <w:t>arrêt</w:t>
      </w:r>
      <w:r w:rsidR="00152156">
        <w:t xml:space="preserve"> annoté</w:t>
      </w:r>
      <w:r w:rsidR="00302113">
        <w:t xml:space="preserve"> casse un</w:t>
      </w:r>
      <w:r w:rsidR="00152156">
        <w:t>e</w:t>
      </w:r>
      <w:r w:rsidR="00302113">
        <w:t xml:space="preserve"> </w:t>
      </w:r>
      <w:r w:rsidR="00152156">
        <w:t>décision</w:t>
      </w:r>
      <w:r w:rsidR="00302113">
        <w:t xml:space="preserve"> prononcé</w:t>
      </w:r>
      <w:r w:rsidR="00152156">
        <w:t>e</w:t>
      </w:r>
      <w:r w:rsidR="00302113">
        <w:t xml:space="preserve"> le 18 février 2013 p</w:t>
      </w:r>
      <w:r w:rsidR="00581777">
        <w:t xml:space="preserve">ar la Cour d’appel de Bruxelles qui </w:t>
      </w:r>
      <w:r w:rsidR="00302113">
        <w:t>avait, en substance, décidé que le</w:t>
      </w:r>
      <w:r w:rsidR="00152156">
        <w:t>s</w:t>
      </w:r>
      <w:r w:rsidR="00302113">
        <w:t xml:space="preserve"> paiement</w:t>
      </w:r>
      <w:r w:rsidR="00152156">
        <w:t>s</w:t>
      </w:r>
      <w:r w:rsidR="00302113">
        <w:t xml:space="preserve"> partiel</w:t>
      </w:r>
      <w:r w:rsidR="00152156">
        <w:t>s</w:t>
      </w:r>
      <w:r w:rsidR="00302113">
        <w:t xml:space="preserve"> effectué</w:t>
      </w:r>
      <w:r w:rsidR="00152156">
        <w:t>s</w:t>
      </w:r>
      <w:r w:rsidR="00302113">
        <w:t xml:space="preserve"> par deux sociétés codébitrices </w:t>
      </w:r>
      <w:r w:rsidR="00302113" w:rsidRPr="00F65BD7">
        <w:rPr>
          <w:i/>
        </w:rPr>
        <w:t>in solidum</w:t>
      </w:r>
      <w:r w:rsidR="00302113">
        <w:t xml:space="preserve"> devai</w:t>
      </w:r>
      <w:r w:rsidR="00BE1DE3">
        <w:t>en</w:t>
      </w:r>
      <w:r w:rsidR="00302113">
        <w:t>t, conformément à l’article 1254 du Code civil, s’imputer d’abord sur les intérêts</w:t>
      </w:r>
      <w:r w:rsidR="00152156">
        <w:t xml:space="preserve"> et ensuite sur le capital de la dette</w:t>
      </w:r>
      <w:r w:rsidR="00302113">
        <w:t>.</w:t>
      </w:r>
      <w:r w:rsidR="00152156">
        <w:t xml:space="preserve"> </w:t>
      </w:r>
    </w:p>
    <w:p w14:paraId="1D47126C" w14:textId="77777777" w:rsidR="00BE1DE3" w:rsidRDefault="00BE1DE3" w:rsidP="00152156">
      <w:pPr>
        <w:jc w:val="both"/>
      </w:pPr>
    </w:p>
    <w:p w14:paraId="0E6AF41E" w14:textId="4C5260B8" w:rsidR="00F64B3F" w:rsidRDefault="00200A01" w:rsidP="006460ED">
      <w:pPr>
        <w:jc w:val="both"/>
      </w:pPr>
      <w:r>
        <w:t xml:space="preserve">2. </w:t>
      </w:r>
      <w:r w:rsidR="00152156">
        <w:t>Le problème, pour la créancière, demanderesse en cassation, venait d</w:t>
      </w:r>
      <w:r w:rsidR="00BE1DE3">
        <w:t>e ce</w:t>
      </w:r>
      <w:r w:rsidR="00152156">
        <w:t xml:space="preserve"> que le cours des intérêts avait, en vertu du droit luxembourgeois, été interrompu à l’égard de ces deux</w:t>
      </w:r>
      <w:r w:rsidR="00302113">
        <w:t xml:space="preserve"> sociétés</w:t>
      </w:r>
      <w:r w:rsidR="00152156">
        <w:t>. Le montant payé par une d</w:t>
      </w:r>
      <w:r w:rsidR="00BE1DE3">
        <w:t>’elle</w:t>
      </w:r>
      <w:r w:rsidR="00152156">
        <w:t>s étant supérieur à celui des intérêts</w:t>
      </w:r>
      <w:r w:rsidR="006460ED">
        <w:t>, réduits,</w:t>
      </w:r>
      <w:r w:rsidR="00152156">
        <w:t xml:space="preserve"> dont elle était débitrice, la Cour d’appel avait considéré qu</w:t>
      </w:r>
      <w:r w:rsidR="00BE1DE3">
        <w:t xml:space="preserve">’il </w:t>
      </w:r>
      <w:r w:rsidR="006460ED">
        <w:t>devait être</w:t>
      </w:r>
      <w:r w:rsidR="00BE1DE3">
        <w:t xml:space="preserve"> imputé partiellement sur le capital de la dette, profitant de la sorte aux trois héritiers (les défendeurs en cassation) d’un troisième codébiteur qui n’avait pu bénéficier de l’interruption du cours des intérêts</w:t>
      </w:r>
      <w:r w:rsidR="00BE1DE3">
        <w:rPr>
          <w:rStyle w:val="Marquenotebasdepage"/>
        </w:rPr>
        <w:footnoteReference w:id="1"/>
      </w:r>
      <w:r w:rsidR="00BE1DE3">
        <w:t>.</w:t>
      </w:r>
      <w:r>
        <w:t xml:space="preserve"> </w:t>
      </w:r>
      <w:r w:rsidR="00581777">
        <w:t xml:space="preserve">La demanderesse estimait cependant que </w:t>
      </w:r>
      <w:r w:rsidR="006460ED">
        <w:t xml:space="preserve">ce dernier </w:t>
      </w:r>
      <w:r w:rsidR="00BE1DE3">
        <w:t>ne pouvait</w:t>
      </w:r>
      <w:r w:rsidR="00581777">
        <w:t xml:space="preserve"> </w:t>
      </w:r>
      <w:r w:rsidR="00BE1DE3">
        <w:t>se prévaloir</w:t>
      </w:r>
      <w:r w:rsidR="00581777">
        <w:t xml:space="preserve"> de l’exception soulevée par les deux autres codébitrices en raison de l’interruption des intérêts. La Cour de cassation lui a donné raison. </w:t>
      </w:r>
    </w:p>
    <w:p w14:paraId="0F9140D9" w14:textId="77777777" w:rsidR="00BE1DE3" w:rsidRDefault="00BE1DE3" w:rsidP="00302113">
      <w:pPr>
        <w:jc w:val="both"/>
      </w:pPr>
    </w:p>
    <w:p w14:paraId="3823E00A" w14:textId="78338562" w:rsidR="00F64B3F" w:rsidRDefault="00200A01" w:rsidP="00302113">
      <w:pPr>
        <w:jc w:val="both"/>
      </w:pPr>
      <w:r>
        <w:t xml:space="preserve">3. </w:t>
      </w:r>
      <w:r w:rsidR="00F64B3F">
        <w:t>Après un bref e</w:t>
      </w:r>
      <w:r w:rsidR="00BE1DE3">
        <w:t>xamen de la décision annotée (I</w:t>
      </w:r>
      <w:r w:rsidR="00555928">
        <w:t>), le présent</w:t>
      </w:r>
      <w:r w:rsidR="00F64B3F">
        <w:t xml:space="preserve"> </w:t>
      </w:r>
      <w:r w:rsidR="00555928">
        <w:t>commentaire</w:t>
      </w:r>
      <w:r w:rsidR="00F64B3F">
        <w:t xml:space="preserve"> analysera son enseignement tant sur le plan des règles applicables à l’obligation in solidum </w:t>
      </w:r>
      <w:r w:rsidR="00BE1DE3">
        <w:t>(II</w:t>
      </w:r>
      <w:r w:rsidR="00F64B3F">
        <w:t>) que sur celui</w:t>
      </w:r>
      <w:r w:rsidR="00555928">
        <w:t>, moins évident à première vue,</w:t>
      </w:r>
      <w:r w:rsidR="00F64B3F">
        <w:t xml:space="preserve"> de l’imputation d</w:t>
      </w:r>
      <w:r w:rsidR="00BE1DE3">
        <w:t xml:space="preserve">es </w:t>
      </w:r>
      <w:r w:rsidR="00555928">
        <w:t>paiements partiels en matière extracontractuelle</w:t>
      </w:r>
      <w:r w:rsidR="00BE1DE3">
        <w:t xml:space="preserve"> (III</w:t>
      </w:r>
      <w:r w:rsidR="00F64B3F">
        <w:t>)</w:t>
      </w:r>
      <w:r w:rsidR="00BE1DE3">
        <w:rPr>
          <w:rStyle w:val="Marquenotebasdepage"/>
        </w:rPr>
        <w:footnoteReference w:id="2"/>
      </w:r>
      <w:r w:rsidR="00F64B3F">
        <w:t xml:space="preserve">. </w:t>
      </w:r>
    </w:p>
    <w:p w14:paraId="0F083890" w14:textId="741F89AD" w:rsidR="00302113" w:rsidRDefault="00302113" w:rsidP="00BE1DE3">
      <w:pPr>
        <w:jc w:val="both"/>
      </w:pPr>
      <w:r>
        <w:t xml:space="preserve"> </w:t>
      </w:r>
    </w:p>
    <w:p w14:paraId="25E41597" w14:textId="502BA006" w:rsidR="00A35CF3" w:rsidRPr="00200A01" w:rsidRDefault="00A35CF3" w:rsidP="00302113">
      <w:pPr>
        <w:pStyle w:val="Paragraphedeliste"/>
        <w:numPr>
          <w:ilvl w:val="0"/>
          <w:numId w:val="2"/>
        </w:numPr>
        <w:jc w:val="both"/>
        <w:rPr>
          <w:b/>
        </w:rPr>
      </w:pPr>
      <w:r w:rsidRPr="00200A01">
        <w:rPr>
          <w:b/>
        </w:rPr>
        <w:t>L’arrêt annoté</w:t>
      </w:r>
    </w:p>
    <w:p w14:paraId="363E026E" w14:textId="6B90F21E" w:rsidR="00581777" w:rsidRDefault="00C52408" w:rsidP="00302113">
      <w:pPr>
        <w:jc w:val="both"/>
      </w:pPr>
      <w:r>
        <w:lastRenderedPageBreak/>
        <w:br/>
      </w:r>
      <w:r w:rsidR="00200A01">
        <w:t xml:space="preserve">4. </w:t>
      </w:r>
      <w:r w:rsidR="00581777">
        <w:t xml:space="preserve">Dans son quatrième moyen, la </w:t>
      </w:r>
      <w:r w:rsidR="00BE1DE3">
        <w:t>demanderesse en cassation</w:t>
      </w:r>
      <w:r w:rsidR="0007758F">
        <w:t xml:space="preserve"> invoquait la violation des articles 1142, 1146, 1147, 1149, 1150, 1151, 1208, 1220, 1254, 1382, 1383, 1984, 1989, 1991 et 1992 du Code civil, 1395, 1489 et 1498 du Code judiciaire, 62 des lois coordonnées sur les sociétés commerciales, 451 du Code de commerce et 23 de la loi du 8 août 1997 sur les faillites.</w:t>
      </w:r>
      <w:r w:rsidR="00F64B3F">
        <w:t xml:space="preserve"> La Cour ne retiendra </w:t>
      </w:r>
      <w:r w:rsidR="00BE1DE3">
        <w:t xml:space="preserve">cependant </w:t>
      </w:r>
      <w:r w:rsidR="00F64B3F">
        <w:t>la violation que d</w:t>
      </w:r>
      <w:r w:rsidR="00581777">
        <w:t>es articles 1254</w:t>
      </w:r>
      <w:r w:rsidR="00F64B3F">
        <w:t>,</w:t>
      </w:r>
      <w:r w:rsidR="00581777">
        <w:t xml:space="preserve"> </w:t>
      </w:r>
      <w:r w:rsidR="00F64B3F">
        <w:t xml:space="preserve">1382 </w:t>
      </w:r>
      <w:r w:rsidR="00581777">
        <w:t>et 138</w:t>
      </w:r>
      <w:r w:rsidR="00F64B3F">
        <w:t>3</w:t>
      </w:r>
      <w:r w:rsidR="00581777">
        <w:t xml:space="preserve"> du Code civil</w:t>
      </w:r>
      <w:r w:rsidR="00F64B3F">
        <w:t>, sans examiner les autres dispositions</w:t>
      </w:r>
      <w:r w:rsidR="00BE1DE3">
        <w:t xml:space="preserve"> invoquées</w:t>
      </w:r>
      <w:r w:rsidR="00581777">
        <w:t xml:space="preserve">. </w:t>
      </w:r>
    </w:p>
    <w:p w14:paraId="63FB3DC6" w14:textId="77777777" w:rsidR="00F91DE1" w:rsidRDefault="00F91DE1" w:rsidP="00302113">
      <w:pPr>
        <w:jc w:val="both"/>
      </w:pPr>
    </w:p>
    <w:p w14:paraId="058DEF1F" w14:textId="371F4CC7" w:rsidR="0007758F" w:rsidRDefault="00200A01" w:rsidP="00302113">
      <w:pPr>
        <w:jc w:val="both"/>
      </w:pPr>
      <w:r>
        <w:t xml:space="preserve">5. </w:t>
      </w:r>
      <w:r w:rsidR="00F65BD7">
        <w:t xml:space="preserve">La demanderesse en cassation </w:t>
      </w:r>
      <w:r w:rsidR="00BE1DE3">
        <w:t>affirmait</w:t>
      </w:r>
      <w:r w:rsidR="00F65BD7">
        <w:t xml:space="preserve"> que, à</w:t>
      </w:r>
      <w:r w:rsidR="0007758F">
        <w:t xml:space="preserve"> la différence de l</w:t>
      </w:r>
      <w:r w:rsidR="00555928">
        <w:t>’</w:t>
      </w:r>
      <w:r w:rsidR="0007758F">
        <w:t>obligation solidaire, l</w:t>
      </w:r>
      <w:r w:rsidR="00555928">
        <w:t>’</w:t>
      </w:r>
      <w:r w:rsidR="0007758F">
        <w:t xml:space="preserve">obligation </w:t>
      </w:r>
      <w:r w:rsidR="0007758F" w:rsidRPr="00555928">
        <w:rPr>
          <w:i/>
        </w:rPr>
        <w:t>in solidum</w:t>
      </w:r>
      <w:r w:rsidR="0007758F">
        <w:t xml:space="preserve"> </w:t>
      </w:r>
      <w:r w:rsidR="00F65BD7">
        <w:t>« </w:t>
      </w:r>
      <w:r w:rsidR="0007758F">
        <w:t>implique que chaque débiteur doit, non pas ce que doit un autre débiteur condamné à indemniser le même préjudice, mais une chose identique à celle à laquelle celui-ci est tenu</w:t>
      </w:r>
      <w:r w:rsidR="00F65BD7">
        <w:t> » et que « le</w:t>
      </w:r>
      <w:r w:rsidR="0007758F">
        <w:t xml:space="preserve"> débiteur qui paye la totalité ou une partie de sa dette paie sa propre dette et non la dette d'un  autre débiteur</w:t>
      </w:r>
      <w:r w:rsidR="00F65BD7">
        <w:t xml:space="preserve"> », de sorte que les débiteurs </w:t>
      </w:r>
      <w:r w:rsidR="00F65BD7" w:rsidRPr="00555928">
        <w:rPr>
          <w:i/>
        </w:rPr>
        <w:t>in solidum</w:t>
      </w:r>
      <w:r w:rsidR="00F65BD7">
        <w:t xml:space="preserve"> ne peuvent opposer que les exceptions relatives à leur propre dette et non celles </w:t>
      </w:r>
      <w:r w:rsidR="0007758F">
        <w:t>qui sont purement personnelles à qu</w:t>
      </w:r>
      <w:r w:rsidR="00F65BD7">
        <w:t>elques-uns des autres débiteurs. Selon la demanderesse, il suivait de ces principes et de l’article 1254 du Code civil que « </w:t>
      </w:r>
      <w:r w:rsidR="0007758F">
        <w:t>bien que, lorsque le cours des intérêts est arrêté à l'égard d'un autre débiteur tenu in solidum, le paiement fait par cet autre débiteur soit imputé d'abord sur les intérêts et ensuite sur le capital dû par ce débiteur, les autres débiteurs à l'égard desquels le cours des intérêts n'est pas arrêté restent tenus pour le tout (sans que ce créancier puisse réclamer plus que la totalité du dommage) et ne pourront pas profiter de cette interruption du cours des intérêts et de l'imputation du paiement sur le capital qui en est la conséquence</w:t>
      </w:r>
      <w:r w:rsidR="00F65BD7">
        <w:t> »</w:t>
      </w:r>
      <w:r w:rsidR="0007758F">
        <w:t>.</w:t>
      </w:r>
    </w:p>
    <w:p w14:paraId="68FB5910" w14:textId="77777777" w:rsidR="009C1215" w:rsidRDefault="009C1215" w:rsidP="00302113">
      <w:pPr>
        <w:jc w:val="both"/>
      </w:pPr>
    </w:p>
    <w:p w14:paraId="48085EE6" w14:textId="46D13660" w:rsidR="0007758F" w:rsidRDefault="00200A01" w:rsidP="00302113">
      <w:pPr>
        <w:jc w:val="both"/>
      </w:pPr>
      <w:r>
        <w:t xml:space="preserve">6. </w:t>
      </w:r>
      <w:r w:rsidR="009C1215">
        <w:t xml:space="preserve">Dans ses conclusions, l’avocat général Werquin </w:t>
      </w:r>
      <w:r w:rsidR="000075B9">
        <w:t xml:space="preserve">rappelait que, « dans le système de la solidarité, l'on peut affirmer que, vis-à-vis du créancier, chacun des codébiteurs solidaires doit, par rapport à ses codébiteurs, la même chose, en matière d'obligation in solidum chaque coobligé in solidum doit, par rapport aux autres, une chose identique ». </w:t>
      </w:r>
      <w:r w:rsidR="00154D8E">
        <w:t>Il en résultait</w:t>
      </w:r>
      <w:r w:rsidR="00555928">
        <w:t>, selon lui,</w:t>
      </w:r>
      <w:r w:rsidR="00154D8E">
        <w:t xml:space="preserve"> que, « </w:t>
      </w:r>
      <w:r w:rsidR="00154D8E" w:rsidRPr="00154D8E">
        <w:t>en règle, les exceptions qui peuvent être opposées par un débiteur in solidum, tenu pour le tout dès le départ, affecte sa dette propre en la diminuant, sans que celles-ci affecte celle des autres débiteurs in solidum, de sorte que le créancier peut réclamer le tout aux autres débiteurs in solidum, sans pour autant que le créancier puisse percevoir plus que la réparation de son dommage</w:t>
      </w:r>
      <w:r w:rsidR="00154D8E">
        <w:t> »</w:t>
      </w:r>
      <w:r w:rsidR="00154D8E" w:rsidRPr="00154D8E">
        <w:t>.</w:t>
      </w:r>
      <w:r w:rsidR="00154D8E">
        <w:t xml:space="preserve"> Et de conclure à la cassation dès lors que «</w:t>
      </w:r>
      <w:r w:rsidR="009C1215">
        <w:t xml:space="preserve"> le paiement partiel de la dette propre par un débiteur in solidum s'impute d'abord sur les intérêts de la dette due par les codébiteurs in solidum au créancier en réparation intégrale de son dommage, sans que les exceptions opposées par ce débiteur in solidum qui limitent le montant de sa dette propre à l'égard du créancier affectent, en le diminuant, le montant de la dette due par les codébiteurs in solidum au créancier en réparation intégrale de son dommage, partant, la dette propre des autres codébiteurs in solidum</w:t>
      </w:r>
      <w:r w:rsidR="00154D8E">
        <w:t> »</w:t>
      </w:r>
      <w:r w:rsidR="009C1215">
        <w:t>.</w:t>
      </w:r>
    </w:p>
    <w:p w14:paraId="1DE9141D" w14:textId="77777777" w:rsidR="00154D8E" w:rsidRDefault="00154D8E" w:rsidP="00302113">
      <w:pPr>
        <w:jc w:val="both"/>
      </w:pPr>
    </w:p>
    <w:p w14:paraId="5199E48E" w14:textId="7F0A2D2A" w:rsidR="009C1215" w:rsidRDefault="001E6651" w:rsidP="00302113">
      <w:pPr>
        <w:jc w:val="both"/>
      </w:pPr>
      <w:r>
        <w:t xml:space="preserve">7. </w:t>
      </w:r>
      <w:r w:rsidR="00154D8E">
        <w:t xml:space="preserve">Dans son arrêt annoté, la Cour de cassation a, après avoir rappelé la portée des articles 1254 et 1382 du Code civil, repris mot pour mot </w:t>
      </w:r>
      <w:r w:rsidR="00B1390E">
        <w:t>la formulation proposée par</w:t>
      </w:r>
      <w:r w:rsidR="00154D8E">
        <w:t xml:space="preserve"> son avocat général, considérant qu’il résultait «</w:t>
      </w:r>
      <w:r w:rsidR="009C1215">
        <w:t xml:space="preserve"> de ces dispositions que, en règle, le paiement partiel de la dette propre par un débiteur in solidum s'impute d'abord sur les intérêts de la dette due par les codébiteurs in solidum au créancier en réparation intégrale de son dommage, sans que les exceptions opposées par ce débiteur in solidum qui limitent le montant de sa dette propre à l'égard du créancier affectent, en le diminuant, le montant de la dette due par les codébiteurs in solidum au créancier en réparation intégrale de son dommage, partant, la dette propre des autres codébiteurs in solidum</w:t>
      </w:r>
      <w:r w:rsidR="00154D8E">
        <w:t> »</w:t>
      </w:r>
      <w:r w:rsidR="009C1215">
        <w:t>.</w:t>
      </w:r>
    </w:p>
    <w:p w14:paraId="0FC3F266" w14:textId="77777777" w:rsidR="00154D8E" w:rsidRDefault="00154D8E" w:rsidP="00302113">
      <w:pPr>
        <w:jc w:val="both"/>
      </w:pPr>
    </w:p>
    <w:p w14:paraId="4808034D" w14:textId="631FD0AC" w:rsidR="00154D8E" w:rsidRDefault="001E6651" w:rsidP="00302113">
      <w:pPr>
        <w:jc w:val="both"/>
      </w:pPr>
      <w:r>
        <w:t xml:space="preserve">8. </w:t>
      </w:r>
      <w:r w:rsidR="00154D8E">
        <w:t xml:space="preserve">Selon la Cour, la juridiction d’appel n’a donc pu décider que les montants payés par les deux sociétés à l’égard desquelles le cours des intérêts avait été interrompu </w:t>
      </w:r>
      <w:r w:rsidR="00B1390E">
        <w:t>avaient été</w:t>
      </w:r>
      <w:r w:rsidR="00154D8E">
        <w:t xml:space="preserve"> imputés sur les intérêts puis sur le capital de la dette de</w:t>
      </w:r>
      <w:r w:rsidR="00B1390E">
        <w:t xml:space="preserve"> tou</w:t>
      </w:r>
      <w:r w:rsidR="00154D8E">
        <w:t>s</w:t>
      </w:r>
      <w:r w:rsidR="00B1390E">
        <w:t xml:space="preserve"> les</w:t>
      </w:r>
      <w:r w:rsidR="00154D8E">
        <w:t xml:space="preserve"> codébiteurs </w:t>
      </w:r>
      <w:r w:rsidR="00154D8E" w:rsidRPr="00D01BBE">
        <w:rPr>
          <w:i/>
        </w:rPr>
        <w:t>in solidum</w:t>
      </w:r>
      <w:r w:rsidR="00154D8E">
        <w:t>, profitant de la sorte également au troisième codébiteur</w:t>
      </w:r>
      <w:r w:rsidR="00555928">
        <w:t>, et donc à ses héritiers</w:t>
      </w:r>
      <w:r w:rsidR="00154D8E">
        <w:t xml:space="preserve">. Elle a cassé l’arrêt attaqué et renvoyé la cause devant la Cour d’appel de Liège où elle est toujours pendante. </w:t>
      </w:r>
    </w:p>
    <w:p w14:paraId="6865DA4F" w14:textId="77777777" w:rsidR="00302113" w:rsidRDefault="00302113" w:rsidP="00302113">
      <w:pPr>
        <w:jc w:val="both"/>
      </w:pPr>
    </w:p>
    <w:p w14:paraId="1456A840" w14:textId="43DA7F6B" w:rsidR="004250E0" w:rsidRDefault="001E6651" w:rsidP="004250E0">
      <w:pPr>
        <w:jc w:val="both"/>
      </w:pPr>
      <w:r>
        <w:t xml:space="preserve">9. </w:t>
      </w:r>
      <w:r w:rsidR="004250E0">
        <w:t xml:space="preserve">A première vue, l’arrêt commenté offre essentiellement une clarification du régime applicable aux obligations </w:t>
      </w:r>
      <w:r w:rsidR="004250E0" w:rsidRPr="00555928">
        <w:rPr>
          <w:i/>
        </w:rPr>
        <w:t>in solidum</w:t>
      </w:r>
      <w:r w:rsidR="00555928">
        <w:t>, qu’il convient de distinguer des obligations solidaires.</w:t>
      </w:r>
    </w:p>
    <w:p w14:paraId="53FFB885" w14:textId="77777777" w:rsidR="004250E0" w:rsidRDefault="004250E0" w:rsidP="00302113">
      <w:pPr>
        <w:jc w:val="both"/>
      </w:pPr>
    </w:p>
    <w:p w14:paraId="2674F01B" w14:textId="5695417B" w:rsidR="00302113" w:rsidRPr="00FB58B7" w:rsidRDefault="00302113" w:rsidP="00F64B3F">
      <w:pPr>
        <w:pStyle w:val="Paragraphedeliste"/>
        <w:numPr>
          <w:ilvl w:val="0"/>
          <w:numId w:val="2"/>
        </w:numPr>
        <w:jc w:val="both"/>
        <w:rPr>
          <w:b/>
        </w:rPr>
      </w:pPr>
      <w:r w:rsidRPr="00FB58B7">
        <w:rPr>
          <w:b/>
        </w:rPr>
        <w:t xml:space="preserve">Les obligations solidaires et </w:t>
      </w:r>
      <w:r w:rsidRPr="00FB58B7">
        <w:rPr>
          <w:b/>
          <w:i/>
        </w:rPr>
        <w:t>in solidum</w:t>
      </w:r>
    </w:p>
    <w:p w14:paraId="6EB516F1" w14:textId="77777777" w:rsidR="00F64B3F" w:rsidRDefault="00F64B3F" w:rsidP="00302113">
      <w:pPr>
        <w:jc w:val="both"/>
      </w:pPr>
    </w:p>
    <w:p w14:paraId="050BA3BC" w14:textId="2A3F6C8D" w:rsidR="00302113" w:rsidRDefault="001E6651" w:rsidP="00302113">
      <w:pPr>
        <w:jc w:val="both"/>
      </w:pPr>
      <w:r>
        <w:t xml:space="preserve">10. </w:t>
      </w:r>
      <w:r w:rsidR="00302113">
        <w:t xml:space="preserve">Rappelons brièvement que la règle selon laquelle, lorsque </w:t>
      </w:r>
      <w:r w:rsidR="00302113" w:rsidRPr="009B5183">
        <w:t>plusieurs débiteurs contractent une obligation, la prestation due est en principe divisée de plein droit entre eux</w:t>
      </w:r>
      <w:r w:rsidR="00302113">
        <w:t xml:space="preserve"> « </w:t>
      </w:r>
      <w:r w:rsidR="00302113" w:rsidRPr="009B5183">
        <w:t>ne souffre d’exception que si l’obligation est indivisible, a été contractée solidairement ou cons</w:t>
      </w:r>
      <w:r w:rsidR="00302113">
        <w:t>titue une obligation in solidum »</w:t>
      </w:r>
      <w:r w:rsidR="00302113">
        <w:rPr>
          <w:rStyle w:val="Marquenotebasdepage"/>
        </w:rPr>
        <w:footnoteReference w:id="3"/>
      </w:r>
      <w:r w:rsidR="00302113">
        <w:t xml:space="preserve">. </w:t>
      </w:r>
    </w:p>
    <w:p w14:paraId="2A952982" w14:textId="77777777" w:rsidR="00302113" w:rsidRDefault="00302113" w:rsidP="00302113">
      <w:pPr>
        <w:jc w:val="both"/>
      </w:pPr>
    </w:p>
    <w:p w14:paraId="09AA49CB" w14:textId="5E343111" w:rsidR="009044E0" w:rsidRDefault="001E6651" w:rsidP="009044E0">
      <w:pPr>
        <w:jc w:val="both"/>
      </w:pPr>
      <w:r>
        <w:t xml:space="preserve">11. </w:t>
      </w:r>
      <w:r w:rsidR="00302113">
        <w:t xml:space="preserve">L’obligation solidaire, dont la source peut être légale ou conventionnelle (article 1202 du Code civil), coutumière ou résulter d’un principe général de droit, peut être active (entre créanciers) ou passive (entre débiteurs) et entraîne des effets principaux </w:t>
      </w:r>
      <w:r w:rsidR="009044E0">
        <w:t>et</w:t>
      </w:r>
      <w:r w:rsidR="00302113">
        <w:t xml:space="preserve"> </w:t>
      </w:r>
      <w:r w:rsidR="009044E0">
        <w:t>secondaires</w:t>
      </w:r>
      <w:r w:rsidR="00302113">
        <w:rPr>
          <w:rStyle w:val="Marquenotebasdepage"/>
        </w:rPr>
        <w:footnoteReference w:id="4"/>
      </w:r>
      <w:r w:rsidR="00302113">
        <w:t xml:space="preserve">. </w:t>
      </w:r>
    </w:p>
    <w:p w14:paraId="248D806B" w14:textId="77777777" w:rsidR="009044E0" w:rsidRDefault="009044E0" w:rsidP="009044E0">
      <w:pPr>
        <w:jc w:val="both"/>
      </w:pPr>
    </w:p>
    <w:p w14:paraId="15E766B7" w14:textId="134B3CD5" w:rsidR="00F64B3F" w:rsidRDefault="001E6651" w:rsidP="009044E0">
      <w:pPr>
        <w:jc w:val="both"/>
      </w:pPr>
      <w:r>
        <w:t xml:space="preserve">12. </w:t>
      </w:r>
      <w:r w:rsidR="00302113">
        <w:t>Les effets principaux de la solidarité passive tiennent, d’une part, à l’unité d’objet des dettes</w:t>
      </w:r>
      <w:r w:rsidR="00302113">
        <w:rPr>
          <w:rStyle w:val="Marquenotebasdepage"/>
        </w:rPr>
        <w:footnoteReference w:id="5"/>
      </w:r>
      <w:r w:rsidR="00302113">
        <w:t xml:space="preserve"> et, d’autre part, à la pluralité des liens obligataires.</w:t>
      </w:r>
      <w:r w:rsidR="009044E0">
        <w:t xml:space="preserve"> En vertu de la première, </w:t>
      </w:r>
      <w:r w:rsidR="009044E0" w:rsidRPr="009044E0">
        <w:t xml:space="preserve">chaque codébiteur </w:t>
      </w:r>
      <w:r w:rsidR="009044E0">
        <w:t xml:space="preserve">peut </w:t>
      </w:r>
      <w:r w:rsidR="009044E0" w:rsidRPr="009044E0">
        <w:t xml:space="preserve">opposer au créancier, outre les exceptions qui lui sont personnelles, </w:t>
      </w:r>
      <w:r w:rsidR="009044E0">
        <w:t>celles</w:t>
      </w:r>
      <w:r w:rsidR="009044E0" w:rsidRPr="009044E0">
        <w:t xml:space="preserve"> qui tiennent à la nature même de l’obligation solidaire et celles qui sont</w:t>
      </w:r>
      <w:r w:rsidR="009044E0">
        <w:t xml:space="preserve"> communes à tous les débiteurs alors que la seconde explique que l</w:t>
      </w:r>
      <w:r w:rsidR="009044E0" w:rsidRPr="009044E0">
        <w:t xml:space="preserve">es débiteurs ne pourront se prévaloir des exceptions </w:t>
      </w:r>
      <w:r w:rsidR="009044E0" w:rsidRPr="009044E0">
        <w:rPr>
          <w:i/>
        </w:rPr>
        <w:t>purement</w:t>
      </w:r>
      <w:r w:rsidR="009044E0" w:rsidRPr="009044E0">
        <w:t xml:space="preserve"> personnelles à un autre débiteur (art. 1208 du Code civil). Parmi ces exceptions purement personnelles, on peut évoquer les causes de nullité (comme l’erreur, sauf si elle est commune à tous les débiteurs) ou les modalités de l’obligation qui ne sont propres qu’à un des débiteurs</w:t>
      </w:r>
      <w:r w:rsidR="009044E0">
        <w:rPr>
          <w:rStyle w:val="Marquenotebasdepage"/>
        </w:rPr>
        <w:footnoteReference w:id="6"/>
      </w:r>
      <w:r w:rsidR="009044E0" w:rsidRPr="009044E0">
        <w:t xml:space="preserve">. </w:t>
      </w:r>
    </w:p>
    <w:p w14:paraId="146C72DD" w14:textId="77777777" w:rsidR="00F64B3F" w:rsidRDefault="00F64B3F" w:rsidP="00302113">
      <w:pPr>
        <w:jc w:val="both"/>
      </w:pPr>
    </w:p>
    <w:p w14:paraId="37661B45" w14:textId="4869812F" w:rsidR="00302113" w:rsidRDefault="001E6651" w:rsidP="00302113">
      <w:pPr>
        <w:jc w:val="both"/>
      </w:pPr>
      <w:r>
        <w:t xml:space="preserve">13. </w:t>
      </w:r>
      <w:r w:rsidR="00B1390E">
        <w:t xml:space="preserve">Les effets secondaires sont, pour l’essentiel, prévus par la loi. </w:t>
      </w:r>
      <w:r w:rsidR="00B1390E" w:rsidRPr="00B1390E">
        <w:t>Il s’agit des articles 1205 à 1207 du Code civil relatifs à la mise en demeure, l’interruption de la prescription</w:t>
      </w:r>
      <w:r w:rsidR="00F94F03">
        <w:t xml:space="preserve"> et la faute d’un des débiteurs</w:t>
      </w:r>
      <w:r w:rsidR="00302113">
        <w:rPr>
          <w:rStyle w:val="Marquenotebasdepage"/>
        </w:rPr>
        <w:footnoteReference w:id="7"/>
      </w:r>
      <w:r w:rsidR="00302113">
        <w:t xml:space="preserve">. </w:t>
      </w:r>
    </w:p>
    <w:p w14:paraId="63310500" w14:textId="77777777" w:rsidR="00302113" w:rsidRDefault="00302113" w:rsidP="00302113">
      <w:pPr>
        <w:jc w:val="both"/>
      </w:pPr>
    </w:p>
    <w:p w14:paraId="437FA67E" w14:textId="305713B9" w:rsidR="0083513D" w:rsidRDefault="001E6651" w:rsidP="0083513D">
      <w:pPr>
        <w:jc w:val="both"/>
      </w:pPr>
      <w:r>
        <w:t xml:space="preserve">14. </w:t>
      </w:r>
      <w:r w:rsidR="00302113">
        <w:t xml:space="preserve">L’obligation </w:t>
      </w:r>
      <w:r w:rsidR="00302113" w:rsidRPr="00882454">
        <w:rPr>
          <w:i/>
        </w:rPr>
        <w:t>in solidum</w:t>
      </w:r>
      <w:r w:rsidR="00302113">
        <w:t xml:space="preserve"> est une construction jurisprudentielle. Tout comme l’obligation solidaire, elle oblige chacun des débiteurs à payer l’entièreté de la dette. Les différences entre les deux régimes tiennent essentiellement au fait que chacun des codébiteurs solidaires doit la </w:t>
      </w:r>
      <w:r w:rsidR="00302113" w:rsidRPr="0073739C">
        <w:rPr>
          <w:i/>
        </w:rPr>
        <w:t>même</w:t>
      </w:r>
      <w:r w:rsidR="00302113">
        <w:t xml:space="preserve"> chose (les dettes individuelles se fondant en une dette unique) alors que chaque codébiteur </w:t>
      </w:r>
      <w:r w:rsidR="00302113" w:rsidRPr="0073739C">
        <w:rPr>
          <w:i/>
        </w:rPr>
        <w:t>in solidum</w:t>
      </w:r>
      <w:r w:rsidR="00302113">
        <w:t xml:space="preserve"> a une dette propre, qui est </w:t>
      </w:r>
      <w:r w:rsidR="00302113" w:rsidRPr="0073739C">
        <w:rPr>
          <w:i/>
        </w:rPr>
        <w:t>identique</w:t>
      </w:r>
      <w:r w:rsidR="00302113">
        <w:t xml:space="preserve"> à celle des autres codébiteurs</w:t>
      </w:r>
      <w:r w:rsidR="00302113">
        <w:rPr>
          <w:rStyle w:val="Marquenotebasdepage"/>
        </w:rPr>
        <w:footnoteReference w:id="8"/>
      </w:r>
      <w:r w:rsidR="00302113">
        <w:t>.</w:t>
      </w:r>
      <w:r w:rsidR="0083513D">
        <w:t xml:space="preserve"> Tant la source que la nature de l’objet et l’étendue des prestations des différents codébiteurs </w:t>
      </w:r>
      <w:r w:rsidR="0083513D" w:rsidRPr="00555928">
        <w:rPr>
          <w:i/>
        </w:rPr>
        <w:t>in solidum</w:t>
      </w:r>
      <w:r w:rsidR="0083513D">
        <w:t xml:space="preserve"> peu</w:t>
      </w:r>
      <w:r w:rsidR="00555928">
        <w:t>ven</w:t>
      </w:r>
      <w:r w:rsidR="0083513D">
        <w:t>t différer</w:t>
      </w:r>
      <w:r w:rsidR="0083513D">
        <w:rPr>
          <w:rStyle w:val="Marquenotebasdepage"/>
        </w:rPr>
        <w:footnoteReference w:id="9"/>
      </w:r>
      <w:r w:rsidR="0083513D">
        <w:t xml:space="preserve">. </w:t>
      </w:r>
    </w:p>
    <w:p w14:paraId="2507E299" w14:textId="100E1F79" w:rsidR="00302113" w:rsidRDefault="00302113" w:rsidP="00302113">
      <w:pPr>
        <w:jc w:val="both"/>
      </w:pPr>
    </w:p>
    <w:p w14:paraId="028FF991" w14:textId="6A171E12" w:rsidR="00302113" w:rsidRDefault="001E6651" w:rsidP="00302113">
      <w:pPr>
        <w:jc w:val="both"/>
      </w:pPr>
      <w:r>
        <w:t xml:space="preserve">15. </w:t>
      </w:r>
      <w:r w:rsidR="00302113">
        <w:t xml:space="preserve">On enseigne traditionnellement que les effets secondaires des obligations solidaires ne s’appliquent pas aux obligations </w:t>
      </w:r>
      <w:r w:rsidR="00302113" w:rsidRPr="00A35CF3">
        <w:rPr>
          <w:i/>
        </w:rPr>
        <w:t>in solidum</w:t>
      </w:r>
      <w:r w:rsidR="00302113">
        <w:rPr>
          <w:rStyle w:val="Marquenotebasdepage"/>
        </w:rPr>
        <w:footnoteReference w:id="10"/>
      </w:r>
      <w:r w:rsidR="0083513D">
        <w:t>. Il en va autrement de</w:t>
      </w:r>
      <w:r w:rsidR="00302113">
        <w:t xml:space="preserve"> leurs effets principaux, sous réserve de quelques adaptations résultant de la nature et de l’origine de l’obligation </w:t>
      </w:r>
      <w:r w:rsidR="00302113" w:rsidRPr="00555928">
        <w:rPr>
          <w:i/>
        </w:rPr>
        <w:t>in solidum</w:t>
      </w:r>
      <w:r w:rsidR="00302113">
        <w:t>. Le créancier peut donc poursuivre un ou plusieurs débiteurs et lui réclamer la totalité de sa créance</w:t>
      </w:r>
      <w:r w:rsidR="00555928">
        <w:t>. En outre</w:t>
      </w:r>
      <w:r w:rsidR="00302113">
        <w:t xml:space="preserve">, le paiement total d’un des débiteurs libère les autres. Eu égard au caractère propre de la dette qui fait l’objet de l’obligation </w:t>
      </w:r>
      <w:r w:rsidR="00302113" w:rsidRPr="00555928">
        <w:rPr>
          <w:i/>
        </w:rPr>
        <w:t>in solidum</w:t>
      </w:r>
      <w:r w:rsidR="00302113">
        <w:t>, les exceptions d’un codébiteur lui seront généralement purement personnelles</w:t>
      </w:r>
      <w:r w:rsidR="00F94F03">
        <w:rPr>
          <w:rStyle w:val="Marquenotebasdepage"/>
        </w:rPr>
        <w:footnoteReference w:id="11"/>
      </w:r>
      <w:r w:rsidR="00302113">
        <w:t xml:space="preserve">. </w:t>
      </w:r>
    </w:p>
    <w:p w14:paraId="0DEE9C1B" w14:textId="77777777" w:rsidR="00F64B3F" w:rsidRDefault="00F64B3F" w:rsidP="00302113">
      <w:pPr>
        <w:jc w:val="both"/>
      </w:pPr>
    </w:p>
    <w:p w14:paraId="59357621" w14:textId="334ED175" w:rsidR="00A35CF3" w:rsidRDefault="001E6651" w:rsidP="00302113">
      <w:pPr>
        <w:jc w:val="both"/>
      </w:pPr>
      <w:r>
        <w:t xml:space="preserve">16. </w:t>
      </w:r>
      <w:r w:rsidR="00D01BBE">
        <w:t xml:space="preserve">La décision annotée </w:t>
      </w:r>
      <w:r w:rsidR="00A35CF3">
        <w:t xml:space="preserve">vient donc confirmer le caractère propre de la dette du codébiteur </w:t>
      </w:r>
      <w:r w:rsidR="00A35CF3" w:rsidRPr="00A35CF3">
        <w:rPr>
          <w:i/>
        </w:rPr>
        <w:t>in solidum</w:t>
      </w:r>
      <w:r w:rsidR="00A35CF3">
        <w:t xml:space="preserve"> et précise que l’exception qu’un codébiteur peut opposer du fait de l’interruption du cours des intérêts </w:t>
      </w:r>
      <w:r w:rsidR="00B1390E">
        <w:t xml:space="preserve">intervenue </w:t>
      </w:r>
      <w:r w:rsidR="00A35CF3">
        <w:t>en raison de sa situation personnelle</w:t>
      </w:r>
      <w:r w:rsidR="00B1390E">
        <w:rPr>
          <w:rStyle w:val="Marquenotebasdepage"/>
        </w:rPr>
        <w:footnoteReference w:id="12"/>
      </w:r>
      <w:r w:rsidR="00A35CF3">
        <w:t xml:space="preserve"> ne peut profiter aux autres codébiteurs par application de l’article 1254 du Code civil. </w:t>
      </w:r>
      <w:r w:rsidR="00B463F2">
        <w:t>En d’autres termes, dans le cas d’espèce, le remboursement opéré par un codébiteur ne pouvait, en tant qu’il dépassait le montant des intérêts</w:t>
      </w:r>
      <w:r w:rsidR="004250E0">
        <w:t xml:space="preserve"> dus par ce débiteur</w:t>
      </w:r>
      <w:r w:rsidR="00B463F2">
        <w:t>, réduit en raison de l’interruption de la prescription</w:t>
      </w:r>
      <w:r w:rsidR="004250E0">
        <w:t xml:space="preserve"> ayant joué en sa faveur</w:t>
      </w:r>
      <w:r w:rsidR="00B463F2">
        <w:t xml:space="preserve">, s’imputer sur le capital de la dette propre des autres codébiteurs. </w:t>
      </w:r>
    </w:p>
    <w:p w14:paraId="39DCF52E" w14:textId="77777777" w:rsidR="00B463F2" w:rsidRDefault="00B463F2" w:rsidP="00302113">
      <w:pPr>
        <w:jc w:val="both"/>
      </w:pPr>
    </w:p>
    <w:p w14:paraId="0D88C078" w14:textId="43002E46" w:rsidR="00154D8E" w:rsidRDefault="001E6651" w:rsidP="004250E0">
      <w:pPr>
        <w:jc w:val="both"/>
      </w:pPr>
      <w:r>
        <w:t>17. L’arrêt,</w:t>
      </w:r>
      <w:r w:rsidR="00B61F15">
        <w:t xml:space="preserve"> sur ce point, est certainement </w:t>
      </w:r>
      <w:r w:rsidR="004250E0">
        <w:t xml:space="preserve">intéressant. </w:t>
      </w:r>
      <w:r w:rsidR="00555928">
        <w:t xml:space="preserve">Les arrêts récents de la Cour de cassation </w:t>
      </w:r>
      <w:r w:rsidR="00B7521F">
        <w:t xml:space="preserve">concernant l’obligation </w:t>
      </w:r>
      <w:r w:rsidR="00B7521F" w:rsidRPr="00B7521F">
        <w:rPr>
          <w:i/>
        </w:rPr>
        <w:t>in solidum</w:t>
      </w:r>
      <w:r w:rsidR="00B7521F">
        <w:t xml:space="preserve"> qui sont </w:t>
      </w:r>
      <w:r w:rsidR="00555928">
        <w:t>relatifs au stade de l’obligation à la dette ne sont, en effet, pas légion</w:t>
      </w:r>
      <w:r w:rsidR="00B7521F">
        <w:rPr>
          <w:rStyle w:val="Marquenotebasdepage"/>
        </w:rPr>
        <w:footnoteReference w:id="13"/>
      </w:r>
      <w:r w:rsidR="00555928">
        <w:t xml:space="preserve">. </w:t>
      </w:r>
      <w:r w:rsidR="004250E0">
        <w:t>I</w:t>
      </w:r>
      <w:r w:rsidR="009044E0">
        <w:t xml:space="preserve">l n’est </w:t>
      </w:r>
      <w:r w:rsidR="004250E0">
        <w:t xml:space="preserve">sans doute </w:t>
      </w:r>
      <w:r w:rsidR="009044E0">
        <w:t>pas révolutionnaire</w:t>
      </w:r>
      <w:r w:rsidR="00B7521F">
        <w:t xml:space="preserve"> au regard des principes précités, qui sont largement acceptés</w:t>
      </w:r>
      <w:r w:rsidR="004250E0">
        <w:rPr>
          <w:rStyle w:val="Marquenotebasdepage"/>
        </w:rPr>
        <w:footnoteReference w:id="14"/>
      </w:r>
      <w:r w:rsidR="009044E0">
        <w:t>.</w:t>
      </w:r>
      <w:r w:rsidR="004250E0">
        <w:t xml:space="preserve"> </w:t>
      </w:r>
      <w:r w:rsidR="00B7521F">
        <w:t xml:space="preserve">En réalité, </w:t>
      </w:r>
      <w:r w:rsidR="004250E0">
        <w:t xml:space="preserve">il est possible que son véritable intérêt réside ailleurs, </w:t>
      </w:r>
      <w:r w:rsidR="00430B4C">
        <w:t xml:space="preserve">dans la mesure où il </w:t>
      </w:r>
      <w:r w:rsidR="004250E0">
        <w:t>pourrait</w:t>
      </w:r>
      <w:r w:rsidR="00430B4C">
        <w:t xml:space="preserve"> opérer </w:t>
      </w:r>
      <w:r w:rsidR="00B61F15">
        <w:t>un véritable revirement</w:t>
      </w:r>
      <w:r w:rsidR="004250E0">
        <w:t xml:space="preserve"> </w:t>
      </w:r>
      <w:r w:rsidR="00B61F15">
        <w:t xml:space="preserve">de jurisprudence </w:t>
      </w:r>
      <w:r w:rsidR="00B7521F">
        <w:t xml:space="preserve">–quoique quelque peu clandestin- </w:t>
      </w:r>
      <w:r w:rsidR="00B61F15">
        <w:t xml:space="preserve">en ce qui concerne la portée de l’article 1254 du Code civil. </w:t>
      </w:r>
    </w:p>
    <w:p w14:paraId="0EDAE0C4" w14:textId="7DED7E5D" w:rsidR="00430B4C" w:rsidRDefault="006C6805" w:rsidP="00302113">
      <w:pPr>
        <w:jc w:val="both"/>
      </w:pPr>
      <w:r>
        <w:t xml:space="preserve"> </w:t>
      </w:r>
    </w:p>
    <w:p w14:paraId="1E126EFC" w14:textId="712E1F85" w:rsidR="009C1215" w:rsidRPr="00FB58B7" w:rsidRDefault="00B61F15" w:rsidP="00A87D58">
      <w:pPr>
        <w:pStyle w:val="Paragraphedeliste"/>
        <w:numPr>
          <w:ilvl w:val="0"/>
          <w:numId w:val="2"/>
        </w:numPr>
        <w:jc w:val="both"/>
        <w:rPr>
          <w:b/>
        </w:rPr>
      </w:pPr>
      <w:r w:rsidRPr="00FB58B7">
        <w:rPr>
          <w:b/>
        </w:rPr>
        <w:t xml:space="preserve">L’article 1254 du Code civil et l’imputation </w:t>
      </w:r>
      <w:r w:rsidR="00A87D58" w:rsidRPr="00FB58B7">
        <w:rPr>
          <w:b/>
        </w:rPr>
        <w:t>des provisions en matière extracontractuelle</w:t>
      </w:r>
    </w:p>
    <w:p w14:paraId="6AB8B76A" w14:textId="77777777" w:rsidR="00A87D58" w:rsidRDefault="00A87D58" w:rsidP="00A87D58">
      <w:pPr>
        <w:ind w:left="360"/>
        <w:jc w:val="both"/>
      </w:pPr>
    </w:p>
    <w:p w14:paraId="0A092C5E" w14:textId="5B28FE8C" w:rsidR="007A67DF" w:rsidRDefault="001E6651" w:rsidP="00302113">
      <w:pPr>
        <w:jc w:val="both"/>
      </w:pPr>
      <w:r>
        <w:t xml:space="preserve">18. </w:t>
      </w:r>
      <w:r w:rsidR="004250E0">
        <w:t>Selon l</w:t>
      </w:r>
      <w:r w:rsidR="007A67DF">
        <w:t>’article 1254 du Code civil</w:t>
      </w:r>
      <w:r w:rsidR="004250E0">
        <w:t>, le</w:t>
      </w:r>
      <w:r w:rsidR="007A67DF" w:rsidRPr="007A67DF">
        <w:t xml:space="preserve"> </w:t>
      </w:r>
      <w:r w:rsidR="004250E0">
        <w:t>« </w:t>
      </w:r>
      <w:r w:rsidR="007A67DF" w:rsidRPr="007A67DF">
        <w:t>débiteur d'une dette qui porte intérêt ou produit des arrérages, ne peut point, sans le consentement du créancier, imputer le payement qu'il fait sur le capital par préférence aux arrérages ou intérêts ; le payement fait sur le capital et intérêts, mais qui n'est point intégral, s'impute d'abord sur les intérêts</w:t>
      </w:r>
      <w:r w:rsidR="007A67DF">
        <w:t> »</w:t>
      </w:r>
      <w:r w:rsidR="007A67DF" w:rsidRPr="00694AC7">
        <w:t>.</w:t>
      </w:r>
      <w:r w:rsidR="007A67DF">
        <w:t xml:space="preserve"> Il résulte de cette disposition que le paiement partiel d’une dette s’impute, sauf accord du créancier, d’abord sur les intérêts et puis sur le capital.</w:t>
      </w:r>
    </w:p>
    <w:p w14:paraId="5055E398" w14:textId="77777777" w:rsidR="007A67DF" w:rsidRDefault="007A67DF" w:rsidP="00302113">
      <w:pPr>
        <w:jc w:val="both"/>
      </w:pPr>
    </w:p>
    <w:p w14:paraId="399E8F7B" w14:textId="4EBA2F87" w:rsidR="007A67DF" w:rsidRDefault="001E6651" w:rsidP="00302113">
      <w:pPr>
        <w:jc w:val="both"/>
      </w:pPr>
      <w:r>
        <w:t xml:space="preserve">19. </w:t>
      </w:r>
      <w:r w:rsidR="007A67DF">
        <w:t xml:space="preserve">Dans un arrêt du 20 février 1969, la Cour de cassation </w:t>
      </w:r>
      <w:r w:rsidR="004250E0">
        <w:t>semblait avoir</w:t>
      </w:r>
      <w:r w:rsidR="007A67DF">
        <w:t xml:space="preserve"> consacré la portée générale de cette disposition, en considérant qu’elle « n’établit aucune distinction entre les dettes pour lesquelles les intérêts sont dus en vertu d’une convention et les dettes pour lesquelles les intérêts sont dus en vertu d’une loi »</w:t>
      </w:r>
      <w:r w:rsidR="007A67DF">
        <w:rPr>
          <w:rStyle w:val="Marquenotebasdepage"/>
        </w:rPr>
        <w:footnoteReference w:id="15"/>
      </w:r>
      <w:r w:rsidR="007A67DF">
        <w:t>.</w:t>
      </w:r>
    </w:p>
    <w:p w14:paraId="1684A945" w14:textId="77777777" w:rsidR="007A67DF" w:rsidRDefault="007A67DF" w:rsidP="00302113">
      <w:pPr>
        <w:jc w:val="both"/>
      </w:pPr>
    </w:p>
    <w:p w14:paraId="033F90EE" w14:textId="57BE32BF" w:rsidR="007A67DF" w:rsidRDefault="001E6651" w:rsidP="00302113">
      <w:pPr>
        <w:jc w:val="both"/>
      </w:pPr>
      <w:r>
        <w:t xml:space="preserve">20. </w:t>
      </w:r>
      <w:r w:rsidR="007A67DF">
        <w:t xml:space="preserve">Dans un arrêt du 23 septembre 1986, </w:t>
      </w:r>
      <w:r w:rsidR="004250E0">
        <w:t>elle</w:t>
      </w:r>
      <w:r w:rsidR="007A67DF">
        <w:t xml:space="preserve"> a, cependant, </w:t>
      </w:r>
      <w:r w:rsidR="007A67DF" w:rsidRPr="008A086A">
        <w:t xml:space="preserve">décidé que les intérêts compensatoires faisaient « partie intégrante des dommages-intérêts alloués en réparation du dommage causé par la faute » et réparaient « le préjudice supplémentaire résultant du retard de payement des sommes auxquelles la victime avait droit à la date du dommage », </w:t>
      </w:r>
      <w:r w:rsidR="007A67DF">
        <w:t xml:space="preserve">de sorte que </w:t>
      </w:r>
      <w:r w:rsidR="007A67DF" w:rsidRPr="007A67DF">
        <w:t>« l'imputation des intérêts compensatoires, par application des règles consacrées par l'ar</w:t>
      </w:r>
      <w:r w:rsidR="007169C3">
        <w:t>ticle 1254 du Code civil, de pai</w:t>
      </w:r>
      <w:r w:rsidR="007A67DF" w:rsidRPr="007A67DF">
        <w:t>ements faits en réparation du dommage qui trouve sa cause dans un acte illicite, conduit à la réparation d'un dommage inexistant »</w:t>
      </w:r>
      <w:r w:rsidR="007A67DF" w:rsidRPr="007A67DF">
        <w:rPr>
          <w:rStyle w:val="Marquenotebasdepage"/>
        </w:rPr>
        <w:footnoteReference w:id="16"/>
      </w:r>
      <w:r w:rsidR="007A67DF" w:rsidRPr="007A67DF">
        <w:t xml:space="preserve">. </w:t>
      </w:r>
      <w:r w:rsidR="004250E0">
        <w:t>En d’autres termes, la Cour considérait que les paiements partiels ne pouvaient, sous peine de violer les articles 1382 et 1383 du Code civil, s’imputer d’abord sur les intérêts compensatoires puis sur le capital de la dette, selon le régime prévu par l’article 1254 du même code.</w:t>
      </w:r>
    </w:p>
    <w:p w14:paraId="143D02B4" w14:textId="77777777" w:rsidR="007A67DF" w:rsidRDefault="007A67DF" w:rsidP="00302113">
      <w:pPr>
        <w:jc w:val="both"/>
      </w:pPr>
    </w:p>
    <w:p w14:paraId="69F859F3" w14:textId="36ADA806" w:rsidR="004250E0" w:rsidRDefault="001E6651" w:rsidP="00302113">
      <w:pPr>
        <w:jc w:val="both"/>
      </w:pPr>
      <w:r>
        <w:t xml:space="preserve">21. </w:t>
      </w:r>
      <w:r w:rsidR="007A67DF">
        <w:t xml:space="preserve">Dans un arrêt du 28 octobre 1993, </w:t>
      </w:r>
      <w:r w:rsidR="00F94F03">
        <w:t>la Cour suprême</w:t>
      </w:r>
      <w:r w:rsidR="007A67DF">
        <w:t xml:space="preserve"> précisa </w:t>
      </w:r>
      <w:r w:rsidR="00430B4C">
        <w:t xml:space="preserve">toutefois </w:t>
      </w:r>
      <w:r w:rsidR="007A67DF">
        <w:t xml:space="preserve">que, en matière contractuelle, </w:t>
      </w:r>
      <w:r w:rsidR="004250E0">
        <w:t xml:space="preserve">cette disposition </w:t>
      </w:r>
      <w:r w:rsidR="007A67DF">
        <w:t>s’appliquait notamment « </w:t>
      </w:r>
      <w:r w:rsidR="007A67DF" w:rsidRPr="007A67DF">
        <w:t>aux intérêts compensatoires dus à la suite du retard apporté au payement de l'indemnité à laquelle la partie lésée a droit au jour où le dommage est né</w:t>
      </w:r>
      <w:r w:rsidR="007A67DF">
        <w:t> »</w:t>
      </w:r>
      <w:r w:rsidR="007A67DF">
        <w:rPr>
          <w:rStyle w:val="Marquenotebasdepage"/>
        </w:rPr>
        <w:footnoteReference w:id="17"/>
      </w:r>
      <w:r w:rsidR="007A67DF">
        <w:t>. La doctrine n’avait pas manqué de souligner le caractère peu convaincant de la distinction opérée, en matière d’intérêts compensatoires, entre les responsabilités contractuelle et aquilienne</w:t>
      </w:r>
      <w:r w:rsidR="007A67DF">
        <w:rPr>
          <w:rStyle w:val="Marquenotebasdepage"/>
        </w:rPr>
        <w:footnoteReference w:id="18"/>
      </w:r>
      <w:r w:rsidR="007A67DF">
        <w:t xml:space="preserve">. </w:t>
      </w:r>
    </w:p>
    <w:p w14:paraId="41D8B907" w14:textId="77777777" w:rsidR="004250E0" w:rsidRDefault="004250E0" w:rsidP="00302113">
      <w:pPr>
        <w:jc w:val="both"/>
      </w:pPr>
    </w:p>
    <w:p w14:paraId="555C88F1" w14:textId="3F13B177" w:rsidR="007A67DF" w:rsidRDefault="001E6651" w:rsidP="00302113">
      <w:pPr>
        <w:jc w:val="both"/>
      </w:pPr>
      <w:r>
        <w:t xml:space="preserve">22. </w:t>
      </w:r>
      <w:r w:rsidR="007A67DF">
        <w:t>La Cour réitéra la teneur de sa décision de 1986</w:t>
      </w:r>
      <w:r w:rsidR="004250E0">
        <w:t xml:space="preserve"> dans plusieurs décisions postérieures</w:t>
      </w:r>
      <w:r w:rsidR="004250E0">
        <w:rPr>
          <w:rStyle w:val="Marquenotebasdepage"/>
        </w:rPr>
        <w:footnoteReference w:id="19"/>
      </w:r>
      <w:r w:rsidR="004250E0">
        <w:t xml:space="preserve"> et, dernièrement, </w:t>
      </w:r>
      <w:r w:rsidR="007A67DF">
        <w:t>dans un arrêt du 22 octobre 2003</w:t>
      </w:r>
      <w:r w:rsidR="007A67DF">
        <w:rPr>
          <w:rStyle w:val="Marquenotebasdepage"/>
        </w:rPr>
        <w:footnoteReference w:id="20"/>
      </w:r>
      <w:r w:rsidR="007A67DF">
        <w:t> :  </w:t>
      </w:r>
    </w:p>
    <w:p w14:paraId="2E09CD0D" w14:textId="77777777" w:rsidR="007A67DF" w:rsidRDefault="007A67DF" w:rsidP="00302113">
      <w:pPr>
        <w:jc w:val="both"/>
      </w:pPr>
    </w:p>
    <w:p w14:paraId="490C4017" w14:textId="77777777" w:rsidR="007A67DF" w:rsidRPr="007A67DF" w:rsidRDefault="007A67DF" w:rsidP="00302113">
      <w:pPr>
        <w:jc w:val="both"/>
      </w:pPr>
      <w:r>
        <w:t>« </w:t>
      </w:r>
      <w:r w:rsidRPr="007A67DF">
        <w:t>Attendu que les intérêts compensatoires font partie intégrante des dommages-intérêts alloués en réparation du dommage causé par l'acte illicite ; qu'ils réparent le préjudice supplémentaire résultant du payement différé de l'indemnité à laquelle le préjudicié avait droit à la date du dommage ;</w:t>
      </w:r>
    </w:p>
    <w:p w14:paraId="7603A06C" w14:textId="77777777" w:rsidR="007A67DF" w:rsidRPr="007A67DF" w:rsidRDefault="007A67DF" w:rsidP="00302113">
      <w:pPr>
        <w:jc w:val="both"/>
      </w:pPr>
      <w:r w:rsidRPr="007A67DF">
        <w:t>Qu'il en résulte que l'imputation sur les intérêts compensatoires, par application de l'article 1254 du Code civil, des payements faits en réparation du dommage qui trouve sa cause dans un acte illicite conduit à l'allocation de dommages-intérêts en réparation d'un dommage inexistant ;</w:t>
      </w:r>
    </w:p>
    <w:p w14:paraId="042E48EC" w14:textId="77777777" w:rsidR="007A67DF" w:rsidRPr="007A67DF" w:rsidRDefault="007A67DF" w:rsidP="00302113">
      <w:pPr>
        <w:jc w:val="both"/>
      </w:pPr>
      <w:r w:rsidRPr="007A67DF">
        <w:t>Attendu que les juges d'appel ont condamné le demandeur à payer à la défenderesse, en réparation de son préjudice, des indemnités augmentées des intérêts compensatoires ;</w:t>
      </w:r>
    </w:p>
    <w:p w14:paraId="7EB0389B" w14:textId="3AF6F63B" w:rsidR="007A67DF" w:rsidRDefault="007A67DF" w:rsidP="00302113">
      <w:pPr>
        <w:jc w:val="both"/>
      </w:pPr>
      <w:r w:rsidRPr="007A67DF">
        <w:t>Que, dès lors, en décidant "que les provisions versées par (le demandeur) s'imputeront conformément aux règles habituelles du Code civil (article 1254 du Code civil)", l'arrêt viole les articles 1382 et 1383 de ce code</w:t>
      </w:r>
      <w:r>
        <w:t xml:space="preserve"> ». </w:t>
      </w:r>
    </w:p>
    <w:p w14:paraId="17CA2125" w14:textId="77777777" w:rsidR="007A67DF" w:rsidRDefault="007A67DF" w:rsidP="00302113">
      <w:pPr>
        <w:jc w:val="both"/>
      </w:pPr>
    </w:p>
    <w:p w14:paraId="527C89A0" w14:textId="718C006A" w:rsidR="007A67DF" w:rsidRDefault="001E6651" w:rsidP="00302113">
      <w:pPr>
        <w:jc w:val="both"/>
      </w:pPr>
      <w:r>
        <w:t xml:space="preserve">23. </w:t>
      </w:r>
      <w:r w:rsidR="007A67DF">
        <w:t xml:space="preserve">Il en résultait que, selon une jurisprudence majoritaire, le montant total du préjudice subi par une victime se voyait majoré des intérêts compensatoires, sous déduction des provisions versées, elles-mêmes majorées d’intérêts créditeurs au même taux. </w:t>
      </w:r>
    </w:p>
    <w:p w14:paraId="717F96CC" w14:textId="77777777" w:rsidR="007A67DF" w:rsidRDefault="007A67DF" w:rsidP="00302113">
      <w:pPr>
        <w:jc w:val="both"/>
      </w:pPr>
    </w:p>
    <w:p w14:paraId="6FCF5D51" w14:textId="22F8C8B6" w:rsidR="00A53B04" w:rsidRDefault="001E6651" w:rsidP="00F94F03">
      <w:pPr>
        <w:jc w:val="both"/>
        <w:rPr>
          <w:lang w:val="fr-BE"/>
        </w:rPr>
      </w:pPr>
      <w:r>
        <w:t xml:space="preserve">24. </w:t>
      </w:r>
      <w:r w:rsidR="007A67DF">
        <w:t xml:space="preserve">Dans un article solidement argumenté, </w:t>
      </w:r>
      <w:r w:rsidR="00F94F03">
        <w:t>le professeur</w:t>
      </w:r>
      <w:r w:rsidR="007A67DF">
        <w:t xml:space="preserve"> Fagnart critiquait cette jurisprudence et militait </w:t>
      </w:r>
      <w:r w:rsidR="007A67DF" w:rsidRPr="008A086A">
        <w:rPr>
          <w:lang w:val="fr-BE"/>
        </w:rPr>
        <w:t>en faveur de l’application de l’article 1254 du Code Civil à tous les intérêts, qu’ils soient moratoires ou compensatoires</w:t>
      </w:r>
      <w:r w:rsidR="007A67DF">
        <w:rPr>
          <w:rStyle w:val="Marquenotebasdepage"/>
          <w:lang w:val="fr-BE"/>
        </w:rPr>
        <w:footnoteReference w:id="21"/>
      </w:r>
      <w:r w:rsidR="007A67DF" w:rsidRPr="008A086A">
        <w:rPr>
          <w:lang w:val="fr-BE"/>
        </w:rPr>
        <w:t>.</w:t>
      </w:r>
      <w:r w:rsidR="007A67DF">
        <w:rPr>
          <w:lang w:val="fr-BE"/>
        </w:rPr>
        <w:t xml:space="preserve"> </w:t>
      </w:r>
      <w:r w:rsidR="009F57EB">
        <w:rPr>
          <w:lang w:val="fr-BE"/>
        </w:rPr>
        <w:t>Il soulignait le caractère particulier de la pratique précitée, dénonçant, outre son absence de base légale, le fait qu’il était « </w:t>
      </w:r>
      <w:r w:rsidR="009F57EB" w:rsidRPr="009F57EB">
        <w:rPr>
          <w:lang w:val="fr-BE"/>
        </w:rPr>
        <w:t>fondamentalement absurde d’affirmer que le débiteur qui paie en partie sa dette, devient créancier d’intérêts !</w:t>
      </w:r>
      <w:r w:rsidR="009F57EB">
        <w:rPr>
          <w:lang w:val="fr-BE"/>
        </w:rPr>
        <w:t> »</w:t>
      </w:r>
      <w:r w:rsidR="009F57EB">
        <w:rPr>
          <w:rStyle w:val="Marquenotebasdepage"/>
          <w:lang w:val="fr-BE"/>
        </w:rPr>
        <w:footnoteReference w:id="22"/>
      </w:r>
      <w:r w:rsidR="00107BA4">
        <w:rPr>
          <w:lang w:val="fr-BE"/>
        </w:rPr>
        <w:t>.</w:t>
      </w:r>
      <w:r w:rsidR="00F94F03">
        <w:rPr>
          <w:lang w:val="fr-BE"/>
        </w:rPr>
        <w:t xml:space="preserve"> Et l’éminent auteur d’invoquer </w:t>
      </w:r>
      <w:r w:rsidR="00A53B04">
        <w:rPr>
          <w:lang w:val="fr-BE"/>
        </w:rPr>
        <w:t xml:space="preserve">de nombreux arguments </w:t>
      </w:r>
      <w:r w:rsidR="00F94F03">
        <w:rPr>
          <w:lang w:val="fr-BE"/>
        </w:rPr>
        <w:t xml:space="preserve">à l’appui de son plaidoyer, </w:t>
      </w:r>
      <w:r w:rsidR="00145A03">
        <w:rPr>
          <w:lang w:val="fr-BE"/>
        </w:rPr>
        <w:t xml:space="preserve">notamment, outre l’interprétation historique de </w:t>
      </w:r>
      <w:r w:rsidR="00F94F03">
        <w:rPr>
          <w:lang w:val="fr-BE"/>
        </w:rPr>
        <w:t>cette disposition</w:t>
      </w:r>
      <w:r w:rsidR="00145A03">
        <w:rPr>
          <w:lang w:val="fr-BE"/>
        </w:rPr>
        <w:t>, le fait qu</w:t>
      </w:r>
      <w:r w:rsidR="00F94F03">
        <w:rPr>
          <w:lang w:val="fr-BE"/>
        </w:rPr>
        <w:t>’elle</w:t>
      </w:r>
      <w:r w:rsidR="00145A03">
        <w:rPr>
          <w:lang w:val="fr-BE"/>
        </w:rPr>
        <w:t xml:space="preserve"> </w:t>
      </w:r>
      <w:r w:rsidR="00A53B04">
        <w:rPr>
          <w:lang w:val="fr-BE"/>
        </w:rPr>
        <w:t>ne fait aucune distinction entre intérêts compensatoires ou moratoires, ni entre la matière contractuelle et extracontractuelle</w:t>
      </w:r>
      <w:r w:rsidR="00A53B04">
        <w:rPr>
          <w:rStyle w:val="Marquenotebasdepage"/>
          <w:lang w:val="fr-BE"/>
        </w:rPr>
        <w:footnoteReference w:id="23"/>
      </w:r>
      <w:r w:rsidR="00A53B04">
        <w:rPr>
          <w:lang w:val="fr-BE"/>
        </w:rPr>
        <w:t xml:space="preserve">. </w:t>
      </w:r>
    </w:p>
    <w:p w14:paraId="44A1EBA1" w14:textId="77777777" w:rsidR="00107BA4" w:rsidRDefault="00107BA4" w:rsidP="00107BA4">
      <w:pPr>
        <w:autoSpaceDN w:val="0"/>
        <w:jc w:val="both"/>
        <w:rPr>
          <w:i/>
          <w:lang w:val="fr-BE"/>
        </w:rPr>
      </w:pPr>
    </w:p>
    <w:p w14:paraId="39D9DF71" w14:textId="3D38BEAA" w:rsidR="00107BA4" w:rsidRDefault="001E6651" w:rsidP="00A53B04">
      <w:pPr>
        <w:jc w:val="both"/>
      </w:pPr>
      <w:r>
        <w:t xml:space="preserve">25. </w:t>
      </w:r>
      <w:r w:rsidR="00107BA4">
        <w:t>Certes, l’article 1254 du Code civil se trouve dans le titre III du Livre III du Code civil, intitulé : « </w:t>
      </w:r>
      <w:r w:rsidR="00107BA4" w:rsidRPr="003C4C00">
        <w:rPr>
          <w:i/>
        </w:rPr>
        <w:t>Des contrats ou des obligations conventionnelles en général</w:t>
      </w:r>
      <w:r w:rsidR="00107BA4">
        <w:t> »</w:t>
      </w:r>
      <w:r w:rsidR="00A53B04">
        <w:t xml:space="preserve"> et,</w:t>
      </w:r>
      <w:r w:rsidR="00107BA4">
        <w:t xml:space="preserve"> plus précisément</w:t>
      </w:r>
      <w:r w:rsidR="00A53B04">
        <w:t>,</w:t>
      </w:r>
      <w:r w:rsidR="00107BA4">
        <w:t xml:space="preserve"> dans le chapitre V relatif à l’« </w:t>
      </w:r>
      <w:r w:rsidR="00107BA4" w:rsidRPr="003C4C00">
        <w:rPr>
          <w:i/>
        </w:rPr>
        <w:t>extinction des obligations</w:t>
      </w:r>
      <w:r w:rsidR="00107BA4">
        <w:t xml:space="preserve"> ». </w:t>
      </w:r>
      <w:r w:rsidR="00A53B04">
        <w:t xml:space="preserve">Il n’est cependant pas </w:t>
      </w:r>
      <w:r w:rsidR="00107BA4">
        <w:t>contesté que les causes d’extinction des obligations visées par ce chapitre concernent toutes les obligation</w:t>
      </w:r>
      <w:r w:rsidR="00A53B04">
        <w:t>s, quelle que soit leur source</w:t>
      </w:r>
      <w:r w:rsidR="00A53B04">
        <w:rPr>
          <w:rStyle w:val="Marquenotebasdepage"/>
        </w:rPr>
        <w:footnoteReference w:id="24"/>
      </w:r>
      <w:r w:rsidR="00A53B04">
        <w:t xml:space="preserve">, </w:t>
      </w:r>
      <w:r w:rsidR="00145A03">
        <w:t xml:space="preserve">de sorte qu’il ne pourrait en être </w:t>
      </w:r>
      <w:r w:rsidR="00F94F03">
        <w:t>déduit</w:t>
      </w:r>
      <w:r w:rsidR="00145A03">
        <w:t xml:space="preserve"> que l’article 1254 s’appliquerait uniquement à la matière contractuelle. </w:t>
      </w:r>
    </w:p>
    <w:p w14:paraId="27DEF75C" w14:textId="77777777" w:rsidR="00145A03" w:rsidRDefault="00145A03" w:rsidP="00A53B04">
      <w:pPr>
        <w:jc w:val="both"/>
      </w:pPr>
    </w:p>
    <w:p w14:paraId="192C5A3E" w14:textId="44F763B6" w:rsidR="001968BE" w:rsidRDefault="001E6651" w:rsidP="00302113">
      <w:pPr>
        <w:jc w:val="both"/>
      </w:pPr>
      <w:r>
        <w:t xml:space="preserve">26. </w:t>
      </w:r>
      <w:r w:rsidR="00145A03">
        <w:t xml:space="preserve">En tout état de cause, il nous paraît que la différence de traitement opérée entre la matière contractuelle et extracontractuelle en ce qui concerne les intérêts compensatoires peinerait à trouver une justification </w:t>
      </w:r>
      <w:r w:rsidR="004228EC">
        <w:t>auprès</w:t>
      </w:r>
      <w:r w:rsidR="00145A03">
        <w:t xml:space="preserve"> de la Cour constitutionnelle. Il est vrai que certains auteurs </w:t>
      </w:r>
      <w:r w:rsidR="00655700">
        <w:t>se demandent</w:t>
      </w:r>
      <w:r w:rsidR="00145A03">
        <w:t xml:space="preserve"> dès lors </w:t>
      </w:r>
      <w:r w:rsidR="00655700">
        <w:t>s’il n’aurait pas été préférable</w:t>
      </w:r>
      <w:r w:rsidR="00145A03">
        <w:t xml:space="preserve"> d’exclure également les intérêts compensatoires</w:t>
      </w:r>
      <w:r w:rsidR="004228EC">
        <w:t xml:space="preserve"> en matière contractuelle</w:t>
      </w:r>
      <w:r w:rsidR="00145A03">
        <w:t xml:space="preserve"> du champ d’application de l’article 1254 du Code civil (et donc revenir à la solution prévalant avant l’arrêt de 1993)</w:t>
      </w:r>
      <w:r w:rsidR="001968BE">
        <w:rPr>
          <w:rStyle w:val="Marquenotebasdepage"/>
        </w:rPr>
        <w:footnoteReference w:id="25"/>
      </w:r>
      <w:r w:rsidR="001968BE">
        <w:t>.</w:t>
      </w:r>
    </w:p>
    <w:p w14:paraId="3DB72528" w14:textId="77777777" w:rsidR="001968BE" w:rsidRDefault="001968BE" w:rsidP="00302113">
      <w:pPr>
        <w:jc w:val="both"/>
      </w:pPr>
    </w:p>
    <w:p w14:paraId="237D48DA" w14:textId="1678B23F" w:rsidR="004228EC" w:rsidRDefault="001E6651" w:rsidP="00FD3B82">
      <w:pPr>
        <w:jc w:val="both"/>
      </w:pPr>
      <w:r>
        <w:t xml:space="preserve">27. </w:t>
      </w:r>
      <w:r w:rsidR="004228EC">
        <w:t xml:space="preserve">L’arrêt annoté opère-t-il un revirement de jurisprudence sur cette question ? Il n’est pas interdit de le penser. En effet, la Cour justifie la cassation de l’arrêt attaqué par la lecture combinée des articles 1254 et 1382 du Code civil, dont elle déduit « que, en règle, le paiement partiel de la dette propre par un débiteur in solidum s'impute d'abord sur les intérêts de la dette due par les codébiteurs in solidum au créancier en réparation intégrale de son dommage ». </w:t>
      </w:r>
      <w:r w:rsidR="00FD3B82">
        <w:t>Elle semble donc admettre que le paiement partiel d’une dette qui trouve sa source dans une responsabilité extracontractuelle</w:t>
      </w:r>
      <w:r w:rsidR="00FD3B82">
        <w:rPr>
          <w:rStyle w:val="Marquenotebasdepage"/>
        </w:rPr>
        <w:footnoteReference w:id="26"/>
      </w:r>
      <w:r w:rsidR="00FD3B82">
        <w:t xml:space="preserve"> doive s’imputer, « en règle », selon le mécanisme établi par l’article 1254 du Code civil. </w:t>
      </w:r>
    </w:p>
    <w:p w14:paraId="27F248BA" w14:textId="77777777" w:rsidR="00FD3B82" w:rsidRDefault="00FD3B82" w:rsidP="00FD3B82">
      <w:pPr>
        <w:jc w:val="both"/>
      </w:pPr>
    </w:p>
    <w:p w14:paraId="77573A2A" w14:textId="6DA01713" w:rsidR="00145A03" w:rsidRDefault="001E6651" w:rsidP="00145A03">
      <w:pPr>
        <w:jc w:val="both"/>
      </w:pPr>
      <w:r>
        <w:t xml:space="preserve">28. </w:t>
      </w:r>
      <w:r w:rsidR="00FD3B82">
        <w:t xml:space="preserve">Or, on l’a </w:t>
      </w:r>
      <w:r w:rsidR="00FB7647">
        <w:t>vu</w:t>
      </w:r>
      <w:r w:rsidR="00FD3B82">
        <w:t>, les bases légales dont la demanderesse en cassation étaient nombreuses et incluaient notamment les dispositions du Code civil relatives à la responsabilité contractuelle, de sorte que rien n’obligeait</w:t>
      </w:r>
      <w:r w:rsidR="00655700">
        <w:t>, semble-t-il</w:t>
      </w:r>
      <w:r w:rsidR="00655700">
        <w:rPr>
          <w:rStyle w:val="Marquenotebasdepage"/>
        </w:rPr>
        <w:footnoteReference w:id="27"/>
      </w:r>
      <w:r w:rsidR="00655700">
        <w:t>,</w:t>
      </w:r>
      <w:r w:rsidR="00FD3B82">
        <w:t xml:space="preserve"> la Cour de cassation à </w:t>
      </w:r>
      <w:r w:rsidR="00FB7647">
        <w:t>fonder</w:t>
      </w:r>
      <w:r w:rsidR="00FD3B82">
        <w:t xml:space="preserve"> son raisonnement à l’article 1382 du Code civil. </w:t>
      </w:r>
    </w:p>
    <w:p w14:paraId="5AD2010F" w14:textId="77777777" w:rsidR="00BD100C" w:rsidRDefault="00BD100C" w:rsidP="00302113">
      <w:pPr>
        <w:jc w:val="both"/>
      </w:pPr>
    </w:p>
    <w:p w14:paraId="457F7577" w14:textId="49C2966C" w:rsidR="00BD100C" w:rsidRDefault="001E6651" w:rsidP="00302113">
      <w:pPr>
        <w:jc w:val="both"/>
      </w:pPr>
      <w:r>
        <w:t xml:space="preserve">29. </w:t>
      </w:r>
      <w:r w:rsidR="00BD100C">
        <w:t xml:space="preserve">Il convient </w:t>
      </w:r>
      <w:r w:rsidR="00655700">
        <w:t>toutefois</w:t>
      </w:r>
      <w:r w:rsidR="00BD100C">
        <w:t xml:space="preserve"> de rester prudent. Il est en effet important de souligner que le moyen en cassation ne portait pas, </w:t>
      </w:r>
      <w:r w:rsidR="00BD100C" w:rsidRPr="00BD100C">
        <w:rPr>
          <w:i/>
        </w:rPr>
        <w:t>stricto sensu</w:t>
      </w:r>
      <w:r w:rsidR="00BD100C">
        <w:t>, sur la portée de l’article 1254 du Code civil et son applicabilité au cas d’espèce mais sur la possibilité</w:t>
      </w:r>
      <w:r w:rsidR="00655700">
        <w:t>, pour</w:t>
      </w:r>
      <w:r w:rsidR="00BD100C">
        <w:t xml:space="preserve"> un codébiteur </w:t>
      </w:r>
      <w:r w:rsidR="00BD100C" w:rsidRPr="00655700">
        <w:rPr>
          <w:i/>
        </w:rPr>
        <w:t>in solidum</w:t>
      </w:r>
      <w:r w:rsidR="00655700">
        <w:t>,</w:t>
      </w:r>
      <w:r w:rsidR="00BD100C">
        <w:t xml:space="preserve"> de se prévaloir du bénéfice de l’exception d’interruption des intérêts s</w:t>
      </w:r>
      <w:r w:rsidR="00655700">
        <w:t>oulevée par un autre codébiteur</w:t>
      </w:r>
      <w:r w:rsidR="00BD100C">
        <w:t>.</w:t>
      </w:r>
    </w:p>
    <w:p w14:paraId="223BFDA5" w14:textId="77777777" w:rsidR="00BD100C" w:rsidRDefault="00BD100C" w:rsidP="00302113">
      <w:pPr>
        <w:jc w:val="both"/>
      </w:pPr>
    </w:p>
    <w:p w14:paraId="281FA002" w14:textId="31A21C94" w:rsidR="00BD100C" w:rsidRDefault="001E6651" w:rsidP="00302113">
      <w:pPr>
        <w:jc w:val="both"/>
      </w:pPr>
      <w:r>
        <w:t xml:space="preserve">30. </w:t>
      </w:r>
      <w:r w:rsidR="00BD100C">
        <w:t>Il n’est pas inconcevable que les rédacteurs de cet arrêt n’aient pas eu à l’esprit la jurisprudence de la Cour de cassation en matière d’imputation des paiements partiels</w:t>
      </w:r>
      <w:r w:rsidR="00655700">
        <w:t xml:space="preserve"> en matière extracontractuelle</w:t>
      </w:r>
      <w:r w:rsidR="00BD100C">
        <w:t xml:space="preserve"> et que leur formulation ait, à cet égard, été malencontreuse</w:t>
      </w:r>
      <w:r w:rsidR="00655700">
        <w:rPr>
          <w:rStyle w:val="Marquenotebasdepage"/>
        </w:rPr>
        <w:footnoteReference w:id="28"/>
      </w:r>
      <w:r w:rsidR="00BD100C">
        <w:t xml:space="preserve">. </w:t>
      </w:r>
    </w:p>
    <w:p w14:paraId="1C7F1A7B" w14:textId="77777777" w:rsidR="00BD100C" w:rsidRDefault="00BD100C" w:rsidP="00302113">
      <w:pPr>
        <w:jc w:val="both"/>
      </w:pPr>
    </w:p>
    <w:p w14:paraId="727E6F71" w14:textId="2D479587" w:rsidR="00BD100C" w:rsidRDefault="001E6651" w:rsidP="00FB7647">
      <w:pPr>
        <w:jc w:val="both"/>
      </w:pPr>
      <w:r>
        <w:t xml:space="preserve">31. </w:t>
      </w:r>
      <w:r w:rsidR="00BD100C">
        <w:t xml:space="preserve">Il n’en demeure pas moins qu’un demandeur en cassation avisé souhaitant remettre en cause la jurisprudence de 1986 </w:t>
      </w:r>
      <w:r w:rsidR="00FB7647">
        <w:t xml:space="preserve">et/ou de 1993 </w:t>
      </w:r>
      <w:r w:rsidR="00BD100C">
        <w:t xml:space="preserve">serait fort bien inspiré </w:t>
      </w:r>
      <w:r w:rsidR="00FB7647">
        <w:t>de rappeler à la Cour son</w:t>
      </w:r>
      <w:r w:rsidR="00BD100C">
        <w:t xml:space="preserve"> </w:t>
      </w:r>
      <w:r w:rsidR="00FB7647">
        <w:t xml:space="preserve">récent </w:t>
      </w:r>
      <w:r w:rsidR="00AD1BDA">
        <w:t xml:space="preserve">arrêt. </w:t>
      </w:r>
      <w:r w:rsidR="00655700">
        <w:t xml:space="preserve">La Cour suprême aurait alors l’occasion de redonner à </w:t>
      </w:r>
      <w:r w:rsidR="00FB7647">
        <w:t>s</w:t>
      </w:r>
      <w:r w:rsidR="00655700">
        <w:t>a jurisprudence la cohérence qui lui fait défaut et, à tout le moins, de remédier à ce qui</w:t>
      </w:r>
      <w:r w:rsidR="00BA105C">
        <w:t xml:space="preserve">, sur le plan de l’imputation des paiements partiels, crée </w:t>
      </w:r>
      <w:r w:rsidR="00655700">
        <w:t>une différence de traitement</w:t>
      </w:r>
      <w:r w:rsidR="00BA105C">
        <w:t xml:space="preserve"> à première vue</w:t>
      </w:r>
      <w:r w:rsidR="00655700">
        <w:t xml:space="preserve"> inju</w:t>
      </w:r>
      <w:r w:rsidR="00BA105C">
        <w:t xml:space="preserve">stifiée entre les victimes, selon que la faute ayant causé leur dommage est de nature contractuelle ou extracontractuelle. </w:t>
      </w:r>
    </w:p>
    <w:p w14:paraId="1C90DA82" w14:textId="77777777" w:rsidR="003C2414" w:rsidRDefault="003C2414" w:rsidP="00302113">
      <w:pPr>
        <w:jc w:val="both"/>
      </w:pPr>
    </w:p>
    <w:sectPr w:rsidR="003C2414" w:rsidSect="009C1215">
      <w:footerReference w:type="even" r:id="rId8"/>
      <w:footerReference w:type="default" r:id="rId9"/>
      <w:pgSz w:w="11900" w:h="16840"/>
      <w:pgMar w:top="1417" w:right="1417" w:bottom="1417" w:left="1417" w:header="708" w:footer="708"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580AE0" w14:textId="77777777" w:rsidR="00B7521F" w:rsidRDefault="00B7521F" w:rsidP="00C542BF">
      <w:r>
        <w:separator/>
      </w:r>
    </w:p>
  </w:endnote>
  <w:endnote w:type="continuationSeparator" w:id="0">
    <w:p w14:paraId="3FA70833" w14:textId="77777777" w:rsidR="00B7521F" w:rsidRDefault="00B7521F" w:rsidP="00C542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2A87" w:usb1="80000000" w:usb2="00000008" w:usb3="00000000" w:csb0="000001F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00002A87" w:usb1="80000000" w:usb2="00000008"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A3B82A" w14:textId="77777777" w:rsidR="00B7521F" w:rsidRDefault="00B7521F" w:rsidP="005E62C0">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end"/>
    </w:r>
  </w:p>
  <w:p w14:paraId="1B5D2010" w14:textId="77777777" w:rsidR="00B7521F" w:rsidRDefault="00B7521F" w:rsidP="00985D77">
    <w:pPr>
      <w:pStyle w:val="Pieddepage"/>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A6F702" w14:textId="77777777" w:rsidR="00B7521F" w:rsidRDefault="00B7521F" w:rsidP="005E62C0">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sidR="00681A70">
      <w:rPr>
        <w:rStyle w:val="Numrodepage"/>
        <w:noProof/>
      </w:rPr>
      <w:t>1</w:t>
    </w:r>
    <w:r>
      <w:rPr>
        <w:rStyle w:val="Numrodepage"/>
      </w:rPr>
      <w:fldChar w:fldCharType="end"/>
    </w:r>
  </w:p>
  <w:p w14:paraId="3E42759E" w14:textId="77777777" w:rsidR="00B7521F" w:rsidRDefault="00B7521F" w:rsidP="00985D77">
    <w:pPr>
      <w:pStyle w:val="Pieddepage"/>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BA204B6" w14:textId="77777777" w:rsidR="00B7521F" w:rsidRDefault="00B7521F" w:rsidP="00C542BF">
      <w:r>
        <w:separator/>
      </w:r>
    </w:p>
  </w:footnote>
  <w:footnote w:type="continuationSeparator" w:id="0">
    <w:p w14:paraId="1E3C77D9" w14:textId="77777777" w:rsidR="00B7521F" w:rsidRDefault="00B7521F" w:rsidP="00C542BF">
      <w:r>
        <w:continuationSeparator/>
      </w:r>
    </w:p>
  </w:footnote>
  <w:footnote w:id="1">
    <w:p w14:paraId="2A3F3274" w14:textId="551AE127" w:rsidR="00B7521F" w:rsidRPr="00B7521F" w:rsidRDefault="00B7521F" w:rsidP="00B7521F">
      <w:pPr>
        <w:pStyle w:val="Notedebasdepage"/>
        <w:jc w:val="both"/>
        <w:rPr>
          <w:sz w:val="20"/>
          <w:szCs w:val="20"/>
          <w:lang w:val="nl-NL"/>
        </w:rPr>
      </w:pPr>
      <w:r w:rsidRPr="00B7521F">
        <w:rPr>
          <w:rStyle w:val="Marquenotebasdepage"/>
          <w:sz w:val="20"/>
          <w:szCs w:val="20"/>
        </w:rPr>
        <w:footnoteRef/>
      </w:r>
      <w:r w:rsidRPr="00B7521F">
        <w:rPr>
          <w:sz w:val="20"/>
          <w:szCs w:val="20"/>
        </w:rPr>
        <w:t xml:space="preserve"> En termes chiffrés, la Cour d’appel avait constaté qu’une des sociétés débitrices ayant payé le montant de 770.393,29 € et considérait que le montant des intérêts, réduit à son égard, s’élevant à 355.297,36 €, la différence (415.095,93 €) devait venir en déduction de la dette en principal (1.852.258,10 €), de sorte que chacun des trois héritiers du troisième codébiteur n’était redevable que d’un tiers du montant de 1.437.162,17 € (soit la différence entre ces deux derniers montants). On peut rappeler que, l</w:t>
      </w:r>
      <w:r w:rsidRPr="00B7521F">
        <w:rPr>
          <w:sz w:val="20"/>
          <w:szCs w:val="20"/>
          <w:lang w:val="nl-NL"/>
        </w:rPr>
        <w:t>a solidarité ne rendant pas l’obligation indivisible (art. 1219 du Code civil), elle ne se transmet pas, sauf convention contraire, aux héritiers du codébiteur de sorte que, sur le plan de l’obligation à la dette, ils ne sont tenus qu’à proportion de leur part dans la succession (</w:t>
      </w:r>
      <w:r w:rsidRPr="00B7521F">
        <w:rPr>
          <w:sz w:val="20"/>
          <w:szCs w:val="20"/>
        </w:rPr>
        <w:t xml:space="preserve">P. </w:t>
      </w:r>
      <w:r w:rsidRPr="00B7521F">
        <w:rPr>
          <w:smallCaps/>
          <w:sz w:val="20"/>
          <w:szCs w:val="20"/>
        </w:rPr>
        <w:t>Van Ommeslaghe</w:t>
      </w:r>
      <w:r w:rsidRPr="00B7521F">
        <w:rPr>
          <w:sz w:val="20"/>
          <w:szCs w:val="20"/>
        </w:rPr>
        <w:t xml:space="preserve">, </w:t>
      </w:r>
      <w:r w:rsidRPr="00B7521F">
        <w:rPr>
          <w:i/>
          <w:sz w:val="20"/>
          <w:szCs w:val="20"/>
        </w:rPr>
        <w:t>Droit des obligations</w:t>
      </w:r>
      <w:r w:rsidRPr="00B7521F">
        <w:rPr>
          <w:sz w:val="20"/>
          <w:szCs w:val="20"/>
        </w:rPr>
        <w:t>, t. III, Bruxelles, Bruylant, 2010, p. 1775, n°1248</w:t>
      </w:r>
      <w:r w:rsidRPr="00B7521F">
        <w:rPr>
          <w:sz w:val="20"/>
          <w:szCs w:val="20"/>
          <w:lang w:val="nl-NL"/>
        </w:rPr>
        <w:t xml:space="preserve">). </w:t>
      </w:r>
    </w:p>
  </w:footnote>
  <w:footnote w:id="2">
    <w:p w14:paraId="59B1230A" w14:textId="049CEE4E" w:rsidR="00B7521F" w:rsidRPr="00B7521F" w:rsidRDefault="00B7521F" w:rsidP="00B7521F">
      <w:pPr>
        <w:jc w:val="both"/>
        <w:rPr>
          <w:sz w:val="20"/>
          <w:szCs w:val="20"/>
        </w:rPr>
      </w:pPr>
      <w:r w:rsidRPr="00B7521F">
        <w:rPr>
          <w:rStyle w:val="Marquenotebasdepage"/>
          <w:sz w:val="20"/>
          <w:szCs w:val="20"/>
        </w:rPr>
        <w:footnoteRef/>
      </w:r>
      <w:r w:rsidRPr="00B7521F">
        <w:rPr>
          <w:sz w:val="20"/>
          <w:szCs w:val="20"/>
        </w:rPr>
        <w:t xml:space="preserve"> Seul le quatrième moyen sera examiné ci-après. Le premier moyen, rejeté par la Cour de cassation, vise une question spécifique de droit judiciaire, à savoir celle du cantonnement opéré suite à une saisie conservatoire. Les deuxième et troisième moyens sont quant à eux propres à la technique de cassation. La demanderesse y dénonçait, avec succès cette fois, le fait que l’arrêt attaqué avait violé à deux reprises la foi due à un arrêt prononcé par la cour d’appel du Grand-Duché de Luxembourg en lui donnant une interprétation inconciliable avec ses termes, violant de la sorte les articles 1319, 1320 et 1322 du Code civil. </w:t>
      </w:r>
    </w:p>
  </w:footnote>
  <w:footnote w:id="3">
    <w:p w14:paraId="4604C832" w14:textId="77777777" w:rsidR="00B7521F" w:rsidRPr="00B7521F" w:rsidRDefault="00B7521F" w:rsidP="00B7521F">
      <w:pPr>
        <w:pStyle w:val="Notedebasdepage"/>
        <w:jc w:val="both"/>
        <w:rPr>
          <w:sz w:val="20"/>
          <w:szCs w:val="20"/>
          <w:lang w:val="nl-NL"/>
        </w:rPr>
      </w:pPr>
      <w:r w:rsidRPr="00B7521F">
        <w:rPr>
          <w:rStyle w:val="Marquenotebasdepage"/>
          <w:sz w:val="20"/>
          <w:szCs w:val="20"/>
        </w:rPr>
        <w:footnoteRef/>
      </w:r>
      <w:r w:rsidRPr="00B7521F">
        <w:rPr>
          <w:sz w:val="20"/>
          <w:szCs w:val="20"/>
        </w:rPr>
        <w:t xml:space="preserve"> Cass., 7 novembre 2008, </w:t>
      </w:r>
      <w:r w:rsidRPr="00B7521F">
        <w:rPr>
          <w:i/>
          <w:sz w:val="20"/>
          <w:szCs w:val="20"/>
        </w:rPr>
        <w:t>Pas</w:t>
      </w:r>
      <w:r w:rsidRPr="00B7521F">
        <w:rPr>
          <w:sz w:val="20"/>
          <w:szCs w:val="20"/>
        </w:rPr>
        <w:t>., I, 2496.</w:t>
      </w:r>
    </w:p>
  </w:footnote>
  <w:footnote w:id="4">
    <w:p w14:paraId="4081046D" w14:textId="77777777" w:rsidR="00B7521F" w:rsidRPr="00B7521F" w:rsidRDefault="00B7521F" w:rsidP="00B7521F">
      <w:pPr>
        <w:jc w:val="both"/>
        <w:rPr>
          <w:sz w:val="20"/>
          <w:szCs w:val="20"/>
        </w:rPr>
      </w:pPr>
      <w:r w:rsidRPr="00B7521F">
        <w:rPr>
          <w:rStyle w:val="Marquenotebasdepage"/>
          <w:sz w:val="20"/>
          <w:szCs w:val="20"/>
        </w:rPr>
        <w:footnoteRef/>
      </w:r>
      <w:r w:rsidRPr="00B7521F">
        <w:rPr>
          <w:sz w:val="20"/>
          <w:szCs w:val="20"/>
        </w:rPr>
        <w:t xml:space="preserve"> </w:t>
      </w:r>
      <w:r w:rsidRPr="00B7521F">
        <w:rPr>
          <w:sz w:val="20"/>
          <w:szCs w:val="20"/>
          <w:lang w:val="nl-NL"/>
        </w:rPr>
        <w:t xml:space="preserve">Sur l’obligation solidaire, voy. notamment H. </w:t>
      </w:r>
      <w:r w:rsidRPr="00B7521F">
        <w:rPr>
          <w:smallCaps/>
          <w:sz w:val="20"/>
          <w:szCs w:val="20"/>
          <w:lang w:val="nl-NL"/>
        </w:rPr>
        <w:t>De Page</w:t>
      </w:r>
      <w:r w:rsidRPr="00B7521F">
        <w:rPr>
          <w:sz w:val="20"/>
          <w:szCs w:val="20"/>
          <w:lang w:val="nl-NL"/>
        </w:rPr>
        <w:t xml:space="preserve">, </w:t>
      </w:r>
      <w:r w:rsidRPr="00B7521F">
        <w:rPr>
          <w:i/>
          <w:sz w:val="20"/>
          <w:szCs w:val="20"/>
          <w:lang w:val="nl-NL"/>
        </w:rPr>
        <w:t>Traité élémentaire de droit civil</w:t>
      </w:r>
      <w:r w:rsidRPr="00B7521F">
        <w:rPr>
          <w:sz w:val="20"/>
          <w:szCs w:val="20"/>
          <w:lang w:val="nl-NL"/>
        </w:rPr>
        <w:t xml:space="preserve">, t. III, n°316 et s. ; S. </w:t>
      </w:r>
      <w:r w:rsidRPr="00B7521F">
        <w:rPr>
          <w:smallCaps/>
          <w:sz w:val="20"/>
          <w:szCs w:val="20"/>
        </w:rPr>
        <w:t>Stijns</w:t>
      </w:r>
      <w:r w:rsidRPr="00B7521F">
        <w:rPr>
          <w:sz w:val="20"/>
          <w:szCs w:val="20"/>
        </w:rPr>
        <w:t xml:space="preserve">, D. </w:t>
      </w:r>
      <w:r w:rsidRPr="00B7521F">
        <w:rPr>
          <w:smallCaps/>
          <w:sz w:val="20"/>
          <w:szCs w:val="20"/>
        </w:rPr>
        <w:t>Van Gerven</w:t>
      </w:r>
      <w:r w:rsidRPr="00B7521F">
        <w:rPr>
          <w:sz w:val="20"/>
          <w:szCs w:val="20"/>
        </w:rPr>
        <w:t xml:space="preserve">, et P. </w:t>
      </w:r>
      <w:r w:rsidRPr="00B7521F">
        <w:rPr>
          <w:smallCaps/>
          <w:sz w:val="20"/>
          <w:szCs w:val="20"/>
        </w:rPr>
        <w:t>Wéry</w:t>
      </w:r>
      <w:r w:rsidRPr="00B7521F">
        <w:rPr>
          <w:sz w:val="20"/>
          <w:szCs w:val="20"/>
        </w:rPr>
        <w:t xml:space="preserve">, « Les obligations : le régime général de l'obligation (1985-1995) », </w:t>
      </w:r>
      <w:r w:rsidRPr="00B7521F">
        <w:rPr>
          <w:i/>
          <w:sz w:val="20"/>
          <w:szCs w:val="20"/>
        </w:rPr>
        <w:t>J.T</w:t>
      </w:r>
      <w:r w:rsidRPr="00B7521F">
        <w:rPr>
          <w:sz w:val="20"/>
          <w:szCs w:val="20"/>
        </w:rPr>
        <w:t xml:space="preserve">., 1999/41, n° 5949, p. 821-854 ; P. </w:t>
      </w:r>
      <w:r w:rsidRPr="00B7521F">
        <w:rPr>
          <w:smallCaps/>
          <w:sz w:val="20"/>
          <w:szCs w:val="20"/>
        </w:rPr>
        <w:t>Van Ommeslaghe</w:t>
      </w:r>
      <w:r w:rsidRPr="00B7521F">
        <w:rPr>
          <w:sz w:val="20"/>
          <w:szCs w:val="20"/>
        </w:rPr>
        <w:t xml:space="preserve">, </w:t>
      </w:r>
      <w:r w:rsidRPr="00B7521F">
        <w:rPr>
          <w:i/>
          <w:sz w:val="20"/>
          <w:szCs w:val="20"/>
        </w:rPr>
        <w:t>Droit des obligations</w:t>
      </w:r>
      <w:r w:rsidRPr="00B7521F">
        <w:rPr>
          <w:sz w:val="20"/>
          <w:szCs w:val="20"/>
        </w:rPr>
        <w:t>, t. III, Bruxelles, Bruylant, 2010, p. 1764 et s.</w:t>
      </w:r>
    </w:p>
  </w:footnote>
  <w:footnote w:id="5">
    <w:p w14:paraId="30939068" w14:textId="7E0F2CBF" w:rsidR="00B7521F" w:rsidRPr="00B7521F" w:rsidRDefault="00B7521F" w:rsidP="00B7521F">
      <w:pPr>
        <w:pStyle w:val="Notedebasdepage"/>
        <w:jc w:val="both"/>
        <w:rPr>
          <w:sz w:val="20"/>
          <w:szCs w:val="20"/>
          <w:lang w:val="nl-NL"/>
        </w:rPr>
      </w:pPr>
      <w:r w:rsidRPr="00B7521F">
        <w:rPr>
          <w:rStyle w:val="Marquenotebasdepage"/>
          <w:sz w:val="20"/>
          <w:szCs w:val="20"/>
        </w:rPr>
        <w:footnoteRef/>
      </w:r>
      <w:r w:rsidRPr="00B7521F">
        <w:rPr>
          <w:sz w:val="20"/>
          <w:szCs w:val="20"/>
        </w:rPr>
        <w:t xml:space="preserve"> Par exemple : le droit d’élection du créancier ou le fait que le paiement total par un des codébiteurs libère les autres.</w:t>
      </w:r>
    </w:p>
  </w:footnote>
  <w:footnote w:id="6">
    <w:p w14:paraId="1CE5B152" w14:textId="299B56CB" w:rsidR="00B7521F" w:rsidRPr="00B7521F" w:rsidRDefault="00B7521F" w:rsidP="00B7521F">
      <w:pPr>
        <w:pStyle w:val="Notedebasdepage"/>
        <w:jc w:val="both"/>
        <w:rPr>
          <w:sz w:val="20"/>
          <w:szCs w:val="20"/>
          <w:lang w:val="nl-NL"/>
        </w:rPr>
      </w:pPr>
      <w:r w:rsidRPr="00B7521F">
        <w:rPr>
          <w:rStyle w:val="Marquenotebasdepage"/>
          <w:sz w:val="20"/>
          <w:szCs w:val="20"/>
        </w:rPr>
        <w:footnoteRef/>
      </w:r>
      <w:r w:rsidRPr="00B7521F">
        <w:rPr>
          <w:sz w:val="20"/>
          <w:szCs w:val="20"/>
        </w:rPr>
        <w:t xml:space="preserve"> Un codébiteur ne pourra par ailleurs invoquer une exception simplement personnelle à un autre codébiteur, comme une remise de dette, mais il profitera de cette exception dès lors que, si elle est exercée, le montant qui pourra lui être réclamé sera généralement réduit (P. </w:t>
      </w:r>
      <w:r w:rsidRPr="00B7521F">
        <w:rPr>
          <w:smallCaps/>
          <w:sz w:val="20"/>
          <w:szCs w:val="20"/>
        </w:rPr>
        <w:t>Van Ommeslaghe</w:t>
      </w:r>
      <w:r w:rsidRPr="00B7521F">
        <w:rPr>
          <w:sz w:val="20"/>
          <w:szCs w:val="20"/>
        </w:rPr>
        <w:t xml:space="preserve">, </w:t>
      </w:r>
      <w:r w:rsidRPr="00B7521F">
        <w:rPr>
          <w:i/>
          <w:sz w:val="20"/>
          <w:szCs w:val="20"/>
        </w:rPr>
        <w:t>Droit des obligations</w:t>
      </w:r>
      <w:r w:rsidRPr="00B7521F">
        <w:rPr>
          <w:sz w:val="20"/>
          <w:szCs w:val="20"/>
        </w:rPr>
        <w:t xml:space="preserve">, </w:t>
      </w:r>
      <w:r w:rsidRPr="00B7521F">
        <w:rPr>
          <w:i/>
          <w:sz w:val="20"/>
          <w:szCs w:val="20"/>
        </w:rPr>
        <w:t>op. cit.</w:t>
      </w:r>
      <w:r w:rsidRPr="00B7521F">
        <w:rPr>
          <w:sz w:val="20"/>
          <w:szCs w:val="20"/>
        </w:rPr>
        <w:t>, p. 1778, n°1251).</w:t>
      </w:r>
    </w:p>
  </w:footnote>
  <w:footnote w:id="7">
    <w:p w14:paraId="50575949" w14:textId="08F82202" w:rsidR="00B7521F" w:rsidRPr="00B7521F" w:rsidRDefault="00B7521F" w:rsidP="00B7521F">
      <w:pPr>
        <w:jc w:val="both"/>
        <w:rPr>
          <w:sz w:val="20"/>
          <w:szCs w:val="20"/>
        </w:rPr>
      </w:pPr>
      <w:r w:rsidRPr="00B7521F">
        <w:rPr>
          <w:rStyle w:val="Marquenotebasdepage"/>
          <w:sz w:val="20"/>
          <w:szCs w:val="20"/>
        </w:rPr>
        <w:footnoteRef/>
      </w:r>
      <w:r w:rsidRPr="00B7521F">
        <w:rPr>
          <w:sz w:val="20"/>
          <w:szCs w:val="20"/>
        </w:rPr>
        <w:t xml:space="preserve"> Le droit belge est plus réticent que le droit français à admettre des effets secondaires d’origine doctrinale et jurisprudentielle (</w:t>
      </w:r>
      <w:r w:rsidRPr="00B7521F">
        <w:rPr>
          <w:sz w:val="20"/>
          <w:szCs w:val="20"/>
          <w:lang w:val="nl-NL"/>
        </w:rPr>
        <w:t xml:space="preserve">voy. </w:t>
      </w:r>
      <w:r w:rsidRPr="00B7521F">
        <w:rPr>
          <w:sz w:val="20"/>
          <w:szCs w:val="20"/>
        </w:rPr>
        <w:t xml:space="preserve">P. </w:t>
      </w:r>
      <w:r w:rsidRPr="00B7521F">
        <w:rPr>
          <w:smallCaps/>
          <w:sz w:val="20"/>
          <w:szCs w:val="20"/>
        </w:rPr>
        <w:t>Van Ommeslaghe</w:t>
      </w:r>
      <w:r w:rsidRPr="00B7521F">
        <w:rPr>
          <w:sz w:val="20"/>
          <w:szCs w:val="20"/>
        </w:rPr>
        <w:t xml:space="preserve">, </w:t>
      </w:r>
      <w:r w:rsidRPr="00B7521F">
        <w:rPr>
          <w:i/>
          <w:sz w:val="20"/>
          <w:szCs w:val="20"/>
        </w:rPr>
        <w:t>Droit des obligations</w:t>
      </w:r>
      <w:r w:rsidRPr="00B7521F">
        <w:rPr>
          <w:sz w:val="20"/>
          <w:szCs w:val="20"/>
        </w:rPr>
        <w:t xml:space="preserve">, </w:t>
      </w:r>
      <w:r w:rsidRPr="00B7521F">
        <w:rPr>
          <w:i/>
          <w:sz w:val="20"/>
          <w:szCs w:val="20"/>
        </w:rPr>
        <w:t>op. cit.</w:t>
      </w:r>
      <w:r w:rsidRPr="00B7521F">
        <w:rPr>
          <w:sz w:val="20"/>
          <w:szCs w:val="20"/>
        </w:rPr>
        <w:t>, p. 1782, n°1253).</w:t>
      </w:r>
    </w:p>
  </w:footnote>
  <w:footnote w:id="8">
    <w:p w14:paraId="42091D69" w14:textId="77777777" w:rsidR="00B7521F" w:rsidRPr="00B7521F" w:rsidRDefault="00B7521F" w:rsidP="00B7521F">
      <w:pPr>
        <w:pStyle w:val="Notedebasdepage"/>
        <w:jc w:val="both"/>
        <w:rPr>
          <w:sz w:val="20"/>
          <w:szCs w:val="20"/>
          <w:lang w:val="nl-NL"/>
        </w:rPr>
      </w:pPr>
      <w:r w:rsidRPr="00B7521F">
        <w:rPr>
          <w:rStyle w:val="Marquenotebasdepage"/>
          <w:sz w:val="20"/>
          <w:szCs w:val="20"/>
        </w:rPr>
        <w:footnoteRef/>
      </w:r>
      <w:r w:rsidRPr="00B7521F">
        <w:rPr>
          <w:sz w:val="20"/>
          <w:szCs w:val="20"/>
        </w:rPr>
        <w:t xml:space="preserve"> J. </w:t>
      </w:r>
      <w:r w:rsidRPr="00B7521F">
        <w:rPr>
          <w:smallCaps/>
          <w:sz w:val="20"/>
          <w:szCs w:val="20"/>
        </w:rPr>
        <w:t>Périlleux</w:t>
      </w:r>
      <w:r w:rsidRPr="00B7521F">
        <w:rPr>
          <w:sz w:val="20"/>
          <w:szCs w:val="20"/>
        </w:rPr>
        <w:t xml:space="preserve">, « L'obligation in solidum entre passé et avenir », in </w:t>
      </w:r>
      <w:r w:rsidRPr="00B7521F">
        <w:rPr>
          <w:i/>
          <w:sz w:val="20"/>
          <w:szCs w:val="20"/>
        </w:rPr>
        <w:t>Liber Amicorum Jean-Pierre De Bandt</w:t>
      </w:r>
      <w:r w:rsidRPr="00B7521F">
        <w:rPr>
          <w:sz w:val="20"/>
          <w:szCs w:val="20"/>
        </w:rPr>
        <w:t>, Bruxelles, Bruylant, 2004, p. 532.</w:t>
      </w:r>
    </w:p>
  </w:footnote>
  <w:footnote w:id="9">
    <w:p w14:paraId="0123ECF3" w14:textId="6C845724" w:rsidR="00B7521F" w:rsidRPr="00B7521F" w:rsidRDefault="00B7521F" w:rsidP="00B7521F">
      <w:pPr>
        <w:pStyle w:val="Notedebasdepage"/>
        <w:jc w:val="both"/>
        <w:rPr>
          <w:sz w:val="20"/>
          <w:szCs w:val="20"/>
          <w:lang w:val="nl-NL"/>
        </w:rPr>
      </w:pPr>
      <w:r w:rsidRPr="00B7521F">
        <w:rPr>
          <w:rStyle w:val="Marquenotebasdepage"/>
          <w:sz w:val="20"/>
          <w:szCs w:val="20"/>
        </w:rPr>
        <w:footnoteRef/>
      </w:r>
      <w:r w:rsidRPr="00B7521F">
        <w:rPr>
          <w:sz w:val="20"/>
          <w:szCs w:val="20"/>
        </w:rPr>
        <w:t xml:space="preserve"> P. </w:t>
      </w:r>
      <w:r w:rsidRPr="00B7521F">
        <w:rPr>
          <w:smallCaps/>
          <w:sz w:val="20"/>
          <w:szCs w:val="20"/>
        </w:rPr>
        <w:t>Van Ommeslaghe</w:t>
      </w:r>
      <w:r w:rsidRPr="00B7521F">
        <w:rPr>
          <w:sz w:val="20"/>
          <w:szCs w:val="20"/>
        </w:rPr>
        <w:t xml:space="preserve">, </w:t>
      </w:r>
      <w:r w:rsidRPr="00B7521F">
        <w:rPr>
          <w:i/>
          <w:sz w:val="20"/>
          <w:szCs w:val="20"/>
        </w:rPr>
        <w:t>Droit des obligations</w:t>
      </w:r>
      <w:r w:rsidRPr="00B7521F">
        <w:rPr>
          <w:sz w:val="20"/>
          <w:szCs w:val="20"/>
        </w:rPr>
        <w:t xml:space="preserve">, </w:t>
      </w:r>
      <w:r w:rsidRPr="00B7521F">
        <w:rPr>
          <w:i/>
          <w:sz w:val="20"/>
          <w:szCs w:val="20"/>
        </w:rPr>
        <w:t>op. cit.</w:t>
      </w:r>
      <w:r w:rsidRPr="00B7521F">
        <w:rPr>
          <w:sz w:val="20"/>
          <w:szCs w:val="20"/>
        </w:rPr>
        <w:t>, pp. 1795-1796, n°1270.</w:t>
      </w:r>
    </w:p>
  </w:footnote>
  <w:footnote w:id="10">
    <w:p w14:paraId="72BA2174" w14:textId="4F6BF748" w:rsidR="00B7521F" w:rsidRPr="00B7521F" w:rsidRDefault="00B7521F" w:rsidP="00B7521F">
      <w:pPr>
        <w:pStyle w:val="Notedebasdepage"/>
        <w:jc w:val="both"/>
        <w:rPr>
          <w:sz w:val="20"/>
          <w:szCs w:val="20"/>
          <w:lang w:val="nl-NL"/>
        </w:rPr>
      </w:pPr>
      <w:r w:rsidRPr="00B7521F">
        <w:rPr>
          <w:rStyle w:val="Marquenotebasdepage"/>
          <w:sz w:val="20"/>
          <w:szCs w:val="20"/>
        </w:rPr>
        <w:footnoteRef/>
      </w:r>
      <w:r w:rsidRPr="00B7521F">
        <w:rPr>
          <w:sz w:val="20"/>
          <w:szCs w:val="20"/>
        </w:rPr>
        <w:t xml:space="preserve"> </w:t>
      </w:r>
      <w:r w:rsidRPr="00B7521F">
        <w:rPr>
          <w:sz w:val="20"/>
          <w:szCs w:val="20"/>
          <w:lang w:val="nl-NL"/>
        </w:rPr>
        <w:t xml:space="preserve">S. </w:t>
      </w:r>
      <w:r w:rsidRPr="00B7521F">
        <w:rPr>
          <w:smallCaps/>
          <w:sz w:val="20"/>
          <w:szCs w:val="20"/>
        </w:rPr>
        <w:t>Stijns</w:t>
      </w:r>
      <w:r w:rsidRPr="00B7521F">
        <w:rPr>
          <w:sz w:val="20"/>
          <w:szCs w:val="20"/>
        </w:rPr>
        <w:t xml:space="preserve">, D. </w:t>
      </w:r>
      <w:r w:rsidRPr="00B7521F">
        <w:rPr>
          <w:smallCaps/>
          <w:sz w:val="20"/>
          <w:szCs w:val="20"/>
        </w:rPr>
        <w:t>Van Gerven</w:t>
      </w:r>
      <w:r w:rsidRPr="00B7521F">
        <w:rPr>
          <w:sz w:val="20"/>
          <w:szCs w:val="20"/>
        </w:rPr>
        <w:t xml:space="preserve">, et P. </w:t>
      </w:r>
      <w:r w:rsidRPr="00B7521F">
        <w:rPr>
          <w:smallCaps/>
          <w:sz w:val="20"/>
          <w:szCs w:val="20"/>
        </w:rPr>
        <w:t>Wéry</w:t>
      </w:r>
      <w:r w:rsidRPr="00B7521F">
        <w:rPr>
          <w:sz w:val="20"/>
          <w:szCs w:val="20"/>
        </w:rPr>
        <w:t xml:space="preserve">, « Les obligations : le régime général de l'obligation (1985-1995) », </w:t>
      </w:r>
      <w:r w:rsidRPr="00B7521F">
        <w:rPr>
          <w:i/>
          <w:sz w:val="20"/>
          <w:szCs w:val="20"/>
        </w:rPr>
        <w:t>op. cit</w:t>
      </w:r>
      <w:r w:rsidRPr="00B7521F">
        <w:rPr>
          <w:sz w:val="20"/>
          <w:szCs w:val="20"/>
        </w:rPr>
        <w:t xml:space="preserve">., p. 849. Voy. également les références citées par J. </w:t>
      </w:r>
      <w:r w:rsidRPr="00B7521F">
        <w:rPr>
          <w:smallCaps/>
          <w:sz w:val="20"/>
          <w:szCs w:val="20"/>
        </w:rPr>
        <w:t>Périlleux</w:t>
      </w:r>
      <w:r w:rsidRPr="00B7521F">
        <w:rPr>
          <w:sz w:val="20"/>
          <w:szCs w:val="20"/>
        </w:rPr>
        <w:t xml:space="preserve">, « L'obligation in solidum entre passé et avenir », </w:t>
      </w:r>
      <w:r w:rsidRPr="00B7521F">
        <w:rPr>
          <w:i/>
          <w:sz w:val="20"/>
          <w:szCs w:val="20"/>
        </w:rPr>
        <w:t>op. cit.</w:t>
      </w:r>
      <w:r w:rsidRPr="00B7521F">
        <w:rPr>
          <w:sz w:val="20"/>
          <w:szCs w:val="20"/>
          <w:lang w:val="nl-NL"/>
        </w:rPr>
        <w:t>, p. 534. Cette exclusion ne convainquait pas De Page (</w:t>
      </w:r>
      <w:r w:rsidRPr="00B7521F">
        <w:rPr>
          <w:i/>
          <w:sz w:val="20"/>
          <w:szCs w:val="20"/>
          <w:lang w:val="nl-NL"/>
        </w:rPr>
        <w:t>Traité élémentaire de droit civil</w:t>
      </w:r>
      <w:r w:rsidRPr="00B7521F">
        <w:rPr>
          <w:sz w:val="20"/>
          <w:szCs w:val="20"/>
          <w:lang w:val="nl-NL"/>
        </w:rPr>
        <w:t xml:space="preserve">, t. III, op. cit., n°325 : </w:t>
      </w:r>
      <w:r w:rsidRPr="00B7521F">
        <w:rPr>
          <w:sz w:val="20"/>
          <w:szCs w:val="20"/>
        </w:rPr>
        <w:t>« </w:t>
      </w:r>
      <w:r w:rsidRPr="00B7521F">
        <w:rPr>
          <w:sz w:val="20"/>
          <w:szCs w:val="20"/>
          <w:lang w:val="nl-NL"/>
        </w:rPr>
        <w:t xml:space="preserve">Où se trouve la </w:t>
      </w:r>
      <w:r w:rsidRPr="00B7521F">
        <w:rPr>
          <w:i/>
          <w:sz w:val="20"/>
          <w:szCs w:val="20"/>
          <w:lang w:val="nl-NL"/>
        </w:rPr>
        <w:t>justification</w:t>
      </w:r>
      <w:r w:rsidRPr="00B7521F">
        <w:rPr>
          <w:sz w:val="20"/>
          <w:szCs w:val="20"/>
          <w:lang w:val="nl-NL"/>
        </w:rPr>
        <w:t xml:space="preserve"> de cette attitude pour le moins insolite? Nulle part. C’est l’arbitraire, dans toute sa force</w:t>
      </w:r>
      <w:r w:rsidRPr="00B7521F">
        <w:rPr>
          <w:sz w:val="20"/>
          <w:szCs w:val="20"/>
        </w:rPr>
        <w:t> »</w:t>
      </w:r>
      <w:r w:rsidRPr="00B7521F">
        <w:rPr>
          <w:sz w:val="20"/>
          <w:szCs w:val="20"/>
          <w:lang w:val="nl-NL"/>
        </w:rPr>
        <w:t xml:space="preserve">). Il est vrai qu’il n’était pas un fervent défenseur de l’institution de l’obligation </w:t>
      </w:r>
      <w:r w:rsidRPr="00FB7647">
        <w:rPr>
          <w:i/>
          <w:sz w:val="20"/>
          <w:szCs w:val="20"/>
          <w:lang w:val="nl-NL"/>
        </w:rPr>
        <w:t>in solidum</w:t>
      </w:r>
      <w:r w:rsidRPr="00B7521F">
        <w:rPr>
          <w:sz w:val="20"/>
          <w:szCs w:val="20"/>
          <w:lang w:val="nl-NL"/>
        </w:rPr>
        <w:t xml:space="preserve">. </w:t>
      </w:r>
    </w:p>
  </w:footnote>
  <w:footnote w:id="11">
    <w:p w14:paraId="0DBB9DCE" w14:textId="6035C2BC" w:rsidR="00B7521F" w:rsidRPr="00B7521F" w:rsidRDefault="00B7521F" w:rsidP="00B7521F">
      <w:pPr>
        <w:pStyle w:val="Notedebasdepage"/>
        <w:jc w:val="both"/>
        <w:rPr>
          <w:sz w:val="20"/>
          <w:szCs w:val="20"/>
          <w:lang w:val="nl-NL"/>
        </w:rPr>
      </w:pPr>
      <w:r w:rsidRPr="00B7521F">
        <w:rPr>
          <w:rStyle w:val="Marquenotebasdepage"/>
          <w:sz w:val="20"/>
          <w:szCs w:val="20"/>
        </w:rPr>
        <w:footnoteRef/>
      </w:r>
      <w:r w:rsidRPr="00B7521F">
        <w:rPr>
          <w:sz w:val="20"/>
          <w:szCs w:val="20"/>
        </w:rPr>
        <w:t xml:space="preserve"> P. </w:t>
      </w:r>
      <w:r w:rsidRPr="00B7521F">
        <w:rPr>
          <w:smallCaps/>
          <w:sz w:val="20"/>
          <w:szCs w:val="20"/>
        </w:rPr>
        <w:t>Van Ommeslaghe</w:t>
      </w:r>
      <w:r w:rsidRPr="00B7521F">
        <w:rPr>
          <w:sz w:val="20"/>
          <w:szCs w:val="20"/>
        </w:rPr>
        <w:t xml:space="preserve">, </w:t>
      </w:r>
      <w:r w:rsidRPr="00B7521F">
        <w:rPr>
          <w:i/>
          <w:sz w:val="20"/>
          <w:szCs w:val="20"/>
        </w:rPr>
        <w:t>Droit des obligations</w:t>
      </w:r>
      <w:r w:rsidRPr="00B7521F">
        <w:rPr>
          <w:sz w:val="20"/>
          <w:szCs w:val="20"/>
        </w:rPr>
        <w:t xml:space="preserve">, </w:t>
      </w:r>
      <w:r w:rsidRPr="00B7521F">
        <w:rPr>
          <w:i/>
          <w:sz w:val="20"/>
          <w:szCs w:val="20"/>
        </w:rPr>
        <w:t>op. cit.</w:t>
      </w:r>
      <w:r w:rsidRPr="00B7521F">
        <w:rPr>
          <w:sz w:val="20"/>
          <w:szCs w:val="20"/>
        </w:rPr>
        <w:t xml:space="preserve">, p. 1801 et s. Cet auteur </w:t>
      </w:r>
      <w:r w:rsidRPr="00B7521F">
        <w:rPr>
          <w:sz w:val="20"/>
          <w:szCs w:val="20"/>
          <w:lang w:val="nl-NL"/>
        </w:rPr>
        <w:t>n’exclut toutefois pas la possibilité d’exceptions communes ou simplement personnelles (</w:t>
      </w:r>
      <w:r w:rsidRPr="00B7521F">
        <w:rPr>
          <w:i/>
          <w:sz w:val="20"/>
          <w:szCs w:val="20"/>
          <w:lang w:val="nl-NL"/>
        </w:rPr>
        <w:t>Ibid.</w:t>
      </w:r>
      <w:r w:rsidRPr="00B7521F">
        <w:rPr>
          <w:sz w:val="20"/>
          <w:szCs w:val="20"/>
          <w:lang w:val="nl-NL"/>
        </w:rPr>
        <w:t>, n°1274).</w:t>
      </w:r>
    </w:p>
  </w:footnote>
  <w:footnote w:id="12">
    <w:p w14:paraId="3E404E32" w14:textId="526D2C25" w:rsidR="00B7521F" w:rsidRPr="00B7521F" w:rsidRDefault="00B7521F" w:rsidP="00B7521F">
      <w:pPr>
        <w:pStyle w:val="Notedebasdepage"/>
        <w:jc w:val="both"/>
        <w:rPr>
          <w:sz w:val="20"/>
          <w:szCs w:val="20"/>
          <w:lang w:val="nl-NL"/>
        </w:rPr>
      </w:pPr>
      <w:r w:rsidRPr="00B7521F">
        <w:rPr>
          <w:rStyle w:val="Marquenotebasdepage"/>
          <w:sz w:val="20"/>
          <w:szCs w:val="20"/>
        </w:rPr>
        <w:footnoteRef/>
      </w:r>
      <w:r w:rsidRPr="00B7521F">
        <w:rPr>
          <w:sz w:val="20"/>
          <w:szCs w:val="20"/>
        </w:rPr>
        <w:t xml:space="preserve"> </w:t>
      </w:r>
      <w:r w:rsidRPr="00B7521F">
        <w:rPr>
          <w:sz w:val="20"/>
          <w:szCs w:val="20"/>
          <w:lang w:val="nl-NL"/>
        </w:rPr>
        <w:t xml:space="preserve">En l’espèce, l’interruption résultait de la situation de concours intervenue, en vertu du droit luxembourgeois, en raison de la mise sous gestion contrôlée de l’une des deux sociétés codébitrices et de la déclaration de faillite de l’autre. </w:t>
      </w:r>
    </w:p>
  </w:footnote>
  <w:footnote w:id="13">
    <w:p w14:paraId="291E0882" w14:textId="11E26C13" w:rsidR="00B7521F" w:rsidRPr="00B7521F" w:rsidRDefault="00B7521F" w:rsidP="00B7521F">
      <w:pPr>
        <w:pStyle w:val="Notedebasdepage"/>
        <w:jc w:val="both"/>
        <w:rPr>
          <w:sz w:val="20"/>
          <w:szCs w:val="20"/>
          <w:lang w:val="nl-NL"/>
        </w:rPr>
      </w:pPr>
      <w:r w:rsidRPr="00B7521F">
        <w:rPr>
          <w:rStyle w:val="Marquenotebasdepage"/>
          <w:sz w:val="20"/>
          <w:szCs w:val="20"/>
        </w:rPr>
        <w:footnoteRef/>
      </w:r>
      <w:r w:rsidRPr="00B7521F">
        <w:rPr>
          <w:sz w:val="20"/>
          <w:szCs w:val="20"/>
        </w:rPr>
        <w:t xml:space="preserve"> </w:t>
      </w:r>
      <w:r w:rsidRPr="00B7521F">
        <w:rPr>
          <w:sz w:val="20"/>
          <w:szCs w:val="20"/>
          <w:lang w:val="nl-NL"/>
        </w:rPr>
        <w:t xml:space="preserve">En ce qui concerne la contribution à la dette, voy. B. </w:t>
      </w:r>
      <w:r w:rsidRPr="00B7521F">
        <w:rPr>
          <w:smallCaps/>
          <w:sz w:val="20"/>
          <w:szCs w:val="20"/>
          <w:lang w:val="nl-NL"/>
        </w:rPr>
        <w:t>De Coninck</w:t>
      </w:r>
      <w:r w:rsidRPr="00B7521F">
        <w:rPr>
          <w:sz w:val="20"/>
          <w:szCs w:val="20"/>
          <w:lang w:val="nl-NL"/>
        </w:rPr>
        <w:t xml:space="preserve">, « Les recours après indemnisation en matière de responsabilité civile extracontractuelle : la condamnation in solidum et la contribution à la dette », </w:t>
      </w:r>
      <w:r w:rsidRPr="00B7521F">
        <w:rPr>
          <w:i/>
          <w:sz w:val="20"/>
          <w:szCs w:val="20"/>
          <w:lang w:val="nl-NL"/>
        </w:rPr>
        <w:t>J.T</w:t>
      </w:r>
      <w:r w:rsidRPr="00B7521F">
        <w:rPr>
          <w:sz w:val="20"/>
          <w:szCs w:val="20"/>
          <w:lang w:val="nl-NL"/>
        </w:rPr>
        <w:t xml:space="preserve">., 2010, pp. 755 et s. ; J. </w:t>
      </w:r>
      <w:r w:rsidRPr="00B7521F">
        <w:rPr>
          <w:smallCaps/>
          <w:sz w:val="20"/>
          <w:szCs w:val="20"/>
          <w:lang w:val="nl-NL"/>
        </w:rPr>
        <w:t>Perilleux</w:t>
      </w:r>
      <w:r w:rsidRPr="00B7521F">
        <w:rPr>
          <w:sz w:val="20"/>
          <w:szCs w:val="20"/>
          <w:lang w:val="nl-NL"/>
        </w:rPr>
        <w:t xml:space="preserve">, </w:t>
      </w:r>
      <w:r w:rsidRPr="00B7521F">
        <w:rPr>
          <w:sz w:val="20"/>
          <w:szCs w:val="20"/>
        </w:rPr>
        <w:t xml:space="preserve">« </w:t>
      </w:r>
      <w:r w:rsidRPr="00B7521F">
        <w:rPr>
          <w:sz w:val="20"/>
          <w:szCs w:val="20"/>
          <w:lang w:val="nl-NL"/>
        </w:rPr>
        <w:t>Retour sur l’obligation in solidum : la contribution à la dette dans la jurisprudence récente de la Cour de cassation</w:t>
      </w:r>
      <w:r w:rsidRPr="00B7521F">
        <w:rPr>
          <w:sz w:val="20"/>
          <w:szCs w:val="20"/>
        </w:rPr>
        <w:t xml:space="preserve"> », Revue pratique de l’immobilier, 2/2014, pp. 131-140. </w:t>
      </w:r>
    </w:p>
  </w:footnote>
  <w:footnote w:id="14">
    <w:p w14:paraId="0242D138" w14:textId="320EBA26" w:rsidR="00B7521F" w:rsidRPr="00B7521F" w:rsidRDefault="00B7521F" w:rsidP="00B7521F">
      <w:pPr>
        <w:jc w:val="both"/>
        <w:rPr>
          <w:sz w:val="20"/>
          <w:szCs w:val="20"/>
        </w:rPr>
      </w:pPr>
      <w:r w:rsidRPr="00B7521F">
        <w:rPr>
          <w:rStyle w:val="Marquenotebasdepage"/>
          <w:sz w:val="20"/>
          <w:szCs w:val="20"/>
        </w:rPr>
        <w:footnoteRef/>
      </w:r>
      <w:r w:rsidRPr="00B7521F">
        <w:rPr>
          <w:sz w:val="20"/>
          <w:szCs w:val="20"/>
        </w:rPr>
        <w:t xml:space="preserve"> Du reste, si on considère que l’interruption du cours des intérêts dont ont bénéficié les deux sociétés codébitrices en vertu du droit luxembourgeois relève des exceptions purement personnelles</w:t>
      </w:r>
      <w:r w:rsidR="00FB7647">
        <w:rPr>
          <w:sz w:val="20"/>
          <w:szCs w:val="20"/>
        </w:rPr>
        <w:t xml:space="preserve"> (ce qui ne va sans doute pas de soi)</w:t>
      </w:r>
      <w:r w:rsidRPr="00B7521F">
        <w:rPr>
          <w:sz w:val="20"/>
          <w:szCs w:val="20"/>
        </w:rPr>
        <w:t>, la même solution aurait prévalu dans le cas d’une obligation solidaire.</w:t>
      </w:r>
    </w:p>
  </w:footnote>
  <w:footnote w:id="15">
    <w:p w14:paraId="268DF73F" w14:textId="77777777" w:rsidR="00B7521F" w:rsidRPr="00B7521F" w:rsidRDefault="00B7521F" w:rsidP="00B7521F">
      <w:pPr>
        <w:pStyle w:val="Notedebasdepage"/>
        <w:jc w:val="both"/>
        <w:rPr>
          <w:sz w:val="20"/>
          <w:szCs w:val="20"/>
          <w:lang w:val="nl-NL"/>
        </w:rPr>
      </w:pPr>
      <w:r w:rsidRPr="00B7521F">
        <w:rPr>
          <w:rStyle w:val="Marquenotebasdepage"/>
          <w:sz w:val="20"/>
          <w:szCs w:val="20"/>
        </w:rPr>
        <w:footnoteRef/>
      </w:r>
      <w:r w:rsidRPr="00B7521F">
        <w:rPr>
          <w:sz w:val="20"/>
          <w:szCs w:val="20"/>
        </w:rPr>
        <w:t xml:space="preserve"> </w:t>
      </w:r>
      <w:r w:rsidRPr="00B7521F">
        <w:rPr>
          <w:sz w:val="20"/>
          <w:szCs w:val="20"/>
          <w:lang w:val="nl-NL"/>
        </w:rPr>
        <w:t xml:space="preserve">Cass., 20 février 1969, </w:t>
      </w:r>
      <w:r w:rsidRPr="00B7521F">
        <w:rPr>
          <w:i/>
          <w:sz w:val="20"/>
          <w:szCs w:val="20"/>
          <w:lang w:val="nl-NL"/>
        </w:rPr>
        <w:t>Pas</w:t>
      </w:r>
      <w:r w:rsidRPr="00B7521F">
        <w:rPr>
          <w:sz w:val="20"/>
          <w:szCs w:val="20"/>
          <w:lang w:val="nl-NL"/>
        </w:rPr>
        <w:t xml:space="preserve">., I, p. 549. </w:t>
      </w:r>
    </w:p>
  </w:footnote>
  <w:footnote w:id="16">
    <w:p w14:paraId="38A7BD26" w14:textId="68DB1310" w:rsidR="00B7521F" w:rsidRPr="00B7521F" w:rsidRDefault="00B7521F" w:rsidP="00B7521F">
      <w:pPr>
        <w:jc w:val="both"/>
        <w:rPr>
          <w:sz w:val="20"/>
          <w:szCs w:val="20"/>
        </w:rPr>
      </w:pPr>
      <w:r w:rsidRPr="00B7521F">
        <w:rPr>
          <w:rStyle w:val="Marquenotebasdepage"/>
          <w:sz w:val="20"/>
          <w:szCs w:val="20"/>
        </w:rPr>
        <w:footnoteRef/>
      </w:r>
      <w:r w:rsidRPr="00B7521F">
        <w:rPr>
          <w:sz w:val="20"/>
          <w:szCs w:val="20"/>
        </w:rPr>
        <w:t xml:space="preserve"> Cass., 23 septembre 1986, </w:t>
      </w:r>
      <w:r w:rsidRPr="00B7521F">
        <w:rPr>
          <w:i/>
          <w:sz w:val="20"/>
          <w:szCs w:val="20"/>
        </w:rPr>
        <w:t>Pas</w:t>
      </w:r>
      <w:r w:rsidRPr="00B7521F">
        <w:rPr>
          <w:sz w:val="20"/>
          <w:szCs w:val="20"/>
        </w:rPr>
        <w:t xml:space="preserve">., 1987, I, p. 87. Cette décision semble avoir été inspirée par l’opinion exprimée par Mme Y. Jeanmart, alors conseillère à la Cour de cassation, en 1985 (Y. </w:t>
      </w:r>
      <w:r w:rsidRPr="00B7521F">
        <w:rPr>
          <w:smallCaps/>
          <w:sz w:val="20"/>
          <w:szCs w:val="20"/>
        </w:rPr>
        <w:t>Jeanmart</w:t>
      </w:r>
      <w:r w:rsidRPr="00B7521F">
        <w:rPr>
          <w:sz w:val="20"/>
          <w:szCs w:val="20"/>
        </w:rPr>
        <w:t xml:space="preserve">, « Quelques questions spéciales relatives à l’évaluation des dommages », in Garanties et réparation des risques de circulation », éd. Jeune Barreau de Liège, 1985, p. 147, citée par J.L. </w:t>
      </w:r>
      <w:r w:rsidRPr="00B7521F">
        <w:rPr>
          <w:smallCaps/>
          <w:sz w:val="20"/>
          <w:szCs w:val="20"/>
        </w:rPr>
        <w:t>Fagnart</w:t>
      </w:r>
      <w:r w:rsidRPr="00B7521F">
        <w:rPr>
          <w:sz w:val="20"/>
          <w:szCs w:val="20"/>
        </w:rPr>
        <w:t xml:space="preserve">, « Intérêts et provisions », in </w:t>
      </w:r>
      <w:r w:rsidRPr="00B7521F">
        <w:rPr>
          <w:i/>
          <w:sz w:val="20"/>
          <w:szCs w:val="20"/>
        </w:rPr>
        <w:t>Tableau indicatif 2012</w:t>
      </w:r>
      <w:r w:rsidRPr="00B7521F">
        <w:rPr>
          <w:sz w:val="20"/>
          <w:szCs w:val="20"/>
        </w:rPr>
        <w:t>, La Charte</w:t>
      </w:r>
      <w:r w:rsidR="00FB7647">
        <w:rPr>
          <w:sz w:val="20"/>
          <w:szCs w:val="20"/>
        </w:rPr>
        <w:t>,</w:t>
      </w:r>
      <w:r w:rsidRPr="00B7521F">
        <w:rPr>
          <w:sz w:val="20"/>
          <w:szCs w:val="20"/>
        </w:rPr>
        <w:t xml:space="preserve"> 2012, p. 211). Ce dernier auteur relève que, historiquement, le débat portait sur la question de savoir si l’article 1254 du Code civil s’appliquait aux intérêts moratoires, son application aux intérêts compensatoires ne faisant pas débat (</w:t>
      </w:r>
      <w:r w:rsidRPr="00B7521F">
        <w:rPr>
          <w:i/>
          <w:sz w:val="20"/>
          <w:szCs w:val="20"/>
        </w:rPr>
        <w:t>ibid.</w:t>
      </w:r>
      <w:r w:rsidRPr="00B7521F">
        <w:rPr>
          <w:sz w:val="20"/>
          <w:szCs w:val="20"/>
        </w:rPr>
        <w:t xml:space="preserve">, p. 210). Voy. toutefois la thèse de Mme Biquet-Mathieu, selon laquelle les intérêts « compensatoires » évoqués par l’ancienne doctrine française depuis Pothier visaient, en réalité, les intérêts rémunératoires (C. </w:t>
      </w:r>
      <w:r w:rsidRPr="00B7521F">
        <w:rPr>
          <w:smallCaps/>
          <w:sz w:val="20"/>
          <w:szCs w:val="20"/>
        </w:rPr>
        <w:t>Biquet</w:t>
      </w:r>
      <w:r w:rsidRPr="00B7521F">
        <w:rPr>
          <w:sz w:val="20"/>
          <w:szCs w:val="20"/>
        </w:rPr>
        <w:t>-</w:t>
      </w:r>
      <w:r w:rsidRPr="00B7521F">
        <w:rPr>
          <w:smallCaps/>
          <w:sz w:val="20"/>
          <w:szCs w:val="20"/>
        </w:rPr>
        <w:t>Mathieu</w:t>
      </w:r>
      <w:r w:rsidRPr="00B7521F">
        <w:rPr>
          <w:sz w:val="20"/>
          <w:szCs w:val="20"/>
        </w:rPr>
        <w:t xml:space="preserve">, </w:t>
      </w:r>
      <w:r w:rsidRPr="00B7521F">
        <w:rPr>
          <w:i/>
          <w:sz w:val="20"/>
          <w:szCs w:val="20"/>
        </w:rPr>
        <w:t>Le sort des intérêts dans le droit du crédit - Actualité ou désuétude du Code civil?</w:t>
      </w:r>
      <w:r w:rsidRPr="00B7521F">
        <w:rPr>
          <w:sz w:val="20"/>
          <w:szCs w:val="20"/>
        </w:rPr>
        <w:t>, Liège, Collection scientifique de la Faculté de droit de Liège, 1998, pp. 311-313)</w:t>
      </w:r>
      <w:r w:rsidR="00FB7647">
        <w:rPr>
          <w:sz w:val="20"/>
          <w:szCs w:val="20"/>
        </w:rPr>
        <w:t>.</w:t>
      </w:r>
    </w:p>
  </w:footnote>
  <w:footnote w:id="17">
    <w:p w14:paraId="0EB8AEC6" w14:textId="63AC816B" w:rsidR="00B7521F" w:rsidRPr="00B7521F" w:rsidRDefault="00B7521F" w:rsidP="00B7521F">
      <w:pPr>
        <w:pStyle w:val="Notedebasdepage"/>
        <w:jc w:val="both"/>
        <w:rPr>
          <w:sz w:val="20"/>
          <w:szCs w:val="20"/>
          <w:lang w:val="nl-NL"/>
        </w:rPr>
      </w:pPr>
      <w:r w:rsidRPr="00B7521F">
        <w:rPr>
          <w:rStyle w:val="Marquenotebasdepage"/>
          <w:sz w:val="20"/>
          <w:szCs w:val="20"/>
        </w:rPr>
        <w:footnoteRef/>
      </w:r>
      <w:r w:rsidRPr="00B7521F">
        <w:rPr>
          <w:sz w:val="20"/>
          <w:szCs w:val="20"/>
        </w:rPr>
        <w:t xml:space="preserve"> Cass., 28 octobre 1993, </w:t>
      </w:r>
      <w:r w:rsidRPr="00B7521F">
        <w:rPr>
          <w:i/>
          <w:sz w:val="20"/>
          <w:szCs w:val="20"/>
        </w:rPr>
        <w:t>Pas</w:t>
      </w:r>
      <w:r w:rsidRPr="00B7521F">
        <w:rPr>
          <w:sz w:val="20"/>
          <w:szCs w:val="20"/>
        </w:rPr>
        <w:t xml:space="preserve">., I, p. 893 ; </w:t>
      </w:r>
      <w:r w:rsidRPr="00B7521F">
        <w:rPr>
          <w:i/>
          <w:sz w:val="20"/>
          <w:szCs w:val="20"/>
        </w:rPr>
        <w:t>J.L.M.B</w:t>
      </w:r>
      <w:r w:rsidRPr="00B7521F">
        <w:rPr>
          <w:sz w:val="20"/>
          <w:szCs w:val="20"/>
        </w:rPr>
        <w:t xml:space="preserve">., 1995, pp. 1236-1240 et note I. </w:t>
      </w:r>
      <w:r w:rsidRPr="00B7521F">
        <w:rPr>
          <w:smallCaps/>
          <w:sz w:val="20"/>
          <w:szCs w:val="20"/>
        </w:rPr>
        <w:t>Durant</w:t>
      </w:r>
      <w:r w:rsidRPr="00B7521F">
        <w:rPr>
          <w:sz w:val="20"/>
          <w:szCs w:val="20"/>
        </w:rPr>
        <w:t xml:space="preserve">. </w:t>
      </w:r>
    </w:p>
  </w:footnote>
  <w:footnote w:id="18">
    <w:p w14:paraId="5E1587C4" w14:textId="77777777" w:rsidR="00B7521F" w:rsidRPr="00B7521F" w:rsidRDefault="00B7521F" w:rsidP="00B7521F">
      <w:pPr>
        <w:pStyle w:val="Notedebasdepage"/>
        <w:jc w:val="both"/>
        <w:rPr>
          <w:sz w:val="20"/>
          <w:szCs w:val="20"/>
          <w:lang w:val="nl-NL"/>
        </w:rPr>
      </w:pPr>
      <w:r w:rsidRPr="00B7521F">
        <w:rPr>
          <w:rStyle w:val="Marquenotebasdepage"/>
          <w:sz w:val="20"/>
          <w:szCs w:val="20"/>
        </w:rPr>
        <w:footnoteRef/>
      </w:r>
      <w:r w:rsidRPr="00B7521F">
        <w:rPr>
          <w:sz w:val="20"/>
          <w:szCs w:val="20"/>
        </w:rPr>
        <w:t xml:space="preserve"> P. </w:t>
      </w:r>
      <w:r w:rsidRPr="00B7521F">
        <w:rPr>
          <w:smallCaps/>
          <w:sz w:val="20"/>
          <w:szCs w:val="20"/>
        </w:rPr>
        <w:t>Van Ommeslaghe</w:t>
      </w:r>
      <w:r w:rsidRPr="00B7521F">
        <w:rPr>
          <w:sz w:val="20"/>
          <w:szCs w:val="20"/>
        </w:rPr>
        <w:t xml:space="preserve">, </w:t>
      </w:r>
      <w:r w:rsidRPr="00B7521F">
        <w:rPr>
          <w:i/>
          <w:sz w:val="20"/>
          <w:szCs w:val="20"/>
        </w:rPr>
        <w:t>De Page. Traité de droit civil belge</w:t>
      </w:r>
      <w:r w:rsidRPr="00B7521F">
        <w:rPr>
          <w:sz w:val="20"/>
          <w:szCs w:val="20"/>
        </w:rPr>
        <w:t xml:space="preserve">, t. II, vol. 3, Bruxelles, Bruylant, 2013, p. 2109 ; voy. également les références citées dans O. </w:t>
      </w:r>
      <w:r w:rsidRPr="00B7521F">
        <w:rPr>
          <w:smallCaps/>
          <w:sz w:val="20"/>
          <w:szCs w:val="20"/>
        </w:rPr>
        <w:t>vanden Berghe</w:t>
      </w:r>
      <w:r w:rsidRPr="00B7521F">
        <w:rPr>
          <w:sz w:val="20"/>
          <w:szCs w:val="20"/>
        </w:rPr>
        <w:t xml:space="preserve"> et G. </w:t>
      </w:r>
      <w:r w:rsidRPr="00B7521F">
        <w:rPr>
          <w:smallCaps/>
          <w:sz w:val="20"/>
          <w:szCs w:val="20"/>
        </w:rPr>
        <w:t>Jannone</w:t>
      </w:r>
      <w:r w:rsidRPr="00B7521F">
        <w:rPr>
          <w:sz w:val="20"/>
          <w:szCs w:val="20"/>
        </w:rPr>
        <w:t xml:space="preserve">, « Les intérêts de retard », </w:t>
      </w:r>
      <w:r w:rsidRPr="00B7521F">
        <w:rPr>
          <w:i/>
          <w:sz w:val="20"/>
          <w:szCs w:val="20"/>
        </w:rPr>
        <w:t>Ius &amp; actores</w:t>
      </w:r>
      <w:r w:rsidRPr="00B7521F">
        <w:rPr>
          <w:sz w:val="20"/>
          <w:szCs w:val="20"/>
        </w:rPr>
        <w:t xml:space="preserve">, 1/2012, p. 260. </w:t>
      </w:r>
    </w:p>
  </w:footnote>
  <w:footnote w:id="19">
    <w:p w14:paraId="13770F17" w14:textId="1E4EC86E" w:rsidR="00B7521F" w:rsidRPr="00B7521F" w:rsidRDefault="00B7521F" w:rsidP="00B7521F">
      <w:pPr>
        <w:pStyle w:val="Notedebasdepage"/>
        <w:jc w:val="both"/>
        <w:rPr>
          <w:sz w:val="20"/>
          <w:szCs w:val="20"/>
          <w:lang w:val="nl-NL"/>
        </w:rPr>
      </w:pPr>
      <w:r w:rsidRPr="00B7521F">
        <w:rPr>
          <w:rStyle w:val="Marquenotebasdepage"/>
          <w:sz w:val="20"/>
          <w:szCs w:val="20"/>
        </w:rPr>
        <w:footnoteRef/>
      </w:r>
      <w:r w:rsidRPr="00B7521F">
        <w:rPr>
          <w:sz w:val="20"/>
          <w:szCs w:val="20"/>
        </w:rPr>
        <w:t xml:space="preserve"> Cass., 23 février 1988, </w:t>
      </w:r>
      <w:r w:rsidRPr="00B7521F">
        <w:rPr>
          <w:i/>
          <w:sz w:val="20"/>
          <w:szCs w:val="20"/>
        </w:rPr>
        <w:t>Pas</w:t>
      </w:r>
      <w:r w:rsidRPr="00B7521F">
        <w:rPr>
          <w:sz w:val="20"/>
          <w:szCs w:val="20"/>
        </w:rPr>
        <w:t xml:space="preserve">., I, p. 751 ; Cass., 7 février 1997, </w:t>
      </w:r>
      <w:r w:rsidRPr="00B7521F">
        <w:rPr>
          <w:i/>
          <w:sz w:val="20"/>
          <w:szCs w:val="20"/>
        </w:rPr>
        <w:t>Pas</w:t>
      </w:r>
      <w:r w:rsidRPr="00B7521F">
        <w:rPr>
          <w:sz w:val="20"/>
          <w:szCs w:val="20"/>
        </w:rPr>
        <w:t>., I, p. 191.</w:t>
      </w:r>
    </w:p>
  </w:footnote>
  <w:footnote w:id="20">
    <w:p w14:paraId="7B065FFD" w14:textId="368CD152" w:rsidR="00B7521F" w:rsidRPr="00B7521F" w:rsidRDefault="00B7521F" w:rsidP="00B7521F">
      <w:pPr>
        <w:pStyle w:val="Notedebasdepage"/>
        <w:jc w:val="both"/>
        <w:rPr>
          <w:sz w:val="20"/>
          <w:szCs w:val="20"/>
          <w:lang w:val="nl-NL"/>
        </w:rPr>
      </w:pPr>
      <w:r w:rsidRPr="00B7521F">
        <w:rPr>
          <w:rStyle w:val="Marquenotebasdepage"/>
          <w:sz w:val="20"/>
          <w:szCs w:val="20"/>
        </w:rPr>
        <w:footnoteRef/>
      </w:r>
      <w:r w:rsidRPr="00B7521F">
        <w:rPr>
          <w:sz w:val="20"/>
          <w:szCs w:val="20"/>
        </w:rPr>
        <w:t xml:space="preserve"> </w:t>
      </w:r>
      <w:r w:rsidRPr="00B7521F">
        <w:rPr>
          <w:i/>
          <w:sz w:val="20"/>
          <w:szCs w:val="20"/>
        </w:rPr>
        <w:t>Pas</w:t>
      </w:r>
      <w:r w:rsidRPr="00B7521F">
        <w:rPr>
          <w:sz w:val="20"/>
          <w:szCs w:val="20"/>
        </w:rPr>
        <w:t xml:space="preserve">., I, p. 1669. </w:t>
      </w:r>
    </w:p>
  </w:footnote>
  <w:footnote w:id="21">
    <w:p w14:paraId="0D3C7AC3" w14:textId="2260ABE5" w:rsidR="00B7521F" w:rsidRPr="00B7521F" w:rsidRDefault="00B7521F" w:rsidP="00B7521F">
      <w:pPr>
        <w:jc w:val="both"/>
        <w:rPr>
          <w:sz w:val="20"/>
          <w:szCs w:val="20"/>
        </w:rPr>
      </w:pPr>
      <w:r w:rsidRPr="00B7521F">
        <w:rPr>
          <w:rStyle w:val="Marquenotebasdepage"/>
          <w:sz w:val="20"/>
          <w:szCs w:val="20"/>
        </w:rPr>
        <w:footnoteRef/>
      </w:r>
      <w:r w:rsidRPr="00B7521F">
        <w:rPr>
          <w:sz w:val="20"/>
          <w:szCs w:val="20"/>
        </w:rPr>
        <w:t xml:space="preserve"> J.L. </w:t>
      </w:r>
      <w:r w:rsidRPr="00B7521F">
        <w:rPr>
          <w:smallCaps/>
          <w:sz w:val="20"/>
          <w:szCs w:val="20"/>
        </w:rPr>
        <w:t>Fagnart</w:t>
      </w:r>
      <w:r w:rsidRPr="00B7521F">
        <w:rPr>
          <w:sz w:val="20"/>
          <w:szCs w:val="20"/>
        </w:rPr>
        <w:t xml:space="preserve">, « Intérêts et provisions », </w:t>
      </w:r>
      <w:r w:rsidR="00FB7647">
        <w:rPr>
          <w:i/>
          <w:sz w:val="20"/>
          <w:szCs w:val="20"/>
        </w:rPr>
        <w:t>op. cit.</w:t>
      </w:r>
      <w:r w:rsidRPr="00B7521F">
        <w:rPr>
          <w:sz w:val="20"/>
          <w:szCs w:val="20"/>
        </w:rPr>
        <w:t>, pp. 207-215.</w:t>
      </w:r>
    </w:p>
  </w:footnote>
  <w:footnote w:id="22">
    <w:p w14:paraId="0725E878" w14:textId="53E8086A" w:rsidR="00B7521F" w:rsidRPr="00B7521F" w:rsidRDefault="00B7521F" w:rsidP="00B7521F">
      <w:pPr>
        <w:pStyle w:val="Notedebasdepage"/>
        <w:jc w:val="both"/>
        <w:rPr>
          <w:sz w:val="20"/>
          <w:szCs w:val="20"/>
          <w:lang w:val="nl-NL"/>
        </w:rPr>
      </w:pPr>
      <w:r w:rsidRPr="00B7521F">
        <w:rPr>
          <w:rStyle w:val="Marquenotebasdepage"/>
          <w:sz w:val="20"/>
          <w:szCs w:val="20"/>
        </w:rPr>
        <w:footnoteRef/>
      </w:r>
      <w:r w:rsidRPr="00B7521F">
        <w:rPr>
          <w:sz w:val="20"/>
          <w:szCs w:val="20"/>
        </w:rPr>
        <w:t xml:space="preserve"> </w:t>
      </w:r>
      <w:r w:rsidRPr="00B7521F">
        <w:rPr>
          <w:i/>
          <w:sz w:val="20"/>
          <w:szCs w:val="20"/>
          <w:lang w:val="nl-NL"/>
        </w:rPr>
        <w:t>Ibid.</w:t>
      </w:r>
      <w:r w:rsidRPr="00B7521F">
        <w:rPr>
          <w:sz w:val="20"/>
          <w:szCs w:val="20"/>
          <w:lang w:val="nl-NL"/>
        </w:rPr>
        <w:t>, p. 208 (</w:t>
      </w:r>
      <w:r w:rsidRPr="00B7521F">
        <w:rPr>
          <w:sz w:val="20"/>
          <w:szCs w:val="20"/>
        </w:rPr>
        <w:t>« </w:t>
      </w:r>
      <w:r w:rsidRPr="00B7521F">
        <w:rPr>
          <w:sz w:val="20"/>
          <w:szCs w:val="20"/>
          <w:lang w:val="fr-BE"/>
        </w:rPr>
        <w:t xml:space="preserve">Même les banquiers aux abois n’ont pas osé imaginer une telle ineptie, que bon nombre de juristes semblent accepter sans frémir »). </w:t>
      </w:r>
    </w:p>
  </w:footnote>
  <w:footnote w:id="23">
    <w:p w14:paraId="4CF902B7" w14:textId="62181E84" w:rsidR="00B7521F" w:rsidRPr="00B7521F" w:rsidRDefault="00B7521F" w:rsidP="00B7521F">
      <w:pPr>
        <w:pStyle w:val="Notedebasdepage"/>
        <w:jc w:val="both"/>
        <w:rPr>
          <w:sz w:val="20"/>
          <w:szCs w:val="20"/>
          <w:lang w:val="nl-NL"/>
        </w:rPr>
      </w:pPr>
      <w:r w:rsidRPr="00B7521F">
        <w:rPr>
          <w:rStyle w:val="Marquenotebasdepage"/>
          <w:sz w:val="20"/>
          <w:szCs w:val="20"/>
        </w:rPr>
        <w:footnoteRef/>
      </w:r>
      <w:r w:rsidRPr="00B7521F">
        <w:rPr>
          <w:sz w:val="20"/>
          <w:szCs w:val="20"/>
        </w:rPr>
        <w:t xml:space="preserve"> </w:t>
      </w:r>
      <w:r w:rsidRPr="00B7521F">
        <w:rPr>
          <w:i/>
          <w:sz w:val="20"/>
          <w:szCs w:val="20"/>
          <w:lang w:val="nl-NL"/>
        </w:rPr>
        <w:t>Ibid.</w:t>
      </w:r>
      <w:r w:rsidRPr="00B7521F">
        <w:rPr>
          <w:sz w:val="20"/>
          <w:szCs w:val="20"/>
          <w:lang w:val="nl-NL"/>
        </w:rPr>
        <w:t>, p. 215. Voy. également les arguments fondés sur le but de l’article 1254 du Code civil, la portée de l’article 1244 du même code et les exigences de cohérence et de raison (</w:t>
      </w:r>
      <w:r w:rsidRPr="00B7521F">
        <w:rPr>
          <w:i/>
          <w:sz w:val="20"/>
          <w:szCs w:val="20"/>
          <w:lang w:val="nl-NL"/>
        </w:rPr>
        <w:t>idem</w:t>
      </w:r>
      <w:r w:rsidRPr="00B7521F">
        <w:rPr>
          <w:sz w:val="20"/>
          <w:szCs w:val="20"/>
          <w:lang w:val="nl-NL"/>
        </w:rPr>
        <w:t xml:space="preserve">). Selon C. Biquet-Mathieu, l’article 1254 du Code civil est avant tout applicable aux intérêts rémunératoires et, par répercussion, aux intérêts moratoires </w:t>
      </w:r>
      <w:r w:rsidRPr="00B7521F">
        <w:rPr>
          <w:sz w:val="20"/>
          <w:szCs w:val="20"/>
        </w:rPr>
        <w:t xml:space="preserve">(C. </w:t>
      </w:r>
      <w:r w:rsidRPr="00B7521F">
        <w:rPr>
          <w:smallCaps/>
          <w:sz w:val="20"/>
          <w:szCs w:val="20"/>
        </w:rPr>
        <w:t>Biquet</w:t>
      </w:r>
      <w:r w:rsidRPr="00B7521F">
        <w:rPr>
          <w:sz w:val="20"/>
          <w:szCs w:val="20"/>
        </w:rPr>
        <w:t>-</w:t>
      </w:r>
      <w:r w:rsidRPr="00B7521F">
        <w:rPr>
          <w:smallCaps/>
          <w:sz w:val="20"/>
          <w:szCs w:val="20"/>
        </w:rPr>
        <w:t>Mathieu</w:t>
      </w:r>
      <w:r w:rsidRPr="00B7521F">
        <w:rPr>
          <w:sz w:val="20"/>
          <w:szCs w:val="20"/>
        </w:rPr>
        <w:t xml:space="preserve">, </w:t>
      </w:r>
      <w:r w:rsidRPr="00B7521F">
        <w:rPr>
          <w:i/>
          <w:sz w:val="20"/>
          <w:szCs w:val="20"/>
        </w:rPr>
        <w:t>Le sort des intérêts dans le droit du crédit - Actualité ou désuétude du Code civil?</w:t>
      </w:r>
      <w:r w:rsidRPr="00B7521F">
        <w:rPr>
          <w:sz w:val="20"/>
          <w:szCs w:val="20"/>
        </w:rPr>
        <w:t xml:space="preserve">, </w:t>
      </w:r>
      <w:r w:rsidRPr="00B7521F">
        <w:rPr>
          <w:i/>
          <w:sz w:val="20"/>
          <w:szCs w:val="20"/>
        </w:rPr>
        <w:t>op. cit.</w:t>
      </w:r>
      <w:r w:rsidRPr="00B7521F">
        <w:rPr>
          <w:sz w:val="20"/>
          <w:szCs w:val="20"/>
        </w:rPr>
        <w:t>, pp. 289-369).</w:t>
      </w:r>
    </w:p>
  </w:footnote>
  <w:footnote w:id="24">
    <w:p w14:paraId="5169D5A5" w14:textId="726AAB1F" w:rsidR="00B7521F" w:rsidRPr="00B7521F" w:rsidRDefault="00B7521F" w:rsidP="00B7521F">
      <w:pPr>
        <w:pStyle w:val="Notedebasdepage"/>
        <w:jc w:val="both"/>
        <w:rPr>
          <w:sz w:val="20"/>
          <w:szCs w:val="20"/>
          <w:lang w:val="nl-NL"/>
        </w:rPr>
      </w:pPr>
      <w:r w:rsidRPr="00B7521F">
        <w:rPr>
          <w:rStyle w:val="Marquenotebasdepage"/>
          <w:sz w:val="20"/>
          <w:szCs w:val="20"/>
        </w:rPr>
        <w:footnoteRef/>
      </w:r>
      <w:r w:rsidRPr="00B7521F">
        <w:rPr>
          <w:sz w:val="20"/>
          <w:szCs w:val="20"/>
        </w:rPr>
        <w:t xml:space="preserve"> P. </w:t>
      </w:r>
      <w:r w:rsidRPr="00B7521F">
        <w:rPr>
          <w:smallCaps/>
          <w:sz w:val="20"/>
          <w:szCs w:val="20"/>
        </w:rPr>
        <w:t>Wéry</w:t>
      </w:r>
      <w:r w:rsidRPr="00B7521F">
        <w:rPr>
          <w:sz w:val="20"/>
          <w:szCs w:val="20"/>
        </w:rPr>
        <w:t xml:space="preserve">, « Introduction », in </w:t>
      </w:r>
      <w:r w:rsidRPr="00B7521F">
        <w:rPr>
          <w:i/>
          <w:sz w:val="20"/>
          <w:szCs w:val="20"/>
        </w:rPr>
        <w:t>Chronique de jurisprudence sur les causes d’extinction des obligations (2000-2013)</w:t>
      </w:r>
      <w:r w:rsidRPr="00B7521F">
        <w:rPr>
          <w:sz w:val="20"/>
          <w:szCs w:val="20"/>
        </w:rPr>
        <w:t>, Larcier, CUP, vol. n°149, 2014, p. 10.</w:t>
      </w:r>
    </w:p>
  </w:footnote>
  <w:footnote w:id="25">
    <w:p w14:paraId="52AF6647" w14:textId="733D62E5" w:rsidR="00B7521F" w:rsidRPr="00B7521F" w:rsidRDefault="00B7521F" w:rsidP="00B7521F">
      <w:pPr>
        <w:pStyle w:val="Notedebasdepage"/>
        <w:jc w:val="both"/>
        <w:rPr>
          <w:sz w:val="20"/>
          <w:szCs w:val="20"/>
          <w:lang w:val="nl-NL"/>
        </w:rPr>
      </w:pPr>
      <w:r w:rsidRPr="00B7521F">
        <w:rPr>
          <w:rStyle w:val="Marquenotebasdepage"/>
          <w:sz w:val="20"/>
          <w:szCs w:val="20"/>
        </w:rPr>
        <w:footnoteRef/>
      </w:r>
      <w:r w:rsidRPr="00B7521F">
        <w:rPr>
          <w:sz w:val="20"/>
          <w:szCs w:val="20"/>
        </w:rPr>
        <w:t xml:space="preserve"> </w:t>
      </w:r>
      <w:r w:rsidRPr="00B7521F">
        <w:rPr>
          <w:sz w:val="20"/>
          <w:szCs w:val="20"/>
          <w:lang w:val="nl-NL"/>
        </w:rPr>
        <w:t xml:space="preserve">S. </w:t>
      </w:r>
      <w:r w:rsidRPr="00B7521F">
        <w:rPr>
          <w:smallCaps/>
          <w:sz w:val="20"/>
          <w:szCs w:val="20"/>
        </w:rPr>
        <w:t>Stijns</w:t>
      </w:r>
      <w:r w:rsidRPr="00B7521F">
        <w:rPr>
          <w:sz w:val="20"/>
          <w:szCs w:val="20"/>
        </w:rPr>
        <w:t xml:space="preserve">, D. </w:t>
      </w:r>
      <w:r w:rsidRPr="00B7521F">
        <w:rPr>
          <w:smallCaps/>
          <w:sz w:val="20"/>
          <w:szCs w:val="20"/>
        </w:rPr>
        <w:t>Van Gerven</w:t>
      </w:r>
      <w:r w:rsidRPr="00B7521F">
        <w:rPr>
          <w:sz w:val="20"/>
          <w:szCs w:val="20"/>
        </w:rPr>
        <w:t xml:space="preserve">, et P. </w:t>
      </w:r>
      <w:r w:rsidRPr="00B7521F">
        <w:rPr>
          <w:smallCaps/>
          <w:sz w:val="20"/>
          <w:szCs w:val="20"/>
        </w:rPr>
        <w:t>Wéry</w:t>
      </w:r>
      <w:r w:rsidRPr="00B7521F">
        <w:rPr>
          <w:sz w:val="20"/>
          <w:szCs w:val="20"/>
        </w:rPr>
        <w:t xml:space="preserve">, « Les obligations : le régime général de l'obligation (1985-1995) », </w:t>
      </w:r>
      <w:r w:rsidRPr="00B7521F">
        <w:rPr>
          <w:i/>
          <w:sz w:val="20"/>
          <w:szCs w:val="20"/>
        </w:rPr>
        <w:t>op. cit.</w:t>
      </w:r>
      <w:r w:rsidRPr="00B7521F">
        <w:rPr>
          <w:sz w:val="20"/>
          <w:szCs w:val="20"/>
        </w:rPr>
        <w:t>, p. 849. Ces auteurs sont réticents à l’idée d’interpréter l’article 1254 du Code civil comme constituant l’application particulière d’un principe général du droit selon lequel l'imputation décidée par le débiteur ne peut porter préjudice aux intérêts légitimes du créancier qui accepte un paiement partiel et estiment que les « seules limites auxquelles se heurte le débiteur dans l'imputation de ses paiements procèdent soit de la loi, soit de la convention (bénéfice du terme stipulé en faveur du créancier; imputation préférentielle sur les intérêts - art. 1254; indivisibilité du paiement - art. 1244, al. 1er, C. civ.); à quoi il faut ajouter le correctif tiré de la prohibition de l'abus de droit » (</w:t>
      </w:r>
      <w:r w:rsidRPr="00B7521F">
        <w:rPr>
          <w:i/>
          <w:sz w:val="20"/>
          <w:szCs w:val="20"/>
        </w:rPr>
        <w:t>idem</w:t>
      </w:r>
      <w:r w:rsidRPr="00B7521F">
        <w:rPr>
          <w:sz w:val="20"/>
          <w:szCs w:val="20"/>
        </w:rPr>
        <w:t>). A la suite de Mme Biquet-Mathieu, ils considèrent en effet qu’un tel principe reviendrait à vider de leur substance les articles 1253 et 1256 du Code civil (</w:t>
      </w:r>
      <w:r w:rsidR="00681A70">
        <w:rPr>
          <w:sz w:val="20"/>
          <w:szCs w:val="20"/>
        </w:rPr>
        <w:t xml:space="preserve">cfr. </w:t>
      </w:r>
      <w:bookmarkStart w:id="0" w:name="_GoBack"/>
      <w:bookmarkEnd w:id="0"/>
      <w:r w:rsidRPr="00B7521F">
        <w:rPr>
          <w:sz w:val="20"/>
          <w:szCs w:val="20"/>
        </w:rPr>
        <w:t xml:space="preserve">C. </w:t>
      </w:r>
      <w:r w:rsidRPr="00B7521F">
        <w:rPr>
          <w:smallCaps/>
          <w:sz w:val="20"/>
          <w:szCs w:val="20"/>
        </w:rPr>
        <w:t>Biquet</w:t>
      </w:r>
      <w:r w:rsidRPr="00B7521F">
        <w:rPr>
          <w:sz w:val="20"/>
          <w:szCs w:val="20"/>
        </w:rPr>
        <w:t>-</w:t>
      </w:r>
      <w:r w:rsidRPr="00B7521F">
        <w:rPr>
          <w:smallCaps/>
          <w:sz w:val="20"/>
          <w:szCs w:val="20"/>
        </w:rPr>
        <w:t>Mathieu</w:t>
      </w:r>
      <w:r w:rsidRPr="00B7521F">
        <w:rPr>
          <w:sz w:val="20"/>
          <w:szCs w:val="20"/>
        </w:rPr>
        <w:t xml:space="preserve">, </w:t>
      </w:r>
      <w:r w:rsidRPr="00B7521F">
        <w:rPr>
          <w:i/>
          <w:sz w:val="20"/>
          <w:szCs w:val="20"/>
        </w:rPr>
        <w:t>Le sort des intérêts dans le droit du crédit - Actualité ou désuétude du Code civil?</w:t>
      </w:r>
      <w:r w:rsidRPr="00B7521F">
        <w:rPr>
          <w:sz w:val="20"/>
          <w:szCs w:val="20"/>
        </w:rPr>
        <w:t xml:space="preserve">, </w:t>
      </w:r>
      <w:r w:rsidRPr="00B7521F">
        <w:rPr>
          <w:i/>
          <w:sz w:val="20"/>
          <w:szCs w:val="20"/>
        </w:rPr>
        <w:t>op. cit.</w:t>
      </w:r>
      <w:r w:rsidRPr="00B7521F">
        <w:rPr>
          <w:sz w:val="20"/>
          <w:szCs w:val="20"/>
        </w:rPr>
        <w:t>, pp. 304-306).</w:t>
      </w:r>
    </w:p>
  </w:footnote>
  <w:footnote w:id="26">
    <w:p w14:paraId="2A10850C" w14:textId="5D3C7DE9" w:rsidR="00B7521F" w:rsidRPr="00B7521F" w:rsidRDefault="00B7521F" w:rsidP="00B7521F">
      <w:pPr>
        <w:pStyle w:val="Notedebasdepage"/>
        <w:jc w:val="both"/>
        <w:rPr>
          <w:sz w:val="20"/>
          <w:szCs w:val="20"/>
          <w:lang w:val="nl-NL"/>
        </w:rPr>
      </w:pPr>
      <w:r w:rsidRPr="00B7521F">
        <w:rPr>
          <w:rStyle w:val="Marquenotebasdepage"/>
          <w:sz w:val="20"/>
          <w:szCs w:val="20"/>
        </w:rPr>
        <w:footnoteRef/>
      </w:r>
      <w:r w:rsidRPr="00B7521F">
        <w:rPr>
          <w:sz w:val="20"/>
          <w:szCs w:val="20"/>
        </w:rPr>
        <w:t xml:space="preserve"> </w:t>
      </w:r>
      <w:r w:rsidRPr="00B7521F">
        <w:rPr>
          <w:sz w:val="20"/>
          <w:szCs w:val="20"/>
          <w:lang w:val="nl-NL"/>
        </w:rPr>
        <w:t xml:space="preserve">La source de l’obligation </w:t>
      </w:r>
      <w:r w:rsidRPr="00B7521F">
        <w:rPr>
          <w:i/>
          <w:sz w:val="20"/>
          <w:szCs w:val="20"/>
          <w:lang w:val="nl-NL"/>
        </w:rPr>
        <w:t>in solidum</w:t>
      </w:r>
      <w:r w:rsidRPr="00B7521F">
        <w:rPr>
          <w:sz w:val="20"/>
          <w:szCs w:val="20"/>
          <w:lang w:val="nl-NL"/>
        </w:rPr>
        <w:t xml:space="preserve"> n’est pas nécessairement extracontractuelle (cfr. </w:t>
      </w:r>
      <w:r w:rsidRPr="00B7521F">
        <w:rPr>
          <w:sz w:val="20"/>
          <w:szCs w:val="20"/>
        </w:rPr>
        <w:t xml:space="preserve">P. </w:t>
      </w:r>
      <w:r w:rsidRPr="00B7521F">
        <w:rPr>
          <w:smallCaps/>
          <w:sz w:val="20"/>
          <w:szCs w:val="20"/>
        </w:rPr>
        <w:t>Van Ommeslaghe</w:t>
      </w:r>
      <w:r w:rsidRPr="00B7521F">
        <w:rPr>
          <w:sz w:val="20"/>
          <w:szCs w:val="20"/>
        </w:rPr>
        <w:t xml:space="preserve">, </w:t>
      </w:r>
      <w:r w:rsidRPr="00B7521F">
        <w:rPr>
          <w:i/>
          <w:sz w:val="20"/>
          <w:szCs w:val="20"/>
        </w:rPr>
        <w:t>Droit des obligations</w:t>
      </w:r>
      <w:r w:rsidRPr="00B7521F">
        <w:rPr>
          <w:sz w:val="20"/>
          <w:szCs w:val="20"/>
        </w:rPr>
        <w:t xml:space="preserve">, </w:t>
      </w:r>
      <w:r w:rsidRPr="00B7521F">
        <w:rPr>
          <w:i/>
          <w:sz w:val="20"/>
          <w:szCs w:val="20"/>
        </w:rPr>
        <w:t>op. cit.</w:t>
      </w:r>
      <w:r w:rsidRPr="00B7521F">
        <w:rPr>
          <w:sz w:val="20"/>
          <w:szCs w:val="20"/>
        </w:rPr>
        <w:t>, p. 1796, n°1270</w:t>
      </w:r>
      <w:r w:rsidRPr="00B7521F">
        <w:rPr>
          <w:sz w:val="20"/>
          <w:szCs w:val="20"/>
          <w:lang w:val="nl-NL"/>
        </w:rPr>
        <w:t>).</w:t>
      </w:r>
    </w:p>
  </w:footnote>
  <w:footnote w:id="27">
    <w:p w14:paraId="4D6632A9" w14:textId="575FDDDF" w:rsidR="00B7521F" w:rsidRPr="00B7521F" w:rsidRDefault="00B7521F" w:rsidP="00B7521F">
      <w:pPr>
        <w:pStyle w:val="Notedebasdepage"/>
        <w:jc w:val="both"/>
        <w:rPr>
          <w:sz w:val="20"/>
          <w:szCs w:val="20"/>
          <w:lang w:val="nl-NL"/>
        </w:rPr>
      </w:pPr>
      <w:r w:rsidRPr="00B7521F">
        <w:rPr>
          <w:rStyle w:val="Marquenotebasdepage"/>
          <w:sz w:val="20"/>
          <w:szCs w:val="20"/>
        </w:rPr>
        <w:footnoteRef/>
      </w:r>
      <w:r w:rsidRPr="00B7521F">
        <w:rPr>
          <w:sz w:val="20"/>
          <w:szCs w:val="20"/>
        </w:rPr>
        <w:t xml:space="preserve"> </w:t>
      </w:r>
      <w:r w:rsidRPr="00B7521F">
        <w:rPr>
          <w:sz w:val="20"/>
          <w:szCs w:val="20"/>
          <w:lang w:val="nl-NL"/>
        </w:rPr>
        <w:t xml:space="preserve">L’arrêt annoté ne contient malheureusement que peu d’informations en ce qui concerne le type de responsabilité encourue par les codébiteurs </w:t>
      </w:r>
      <w:r w:rsidRPr="00B7521F">
        <w:rPr>
          <w:i/>
          <w:sz w:val="20"/>
          <w:szCs w:val="20"/>
          <w:lang w:val="nl-NL"/>
        </w:rPr>
        <w:t>in solidum</w:t>
      </w:r>
      <w:r w:rsidRPr="00B7521F">
        <w:rPr>
          <w:sz w:val="20"/>
          <w:szCs w:val="20"/>
          <w:lang w:val="nl-NL"/>
        </w:rPr>
        <w:t>.</w:t>
      </w:r>
    </w:p>
  </w:footnote>
  <w:footnote w:id="28">
    <w:p w14:paraId="2E033C37" w14:textId="3240C89B" w:rsidR="00B7521F" w:rsidRPr="00B7521F" w:rsidRDefault="00B7521F" w:rsidP="00B7521F">
      <w:pPr>
        <w:pStyle w:val="Notedebasdepage"/>
        <w:jc w:val="both"/>
        <w:rPr>
          <w:sz w:val="20"/>
          <w:szCs w:val="20"/>
          <w:lang w:val="nl-NL"/>
        </w:rPr>
      </w:pPr>
      <w:r w:rsidRPr="00B7521F">
        <w:rPr>
          <w:rStyle w:val="Marquenotebasdepage"/>
          <w:sz w:val="20"/>
          <w:szCs w:val="20"/>
        </w:rPr>
        <w:footnoteRef/>
      </w:r>
      <w:r w:rsidRPr="00B7521F">
        <w:rPr>
          <w:sz w:val="20"/>
          <w:szCs w:val="20"/>
        </w:rPr>
        <w:t xml:space="preserve"> La Cour d’appel de Bruxelles avait pourtant, dans les motifs de l’arrêt attaqué, explicitement rappelé l’enseignement de l’arrêt de la Cour de cassation du 28 octobre 1993 en ces termes : « Le paiement partiel d'une dette portant intérêts s'impute donc immédiatement mais par priorité sur les intérêts et, pour le surplus, sur le capital. Cette règle de l'imputation prioritaire sur les intérêts s'applique également aux intérêts compensatoires en matière de responsabilité contractuelle ». </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2E6665"/>
    <w:multiLevelType w:val="hybridMultilevel"/>
    <w:tmpl w:val="9C866A04"/>
    <w:lvl w:ilvl="0" w:tplc="0E20567E">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311E0E03"/>
    <w:multiLevelType w:val="hybridMultilevel"/>
    <w:tmpl w:val="6066C416"/>
    <w:lvl w:ilvl="0" w:tplc="080C0017">
      <w:start w:val="1"/>
      <w:numFmt w:val="lowerLetter"/>
      <w:lvlText w:val="%1)"/>
      <w:lvlJc w:val="left"/>
      <w:pPr>
        <w:ind w:left="720" w:hanging="360"/>
      </w:pPr>
    </w:lvl>
    <w:lvl w:ilvl="1" w:tplc="080C0019">
      <w:start w:val="1"/>
      <w:numFmt w:val="decimal"/>
      <w:lvlText w:val="%2."/>
      <w:lvlJc w:val="left"/>
      <w:pPr>
        <w:tabs>
          <w:tab w:val="num" w:pos="1440"/>
        </w:tabs>
        <w:ind w:left="1440" w:hanging="360"/>
      </w:pPr>
    </w:lvl>
    <w:lvl w:ilvl="2" w:tplc="080C001B">
      <w:start w:val="1"/>
      <w:numFmt w:val="decimal"/>
      <w:lvlText w:val="%3."/>
      <w:lvlJc w:val="left"/>
      <w:pPr>
        <w:tabs>
          <w:tab w:val="num" w:pos="2160"/>
        </w:tabs>
        <w:ind w:left="2160" w:hanging="360"/>
      </w:pPr>
    </w:lvl>
    <w:lvl w:ilvl="3" w:tplc="080C000F">
      <w:start w:val="1"/>
      <w:numFmt w:val="decimal"/>
      <w:lvlText w:val="%4."/>
      <w:lvlJc w:val="left"/>
      <w:pPr>
        <w:tabs>
          <w:tab w:val="num" w:pos="2880"/>
        </w:tabs>
        <w:ind w:left="2880" w:hanging="360"/>
      </w:pPr>
    </w:lvl>
    <w:lvl w:ilvl="4" w:tplc="080C0019">
      <w:start w:val="1"/>
      <w:numFmt w:val="decimal"/>
      <w:lvlText w:val="%5."/>
      <w:lvlJc w:val="left"/>
      <w:pPr>
        <w:tabs>
          <w:tab w:val="num" w:pos="3600"/>
        </w:tabs>
        <w:ind w:left="3600" w:hanging="360"/>
      </w:pPr>
    </w:lvl>
    <w:lvl w:ilvl="5" w:tplc="080C001B">
      <w:start w:val="1"/>
      <w:numFmt w:val="decimal"/>
      <w:lvlText w:val="%6."/>
      <w:lvlJc w:val="left"/>
      <w:pPr>
        <w:tabs>
          <w:tab w:val="num" w:pos="4320"/>
        </w:tabs>
        <w:ind w:left="4320" w:hanging="360"/>
      </w:pPr>
    </w:lvl>
    <w:lvl w:ilvl="6" w:tplc="080C000F">
      <w:start w:val="1"/>
      <w:numFmt w:val="decimal"/>
      <w:lvlText w:val="%7."/>
      <w:lvlJc w:val="left"/>
      <w:pPr>
        <w:tabs>
          <w:tab w:val="num" w:pos="5040"/>
        </w:tabs>
        <w:ind w:left="5040" w:hanging="360"/>
      </w:pPr>
    </w:lvl>
    <w:lvl w:ilvl="7" w:tplc="080C0019">
      <w:start w:val="1"/>
      <w:numFmt w:val="decimal"/>
      <w:lvlText w:val="%8."/>
      <w:lvlJc w:val="left"/>
      <w:pPr>
        <w:tabs>
          <w:tab w:val="num" w:pos="5760"/>
        </w:tabs>
        <w:ind w:left="5760" w:hanging="360"/>
      </w:pPr>
    </w:lvl>
    <w:lvl w:ilvl="8" w:tplc="080C001B">
      <w:start w:val="1"/>
      <w:numFmt w:val="decimal"/>
      <w:lvlText w:val="%9."/>
      <w:lvlJc w:val="left"/>
      <w:pPr>
        <w:tabs>
          <w:tab w:val="num" w:pos="6480"/>
        </w:tabs>
        <w:ind w:left="6480" w:hanging="360"/>
      </w:pPr>
    </w:lvl>
  </w:abstractNum>
  <w:abstractNum w:abstractNumId="2">
    <w:nsid w:val="3B765F3C"/>
    <w:multiLevelType w:val="hybridMultilevel"/>
    <w:tmpl w:val="9C866A04"/>
    <w:lvl w:ilvl="0" w:tplc="0E20567E">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embedSystemFonts/>
  <w:defaultTabStop w:val="708"/>
  <w:hyphenationZone w:val="425"/>
  <w:displayHorizontalDrawingGridEvery w:val="0"/>
  <w:displayVerticalDrawingGridEvery w:val="0"/>
  <w:doNotUseMarginsForDrawingGridOrigin/>
  <w:noPunctuationKerning/>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2293"/>
    <w:rsid w:val="000075B9"/>
    <w:rsid w:val="0007097D"/>
    <w:rsid w:val="0007758F"/>
    <w:rsid w:val="00107BA4"/>
    <w:rsid w:val="00126524"/>
    <w:rsid w:val="00127316"/>
    <w:rsid w:val="00145A03"/>
    <w:rsid w:val="00152156"/>
    <w:rsid w:val="00154D8E"/>
    <w:rsid w:val="001968BE"/>
    <w:rsid w:val="001E6651"/>
    <w:rsid w:val="00200A01"/>
    <w:rsid w:val="00272535"/>
    <w:rsid w:val="00302113"/>
    <w:rsid w:val="00314178"/>
    <w:rsid w:val="00323630"/>
    <w:rsid w:val="003C2414"/>
    <w:rsid w:val="003F61F1"/>
    <w:rsid w:val="004228EC"/>
    <w:rsid w:val="004250E0"/>
    <w:rsid w:val="00430B4C"/>
    <w:rsid w:val="00474DB9"/>
    <w:rsid w:val="005217B3"/>
    <w:rsid w:val="00555928"/>
    <w:rsid w:val="00570B44"/>
    <w:rsid w:val="00581777"/>
    <w:rsid w:val="0058316C"/>
    <w:rsid w:val="00590183"/>
    <w:rsid w:val="005C0B75"/>
    <w:rsid w:val="005E62C0"/>
    <w:rsid w:val="006460E7"/>
    <w:rsid w:val="006460ED"/>
    <w:rsid w:val="00655700"/>
    <w:rsid w:val="00681A70"/>
    <w:rsid w:val="006C6805"/>
    <w:rsid w:val="007169C3"/>
    <w:rsid w:val="0073739C"/>
    <w:rsid w:val="0074336D"/>
    <w:rsid w:val="00755F05"/>
    <w:rsid w:val="007807D3"/>
    <w:rsid w:val="007A67DF"/>
    <w:rsid w:val="007C63FC"/>
    <w:rsid w:val="0083513D"/>
    <w:rsid w:val="00882454"/>
    <w:rsid w:val="008A17E7"/>
    <w:rsid w:val="009044E0"/>
    <w:rsid w:val="00985D77"/>
    <w:rsid w:val="009B5183"/>
    <w:rsid w:val="009C1215"/>
    <w:rsid w:val="009E06A6"/>
    <w:rsid w:val="009F57EB"/>
    <w:rsid w:val="00A24281"/>
    <w:rsid w:val="00A35CF3"/>
    <w:rsid w:val="00A53B04"/>
    <w:rsid w:val="00A87D58"/>
    <w:rsid w:val="00AD1BDA"/>
    <w:rsid w:val="00B11104"/>
    <w:rsid w:val="00B1390E"/>
    <w:rsid w:val="00B463F2"/>
    <w:rsid w:val="00B615BE"/>
    <w:rsid w:val="00B61F15"/>
    <w:rsid w:val="00B7521F"/>
    <w:rsid w:val="00B92293"/>
    <w:rsid w:val="00BA105C"/>
    <w:rsid w:val="00BD100C"/>
    <w:rsid w:val="00BE1DE3"/>
    <w:rsid w:val="00C17C87"/>
    <w:rsid w:val="00C52408"/>
    <w:rsid w:val="00C542BF"/>
    <w:rsid w:val="00CD0DEC"/>
    <w:rsid w:val="00CE7F62"/>
    <w:rsid w:val="00CF2919"/>
    <w:rsid w:val="00D01BBE"/>
    <w:rsid w:val="00DD4DAC"/>
    <w:rsid w:val="00E34C34"/>
    <w:rsid w:val="00F14F25"/>
    <w:rsid w:val="00F4321D"/>
    <w:rsid w:val="00F64B3F"/>
    <w:rsid w:val="00F6502A"/>
    <w:rsid w:val="00F65BD7"/>
    <w:rsid w:val="00F91DE1"/>
    <w:rsid w:val="00F94F03"/>
    <w:rsid w:val="00FB58B7"/>
    <w:rsid w:val="00FB7647"/>
    <w:rsid w:val="00FD3B82"/>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doNotEmbedSmartTags/>
  <w:decimalSymbol w:val=","/>
  <w:listSeparator w:val=";"/>
  <w14:docId w14:val="7021D75F"/>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fr-FR"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2293"/>
    <w:rPr>
      <w:rFonts w:eastAsia="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C542BF"/>
  </w:style>
  <w:style w:type="character" w:customStyle="1" w:styleId="NotedebasdepageCar">
    <w:name w:val="Note de bas de page Car"/>
    <w:basedOn w:val="Policepardfaut"/>
    <w:link w:val="Notedebasdepage"/>
    <w:uiPriority w:val="99"/>
    <w:rsid w:val="00C542BF"/>
    <w:rPr>
      <w:rFonts w:eastAsia="Times New Roman"/>
      <w:sz w:val="24"/>
      <w:szCs w:val="24"/>
      <w:lang w:eastAsia="fr-FR"/>
    </w:rPr>
  </w:style>
  <w:style w:type="character" w:styleId="Marquenotebasdepage">
    <w:name w:val="footnote reference"/>
    <w:basedOn w:val="Policepardfaut"/>
    <w:uiPriority w:val="99"/>
    <w:unhideWhenUsed/>
    <w:rsid w:val="00C542BF"/>
    <w:rPr>
      <w:vertAlign w:val="superscript"/>
    </w:rPr>
  </w:style>
  <w:style w:type="paragraph" w:styleId="Pieddepage">
    <w:name w:val="footer"/>
    <w:basedOn w:val="Normal"/>
    <w:link w:val="PieddepageCar"/>
    <w:uiPriority w:val="99"/>
    <w:unhideWhenUsed/>
    <w:rsid w:val="00985D77"/>
    <w:pPr>
      <w:tabs>
        <w:tab w:val="center" w:pos="4536"/>
        <w:tab w:val="right" w:pos="9072"/>
      </w:tabs>
    </w:pPr>
  </w:style>
  <w:style w:type="character" w:customStyle="1" w:styleId="PieddepageCar">
    <w:name w:val="Pied de page Car"/>
    <w:basedOn w:val="Policepardfaut"/>
    <w:link w:val="Pieddepage"/>
    <w:uiPriority w:val="99"/>
    <w:rsid w:val="00985D77"/>
    <w:rPr>
      <w:rFonts w:eastAsia="Times New Roman"/>
      <w:sz w:val="24"/>
      <w:szCs w:val="24"/>
      <w:lang w:eastAsia="fr-FR"/>
    </w:rPr>
  </w:style>
  <w:style w:type="character" w:styleId="Numrodepage">
    <w:name w:val="page number"/>
    <w:basedOn w:val="Policepardfaut"/>
    <w:uiPriority w:val="99"/>
    <w:semiHidden/>
    <w:unhideWhenUsed/>
    <w:rsid w:val="00985D77"/>
  </w:style>
  <w:style w:type="paragraph" w:styleId="Paragraphedeliste">
    <w:name w:val="List Paragraph"/>
    <w:basedOn w:val="Normal"/>
    <w:uiPriority w:val="34"/>
    <w:qFormat/>
    <w:rsid w:val="00A35CF3"/>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fr-FR"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2293"/>
    <w:rPr>
      <w:rFonts w:eastAsia="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C542BF"/>
  </w:style>
  <w:style w:type="character" w:customStyle="1" w:styleId="NotedebasdepageCar">
    <w:name w:val="Note de bas de page Car"/>
    <w:basedOn w:val="Policepardfaut"/>
    <w:link w:val="Notedebasdepage"/>
    <w:uiPriority w:val="99"/>
    <w:rsid w:val="00C542BF"/>
    <w:rPr>
      <w:rFonts w:eastAsia="Times New Roman"/>
      <w:sz w:val="24"/>
      <w:szCs w:val="24"/>
      <w:lang w:eastAsia="fr-FR"/>
    </w:rPr>
  </w:style>
  <w:style w:type="character" w:styleId="Marquenotebasdepage">
    <w:name w:val="footnote reference"/>
    <w:basedOn w:val="Policepardfaut"/>
    <w:uiPriority w:val="99"/>
    <w:unhideWhenUsed/>
    <w:rsid w:val="00C542BF"/>
    <w:rPr>
      <w:vertAlign w:val="superscript"/>
    </w:rPr>
  </w:style>
  <w:style w:type="paragraph" w:styleId="Pieddepage">
    <w:name w:val="footer"/>
    <w:basedOn w:val="Normal"/>
    <w:link w:val="PieddepageCar"/>
    <w:uiPriority w:val="99"/>
    <w:unhideWhenUsed/>
    <w:rsid w:val="00985D77"/>
    <w:pPr>
      <w:tabs>
        <w:tab w:val="center" w:pos="4536"/>
        <w:tab w:val="right" w:pos="9072"/>
      </w:tabs>
    </w:pPr>
  </w:style>
  <w:style w:type="character" w:customStyle="1" w:styleId="PieddepageCar">
    <w:name w:val="Pied de page Car"/>
    <w:basedOn w:val="Policepardfaut"/>
    <w:link w:val="Pieddepage"/>
    <w:uiPriority w:val="99"/>
    <w:rsid w:val="00985D77"/>
    <w:rPr>
      <w:rFonts w:eastAsia="Times New Roman"/>
      <w:sz w:val="24"/>
      <w:szCs w:val="24"/>
      <w:lang w:eastAsia="fr-FR"/>
    </w:rPr>
  </w:style>
  <w:style w:type="character" w:styleId="Numrodepage">
    <w:name w:val="page number"/>
    <w:basedOn w:val="Policepardfaut"/>
    <w:uiPriority w:val="99"/>
    <w:semiHidden/>
    <w:unhideWhenUsed/>
    <w:rsid w:val="00985D77"/>
  </w:style>
  <w:style w:type="paragraph" w:styleId="Paragraphedeliste">
    <w:name w:val="List Paragraph"/>
    <w:basedOn w:val="Normal"/>
    <w:uiPriority w:val="34"/>
    <w:qFormat/>
    <w:rsid w:val="00A35CF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Pages>
  <Words>2887</Words>
  <Characters>15882</Characters>
  <Application>Microsoft Macintosh Word</Application>
  <DocSecurity>0</DocSecurity>
  <Lines>132</Lines>
  <Paragraphs>37</Paragraphs>
  <ScaleCrop>false</ScaleCrop>
  <Company/>
  <LinksUpToDate>false</LinksUpToDate>
  <CharactersWithSpaces>18732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sinfo fusl</dc:creator>
  <cp:keywords/>
  <dc:description/>
  <cp:lastModifiedBy>sinfo fusl</cp:lastModifiedBy>
  <cp:revision>2</cp:revision>
  <cp:lastPrinted>2015-07-03T08:50:00Z</cp:lastPrinted>
  <dcterms:created xsi:type="dcterms:W3CDTF">2015-08-07T16:28:00Z</dcterms:created>
  <dcterms:modified xsi:type="dcterms:W3CDTF">2015-08-07T16:28:00Z</dcterms:modified>
</cp:coreProperties>
</file>