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2002" w:rsidRDefault="00812002" w:rsidP="00C37F86">
      <w:pPr>
        <w:jc w:val="center"/>
        <w:rPr>
          <w:lang w:val="en-US"/>
        </w:rPr>
      </w:pPr>
    </w:p>
    <w:p w:rsidR="00C37F86" w:rsidRDefault="00812002" w:rsidP="00C37F86">
      <w:pPr>
        <w:jc w:val="center"/>
        <w:rPr>
          <w:rFonts w:ascii="Times New Roman" w:hAnsi="Times New Roman" w:cs="Times New Roman"/>
          <w:b/>
          <w:sz w:val="24"/>
          <w:szCs w:val="24"/>
        </w:rPr>
      </w:pPr>
      <w:r w:rsidRPr="00BB436A">
        <w:rPr>
          <w:rFonts w:ascii="Times New Roman" w:hAnsi="Times New Roman" w:cs="Times New Roman"/>
          <w:b/>
          <w:sz w:val="24"/>
          <w:szCs w:val="24"/>
        </w:rPr>
        <w:t>L’Union Eurasienne</w:t>
      </w:r>
      <w:r w:rsidR="00C37F86">
        <w:rPr>
          <w:rFonts w:ascii="Times New Roman" w:hAnsi="Times New Roman" w:cs="Times New Roman"/>
          <w:b/>
          <w:sz w:val="24"/>
          <w:szCs w:val="24"/>
        </w:rPr>
        <w:t>,</w:t>
      </w:r>
    </w:p>
    <w:p w:rsidR="00C37F86" w:rsidRDefault="00C37F86" w:rsidP="00C37F86">
      <w:pPr>
        <w:jc w:val="center"/>
        <w:rPr>
          <w:rFonts w:ascii="Times New Roman" w:hAnsi="Times New Roman" w:cs="Times New Roman"/>
          <w:b/>
          <w:sz w:val="24"/>
          <w:szCs w:val="24"/>
        </w:rPr>
      </w:pPr>
      <w:r>
        <w:rPr>
          <w:rFonts w:ascii="Times New Roman" w:hAnsi="Times New Roman" w:cs="Times New Roman"/>
          <w:b/>
          <w:sz w:val="24"/>
          <w:szCs w:val="24"/>
        </w:rPr>
        <w:t>u</w:t>
      </w:r>
      <w:r w:rsidR="00972FF9">
        <w:rPr>
          <w:rFonts w:ascii="Times New Roman" w:hAnsi="Times New Roman" w:cs="Times New Roman"/>
          <w:b/>
          <w:sz w:val="24"/>
          <w:szCs w:val="24"/>
        </w:rPr>
        <w:t xml:space="preserve">n projet d’intégration régionale comme contrepoids à la Chine et l’UE ? </w:t>
      </w:r>
      <w:r w:rsidR="00EC0B9E">
        <w:rPr>
          <w:rFonts w:ascii="Times New Roman" w:hAnsi="Times New Roman" w:cs="Times New Roman"/>
          <w:b/>
          <w:sz w:val="24"/>
          <w:szCs w:val="24"/>
        </w:rPr>
        <w:t xml:space="preserve"> </w:t>
      </w:r>
      <w:r w:rsidR="00812002" w:rsidRPr="00BB436A">
        <w:rPr>
          <w:rFonts w:ascii="Times New Roman" w:hAnsi="Times New Roman" w:cs="Times New Roman"/>
          <w:b/>
          <w:sz w:val="24"/>
          <w:szCs w:val="24"/>
        </w:rPr>
        <w:t xml:space="preserve"> </w:t>
      </w:r>
    </w:p>
    <w:p w:rsidR="00812002" w:rsidRDefault="00C37F86" w:rsidP="00C37F86">
      <w:pPr>
        <w:jc w:val="center"/>
        <w:rPr>
          <w:rFonts w:ascii="Times New Roman" w:hAnsi="Times New Roman" w:cs="Times New Roman"/>
          <w:b/>
          <w:sz w:val="24"/>
          <w:szCs w:val="24"/>
        </w:rPr>
      </w:pPr>
      <w:r>
        <w:rPr>
          <w:rFonts w:ascii="Times New Roman" w:hAnsi="Times New Roman" w:cs="Times New Roman"/>
          <w:b/>
          <w:sz w:val="24"/>
          <w:szCs w:val="24"/>
        </w:rPr>
        <w:t>U</w:t>
      </w:r>
      <w:r w:rsidR="00AA5EAA">
        <w:rPr>
          <w:rFonts w:ascii="Times New Roman" w:hAnsi="Times New Roman" w:cs="Times New Roman"/>
          <w:b/>
          <w:sz w:val="24"/>
          <w:szCs w:val="24"/>
        </w:rPr>
        <w:t>n projet géopolitique sans dynamique économique</w:t>
      </w:r>
      <w:r>
        <w:rPr>
          <w:rFonts w:ascii="Times New Roman" w:hAnsi="Times New Roman" w:cs="Times New Roman"/>
          <w:b/>
          <w:sz w:val="24"/>
          <w:szCs w:val="24"/>
        </w:rPr>
        <w:t>.</w:t>
      </w:r>
    </w:p>
    <w:p w:rsidR="00152097" w:rsidRDefault="00152097" w:rsidP="00AC1FC7">
      <w:pPr>
        <w:jc w:val="both"/>
        <w:rPr>
          <w:rFonts w:ascii="Times New Roman" w:hAnsi="Times New Roman" w:cs="Times New Roman"/>
          <w:b/>
          <w:sz w:val="24"/>
          <w:szCs w:val="24"/>
        </w:rPr>
      </w:pPr>
    </w:p>
    <w:p w:rsidR="00152097" w:rsidRDefault="00152097" w:rsidP="00C37F86">
      <w:pPr>
        <w:jc w:val="center"/>
        <w:rPr>
          <w:rFonts w:ascii="Times New Roman" w:hAnsi="Times New Roman" w:cs="Times New Roman"/>
          <w:b/>
          <w:sz w:val="24"/>
          <w:szCs w:val="24"/>
        </w:rPr>
      </w:pPr>
      <w:r>
        <w:rPr>
          <w:rFonts w:ascii="Times New Roman" w:hAnsi="Times New Roman" w:cs="Times New Roman"/>
          <w:b/>
          <w:sz w:val="24"/>
          <w:szCs w:val="24"/>
        </w:rPr>
        <w:t xml:space="preserve">Jean-Christophe </w:t>
      </w:r>
      <w:proofErr w:type="spellStart"/>
      <w:r>
        <w:rPr>
          <w:rFonts w:ascii="Times New Roman" w:hAnsi="Times New Roman" w:cs="Times New Roman"/>
          <w:b/>
          <w:sz w:val="24"/>
          <w:szCs w:val="24"/>
        </w:rPr>
        <w:t>Defraigne</w:t>
      </w:r>
      <w:proofErr w:type="spellEnd"/>
      <w:r>
        <w:rPr>
          <w:rStyle w:val="Appelnotedebasdep"/>
          <w:rFonts w:ascii="Times New Roman" w:hAnsi="Times New Roman" w:cs="Times New Roman"/>
          <w:b/>
          <w:sz w:val="24"/>
          <w:szCs w:val="24"/>
        </w:rPr>
        <w:footnoteReference w:id="1"/>
      </w:r>
    </w:p>
    <w:p w:rsidR="00C37F86" w:rsidRPr="00972FF9" w:rsidRDefault="00C37F86" w:rsidP="00AC1FC7">
      <w:pPr>
        <w:jc w:val="both"/>
        <w:rPr>
          <w:rFonts w:ascii="Times New Roman" w:hAnsi="Times New Roman" w:cs="Times New Roman"/>
          <w:b/>
          <w:sz w:val="24"/>
          <w:szCs w:val="24"/>
        </w:rPr>
      </w:pPr>
    </w:p>
    <w:p w:rsidR="00972FF9" w:rsidRDefault="00812002" w:rsidP="00AC1FC7">
      <w:pPr>
        <w:jc w:val="both"/>
        <w:rPr>
          <w:rFonts w:ascii="Times New Roman" w:hAnsi="Times New Roman" w:cs="Times New Roman"/>
          <w:sz w:val="24"/>
          <w:szCs w:val="24"/>
        </w:rPr>
      </w:pPr>
      <w:r w:rsidRPr="00AC1FC7">
        <w:rPr>
          <w:rFonts w:ascii="Times New Roman" w:hAnsi="Times New Roman" w:cs="Times New Roman"/>
          <w:sz w:val="24"/>
          <w:szCs w:val="24"/>
        </w:rPr>
        <w:t xml:space="preserve">Cet article se propose d’analyser les perspectives </w:t>
      </w:r>
      <w:r w:rsidR="00EA053C">
        <w:rPr>
          <w:rFonts w:ascii="Times New Roman" w:hAnsi="Times New Roman" w:cs="Times New Roman"/>
          <w:sz w:val="24"/>
          <w:szCs w:val="24"/>
        </w:rPr>
        <w:t xml:space="preserve">économiques </w:t>
      </w:r>
      <w:r w:rsidRPr="00AC1FC7">
        <w:rPr>
          <w:rFonts w:ascii="Times New Roman" w:hAnsi="Times New Roman" w:cs="Times New Roman"/>
          <w:sz w:val="24"/>
          <w:szCs w:val="24"/>
        </w:rPr>
        <w:t>de l’Union économique Eurasiatique (</w:t>
      </w:r>
      <w:r w:rsidR="00972FF9">
        <w:rPr>
          <w:rFonts w:ascii="Times New Roman" w:hAnsi="Times New Roman" w:cs="Times New Roman"/>
          <w:sz w:val="24"/>
          <w:szCs w:val="24"/>
        </w:rPr>
        <w:t>UEE</w:t>
      </w:r>
      <w:r w:rsidR="004C347D">
        <w:rPr>
          <w:rFonts w:ascii="Times New Roman" w:hAnsi="Times New Roman" w:cs="Times New Roman"/>
          <w:sz w:val="24"/>
          <w:szCs w:val="24"/>
        </w:rPr>
        <w:t>)</w:t>
      </w:r>
      <w:r w:rsidR="004C347D">
        <w:rPr>
          <w:rStyle w:val="Appelnotedebasdep"/>
          <w:rFonts w:ascii="Times New Roman" w:hAnsi="Times New Roman" w:cs="Times New Roman"/>
          <w:sz w:val="24"/>
          <w:szCs w:val="24"/>
        </w:rPr>
        <w:footnoteReference w:id="2"/>
      </w:r>
      <w:r w:rsidRPr="00AC1FC7">
        <w:rPr>
          <w:rFonts w:ascii="Times New Roman" w:hAnsi="Times New Roman" w:cs="Times New Roman"/>
          <w:sz w:val="24"/>
          <w:szCs w:val="24"/>
        </w:rPr>
        <w:t xml:space="preserve"> et sa capacité d’intégrer économiquement le voisinage de la Russie en Asie centrale et en Europe orientale. La Russie dispose-t-elle d’atouts économiques suffisants pour contrer l’influence économique croissante de la Chine, de l’Union Européenne et d’autres puissances régionales en attirant son voisinage dans ce processus d’intégration qui générerait suffisamment d’interdépendance économique  entre ses membres ? L’ UEE possède-telle une dynamique d’intégration régionale viable capable de dépasser les résistances nationales</w:t>
      </w:r>
      <w:r w:rsidR="00972FF9">
        <w:rPr>
          <w:rFonts w:ascii="Times New Roman" w:hAnsi="Times New Roman" w:cs="Times New Roman"/>
          <w:sz w:val="24"/>
          <w:szCs w:val="24"/>
        </w:rPr>
        <w:t xml:space="preserve"> traditionnelles</w:t>
      </w:r>
      <w:r w:rsidRPr="00AC1FC7">
        <w:rPr>
          <w:rFonts w:ascii="Times New Roman" w:hAnsi="Times New Roman" w:cs="Times New Roman"/>
          <w:sz w:val="24"/>
          <w:szCs w:val="24"/>
        </w:rPr>
        <w:t xml:space="preserve"> des Etats membres qui la compose ?</w:t>
      </w:r>
      <w:r w:rsidR="004C347D">
        <w:rPr>
          <w:rFonts w:ascii="Times New Roman" w:hAnsi="Times New Roman" w:cs="Times New Roman"/>
          <w:sz w:val="24"/>
          <w:szCs w:val="24"/>
        </w:rPr>
        <w:t xml:space="preserve"> Cet article met</w:t>
      </w:r>
      <w:r w:rsidR="00972FF9">
        <w:rPr>
          <w:rFonts w:ascii="Times New Roman" w:hAnsi="Times New Roman" w:cs="Times New Roman"/>
          <w:sz w:val="24"/>
          <w:szCs w:val="24"/>
        </w:rPr>
        <w:t xml:space="preserve"> en évidence les graves faiblesses structurelles de l’UEE qui limite</w:t>
      </w:r>
      <w:r w:rsidR="004C347D">
        <w:rPr>
          <w:rFonts w:ascii="Times New Roman" w:hAnsi="Times New Roman" w:cs="Times New Roman"/>
          <w:sz w:val="24"/>
          <w:szCs w:val="24"/>
        </w:rPr>
        <w:t>nt</w:t>
      </w:r>
      <w:r w:rsidR="00972FF9">
        <w:rPr>
          <w:rFonts w:ascii="Times New Roman" w:hAnsi="Times New Roman" w:cs="Times New Roman"/>
          <w:sz w:val="24"/>
          <w:szCs w:val="24"/>
        </w:rPr>
        <w:t xml:space="preserve"> ses capacités d’être un véhicule crédible pour l’intégration économique ré</w:t>
      </w:r>
      <w:r w:rsidR="004C347D">
        <w:rPr>
          <w:rFonts w:ascii="Times New Roman" w:hAnsi="Times New Roman" w:cs="Times New Roman"/>
          <w:sz w:val="24"/>
          <w:szCs w:val="24"/>
        </w:rPr>
        <w:t>gionale du voisinage russe et pour</w:t>
      </w:r>
      <w:r w:rsidR="00972FF9">
        <w:rPr>
          <w:rFonts w:ascii="Times New Roman" w:hAnsi="Times New Roman" w:cs="Times New Roman"/>
          <w:sz w:val="24"/>
          <w:szCs w:val="24"/>
        </w:rPr>
        <w:t xml:space="preserve"> const</w:t>
      </w:r>
      <w:r w:rsidR="00C37F86">
        <w:rPr>
          <w:rFonts w:ascii="Times New Roman" w:hAnsi="Times New Roman" w:cs="Times New Roman"/>
          <w:sz w:val="24"/>
          <w:szCs w:val="24"/>
        </w:rPr>
        <w:t>itu</w:t>
      </w:r>
      <w:r w:rsidR="00972FF9">
        <w:rPr>
          <w:rFonts w:ascii="Times New Roman" w:hAnsi="Times New Roman" w:cs="Times New Roman"/>
          <w:sz w:val="24"/>
          <w:szCs w:val="24"/>
        </w:rPr>
        <w:t>er un ré</w:t>
      </w:r>
      <w:r w:rsidR="004C347D">
        <w:rPr>
          <w:rFonts w:ascii="Times New Roman" w:hAnsi="Times New Roman" w:cs="Times New Roman"/>
          <w:sz w:val="24"/>
          <w:szCs w:val="24"/>
        </w:rPr>
        <w:t xml:space="preserve">el contrepoids géopolitique aux puissances </w:t>
      </w:r>
      <w:r w:rsidR="00972FF9">
        <w:rPr>
          <w:rFonts w:ascii="Times New Roman" w:hAnsi="Times New Roman" w:cs="Times New Roman"/>
          <w:sz w:val="24"/>
          <w:szCs w:val="24"/>
        </w:rPr>
        <w:t>occident</w:t>
      </w:r>
      <w:r w:rsidR="004C347D">
        <w:rPr>
          <w:rFonts w:ascii="Times New Roman" w:hAnsi="Times New Roman" w:cs="Times New Roman"/>
          <w:sz w:val="24"/>
          <w:szCs w:val="24"/>
        </w:rPr>
        <w:t>ales</w:t>
      </w:r>
      <w:r w:rsidR="00972FF9">
        <w:rPr>
          <w:rFonts w:ascii="Times New Roman" w:hAnsi="Times New Roman" w:cs="Times New Roman"/>
          <w:sz w:val="24"/>
          <w:szCs w:val="24"/>
        </w:rPr>
        <w:t xml:space="preserve"> et à la Chine.</w:t>
      </w:r>
    </w:p>
    <w:p w:rsidR="006A5A63" w:rsidRPr="000D1C88" w:rsidRDefault="006A5A63" w:rsidP="00AC1FC7">
      <w:pPr>
        <w:jc w:val="both"/>
        <w:rPr>
          <w:rFonts w:ascii="Times New Roman" w:hAnsi="Times New Roman" w:cs="Times New Roman"/>
          <w:b/>
          <w:sz w:val="24"/>
          <w:szCs w:val="24"/>
        </w:rPr>
      </w:pPr>
    </w:p>
    <w:p w:rsidR="000D1C88" w:rsidRPr="001E5227" w:rsidRDefault="000D1C88" w:rsidP="001E5227">
      <w:pPr>
        <w:pStyle w:val="Paragraphedeliste"/>
        <w:numPr>
          <w:ilvl w:val="0"/>
          <w:numId w:val="1"/>
        </w:numPr>
        <w:jc w:val="both"/>
        <w:rPr>
          <w:rFonts w:ascii="Times New Roman" w:hAnsi="Times New Roman" w:cs="Times New Roman"/>
          <w:b/>
          <w:sz w:val="24"/>
          <w:szCs w:val="24"/>
        </w:rPr>
      </w:pPr>
      <w:r w:rsidRPr="001E5227">
        <w:rPr>
          <w:rFonts w:ascii="Times New Roman" w:hAnsi="Times New Roman" w:cs="Times New Roman"/>
          <w:b/>
          <w:sz w:val="24"/>
          <w:szCs w:val="24"/>
        </w:rPr>
        <w:t>Un énième projet d’intégration régionale</w:t>
      </w:r>
    </w:p>
    <w:p w:rsidR="000D1C88" w:rsidRPr="00AC1FC7" w:rsidRDefault="000D1C88" w:rsidP="00AC1FC7">
      <w:pPr>
        <w:jc w:val="both"/>
        <w:rPr>
          <w:rFonts w:ascii="Times New Roman" w:hAnsi="Times New Roman" w:cs="Times New Roman"/>
          <w:sz w:val="24"/>
          <w:szCs w:val="24"/>
        </w:rPr>
      </w:pPr>
    </w:p>
    <w:p w:rsidR="002C7854" w:rsidRDefault="00812002" w:rsidP="002C7854">
      <w:pPr>
        <w:jc w:val="both"/>
        <w:rPr>
          <w:rFonts w:ascii="Times New Roman" w:hAnsi="Times New Roman" w:cs="Times New Roman"/>
          <w:sz w:val="24"/>
          <w:szCs w:val="24"/>
        </w:rPr>
      </w:pPr>
      <w:r w:rsidRPr="00AC1FC7">
        <w:rPr>
          <w:rFonts w:ascii="Times New Roman" w:hAnsi="Times New Roman" w:cs="Times New Roman"/>
          <w:sz w:val="24"/>
          <w:szCs w:val="24"/>
        </w:rPr>
        <w:t xml:space="preserve">Le concept d’une Union eurasiatique a été lancé </w:t>
      </w:r>
      <w:r w:rsidR="00AC1FC7" w:rsidRPr="00AC1FC7">
        <w:rPr>
          <w:rFonts w:ascii="Times New Roman" w:hAnsi="Times New Roman" w:cs="Times New Roman"/>
          <w:sz w:val="24"/>
          <w:szCs w:val="24"/>
        </w:rPr>
        <w:t xml:space="preserve">pour la première fois </w:t>
      </w:r>
      <w:r w:rsidRPr="00AC1FC7">
        <w:rPr>
          <w:rFonts w:ascii="Times New Roman" w:hAnsi="Times New Roman" w:cs="Times New Roman"/>
          <w:sz w:val="24"/>
          <w:szCs w:val="24"/>
        </w:rPr>
        <w:t xml:space="preserve">en 1994 par le président du Kazakhstan </w:t>
      </w:r>
      <w:proofErr w:type="spellStart"/>
      <w:r w:rsidRPr="00AC1FC7">
        <w:rPr>
          <w:rFonts w:ascii="Times New Roman" w:hAnsi="Times New Roman" w:cs="Times New Roman"/>
          <w:sz w:val="24"/>
          <w:szCs w:val="24"/>
        </w:rPr>
        <w:t>Naza</w:t>
      </w:r>
      <w:r w:rsidR="00AC1FC7" w:rsidRPr="00AC1FC7">
        <w:rPr>
          <w:rFonts w:ascii="Times New Roman" w:hAnsi="Times New Roman" w:cs="Times New Roman"/>
          <w:sz w:val="24"/>
          <w:szCs w:val="24"/>
        </w:rPr>
        <w:t>r</w:t>
      </w:r>
      <w:r w:rsidR="004C347D">
        <w:rPr>
          <w:rFonts w:ascii="Times New Roman" w:hAnsi="Times New Roman" w:cs="Times New Roman"/>
          <w:sz w:val="24"/>
          <w:szCs w:val="24"/>
        </w:rPr>
        <w:t>baï</w:t>
      </w:r>
      <w:r w:rsidRPr="00AC1FC7">
        <w:rPr>
          <w:rFonts w:ascii="Times New Roman" w:hAnsi="Times New Roman" w:cs="Times New Roman"/>
          <w:sz w:val="24"/>
          <w:szCs w:val="24"/>
        </w:rPr>
        <w:t>ev</w:t>
      </w:r>
      <w:proofErr w:type="spellEnd"/>
      <w:r w:rsidR="00AC1FC7" w:rsidRPr="00AC1FC7">
        <w:rPr>
          <w:rFonts w:ascii="Times New Roman" w:hAnsi="Times New Roman" w:cs="Times New Roman"/>
          <w:sz w:val="24"/>
          <w:szCs w:val="24"/>
        </w:rPr>
        <w:t xml:space="preserve"> en référence </w:t>
      </w:r>
      <w:r w:rsidR="004C347D">
        <w:rPr>
          <w:rFonts w:ascii="Times New Roman" w:hAnsi="Times New Roman" w:cs="Times New Roman"/>
          <w:sz w:val="24"/>
          <w:szCs w:val="24"/>
        </w:rPr>
        <w:t>au processus d’intégration européenne de l’Union Européenne</w:t>
      </w:r>
      <w:r w:rsidR="00AC1FC7" w:rsidRPr="00AC1FC7">
        <w:rPr>
          <w:rFonts w:ascii="Times New Roman" w:hAnsi="Times New Roman" w:cs="Times New Roman"/>
          <w:sz w:val="24"/>
          <w:szCs w:val="24"/>
        </w:rPr>
        <w:t xml:space="preserve"> mais ce n’est qu’en 2011 qu’un accord</w:t>
      </w:r>
      <w:r w:rsidR="00AC1FC7">
        <w:rPr>
          <w:rFonts w:ascii="Times New Roman" w:hAnsi="Times New Roman" w:cs="Times New Roman"/>
          <w:sz w:val="24"/>
          <w:szCs w:val="24"/>
        </w:rPr>
        <w:t xml:space="preserve"> </w:t>
      </w:r>
      <w:r w:rsidR="002C7854">
        <w:rPr>
          <w:rFonts w:ascii="Times New Roman" w:hAnsi="Times New Roman" w:cs="Times New Roman"/>
          <w:sz w:val="24"/>
          <w:szCs w:val="24"/>
        </w:rPr>
        <w:t xml:space="preserve">se fait </w:t>
      </w:r>
      <w:r w:rsidR="00AC1FC7">
        <w:rPr>
          <w:rFonts w:ascii="Times New Roman" w:hAnsi="Times New Roman" w:cs="Times New Roman"/>
          <w:sz w:val="24"/>
          <w:szCs w:val="24"/>
        </w:rPr>
        <w:t>entre les présidents russe, kazakh et biélorusse</w:t>
      </w:r>
      <w:r w:rsidR="00AC1FC7" w:rsidRPr="00AC1FC7">
        <w:rPr>
          <w:rFonts w:ascii="Times New Roman" w:hAnsi="Times New Roman" w:cs="Times New Roman"/>
          <w:sz w:val="24"/>
          <w:szCs w:val="24"/>
        </w:rPr>
        <w:t xml:space="preserve"> pour la réalisation d’une telle Union</w:t>
      </w:r>
      <w:r w:rsidR="00AC1FC7">
        <w:rPr>
          <w:rFonts w:ascii="Times New Roman" w:hAnsi="Times New Roman" w:cs="Times New Roman"/>
          <w:sz w:val="24"/>
          <w:szCs w:val="24"/>
        </w:rPr>
        <w:t>. En 2012, des premières institutions supranationales, inspirées de celles de l’UE voient le jour. On établit une Commission économique eurasiatique</w:t>
      </w:r>
      <w:r w:rsidR="002C7854">
        <w:rPr>
          <w:rFonts w:ascii="Times New Roman" w:hAnsi="Times New Roman" w:cs="Times New Roman"/>
          <w:sz w:val="24"/>
          <w:szCs w:val="24"/>
        </w:rPr>
        <w:t xml:space="preserve"> disposant d’un collège de commissaires</w:t>
      </w:r>
      <w:r w:rsidR="00AC1FC7">
        <w:rPr>
          <w:rFonts w:ascii="Times New Roman" w:hAnsi="Times New Roman" w:cs="Times New Roman"/>
          <w:sz w:val="24"/>
          <w:szCs w:val="24"/>
        </w:rPr>
        <w:t>, un Conseil</w:t>
      </w:r>
      <w:r w:rsidR="002C7854">
        <w:rPr>
          <w:rFonts w:ascii="Times New Roman" w:hAnsi="Times New Roman" w:cs="Times New Roman"/>
          <w:sz w:val="24"/>
          <w:szCs w:val="24"/>
        </w:rPr>
        <w:t xml:space="preserve"> </w:t>
      </w:r>
      <w:r w:rsidR="002C7854" w:rsidRPr="00EA053C">
        <w:rPr>
          <w:rFonts w:ascii="Times New Roman" w:hAnsi="Times New Roman" w:cs="Times New Roman"/>
          <w:sz w:val="24"/>
          <w:szCs w:val="24"/>
        </w:rPr>
        <w:t xml:space="preserve">économique eurasiatique suprême composé des chefs des Etats membres. Une Union douanière et un marché unique sont mis en place. En 2015, l’Arménie </w:t>
      </w:r>
      <w:r w:rsidR="002C7854" w:rsidRPr="0067199E">
        <w:rPr>
          <w:rFonts w:ascii="Times New Roman" w:hAnsi="Times New Roman" w:cs="Times New Roman"/>
          <w:sz w:val="24"/>
          <w:szCs w:val="24"/>
        </w:rPr>
        <w:t xml:space="preserve">et le </w:t>
      </w:r>
      <w:r w:rsidR="00496350">
        <w:rPr>
          <w:rFonts w:ascii="Times New Roman" w:hAnsi="Times New Roman" w:cs="Times New Roman"/>
          <w:sz w:val="24"/>
          <w:szCs w:val="24"/>
          <w:shd w:val="clear" w:color="auto" w:fill="FFFFFF"/>
        </w:rPr>
        <w:t>Kirghizstan</w:t>
      </w:r>
      <w:r w:rsidR="002C7854" w:rsidRPr="0067199E">
        <w:rPr>
          <w:rFonts w:ascii="Times New Roman" w:hAnsi="Times New Roman" w:cs="Times New Roman"/>
          <w:sz w:val="24"/>
          <w:szCs w:val="24"/>
          <w:shd w:val="clear" w:color="auto" w:fill="FFFFFF"/>
        </w:rPr>
        <w:t xml:space="preserve"> rejoignent l’UEE</w:t>
      </w:r>
      <w:r w:rsidR="002C7854" w:rsidRPr="00EA053C">
        <w:rPr>
          <w:rFonts w:ascii="Times New Roman" w:hAnsi="Times New Roman" w:cs="Times New Roman"/>
          <w:color w:val="545454"/>
          <w:sz w:val="24"/>
          <w:szCs w:val="24"/>
          <w:shd w:val="clear" w:color="auto" w:fill="FFFFFF"/>
        </w:rPr>
        <w:t>.</w:t>
      </w:r>
      <w:r w:rsidR="002C7854" w:rsidRPr="00EA053C">
        <w:rPr>
          <w:rFonts w:ascii="Times New Roman" w:hAnsi="Times New Roman" w:cs="Times New Roman"/>
          <w:sz w:val="24"/>
          <w:szCs w:val="24"/>
        </w:rPr>
        <w:t xml:space="preserve">  Sur le papier, dans un temps très rapide par rapport à d’autre processus comme l’ASEAN ou le MERCOSUR, ces pays semblent s’engager dans un processus d’intégration régionale ambitieux visant à créer d’importantes institutions suprarégionales à l’instar de l’UE.</w:t>
      </w:r>
    </w:p>
    <w:p w:rsidR="006A5A63" w:rsidRPr="00EA053C" w:rsidRDefault="006A5A63" w:rsidP="002C7854">
      <w:pPr>
        <w:jc w:val="both"/>
        <w:rPr>
          <w:rFonts w:ascii="Times New Roman" w:hAnsi="Times New Roman" w:cs="Times New Roman"/>
          <w:sz w:val="24"/>
          <w:szCs w:val="24"/>
        </w:rPr>
      </w:pPr>
    </w:p>
    <w:p w:rsidR="00EA053C" w:rsidRDefault="002C7854" w:rsidP="002C7854">
      <w:pPr>
        <w:jc w:val="both"/>
        <w:rPr>
          <w:rFonts w:ascii="Times New Roman" w:hAnsi="Times New Roman" w:cs="Times New Roman"/>
          <w:sz w:val="24"/>
          <w:szCs w:val="24"/>
        </w:rPr>
      </w:pPr>
      <w:r>
        <w:rPr>
          <w:rFonts w:ascii="Times New Roman" w:hAnsi="Times New Roman" w:cs="Times New Roman"/>
          <w:sz w:val="24"/>
          <w:szCs w:val="24"/>
        </w:rPr>
        <w:t>Cependant, une analyse historique des autres processus d’intégration régionaux</w:t>
      </w:r>
      <w:r w:rsidR="000D1C88">
        <w:rPr>
          <w:rFonts w:ascii="Times New Roman" w:hAnsi="Times New Roman" w:cs="Times New Roman"/>
          <w:sz w:val="24"/>
          <w:szCs w:val="24"/>
        </w:rPr>
        <w:t xml:space="preserve"> démontre</w:t>
      </w:r>
      <w:r w:rsidR="00EF0F44">
        <w:rPr>
          <w:rFonts w:ascii="Times New Roman" w:hAnsi="Times New Roman" w:cs="Times New Roman"/>
          <w:sz w:val="24"/>
          <w:szCs w:val="24"/>
        </w:rPr>
        <w:t xml:space="preserve"> que de nombreuses initiatives n’ont pas débouché sur une intégration économique en profondeur et </w:t>
      </w:r>
      <w:r w:rsidR="00EF0F44">
        <w:rPr>
          <w:rFonts w:ascii="Times New Roman" w:hAnsi="Times New Roman" w:cs="Times New Roman"/>
          <w:sz w:val="24"/>
          <w:szCs w:val="24"/>
        </w:rPr>
        <w:lastRenderedPageBreak/>
        <w:t xml:space="preserve">de nombreuses </w:t>
      </w:r>
      <w:r w:rsidR="00EF0F44" w:rsidRPr="000D1C88">
        <w:rPr>
          <w:rFonts w:ascii="Times New Roman" w:hAnsi="Times New Roman" w:cs="Times New Roman"/>
          <w:sz w:val="24"/>
          <w:szCs w:val="24"/>
        </w:rPr>
        <w:t>institutions régionales se sont finalement transformée</w:t>
      </w:r>
      <w:r w:rsidR="000D1C88" w:rsidRPr="000D1C88">
        <w:rPr>
          <w:rFonts w:ascii="Times New Roman" w:hAnsi="Times New Roman" w:cs="Times New Roman"/>
          <w:sz w:val="24"/>
          <w:szCs w:val="24"/>
        </w:rPr>
        <w:t>s en simple forum interétatique</w:t>
      </w:r>
      <w:r w:rsidR="00EF0F44" w:rsidRPr="000D1C88">
        <w:rPr>
          <w:rFonts w:ascii="Times New Roman" w:hAnsi="Times New Roman" w:cs="Times New Roman"/>
          <w:sz w:val="24"/>
          <w:szCs w:val="24"/>
        </w:rPr>
        <w:t xml:space="preserve"> ne produisant </w:t>
      </w:r>
      <w:r w:rsidR="000D1C88" w:rsidRPr="000D1C88">
        <w:rPr>
          <w:rFonts w:ascii="Times New Roman" w:hAnsi="Times New Roman" w:cs="Times New Roman"/>
          <w:sz w:val="24"/>
          <w:szCs w:val="24"/>
        </w:rPr>
        <w:t>que peu ou aucune</w:t>
      </w:r>
      <w:r w:rsidR="00EF0F44" w:rsidRPr="000D1C88">
        <w:rPr>
          <w:rFonts w:ascii="Times New Roman" w:hAnsi="Times New Roman" w:cs="Times New Roman"/>
          <w:sz w:val="24"/>
          <w:szCs w:val="24"/>
        </w:rPr>
        <w:t xml:space="preserve"> disposition liante substantielle pour leurs Etats membres. Ce fut le cas du</w:t>
      </w:r>
      <w:r w:rsidR="000D1C88" w:rsidRPr="000D1C88">
        <w:rPr>
          <w:rFonts w:ascii="Times New Roman" w:hAnsi="Times New Roman" w:cs="Times New Roman"/>
          <w:color w:val="545454"/>
          <w:sz w:val="24"/>
          <w:szCs w:val="24"/>
          <w:shd w:val="clear" w:color="auto" w:fill="FFFFFF"/>
        </w:rPr>
        <w:t xml:space="preserve"> Marché commun centraméricain</w:t>
      </w:r>
      <w:r w:rsidR="000D1C88" w:rsidRPr="000D1C88">
        <w:rPr>
          <w:rFonts w:ascii="Times New Roman" w:hAnsi="Times New Roman" w:cs="Times New Roman"/>
          <w:sz w:val="24"/>
          <w:szCs w:val="24"/>
        </w:rPr>
        <w:t xml:space="preserve">, </w:t>
      </w:r>
      <w:r w:rsidR="000D1C88" w:rsidRPr="000D1C88">
        <w:rPr>
          <w:rFonts w:ascii="Times New Roman" w:hAnsi="Times New Roman" w:cs="Times New Roman"/>
          <w:color w:val="545454"/>
          <w:sz w:val="24"/>
          <w:szCs w:val="24"/>
          <w:shd w:val="clear" w:color="auto" w:fill="FFFFFF"/>
        </w:rPr>
        <w:t>de l'Association sud-asiatique pour la coopération régionale</w:t>
      </w:r>
      <w:r w:rsidR="000D1C88" w:rsidRPr="000D1C88">
        <w:rPr>
          <w:rFonts w:ascii="Times New Roman" w:hAnsi="Times New Roman" w:cs="Times New Roman"/>
          <w:sz w:val="24"/>
          <w:szCs w:val="24"/>
        </w:rPr>
        <w:t xml:space="preserve"> (</w:t>
      </w:r>
      <w:r w:rsidR="00EF0F44" w:rsidRPr="000D1C88">
        <w:rPr>
          <w:rFonts w:ascii="Times New Roman" w:hAnsi="Times New Roman" w:cs="Times New Roman"/>
          <w:sz w:val="24"/>
          <w:szCs w:val="24"/>
        </w:rPr>
        <w:t>SAARC</w:t>
      </w:r>
      <w:r w:rsidR="000D1C88" w:rsidRPr="000D1C88">
        <w:rPr>
          <w:rFonts w:ascii="Times New Roman" w:hAnsi="Times New Roman" w:cs="Times New Roman"/>
          <w:sz w:val="24"/>
          <w:szCs w:val="24"/>
        </w:rPr>
        <w:t>), du Pacte Andin</w:t>
      </w:r>
      <w:r w:rsidR="00EF0F44" w:rsidRPr="000D1C88">
        <w:rPr>
          <w:rFonts w:ascii="Times New Roman" w:hAnsi="Times New Roman" w:cs="Times New Roman"/>
          <w:sz w:val="24"/>
          <w:szCs w:val="24"/>
        </w:rPr>
        <w:t xml:space="preserve"> ou de l’APEC. Même</w:t>
      </w:r>
      <w:r w:rsidR="00EF0F44">
        <w:rPr>
          <w:rFonts w:ascii="Times New Roman" w:hAnsi="Times New Roman" w:cs="Times New Roman"/>
          <w:sz w:val="24"/>
          <w:szCs w:val="24"/>
        </w:rPr>
        <w:t xml:space="preserve"> des processus qui ont initié une certaine dynamique d’intégration économique comme le Mercosur ou l’ASEAN ont ensuite connu un ralentissement </w:t>
      </w:r>
      <w:r w:rsidR="000D1C88">
        <w:rPr>
          <w:rFonts w:ascii="Times New Roman" w:hAnsi="Times New Roman" w:cs="Times New Roman"/>
          <w:sz w:val="24"/>
          <w:szCs w:val="24"/>
        </w:rPr>
        <w:t xml:space="preserve">en partie </w:t>
      </w:r>
      <w:r w:rsidR="00EF0F44">
        <w:rPr>
          <w:rFonts w:ascii="Times New Roman" w:hAnsi="Times New Roman" w:cs="Times New Roman"/>
          <w:sz w:val="24"/>
          <w:szCs w:val="24"/>
        </w:rPr>
        <w:t>lié</w:t>
      </w:r>
      <w:r w:rsidR="000B2359">
        <w:rPr>
          <w:rFonts w:ascii="Times New Roman" w:hAnsi="Times New Roman" w:cs="Times New Roman"/>
          <w:sz w:val="24"/>
          <w:szCs w:val="24"/>
        </w:rPr>
        <w:t xml:space="preserve"> aux lobbies protectionnistes nationaux. </w:t>
      </w:r>
    </w:p>
    <w:p w:rsidR="00C40F84" w:rsidRDefault="000B2359" w:rsidP="002C7854">
      <w:pPr>
        <w:jc w:val="both"/>
        <w:rPr>
          <w:rFonts w:ascii="Times New Roman" w:hAnsi="Times New Roman" w:cs="Times New Roman"/>
          <w:sz w:val="24"/>
          <w:szCs w:val="24"/>
        </w:rPr>
      </w:pPr>
      <w:r>
        <w:rPr>
          <w:rFonts w:ascii="Times New Roman" w:hAnsi="Times New Roman" w:cs="Times New Roman"/>
          <w:sz w:val="24"/>
          <w:szCs w:val="24"/>
        </w:rPr>
        <w:t xml:space="preserve">Les </w:t>
      </w:r>
      <w:r w:rsidR="00EF0F44">
        <w:rPr>
          <w:rFonts w:ascii="Times New Roman" w:hAnsi="Times New Roman" w:cs="Times New Roman"/>
          <w:sz w:val="24"/>
          <w:szCs w:val="24"/>
        </w:rPr>
        <w:t xml:space="preserve">barrières techniques au commerce, </w:t>
      </w:r>
      <w:r>
        <w:rPr>
          <w:rFonts w:ascii="Times New Roman" w:hAnsi="Times New Roman" w:cs="Times New Roman"/>
          <w:sz w:val="24"/>
          <w:szCs w:val="24"/>
        </w:rPr>
        <w:t xml:space="preserve">les </w:t>
      </w:r>
      <w:r w:rsidR="00EF0F44">
        <w:rPr>
          <w:rFonts w:ascii="Times New Roman" w:hAnsi="Times New Roman" w:cs="Times New Roman"/>
          <w:sz w:val="24"/>
          <w:szCs w:val="24"/>
        </w:rPr>
        <w:t>listes négatives</w:t>
      </w:r>
      <w:r>
        <w:rPr>
          <w:rFonts w:ascii="Times New Roman" w:hAnsi="Times New Roman" w:cs="Times New Roman"/>
          <w:sz w:val="24"/>
          <w:szCs w:val="24"/>
        </w:rPr>
        <w:t xml:space="preserve"> aux IDE, les subventions qui génèrent des distorsions de la concurrence au sein d’un espace régional empêchent les rationalisations des capacités de production et limite</w:t>
      </w:r>
      <w:r w:rsidR="00EA053C">
        <w:rPr>
          <w:rFonts w:ascii="Times New Roman" w:hAnsi="Times New Roman" w:cs="Times New Roman"/>
          <w:sz w:val="24"/>
          <w:szCs w:val="24"/>
        </w:rPr>
        <w:t>nt</w:t>
      </w:r>
      <w:r>
        <w:rPr>
          <w:rFonts w:ascii="Times New Roman" w:hAnsi="Times New Roman" w:cs="Times New Roman"/>
          <w:sz w:val="24"/>
          <w:szCs w:val="24"/>
        </w:rPr>
        <w:t xml:space="preserve"> ainsi les économies d’échelle dans ce même espace. Ces mesures protectionnistes vident </w:t>
      </w:r>
      <w:r w:rsidRPr="000B2359">
        <w:rPr>
          <w:rFonts w:ascii="Times New Roman" w:hAnsi="Times New Roman" w:cs="Times New Roman"/>
          <w:i/>
          <w:sz w:val="24"/>
          <w:szCs w:val="24"/>
        </w:rPr>
        <w:t xml:space="preserve">de facto </w:t>
      </w:r>
      <w:r>
        <w:rPr>
          <w:rFonts w:ascii="Times New Roman" w:hAnsi="Times New Roman" w:cs="Times New Roman"/>
          <w:sz w:val="24"/>
          <w:szCs w:val="24"/>
        </w:rPr>
        <w:t xml:space="preserve">la substance d’accords régionaux formels dont les dispositions liantes ne sont pas appliquées par des Etats membres qui préfèrent défendre </w:t>
      </w:r>
      <w:r w:rsidR="00DC16AF">
        <w:rPr>
          <w:rFonts w:ascii="Times New Roman" w:hAnsi="Times New Roman" w:cs="Times New Roman"/>
          <w:sz w:val="24"/>
          <w:szCs w:val="24"/>
        </w:rPr>
        <w:t xml:space="preserve">la souveraineté économique de </w:t>
      </w:r>
      <w:r>
        <w:rPr>
          <w:rFonts w:ascii="Times New Roman" w:hAnsi="Times New Roman" w:cs="Times New Roman"/>
          <w:sz w:val="24"/>
          <w:szCs w:val="24"/>
        </w:rPr>
        <w:t>leurs champions nationaux dans les industries et services jugés stratégiques.</w:t>
      </w:r>
      <w:r w:rsidR="00831987">
        <w:rPr>
          <w:rFonts w:ascii="Times New Roman" w:hAnsi="Times New Roman" w:cs="Times New Roman"/>
          <w:sz w:val="24"/>
          <w:szCs w:val="24"/>
        </w:rPr>
        <w:t xml:space="preserve"> Une intégration régionale </w:t>
      </w:r>
      <w:r w:rsidR="00095663">
        <w:rPr>
          <w:rFonts w:ascii="Times New Roman" w:hAnsi="Times New Roman" w:cs="Times New Roman"/>
          <w:sz w:val="24"/>
          <w:szCs w:val="24"/>
        </w:rPr>
        <w:t>redistribue les rentes économiques</w:t>
      </w:r>
      <w:r w:rsidR="00831987">
        <w:rPr>
          <w:rFonts w:ascii="Times New Roman" w:hAnsi="Times New Roman" w:cs="Times New Roman"/>
          <w:sz w:val="24"/>
          <w:szCs w:val="24"/>
        </w:rPr>
        <w:t xml:space="preserve"> </w:t>
      </w:r>
      <w:r w:rsidR="00095663">
        <w:rPr>
          <w:rFonts w:ascii="Times New Roman" w:hAnsi="Times New Roman" w:cs="Times New Roman"/>
          <w:sz w:val="24"/>
          <w:szCs w:val="24"/>
        </w:rPr>
        <w:t>car certains</w:t>
      </w:r>
      <w:r w:rsidR="00831987">
        <w:rPr>
          <w:rFonts w:ascii="Times New Roman" w:hAnsi="Times New Roman" w:cs="Times New Roman"/>
          <w:sz w:val="24"/>
          <w:szCs w:val="24"/>
        </w:rPr>
        <w:t xml:space="preserve"> oligopoles ou monopoles nationaux sont détruits par la concurrence </w:t>
      </w:r>
      <w:proofErr w:type="spellStart"/>
      <w:r w:rsidR="00831987">
        <w:rPr>
          <w:rFonts w:ascii="Times New Roman" w:hAnsi="Times New Roman" w:cs="Times New Roman"/>
          <w:sz w:val="24"/>
          <w:szCs w:val="24"/>
        </w:rPr>
        <w:t>intrarégionale</w:t>
      </w:r>
      <w:proofErr w:type="spellEnd"/>
      <w:r w:rsidR="00831987">
        <w:rPr>
          <w:rFonts w:ascii="Times New Roman" w:hAnsi="Times New Roman" w:cs="Times New Roman"/>
          <w:sz w:val="24"/>
          <w:szCs w:val="24"/>
        </w:rPr>
        <w:t xml:space="preserve"> et remplacé</w:t>
      </w:r>
      <w:r w:rsidR="00D63B9B">
        <w:rPr>
          <w:rFonts w:ascii="Times New Roman" w:hAnsi="Times New Roman" w:cs="Times New Roman"/>
          <w:sz w:val="24"/>
          <w:szCs w:val="24"/>
        </w:rPr>
        <w:t>s</w:t>
      </w:r>
      <w:r w:rsidR="00831987">
        <w:rPr>
          <w:rFonts w:ascii="Times New Roman" w:hAnsi="Times New Roman" w:cs="Times New Roman"/>
          <w:sz w:val="24"/>
          <w:szCs w:val="24"/>
        </w:rPr>
        <w:t xml:space="preserve"> par d’autres oligopoles s’établissant cette fois au niveau régional</w:t>
      </w:r>
      <w:r w:rsidR="000D1C88">
        <w:rPr>
          <w:rFonts w:ascii="Times New Roman" w:hAnsi="Times New Roman" w:cs="Times New Roman"/>
          <w:sz w:val="24"/>
          <w:szCs w:val="24"/>
        </w:rPr>
        <w:t>. C</w:t>
      </w:r>
      <w:r w:rsidR="00095663">
        <w:rPr>
          <w:rFonts w:ascii="Times New Roman" w:hAnsi="Times New Roman" w:cs="Times New Roman"/>
          <w:sz w:val="24"/>
          <w:szCs w:val="24"/>
        </w:rPr>
        <w:t xml:space="preserve">es </w:t>
      </w:r>
      <w:r w:rsidR="000D1C88">
        <w:rPr>
          <w:rFonts w:ascii="Times New Roman" w:hAnsi="Times New Roman" w:cs="Times New Roman"/>
          <w:sz w:val="24"/>
          <w:szCs w:val="24"/>
        </w:rPr>
        <w:t>oligopoles régionaux</w:t>
      </w:r>
      <w:r w:rsidR="00095663">
        <w:rPr>
          <w:rFonts w:ascii="Times New Roman" w:hAnsi="Times New Roman" w:cs="Times New Roman"/>
          <w:sz w:val="24"/>
          <w:szCs w:val="24"/>
        </w:rPr>
        <w:t xml:space="preserve"> sont généralement plus efficaces du fait des économies d’échelle. Cependant rien ne garantit que les gains de l’intégration soient bien redistribués entre les Etats membres. De nombreux analystes ont montré que</w:t>
      </w:r>
      <w:r w:rsidR="00C40F84">
        <w:rPr>
          <w:rFonts w:ascii="Times New Roman" w:hAnsi="Times New Roman" w:cs="Times New Roman"/>
          <w:sz w:val="24"/>
          <w:szCs w:val="24"/>
        </w:rPr>
        <w:t xml:space="preserve"> par exemple</w:t>
      </w:r>
      <w:r w:rsidR="00095663">
        <w:rPr>
          <w:rFonts w:ascii="Times New Roman" w:hAnsi="Times New Roman" w:cs="Times New Roman"/>
          <w:sz w:val="24"/>
          <w:szCs w:val="24"/>
        </w:rPr>
        <w:t xml:space="preserve"> l’Allemagne </w:t>
      </w:r>
      <w:r w:rsidR="00C40F84">
        <w:rPr>
          <w:rFonts w:ascii="Times New Roman" w:hAnsi="Times New Roman" w:cs="Times New Roman"/>
          <w:sz w:val="24"/>
          <w:szCs w:val="24"/>
        </w:rPr>
        <w:t>a plus que proportionnellement bénéficié de la mise en place de la zone euro ou que le Paraguay a été le perdant du Mercosur</w:t>
      </w:r>
      <w:r w:rsidR="000D1C88">
        <w:rPr>
          <w:rStyle w:val="Appelnotedebasdep"/>
          <w:rFonts w:ascii="Times New Roman" w:hAnsi="Times New Roman" w:cs="Times New Roman"/>
          <w:sz w:val="24"/>
          <w:szCs w:val="24"/>
        </w:rPr>
        <w:footnoteReference w:id="3"/>
      </w:r>
      <w:r w:rsidR="00C40F84">
        <w:rPr>
          <w:rFonts w:ascii="Times New Roman" w:hAnsi="Times New Roman" w:cs="Times New Roman"/>
          <w:sz w:val="24"/>
          <w:szCs w:val="24"/>
        </w:rPr>
        <w:t xml:space="preserve">. Ces risques de pertes de rente, notamment dans les économies peu ouvertes dans lesquelles les dirigeants politiques sont très liés aux dirigeants des oligopoles nationaux, sont un facteur décisif </w:t>
      </w:r>
      <w:r w:rsidR="00BF7235">
        <w:rPr>
          <w:rFonts w:ascii="Times New Roman" w:hAnsi="Times New Roman" w:cs="Times New Roman"/>
          <w:sz w:val="24"/>
          <w:szCs w:val="24"/>
        </w:rPr>
        <w:t xml:space="preserve">à la base des </w:t>
      </w:r>
      <w:r w:rsidR="00C40F84">
        <w:rPr>
          <w:rFonts w:ascii="Times New Roman" w:hAnsi="Times New Roman" w:cs="Times New Roman"/>
          <w:sz w:val="24"/>
          <w:szCs w:val="24"/>
        </w:rPr>
        <w:t>fortes</w:t>
      </w:r>
      <w:r w:rsidR="000D1C88">
        <w:rPr>
          <w:rFonts w:ascii="Times New Roman" w:hAnsi="Times New Roman" w:cs="Times New Roman"/>
          <w:sz w:val="24"/>
          <w:szCs w:val="24"/>
        </w:rPr>
        <w:t xml:space="preserve"> résistances de certains Etats face à l’approfondissement de leur</w:t>
      </w:r>
      <w:r w:rsidR="00C40F84">
        <w:rPr>
          <w:rFonts w:ascii="Times New Roman" w:hAnsi="Times New Roman" w:cs="Times New Roman"/>
          <w:sz w:val="24"/>
          <w:szCs w:val="24"/>
        </w:rPr>
        <w:t xml:space="preserve"> processus d’intégration régional</w:t>
      </w:r>
      <w:r w:rsidR="00BF7235">
        <w:rPr>
          <w:rFonts w:ascii="Times New Roman" w:hAnsi="Times New Roman" w:cs="Times New Roman"/>
          <w:sz w:val="24"/>
          <w:szCs w:val="24"/>
        </w:rPr>
        <w:t>.</w:t>
      </w:r>
      <w:r w:rsidR="00C40F84">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6A5A63" w:rsidRDefault="006A5A63" w:rsidP="002C7854">
      <w:pPr>
        <w:jc w:val="both"/>
        <w:rPr>
          <w:rFonts w:ascii="Times New Roman" w:hAnsi="Times New Roman" w:cs="Times New Roman"/>
          <w:sz w:val="24"/>
          <w:szCs w:val="24"/>
        </w:rPr>
      </w:pPr>
    </w:p>
    <w:p w:rsidR="00C776E0" w:rsidRDefault="00C776E0" w:rsidP="002C7854">
      <w:pPr>
        <w:jc w:val="both"/>
        <w:rPr>
          <w:rFonts w:ascii="Times New Roman" w:hAnsi="Times New Roman" w:cs="Times New Roman"/>
          <w:sz w:val="24"/>
          <w:szCs w:val="24"/>
        </w:rPr>
      </w:pPr>
      <w:r>
        <w:rPr>
          <w:rFonts w:ascii="Times New Roman" w:hAnsi="Times New Roman" w:cs="Times New Roman"/>
          <w:sz w:val="24"/>
          <w:szCs w:val="24"/>
        </w:rPr>
        <w:t xml:space="preserve">Est-ce que les gains économiques anticipés en termes de complémentarité entre économies des Etats membres et en termes d’économies d’échelle pour les grands groupes industriels et de services de la région sont suffisant que pour surmonter ces obstacles à l’intégration générés par le protectionnisme de certains Etats membres de l’UEE ?  </w:t>
      </w:r>
    </w:p>
    <w:p w:rsidR="006A5A63" w:rsidRPr="000D1C88" w:rsidRDefault="006A5A63" w:rsidP="002C7854">
      <w:pPr>
        <w:jc w:val="both"/>
        <w:rPr>
          <w:rFonts w:ascii="Times New Roman" w:hAnsi="Times New Roman" w:cs="Times New Roman"/>
          <w:b/>
          <w:sz w:val="24"/>
          <w:szCs w:val="24"/>
        </w:rPr>
      </w:pPr>
    </w:p>
    <w:p w:rsidR="000D1C88" w:rsidRPr="001E5227" w:rsidRDefault="000D1C88" w:rsidP="001E5227">
      <w:pPr>
        <w:pStyle w:val="Paragraphedeliste"/>
        <w:numPr>
          <w:ilvl w:val="0"/>
          <w:numId w:val="1"/>
        </w:numPr>
        <w:jc w:val="both"/>
        <w:rPr>
          <w:rFonts w:ascii="Times New Roman" w:hAnsi="Times New Roman" w:cs="Times New Roman"/>
          <w:b/>
          <w:sz w:val="24"/>
          <w:szCs w:val="24"/>
        </w:rPr>
      </w:pPr>
      <w:r w:rsidRPr="001E5227">
        <w:rPr>
          <w:rFonts w:ascii="Times New Roman" w:hAnsi="Times New Roman" w:cs="Times New Roman"/>
          <w:b/>
          <w:sz w:val="24"/>
          <w:szCs w:val="24"/>
        </w:rPr>
        <w:t>Le poids de l’héritage soviétique</w:t>
      </w:r>
    </w:p>
    <w:p w:rsidR="000D1C88" w:rsidRDefault="000D1C88" w:rsidP="002C7854">
      <w:pPr>
        <w:jc w:val="both"/>
        <w:rPr>
          <w:rFonts w:ascii="Times New Roman" w:hAnsi="Times New Roman" w:cs="Times New Roman"/>
          <w:sz w:val="24"/>
          <w:szCs w:val="24"/>
        </w:rPr>
      </w:pPr>
    </w:p>
    <w:p w:rsidR="004B6381" w:rsidRDefault="00C776E0" w:rsidP="002C7854">
      <w:pPr>
        <w:jc w:val="both"/>
        <w:rPr>
          <w:rFonts w:ascii="Times New Roman" w:hAnsi="Times New Roman" w:cs="Times New Roman"/>
          <w:sz w:val="24"/>
          <w:szCs w:val="24"/>
        </w:rPr>
      </w:pPr>
      <w:r>
        <w:rPr>
          <w:rFonts w:ascii="Times New Roman" w:hAnsi="Times New Roman" w:cs="Times New Roman"/>
          <w:sz w:val="24"/>
          <w:szCs w:val="24"/>
        </w:rPr>
        <w:t>En plus de ces questions qui peuvent se poser pour l’ensemble des projets d’intégration régionale, y compris pour celui de l’UE, l’UEE connaît des spécificités importantes. L’héritage soviétique et même pré-soviétique est fondamental pour comprendre les spécialités économiques des Etats membres de l’UEE et des autres économies des Etats issus de l’effondrement de l’URSS en 1991. L’empire tsariste russe jusqu’à la révolution de 1917 est caractérisée par une hypertrophie de l’Etat par rapport au degré l’arriération économique du pays</w:t>
      </w:r>
      <w:r w:rsidR="00810915">
        <w:rPr>
          <w:rFonts w:ascii="Times New Roman" w:hAnsi="Times New Roman" w:cs="Times New Roman"/>
          <w:sz w:val="24"/>
          <w:szCs w:val="24"/>
        </w:rPr>
        <w:t>. C’est l’armée et la bureaucratie tsariste qui construisent l’espace national plus que la bourgeoisie entrepreneuriale qui reste</w:t>
      </w:r>
      <w:r w:rsidR="004B6381">
        <w:rPr>
          <w:rFonts w:ascii="Times New Roman" w:hAnsi="Times New Roman" w:cs="Times New Roman"/>
          <w:sz w:val="24"/>
          <w:szCs w:val="24"/>
        </w:rPr>
        <w:t xml:space="preserve"> endémique jusqu’à la dernière décennie du 19</w:t>
      </w:r>
      <w:r w:rsidR="004B6381" w:rsidRPr="004B6381">
        <w:rPr>
          <w:rFonts w:ascii="Times New Roman" w:hAnsi="Times New Roman" w:cs="Times New Roman"/>
          <w:sz w:val="24"/>
          <w:szCs w:val="24"/>
          <w:vertAlign w:val="superscript"/>
        </w:rPr>
        <w:t>ème</w:t>
      </w:r>
      <w:r w:rsidR="004B6381">
        <w:rPr>
          <w:rFonts w:ascii="Times New Roman" w:hAnsi="Times New Roman" w:cs="Times New Roman"/>
          <w:sz w:val="24"/>
          <w:szCs w:val="24"/>
        </w:rPr>
        <w:t xml:space="preserve"> siècle. Cette hypertrophie de l’appareil d’Etat s’explique par la nécessité de contrer des tentatives </w:t>
      </w:r>
      <w:r w:rsidR="004B6381">
        <w:rPr>
          <w:rFonts w:ascii="Times New Roman" w:hAnsi="Times New Roman" w:cs="Times New Roman"/>
          <w:sz w:val="24"/>
          <w:szCs w:val="24"/>
        </w:rPr>
        <w:lastRenderedPageBreak/>
        <w:t>d’invasions militaires de pays plus avancés sur le plan économique (France, Grande-Bretagne, Prusse et Suède) et de contrôler une paysannerie mobile à travers un vaste territoire de façon à limiter ses capacités d’échapper à l’exploitation</w:t>
      </w:r>
      <w:r w:rsidR="00BF2182">
        <w:rPr>
          <w:rStyle w:val="Appelnotedebasdep"/>
          <w:rFonts w:ascii="Times New Roman" w:hAnsi="Times New Roman" w:cs="Times New Roman"/>
          <w:sz w:val="24"/>
          <w:szCs w:val="24"/>
        </w:rPr>
        <w:footnoteReference w:id="4"/>
      </w:r>
      <w:r w:rsidR="004B6381">
        <w:rPr>
          <w:rFonts w:ascii="Times New Roman" w:hAnsi="Times New Roman" w:cs="Times New Roman"/>
          <w:sz w:val="24"/>
          <w:szCs w:val="24"/>
        </w:rPr>
        <w:t xml:space="preserve">. </w:t>
      </w:r>
    </w:p>
    <w:p w:rsidR="006A5A63" w:rsidRDefault="006A5A63" w:rsidP="002C7854">
      <w:pPr>
        <w:jc w:val="both"/>
        <w:rPr>
          <w:rFonts w:ascii="Times New Roman" w:hAnsi="Times New Roman" w:cs="Times New Roman"/>
          <w:sz w:val="24"/>
          <w:szCs w:val="24"/>
        </w:rPr>
      </w:pPr>
    </w:p>
    <w:p w:rsidR="008F23A3" w:rsidRDefault="004B6381" w:rsidP="004B6381">
      <w:pPr>
        <w:jc w:val="both"/>
        <w:rPr>
          <w:rFonts w:ascii="Times New Roman" w:hAnsi="Times New Roman" w:cs="Times New Roman"/>
          <w:sz w:val="24"/>
          <w:szCs w:val="24"/>
        </w:rPr>
      </w:pPr>
      <w:r>
        <w:rPr>
          <w:rFonts w:ascii="Times New Roman" w:hAnsi="Times New Roman" w:cs="Times New Roman"/>
          <w:sz w:val="24"/>
          <w:szCs w:val="24"/>
        </w:rPr>
        <w:t>Pour tenir sous contrôle ce vaste espace, l’Etat tsariste a lancé des processus de colonisation militaire au cours du 19</w:t>
      </w:r>
      <w:r w:rsidRPr="004B6381">
        <w:rPr>
          <w:rFonts w:ascii="Times New Roman" w:hAnsi="Times New Roman" w:cs="Times New Roman"/>
          <w:sz w:val="24"/>
          <w:szCs w:val="24"/>
          <w:vertAlign w:val="superscript"/>
        </w:rPr>
        <w:t>ème</w:t>
      </w:r>
      <w:r>
        <w:rPr>
          <w:rFonts w:ascii="Times New Roman" w:hAnsi="Times New Roman" w:cs="Times New Roman"/>
          <w:sz w:val="24"/>
          <w:szCs w:val="24"/>
        </w:rPr>
        <w:t xml:space="preserve"> siècle à destination des nouveaux territoires du sud et de l’Est</w:t>
      </w:r>
      <w:r w:rsidR="00BF2182">
        <w:rPr>
          <w:rStyle w:val="Appelnotedebasdep"/>
          <w:rFonts w:ascii="Times New Roman" w:hAnsi="Times New Roman" w:cs="Times New Roman"/>
          <w:sz w:val="24"/>
          <w:szCs w:val="24"/>
        </w:rPr>
        <w:footnoteReference w:id="5"/>
      </w:r>
      <w:r>
        <w:rPr>
          <w:rFonts w:ascii="Times New Roman" w:hAnsi="Times New Roman" w:cs="Times New Roman"/>
          <w:sz w:val="24"/>
          <w:szCs w:val="24"/>
        </w:rPr>
        <w:t>. Il a également développé une infrastructure de transport et de communication essentiellement pour des raisons militaires. Lorsque le pouvoir soviétique se stabilise après 1922, il hérite de cette situation mais la guerre civile a engendré une profonde désintégration et désorganisation de l’économie et de l’Etat. La société soviétique se bureaucratise et impose une collectivisation brutale pour réaliser un prélèvement massif sur la paysannerie de façon à réaliser une industrialisation à marche forcée</w:t>
      </w:r>
      <w:r w:rsidR="00BF2182">
        <w:rPr>
          <w:rStyle w:val="Appelnotedebasdep"/>
          <w:rFonts w:ascii="Times New Roman" w:hAnsi="Times New Roman" w:cs="Times New Roman"/>
          <w:sz w:val="24"/>
          <w:szCs w:val="24"/>
        </w:rPr>
        <w:footnoteReference w:id="6"/>
      </w:r>
      <w:r>
        <w:rPr>
          <w:rFonts w:ascii="Times New Roman" w:hAnsi="Times New Roman" w:cs="Times New Roman"/>
          <w:sz w:val="24"/>
          <w:szCs w:val="24"/>
        </w:rPr>
        <w:t>. L’industrialisation effectuée</w:t>
      </w:r>
      <w:r w:rsidR="00945D82">
        <w:rPr>
          <w:rFonts w:ascii="Times New Roman" w:hAnsi="Times New Roman" w:cs="Times New Roman"/>
          <w:sz w:val="24"/>
          <w:szCs w:val="24"/>
        </w:rPr>
        <w:t xml:space="preserve"> par</w:t>
      </w:r>
      <w:r>
        <w:rPr>
          <w:rFonts w:ascii="Times New Roman" w:hAnsi="Times New Roman" w:cs="Times New Roman"/>
          <w:sz w:val="24"/>
          <w:szCs w:val="24"/>
        </w:rPr>
        <w:t xml:space="preserve"> la bureaucratie stalinienne</w:t>
      </w:r>
      <w:r w:rsidR="00945D82">
        <w:rPr>
          <w:rFonts w:ascii="Times New Roman" w:hAnsi="Times New Roman" w:cs="Times New Roman"/>
          <w:sz w:val="24"/>
          <w:szCs w:val="24"/>
        </w:rPr>
        <w:t xml:space="preserve"> et ses successeurs</w:t>
      </w:r>
      <w:r>
        <w:rPr>
          <w:rFonts w:ascii="Times New Roman" w:hAnsi="Times New Roman" w:cs="Times New Roman"/>
          <w:sz w:val="24"/>
          <w:szCs w:val="24"/>
        </w:rPr>
        <w:t xml:space="preserve"> vise </w:t>
      </w:r>
      <w:r w:rsidR="00945D82">
        <w:rPr>
          <w:rFonts w:ascii="Times New Roman" w:hAnsi="Times New Roman" w:cs="Times New Roman"/>
          <w:sz w:val="24"/>
          <w:szCs w:val="24"/>
        </w:rPr>
        <w:t xml:space="preserve">notamment </w:t>
      </w:r>
      <w:r>
        <w:rPr>
          <w:rFonts w:ascii="Times New Roman" w:hAnsi="Times New Roman" w:cs="Times New Roman"/>
          <w:sz w:val="24"/>
          <w:szCs w:val="24"/>
        </w:rPr>
        <w:t>à accroître le degré d’interdépendance entre les différentes républiques de l’URSS et à réduire les écarts de développement entre le centre économique</w:t>
      </w:r>
      <w:r w:rsidR="00D909B8">
        <w:rPr>
          <w:rFonts w:ascii="Times New Roman" w:hAnsi="Times New Roman" w:cs="Times New Roman"/>
          <w:sz w:val="24"/>
          <w:szCs w:val="24"/>
        </w:rPr>
        <w:t xml:space="preserve"> (</w:t>
      </w:r>
      <w:r w:rsidR="008F23A3">
        <w:rPr>
          <w:rFonts w:ascii="Times New Roman" w:hAnsi="Times New Roman" w:cs="Times New Roman"/>
          <w:sz w:val="24"/>
          <w:szCs w:val="24"/>
        </w:rPr>
        <w:t>principalement l’</w:t>
      </w:r>
      <w:r w:rsidR="00D909B8">
        <w:rPr>
          <w:rFonts w:ascii="Times New Roman" w:hAnsi="Times New Roman" w:cs="Times New Roman"/>
          <w:sz w:val="24"/>
          <w:szCs w:val="24"/>
        </w:rPr>
        <w:t>axe Mo</w:t>
      </w:r>
      <w:r w:rsidR="00945D82">
        <w:rPr>
          <w:rFonts w:ascii="Times New Roman" w:hAnsi="Times New Roman" w:cs="Times New Roman"/>
          <w:sz w:val="24"/>
          <w:szCs w:val="24"/>
        </w:rPr>
        <w:t>scou-St-Péters</w:t>
      </w:r>
      <w:r w:rsidR="00E7612C">
        <w:rPr>
          <w:rFonts w:ascii="Times New Roman" w:hAnsi="Times New Roman" w:cs="Times New Roman"/>
          <w:sz w:val="24"/>
          <w:szCs w:val="24"/>
        </w:rPr>
        <w:t>b</w:t>
      </w:r>
      <w:r w:rsidR="00945D82">
        <w:rPr>
          <w:rFonts w:ascii="Times New Roman" w:hAnsi="Times New Roman" w:cs="Times New Roman"/>
          <w:sz w:val="24"/>
          <w:szCs w:val="24"/>
        </w:rPr>
        <w:t>o</w:t>
      </w:r>
      <w:r w:rsidR="00D909B8">
        <w:rPr>
          <w:rFonts w:ascii="Times New Roman" w:hAnsi="Times New Roman" w:cs="Times New Roman"/>
          <w:sz w:val="24"/>
          <w:szCs w:val="24"/>
        </w:rPr>
        <w:t>urg)</w:t>
      </w:r>
      <w:r>
        <w:rPr>
          <w:rFonts w:ascii="Times New Roman" w:hAnsi="Times New Roman" w:cs="Times New Roman"/>
          <w:sz w:val="24"/>
          <w:szCs w:val="24"/>
        </w:rPr>
        <w:t xml:space="preserve"> et la périphérie de l’espace soviétique</w:t>
      </w:r>
      <w:r w:rsidR="008F23A3">
        <w:rPr>
          <w:rFonts w:ascii="Times New Roman" w:hAnsi="Times New Roman" w:cs="Times New Roman"/>
          <w:sz w:val="24"/>
          <w:szCs w:val="24"/>
        </w:rPr>
        <w:t xml:space="preserve"> (Transcaucasie, Asien centrale, Sibérie)</w:t>
      </w:r>
      <w:r>
        <w:rPr>
          <w:rFonts w:ascii="Times New Roman" w:hAnsi="Times New Roman" w:cs="Times New Roman"/>
          <w:sz w:val="24"/>
          <w:szCs w:val="24"/>
        </w:rPr>
        <w:t>.</w:t>
      </w:r>
      <w:r w:rsidR="00D909B8">
        <w:rPr>
          <w:rFonts w:ascii="Times New Roman" w:hAnsi="Times New Roman" w:cs="Times New Roman"/>
          <w:sz w:val="24"/>
          <w:szCs w:val="24"/>
        </w:rPr>
        <w:t xml:space="preserve"> Ces logiques de développement à motivation politique sont rendues possibles par la planification centralisée économique qui permet de se concentrer sur des objectifs de long terme dont la rentabilité est incertaine. De ce fait</w:t>
      </w:r>
      <w:r w:rsidR="00945D82">
        <w:rPr>
          <w:rFonts w:ascii="Times New Roman" w:hAnsi="Times New Roman" w:cs="Times New Roman"/>
          <w:sz w:val="24"/>
          <w:szCs w:val="24"/>
        </w:rPr>
        <w:t>,</w:t>
      </w:r>
      <w:r w:rsidR="00D909B8">
        <w:rPr>
          <w:rFonts w:ascii="Times New Roman" w:hAnsi="Times New Roman" w:cs="Times New Roman"/>
          <w:sz w:val="24"/>
          <w:szCs w:val="24"/>
        </w:rPr>
        <w:t xml:space="preserve"> la périphérie de l’URSS bénéficie de pôles de développement qu’une éco</w:t>
      </w:r>
      <w:r w:rsidR="00945D82">
        <w:rPr>
          <w:rFonts w:ascii="Times New Roman" w:hAnsi="Times New Roman" w:cs="Times New Roman"/>
          <w:sz w:val="24"/>
          <w:szCs w:val="24"/>
        </w:rPr>
        <w:t>nomie décentralisée capitaliste</w:t>
      </w:r>
      <w:r w:rsidR="00D909B8">
        <w:rPr>
          <w:rFonts w:ascii="Times New Roman" w:hAnsi="Times New Roman" w:cs="Times New Roman"/>
          <w:sz w:val="24"/>
          <w:szCs w:val="24"/>
        </w:rPr>
        <w:t xml:space="preserve"> n’aurait probablement pas réalisé</w:t>
      </w:r>
      <w:r w:rsidR="00BE76C4">
        <w:rPr>
          <w:rStyle w:val="Appelnotedebasdep"/>
          <w:rFonts w:ascii="Times New Roman" w:hAnsi="Times New Roman" w:cs="Times New Roman"/>
          <w:sz w:val="24"/>
          <w:szCs w:val="24"/>
        </w:rPr>
        <w:footnoteReference w:id="7"/>
      </w:r>
      <w:r w:rsidR="00D909B8">
        <w:rPr>
          <w:rFonts w:ascii="Times New Roman" w:hAnsi="Times New Roman" w:cs="Times New Roman"/>
          <w:sz w:val="24"/>
          <w:szCs w:val="24"/>
        </w:rPr>
        <w:t xml:space="preserve">. </w:t>
      </w:r>
    </w:p>
    <w:p w:rsidR="006A5A63" w:rsidRDefault="006A5A63" w:rsidP="004B6381">
      <w:pPr>
        <w:jc w:val="both"/>
        <w:rPr>
          <w:rFonts w:ascii="Times New Roman" w:hAnsi="Times New Roman" w:cs="Times New Roman"/>
          <w:sz w:val="24"/>
          <w:szCs w:val="24"/>
        </w:rPr>
      </w:pPr>
    </w:p>
    <w:p w:rsidR="00812002" w:rsidRDefault="008F23A3" w:rsidP="002C7854">
      <w:pPr>
        <w:jc w:val="both"/>
        <w:rPr>
          <w:rFonts w:ascii="Times New Roman" w:hAnsi="Times New Roman" w:cs="Times New Roman"/>
          <w:sz w:val="24"/>
          <w:szCs w:val="24"/>
        </w:rPr>
      </w:pPr>
      <w:r>
        <w:rPr>
          <w:rFonts w:ascii="Times New Roman" w:hAnsi="Times New Roman" w:cs="Times New Roman"/>
          <w:sz w:val="24"/>
          <w:szCs w:val="24"/>
        </w:rPr>
        <w:t>Lorsque l’URSS éclate</w:t>
      </w:r>
      <w:r w:rsidR="00945D82">
        <w:rPr>
          <w:rFonts w:ascii="Times New Roman" w:hAnsi="Times New Roman" w:cs="Times New Roman"/>
          <w:sz w:val="24"/>
          <w:szCs w:val="24"/>
        </w:rPr>
        <w:t xml:space="preserve"> en 1991</w:t>
      </w:r>
      <w:r>
        <w:rPr>
          <w:rFonts w:ascii="Times New Roman" w:hAnsi="Times New Roman" w:cs="Times New Roman"/>
          <w:sz w:val="24"/>
          <w:szCs w:val="24"/>
        </w:rPr>
        <w:t>, l</w:t>
      </w:r>
      <w:r w:rsidR="00E7612C">
        <w:rPr>
          <w:rFonts w:ascii="Times New Roman" w:hAnsi="Times New Roman" w:cs="Times New Roman"/>
          <w:sz w:val="24"/>
          <w:szCs w:val="24"/>
        </w:rPr>
        <w:t>’équipe dirigeante du président Eltsine</w:t>
      </w:r>
      <w:r>
        <w:rPr>
          <w:rFonts w:ascii="Times New Roman" w:hAnsi="Times New Roman" w:cs="Times New Roman"/>
          <w:sz w:val="24"/>
          <w:szCs w:val="24"/>
        </w:rPr>
        <w:t xml:space="preserve"> adopte une politique néolibérale qui rompt de manière drastique avec la planification d’Etat</w:t>
      </w:r>
      <w:r w:rsidR="00E7612C">
        <w:rPr>
          <w:rFonts w:ascii="Times New Roman" w:hAnsi="Times New Roman" w:cs="Times New Roman"/>
          <w:sz w:val="24"/>
          <w:szCs w:val="24"/>
        </w:rPr>
        <w:t>. Cette transition brutale provoque un effondrement de la production industrielle qui fait chuter les économies de l’ex-URSS de plusieurs dizaines de pourcents de PIB, un fait sans précédent en temps de paix au cours du 20</w:t>
      </w:r>
      <w:r w:rsidR="00E7612C" w:rsidRPr="00E7612C">
        <w:rPr>
          <w:rFonts w:ascii="Times New Roman" w:hAnsi="Times New Roman" w:cs="Times New Roman"/>
          <w:sz w:val="24"/>
          <w:szCs w:val="24"/>
          <w:vertAlign w:val="superscript"/>
        </w:rPr>
        <w:t>ème</w:t>
      </w:r>
      <w:r w:rsidR="00E7612C">
        <w:rPr>
          <w:rFonts w:ascii="Times New Roman" w:hAnsi="Times New Roman" w:cs="Times New Roman"/>
          <w:sz w:val="24"/>
          <w:szCs w:val="24"/>
        </w:rPr>
        <w:t xml:space="preserve"> siècle. Cette rupture est motivée par des considérations politiques et économiques propres aux nouveaux oligarques</w:t>
      </w:r>
      <w:r w:rsidR="00B4532A">
        <w:rPr>
          <w:rFonts w:ascii="Times New Roman" w:hAnsi="Times New Roman" w:cs="Times New Roman"/>
          <w:sz w:val="24"/>
          <w:szCs w:val="24"/>
        </w:rPr>
        <w:t xml:space="preserve"> qui entourent le clan El</w:t>
      </w:r>
      <w:r w:rsidR="00E7612C">
        <w:rPr>
          <w:rFonts w:ascii="Times New Roman" w:hAnsi="Times New Roman" w:cs="Times New Roman"/>
          <w:sz w:val="24"/>
          <w:szCs w:val="24"/>
        </w:rPr>
        <w:t>t</w:t>
      </w:r>
      <w:r w:rsidR="00B4532A">
        <w:rPr>
          <w:rFonts w:ascii="Times New Roman" w:hAnsi="Times New Roman" w:cs="Times New Roman"/>
          <w:sz w:val="24"/>
          <w:szCs w:val="24"/>
        </w:rPr>
        <w:t>s</w:t>
      </w:r>
      <w:r w:rsidR="00E7612C">
        <w:rPr>
          <w:rFonts w:ascii="Times New Roman" w:hAnsi="Times New Roman" w:cs="Times New Roman"/>
          <w:sz w:val="24"/>
          <w:szCs w:val="24"/>
        </w:rPr>
        <w:t>ine</w:t>
      </w:r>
      <w:r w:rsidR="00945D82">
        <w:rPr>
          <w:rFonts w:ascii="Times New Roman" w:hAnsi="Times New Roman" w:cs="Times New Roman"/>
          <w:sz w:val="24"/>
          <w:szCs w:val="24"/>
        </w:rPr>
        <w:t>. Ces derniers</w:t>
      </w:r>
      <w:r w:rsidR="00E7612C">
        <w:rPr>
          <w:rFonts w:ascii="Times New Roman" w:hAnsi="Times New Roman" w:cs="Times New Roman"/>
          <w:sz w:val="24"/>
          <w:szCs w:val="24"/>
        </w:rPr>
        <w:t xml:space="preserve"> profitent de la privatisation pour réaliser des accumulations personnelles de capital exceptionnelles</w:t>
      </w:r>
      <w:r w:rsidR="00BE76C4">
        <w:rPr>
          <w:rStyle w:val="Appelnotedebasdep"/>
          <w:rFonts w:ascii="Times New Roman" w:hAnsi="Times New Roman" w:cs="Times New Roman"/>
          <w:sz w:val="24"/>
          <w:szCs w:val="24"/>
        </w:rPr>
        <w:footnoteReference w:id="8"/>
      </w:r>
      <w:r w:rsidR="00E7612C">
        <w:rPr>
          <w:rFonts w:ascii="Times New Roman" w:hAnsi="Times New Roman" w:cs="Times New Roman"/>
          <w:sz w:val="24"/>
          <w:szCs w:val="24"/>
        </w:rPr>
        <w:t xml:space="preserve">. </w:t>
      </w:r>
      <w:r w:rsidR="00945D82">
        <w:rPr>
          <w:rFonts w:ascii="Times New Roman" w:hAnsi="Times New Roman" w:cs="Times New Roman"/>
          <w:sz w:val="24"/>
          <w:szCs w:val="24"/>
        </w:rPr>
        <w:t>Afin de</w:t>
      </w:r>
      <w:r w:rsidR="008C5BC8">
        <w:rPr>
          <w:rFonts w:ascii="Times New Roman" w:hAnsi="Times New Roman" w:cs="Times New Roman"/>
          <w:sz w:val="24"/>
          <w:szCs w:val="24"/>
        </w:rPr>
        <w:t xml:space="preserve"> renforcer sa position face à une partie de l’appareil d’Etat hostile à l’abandon de l’économie étatisée</w:t>
      </w:r>
      <w:r w:rsidR="00945D82">
        <w:rPr>
          <w:rFonts w:ascii="Times New Roman" w:hAnsi="Times New Roman" w:cs="Times New Roman"/>
          <w:sz w:val="24"/>
          <w:szCs w:val="24"/>
        </w:rPr>
        <w:t>,</w:t>
      </w:r>
      <w:r w:rsidR="00E7612C">
        <w:rPr>
          <w:rFonts w:ascii="Times New Roman" w:hAnsi="Times New Roman" w:cs="Times New Roman"/>
          <w:sz w:val="24"/>
          <w:szCs w:val="24"/>
        </w:rPr>
        <w:t xml:space="preserve"> </w:t>
      </w:r>
      <w:r w:rsidR="00B4532A">
        <w:rPr>
          <w:rFonts w:ascii="Times New Roman" w:hAnsi="Times New Roman" w:cs="Times New Roman"/>
          <w:sz w:val="24"/>
          <w:szCs w:val="24"/>
        </w:rPr>
        <w:t>Eltsine</w:t>
      </w:r>
      <w:r w:rsidR="008C5BC8">
        <w:rPr>
          <w:rFonts w:ascii="Times New Roman" w:hAnsi="Times New Roman" w:cs="Times New Roman"/>
          <w:sz w:val="24"/>
          <w:szCs w:val="24"/>
        </w:rPr>
        <w:t xml:space="preserve"> accorde l’</w:t>
      </w:r>
      <w:r w:rsidR="00C47448">
        <w:rPr>
          <w:rFonts w:ascii="Times New Roman" w:hAnsi="Times New Roman" w:cs="Times New Roman"/>
          <w:sz w:val="24"/>
          <w:szCs w:val="24"/>
        </w:rPr>
        <w:t xml:space="preserve">indépendance </w:t>
      </w:r>
      <w:r w:rsidR="008C5BC8">
        <w:rPr>
          <w:rFonts w:ascii="Times New Roman" w:hAnsi="Times New Roman" w:cs="Times New Roman"/>
          <w:sz w:val="24"/>
          <w:szCs w:val="24"/>
        </w:rPr>
        <w:t>aux républiques</w:t>
      </w:r>
      <w:r w:rsidR="00C47448">
        <w:rPr>
          <w:rFonts w:ascii="Times New Roman" w:hAnsi="Times New Roman" w:cs="Times New Roman"/>
          <w:sz w:val="24"/>
          <w:szCs w:val="24"/>
        </w:rPr>
        <w:t xml:space="preserve"> de l’URSS.  Malgré la volonté du clan Eltsine de détruire la planification économique centralisée, l’infrastructure construite à l’époque soviétique en matière de transport et d’énergie, dont les coûts de remplacement sont prohibitifs</w:t>
      </w:r>
      <w:r w:rsidR="00EE09D1">
        <w:rPr>
          <w:rStyle w:val="Appelnotedebasdep"/>
          <w:rFonts w:ascii="Times New Roman" w:hAnsi="Times New Roman" w:cs="Times New Roman"/>
          <w:sz w:val="24"/>
          <w:szCs w:val="24"/>
        </w:rPr>
        <w:footnoteReference w:id="9"/>
      </w:r>
      <w:r w:rsidR="00C47448">
        <w:rPr>
          <w:rFonts w:ascii="Times New Roman" w:hAnsi="Times New Roman" w:cs="Times New Roman"/>
          <w:sz w:val="24"/>
          <w:szCs w:val="24"/>
        </w:rPr>
        <w:t xml:space="preserve">, continue de générer une interdépendance économique </w:t>
      </w:r>
      <w:r w:rsidR="00C47448">
        <w:rPr>
          <w:rFonts w:ascii="Times New Roman" w:hAnsi="Times New Roman" w:cs="Times New Roman"/>
          <w:sz w:val="24"/>
          <w:szCs w:val="24"/>
        </w:rPr>
        <w:lastRenderedPageBreak/>
        <w:t xml:space="preserve">entre la Russie et les nouveaux pays indépendants. Des liens technologiques subsistent du fait de la spécialisation économique </w:t>
      </w:r>
      <w:r w:rsidR="000C7190">
        <w:rPr>
          <w:rFonts w:ascii="Times New Roman" w:hAnsi="Times New Roman" w:cs="Times New Roman"/>
          <w:sz w:val="24"/>
          <w:szCs w:val="24"/>
        </w:rPr>
        <w:t>héritée</w:t>
      </w:r>
      <w:r w:rsidR="00C47448">
        <w:rPr>
          <w:rFonts w:ascii="Times New Roman" w:hAnsi="Times New Roman" w:cs="Times New Roman"/>
          <w:sz w:val="24"/>
          <w:szCs w:val="24"/>
        </w:rPr>
        <w:t xml:space="preserve"> de la période soviétique. </w:t>
      </w:r>
    </w:p>
    <w:p w:rsidR="006A5A63" w:rsidRDefault="006A5A63" w:rsidP="002C7854">
      <w:pPr>
        <w:jc w:val="both"/>
        <w:rPr>
          <w:rFonts w:ascii="Times New Roman" w:hAnsi="Times New Roman" w:cs="Times New Roman"/>
          <w:sz w:val="24"/>
          <w:szCs w:val="24"/>
        </w:rPr>
      </w:pPr>
    </w:p>
    <w:p w:rsidR="003155EC" w:rsidRDefault="000C7190" w:rsidP="002C7854">
      <w:pPr>
        <w:jc w:val="both"/>
        <w:rPr>
          <w:rFonts w:ascii="Times New Roman" w:hAnsi="Times New Roman" w:cs="Times New Roman"/>
          <w:sz w:val="24"/>
          <w:szCs w:val="24"/>
        </w:rPr>
      </w:pPr>
      <w:r>
        <w:rPr>
          <w:rFonts w:ascii="Times New Roman" w:hAnsi="Times New Roman" w:cs="Times New Roman"/>
          <w:sz w:val="24"/>
          <w:szCs w:val="24"/>
        </w:rPr>
        <w:t>Cette interdépendance économique empêche l’éclatement absolu de l’espace économique soviétique et explique les nombreuses tentatives</w:t>
      </w:r>
      <w:r>
        <w:rPr>
          <w:rStyle w:val="Appelnotedebasdep"/>
          <w:rFonts w:ascii="Times New Roman" w:hAnsi="Times New Roman" w:cs="Times New Roman"/>
          <w:sz w:val="24"/>
          <w:szCs w:val="24"/>
        </w:rPr>
        <w:footnoteReference w:id="10"/>
      </w:r>
      <w:r>
        <w:rPr>
          <w:rFonts w:ascii="Times New Roman" w:hAnsi="Times New Roman" w:cs="Times New Roman"/>
          <w:sz w:val="24"/>
          <w:szCs w:val="24"/>
        </w:rPr>
        <w:t xml:space="preserve"> de maintenir un certain niveau d’intégration économique malgré l’abandon de la planification centralisée soviétique. L’UEE doit donc</w:t>
      </w:r>
      <w:r w:rsidR="00945D82">
        <w:rPr>
          <w:rFonts w:ascii="Times New Roman" w:hAnsi="Times New Roman" w:cs="Times New Roman"/>
          <w:sz w:val="24"/>
          <w:szCs w:val="24"/>
        </w:rPr>
        <w:t xml:space="preserve"> aussi</w:t>
      </w:r>
      <w:r>
        <w:rPr>
          <w:rFonts w:ascii="Times New Roman" w:hAnsi="Times New Roman" w:cs="Times New Roman"/>
          <w:sz w:val="24"/>
          <w:szCs w:val="24"/>
        </w:rPr>
        <w:t xml:space="preserve"> être comprise comme un moyen de r</w:t>
      </w:r>
      <w:r w:rsidR="008818CC">
        <w:rPr>
          <w:rFonts w:ascii="Times New Roman" w:hAnsi="Times New Roman" w:cs="Times New Roman"/>
          <w:sz w:val="24"/>
          <w:szCs w:val="24"/>
        </w:rPr>
        <w:t>éintégrer</w:t>
      </w:r>
      <w:r>
        <w:rPr>
          <w:rFonts w:ascii="Times New Roman" w:hAnsi="Times New Roman" w:cs="Times New Roman"/>
          <w:sz w:val="24"/>
          <w:szCs w:val="24"/>
        </w:rPr>
        <w:t xml:space="preserve"> une partie de l’ancien espace soviétique pour des motifs politiques et économiques.</w:t>
      </w:r>
    </w:p>
    <w:p w:rsidR="006A5A63" w:rsidRDefault="006A5A63" w:rsidP="002C7854">
      <w:pPr>
        <w:jc w:val="both"/>
        <w:rPr>
          <w:rFonts w:ascii="Times New Roman" w:hAnsi="Times New Roman" w:cs="Times New Roman"/>
          <w:sz w:val="24"/>
          <w:szCs w:val="24"/>
        </w:rPr>
      </w:pPr>
    </w:p>
    <w:p w:rsidR="003155EC" w:rsidRDefault="003155EC" w:rsidP="002C7854">
      <w:pPr>
        <w:jc w:val="both"/>
        <w:rPr>
          <w:rFonts w:ascii="Times New Roman" w:hAnsi="Times New Roman" w:cs="Times New Roman"/>
          <w:sz w:val="24"/>
          <w:szCs w:val="24"/>
        </w:rPr>
      </w:pPr>
      <w:r>
        <w:rPr>
          <w:rFonts w:ascii="Times New Roman" w:hAnsi="Times New Roman" w:cs="Times New Roman"/>
          <w:sz w:val="24"/>
          <w:szCs w:val="24"/>
        </w:rPr>
        <w:t>Bien que lancé par le président du Kazakhstan</w:t>
      </w:r>
      <w:r w:rsidR="00945D82">
        <w:rPr>
          <w:rFonts w:ascii="Times New Roman" w:hAnsi="Times New Roman" w:cs="Times New Roman"/>
          <w:sz w:val="24"/>
          <w:szCs w:val="24"/>
        </w:rPr>
        <w:t>,</w:t>
      </w:r>
      <w:r>
        <w:rPr>
          <w:rFonts w:ascii="Times New Roman" w:hAnsi="Times New Roman" w:cs="Times New Roman"/>
          <w:sz w:val="24"/>
          <w:szCs w:val="24"/>
        </w:rPr>
        <w:t xml:space="preserve"> le projet de l’UEE est dirigé de facto par la Russie vu son poids énorme dans l’ensemble régional et son rôle de centre économique historique de la région. Pour comprendre ce processus il est donc indispensable de comprendre les motivations des dirigeants russes actuels qu</w:t>
      </w:r>
      <w:r w:rsidR="00945D82">
        <w:rPr>
          <w:rFonts w:ascii="Times New Roman" w:hAnsi="Times New Roman" w:cs="Times New Roman"/>
          <w:sz w:val="24"/>
          <w:szCs w:val="24"/>
        </w:rPr>
        <w:t xml:space="preserve">i les poussent à soutenir l’UEE plus activement que </w:t>
      </w:r>
      <w:r>
        <w:rPr>
          <w:rFonts w:ascii="Times New Roman" w:hAnsi="Times New Roman" w:cs="Times New Roman"/>
          <w:sz w:val="24"/>
          <w:szCs w:val="24"/>
        </w:rPr>
        <w:t>d’autres projets d’intégration au sein d’espace économique post-soviétique qui se sont enlisé</w:t>
      </w:r>
      <w:r w:rsidR="00945D82">
        <w:rPr>
          <w:rFonts w:ascii="Times New Roman" w:hAnsi="Times New Roman" w:cs="Times New Roman"/>
          <w:sz w:val="24"/>
          <w:szCs w:val="24"/>
        </w:rPr>
        <w:t>s</w:t>
      </w:r>
      <w:r>
        <w:rPr>
          <w:rFonts w:ascii="Times New Roman" w:hAnsi="Times New Roman" w:cs="Times New Roman"/>
          <w:sz w:val="24"/>
          <w:szCs w:val="24"/>
        </w:rPr>
        <w:t xml:space="preserve"> au cours des</w:t>
      </w:r>
      <w:r w:rsidR="00945D82">
        <w:rPr>
          <w:rFonts w:ascii="Times New Roman" w:hAnsi="Times New Roman" w:cs="Times New Roman"/>
          <w:sz w:val="24"/>
          <w:szCs w:val="24"/>
        </w:rPr>
        <w:t xml:space="preserve"> deux dernières</w:t>
      </w:r>
      <w:r>
        <w:rPr>
          <w:rFonts w:ascii="Times New Roman" w:hAnsi="Times New Roman" w:cs="Times New Roman"/>
          <w:sz w:val="24"/>
          <w:szCs w:val="24"/>
        </w:rPr>
        <w:t xml:space="preserve"> décennies. </w:t>
      </w:r>
    </w:p>
    <w:p w:rsidR="006A5A63" w:rsidRDefault="006A5A63" w:rsidP="002C7854">
      <w:pPr>
        <w:jc w:val="both"/>
        <w:rPr>
          <w:rFonts w:ascii="Times New Roman" w:hAnsi="Times New Roman" w:cs="Times New Roman"/>
          <w:sz w:val="24"/>
          <w:szCs w:val="24"/>
        </w:rPr>
      </w:pPr>
    </w:p>
    <w:p w:rsidR="000836E3" w:rsidRDefault="003155EC" w:rsidP="002C7854">
      <w:pPr>
        <w:jc w:val="both"/>
        <w:rPr>
          <w:rFonts w:ascii="Times New Roman" w:hAnsi="Times New Roman" w:cs="Times New Roman"/>
          <w:sz w:val="24"/>
          <w:szCs w:val="24"/>
        </w:rPr>
      </w:pPr>
      <w:r>
        <w:rPr>
          <w:rFonts w:ascii="Times New Roman" w:hAnsi="Times New Roman" w:cs="Times New Roman"/>
          <w:sz w:val="24"/>
          <w:szCs w:val="24"/>
        </w:rPr>
        <w:t>Le milieu des années 1990 a probablement constitué le nadir du poids économique et géopolitique russe. Sur le plan géopolitique, contrairement à ce qui avait été promis à Gorbatchev par Ronald Reagan et George H.</w:t>
      </w:r>
      <w:r w:rsidR="00E2254F">
        <w:rPr>
          <w:rFonts w:ascii="Times New Roman" w:hAnsi="Times New Roman" w:cs="Times New Roman"/>
          <w:sz w:val="24"/>
          <w:szCs w:val="24"/>
        </w:rPr>
        <w:t xml:space="preserve"> </w:t>
      </w:r>
      <w:r>
        <w:rPr>
          <w:rFonts w:ascii="Times New Roman" w:hAnsi="Times New Roman" w:cs="Times New Roman"/>
          <w:sz w:val="24"/>
          <w:szCs w:val="24"/>
        </w:rPr>
        <w:t>Bush, les Etats-Unis et l’OTAN s</w:t>
      </w:r>
      <w:r w:rsidR="00104F4E">
        <w:rPr>
          <w:rFonts w:ascii="Times New Roman" w:hAnsi="Times New Roman" w:cs="Times New Roman"/>
          <w:sz w:val="24"/>
          <w:szCs w:val="24"/>
        </w:rPr>
        <w:t>’étendent</w:t>
      </w:r>
      <w:r>
        <w:rPr>
          <w:rFonts w:ascii="Times New Roman" w:hAnsi="Times New Roman" w:cs="Times New Roman"/>
          <w:sz w:val="24"/>
          <w:szCs w:val="24"/>
        </w:rPr>
        <w:t xml:space="preserve"> vers l’Est</w:t>
      </w:r>
      <w:r w:rsidR="00104F4E">
        <w:rPr>
          <w:rFonts w:ascii="Times New Roman" w:hAnsi="Times New Roman" w:cs="Times New Roman"/>
          <w:sz w:val="24"/>
          <w:szCs w:val="24"/>
        </w:rPr>
        <w:t xml:space="preserve"> en incorporant les pays du Pacte Varsovie, les anciennes républiques soviétiques baltes, la Croatie et l’Albanie. Le gouvernement central russe d’Eltsine paraît fragilisé par des pressions centrifuges provenant de dirigeants locaux (notamment dans les régions abondantes en ressource minières et pétrolières) qui dirigent leur fief avec une autonomie croissante, voire </w:t>
      </w:r>
      <w:r w:rsidR="00E47EF1">
        <w:rPr>
          <w:rFonts w:ascii="Times New Roman" w:hAnsi="Times New Roman" w:cs="Times New Roman"/>
          <w:sz w:val="24"/>
          <w:szCs w:val="24"/>
        </w:rPr>
        <w:t>font preuve de</w:t>
      </w:r>
      <w:r w:rsidR="00104F4E">
        <w:rPr>
          <w:rFonts w:ascii="Times New Roman" w:hAnsi="Times New Roman" w:cs="Times New Roman"/>
          <w:sz w:val="24"/>
          <w:szCs w:val="24"/>
        </w:rPr>
        <w:t xml:space="preserve"> défiance face à Moscou. A cela il faut ajouter l’instabilité de la Russie transcaucasienne déchirée par des mouvements indépendantistes et des violences ethnico</w:t>
      </w:r>
      <w:r w:rsidR="00E47EF1">
        <w:rPr>
          <w:rFonts w:ascii="Times New Roman" w:hAnsi="Times New Roman" w:cs="Times New Roman"/>
          <w:sz w:val="24"/>
          <w:szCs w:val="24"/>
        </w:rPr>
        <w:t>-</w:t>
      </w:r>
      <w:r w:rsidR="00104F4E">
        <w:rPr>
          <w:rFonts w:ascii="Times New Roman" w:hAnsi="Times New Roman" w:cs="Times New Roman"/>
          <w:sz w:val="24"/>
          <w:szCs w:val="24"/>
        </w:rPr>
        <w:t xml:space="preserve"> religieuse ainsi que l’enlisement des troupes russes en Tchétchénie. Sur le plan économique, la Russie connaît une</w:t>
      </w:r>
      <w:r w:rsidR="000836E3">
        <w:rPr>
          <w:rFonts w:ascii="Times New Roman" w:hAnsi="Times New Roman" w:cs="Times New Roman"/>
          <w:sz w:val="24"/>
          <w:szCs w:val="24"/>
        </w:rPr>
        <w:t xml:space="preserve"> dégradation sociale et économique sans précédent :</w:t>
      </w:r>
      <w:r w:rsidR="00104F4E">
        <w:rPr>
          <w:rFonts w:ascii="Times New Roman" w:hAnsi="Times New Roman" w:cs="Times New Roman"/>
          <w:sz w:val="24"/>
          <w:szCs w:val="24"/>
        </w:rPr>
        <w:t xml:space="preserve"> chute </w:t>
      </w:r>
      <w:r w:rsidR="000836E3">
        <w:rPr>
          <w:rFonts w:ascii="Times New Roman" w:hAnsi="Times New Roman" w:cs="Times New Roman"/>
          <w:sz w:val="24"/>
          <w:szCs w:val="24"/>
        </w:rPr>
        <w:t>de la natalité</w:t>
      </w:r>
      <w:r w:rsidR="00104F4E">
        <w:rPr>
          <w:rFonts w:ascii="Times New Roman" w:hAnsi="Times New Roman" w:cs="Times New Roman"/>
          <w:sz w:val="24"/>
          <w:szCs w:val="24"/>
        </w:rPr>
        <w:t>, de l’</w:t>
      </w:r>
      <w:r w:rsidR="000836E3">
        <w:rPr>
          <w:rFonts w:ascii="Times New Roman" w:hAnsi="Times New Roman" w:cs="Times New Roman"/>
          <w:sz w:val="24"/>
          <w:szCs w:val="24"/>
        </w:rPr>
        <w:t xml:space="preserve">espérance de vie, de l’emploi, de la production industrielle. Les politiques libérales sont discréditées au sein de la grande majorité de la population russe. Le coup de grâce est venu avec la crise financière des GKO en été 1998 où la Russie a subit des attaques spéculatives des marchés internationaux et fut forcé de dévaluer le rouble de 50%. </w:t>
      </w:r>
    </w:p>
    <w:p w:rsidR="006A5A63" w:rsidRPr="001E5227" w:rsidRDefault="006A5A63" w:rsidP="002C7854">
      <w:pPr>
        <w:jc w:val="both"/>
        <w:rPr>
          <w:rFonts w:ascii="Times New Roman" w:hAnsi="Times New Roman" w:cs="Times New Roman"/>
          <w:b/>
          <w:sz w:val="24"/>
          <w:szCs w:val="24"/>
        </w:rPr>
      </w:pPr>
    </w:p>
    <w:p w:rsidR="00680B3C" w:rsidRPr="001E5227" w:rsidRDefault="00680B3C" w:rsidP="001E5227">
      <w:pPr>
        <w:pStyle w:val="Paragraphedeliste"/>
        <w:numPr>
          <w:ilvl w:val="0"/>
          <w:numId w:val="1"/>
        </w:numPr>
        <w:jc w:val="both"/>
        <w:rPr>
          <w:rFonts w:ascii="Times New Roman" w:hAnsi="Times New Roman" w:cs="Times New Roman"/>
          <w:b/>
          <w:sz w:val="24"/>
          <w:szCs w:val="24"/>
        </w:rPr>
      </w:pPr>
      <w:r w:rsidRPr="001E5227">
        <w:rPr>
          <w:rFonts w:ascii="Times New Roman" w:hAnsi="Times New Roman" w:cs="Times New Roman"/>
          <w:b/>
          <w:sz w:val="24"/>
          <w:szCs w:val="24"/>
        </w:rPr>
        <w:t xml:space="preserve">Les motivations à la base du soutien de l’Etat russe à l’UEE </w:t>
      </w:r>
    </w:p>
    <w:p w:rsidR="00680B3C" w:rsidRDefault="00680B3C" w:rsidP="002C7854">
      <w:pPr>
        <w:jc w:val="both"/>
        <w:rPr>
          <w:rFonts w:ascii="Times New Roman" w:hAnsi="Times New Roman" w:cs="Times New Roman"/>
          <w:sz w:val="24"/>
          <w:szCs w:val="24"/>
        </w:rPr>
      </w:pPr>
    </w:p>
    <w:p w:rsidR="00662087" w:rsidRDefault="00662087" w:rsidP="002C7854">
      <w:pPr>
        <w:jc w:val="both"/>
        <w:rPr>
          <w:rFonts w:ascii="Times New Roman" w:hAnsi="Times New Roman" w:cs="Times New Roman"/>
          <w:sz w:val="24"/>
          <w:szCs w:val="24"/>
        </w:rPr>
      </w:pPr>
      <w:r>
        <w:rPr>
          <w:rFonts w:ascii="Times New Roman" w:hAnsi="Times New Roman" w:cs="Times New Roman"/>
          <w:sz w:val="24"/>
          <w:szCs w:val="24"/>
        </w:rPr>
        <w:t>L’accès à la</w:t>
      </w:r>
      <w:r w:rsidR="000836E3">
        <w:rPr>
          <w:rFonts w:ascii="Times New Roman" w:hAnsi="Times New Roman" w:cs="Times New Roman"/>
          <w:sz w:val="24"/>
          <w:szCs w:val="24"/>
        </w:rPr>
        <w:t xml:space="preserve"> présidence de Poutine en 1999</w:t>
      </w:r>
      <w:r w:rsidR="005E6101">
        <w:rPr>
          <w:rFonts w:ascii="Times New Roman" w:hAnsi="Times New Roman" w:cs="Times New Roman"/>
          <w:sz w:val="24"/>
          <w:szCs w:val="24"/>
        </w:rPr>
        <w:t xml:space="preserve"> marque un tournant avec le renforcement</w:t>
      </w:r>
      <w:r>
        <w:rPr>
          <w:rFonts w:ascii="Times New Roman" w:hAnsi="Times New Roman" w:cs="Times New Roman"/>
          <w:sz w:val="24"/>
          <w:szCs w:val="24"/>
        </w:rPr>
        <w:t xml:space="preserve"> progressif</w:t>
      </w:r>
      <w:r w:rsidR="005E6101">
        <w:rPr>
          <w:rFonts w:ascii="Times New Roman" w:hAnsi="Times New Roman" w:cs="Times New Roman"/>
          <w:sz w:val="24"/>
          <w:szCs w:val="24"/>
        </w:rPr>
        <w:t xml:space="preserve"> du pouvoir central vis-à-vis des pouvoirs locaux </w:t>
      </w:r>
      <w:r>
        <w:rPr>
          <w:rFonts w:ascii="Times New Roman" w:hAnsi="Times New Roman" w:cs="Times New Roman"/>
          <w:sz w:val="24"/>
          <w:szCs w:val="24"/>
        </w:rPr>
        <w:t xml:space="preserve">(les élections </w:t>
      </w:r>
      <w:r w:rsidRPr="00972FF9">
        <w:rPr>
          <w:rFonts w:ascii="Times New Roman" w:hAnsi="Times New Roman" w:cs="Times New Roman"/>
          <w:sz w:val="24"/>
          <w:szCs w:val="24"/>
        </w:rPr>
        <w:t xml:space="preserve">des gouverneurs sont remplacées par des nominations présidentielles) </w:t>
      </w:r>
      <w:r w:rsidR="004B1C37" w:rsidRPr="00972FF9">
        <w:rPr>
          <w:rFonts w:ascii="Times New Roman" w:hAnsi="Times New Roman" w:cs="Times New Roman"/>
          <w:sz w:val="24"/>
          <w:szCs w:val="24"/>
        </w:rPr>
        <w:t>et la mise au</w:t>
      </w:r>
      <w:r w:rsidR="005E6101" w:rsidRPr="00972FF9">
        <w:rPr>
          <w:rFonts w:ascii="Times New Roman" w:hAnsi="Times New Roman" w:cs="Times New Roman"/>
          <w:sz w:val="24"/>
          <w:szCs w:val="24"/>
        </w:rPr>
        <w:t xml:space="preserve"> pas</w:t>
      </w:r>
      <w:r w:rsidR="004B1C37" w:rsidRPr="00972FF9">
        <w:rPr>
          <w:rFonts w:ascii="Times New Roman" w:hAnsi="Times New Roman" w:cs="Times New Roman"/>
          <w:sz w:val="24"/>
          <w:szCs w:val="24"/>
        </w:rPr>
        <w:t xml:space="preserve"> politique</w:t>
      </w:r>
      <w:r w:rsidR="005E6101" w:rsidRPr="00972FF9">
        <w:rPr>
          <w:rFonts w:ascii="Times New Roman" w:hAnsi="Times New Roman" w:cs="Times New Roman"/>
          <w:sz w:val="24"/>
          <w:szCs w:val="24"/>
        </w:rPr>
        <w:t xml:space="preserve"> d</w:t>
      </w:r>
      <w:r w:rsidR="004B1C37" w:rsidRPr="00972FF9">
        <w:rPr>
          <w:rFonts w:ascii="Times New Roman" w:hAnsi="Times New Roman" w:cs="Times New Roman"/>
          <w:sz w:val="24"/>
          <w:szCs w:val="24"/>
        </w:rPr>
        <w:t>es oligarques</w:t>
      </w:r>
      <w:r w:rsidRPr="00972FF9">
        <w:rPr>
          <w:rFonts w:ascii="Times New Roman" w:hAnsi="Times New Roman" w:cs="Times New Roman"/>
          <w:sz w:val="24"/>
          <w:szCs w:val="24"/>
        </w:rPr>
        <w:t xml:space="preserve"> (</w:t>
      </w:r>
      <w:r w:rsidR="00972FF9">
        <w:rPr>
          <w:rFonts w:ascii="Times New Roman" w:hAnsi="Times New Roman" w:cs="Times New Roman"/>
          <w:sz w:val="24"/>
          <w:szCs w:val="24"/>
        </w:rPr>
        <w:t xml:space="preserve">la neutralisation </w:t>
      </w:r>
      <w:r w:rsidR="00972FF9">
        <w:rPr>
          <w:rFonts w:ascii="Times New Roman" w:hAnsi="Times New Roman" w:cs="Times New Roman"/>
          <w:sz w:val="24"/>
          <w:szCs w:val="24"/>
        </w:rPr>
        <w:lastRenderedPageBreak/>
        <w:t xml:space="preserve">de </w:t>
      </w:r>
      <w:proofErr w:type="spellStart"/>
      <w:r w:rsidRPr="00972FF9">
        <w:rPr>
          <w:rStyle w:val="Accentuation"/>
          <w:rFonts w:ascii="Times New Roman" w:hAnsi="Times New Roman" w:cs="Times New Roman"/>
          <w:bCs/>
          <w:i w:val="0"/>
          <w:iCs w:val="0"/>
          <w:color w:val="6A6A6A"/>
          <w:sz w:val="24"/>
          <w:szCs w:val="24"/>
          <w:shd w:val="clear" w:color="auto" w:fill="FFFFFF"/>
        </w:rPr>
        <w:t>Berezovsky</w:t>
      </w:r>
      <w:proofErr w:type="spellEnd"/>
      <w:r w:rsidRPr="00972FF9">
        <w:rPr>
          <w:rStyle w:val="Accentuation"/>
          <w:rFonts w:ascii="Times New Roman" w:hAnsi="Times New Roman" w:cs="Times New Roman"/>
          <w:bCs/>
          <w:i w:val="0"/>
          <w:iCs w:val="0"/>
          <w:color w:val="6A6A6A"/>
          <w:sz w:val="24"/>
          <w:szCs w:val="24"/>
          <w:shd w:val="clear" w:color="auto" w:fill="FFFFFF"/>
        </w:rPr>
        <w:t xml:space="preserve"> &amp; </w:t>
      </w:r>
      <w:proofErr w:type="spellStart"/>
      <w:r w:rsidRPr="00972FF9">
        <w:rPr>
          <w:rFonts w:ascii="Times New Roman" w:hAnsi="Times New Roman" w:cs="Times New Roman"/>
          <w:bCs/>
          <w:color w:val="252525"/>
          <w:sz w:val="24"/>
          <w:szCs w:val="24"/>
          <w:shd w:val="clear" w:color="auto" w:fill="FFFFFF"/>
        </w:rPr>
        <w:t>Khodorkovski</w:t>
      </w:r>
      <w:proofErr w:type="spellEnd"/>
      <w:r w:rsidRPr="00972FF9">
        <w:rPr>
          <w:rStyle w:val="Accentuation"/>
          <w:rFonts w:ascii="Times New Roman" w:hAnsi="Times New Roman" w:cs="Times New Roman"/>
          <w:bCs/>
          <w:i w:val="0"/>
          <w:iCs w:val="0"/>
          <w:color w:val="6A6A6A"/>
          <w:sz w:val="24"/>
          <w:szCs w:val="24"/>
          <w:shd w:val="clear" w:color="auto" w:fill="FFFFFF"/>
        </w:rPr>
        <w:t>)</w:t>
      </w:r>
      <w:r w:rsidR="0044763E">
        <w:rPr>
          <w:rStyle w:val="Appelnotedebasdep"/>
          <w:rFonts w:ascii="Times New Roman" w:hAnsi="Times New Roman" w:cs="Times New Roman"/>
          <w:bCs/>
          <w:color w:val="6A6A6A"/>
          <w:sz w:val="24"/>
          <w:szCs w:val="24"/>
          <w:shd w:val="clear" w:color="auto" w:fill="FFFFFF"/>
        </w:rPr>
        <w:footnoteReference w:id="11"/>
      </w:r>
      <w:r w:rsidR="0036625D" w:rsidRPr="00972FF9">
        <w:rPr>
          <w:rFonts w:ascii="Times New Roman" w:hAnsi="Times New Roman" w:cs="Times New Roman"/>
          <w:sz w:val="24"/>
          <w:szCs w:val="24"/>
        </w:rPr>
        <w:t xml:space="preserve">. La dévaluation de 1998 </w:t>
      </w:r>
      <w:r w:rsidR="00DD1E41" w:rsidRPr="00972FF9">
        <w:rPr>
          <w:rFonts w:ascii="Times New Roman" w:hAnsi="Times New Roman" w:cs="Times New Roman"/>
          <w:sz w:val="24"/>
          <w:szCs w:val="24"/>
        </w:rPr>
        <w:t xml:space="preserve">qui améliore la compétitivité des produits russes </w:t>
      </w:r>
      <w:r w:rsidR="0036625D" w:rsidRPr="00972FF9">
        <w:rPr>
          <w:rFonts w:ascii="Times New Roman" w:hAnsi="Times New Roman" w:cs="Times New Roman"/>
          <w:sz w:val="24"/>
          <w:szCs w:val="24"/>
        </w:rPr>
        <w:t>et la montée des prix des produits énergétiques et des matières premières</w:t>
      </w:r>
      <w:r w:rsidR="00DD1E41">
        <w:rPr>
          <w:rFonts w:ascii="Times New Roman" w:hAnsi="Times New Roman" w:cs="Times New Roman"/>
          <w:sz w:val="24"/>
          <w:szCs w:val="24"/>
        </w:rPr>
        <w:t xml:space="preserve"> relance l’économie russe pour une décennie.</w:t>
      </w:r>
      <w:r>
        <w:rPr>
          <w:rFonts w:ascii="Times New Roman" w:hAnsi="Times New Roman" w:cs="Times New Roman"/>
          <w:sz w:val="24"/>
          <w:szCs w:val="24"/>
        </w:rPr>
        <w:t xml:space="preserve"> </w:t>
      </w:r>
      <w:r w:rsidR="00DD1E41">
        <w:rPr>
          <w:rFonts w:ascii="Times New Roman" w:hAnsi="Times New Roman" w:cs="Times New Roman"/>
          <w:sz w:val="24"/>
          <w:szCs w:val="24"/>
        </w:rPr>
        <w:t xml:space="preserve">La croissance mondiale qui a fait grimper les prix des exportations russes est toutefois largement tirée par la consommation et les bulles financières et immobilières alimentées par les afflux de liquidités alimentés par le </w:t>
      </w:r>
      <w:proofErr w:type="spellStart"/>
      <w:r w:rsidR="00DD1E41" w:rsidRPr="00A60FE2">
        <w:rPr>
          <w:rFonts w:ascii="Times New Roman" w:hAnsi="Times New Roman" w:cs="Times New Roman"/>
          <w:i/>
          <w:sz w:val="24"/>
          <w:szCs w:val="24"/>
        </w:rPr>
        <w:t>shadow</w:t>
      </w:r>
      <w:proofErr w:type="spellEnd"/>
      <w:r w:rsidR="00DD1E41" w:rsidRPr="00A60FE2">
        <w:rPr>
          <w:rFonts w:ascii="Times New Roman" w:hAnsi="Times New Roman" w:cs="Times New Roman"/>
          <w:i/>
          <w:sz w:val="24"/>
          <w:szCs w:val="24"/>
        </w:rPr>
        <w:t xml:space="preserve"> </w:t>
      </w:r>
      <w:proofErr w:type="spellStart"/>
      <w:r w:rsidR="00DD1E41" w:rsidRPr="00A60FE2">
        <w:rPr>
          <w:rFonts w:ascii="Times New Roman" w:hAnsi="Times New Roman" w:cs="Times New Roman"/>
          <w:i/>
          <w:sz w:val="24"/>
          <w:szCs w:val="24"/>
        </w:rPr>
        <w:t>banking</w:t>
      </w:r>
      <w:proofErr w:type="spellEnd"/>
      <w:r w:rsidR="00DD1E41">
        <w:rPr>
          <w:rFonts w:ascii="Times New Roman" w:hAnsi="Times New Roman" w:cs="Times New Roman"/>
          <w:sz w:val="24"/>
          <w:szCs w:val="24"/>
        </w:rPr>
        <w:t xml:space="preserve"> et la titrisation.</w:t>
      </w:r>
      <w:r>
        <w:rPr>
          <w:rFonts w:ascii="Times New Roman" w:hAnsi="Times New Roman" w:cs="Times New Roman"/>
          <w:sz w:val="24"/>
          <w:szCs w:val="24"/>
        </w:rPr>
        <w:t xml:space="preserve"> </w:t>
      </w:r>
    </w:p>
    <w:p w:rsidR="006A5A63" w:rsidRDefault="006A5A63" w:rsidP="002C7854">
      <w:pPr>
        <w:jc w:val="both"/>
        <w:rPr>
          <w:rFonts w:ascii="Times New Roman" w:hAnsi="Times New Roman" w:cs="Times New Roman"/>
          <w:sz w:val="24"/>
          <w:szCs w:val="24"/>
        </w:rPr>
      </w:pPr>
    </w:p>
    <w:p w:rsidR="00662087" w:rsidRDefault="00662087" w:rsidP="002C7854">
      <w:pPr>
        <w:jc w:val="both"/>
        <w:rPr>
          <w:rFonts w:ascii="Times New Roman" w:hAnsi="Times New Roman" w:cs="Times New Roman"/>
          <w:sz w:val="24"/>
          <w:szCs w:val="24"/>
        </w:rPr>
      </w:pPr>
      <w:r>
        <w:rPr>
          <w:rFonts w:ascii="Times New Roman" w:hAnsi="Times New Roman" w:cs="Times New Roman"/>
          <w:sz w:val="24"/>
          <w:szCs w:val="24"/>
        </w:rPr>
        <w:t>Le tandem</w:t>
      </w:r>
      <w:r w:rsidR="00DD1E41">
        <w:rPr>
          <w:rFonts w:ascii="Times New Roman" w:hAnsi="Times New Roman" w:cs="Times New Roman"/>
          <w:sz w:val="24"/>
          <w:szCs w:val="24"/>
        </w:rPr>
        <w:t xml:space="preserve"> Poutine</w:t>
      </w:r>
      <w:r>
        <w:rPr>
          <w:rFonts w:ascii="Times New Roman" w:hAnsi="Times New Roman" w:cs="Times New Roman"/>
          <w:sz w:val="24"/>
          <w:szCs w:val="24"/>
        </w:rPr>
        <w:t>-</w:t>
      </w:r>
      <w:r w:rsidR="00DD1E41">
        <w:rPr>
          <w:rFonts w:ascii="Times New Roman" w:hAnsi="Times New Roman" w:cs="Times New Roman"/>
          <w:sz w:val="24"/>
          <w:szCs w:val="24"/>
        </w:rPr>
        <w:t xml:space="preserve"> Medvedev</w:t>
      </w:r>
      <w:r>
        <w:rPr>
          <w:rFonts w:ascii="Times New Roman" w:hAnsi="Times New Roman" w:cs="Times New Roman"/>
          <w:sz w:val="24"/>
          <w:szCs w:val="24"/>
        </w:rPr>
        <w:t xml:space="preserve"> est cependant conscient des limites de la soutenabilité de la croissance russe.</w:t>
      </w:r>
      <w:r w:rsidR="00A93B42">
        <w:rPr>
          <w:rFonts w:ascii="Times New Roman" w:hAnsi="Times New Roman" w:cs="Times New Roman"/>
          <w:sz w:val="24"/>
          <w:szCs w:val="24"/>
        </w:rPr>
        <w:t xml:space="preserve"> La Russie possède la</w:t>
      </w:r>
      <w:r>
        <w:rPr>
          <w:rFonts w:ascii="Times New Roman" w:hAnsi="Times New Roman" w:cs="Times New Roman"/>
          <w:sz w:val="24"/>
          <w:szCs w:val="24"/>
        </w:rPr>
        <w:t xml:space="preserve"> structure d’exportation d’un pays en développement producteur de matière</w:t>
      </w:r>
      <w:r w:rsidR="00A60FE2">
        <w:rPr>
          <w:rFonts w:ascii="Times New Roman" w:hAnsi="Times New Roman" w:cs="Times New Roman"/>
          <w:sz w:val="24"/>
          <w:szCs w:val="24"/>
        </w:rPr>
        <w:t>s</w:t>
      </w:r>
      <w:r>
        <w:rPr>
          <w:rFonts w:ascii="Times New Roman" w:hAnsi="Times New Roman" w:cs="Times New Roman"/>
          <w:sz w:val="24"/>
          <w:szCs w:val="24"/>
        </w:rPr>
        <w:t xml:space="preserve"> première</w:t>
      </w:r>
      <w:r w:rsidR="00A60FE2">
        <w:rPr>
          <w:rFonts w:ascii="Times New Roman" w:hAnsi="Times New Roman" w:cs="Times New Roman"/>
          <w:sz w:val="24"/>
          <w:szCs w:val="24"/>
        </w:rPr>
        <w:t>s</w:t>
      </w:r>
      <w:r>
        <w:rPr>
          <w:rFonts w:ascii="Times New Roman" w:hAnsi="Times New Roman" w:cs="Times New Roman"/>
          <w:sz w:val="24"/>
          <w:szCs w:val="24"/>
        </w:rPr>
        <w:t xml:space="preserve"> et non</w:t>
      </w:r>
      <w:r w:rsidR="00A93B42">
        <w:rPr>
          <w:rFonts w:ascii="Times New Roman" w:hAnsi="Times New Roman" w:cs="Times New Roman"/>
          <w:sz w:val="24"/>
          <w:szCs w:val="24"/>
        </w:rPr>
        <w:t xml:space="preserve"> celle</w:t>
      </w:r>
      <w:r>
        <w:rPr>
          <w:rFonts w:ascii="Times New Roman" w:hAnsi="Times New Roman" w:cs="Times New Roman"/>
          <w:sz w:val="24"/>
          <w:szCs w:val="24"/>
        </w:rPr>
        <w:t xml:space="preserve"> d’une puissance industrielle</w:t>
      </w:r>
      <w:r w:rsidR="00A93B42">
        <w:rPr>
          <w:rFonts w:ascii="Times New Roman" w:hAnsi="Times New Roman" w:cs="Times New Roman"/>
          <w:sz w:val="24"/>
          <w:szCs w:val="24"/>
        </w:rPr>
        <w:t xml:space="preserve"> montant en gamme technologiquement</w:t>
      </w:r>
      <w:r>
        <w:rPr>
          <w:rFonts w:ascii="Times New Roman" w:hAnsi="Times New Roman" w:cs="Times New Roman"/>
          <w:sz w:val="24"/>
          <w:szCs w:val="24"/>
        </w:rPr>
        <w:t xml:space="preserve"> à l’instar des tigres asiatiques et de la Chine. La crise économique des années 1990 a déstructuré les centres de recherche russe et les universités, provoquant une hémorragie de cerveaux qui sont partis aux Etats-Unis, en Europe occidentale et en Israël. Le vieillissement rapide de la population russe démographie est toujours problématique et met en évidence l’impératif d’accroître la productivité.  </w:t>
      </w:r>
    </w:p>
    <w:p w:rsidR="006A5A63" w:rsidRDefault="006A5A63" w:rsidP="002C7854">
      <w:pPr>
        <w:jc w:val="both"/>
        <w:rPr>
          <w:rFonts w:ascii="Times New Roman" w:hAnsi="Times New Roman" w:cs="Times New Roman"/>
          <w:sz w:val="24"/>
          <w:szCs w:val="24"/>
        </w:rPr>
      </w:pPr>
    </w:p>
    <w:p w:rsidR="00D074D8" w:rsidRDefault="00A93B42" w:rsidP="00D074D8">
      <w:pPr>
        <w:jc w:val="both"/>
        <w:rPr>
          <w:rFonts w:ascii="Times New Roman" w:hAnsi="Times New Roman" w:cs="Times New Roman"/>
          <w:sz w:val="24"/>
          <w:szCs w:val="24"/>
        </w:rPr>
      </w:pPr>
      <w:r w:rsidRPr="00410973">
        <w:rPr>
          <w:rFonts w:ascii="Times New Roman" w:hAnsi="Times New Roman" w:cs="Times New Roman"/>
          <w:sz w:val="24"/>
          <w:szCs w:val="24"/>
        </w:rPr>
        <w:t xml:space="preserve">L’équipe dirigeante russe essaie de lancer une politique industrielle qui vise à rationaliser les capacités de production dans les industries intensive en technologie (aéronautique, construction navale, matériel militaire, nanotechnologie) et à développer des districts marshalliens de haute technologie, c’est notamment le centre de R&amp;D de </w:t>
      </w:r>
      <w:proofErr w:type="spellStart"/>
      <w:r w:rsidRPr="00410973">
        <w:rPr>
          <w:rFonts w:ascii="Times New Roman" w:hAnsi="Times New Roman" w:cs="Times New Roman"/>
          <w:sz w:val="24"/>
          <w:szCs w:val="24"/>
        </w:rPr>
        <w:t>Skolkovo</w:t>
      </w:r>
      <w:proofErr w:type="spellEnd"/>
      <w:r w:rsidRPr="00410973">
        <w:rPr>
          <w:rFonts w:ascii="Times New Roman" w:hAnsi="Times New Roman" w:cs="Times New Roman"/>
          <w:sz w:val="24"/>
          <w:szCs w:val="24"/>
        </w:rPr>
        <w:t xml:space="preserve"> inauguré en 2009 ou </w:t>
      </w:r>
      <w:r w:rsidR="00D074D8" w:rsidRPr="00410973">
        <w:rPr>
          <w:rFonts w:ascii="Times New Roman" w:hAnsi="Times New Roman" w:cs="Times New Roman"/>
          <w:sz w:val="24"/>
          <w:szCs w:val="24"/>
        </w:rPr>
        <w:t xml:space="preserve">le projet </w:t>
      </w:r>
      <w:proofErr w:type="spellStart"/>
      <w:r w:rsidR="00D074D8" w:rsidRPr="00410973">
        <w:rPr>
          <w:rFonts w:ascii="Times New Roman" w:hAnsi="Times New Roman" w:cs="Times New Roman"/>
          <w:color w:val="333333"/>
          <w:sz w:val="24"/>
          <w:szCs w:val="24"/>
          <w:shd w:val="clear" w:color="auto" w:fill="F8F8F8"/>
        </w:rPr>
        <w:t>Innopraktika</w:t>
      </w:r>
      <w:proofErr w:type="spellEnd"/>
      <w:r w:rsidRPr="00410973">
        <w:rPr>
          <w:rFonts w:ascii="Times New Roman" w:hAnsi="Times New Roman" w:cs="Times New Roman"/>
          <w:sz w:val="24"/>
          <w:szCs w:val="24"/>
        </w:rPr>
        <w:t xml:space="preserve"> de l’université de Moscou</w:t>
      </w:r>
      <w:r w:rsidR="00364957">
        <w:rPr>
          <w:rFonts w:ascii="Times New Roman" w:hAnsi="Times New Roman" w:cs="Times New Roman"/>
          <w:sz w:val="24"/>
          <w:szCs w:val="24"/>
        </w:rPr>
        <w:t xml:space="preserve"> en 2014</w:t>
      </w:r>
      <w:r w:rsidR="00D074D8" w:rsidRPr="00410973">
        <w:rPr>
          <w:rFonts w:ascii="Times New Roman" w:hAnsi="Times New Roman" w:cs="Times New Roman"/>
          <w:sz w:val="24"/>
          <w:szCs w:val="24"/>
        </w:rPr>
        <w:t>. Le</w:t>
      </w:r>
      <w:r w:rsidR="00AA6A0C">
        <w:rPr>
          <w:rFonts w:ascii="Times New Roman" w:hAnsi="Times New Roman" w:cs="Times New Roman"/>
          <w:sz w:val="24"/>
          <w:szCs w:val="24"/>
        </w:rPr>
        <w:t>s fortes prédations économiques</w:t>
      </w:r>
      <w:r w:rsidR="00662087" w:rsidRPr="00410973">
        <w:rPr>
          <w:rFonts w:ascii="Times New Roman" w:hAnsi="Times New Roman" w:cs="Times New Roman"/>
          <w:sz w:val="24"/>
          <w:szCs w:val="24"/>
        </w:rPr>
        <w:t xml:space="preserve"> </w:t>
      </w:r>
      <w:r w:rsidR="00D074D8" w:rsidRPr="00410973">
        <w:rPr>
          <w:rFonts w:ascii="Times New Roman" w:hAnsi="Times New Roman" w:cs="Times New Roman"/>
          <w:sz w:val="24"/>
          <w:szCs w:val="24"/>
        </w:rPr>
        <w:t>des milieux proches de l’équipe dirigeante russe</w:t>
      </w:r>
      <w:r w:rsidR="00AA6A0C">
        <w:rPr>
          <w:rFonts w:ascii="Times New Roman" w:hAnsi="Times New Roman" w:cs="Times New Roman"/>
          <w:sz w:val="24"/>
          <w:szCs w:val="24"/>
        </w:rPr>
        <w:t xml:space="preserve"> qui pillent de manière incessante les ressources de l’Etat</w:t>
      </w:r>
      <w:r w:rsidR="00D074D8" w:rsidRPr="00410973">
        <w:rPr>
          <w:rFonts w:ascii="Times New Roman" w:hAnsi="Times New Roman" w:cs="Times New Roman"/>
          <w:sz w:val="24"/>
          <w:szCs w:val="24"/>
        </w:rPr>
        <w:t xml:space="preserve"> nui</w:t>
      </w:r>
      <w:r w:rsidR="00AA6A0C">
        <w:rPr>
          <w:rFonts w:ascii="Times New Roman" w:hAnsi="Times New Roman" w:cs="Times New Roman"/>
          <w:sz w:val="24"/>
          <w:szCs w:val="24"/>
        </w:rPr>
        <w:t>sent évidemment au succès de cette politique industrielle</w:t>
      </w:r>
      <w:r w:rsidR="00A60FE2">
        <w:rPr>
          <w:rFonts w:ascii="Times New Roman" w:hAnsi="Times New Roman" w:cs="Times New Roman"/>
          <w:sz w:val="24"/>
          <w:szCs w:val="24"/>
        </w:rPr>
        <w:t>. A cela s’ajoute</w:t>
      </w:r>
      <w:r w:rsidR="00AA6A0C">
        <w:rPr>
          <w:rFonts w:ascii="Times New Roman" w:hAnsi="Times New Roman" w:cs="Times New Roman"/>
          <w:sz w:val="24"/>
          <w:szCs w:val="24"/>
        </w:rPr>
        <w:t>nt</w:t>
      </w:r>
      <w:r w:rsidR="00D074D8" w:rsidRPr="00410973">
        <w:rPr>
          <w:rFonts w:ascii="Times New Roman" w:hAnsi="Times New Roman" w:cs="Times New Roman"/>
          <w:sz w:val="24"/>
          <w:szCs w:val="24"/>
        </w:rPr>
        <w:t xml:space="preserve"> les</w:t>
      </w:r>
      <w:r w:rsidR="00A60FE2">
        <w:rPr>
          <w:rFonts w:ascii="Times New Roman" w:hAnsi="Times New Roman" w:cs="Times New Roman"/>
          <w:sz w:val="24"/>
          <w:szCs w:val="24"/>
        </w:rPr>
        <w:t xml:space="preserve"> faibles</w:t>
      </w:r>
      <w:r w:rsidR="00D074D8" w:rsidRPr="00410973">
        <w:rPr>
          <w:rFonts w:ascii="Times New Roman" w:hAnsi="Times New Roman" w:cs="Times New Roman"/>
          <w:sz w:val="24"/>
          <w:szCs w:val="24"/>
        </w:rPr>
        <w:t xml:space="preserve"> perspectives</w:t>
      </w:r>
      <w:r w:rsidR="00410973">
        <w:rPr>
          <w:rFonts w:ascii="Times New Roman" w:hAnsi="Times New Roman" w:cs="Times New Roman"/>
          <w:sz w:val="24"/>
          <w:szCs w:val="24"/>
        </w:rPr>
        <w:t xml:space="preserve"> de croissance</w:t>
      </w:r>
      <w:r w:rsidR="00D074D8" w:rsidRPr="00410973">
        <w:rPr>
          <w:rFonts w:ascii="Times New Roman" w:hAnsi="Times New Roman" w:cs="Times New Roman"/>
          <w:sz w:val="24"/>
          <w:szCs w:val="24"/>
        </w:rPr>
        <w:t xml:space="preserve"> du marché russe </w:t>
      </w:r>
      <w:r w:rsidR="00A60FE2">
        <w:rPr>
          <w:rFonts w:ascii="Times New Roman" w:hAnsi="Times New Roman" w:cs="Times New Roman"/>
          <w:sz w:val="24"/>
          <w:szCs w:val="24"/>
        </w:rPr>
        <w:t>du fait de</w:t>
      </w:r>
      <w:r w:rsidR="00D074D8" w:rsidRPr="00410973">
        <w:rPr>
          <w:rFonts w:ascii="Times New Roman" w:hAnsi="Times New Roman" w:cs="Times New Roman"/>
          <w:sz w:val="24"/>
          <w:szCs w:val="24"/>
        </w:rPr>
        <w:t xml:space="preserve"> la donne démographique et</w:t>
      </w:r>
      <w:r w:rsidR="00A60FE2">
        <w:rPr>
          <w:rFonts w:ascii="Times New Roman" w:hAnsi="Times New Roman" w:cs="Times New Roman"/>
          <w:sz w:val="24"/>
          <w:szCs w:val="24"/>
        </w:rPr>
        <w:t xml:space="preserve"> de</w:t>
      </w:r>
      <w:r w:rsidR="00D074D8" w:rsidRPr="00410973">
        <w:rPr>
          <w:rFonts w:ascii="Times New Roman" w:hAnsi="Times New Roman" w:cs="Times New Roman"/>
          <w:sz w:val="24"/>
          <w:szCs w:val="24"/>
        </w:rPr>
        <w:t xml:space="preserve"> </w:t>
      </w:r>
      <w:r w:rsidR="00364957">
        <w:rPr>
          <w:rFonts w:ascii="Times New Roman" w:hAnsi="Times New Roman" w:cs="Times New Roman"/>
          <w:sz w:val="24"/>
          <w:szCs w:val="24"/>
        </w:rPr>
        <w:t>la</w:t>
      </w:r>
      <w:r w:rsidR="00D074D8" w:rsidRPr="00410973">
        <w:rPr>
          <w:rFonts w:ascii="Times New Roman" w:hAnsi="Times New Roman" w:cs="Times New Roman"/>
          <w:sz w:val="24"/>
          <w:szCs w:val="24"/>
        </w:rPr>
        <w:t xml:space="preserve"> dépendance </w:t>
      </w:r>
      <w:r w:rsidR="00A60FE2">
        <w:rPr>
          <w:rFonts w:ascii="Times New Roman" w:hAnsi="Times New Roman" w:cs="Times New Roman"/>
          <w:sz w:val="24"/>
          <w:szCs w:val="24"/>
        </w:rPr>
        <w:t>des cours</w:t>
      </w:r>
      <w:r w:rsidR="00D074D8" w:rsidRPr="00410973">
        <w:rPr>
          <w:rFonts w:ascii="Times New Roman" w:hAnsi="Times New Roman" w:cs="Times New Roman"/>
          <w:sz w:val="24"/>
          <w:szCs w:val="24"/>
        </w:rPr>
        <w:t xml:space="preserve"> matières premières</w:t>
      </w:r>
      <w:r w:rsidR="00A60FE2">
        <w:rPr>
          <w:rFonts w:ascii="Times New Roman" w:hAnsi="Times New Roman" w:cs="Times New Roman"/>
          <w:sz w:val="24"/>
          <w:szCs w:val="24"/>
        </w:rPr>
        <w:t xml:space="preserve"> exportées</w:t>
      </w:r>
      <w:r w:rsidR="00410973" w:rsidRPr="00410973">
        <w:rPr>
          <w:rFonts w:ascii="Times New Roman" w:hAnsi="Times New Roman" w:cs="Times New Roman"/>
          <w:sz w:val="24"/>
          <w:szCs w:val="24"/>
        </w:rPr>
        <w:t>.</w:t>
      </w:r>
      <w:r w:rsidR="00410973">
        <w:rPr>
          <w:rFonts w:ascii="Times New Roman" w:hAnsi="Times New Roman" w:cs="Times New Roman"/>
          <w:sz w:val="24"/>
          <w:szCs w:val="24"/>
        </w:rPr>
        <w:t xml:space="preserve"> Certaines études considèrent q</w:t>
      </w:r>
      <w:r w:rsidR="00680B3C">
        <w:rPr>
          <w:rFonts w:ascii="Times New Roman" w:hAnsi="Times New Roman" w:cs="Times New Roman"/>
          <w:sz w:val="24"/>
          <w:szCs w:val="24"/>
        </w:rPr>
        <w:t>u’entre 2025 et 2050, la part de l’économie</w:t>
      </w:r>
      <w:r w:rsidR="00410973">
        <w:rPr>
          <w:rFonts w:ascii="Times New Roman" w:hAnsi="Times New Roman" w:cs="Times New Roman"/>
          <w:sz w:val="24"/>
          <w:szCs w:val="24"/>
        </w:rPr>
        <w:t xml:space="preserve"> russe dans le PIB mondial passera de 2 à 1%</w:t>
      </w:r>
      <w:r w:rsidR="0044763E">
        <w:rPr>
          <w:rStyle w:val="Appelnotedebasdep"/>
          <w:rFonts w:ascii="Times New Roman" w:hAnsi="Times New Roman" w:cs="Times New Roman"/>
          <w:sz w:val="24"/>
          <w:szCs w:val="24"/>
        </w:rPr>
        <w:footnoteReference w:id="12"/>
      </w:r>
      <w:r w:rsidR="00410973">
        <w:rPr>
          <w:rFonts w:ascii="Times New Roman" w:hAnsi="Times New Roman" w:cs="Times New Roman"/>
          <w:sz w:val="24"/>
          <w:szCs w:val="24"/>
        </w:rPr>
        <w:t>.</w:t>
      </w:r>
      <w:r w:rsidR="00410973" w:rsidRPr="00410973">
        <w:rPr>
          <w:rFonts w:ascii="Times New Roman" w:hAnsi="Times New Roman" w:cs="Times New Roman"/>
          <w:sz w:val="24"/>
          <w:szCs w:val="24"/>
        </w:rPr>
        <w:t xml:space="preserve">  </w:t>
      </w:r>
      <w:r w:rsidR="00D074D8" w:rsidRPr="00410973">
        <w:rPr>
          <w:rFonts w:ascii="Times New Roman" w:hAnsi="Times New Roman" w:cs="Times New Roman"/>
          <w:sz w:val="24"/>
          <w:szCs w:val="24"/>
        </w:rPr>
        <w:t xml:space="preserve">  </w:t>
      </w:r>
    </w:p>
    <w:p w:rsidR="006A5A63" w:rsidRPr="00410973" w:rsidRDefault="006A5A63" w:rsidP="00D074D8">
      <w:pPr>
        <w:jc w:val="both"/>
        <w:rPr>
          <w:rFonts w:ascii="Times New Roman" w:hAnsi="Times New Roman" w:cs="Times New Roman"/>
          <w:sz w:val="24"/>
          <w:szCs w:val="24"/>
        </w:rPr>
      </w:pPr>
    </w:p>
    <w:p w:rsidR="0036625D" w:rsidRDefault="00DD1E41" w:rsidP="002C7854">
      <w:pPr>
        <w:jc w:val="both"/>
        <w:rPr>
          <w:rFonts w:ascii="Times New Roman" w:hAnsi="Times New Roman" w:cs="Times New Roman"/>
          <w:sz w:val="24"/>
          <w:szCs w:val="24"/>
        </w:rPr>
      </w:pPr>
      <w:r w:rsidRPr="00410973">
        <w:rPr>
          <w:rFonts w:ascii="Times New Roman" w:hAnsi="Times New Roman" w:cs="Times New Roman"/>
          <w:sz w:val="24"/>
          <w:szCs w:val="24"/>
        </w:rPr>
        <w:t xml:space="preserve">La crise de 2008 </w:t>
      </w:r>
      <w:r w:rsidR="00410973" w:rsidRPr="00410973">
        <w:rPr>
          <w:rFonts w:ascii="Times New Roman" w:hAnsi="Times New Roman" w:cs="Times New Roman"/>
          <w:sz w:val="24"/>
          <w:szCs w:val="24"/>
        </w:rPr>
        <w:t xml:space="preserve">remet </w:t>
      </w:r>
      <w:r w:rsidR="00364957">
        <w:rPr>
          <w:rFonts w:ascii="Times New Roman" w:hAnsi="Times New Roman" w:cs="Times New Roman"/>
          <w:sz w:val="24"/>
          <w:szCs w:val="24"/>
        </w:rPr>
        <w:t>ces</w:t>
      </w:r>
      <w:r w:rsidR="00410973" w:rsidRPr="00410973">
        <w:rPr>
          <w:rFonts w:ascii="Times New Roman" w:hAnsi="Times New Roman" w:cs="Times New Roman"/>
          <w:sz w:val="24"/>
          <w:szCs w:val="24"/>
        </w:rPr>
        <w:t xml:space="preserve"> faiblesse</w:t>
      </w:r>
      <w:r w:rsidR="00364957">
        <w:rPr>
          <w:rFonts w:ascii="Times New Roman" w:hAnsi="Times New Roman" w:cs="Times New Roman"/>
          <w:sz w:val="24"/>
          <w:szCs w:val="24"/>
        </w:rPr>
        <w:t>s</w:t>
      </w:r>
      <w:r w:rsidR="00410973" w:rsidRPr="00410973">
        <w:rPr>
          <w:rFonts w:ascii="Times New Roman" w:hAnsi="Times New Roman" w:cs="Times New Roman"/>
          <w:sz w:val="24"/>
          <w:szCs w:val="24"/>
        </w:rPr>
        <w:t xml:space="preserve"> en évidence. Dans un contexte de crise</w:t>
      </w:r>
      <w:r w:rsidR="00364957">
        <w:rPr>
          <w:rFonts w:ascii="Times New Roman" w:hAnsi="Times New Roman" w:cs="Times New Roman"/>
          <w:sz w:val="24"/>
          <w:szCs w:val="24"/>
        </w:rPr>
        <w:t>, de chute de prix des matières premières</w:t>
      </w:r>
      <w:r w:rsidR="00410973" w:rsidRPr="00410973">
        <w:rPr>
          <w:rFonts w:ascii="Times New Roman" w:hAnsi="Times New Roman" w:cs="Times New Roman"/>
          <w:sz w:val="24"/>
          <w:szCs w:val="24"/>
        </w:rPr>
        <w:t xml:space="preserve"> et de remontées de poussées protectionnistes à travers le monde, le gouvernement russe peut considérer l’UEE </w:t>
      </w:r>
      <w:r w:rsidR="00680B3C">
        <w:rPr>
          <w:rFonts w:ascii="Times New Roman" w:hAnsi="Times New Roman" w:cs="Times New Roman"/>
          <w:sz w:val="24"/>
          <w:szCs w:val="24"/>
        </w:rPr>
        <w:t>comme une opportunité d’</w:t>
      </w:r>
      <w:r w:rsidR="00410973" w:rsidRPr="00410973">
        <w:rPr>
          <w:rFonts w:ascii="Times New Roman" w:hAnsi="Times New Roman" w:cs="Times New Roman"/>
          <w:sz w:val="24"/>
          <w:szCs w:val="24"/>
        </w:rPr>
        <w:t>agrandir son marché do</w:t>
      </w:r>
      <w:r w:rsidR="00410973">
        <w:rPr>
          <w:rFonts w:ascii="Times New Roman" w:hAnsi="Times New Roman" w:cs="Times New Roman"/>
          <w:sz w:val="24"/>
          <w:szCs w:val="24"/>
        </w:rPr>
        <w:t xml:space="preserve">mestique pour permettre, grâce aux effets de détournement de commerce, de meilleurs économies d’échelle et d’apprentissage dans les industries intensives en capital et en technologie. </w:t>
      </w:r>
      <w:r>
        <w:rPr>
          <w:rFonts w:ascii="Times New Roman" w:hAnsi="Times New Roman" w:cs="Times New Roman"/>
          <w:sz w:val="24"/>
          <w:szCs w:val="24"/>
        </w:rPr>
        <w:t xml:space="preserve">  </w:t>
      </w:r>
    </w:p>
    <w:p w:rsidR="006A5A63" w:rsidRDefault="006A5A63" w:rsidP="002C7854">
      <w:pPr>
        <w:jc w:val="both"/>
        <w:rPr>
          <w:rFonts w:ascii="Times New Roman" w:hAnsi="Times New Roman" w:cs="Times New Roman"/>
          <w:sz w:val="24"/>
          <w:szCs w:val="24"/>
        </w:rPr>
      </w:pPr>
    </w:p>
    <w:p w:rsidR="00C37F86" w:rsidRDefault="00AA6A0C" w:rsidP="002C7854">
      <w:pPr>
        <w:jc w:val="both"/>
        <w:rPr>
          <w:rFonts w:ascii="Times New Roman" w:hAnsi="Times New Roman" w:cs="Times New Roman"/>
          <w:sz w:val="24"/>
          <w:szCs w:val="24"/>
        </w:rPr>
      </w:pPr>
      <w:r>
        <w:rPr>
          <w:rFonts w:ascii="Times New Roman" w:hAnsi="Times New Roman" w:cs="Times New Roman"/>
          <w:sz w:val="24"/>
          <w:szCs w:val="24"/>
        </w:rPr>
        <w:t>L’UEE est également perç</w:t>
      </w:r>
      <w:r w:rsidR="00C37F86">
        <w:rPr>
          <w:rFonts w:ascii="Times New Roman" w:hAnsi="Times New Roman" w:cs="Times New Roman"/>
          <w:sz w:val="24"/>
          <w:szCs w:val="24"/>
        </w:rPr>
        <w:t>ue comme un</w:t>
      </w:r>
      <w:r>
        <w:rPr>
          <w:rFonts w:ascii="Times New Roman" w:hAnsi="Times New Roman" w:cs="Times New Roman"/>
          <w:sz w:val="24"/>
          <w:szCs w:val="24"/>
        </w:rPr>
        <w:t xml:space="preserve"> moyen</w:t>
      </w:r>
      <w:r w:rsidR="00C37F86">
        <w:rPr>
          <w:rFonts w:ascii="Times New Roman" w:hAnsi="Times New Roman" w:cs="Times New Roman"/>
          <w:sz w:val="24"/>
          <w:szCs w:val="24"/>
        </w:rPr>
        <w:t xml:space="preserve"> de contrer la pénétration économique chinoise à l’est et celle de l’Union Européenne à l’Ouest. Les échanges commerciaux, les investissements et les projets de développement chinois se multiplient en Europe orientale et en Asie centrale. L’UEE est vue comme un moyen de limiter l’influence économique croissante </w:t>
      </w:r>
      <w:r w:rsidR="00C37F86">
        <w:rPr>
          <w:rFonts w:ascii="Times New Roman" w:hAnsi="Times New Roman" w:cs="Times New Roman"/>
          <w:sz w:val="24"/>
          <w:szCs w:val="24"/>
        </w:rPr>
        <w:lastRenderedPageBreak/>
        <w:t>de la Chine par la Russie comme par ses partenaires d’Asie centrale</w:t>
      </w:r>
      <w:r w:rsidR="00C37F86">
        <w:rPr>
          <w:rStyle w:val="Appelnotedebasdep"/>
          <w:rFonts w:ascii="Times New Roman" w:hAnsi="Times New Roman" w:cs="Times New Roman"/>
          <w:sz w:val="24"/>
          <w:szCs w:val="24"/>
        </w:rPr>
        <w:footnoteReference w:id="13"/>
      </w:r>
      <w:r w:rsidR="00C37F86">
        <w:rPr>
          <w:rFonts w:ascii="Times New Roman" w:hAnsi="Times New Roman" w:cs="Times New Roman"/>
          <w:sz w:val="24"/>
          <w:szCs w:val="24"/>
        </w:rPr>
        <w:t>. L’Union Européenne s’est d’abord considérablement étendue vers l’Est en 2004</w:t>
      </w:r>
      <w:r w:rsidR="0044763E">
        <w:rPr>
          <w:rFonts w:ascii="Times New Roman" w:hAnsi="Times New Roman" w:cs="Times New Roman"/>
          <w:sz w:val="24"/>
          <w:szCs w:val="24"/>
        </w:rPr>
        <w:t xml:space="preserve"> (en incorporant</w:t>
      </w:r>
      <w:r>
        <w:rPr>
          <w:rFonts w:ascii="Times New Roman" w:hAnsi="Times New Roman" w:cs="Times New Roman"/>
          <w:sz w:val="24"/>
          <w:szCs w:val="24"/>
        </w:rPr>
        <w:t xml:space="preserve"> notamment</w:t>
      </w:r>
      <w:r w:rsidR="0044763E">
        <w:rPr>
          <w:rFonts w:ascii="Times New Roman" w:hAnsi="Times New Roman" w:cs="Times New Roman"/>
          <w:sz w:val="24"/>
          <w:szCs w:val="24"/>
        </w:rPr>
        <w:t xml:space="preserve"> trois anciennes républiques soviétique</w:t>
      </w:r>
      <w:r>
        <w:rPr>
          <w:rFonts w:ascii="Times New Roman" w:hAnsi="Times New Roman" w:cs="Times New Roman"/>
          <w:sz w:val="24"/>
          <w:szCs w:val="24"/>
        </w:rPr>
        <w:t>s</w:t>
      </w:r>
      <w:r w:rsidR="0044763E">
        <w:rPr>
          <w:rFonts w:ascii="Times New Roman" w:hAnsi="Times New Roman" w:cs="Times New Roman"/>
          <w:sz w:val="24"/>
          <w:szCs w:val="24"/>
        </w:rPr>
        <w:t>)</w:t>
      </w:r>
      <w:r w:rsidR="00C37F86">
        <w:rPr>
          <w:rFonts w:ascii="Times New Roman" w:hAnsi="Times New Roman" w:cs="Times New Roman"/>
          <w:sz w:val="24"/>
          <w:szCs w:val="24"/>
        </w:rPr>
        <w:t>, elle a</w:t>
      </w:r>
      <w:r w:rsidR="0044763E">
        <w:rPr>
          <w:rFonts w:ascii="Times New Roman" w:hAnsi="Times New Roman" w:cs="Times New Roman"/>
          <w:sz w:val="24"/>
          <w:szCs w:val="24"/>
        </w:rPr>
        <w:t xml:space="preserve"> développé un Partenariat O</w:t>
      </w:r>
      <w:r w:rsidR="00C37F86">
        <w:rPr>
          <w:rFonts w:ascii="Times New Roman" w:hAnsi="Times New Roman" w:cs="Times New Roman"/>
          <w:sz w:val="24"/>
          <w:szCs w:val="24"/>
        </w:rPr>
        <w:t>riental</w:t>
      </w:r>
      <w:r w:rsidR="0044763E">
        <w:rPr>
          <w:rFonts w:ascii="Times New Roman" w:hAnsi="Times New Roman" w:cs="Times New Roman"/>
          <w:sz w:val="24"/>
          <w:szCs w:val="24"/>
        </w:rPr>
        <w:t xml:space="preserve"> dans le cadre de sa politique de voisinage en 2009 qui a débouché sur </w:t>
      </w:r>
      <w:r w:rsidR="00C37F86">
        <w:rPr>
          <w:rFonts w:ascii="Times New Roman" w:hAnsi="Times New Roman" w:cs="Times New Roman"/>
          <w:sz w:val="24"/>
          <w:szCs w:val="24"/>
        </w:rPr>
        <w:t>des accords d’association</w:t>
      </w:r>
      <w:r w:rsidR="0044763E">
        <w:rPr>
          <w:rFonts w:ascii="Times New Roman" w:hAnsi="Times New Roman" w:cs="Times New Roman"/>
          <w:sz w:val="24"/>
          <w:szCs w:val="24"/>
        </w:rPr>
        <w:t xml:space="preserve"> avec la Moldavie, l’Ukraine </w:t>
      </w:r>
      <w:r w:rsidR="00447F07">
        <w:rPr>
          <w:rFonts w:ascii="Times New Roman" w:hAnsi="Times New Roman" w:cs="Times New Roman"/>
          <w:sz w:val="24"/>
          <w:szCs w:val="24"/>
        </w:rPr>
        <w:t xml:space="preserve"> et la Gé</w:t>
      </w:r>
      <w:r w:rsidR="0044763E">
        <w:rPr>
          <w:rFonts w:ascii="Times New Roman" w:hAnsi="Times New Roman" w:cs="Times New Roman"/>
          <w:sz w:val="24"/>
          <w:szCs w:val="24"/>
        </w:rPr>
        <w:t>orgie entre 2013 et 2016. Là aussi, bien que les dispositions de l’UEE ne sont pas formellement incompatibles avec les accords d’association du Partenariat Oriental et que Poutine affirme sa volonté de mettre un place un dialogue interrégional entre l’Union Européenne et l’UEE</w:t>
      </w:r>
      <w:r w:rsidR="00680B3C">
        <w:rPr>
          <w:rFonts w:ascii="Times New Roman" w:hAnsi="Times New Roman" w:cs="Times New Roman"/>
          <w:sz w:val="24"/>
          <w:szCs w:val="24"/>
        </w:rPr>
        <w:t xml:space="preserve">,  </w:t>
      </w:r>
      <w:r w:rsidR="0044763E">
        <w:rPr>
          <w:rFonts w:ascii="Times New Roman" w:hAnsi="Times New Roman" w:cs="Times New Roman"/>
          <w:sz w:val="24"/>
          <w:szCs w:val="24"/>
        </w:rPr>
        <w:t>l’UEE peut être cons</w:t>
      </w:r>
      <w:r w:rsidR="00680B3C">
        <w:rPr>
          <w:rFonts w:ascii="Times New Roman" w:hAnsi="Times New Roman" w:cs="Times New Roman"/>
          <w:sz w:val="24"/>
          <w:szCs w:val="24"/>
        </w:rPr>
        <w:t>idéré comme un outil visant à</w:t>
      </w:r>
      <w:r w:rsidR="0044763E">
        <w:rPr>
          <w:rFonts w:ascii="Times New Roman" w:hAnsi="Times New Roman" w:cs="Times New Roman"/>
          <w:sz w:val="24"/>
          <w:szCs w:val="24"/>
        </w:rPr>
        <w:t xml:space="preserve"> limiter la progression commerciale et politique de l’UE</w:t>
      </w:r>
      <w:r w:rsidR="00C37F86">
        <w:rPr>
          <w:rFonts w:ascii="Times New Roman" w:hAnsi="Times New Roman" w:cs="Times New Roman"/>
          <w:sz w:val="24"/>
          <w:szCs w:val="24"/>
        </w:rPr>
        <w:t xml:space="preserve"> </w:t>
      </w:r>
      <w:r w:rsidR="0044763E">
        <w:rPr>
          <w:rFonts w:ascii="Times New Roman" w:hAnsi="Times New Roman" w:cs="Times New Roman"/>
          <w:sz w:val="24"/>
          <w:szCs w:val="24"/>
        </w:rPr>
        <w:t xml:space="preserve">et </w:t>
      </w:r>
      <w:r w:rsidR="00680B3C">
        <w:rPr>
          <w:rFonts w:ascii="Times New Roman" w:hAnsi="Times New Roman" w:cs="Times New Roman"/>
          <w:sz w:val="24"/>
          <w:szCs w:val="24"/>
        </w:rPr>
        <w:t>à</w:t>
      </w:r>
      <w:r w:rsidR="0044763E">
        <w:rPr>
          <w:rFonts w:ascii="Times New Roman" w:hAnsi="Times New Roman" w:cs="Times New Roman"/>
          <w:sz w:val="24"/>
          <w:szCs w:val="24"/>
        </w:rPr>
        <w:t xml:space="preserve"> offrir une alternative d’intégration économique au sein de l’ex-espace soviétique</w:t>
      </w:r>
      <w:r w:rsidR="0044763E">
        <w:rPr>
          <w:rStyle w:val="Appelnotedebasdep"/>
          <w:rFonts w:ascii="Times New Roman" w:hAnsi="Times New Roman" w:cs="Times New Roman"/>
          <w:sz w:val="24"/>
          <w:szCs w:val="24"/>
        </w:rPr>
        <w:footnoteReference w:id="14"/>
      </w:r>
      <w:r w:rsidR="0044763E">
        <w:rPr>
          <w:rFonts w:ascii="Times New Roman" w:hAnsi="Times New Roman" w:cs="Times New Roman"/>
          <w:sz w:val="24"/>
          <w:szCs w:val="24"/>
        </w:rPr>
        <w:t>.</w:t>
      </w:r>
      <w:r w:rsidR="00C37F86">
        <w:rPr>
          <w:rFonts w:ascii="Times New Roman" w:hAnsi="Times New Roman" w:cs="Times New Roman"/>
          <w:sz w:val="24"/>
          <w:szCs w:val="24"/>
        </w:rPr>
        <w:t xml:space="preserve"> </w:t>
      </w:r>
    </w:p>
    <w:p w:rsidR="00C37F86" w:rsidRDefault="00C37F86" w:rsidP="002C7854">
      <w:pPr>
        <w:jc w:val="both"/>
        <w:rPr>
          <w:rFonts w:ascii="Times New Roman" w:hAnsi="Times New Roman" w:cs="Times New Roman"/>
          <w:sz w:val="24"/>
          <w:szCs w:val="24"/>
        </w:rPr>
      </w:pPr>
    </w:p>
    <w:p w:rsidR="00680B3C" w:rsidRPr="001E5227" w:rsidRDefault="00680B3C" w:rsidP="001E5227">
      <w:pPr>
        <w:pStyle w:val="Paragraphedeliste"/>
        <w:numPr>
          <w:ilvl w:val="0"/>
          <w:numId w:val="1"/>
        </w:numPr>
        <w:jc w:val="both"/>
        <w:rPr>
          <w:rFonts w:ascii="Times New Roman" w:hAnsi="Times New Roman" w:cs="Times New Roman"/>
          <w:b/>
          <w:sz w:val="24"/>
          <w:szCs w:val="24"/>
        </w:rPr>
      </w:pPr>
      <w:r w:rsidRPr="001E5227">
        <w:rPr>
          <w:rFonts w:ascii="Times New Roman" w:hAnsi="Times New Roman" w:cs="Times New Roman"/>
          <w:b/>
          <w:sz w:val="24"/>
          <w:szCs w:val="24"/>
        </w:rPr>
        <w:t>Les faiblesses structurelles de l’UEE</w:t>
      </w:r>
    </w:p>
    <w:p w:rsidR="00680B3C" w:rsidRPr="001E5227" w:rsidRDefault="00680B3C" w:rsidP="001E5227">
      <w:pPr>
        <w:pStyle w:val="Paragraphedeliste"/>
        <w:numPr>
          <w:ilvl w:val="1"/>
          <w:numId w:val="1"/>
        </w:numPr>
        <w:jc w:val="both"/>
        <w:rPr>
          <w:rFonts w:ascii="Times New Roman" w:hAnsi="Times New Roman" w:cs="Times New Roman"/>
          <w:b/>
          <w:sz w:val="24"/>
          <w:szCs w:val="24"/>
        </w:rPr>
      </w:pPr>
      <w:r w:rsidRPr="001E5227">
        <w:rPr>
          <w:rFonts w:ascii="Times New Roman" w:hAnsi="Times New Roman" w:cs="Times New Roman"/>
          <w:b/>
          <w:sz w:val="24"/>
          <w:szCs w:val="24"/>
        </w:rPr>
        <w:t xml:space="preserve">Une taille </w:t>
      </w:r>
      <w:r w:rsidR="001E5227">
        <w:rPr>
          <w:rFonts w:ascii="Times New Roman" w:hAnsi="Times New Roman" w:cs="Times New Roman"/>
          <w:b/>
          <w:sz w:val="24"/>
          <w:szCs w:val="24"/>
        </w:rPr>
        <w:t xml:space="preserve">du marché </w:t>
      </w:r>
      <w:r w:rsidRPr="001E5227">
        <w:rPr>
          <w:rFonts w:ascii="Times New Roman" w:hAnsi="Times New Roman" w:cs="Times New Roman"/>
          <w:b/>
          <w:sz w:val="24"/>
          <w:szCs w:val="24"/>
        </w:rPr>
        <w:t xml:space="preserve">insuffisante </w:t>
      </w:r>
    </w:p>
    <w:p w:rsidR="0040650B" w:rsidRDefault="00364957" w:rsidP="002C7854">
      <w:pPr>
        <w:jc w:val="both"/>
        <w:rPr>
          <w:rFonts w:ascii="Times New Roman" w:hAnsi="Times New Roman" w:cs="Times New Roman"/>
          <w:sz w:val="24"/>
          <w:szCs w:val="24"/>
        </w:rPr>
      </w:pPr>
      <w:r>
        <w:rPr>
          <w:rFonts w:ascii="Times New Roman" w:hAnsi="Times New Roman" w:cs="Times New Roman"/>
          <w:sz w:val="24"/>
          <w:szCs w:val="24"/>
        </w:rPr>
        <w:t>Cependant, une analyse des différentes économies membres de l’UEE ou qui en seraient des m</w:t>
      </w:r>
      <w:r w:rsidR="00AA6A0C">
        <w:rPr>
          <w:rFonts w:ascii="Times New Roman" w:hAnsi="Times New Roman" w:cs="Times New Roman"/>
          <w:sz w:val="24"/>
          <w:szCs w:val="24"/>
        </w:rPr>
        <w:t>embres potentiels, même en incluant</w:t>
      </w:r>
      <w:r>
        <w:rPr>
          <w:rFonts w:ascii="Times New Roman" w:hAnsi="Times New Roman" w:cs="Times New Roman"/>
          <w:sz w:val="24"/>
          <w:szCs w:val="24"/>
        </w:rPr>
        <w:t xml:space="preserve"> cas de figures très improbables comme le groupe de GUAM</w:t>
      </w:r>
      <w:r w:rsidR="00AA6A0C">
        <w:rPr>
          <w:rFonts w:ascii="Times New Roman" w:hAnsi="Times New Roman" w:cs="Times New Roman"/>
          <w:sz w:val="24"/>
          <w:szCs w:val="24"/>
        </w:rPr>
        <w:t xml:space="preserve"> (Géorgie, Ukraine</w:t>
      </w:r>
      <w:r>
        <w:rPr>
          <w:rFonts w:ascii="Times New Roman" w:hAnsi="Times New Roman" w:cs="Times New Roman"/>
          <w:sz w:val="24"/>
          <w:szCs w:val="24"/>
        </w:rPr>
        <w:t>,</w:t>
      </w:r>
      <w:r w:rsidR="00AA6A0C">
        <w:rPr>
          <w:rFonts w:ascii="Times New Roman" w:hAnsi="Times New Roman" w:cs="Times New Roman"/>
          <w:sz w:val="24"/>
          <w:szCs w:val="24"/>
        </w:rPr>
        <w:t xml:space="preserve"> </w:t>
      </w:r>
      <w:proofErr w:type="spellStart"/>
      <w:r w:rsidR="00AA6A0C">
        <w:rPr>
          <w:rFonts w:ascii="Times New Roman" w:hAnsi="Times New Roman" w:cs="Times New Roman"/>
          <w:sz w:val="24"/>
          <w:szCs w:val="24"/>
        </w:rPr>
        <w:t>Aerbaïdjan</w:t>
      </w:r>
      <w:proofErr w:type="spellEnd"/>
      <w:r w:rsidR="00AA6A0C">
        <w:rPr>
          <w:rFonts w:ascii="Times New Roman" w:hAnsi="Times New Roman" w:cs="Times New Roman"/>
          <w:sz w:val="24"/>
          <w:szCs w:val="24"/>
        </w:rPr>
        <w:t>, Moldavie)</w:t>
      </w:r>
      <w:r>
        <w:rPr>
          <w:rFonts w:ascii="Times New Roman" w:hAnsi="Times New Roman" w:cs="Times New Roman"/>
          <w:sz w:val="24"/>
          <w:szCs w:val="24"/>
        </w:rPr>
        <w:t xml:space="preserve"> révèle rapidement les limites du projet d’intégration.</w:t>
      </w:r>
      <w:r w:rsidR="00D010C5">
        <w:rPr>
          <w:rFonts w:ascii="Times New Roman" w:hAnsi="Times New Roman" w:cs="Times New Roman"/>
          <w:sz w:val="24"/>
          <w:szCs w:val="24"/>
        </w:rPr>
        <w:t xml:space="preserve"> Les PIB combinés des quatre autres Etats membres de l’UEE n’atteignent même pas 20% du PIB russe et l’Ukraine</w:t>
      </w:r>
      <w:r>
        <w:rPr>
          <w:rFonts w:ascii="Times New Roman" w:hAnsi="Times New Roman" w:cs="Times New Roman"/>
          <w:sz w:val="24"/>
          <w:szCs w:val="24"/>
        </w:rPr>
        <w:t xml:space="preserve"> </w:t>
      </w:r>
      <w:r w:rsidR="00D010C5">
        <w:rPr>
          <w:rFonts w:ascii="Times New Roman" w:hAnsi="Times New Roman" w:cs="Times New Roman"/>
          <w:sz w:val="24"/>
          <w:szCs w:val="24"/>
        </w:rPr>
        <w:t>dépasse à peine les 7%. Mêmes dans le meilleur des cas, plus qu’improbable, ou l’UEE reconstituerait l’ensemble de l’espace soviétique moins les pays Baltes membres de l’UE, cela ne constituerait que 40% du PIB russe ou l’équivalent d’une économie de la taille de Taiwan.</w:t>
      </w:r>
      <w:r w:rsidR="003045A8">
        <w:rPr>
          <w:rFonts w:ascii="Times New Roman" w:hAnsi="Times New Roman" w:cs="Times New Roman"/>
          <w:sz w:val="24"/>
          <w:szCs w:val="24"/>
        </w:rPr>
        <w:t xml:space="preserve"> Le PIB par habitant de la plupart des pays est inférieur à celui des économies de l’Amérique centrale avec des coefficients de Gini élevé</w:t>
      </w:r>
      <w:r w:rsidR="00AA6A0C">
        <w:rPr>
          <w:rFonts w:ascii="Times New Roman" w:hAnsi="Times New Roman" w:cs="Times New Roman"/>
          <w:sz w:val="24"/>
          <w:szCs w:val="24"/>
        </w:rPr>
        <w:t>s</w:t>
      </w:r>
      <w:r w:rsidR="003045A8">
        <w:rPr>
          <w:rFonts w:ascii="Times New Roman" w:hAnsi="Times New Roman" w:cs="Times New Roman"/>
          <w:sz w:val="24"/>
          <w:szCs w:val="24"/>
        </w:rPr>
        <w:t xml:space="preserve"> ce qui</w:t>
      </w:r>
      <w:r w:rsidR="00AA6A0C">
        <w:rPr>
          <w:rFonts w:ascii="Times New Roman" w:hAnsi="Times New Roman" w:cs="Times New Roman"/>
          <w:sz w:val="24"/>
          <w:szCs w:val="24"/>
        </w:rPr>
        <w:t xml:space="preserve"> limite le développement</w:t>
      </w:r>
      <w:r w:rsidR="003045A8">
        <w:rPr>
          <w:rFonts w:ascii="Times New Roman" w:hAnsi="Times New Roman" w:cs="Times New Roman"/>
          <w:sz w:val="24"/>
          <w:szCs w:val="24"/>
        </w:rPr>
        <w:t xml:space="preserve"> d’un marché de consommation de masse de produits industriels</w:t>
      </w:r>
      <w:r w:rsidR="00AA6A0C">
        <w:rPr>
          <w:rFonts w:ascii="Times New Roman" w:hAnsi="Times New Roman" w:cs="Times New Roman"/>
          <w:sz w:val="24"/>
          <w:szCs w:val="24"/>
        </w:rPr>
        <w:t xml:space="preserve"> du fait d’une masse de pauvres trop importante</w:t>
      </w:r>
      <w:r w:rsidR="003045A8">
        <w:rPr>
          <w:rFonts w:ascii="Times New Roman" w:hAnsi="Times New Roman" w:cs="Times New Roman"/>
          <w:sz w:val="24"/>
          <w:szCs w:val="24"/>
        </w:rPr>
        <w:t>.</w:t>
      </w:r>
      <w:r w:rsidR="00BB436A">
        <w:rPr>
          <w:rFonts w:ascii="Times New Roman" w:hAnsi="Times New Roman" w:cs="Times New Roman"/>
          <w:sz w:val="24"/>
          <w:szCs w:val="24"/>
        </w:rPr>
        <w:t xml:space="preserve"> Les projections démographiques montrent un ralentissement de la croissance Asie centrale passerait de 71 millions à 85 millions de personnes entre 2020 et 2040 et une chute démographique de 20% pour la périphérie occidentale de l’ex-URSS</w:t>
      </w:r>
      <w:r w:rsidR="00447F07">
        <w:rPr>
          <w:rStyle w:val="Appelnotedebasdep"/>
          <w:rFonts w:ascii="Times New Roman" w:hAnsi="Times New Roman" w:cs="Times New Roman"/>
          <w:sz w:val="24"/>
          <w:szCs w:val="24"/>
        </w:rPr>
        <w:footnoteReference w:id="15"/>
      </w:r>
      <w:r w:rsidR="00BB436A">
        <w:rPr>
          <w:rFonts w:ascii="Times New Roman" w:hAnsi="Times New Roman" w:cs="Times New Roman"/>
          <w:sz w:val="24"/>
          <w:szCs w:val="24"/>
        </w:rPr>
        <w:t>. La dynamique de marché d’un élargissement de l’UEE peut aider l’industrie russe en cas de crise et dans le contexte de sanctions depuis le conflit ukrainien</w:t>
      </w:r>
      <w:r w:rsidR="00AA6A0C">
        <w:rPr>
          <w:rFonts w:ascii="Times New Roman" w:hAnsi="Times New Roman" w:cs="Times New Roman"/>
          <w:sz w:val="24"/>
          <w:szCs w:val="24"/>
        </w:rPr>
        <w:t>. Cependant</w:t>
      </w:r>
      <w:r w:rsidR="00BB436A">
        <w:rPr>
          <w:rFonts w:ascii="Times New Roman" w:hAnsi="Times New Roman" w:cs="Times New Roman"/>
          <w:sz w:val="24"/>
          <w:szCs w:val="24"/>
        </w:rPr>
        <w:t xml:space="preserve"> </w:t>
      </w:r>
      <w:r w:rsidR="00AA6A0C">
        <w:rPr>
          <w:rFonts w:ascii="Times New Roman" w:hAnsi="Times New Roman" w:cs="Times New Roman"/>
          <w:sz w:val="24"/>
          <w:szCs w:val="24"/>
        </w:rPr>
        <w:t>l</w:t>
      </w:r>
      <w:r w:rsidR="00BB436A">
        <w:rPr>
          <w:rFonts w:ascii="Times New Roman" w:hAnsi="Times New Roman" w:cs="Times New Roman"/>
          <w:sz w:val="24"/>
          <w:szCs w:val="24"/>
        </w:rPr>
        <w:t>a contribution</w:t>
      </w:r>
      <w:r w:rsidR="00AA6A0C">
        <w:rPr>
          <w:rFonts w:ascii="Times New Roman" w:hAnsi="Times New Roman" w:cs="Times New Roman"/>
          <w:sz w:val="24"/>
          <w:szCs w:val="24"/>
        </w:rPr>
        <w:t xml:space="preserve"> de l’UEE en termes de PIB</w:t>
      </w:r>
      <w:r w:rsidR="00BB436A">
        <w:rPr>
          <w:rFonts w:ascii="Times New Roman" w:hAnsi="Times New Roman" w:cs="Times New Roman"/>
          <w:sz w:val="24"/>
          <w:szCs w:val="24"/>
        </w:rPr>
        <w:t xml:space="preserve"> sera modeste </w:t>
      </w:r>
      <w:r w:rsidR="00AA6A0C">
        <w:rPr>
          <w:rFonts w:ascii="Times New Roman" w:hAnsi="Times New Roman" w:cs="Times New Roman"/>
          <w:sz w:val="24"/>
          <w:szCs w:val="24"/>
        </w:rPr>
        <w:t xml:space="preserve">à moyen terme </w:t>
      </w:r>
      <w:r w:rsidR="00BB436A">
        <w:rPr>
          <w:rFonts w:ascii="Times New Roman" w:hAnsi="Times New Roman" w:cs="Times New Roman"/>
          <w:sz w:val="24"/>
          <w:szCs w:val="24"/>
        </w:rPr>
        <w:t xml:space="preserve">et largement insuffisante par rapport aux grandes économies mondiales et ensembles régionaux </w:t>
      </w:r>
      <w:r w:rsidR="00AA6A0C">
        <w:rPr>
          <w:rFonts w:ascii="Times New Roman" w:hAnsi="Times New Roman" w:cs="Times New Roman"/>
          <w:sz w:val="24"/>
          <w:szCs w:val="24"/>
        </w:rPr>
        <w:t xml:space="preserve">bien </w:t>
      </w:r>
      <w:r w:rsidR="00BB436A">
        <w:rPr>
          <w:rFonts w:ascii="Times New Roman" w:hAnsi="Times New Roman" w:cs="Times New Roman"/>
          <w:sz w:val="24"/>
          <w:szCs w:val="24"/>
        </w:rPr>
        <w:t>intégrés.</w:t>
      </w:r>
      <w:r w:rsidR="0040650B">
        <w:rPr>
          <w:rFonts w:ascii="Times New Roman" w:hAnsi="Times New Roman" w:cs="Times New Roman"/>
          <w:sz w:val="24"/>
          <w:szCs w:val="24"/>
        </w:rPr>
        <w:t xml:space="preserve"> La taille de marché de l’UEE reste inférieure au PIB de la France ce qui n’est pas suffisant pour atteindre des économies d’échelles dans la plupart des secteurs industriels et de services intensifs en technologie et en capital (pharmaceutique, cosmétique, aéronautique, hardware informatique, chimie, automobile, services financiers, transports). L’option d’un régionalisme eurasiatique </w:t>
      </w:r>
      <w:r w:rsidR="00AA6A0C">
        <w:rPr>
          <w:rFonts w:ascii="Times New Roman" w:hAnsi="Times New Roman" w:cs="Times New Roman"/>
          <w:sz w:val="24"/>
          <w:szCs w:val="24"/>
        </w:rPr>
        <w:t xml:space="preserve">très </w:t>
      </w:r>
      <w:r w:rsidR="0040650B">
        <w:rPr>
          <w:rFonts w:ascii="Times New Roman" w:hAnsi="Times New Roman" w:cs="Times New Roman"/>
          <w:sz w:val="24"/>
          <w:szCs w:val="24"/>
        </w:rPr>
        <w:t>fermé n’est donc pas réaliste.</w:t>
      </w:r>
    </w:p>
    <w:p w:rsidR="0040650B" w:rsidRDefault="0040650B" w:rsidP="002C7854">
      <w:pPr>
        <w:jc w:val="both"/>
        <w:rPr>
          <w:rFonts w:ascii="Times New Roman" w:hAnsi="Times New Roman" w:cs="Times New Roman"/>
          <w:sz w:val="24"/>
          <w:szCs w:val="24"/>
        </w:rPr>
      </w:pPr>
      <w:r>
        <w:rPr>
          <w:noProof/>
          <w:lang w:val="en-GB" w:eastAsia="en-GB"/>
        </w:rPr>
        <w:lastRenderedPageBreak/>
        <w:drawing>
          <wp:inline distT="0" distB="0" distL="0" distR="0" wp14:anchorId="743B1E56" wp14:editId="50EDF920">
            <wp:extent cx="5959366" cy="3247390"/>
            <wp:effectExtent l="0" t="0" r="3810" b="1016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4763E" w:rsidRDefault="0044763E" w:rsidP="0044763E">
      <w:pPr>
        <w:jc w:val="center"/>
        <w:rPr>
          <w:rFonts w:ascii="Times New Roman" w:hAnsi="Times New Roman" w:cs="Times New Roman"/>
          <w:sz w:val="24"/>
          <w:szCs w:val="24"/>
        </w:rPr>
      </w:pPr>
      <w:r>
        <w:rPr>
          <w:rFonts w:ascii="Times New Roman" w:hAnsi="Times New Roman" w:cs="Times New Roman"/>
          <w:sz w:val="24"/>
          <w:szCs w:val="24"/>
        </w:rPr>
        <w:t>Source : Banque Mondiale, data, 2016</w:t>
      </w:r>
    </w:p>
    <w:p w:rsidR="00364957" w:rsidRDefault="00EA053C" w:rsidP="006A5A63">
      <w:pPr>
        <w:jc w:val="center"/>
        <w:rPr>
          <w:rFonts w:ascii="Times New Roman" w:hAnsi="Times New Roman" w:cs="Times New Roman"/>
          <w:sz w:val="24"/>
          <w:szCs w:val="24"/>
        </w:rPr>
      </w:pPr>
      <w:r>
        <w:rPr>
          <w:noProof/>
          <w:lang w:val="en-GB" w:eastAsia="en-GB"/>
        </w:rPr>
        <w:drawing>
          <wp:inline distT="0" distB="0" distL="0" distR="0" wp14:anchorId="1A274F1D" wp14:editId="7112D5DD">
            <wp:extent cx="5454594" cy="3085106"/>
            <wp:effectExtent l="0" t="0" r="0" b="127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47986" w:rsidRPr="00271F01" w:rsidRDefault="006A5A63" w:rsidP="00271F01">
      <w:pPr>
        <w:jc w:val="center"/>
        <w:rPr>
          <w:rFonts w:ascii="Times New Roman" w:hAnsi="Times New Roman" w:cs="Times New Roman"/>
          <w:sz w:val="24"/>
          <w:szCs w:val="24"/>
        </w:rPr>
      </w:pPr>
      <w:r>
        <w:rPr>
          <w:rFonts w:ascii="Times New Roman" w:hAnsi="Times New Roman" w:cs="Times New Roman"/>
          <w:sz w:val="24"/>
          <w:szCs w:val="24"/>
        </w:rPr>
        <w:t>Source : Banque Mondiale, data, 2016</w:t>
      </w:r>
    </w:p>
    <w:p w:rsidR="00680B3C" w:rsidRPr="000F148E" w:rsidRDefault="00680B3C" w:rsidP="000F148E">
      <w:pPr>
        <w:pStyle w:val="Paragraphedeliste"/>
        <w:numPr>
          <w:ilvl w:val="1"/>
          <w:numId w:val="1"/>
        </w:numPr>
        <w:jc w:val="both"/>
        <w:rPr>
          <w:rFonts w:ascii="Times New Roman" w:hAnsi="Times New Roman" w:cs="Times New Roman"/>
          <w:b/>
          <w:sz w:val="24"/>
          <w:szCs w:val="24"/>
        </w:rPr>
      </w:pPr>
      <w:r w:rsidRPr="000F148E">
        <w:rPr>
          <w:rFonts w:ascii="Times New Roman" w:hAnsi="Times New Roman" w:cs="Times New Roman"/>
          <w:b/>
          <w:sz w:val="24"/>
          <w:szCs w:val="24"/>
        </w:rPr>
        <w:t xml:space="preserve">Une absence de dynamique micro-économique </w:t>
      </w:r>
      <w:proofErr w:type="spellStart"/>
      <w:r w:rsidRPr="000F148E">
        <w:rPr>
          <w:rFonts w:ascii="Times New Roman" w:hAnsi="Times New Roman" w:cs="Times New Roman"/>
          <w:b/>
          <w:i/>
          <w:sz w:val="24"/>
          <w:szCs w:val="24"/>
        </w:rPr>
        <w:t>bottom</w:t>
      </w:r>
      <w:proofErr w:type="spellEnd"/>
      <w:r w:rsidRPr="000F148E">
        <w:rPr>
          <w:rFonts w:ascii="Times New Roman" w:hAnsi="Times New Roman" w:cs="Times New Roman"/>
          <w:b/>
          <w:i/>
          <w:sz w:val="24"/>
          <w:szCs w:val="24"/>
        </w:rPr>
        <w:t>-up</w:t>
      </w:r>
    </w:p>
    <w:p w:rsidR="007A5140" w:rsidRDefault="00947986" w:rsidP="002C7854">
      <w:pPr>
        <w:jc w:val="both"/>
        <w:rPr>
          <w:rFonts w:ascii="Times New Roman" w:hAnsi="Times New Roman" w:cs="Times New Roman"/>
          <w:sz w:val="24"/>
          <w:szCs w:val="24"/>
          <w:shd w:val="clear" w:color="auto" w:fill="FFFFFF"/>
        </w:rPr>
        <w:sectPr w:rsidR="007A5140">
          <w:pgSz w:w="11906" w:h="16838"/>
          <w:pgMar w:top="1417" w:right="1417" w:bottom="1417" w:left="1417" w:header="708" w:footer="708" w:gutter="0"/>
          <w:cols w:space="708"/>
          <w:docGrid w:linePitch="360"/>
        </w:sectPr>
      </w:pPr>
      <w:r>
        <w:rPr>
          <w:rFonts w:ascii="Times New Roman" w:hAnsi="Times New Roman" w:cs="Times New Roman"/>
          <w:sz w:val="24"/>
          <w:szCs w:val="24"/>
        </w:rPr>
        <w:t xml:space="preserve">Une motivation importante à promouvoir une meilleure intégration régionale </w:t>
      </w:r>
      <w:r w:rsidR="00AA6A0C">
        <w:rPr>
          <w:rFonts w:ascii="Times New Roman" w:hAnsi="Times New Roman" w:cs="Times New Roman"/>
          <w:sz w:val="24"/>
          <w:szCs w:val="24"/>
        </w:rPr>
        <w:t>provient</w:t>
      </w:r>
      <w:r>
        <w:rPr>
          <w:rFonts w:ascii="Times New Roman" w:hAnsi="Times New Roman" w:cs="Times New Roman"/>
          <w:sz w:val="24"/>
          <w:szCs w:val="24"/>
        </w:rPr>
        <w:t xml:space="preserve"> des firmes désireuses de régionaliser leur production à travers les différents Etats de la région en délocalisant les activités intensive en travail d’œuvre vers ceux qui disposent de ré</w:t>
      </w:r>
      <w:r w:rsidR="008E70ED">
        <w:rPr>
          <w:rFonts w:ascii="Times New Roman" w:hAnsi="Times New Roman" w:cs="Times New Roman"/>
          <w:sz w:val="24"/>
          <w:szCs w:val="24"/>
        </w:rPr>
        <w:t>serves de main d’œuvre</w:t>
      </w:r>
      <w:r>
        <w:rPr>
          <w:rFonts w:ascii="Times New Roman" w:hAnsi="Times New Roman" w:cs="Times New Roman"/>
          <w:sz w:val="24"/>
          <w:szCs w:val="24"/>
        </w:rPr>
        <w:t xml:space="preserve"> flexible et bon marché. C’est le cas de firmes italiennes ou françaises (Renault-Dacia) vers la Roumanie, de firmes finlandaises vers l’Estonie ; américaines vers les </w:t>
      </w:r>
      <w:proofErr w:type="spellStart"/>
      <w:r w:rsidRPr="00947986">
        <w:rPr>
          <w:rFonts w:ascii="Times New Roman" w:hAnsi="Times New Roman" w:cs="Times New Roman"/>
          <w:i/>
          <w:sz w:val="24"/>
          <w:szCs w:val="24"/>
        </w:rPr>
        <w:t>maquiladoras</w:t>
      </w:r>
      <w:proofErr w:type="spellEnd"/>
      <w:r>
        <w:rPr>
          <w:rFonts w:ascii="Times New Roman" w:hAnsi="Times New Roman" w:cs="Times New Roman"/>
          <w:sz w:val="24"/>
          <w:szCs w:val="24"/>
        </w:rPr>
        <w:t xml:space="preserve"> mexicaines </w:t>
      </w:r>
      <w:r w:rsidR="00AA6A0C">
        <w:rPr>
          <w:rFonts w:ascii="Times New Roman" w:hAnsi="Times New Roman" w:cs="Times New Roman"/>
          <w:sz w:val="24"/>
          <w:szCs w:val="24"/>
        </w:rPr>
        <w:t xml:space="preserve">dans les années 1990 </w:t>
      </w:r>
      <w:r>
        <w:rPr>
          <w:rFonts w:ascii="Times New Roman" w:hAnsi="Times New Roman" w:cs="Times New Roman"/>
          <w:sz w:val="24"/>
          <w:szCs w:val="24"/>
        </w:rPr>
        <w:t>ou encore des japonaises vers la Thaïlande</w:t>
      </w:r>
      <w:r w:rsidR="00AA6A0C">
        <w:rPr>
          <w:rFonts w:ascii="Times New Roman" w:hAnsi="Times New Roman" w:cs="Times New Roman"/>
          <w:sz w:val="24"/>
          <w:szCs w:val="24"/>
        </w:rPr>
        <w:t xml:space="preserve"> dans les années 80</w:t>
      </w:r>
      <w:r>
        <w:rPr>
          <w:rFonts w:ascii="Times New Roman" w:hAnsi="Times New Roman" w:cs="Times New Roman"/>
          <w:sz w:val="24"/>
          <w:szCs w:val="24"/>
        </w:rPr>
        <w:t xml:space="preserve">. Ces IDE dits </w:t>
      </w:r>
      <w:r w:rsidRPr="00AA6A0C">
        <w:rPr>
          <w:rFonts w:ascii="Times New Roman" w:hAnsi="Times New Roman" w:cs="Times New Roman"/>
          <w:i/>
          <w:sz w:val="24"/>
          <w:szCs w:val="24"/>
        </w:rPr>
        <w:t>« </w:t>
      </w:r>
      <w:proofErr w:type="spellStart"/>
      <w:r w:rsidRPr="00AA6A0C">
        <w:rPr>
          <w:rFonts w:ascii="Times New Roman" w:hAnsi="Times New Roman" w:cs="Times New Roman"/>
          <w:i/>
          <w:sz w:val="24"/>
          <w:szCs w:val="24"/>
        </w:rPr>
        <w:t>efficiency-seeking</w:t>
      </w:r>
      <w:proofErr w:type="spellEnd"/>
      <w:r w:rsidRPr="00AA6A0C">
        <w:rPr>
          <w:rFonts w:ascii="Times New Roman" w:hAnsi="Times New Roman" w:cs="Times New Roman"/>
          <w:i/>
          <w:sz w:val="24"/>
          <w:szCs w:val="24"/>
        </w:rPr>
        <w:t> </w:t>
      </w:r>
      <w:r>
        <w:rPr>
          <w:rFonts w:ascii="Times New Roman" w:hAnsi="Times New Roman" w:cs="Times New Roman"/>
          <w:sz w:val="24"/>
          <w:szCs w:val="24"/>
        </w:rPr>
        <w:t>» crée</w:t>
      </w:r>
      <w:r w:rsidR="00AA6A0C">
        <w:rPr>
          <w:rFonts w:ascii="Times New Roman" w:hAnsi="Times New Roman" w:cs="Times New Roman"/>
          <w:sz w:val="24"/>
          <w:szCs w:val="24"/>
        </w:rPr>
        <w:t>nt</w:t>
      </w:r>
      <w:r>
        <w:rPr>
          <w:rFonts w:ascii="Times New Roman" w:hAnsi="Times New Roman" w:cs="Times New Roman"/>
          <w:sz w:val="24"/>
          <w:szCs w:val="24"/>
        </w:rPr>
        <w:t xml:space="preserve"> une dynamique microéconomique</w:t>
      </w:r>
      <w:r w:rsidR="00CC32FE">
        <w:rPr>
          <w:rFonts w:ascii="Times New Roman" w:hAnsi="Times New Roman" w:cs="Times New Roman"/>
          <w:sz w:val="24"/>
          <w:szCs w:val="24"/>
        </w:rPr>
        <w:t xml:space="preserve"> </w:t>
      </w:r>
      <w:r w:rsidR="00AA6A0C">
        <w:rPr>
          <w:rFonts w:ascii="Times New Roman" w:hAnsi="Times New Roman" w:cs="Times New Roman"/>
          <w:sz w:val="24"/>
          <w:szCs w:val="24"/>
        </w:rPr>
        <w:lastRenderedPageBreak/>
        <w:t>(appelée également</w:t>
      </w:r>
      <w:r w:rsidR="00CC32FE">
        <w:rPr>
          <w:rFonts w:ascii="Times New Roman" w:hAnsi="Times New Roman" w:cs="Times New Roman"/>
          <w:sz w:val="24"/>
          <w:szCs w:val="24"/>
        </w:rPr>
        <w:t xml:space="preserve"> « </w:t>
      </w:r>
      <w:proofErr w:type="spellStart"/>
      <w:r w:rsidR="00CC32FE">
        <w:rPr>
          <w:rFonts w:ascii="Times New Roman" w:hAnsi="Times New Roman" w:cs="Times New Roman"/>
          <w:sz w:val="24"/>
          <w:szCs w:val="24"/>
        </w:rPr>
        <w:t>bottom</w:t>
      </w:r>
      <w:proofErr w:type="spellEnd"/>
      <w:r w:rsidR="00CC32FE">
        <w:rPr>
          <w:rFonts w:ascii="Times New Roman" w:hAnsi="Times New Roman" w:cs="Times New Roman"/>
          <w:sz w:val="24"/>
          <w:szCs w:val="24"/>
        </w:rPr>
        <w:t>-up »</w:t>
      </w:r>
      <w:r w:rsidR="00AA6A0C">
        <w:rPr>
          <w:rFonts w:ascii="Times New Roman" w:hAnsi="Times New Roman" w:cs="Times New Roman"/>
          <w:sz w:val="24"/>
          <w:szCs w:val="24"/>
        </w:rPr>
        <w:t>)</w:t>
      </w:r>
      <w:r>
        <w:rPr>
          <w:rFonts w:ascii="Times New Roman" w:hAnsi="Times New Roman" w:cs="Times New Roman"/>
          <w:sz w:val="24"/>
          <w:szCs w:val="24"/>
        </w:rPr>
        <w:t xml:space="preserve"> de régionalisation qui</w:t>
      </w:r>
      <w:r w:rsidR="00B74778">
        <w:rPr>
          <w:rFonts w:ascii="Times New Roman" w:hAnsi="Times New Roman" w:cs="Times New Roman"/>
          <w:sz w:val="24"/>
          <w:szCs w:val="24"/>
        </w:rPr>
        <w:t xml:space="preserve"> renforce</w:t>
      </w:r>
      <w:r w:rsidR="00CC32FE">
        <w:rPr>
          <w:rFonts w:ascii="Times New Roman" w:hAnsi="Times New Roman" w:cs="Times New Roman"/>
          <w:sz w:val="24"/>
          <w:szCs w:val="24"/>
        </w:rPr>
        <w:t xml:space="preserve"> de facto</w:t>
      </w:r>
      <w:r>
        <w:rPr>
          <w:rFonts w:ascii="Times New Roman" w:hAnsi="Times New Roman" w:cs="Times New Roman"/>
          <w:sz w:val="24"/>
          <w:szCs w:val="24"/>
        </w:rPr>
        <w:t xml:space="preserve"> l’intégration régionale</w:t>
      </w:r>
      <w:r w:rsidR="00447F07">
        <w:rPr>
          <w:rStyle w:val="Appelnotedebasdep"/>
          <w:rFonts w:ascii="Times New Roman" w:hAnsi="Times New Roman" w:cs="Times New Roman"/>
          <w:sz w:val="24"/>
          <w:szCs w:val="24"/>
        </w:rPr>
        <w:footnoteReference w:id="16"/>
      </w:r>
      <w:r w:rsidR="00CC32FE">
        <w:rPr>
          <w:rFonts w:ascii="Times New Roman" w:hAnsi="Times New Roman" w:cs="Times New Roman"/>
          <w:sz w:val="24"/>
          <w:szCs w:val="24"/>
        </w:rPr>
        <w:t>. Le</w:t>
      </w:r>
      <w:r>
        <w:rPr>
          <w:rFonts w:ascii="Times New Roman" w:hAnsi="Times New Roman" w:cs="Times New Roman"/>
          <w:sz w:val="24"/>
          <w:szCs w:val="24"/>
        </w:rPr>
        <w:t xml:space="preserve">s firmes qui les réalisent </w:t>
      </w:r>
      <w:r w:rsidR="00AA6A0C">
        <w:rPr>
          <w:rFonts w:ascii="Times New Roman" w:hAnsi="Times New Roman" w:cs="Times New Roman"/>
          <w:sz w:val="24"/>
          <w:szCs w:val="24"/>
        </w:rPr>
        <w:t xml:space="preserve">ces IDE </w:t>
      </w:r>
      <w:r>
        <w:rPr>
          <w:rFonts w:ascii="Times New Roman" w:hAnsi="Times New Roman" w:cs="Times New Roman"/>
          <w:sz w:val="24"/>
          <w:szCs w:val="24"/>
        </w:rPr>
        <w:t>soutiennent</w:t>
      </w:r>
      <w:r w:rsidR="00CC32FE">
        <w:rPr>
          <w:rFonts w:ascii="Times New Roman" w:hAnsi="Times New Roman" w:cs="Times New Roman"/>
          <w:sz w:val="24"/>
          <w:szCs w:val="24"/>
        </w:rPr>
        <w:t>, voire organisent un lobbying en faveur de</w:t>
      </w:r>
      <w:r>
        <w:rPr>
          <w:rFonts w:ascii="Times New Roman" w:hAnsi="Times New Roman" w:cs="Times New Roman"/>
          <w:sz w:val="24"/>
          <w:szCs w:val="24"/>
        </w:rPr>
        <w:t xml:space="preserve"> développements institutionnels </w:t>
      </w:r>
      <w:r w:rsidR="00CC32FE">
        <w:rPr>
          <w:rFonts w:ascii="Times New Roman" w:hAnsi="Times New Roman" w:cs="Times New Roman"/>
          <w:sz w:val="24"/>
          <w:szCs w:val="24"/>
        </w:rPr>
        <w:t xml:space="preserve">« top down » </w:t>
      </w:r>
      <w:r>
        <w:rPr>
          <w:rFonts w:ascii="Times New Roman" w:hAnsi="Times New Roman" w:cs="Times New Roman"/>
          <w:sz w:val="24"/>
          <w:szCs w:val="24"/>
        </w:rPr>
        <w:t>qui favorisent la constitution d’un</w:t>
      </w:r>
      <w:r w:rsidR="00CC32FE">
        <w:rPr>
          <w:rFonts w:ascii="Times New Roman" w:hAnsi="Times New Roman" w:cs="Times New Roman"/>
          <w:sz w:val="24"/>
          <w:szCs w:val="24"/>
        </w:rPr>
        <w:t>e zone de libre-échange</w:t>
      </w:r>
      <w:r>
        <w:rPr>
          <w:rFonts w:ascii="Times New Roman" w:hAnsi="Times New Roman" w:cs="Times New Roman"/>
          <w:sz w:val="24"/>
          <w:szCs w:val="24"/>
        </w:rPr>
        <w:t xml:space="preserve"> avec une meilleure libre circulation de</w:t>
      </w:r>
      <w:r w:rsidR="00CC32FE">
        <w:rPr>
          <w:rFonts w:ascii="Times New Roman" w:hAnsi="Times New Roman" w:cs="Times New Roman"/>
          <w:sz w:val="24"/>
          <w:szCs w:val="24"/>
        </w:rPr>
        <w:t>s</w:t>
      </w:r>
      <w:r>
        <w:rPr>
          <w:rFonts w:ascii="Times New Roman" w:hAnsi="Times New Roman" w:cs="Times New Roman"/>
          <w:sz w:val="24"/>
          <w:szCs w:val="24"/>
        </w:rPr>
        <w:t xml:space="preserve"> IDE</w:t>
      </w:r>
      <w:r w:rsidR="00CC32FE">
        <w:rPr>
          <w:rFonts w:ascii="Times New Roman" w:hAnsi="Times New Roman" w:cs="Times New Roman"/>
          <w:sz w:val="24"/>
          <w:szCs w:val="24"/>
        </w:rPr>
        <w:t xml:space="preserve">, des biens et des services. C’est le cas du </w:t>
      </w:r>
      <w:proofErr w:type="spellStart"/>
      <w:r w:rsidR="00CC32FE">
        <w:rPr>
          <w:rFonts w:ascii="Times New Roman" w:hAnsi="Times New Roman" w:cs="Times New Roman"/>
          <w:sz w:val="24"/>
          <w:szCs w:val="24"/>
        </w:rPr>
        <w:t>Keida</w:t>
      </w:r>
      <w:r w:rsidR="00AA6A0C">
        <w:rPr>
          <w:rFonts w:ascii="Times New Roman" w:hAnsi="Times New Roman" w:cs="Times New Roman"/>
          <w:sz w:val="24"/>
          <w:szCs w:val="24"/>
        </w:rPr>
        <w:t>n</w:t>
      </w:r>
      <w:r w:rsidR="00CC32FE">
        <w:rPr>
          <w:rFonts w:ascii="Times New Roman" w:hAnsi="Times New Roman" w:cs="Times New Roman"/>
          <w:sz w:val="24"/>
          <w:szCs w:val="24"/>
        </w:rPr>
        <w:t>ren</w:t>
      </w:r>
      <w:proofErr w:type="spellEnd"/>
      <w:r w:rsidR="00CC32FE">
        <w:rPr>
          <w:rFonts w:ascii="Times New Roman" w:hAnsi="Times New Roman" w:cs="Times New Roman"/>
          <w:sz w:val="24"/>
          <w:szCs w:val="24"/>
        </w:rPr>
        <w:t xml:space="preserve"> japonais pour les accords bilatéraux commerciaux entre le Japon et ses voisins asiatiques au cours des années 1990-2000, d’associations sectorielles américaines pour la mise en place de l’ALENA entre 1991 et 1994. Dans le cas de l’UEE, on voit mal les firmes russes procéder à une telle régionalisation. L’obstacle de la distance géographique est considérable d’autant que les zones les plus peuplées</w:t>
      </w:r>
      <w:r w:rsidR="00D75722">
        <w:rPr>
          <w:rFonts w:ascii="Times New Roman" w:hAnsi="Times New Roman" w:cs="Times New Roman"/>
          <w:sz w:val="24"/>
          <w:szCs w:val="24"/>
        </w:rPr>
        <w:t xml:space="preserve"> de nombreux Etats de la périphé</w:t>
      </w:r>
      <w:r w:rsidR="00CC32FE">
        <w:rPr>
          <w:rFonts w:ascii="Times New Roman" w:hAnsi="Times New Roman" w:cs="Times New Roman"/>
          <w:sz w:val="24"/>
          <w:szCs w:val="24"/>
        </w:rPr>
        <w:t>rie de l’ex-URSS sont rarement contiguës à la Russie</w:t>
      </w:r>
      <w:r w:rsidR="007D17F5">
        <w:rPr>
          <w:rFonts w:ascii="Times New Roman" w:hAnsi="Times New Roman" w:cs="Times New Roman"/>
          <w:sz w:val="24"/>
          <w:szCs w:val="24"/>
        </w:rPr>
        <w:t>. L</w:t>
      </w:r>
      <w:r w:rsidR="00D75722">
        <w:rPr>
          <w:rFonts w:ascii="Times New Roman" w:hAnsi="Times New Roman" w:cs="Times New Roman"/>
          <w:sz w:val="24"/>
          <w:szCs w:val="24"/>
        </w:rPr>
        <w:t>a</w:t>
      </w:r>
      <w:r w:rsidR="007D17F5">
        <w:rPr>
          <w:rFonts w:ascii="Times New Roman" w:hAnsi="Times New Roman" w:cs="Times New Roman"/>
          <w:sz w:val="24"/>
          <w:szCs w:val="24"/>
        </w:rPr>
        <w:t xml:space="preserve"> rareté et la</w:t>
      </w:r>
      <w:r w:rsidR="00D75722">
        <w:rPr>
          <w:rFonts w:ascii="Times New Roman" w:hAnsi="Times New Roman" w:cs="Times New Roman"/>
          <w:sz w:val="24"/>
          <w:szCs w:val="24"/>
        </w:rPr>
        <w:t xml:space="preserve"> vétusté des</w:t>
      </w:r>
      <w:r w:rsidR="00CC32FE">
        <w:rPr>
          <w:rFonts w:ascii="Times New Roman" w:hAnsi="Times New Roman" w:cs="Times New Roman"/>
          <w:sz w:val="24"/>
          <w:szCs w:val="24"/>
        </w:rPr>
        <w:t xml:space="preserve"> </w:t>
      </w:r>
      <w:r w:rsidR="00CC32FE" w:rsidRPr="005E3B7A">
        <w:rPr>
          <w:rFonts w:ascii="Times New Roman" w:hAnsi="Times New Roman" w:cs="Times New Roman"/>
          <w:sz w:val="24"/>
          <w:szCs w:val="24"/>
        </w:rPr>
        <w:t>infrastructures en matière de transports et d’énergie</w:t>
      </w:r>
      <w:r w:rsidR="00D75722" w:rsidRPr="005E3B7A">
        <w:rPr>
          <w:rFonts w:ascii="Times New Roman" w:hAnsi="Times New Roman" w:cs="Times New Roman"/>
          <w:sz w:val="24"/>
          <w:szCs w:val="24"/>
        </w:rPr>
        <w:t xml:space="preserve"> engendreraient des goulots d’étranglement qui </w:t>
      </w:r>
      <w:r w:rsidR="005E3B7A" w:rsidRPr="005E3B7A">
        <w:rPr>
          <w:rFonts w:ascii="Times New Roman" w:hAnsi="Times New Roman" w:cs="Times New Roman"/>
          <w:sz w:val="24"/>
          <w:szCs w:val="24"/>
        </w:rPr>
        <w:t>pourraient anéantir</w:t>
      </w:r>
      <w:r w:rsidR="00D75722" w:rsidRPr="005E3B7A">
        <w:rPr>
          <w:rFonts w:ascii="Times New Roman" w:hAnsi="Times New Roman" w:cs="Times New Roman"/>
          <w:sz w:val="24"/>
          <w:szCs w:val="24"/>
        </w:rPr>
        <w:t xml:space="preserve"> les gains liés à la réduction du coût du travail.</w:t>
      </w:r>
      <w:r w:rsidR="005E3B7A" w:rsidRPr="005E3B7A">
        <w:rPr>
          <w:rFonts w:ascii="Times New Roman" w:hAnsi="Times New Roman" w:cs="Times New Roman"/>
          <w:sz w:val="24"/>
          <w:szCs w:val="24"/>
        </w:rPr>
        <w:t xml:space="preserve"> Ces gains seront limités car, mis à part le </w:t>
      </w:r>
      <w:r w:rsidR="00496350">
        <w:rPr>
          <w:rFonts w:ascii="Times New Roman" w:hAnsi="Times New Roman" w:cs="Times New Roman"/>
          <w:sz w:val="24"/>
          <w:szCs w:val="24"/>
          <w:shd w:val="clear" w:color="auto" w:fill="FFFFFF"/>
        </w:rPr>
        <w:t>Kirghizstan</w:t>
      </w:r>
      <w:r w:rsidR="005E3B7A" w:rsidRPr="005E3B7A">
        <w:rPr>
          <w:rFonts w:ascii="Times New Roman" w:hAnsi="Times New Roman" w:cs="Times New Roman"/>
          <w:sz w:val="24"/>
          <w:szCs w:val="24"/>
          <w:shd w:val="clear" w:color="auto" w:fill="FFFFFF"/>
        </w:rPr>
        <w:t>, les écarts salariaux entre la Russie et les autres Etats membres de l’UEE sont bien plus faibles qu’au sein de l’UE, de l’ASEAN ou de l’ALENA</w:t>
      </w:r>
      <w:r w:rsidR="007D17F5">
        <w:rPr>
          <w:rFonts w:ascii="Times New Roman" w:hAnsi="Times New Roman" w:cs="Times New Roman"/>
          <w:sz w:val="24"/>
          <w:szCs w:val="24"/>
          <w:shd w:val="clear" w:color="auto" w:fill="FFFFFF"/>
        </w:rPr>
        <w:t xml:space="preserve"> (voir les graphiques ci-dessous)</w:t>
      </w:r>
      <w:r w:rsidR="005E3B7A" w:rsidRPr="005E3B7A">
        <w:rPr>
          <w:rFonts w:ascii="Times New Roman" w:hAnsi="Times New Roman" w:cs="Times New Roman"/>
          <w:sz w:val="24"/>
          <w:szCs w:val="24"/>
          <w:shd w:val="clear" w:color="auto" w:fill="FFFFFF"/>
        </w:rPr>
        <w:t>.</w:t>
      </w:r>
      <w:r w:rsidR="005E3B7A">
        <w:rPr>
          <w:rFonts w:ascii="Times New Roman" w:hAnsi="Times New Roman" w:cs="Times New Roman"/>
          <w:sz w:val="24"/>
          <w:szCs w:val="24"/>
          <w:shd w:val="clear" w:color="auto" w:fill="FFFFFF"/>
        </w:rPr>
        <w:t xml:space="preserve"> Or, la localisation géographique des zones peuplées du</w:t>
      </w:r>
      <w:r w:rsidR="00C41C90">
        <w:rPr>
          <w:rFonts w:ascii="Times New Roman" w:hAnsi="Times New Roman" w:cs="Times New Roman"/>
          <w:sz w:val="24"/>
          <w:szCs w:val="24"/>
          <w:shd w:val="clear" w:color="auto" w:fill="FFFFFF"/>
        </w:rPr>
        <w:t xml:space="preserve"> </w:t>
      </w:r>
      <w:r w:rsidR="00496350">
        <w:rPr>
          <w:rFonts w:ascii="Times New Roman" w:hAnsi="Times New Roman" w:cs="Times New Roman"/>
          <w:sz w:val="24"/>
          <w:szCs w:val="24"/>
          <w:shd w:val="clear" w:color="auto" w:fill="FFFFFF"/>
        </w:rPr>
        <w:t>Kirghizstan</w:t>
      </w:r>
      <w:r w:rsidR="005E3B7A">
        <w:rPr>
          <w:rFonts w:ascii="Times New Roman" w:hAnsi="Times New Roman" w:cs="Times New Roman"/>
          <w:sz w:val="24"/>
          <w:szCs w:val="24"/>
          <w:shd w:val="clear" w:color="auto" w:fill="FFFFFF"/>
        </w:rPr>
        <w:t xml:space="preserve"> les rendent peu attractives aux firmes russes. L’émigration clandestine massive des pays voisins de la Russie (y compris de la Chine) fournit une main d’œuvre flexible et bon marché qui réduit encore les incitants à délocaliser les activités intensive en travail en dehors de Russie. L’évolution démographique et l’amélioration des infrastructures pourraient modifier cette donne à long terme mais dans la période présente, la dynamique microéconomique </w:t>
      </w:r>
      <w:proofErr w:type="spellStart"/>
      <w:r w:rsidR="005E3B7A" w:rsidRPr="005E3B7A">
        <w:rPr>
          <w:rFonts w:ascii="Times New Roman" w:hAnsi="Times New Roman" w:cs="Times New Roman"/>
          <w:i/>
          <w:sz w:val="24"/>
          <w:szCs w:val="24"/>
          <w:shd w:val="clear" w:color="auto" w:fill="FFFFFF"/>
        </w:rPr>
        <w:t>bottom</w:t>
      </w:r>
      <w:proofErr w:type="spellEnd"/>
      <w:r w:rsidR="005E3B7A" w:rsidRPr="005E3B7A">
        <w:rPr>
          <w:rFonts w:ascii="Times New Roman" w:hAnsi="Times New Roman" w:cs="Times New Roman"/>
          <w:i/>
          <w:sz w:val="24"/>
          <w:szCs w:val="24"/>
          <w:shd w:val="clear" w:color="auto" w:fill="FFFFFF"/>
        </w:rPr>
        <w:t>-up</w:t>
      </w:r>
      <w:r w:rsidR="005E3B7A">
        <w:rPr>
          <w:rFonts w:ascii="Times New Roman" w:hAnsi="Times New Roman" w:cs="Times New Roman"/>
          <w:sz w:val="24"/>
          <w:szCs w:val="24"/>
          <w:shd w:val="clear" w:color="auto" w:fill="FFFFFF"/>
        </w:rPr>
        <w:t xml:space="preserve"> en faveur du renforcement de l’intégration de l’U</w:t>
      </w:r>
      <w:r w:rsidR="007D17F5">
        <w:rPr>
          <w:rFonts w:ascii="Times New Roman" w:hAnsi="Times New Roman" w:cs="Times New Roman"/>
          <w:sz w:val="24"/>
          <w:szCs w:val="24"/>
          <w:shd w:val="clear" w:color="auto" w:fill="FFFFFF"/>
        </w:rPr>
        <w:t xml:space="preserve">EE reste marginale comme l’indiquent les chiffres du commerce </w:t>
      </w:r>
      <w:proofErr w:type="spellStart"/>
      <w:r w:rsidR="007D17F5">
        <w:rPr>
          <w:rFonts w:ascii="Times New Roman" w:hAnsi="Times New Roman" w:cs="Times New Roman"/>
          <w:sz w:val="24"/>
          <w:szCs w:val="24"/>
          <w:shd w:val="clear" w:color="auto" w:fill="FFFFFF"/>
        </w:rPr>
        <w:t>intrarégional</w:t>
      </w:r>
      <w:proofErr w:type="spellEnd"/>
      <w:r w:rsidR="007D17F5">
        <w:rPr>
          <w:rStyle w:val="Appelnotedebasdep"/>
          <w:rFonts w:ascii="Times New Roman" w:hAnsi="Times New Roman" w:cs="Times New Roman"/>
          <w:sz w:val="24"/>
          <w:szCs w:val="24"/>
          <w:shd w:val="clear" w:color="auto" w:fill="FFFFFF"/>
        </w:rPr>
        <w:footnoteReference w:id="17"/>
      </w:r>
      <w:r w:rsidR="005E3B7A">
        <w:rPr>
          <w:rFonts w:ascii="Times New Roman" w:hAnsi="Times New Roman" w:cs="Times New Roman"/>
          <w:sz w:val="24"/>
          <w:szCs w:val="24"/>
          <w:shd w:val="clear" w:color="auto" w:fill="FFFFFF"/>
        </w:rPr>
        <w:t xml:space="preserve">. </w:t>
      </w:r>
    </w:p>
    <w:p w:rsidR="00EC0B9E" w:rsidRDefault="00EC0B9E" w:rsidP="002C7854">
      <w:pPr>
        <w:jc w:val="both"/>
        <w:rPr>
          <w:rFonts w:ascii="Times New Roman" w:hAnsi="Times New Roman" w:cs="Times New Roman"/>
          <w:sz w:val="24"/>
          <w:szCs w:val="24"/>
          <w:shd w:val="clear" w:color="auto" w:fill="FFFFFF"/>
        </w:rPr>
        <w:sectPr w:rsidR="00EC0B9E" w:rsidSect="007A5140">
          <w:type w:val="continuous"/>
          <w:pgSz w:w="11906" w:h="16838"/>
          <w:pgMar w:top="1417" w:right="1417" w:bottom="1417" w:left="1417" w:header="708" w:footer="708" w:gutter="0"/>
          <w:cols w:num="2" w:space="708"/>
          <w:docGrid w:linePitch="360"/>
        </w:sectPr>
      </w:pPr>
    </w:p>
    <w:p w:rsidR="00EA053C" w:rsidRDefault="00EA053C" w:rsidP="002C7854">
      <w:pPr>
        <w:jc w:val="both"/>
        <w:rPr>
          <w:rFonts w:ascii="Times New Roman" w:hAnsi="Times New Roman" w:cs="Times New Roman"/>
          <w:sz w:val="24"/>
          <w:szCs w:val="24"/>
          <w:shd w:val="clear" w:color="auto" w:fill="FFFFFF"/>
        </w:rPr>
      </w:pPr>
      <w:r>
        <w:rPr>
          <w:noProof/>
          <w:lang w:val="en-GB" w:eastAsia="en-GB"/>
        </w:rPr>
        <w:drawing>
          <wp:inline distT="0" distB="0" distL="0" distR="0" wp14:anchorId="5E823229" wp14:editId="3D157E5C">
            <wp:extent cx="3074276" cy="2916621"/>
            <wp:effectExtent l="0" t="0" r="12065" b="17145"/>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C0B9E" w:rsidRDefault="005E3B7A" w:rsidP="002C7854">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p>
    <w:p w:rsidR="00947986" w:rsidRPr="005E3B7A" w:rsidRDefault="00EA053C" w:rsidP="002C7854">
      <w:pPr>
        <w:jc w:val="both"/>
        <w:rPr>
          <w:rFonts w:ascii="Times New Roman" w:hAnsi="Times New Roman" w:cs="Times New Roman"/>
          <w:sz w:val="24"/>
          <w:szCs w:val="24"/>
        </w:rPr>
      </w:pPr>
      <w:r>
        <w:rPr>
          <w:noProof/>
          <w:lang w:val="en-GB" w:eastAsia="en-GB"/>
        </w:rPr>
        <w:drawing>
          <wp:inline distT="0" distB="0" distL="0" distR="0" wp14:anchorId="33967498" wp14:editId="2DF79E77">
            <wp:extent cx="2632710" cy="2916555"/>
            <wp:effectExtent l="0" t="0" r="15240" b="17145"/>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A5A63" w:rsidRPr="006A5A63" w:rsidRDefault="006A5A63" w:rsidP="007A5140">
      <w:pPr>
        <w:jc w:val="center"/>
        <w:rPr>
          <w:rFonts w:ascii="Times New Roman" w:hAnsi="Times New Roman" w:cs="Times New Roman"/>
          <w:sz w:val="24"/>
          <w:szCs w:val="24"/>
        </w:rPr>
      </w:pPr>
      <w:r w:rsidRPr="006A5A63">
        <w:rPr>
          <w:rFonts w:ascii="Times New Roman" w:hAnsi="Times New Roman" w:cs="Times New Roman"/>
          <w:sz w:val="24"/>
          <w:szCs w:val="24"/>
        </w:rPr>
        <w:t>source: ILO stat 2016 &amp; XE.com 2016)</w:t>
      </w:r>
    </w:p>
    <w:p w:rsidR="007A5140" w:rsidRDefault="007A5140" w:rsidP="002C7854">
      <w:pPr>
        <w:jc w:val="both"/>
        <w:rPr>
          <w:rFonts w:ascii="Times New Roman" w:hAnsi="Times New Roman" w:cs="Times New Roman"/>
          <w:sz w:val="24"/>
          <w:szCs w:val="24"/>
        </w:rPr>
        <w:sectPr w:rsidR="007A5140" w:rsidSect="007A5140">
          <w:type w:val="continuous"/>
          <w:pgSz w:w="11906" w:h="16838"/>
          <w:pgMar w:top="1417" w:right="1417" w:bottom="1417" w:left="1417" w:header="708" w:footer="708" w:gutter="0"/>
          <w:cols w:num="2" w:space="708"/>
          <w:docGrid w:linePitch="360"/>
        </w:sectPr>
      </w:pPr>
    </w:p>
    <w:p w:rsidR="002230FF" w:rsidRPr="000F148E" w:rsidRDefault="00904DF6" w:rsidP="000F148E">
      <w:pPr>
        <w:pStyle w:val="Paragraphedeliste"/>
        <w:numPr>
          <w:ilvl w:val="1"/>
          <w:numId w:val="1"/>
        </w:numPr>
        <w:jc w:val="both"/>
        <w:rPr>
          <w:rFonts w:ascii="Times New Roman" w:hAnsi="Times New Roman" w:cs="Times New Roman"/>
          <w:b/>
          <w:sz w:val="24"/>
          <w:szCs w:val="24"/>
        </w:rPr>
      </w:pPr>
      <w:r w:rsidRPr="000F148E">
        <w:rPr>
          <w:rFonts w:ascii="Times New Roman" w:hAnsi="Times New Roman" w:cs="Times New Roman"/>
          <w:b/>
          <w:sz w:val="24"/>
          <w:szCs w:val="24"/>
        </w:rPr>
        <w:lastRenderedPageBreak/>
        <w:t>La faiblesse technologique de la Russie</w:t>
      </w:r>
      <w:r w:rsidR="002230FF" w:rsidRPr="000F148E">
        <w:rPr>
          <w:rFonts w:ascii="Times New Roman" w:hAnsi="Times New Roman" w:cs="Times New Roman"/>
          <w:b/>
          <w:sz w:val="24"/>
          <w:szCs w:val="24"/>
        </w:rPr>
        <w:t xml:space="preserve"> </w:t>
      </w:r>
    </w:p>
    <w:p w:rsidR="002D6602" w:rsidRDefault="002230FF" w:rsidP="002C7854">
      <w:pPr>
        <w:jc w:val="both"/>
        <w:rPr>
          <w:rFonts w:ascii="Times New Roman" w:hAnsi="Times New Roman" w:cs="Times New Roman"/>
          <w:sz w:val="24"/>
          <w:szCs w:val="24"/>
        </w:rPr>
      </w:pPr>
      <w:r>
        <w:rPr>
          <w:rFonts w:ascii="Times New Roman" w:hAnsi="Times New Roman" w:cs="Times New Roman"/>
          <w:sz w:val="24"/>
          <w:szCs w:val="24"/>
        </w:rPr>
        <w:t>La chute de l’URSS et l’effondrement économique du début des années 1990 a entrainé une fuite des cerveaux et la déstructuration des unités de recherche russe. Malgré la volonté affichée du gouvernement russe de créer des zones de haute technologie, la corruption généralisée conjuguée à une société autoritaire et à la montée du nationalisme et du racisme fait</w:t>
      </w:r>
      <w:r w:rsidR="0003338A">
        <w:rPr>
          <w:rFonts w:ascii="Times New Roman" w:hAnsi="Times New Roman" w:cs="Times New Roman"/>
          <w:sz w:val="24"/>
          <w:szCs w:val="24"/>
        </w:rPr>
        <w:t xml:space="preserve"> que la communauté scientifique russe est moins</w:t>
      </w:r>
      <w:r w:rsidR="00271F01">
        <w:rPr>
          <w:rFonts w:ascii="Times New Roman" w:hAnsi="Times New Roman" w:cs="Times New Roman"/>
          <w:sz w:val="24"/>
          <w:szCs w:val="24"/>
        </w:rPr>
        <w:t xml:space="preserve"> cosmopolite</w:t>
      </w:r>
      <w:r>
        <w:rPr>
          <w:rFonts w:ascii="Times New Roman" w:hAnsi="Times New Roman" w:cs="Times New Roman"/>
          <w:sz w:val="24"/>
          <w:szCs w:val="24"/>
        </w:rPr>
        <w:t xml:space="preserve"> </w:t>
      </w:r>
      <w:r w:rsidR="0003338A">
        <w:rPr>
          <w:rFonts w:ascii="Times New Roman" w:hAnsi="Times New Roman" w:cs="Times New Roman"/>
          <w:sz w:val="24"/>
          <w:szCs w:val="24"/>
        </w:rPr>
        <w:t>et moins</w:t>
      </w:r>
      <w:r w:rsidR="00271F01">
        <w:rPr>
          <w:rFonts w:ascii="Times New Roman" w:hAnsi="Times New Roman" w:cs="Times New Roman"/>
          <w:sz w:val="24"/>
          <w:szCs w:val="24"/>
        </w:rPr>
        <w:t xml:space="preserve"> insérée</w:t>
      </w:r>
      <w:r>
        <w:rPr>
          <w:rFonts w:ascii="Times New Roman" w:hAnsi="Times New Roman" w:cs="Times New Roman"/>
          <w:sz w:val="24"/>
          <w:szCs w:val="24"/>
        </w:rPr>
        <w:t xml:space="preserve"> dans les réseaux de recherche internationaux</w:t>
      </w:r>
      <w:r w:rsidR="00271F01">
        <w:rPr>
          <w:rFonts w:ascii="Times New Roman" w:hAnsi="Times New Roman" w:cs="Times New Roman"/>
          <w:sz w:val="24"/>
          <w:szCs w:val="24"/>
        </w:rPr>
        <w:t xml:space="preserve"> que ses</w:t>
      </w:r>
      <w:r w:rsidR="0003338A">
        <w:rPr>
          <w:rFonts w:ascii="Times New Roman" w:hAnsi="Times New Roman" w:cs="Times New Roman"/>
          <w:sz w:val="24"/>
          <w:szCs w:val="24"/>
        </w:rPr>
        <w:t xml:space="preserve"> homologues occidentaux</w:t>
      </w:r>
      <w:r>
        <w:rPr>
          <w:rFonts w:ascii="Times New Roman" w:hAnsi="Times New Roman" w:cs="Times New Roman"/>
          <w:sz w:val="24"/>
          <w:szCs w:val="24"/>
        </w:rPr>
        <w:t>. Bien le développement de leurs secteurs de haute technologie soient plus récent que celui de la Russie, la Corée du sud, Taiwan, l’Inde ou la Chine offrent plus d’opportunités à des chercheurs internationaux et sont plus en contact avec les centres de recherche oc</w:t>
      </w:r>
      <w:r w:rsidR="007D17F5">
        <w:rPr>
          <w:rFonts w:ascii="Times New Roman" w:hAnsi="Times New Roman" w:cs="Times New Roman"/>
          <w:sz w:val="24"/>
          <w:szCs w:val="24"/>
        </w:rPr>
        <w:t>cidentaux les plus avancés</w:t>
      </w:r>
      <w:r>
        <w:rPr>
          <w:rFonts w:ascii="Times New Roman" w:hAnsi="Times New Roman" w:cs="Times New Roman"/>
          <w:sz w:val="24"/>
          <w:szCs w:val="24"/>
        </w:rPr>
        <w:t>.</w:t>
      </w:r>
      <w:r w:rsidR="0003338A">
        <w:rPr>
          <w:rFonts w:ascii="Times New Roman" w:hAnsi="Times New Roman" w:cs="Times New Roman"/>
          <w:sz w:val="24"/>
          <w:szCs w:val="24"/>
        </w:rPr>
        <w:t xml:space="preserve"> La situation de la R&amp;D</w:t>
      </w:r>
      <w:r>
        <w:rPr>
          <w:rFonts w:ascii="Times New Roman" w:hAnsi="Times New Roman" w:cs="Times New Roman"/>
          <w:sz w:val="24"/>
          <w:szCs w:val="24"/>
        </w:rPr>
        <w:t xml:space="preserve"> </w:t>
      </w:r>
      <w:r w:rsidR="0003338A">
        <w:rPr>
          <w:rFonts w:ascii="Times New Roman" w:hAnsi="Times New Roman" w:cs="Times New Roman"/>
          <w:sz w:val="24"/>
          <w:szCs w:val="24"/>
        </w:rPr>
        <w:t>russe s’est améliorée dans les années 2000 par rapport à la décennie précédente qui fut catastrophique ma</w:t>
      </w:r>
      <w:r w:rsidR="00426EFE">
        <w:rPr>
          <w:rFonts w:ascii="Times New Roman" w:hAnsi="Times New Roman" w:cs="Times New Roman"/>
          <w:sz w:val="24"/>
          <w:szCs w:val="24"/>
        </w:rPr>
        <w:t>is la Russie ne consacre que 1,13</w:t>
      </w:r>
      <w:r w:rsidR="0003338A">
        <w:rPr>
          <w:rFonts w:ascii="Times New Roman" w:hAnsi="Times New Roman" w:cs="Times New Roman"/>
          <w:sz w:val="24"/>
          <w:szCs w:val="24"/>
        </w:rPr>
        <w:t xml:space="preserve">% à ses dépenses </w:t>
      </w:r>
      <w:r w:rsidR="00426EFE">
        <w:rPr>
          <w:rFonts w:ascii="Times New Roman" w:hAnsi="Times New Roman" w:cs="Times New Roman"/>
          <w:sz w:val="24"/>
          <w:szCs w:val="24"/>
        </w:rPr>
        <w:t>de R&amp;D</w:t>
      </w:r>
      <w:r w:rsidR="00271F01">
        <w:rPr>
          <w:rFonts w:ascii="Times New Roman" w:hAnsi="Times New Roman" w:cs="Times New Roman"/>
          <w:sz w:val="24"/>
          <w:szCs w:val="24"/>
        </w:rPr>
        <w:t>,</w:t>
      </w:r>
      <w:r w:rsidR="00426EFE">
        <w:rPr>
          <w:rFonts w:ascii="Times New Roman" w:hAnsi="Times New Roman" w:cs="Times New Roman"/>
          <w:sz w:val="24"/>
          <w:szCs w:val="24"/>
        </w:rPr>
        <w:t xml:space="preserve"> ce qui la place derrière le</w:t>
      </w:r>
      <w:r w:rsidR="0003338A">
        <w:rPr>
          <w:rFonts w:ascii="Times New Roman" w:hAnsi="Times New Roman" w:cs="Times New Roman"/>
          <w:sz w:val="24"/>
          <w:szCs w:val="24"/>
        </w:rPr>
        <w:t xml:space="preserve"> </w:t>
      </w:r>
      <w:r w:rsidR="00426EFE">
        <w:rPr>
          <w:rFonts w:ascii="Times New Roman" w:hAnsi="Times New Roman" w:cs="Times New Roman"/>
          <w:sz w:val="24"/>
          <w:szCs w:val="24"/>
        </w:rPr>
        <w:t>Portugal</w:t>
      </w:r>
      <w:r w:rsidR="0003338A">
        <w:rPr>
          <w:rFonts w:ascii="Times New Roman" w:hAnsi="Times New Roman" w:cs="Times New Roman"/>
          <w:sz w:val="24"/>
          <w:szCs w:val="24"/>
        </w:rPr>
        <w:t xml:space="preserve"> ou la Chine et loin derrière l</w:t>
      </w:r>
      <w:r w:rsidR="00426EFE">
        <w:rPr>
          <w:rFonts w:ascii="Times New Roman" w:hAnsi="Times New Roman" w:cs="Times New Roman"/>
          <w:sz w:val="24"/>
          <w:szCs w:val="24"/>
        </w:rPr>
        <w:t>’Allemagne ou le Japon</w:t>
      </w:r>
      <w:r w:rsidR="00A35B88">
        <w:rPr>
          <w:rFonts w:ascii="Times New Roman" w:hAnsi="Times New Roman" w:cs="Times New Roman"/>
          <w:sz w:val="24"/>
          <w:szCs w:val="24"/>
        </w:rPr>
        <w:t xml:space="preserve"> (voir graphique</w:t>
      </w:r>
      <w:r w:rsidR="007D17F5">
        <w:rPr>
          <w:rFonts w:ascii="Times New Roman" w:hAnsi="Times New Roman" w:cs="Times New Roman"/>
          <w:sz w:val="24"/>
          <w:szCs w:val="24"/>
        </w:rPr>
        <w:t xml:space="preserve"> ci-dessous)</w:t>
      </w:r>
      <w:r w:rsidR="0003338A">
        <w:rPr>
          <w:rFonts w:ascii="Times New Roman" w:hAnsi="Times New Roman" w:cs="Times New Roman"/>
          <w:sz w:val="24"/>
          <w:szCs w:val="24"/>
        </w:rPr>
        <w:t>. En termes de</w:t>
      </w:r>
      <w:r w:rsidR="007D17F5">
        <w:rPr>
          <w:rFonts w:ascii="Times New Roman" w:hAnsi="Times New Roman" w:cs="Times New Roman"/>
          <w:sz w:val="24"/>
          <w:szCs w:val="24"/>
        </w:rPr>
        <w:t xml:space="preserve"> revenus et de dépenses en matières de propriété intellectuelle</w:t>
      </w:r>
      <w:r w:rsidR="0003338A">
        <w:rPr>
          <w:rFonts w:ascii="Times New Roman" w:hAnsi="Times New Roman" w:cs="Times New Roman"/>
          <w:sz w:val="24"/>
          <w:szCs w:val="24"/>
        </w:rPr>
        <w:t>, les performances de la Russie sont plus proches de celles d’une économie émergente que d’</w:t>
      </w:r>
      <w:r w:rsidR="002D6602">
        <w:rPr>
          <w:rFonts w:ascii="Times New Roman" w:hAnsi="Times New Roman" w:cs="Times New Roman"/>
          <w:sz w:val="24"/>
          <w:szCs w:val="24"/>
        </w:rPr>
        <w:t>un</w:t>
      </w:r>
      <w:r w:rsidR="00A35B88">
        <w:rPr>
          <w:rFonts w:ascii="Times New Roman" w:hAnsi="Times New Roman" w:cs="Times New Roman"/>
          <w:sz w:val="24"/>
          <w:szCs w:val="24"/>
        </w:rPr>
        <w:t xml:space="preserve"> pays développé (voir graphique</w:t>
      </w:r>
      <w:r w:rsidR="00C61FB2">
        <w:rPr>
          <w:rFonts w:ascii="Times New Roman" w:hAnsi="Times New Roman" w:cs="Times New Roman"/>
          <w:sz w:val="24"/>
          <w:szCs w:val="24"/>
        </w:rPr>
        <w:t xml:space="preserve"> </w:t>
      </w:r>
      <w:r w:rsidR="002D6602">
        <w:rPr>
          <w:rFonts w:ascii="Times New Roman" w:hAnsi="Times New Roman" w:cs="Times New Roman"/>
          <w:sz w:val="24"/>
          <w:szCs w:val="24"/>
        </w:rPr>
        <w:t>ci-dessous</w:t>
      </w:r>
      <w:r w:rsidR="00C61FB2">
        <w:rPr>
          <w:rFonts w:ascii="Times New Roman" w:hAnsi="Times New Roman" w:cs="Times New Roman"/>
          <w:sz w:val="24"/>
          <w:szCs w:val="24"/>
        </w:rPr>
        <w:t>)</w:t>
      </w:r>
      <w:r w:rsidR="00FE6911">
        <w:rPr>
          <w:rFonts w:ascii="Times New Roman" w:hAnsi="Times New Roman" w:cs="Times New Roman"/>
          <w:sz w:val="24"/>
          <w:szCs w:val="24"/>
        </w:rPr>
        <w:t xml:space="preserve">. Les points forts </w:t>
      </w:r>
      <w:r w:rsidR="00271F01">
        <w:rPr>
          <w:rFonts w:ascii="Times New Roman" w:hAnsi="Times New Roman" w:cs="Times New Roman"/>
          <w:sz w:val="24"/>
          <w:szCs w:val="24"/>
        </w:rPr>
        <w:t>de la technologie russe, hérités</w:t>
      </w:r>
      <w:r w:rsidR="00FE6911">
        <w:rPr>
          <w:rFonts w:ascii="Times New Roman" w:hAnsi="Times New Roman" w:cs="Times New Roman"/>
          <w:sz w:val="24"/>
          <w:szCs w:val="24"/>
        </w:rPr>
        <w:t xml:space="preserve"> de la période soviétique, se situent dans le domaine militaire et aéronautique, bien que l’écart technologique se creuse en faveur des Etats-Unis et que le matériel militaire soviétique n’est généralement plus considéré comme du haut-de-gamme. Dans les secteurs industriels civils, la Russie n’atteint pas le niveau des pays les plus développés.  </w:t>
      </w:r>
      <w:r>
        <w:rPr>
          <w:rFonts w:ascii="Times New Roman" w:hAnsi="Times New Roman" w:cs="Times New Roman"/>
          <w:sz w:val="24"/>
          <w:szCs w:val="24"/>
        </w:rPr>
        <w:t xml:space="preserve">  </w:t>
      </w:r>
    </w:p>
    <w:p w:rsidR="00271F01" w:rsidRDefault="00271F01" w:rsidP="002C7854">
      <w:pPr>
        <w:jc w:val="both"/>
        <w:rPr>
          <w:rFonts w:ascii="Times New Roman" w:hAnsi="Times New Roman" w:cs="Times New Roman"/>
          <w:sz w:val="24"/>
          <w:szCs w:val="24"/>
        </w:rPr>
      </w:pPr>
    </w:p>
    <w:p w:rsidR="00271F01" w:rsidRDefault="00271F01" w:rsidP="002C7854">
      <w:pPr>
        <w:jc w:val="both"/>
        <w:rPr>
          <w:rFonts w:ascii="Times New Roman" w:hAnsi="Times New Roman" w:cs="Times New Roman"/>
          <w:sz w:val="24"/>
          <w:szCs w:val="24"/>
        </w:rPr>
        <w:sectPr w:rsidR="00271F01" w:rsidSect="00EC0B9E">
          <w:type w:val="continuous"/>
          <w:pgSz w:w="11906" w:h="16838"/>
          <w:pgMar w:top="1417" w:right="1417" w:bottom="1417" w:left="1417" w:header="708" w:footer="708" w:gutter="0"/>
          <w:cols w:space="708"/>
          <w:docGrid w:linePitch="360"/>
        </w:sectPr>
      </w:pPr>
    </w:p>
    <w:p w:rsidR="006F3977" w:rsidRDefault="00426EFE" w:rsidP="002C7854">
      <w:pPr>
        <w:jc w:val="both"/>
        <w:rPr>
          <w:rFonts w:ascii="Times New Roman" w:hAnsi="Times New Roman" w:cs="Times New Roman"/>
          <w:sz w:val="24"/>
          <w:szCs w:val="24"/>
        </w:rPr>
      </w:pPr>
      <w:r>
        <w:rPr>
          <w:noProof/>
          <w:lang w:val="en-GB" w:eastAsia="en-GB"/>
        </w:rPr>
        <w:drawing>
          <wp:inline distT="0" distB="0" distL="0" distR="0" wp14:anchorId="23A9A23F" wp14:editId="58B20BA7">
            <wp:extent cx="2832100" cy="4300810"/>
            <wp:effectExtent l="0" t="0" r="6350" b="508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A5A63" w:rsidRDefault="006A5A63" w:rsidP="007A5140">
      <w:pPr>
        <w:rPr>
          <w:rFonts w:ascii="Times New Roman" w:hAnsi="Times New Roman" w:cs="Times New Roman"/>
          <w:sz w:val="24"/>
          <w:szCs w:val="24"/>
        </w:rPr>
      </w:pPr>
      <w:r>
        <w:rPr>
          <w:rFonts w:ascii="Times New Roman" w:hAnsi="Times New Roman" w:cs="Times New Roman"/>
          <w:sz w:val="24"/>
          <w:szCs w:val="24"/>
        </w:rPr>
        <w:t>Source : Banque Mondiale, data, 2016</w:t>
      </w:r>
    </w:p>
    <w:p w:rsidR="002D6602" w:rsidRDefault="002D6602" w:rsidP="002C7854">
      <w:pPr>
        <w:jc w:val="both"/>
        <w:rPr>
          <w:rFonts w:ascii="Times New Roman" w:hAnsi="Times New Roman" w:cs="Times New Roman"/>
          <w:sz w:val="24"/>
          <w:szCs w:val="24"/>
        </w:rPr>
      </w:pPr>
      <w:r>
        <w:rPr>
          <w:noProof/>
          <w:lang w:val="en-GB" w:eastAsia="en-GB"/>
        </w:rPr>
        <w:drawing>
          <wp:inline distT="0" distB="0" distL="0" distR="0" wp14:anchorId="1E8B0936" wp14:editId="5F740848">
            <wp:extent cx="3054350" cy="4284921"/>
            <wp:effectExtent l="0" t="0" r="12700" b="1905"/>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D6602" w:rsidRDefault="002D6602" w:rsidP="002C7854">
      <w:pPr>
        <w:jc w:val="both"/>
        <w:rPr>
          <w:rFonts w:ascii="Times New Roman" w:hAnsi="Times New Roman" w:cs="Times New Roman"/>
          <w:sz w:val="24"/>
          <w:szCs w:val="24"/>
        </w:rPr>
        <w:sectPr w:rsidR="002D6602" w:rsidSect="002D6602">
          <w:type w:val="continuous"/>
          <w:pgSz w:w="11906" w:h="16838"/>
          <w:pgMar w:top="1417" w:right="1417" w:bottom="1417" w:left="1417" w:header="708" w:footer="708" w:gutter="0"/>
          <w:cols w:num="2" w:space="708"/>
          <w:docGrid w:linePitch="360"/>
        </w:sectPr>
      </w:pPr>
    </w:p>
    <w:p w:rsidR="007A5140" w:rsidRDefault="007A5140" w:rsidP="002C7854">
      <w:pPr>
        <w:jc w:val="both"/>
        <w:rPr>
          <w:rFonts w:ascii="Times New Roman" w:hAnsi="Times New Roman" w:cs="Times New Roman"/>
          <w:sz w:val="24"/>
          <w:szCs w:val="24"/>
        </w:rPr>
      </w:pPr>
    </w:p>
    <w:p w:rsidR="0077434E" w:rsidRDefault="00FE6911" w:rsidP="002C7854">
      <w:pPr>
        <w:jc w:val="both"/>
        <w:rPr>
          <w:rFonts w:ascii="Times New Roman" w:hAnsi="Times New Roman" w:cs="Times New Roman"/>
          <w:sz w:val="24"/>
          <w:szCs w:val="24"/>
        </w:rPr>
      </w:pPr>
      <w:r>
        <w:rPr>
          <w:rFonts w:ascii="Times New Roman" w:hAnsi="Times New Roman" w:cs="Times New Roman"/>
          <w:sz w:val="24"/>
          <w:szCs w:val="24"/>
        </w:rPr>
        <w:t>Cette performance moyenne de la Russie en matière technologique fragilise UEE</w:t>
      </w:r>
      <w:r w:rsidR="009634DD">
        <w:rPr>
          <w:rFonts w:ascii="Times New Roman" w:hAnsi="Times New Roman" w:cs="Times New Roman"/>
          <w:sz w:val="24"/>
          <w:szCs w:val="24"/>
        </w:rPr>
        <w:t xml:space="preserve"> car elle limite les complémentarités. Si le gouvernement russe veut profiter de l’union douanière eurasiatique et d’un marché plus intégré au sein de l’UEE pour permettre à ses firmes de bénéficier d’économies d’échelle et d’effets d’apprentissage, cela signifie que l’UEE ne pourra être un processus très ouvert</w:t>
      </w:r>
      <w:r w:rsidR="00271F01">
        <w:rPr>
          <w:rFonts w:ascii="Times New Roman" w:hAnsi="Times New Roman" w:cs="Times New Roman"/>
          <w:sz w:val="24"/>
          <w:szCs w:val="24"/>
        </w:rPr>
        <w:t xml:space="preserve"> à la concurrence mondiale</w:t>
      </w:r>
      <w:r w:rsidR="009634DD">
        <w:rPr>
          <w:rFonts w:ascii="Times New Roman" w:hAnsi="Times New Roman" w:cs="Times New Roman"/>
          <w:sz w:val="24"/>
          <w:szCs w:val="24"/>
        </w:rPr>
        <w:t xml:space="preserve">. </w:t>
      </w:r>
    </w:p>
    <w:p w:rsidR="006A5A63" w:rsidRDefault="006A5A63" w:rsidP="002C7854">
      <w:pPr>
        <w:jc w:val="both"/>
        <w:rPr>
          <w:rFonts w:ascii="Times New Roman" w:hAnsi="Times New Roman" w:cs="Times New Roman"/>
          <w:sz w:val="24"/>
          <w:szCs w:val="24"/>
        </w:rPr>
      </w:pPr>
    </w:p>
    <w:p w:rsidR="00FF59D4" w:rsidRDefault="00F707BB" w:rsidP="002C7854">
      <w:pPr>
        <w:jc w:val="both"/>
        <w:rPr>
          <w:rFonts w:ascii="Times New Roman" w:hAnsi="Times New Roman" w:cs="Times New Roman"/>
          <w:sz w:val="24"/>
          <w:szCs w:val="24"/>
        </w:rPr>
      </w:pPr>
      <w:r>
        <w:rPr>
          <w:rFonts w:ascii="Times New Roman" w:hAnsi="Times New Roman" w:cs="Times New Roman"/>
          <w:sz w:val="24"/>
          <w:szCs w:val="24"/>
        </w:rPr>
        <w:t>Malgré l’</w:t>
      </w:r>
      <w:r w:rsidR="009634DD">
        <w:rPr>
          <w:rFonts w:ascii="Times New Roman" w:hAnsi="Times New Roman" w:cs="Times New Roman"/>
          <w:sz w:val="24"/>
          <w:szCs w:val="24"/>
        </w:rPr>
        <w:t xml:space="preserve">accession </w:t>
      </w:r>
      <w:r>
        <w:rPr>
          <w:rFonts w:ascii="Times New Roman" w:hAnsi="Times New Roman" w:cs="Times New Roman"/>
          <w:sz w:val="24"/>
          <w:szCs w:val="24"/>
        </w:rPr>
        <w:t xml:space="preserve">de la Russie </w:t>
      </w:r>
      <w:r w:rsidR="009634DD">
        <w:rPr>
          <w:rFonts w:ascii="Times New Roman" w:hAnsi="Times New Roman" w:cs="Times New Roman"/>
          <w:sz w:val="24"/>
          <w:szCs w:val="24"/>
        </w:rPr>
        <w:t xml:space="preserve">à l’OMC en 2012, </w:t>
      </w:r>
      <w:r>
        <w:rPr>
          <w:rFonts w:ascii="Times New Roman" w:hAnsi="Times New Roman" w:cs="Times New Roman"/>
          <w:sz w:val="24"/>
          <w:szCs w:val="24"/>
        </w:rPr>
        <w:t>l’union douanière eurasiatique (</w:t>
      </w:r>
      <w:proofErr w:type="spellStart"/>
      <w:r>
        <w:rPr>
          <w:rFonts w:ascii="Times New Roman" w:hAnsi="Times New Roman" w:cs="Times New Roman"/>
          <w:sz w:val="24"/>
          <w:szCs w:val="24"/>
        </w:rPr>
        <w:t>Eurasian</w:t>
      </w:r>
      <w:proofErr w:type="spellEnd"/>
      <w:r>
        <w:rPr>
          <w:rFonts w:ascii="Times New Roman" w:hAnsi="Times New Roman" w:cs="Times New Roman"/>
          <w:sz w:val="24"/>
          <w:szCs w:val="24"/>
        </w:rPr>
        <w:t xml:space="preserve"> Custom Union ou ECU)</w:t>
      </w:r>
      <w:r w:rsidR="009634DD">
        <w:rPr>
          <w:rFonts w:ascii="Times New Roman" w:hAnsi="Times New Roman" w:cs="Times New Roman"/>
          <w:sz w:val="24"/>
          <w:szCs w:val="24"/>
        </w:rPr>
        <w:t xml:space="preserve"> </w:t>
      </w:r>
      <w:r>
        <w:rPr>
          <w:rFonts w:ascii="Times New Roman" w:hAnsi="Times New Roman" w:cs="Times New Roman"/>
          <w:sz w:val="24"/>
          <w:szCs w:val="24"/>
        </w:rPr>
        <w:t xml:space="preserve">a maintenu un </w:t>
      </w:r>
      <w:r w:rsidR="009634DD">
        <w:rPr>
          <w:rFonts w:ascii="Times New Roman" w:hAnsi="Times New Roman" w:cs="Times New Roman"/>
          <w:sz w:val="24"/>
          <w:szCs w:val="24"/>
        </w:rPr>
        <w:t>tarif douanier</w:t>
      </w:r>
      <w:r>
        <w:rPr>
          <w:rFonts w:ascii="Times New Roman" w:hAnsi="Times New Roman" w:cs="Times New Roman"/>
          <w:sz w:val="24"/>
          <w:szCs w:val="24"/>
        </w:rPr>
        <w:t xml:space="preserve"> </w:t>
      </w:r>
      <w:r w:rsidR="0077434E">
        <w:rPr>
          <w:rFonts w:ascii="Times New Roman" w:hAnsi="Times New Roman" w:cs="Times New Roman"/>
          <w:sz w:val="24"/>
          <w:szCs w:val="24"/>
        </w:rPr>
        <w:t xml:space="preserve">plus </w:t>
      </w:r>
      <w:r w:rsidR="009634DD">
        <w:rPr>
          <w:rFonts w:ascii="Times New Roman" w:hAnsi="Times New Roman" w:cs="Times New Roman"/>
          <w:sz w:val="24"/>
          <w:szCs w:val="24"/>
        </w:rPr>
        <w:t>élevé</w:t>
      </w:r>
      <w:r>
        <w:rPr>
          <w:rFonts w:ascii="Times New Roman" w:hAnsi="Times New Roman" w:cs="Times New Roman"/>
          <w:sz w:val="24"/>
          <w:szCs w:val="24"/>
        </w:rPr>
        <w:t xml:space="preserve"> (11% en moyenne pondérée par le commerce)</w:t>
      </w:r>
      <w:r w:rsidR="0077434E">
        <w:rPr>
          <w:rFonts w:ascii="Times New Roman" w:hAnsi="Times New Roman" w:cs="Times New Roman"/>
          <w:sz w:val="24"/>
          <w:szCs w:val="24"/>
        </w:rPr>
        <w:t xml:space="preserve"> que celui de pays développés mais bien plus bas que de nombreuses économies émergentes. L’intervention de l’Etat réside surtout dans les barrières techniques et autres pratiques protectionnistes auxquelles le gouvernement russe a recours</w:t>
      </w:r>
      <w:r w:rsidR="009634DD">
        <w:rPr>
          <w:rFonts w:ascii="Times New Roman" w:hAnsi="Times New Roman" w:cs="Times New Roman"/>
          <w:sz w:val="24"/>
          <w:szCs w:val="24"/>
        </w:rPr>
        <w:t xml:space="preserve"> pour</w:t>
      </w:r>
      <w:r w:rsidR="0077434E">
        <w:rPr>
          <w:rFonts w:ascii="Times New Roman" w:hAnsi="Times New Roman" w:cs="Times New Roman"/>
          <w:sz w:val="24"/>
          <w:szCs w:val="24"/>
        </w:rPr>
        <w:t xml:space="preserve"> protéger ses</w:t>
      </w:r>
      <w:r w:rsidR="009634DD">
        <w:rPr>
          <w:rFonts w:ascii="Times New Roman" w:hAnsi="Times New Roman" w:cs="Times New Roman"/>
          <w:sz w:val="24"/>
          <w:szCs w:val="24"/>
        </w:rPr>
        <w:t xml:space="preserve"> produits manufacturés comme l’a constaté l’organe des règlements des différends de l’OMC en 2015 et 2016</w:t>
      </w:r>
      <w:r w:rsidR="00A35B88">
        <w:rPr>
          <w:rStyle w:val="Appelnotedebasdep"/>
          <w:rFonts w:ascii="Times New Roman" w:hAnsi="Times New Roman" w:cs="Times New Roman"/>
          <w:sz w:val="24"/>
          <w:szCs w:val="24"/>
        </w:rPr>
        <w:footnoteReference w:id="18"/>
      </w:r>
      <w:r w:rsidR="009634DD">
        <w:rPr>
          <w:rFonts w:ascii="Times New Roman" w:hAnsi="Times New Roman" w:cs="Times New Roman"/>
          <w:sz w:val="24"/>
          <w:szCs w:val="24"/>
        </w:rPr>
        <w:t>.</w:t>
      </w:r>
      <w:r w:rsidR="0077434E">
        <w:rPr>
          <w:rFonts w:ascii="Times New Roman" w:hAnsi="Times New Roman" w:cs="Times New Roman"/>
          <w:sz w:val="24"/>
          <w:szCs w:val="24"/>
        </w:rPr>
        <w:t xml:space="preserve"> Comme la Chine et d’autres économies émergentes, la Russie tout en entrant dans l’OMC garde des outils pour protéger ce</w:t>
      </w:r>
      <w:r w:rsidR="00271F01">
        <w:rPr>
          <w:rFonts w:ascii="Times New Roman" w:hAnsi="Times New Roman" w:cs="Times New Roman"/>
          <w:sz w:val="24"/>
          <w:szCs w:val="24"/>
        </w:rPr>
        <w:t>s champions</w:t>
      </w:r>
      <w:r w:rsidR="0077434E">
        <w:rPr>
          <w:rFonts w:ascii="Times New Roman" w:hAnsi="Times New Roman" w:cs="Times New Roman"/>
          <w:sz w:val="24"/>
          <w:szCs w:val="24"/>
        </w:rPr>
        <w:t xml:space="preserve"> nationaux</w:t>
      </w:r>
      <w:r w:rsidR="00271F01">
        <w:rPr>
          <w:rFonts w:ascii="Times New Roman" w:hAnsi="Times New Roman" w:cs="Times New Roman"/>
          <w:sz w:val="24"/>
          <w:szCs w:val="24"/>
        </w:rPr>
        <w:t xml:space="preserve"> dans l’industrie et les services</w:t>
      </w:r>
      <w:r w:rsidR="0077434E">
        <w:rPr>
          <w:rFonts w:ascii="Times New Roman" w:hAnsi="Times New Roman" w:cs="Times New Roman"/>
          <w:sz w:val="24"/>
          <w:szCs w:val="24"/>
        </w:rPr>
        <w:t>. Mais</w:t>
      </w:r>
      <w:r w:rsidR="008E2B08">
        <w:rPr>
          <w:rFonts w:ascii="Times New Roman" w:hAnsi="Times New Roman" w:cs="Times New Roman"/>
          <w:sz w:val="24"/>
          <w:szCs w:val="24"/>
        </w:rPr>
        <w:t xml:space="preserve"> si la Russie arrive à imposer</w:t>
      </w:r>
      <w:r w:rsidR="0077434E">
        <w:rPr>
          <w:rFonts w:ascii="Times New Roman" w:hAnsi="Times New Roman" w:cs="Times New Roman"/>
          <w:sz w:val="24"/>
          <w:szCs w:val="24"/>
        </w:rPr>
        <w:t xml:space="preserve"> une UEE </w:t>
      </w:r>
      <w:r w:rsidR="008E2B08">
        <w:rPr>
          <w:rFonts w:ascii="Times New Roman" w:hAnsi="Times New Roman" w:cs="Times New Roman"/>
          <w:sz w:val="24"/>
          <w:szCs w:val="24"/>
        </w:rPr>
        <w:t xml:space="preserve">relativement </w:t>
      </w:r>
      <w:r w:rsidR="0077434E">
        <w:rPr>
          <w:rFonts w:ascii="Times New Roman" w:hAnsi="Times New Roman" w:cs="Times New Roman"/>
          <w:sz w:val="24"/>
          <w:szCs w:val="24"/>
        </w:rPr>
        <w:t>fermée</w:t>
      </w:r>
      <w:r w:rsidR="008E2B08">
        <w:rPr>
          <w:rFonts w:ascii="Times New Roman" w:hAnsi="Times New Roman" w:cs="Times New Roman"/>
          <w:sz w:val="24"/>
          <w:szCs w:val="24"/>
        </w:rPr>
        <w:t>, cela</w:t>
      </w:r>
      <w:r w:rsidR="0077434E">
        <w:rPr>
          <w:rFonts w:ascii="Times New Roman" w:hAnsi="Times New Roman" w:cs="Times New Roman"/>
          <w:sz w:val="24"/>
          <w:szCs w:val="24"/>
        </w:rPr>
        <w:t xml:space="preserve"> signifie un coût accru </w:t>
      </w:r>
      <w:r w:rsidR="008E2B08">
        <w:rPr>
          <w:rFonts w:ascii="Times New Roman" w:hAnsi="Times New Roman" w:cs="Times New Roman"/>
          <w:sz w:val="24"/>
          <w:szCs w:val="24"/>
        </w:rPr>
        <w:t xml:space="preserve">pour </w:t>
      </w:r>
      <w:r w:rsidR="0077434E">
        <w:rPr>
          <w:rFonts w:ascii="Times New Roman" w:hAnsi="Times New Roman" w:cs="Times New Roman"/>
          <w:sz w:val="24"/>
          <w:szCs w:val="24"/>
        </w:rPr>
        <w:t>ses Etats membres</w:t>
      </w:r>
      <w:r w:rsidR="008E2B08">
        <w:rPr>
          <w:rFonts w:ascii="Times New Roman" w:hAnsi="Times New Roman" w:cs="Times New Roman"/>
          <w:sz w:val="24"/>
          <w:szCs w:val="24"/>
        </w:rPr>
        <w:t xml:space="preserve"> désireux d’importer des produits de haute technologie ou </w:t>
      </w:r>
      <w:r w:rsidR="00271F01">
        <w:rPr>
          <w:rFonts w:ascii="Times New Roman" w:hAnsi="Times New Roman" w:cs="Times New Roman"/>
          <w:sz w:val="24"/>
          <w:szCs w:val="24"/>
        </w:rPr>
        <w:t>alors</w:t>
      </w:r>
      <w:r w:rsidR="008E2B08">
        <w:rPr>
          <w:rFonts w:ascii="Times New Roman" w:hAnsi="Times New Roman" w:cs="Times New Roman"/>
          <w:sz w:val="24"/>
          <w:szCs w:val="24"/>
        </w:rPr>
        <w:t xml:space="preserve"> se rabattre sur une technologie russe de second rang. Le monopole étatique centralisé du commerce extérieur et le contrôle politique du PCUS à l’époque soviétique ne donnait pas de possibilité d’arbitrage aux républiques de la périphérie de l’URSS mais la situation est différente dans </w:t>
      </w:r>
      <w:r w:rsidR="003C40FB">
        <w:rPr>
          <w:rFonts w:ascii="Times New Roman" w:hAnsi="Times New Roman" w:cs="Times New Roman"/>
          <w:sz w:val="24"/>
          <w:szCs w:val="24"/>
        </w:rPr>
        <w:t>la période actuelle.</w:t>
      </w:r>
      <w:r>
        <w:rPr>
          <w:rFonts w:ascii="Times New Roman" w:hAnsi="Times New Roman" w:cs="Times New Roman"/>
          <w:sz w:val="24"/>
          <w:szCs w:val="24"/>
        </w:rPr>
        <w:t xml:space="preserve"> Le K</w:t>
      </w:r>
      <w:r w:rsidR="00C41C90">
        <w:rPr>
          <w:rFonts w:ascii="Times New Roman" w:hAnsi="Times New Roman" w:cs="Times New Roman"/>
          <w:sz w:val="24"/>
          <w:szCs w:val="24"/>
        </w:rPr>
        <w:t xml:space="preserve">azakhstan, l’Arménie et le </w:t>
      </w:r>
      <w:r w:rsidR="00496350">
        <w:rPr>
          <w:rFonts w:ascii="Times New Roman" w:hAnsi="Times New Roman" w:cs="Times New Roman"/>
          <w:sz w:val="24"/>
          <w:szCs w:val="24"/>
        </w:rPr>
        <w:t>Kirghizstan</w:t>
      </w:r>
      <w:r>
        <w:rPr>
          <w:rFonts w:ascii="Times New Roman" w:hAnsi="Times New Roman" w:cs="Times New Roman"/>
          <w:sz w:val="24"/>
          <w:szCs w:val="24"/>
        </w:rPr>
        <w:t xml:space="preserve"> ont accru leurs tarifs de manière substantielle en rejoignant l’ECU.</w:t>
      </w:r>
      <w:r w:rsidR="003C40FB">
        <w:rPr>
          <w:rFonts w:ascii="Times New Roman" w:hAnsi="Times New Roman" w:cs="Times New Roman"/>
          <w:sz w:val="24"/>
          <w:szCs w:val="24"/>
        </w:rPr>
        <w:t xml:space="preserve"> Les Etats membres de l’UEE ou ceux qui envisagent de l’être vont subir des détournements de commerce en matière de produits à contenu technologique qui ne devraient pas leur être favorables.</w:t>
      </w:r>
      <w:r>
        <w:rPr>
          <w:rFonts w:ascii="Times New Roman" w:hAnsi="Times New Roman" w:cs="Times New Roman"/>
          <w:sz w:val="24"/>
          <w:szCs w:val="24"/>
        </w:rPr>
        <w:t xml:space="preserve"> </w:t>
      </w:r>
      <w:r w:rsidR="003C40FB">
        <w:rPr>
          <w:rFonts w:ascii="Times New Roman" w:hAnsi="Times New Roman" w:cs="Times New Roman"/>
          <w:sz w:val="24"/>
          <w:szCs w:val="24"/>
        </w:rPr>
        <w:t xml:space="preserve"> C’est pour cela que les études de modèles d’équilibres </w:t>
      </w:r>
      <w:r w:rsidR="001B0C4C">
        <w:rPr>
          <w:rFonts w:ascii="Times New Roman" w:hAnsi="Times New Roman" w:cs="Times New Roman"/>
          <w:sz w:val="24"/>
          <w:szCs w:val="24"/>
        </w:rPr>
        <w:t xml:space="preserve">général calculable (Computable General </w:t>
      </w:r>
      <w:proofErr w:type="spellStart"/>
      <w:r w:rsidR="001B0C4C">
        <w:rPr>
          <w:rFonts w:ascii="Times New Roman" w:hAnsi="Times New Roman" w:cs="Times New Roman"/>
          <w:sz w:val="24"/>
          <w:szCs w:val="24"/>
        </w:rPr>
        <w:t>E</w:t>
      </w:r>
      <w:r w:rsidR="003C40FB">
        <w:rPr>
          <w:rFonts w:ascii="Times New Roman" w:hAnsi="Times New Roman" w:cs="Times New Roman"/>
          <w:sz w:val="24"/>
          <w:szCs w:val="24"/>
        </w:rPr>
        <w:t>quilibrium</w:t>
      </w:r>
      <w:proofErr w:type="spellEnd"/>
      <w:r w:rsidR="003C40FB">
        <w:rPr>
          <w:rFonts w:ascii="Times New Roman" w:hAnsi="Times New Roman" w:cs="Times New Roman"/>
          <w:sz w:val="24"/>
          <w:szCs w:val="24"/>
        </w:rPr>
        <w:t xml:space="preserve"> model) prévoient des pertes de bien être pour</w:t>
      </w:r>
      <w:r w:rsidR="00A35B88">
        <w:rPr>
          <w:rFonts w:ascii="Times New Roman" w:hAnsi="Times New Roman" w:cs="Times New Roman"/>
          <w:sz w:val="24"/>
          <w:szCs w:val="24"/>
        </w:rPr>
        <w:t xml:space="preserve"> les Etats membre </w:t>
      </w:r>
      <w:r w:rsidR="00271F01">
        <w:rPr>
          <w:rFonts w:ascii="Times New Roman" w:hAnsi="Times New Roman" w:cs="Times New Roman"/>
          <w:sz w:val="24"/>
          <w:szCs w:val="24"/>
        </w:rPr>
        <w:t xml:space="preserve">actuels ou potentiels </w:t>
      </w:r>
      <w:r w:rsidR="00A35B88">
        <w:rPr>
          <w:rFonts w:ascii="Times New Roman" w:hAnsi="Times New Roman" w:cs="Times New Roman"/>
          <w:sz w:val="24"/>
          <w:szCs w:val="24"/>
        </w:rPr>
        <w:t>de l’UEE</w:t>
      </w:r>
      <w:r w:rsidR="00A35B88">
        <w:rPr>
          <w:rStyle w:val="Appelnotedebasdep"/>
          <w:rFonts w:ascii="Times New Roman" w:hAnsi="Times New Roman" w:cs="Times New Roman"/>
          <w:sz w:val="24"/>
          <w:szCs w:val="24"/>
        </w:rPr>
        <w:footnoteReference w:id="19"/>
      </w:r>
      <w:r w:rsidR="003C40FB">
        <w:rPr>
          <w:rFonts w:ascii="Times New Roman" w:hAnsi="Times New Roman" w:cs="Times New Roman"/>
          <w:sz w:val="24"/>
          <w:szCs w:val="24"/>
        </w:rPr>
        <w:t>.</w:t>
      </w:r>
    </w:p>
    <w:p w:rsidR="006A5A63" w:rsidRDefault="006A5A63" w:rsidP="002C7854">
      <w:pPr>
        <w:jc w:val="both"/>
        <w:rPr>
          <w:rFonts w:ascii="Times New Roman" w:hAnsi="Times New Roman" w:cs="Times New Roman"/>
          <w:sz w:val="24"/>
          <w:szCs w:val="24"/>
        </w:rPr>
      </w:pPr>
    </w:p>
    <w:p w:rsidR="00680B3C" w:rsidRPr="000F148E" w:rsidRDefault="00680B3C" w:rsidP="000F148E">
      <w:pPr>
        <w:pStyle w:val="Paragraphedeliste"/>
        <w:numPr>
          <w:ilvl w:val="1"/>
          <w:numId w:val="1"/>
        </w:numPr>
        <w:jc w:val="both"/>
        <w:rPr>
          <w:rFonts w:ascii="Times New Roman" w:hAnsi="Times New Roman" w:cs="Times New Roman"/>
          <w:b/>
          <w:sz w:val="24"/>
          <w:szCs w:val="24"/>
        </w:rPr>
      </w:pPr>
      <w:r w:rsidRPr="000F148E">
        <w:rPr>
          <w:rFonts w:ascii="Times New Roman" w:hAnsi="Times New Roman" w:cs="Times New Roman"/>
          <w:b/>
          <w:sz w:val="24"/>
          <w:szCs w:val="24"/>
        </w:rPr>
        <w:t xml:space="preserve">Une baisse relative de la part du commerce </w:t>
      </w:r>
      <w:proofErr w:type="spellStart"/>
      <w:r w:rsidRPr="000F148E">
        <w:rPr>
          <w:rFonts w:ascii="Times New Roman" w:hAnsi="Times New Roman" w:cs="Times New Roman"/>
          <w:b/>
          <w:sz w:val="24"/>
          <w:szCs w:val="24"/>
        </w:rPr>
        <w:t>intrarégional</w:t>
      </w:r>
      <w:proofErr w:type="spellEnd"/>
      <w:r w:rsidRPr="000F148E">
        <w:rPr>
          <w:rFonts w:ascii="Times New Roman" w:hAnsi="Times New Roman" w:cs="Times New Roman"/>
          <w:b/>
          <w:sz w:val="24"/>
          <w:szCs w:val="24"/>
        </w:rPr>
        <w:t xml:space="preserve"> au sein de l’UEE</w:t>
      </w:r>
    </w:p>
    <w:p w:rsidR="00680B3C" w:rsidRPr="00680B3C" w:rsidRDefault="00680B3C" w:rsidP="002C7854">
      <w:pPr>
        <w:jc w:val="both"/>
        <w:rPr>
          <w:rFonts w:ascii="Times New Roman" w:hAnsi="Times New Roman" w:cs="Times New Roman"/>
          <w:b/>
          <w:sz w:val="24"/>
          <w:szCs w:val="24"/>
        </w:rPr>
      </w:pPr>
    </w:p>
    <w:p w:rsidR="006A5A63" w:rsidRPr="00A35B88" w:rsidRDefault="001B0C4C" w:rsidP="002C7854">
      <w:pPr>
        <w:jc w:val="both"/>
        <w:rPr>
          <w:rFonts w:ascii="Times New Roman" w:hAnsi="Times New Roman" w:cs="Times New Roman"/>
          <w:sz w:val="24"/>
          <w:szCs w:val="24"/>
        </w:rPr>
      </w:pPr>
      <w:r>
        <w:rPr>
          <w:rFonts w:ascii="Times New Roman" w:hAnsi="Times New Roman" w:cs="Times New Roman"/>
          <w:sz w:val="24"/>
          <w:szCs w:val="24"/>
        </w:rPr>
        <w:t xml:space="preserve">Il est difficile de mesurer l’impact de l’UEE sur la progression du commerce </w:t>
      </w:r>
      <w:proofErr w:type="spellStart"/>
      <w:r>
        <w:rPr>
          <w:rFonts w:ascii="Times New Roman" w:hAnsi="Times New Roman" w:cs="Times New Roman"/>
          <w:sz w:val="24"/>
          <w:szCs w:val="24"/>
        </w:rPr>
        <w:t>intrarégional</w:t>
      </w:r>
      <w:proofErr w:type="spellEnd"/>
      <w:r>
        <w:rPr>
          <w:rFonts w:ascii="Times New Roman" w:hAnsi="Times New Roman" w:cs="Times New Roman"/>
          <w:sz w:val="24"/>
          <w:szCs w:val="24"/>
        </w:rPr>
        <w:t xml:space="preserve"> car de nombreux facteurs exogènes ont bouleversé ces économies. La crise de 2008 qui a provoqué une chute et ensuite une re</w:t>
      </w:r>
      <w:r w:rsidR="00271F01">
        <w:rPr>
          <w:rFonts w:ascii="Times New Roman" w:hAnsi="Times New Roman" w:cs="Times New Roman"/>
          <w:sz w:val="24"/>
          <w:szCs w:val="24"/>
        </w:rPr>
        <w:t>prise du commerce international</w:t>
      </w:r>
      <w:r>
        <w:rPr>
          <w:rFonts w:ascii="Times New Roman" w:hAnsi="Times New Roman" w:cs="Times New Roman"/>
          <w:sz w:val="24"/>
          <w:szCs w:val="24"/>
        </w:rPr>
        <w:t>, les très fortes variations des prix des produits énergétiques entre 2007 et 2015 et les sanctions commerciales à l’encontre de la Russie consécutive</w:t>
      </w:r>
      <w:r w:rsidR="00271F01">
        <w:rPr>
          <w:rFonts w:ascii="Times New Roman" w:hAnsi="Times New Roman" w:cs="Times New Roman"/>
          <w:sz w:val="24"/>
          <w:szCs w:val="24"/>
        </w:rPr>
        <w:t>s</w:t>
      </w:r>
      <w:r>
        <w:rPr>
          <w:rFonts w:ascii="Times New Roman" w:hAnsi="Times New Roman" w:cs="Times New Roman"/>
          <w:sz w:val="24"/>
          <w:szCs w:val="24"/>
        </w:rPr>
        <w:t xml:space="preserve"> au conflit ukrainien sont autant de facteurs qui expliquent la très forte volatilité du commerce</w:t>
      </w:r>
      <w:r w:rsidR="00FF59D4">
        <w:rPr>
          <w:rFonts w:ascii="Times New Roman" w:hAnsi="Times New Roman" w:cs="Times New Roman"/>
          <w:sz w:val="24"/>
          <w:szCs w:val="24"/>
        </w:rPr>
        <w:t xml:space="preserve"> des Etats membres de l’UEE</w:t>
      </w:r>
      <w:r>
        <w:rPr>
          <w:rFonts w:ascii="Times New Roman" w:hAnsi="Times New Roman" w:cs="Times New Roman"/>
          <w:sz w:val="24"/>
          <w:szCs w:val="24"/>
        </w:rPr>
        <w:t xml:space="preserve"> en valeur entre 2008 et 2016 et rendent plus difficile à estimer l’impact de l’union eurasienne</w:t>
      </w:r>
      <w:r w:rsidR="00FF59D4">
        <w:rPr>
          <w:rFonts w:ascii="Times New Roman" w:hAnsi="Times New Roman" w:cs="Times New Roman"/>
          <w:sz w:val="24"/>
          <w:szCs w:val="24"/>
        </w:rPr>
        <w:t>.</w:t>
      </w:r>
      <w:r w:rsidR="003C21D2">
        <w:rPr>
          <w:rFonts w:ascii="Times New Roman" w:hAnsi="Times New Roman" w:cs="Times New Roman"/>
          <w:sz w:val="24"/>
          <w:szCs w:val="24"/>
        </w:rPr>
        <w:t xml:space="preserve"> Toutefois certaines tendances sont claires.</w:t>
      </w:r>
      <w:r w:rsidR="000409E2">
        <w:rPr>
          <w:rFonts w:ascii="Times New Roman" w:hAnsi="Times New Roman" w:cs="Times New Roman"/>
          <w:sz w:val="24"/>
          <w:szCs w:val="24"/>
        </w:rPr>
        <w:t xml:space="preserve"> L’économie russe n’arrive pas</w:t>
      </w:r>
      <w:r w:rsidR="006278D6">
        <w:rPr>
          <w:rFonts w:ascii="Times New Roman" w:hAnsi="Times New Roman" w:cs="Times New Roman"/>
          <w:sz w:val="24"/>
          <w:szCs w:val="24"/>
        </w:rPr>
        <w:t xml:space="preserve"> à attirer une partie croissante du commerce des Etats membres</w:t>
      </w:r>
      <w:r w:rsidR="00271F01">
        <w:rPr>
          <w:rFonts w:ascii="Times New Roman" w:hAnsi="Times New Roman" w:cs="Times New Roman"/>
          <w:sz w:val="24"/>
          <w:szCs w:val="24"/>
        </w:rPr>
        <w:t xml:space="preserve"> de l’UEE</w:t>
      </w:r>
      <w:r w:rsidR="000409E2">
        <w:rPr>
          <w:rFonts w:ascii="Times New Roman" w:hAnsi="Times New Roman" w:cs="Times New Roman"/>
          <w:sz w:val="24"/>
          <w:szCs w:val="24"/>
        </w:rPr>
        <w:t xml:space="preserve"> et ce même avant la crise consécutive au </w:t>
      </w:r>
      <w:r w:rsidR="000409E2" w:rsidRPr="00A35B88">
        <w:rPr>
          <w:rFonts w:ascii="Times New Roman" w:hAnsi="Times New Roman" w:cs="Times New Roman"/>
          <w:sz w:val="24"/>
          <w:szCs w:val="24"/>
        </w:rPr>
        <w:t xml:space="preserve">conflit ukrainien et à la chute du </w:t>
      </w:r>
      <w:r w:rsidR="000409E2" w:rsidRPr="00A35B88">
        <w:rPr>
          <w:rFonts w:ascii="Times New Roman" w:hAnsi="Times New Roman" w:cs="Times New Roman"/>
          <w:sz w:val="24"/>
          <w:szCs w:val="24"/>
        </w:rPr>
        <w:lastRenderedPageBreak/>
        <w:t>prix du pétrole</w:t>
      </w:r>
      <w:r w:rsidR="00D747DE">
        <w:rPr>
          <w:rFonts w:ascii="Times New Roman" w:hAnsi="Times New Roman" w:cs="Times New Roman"/>
          <w:sz w:val="24"/>
          <w:szCs w:val="24"/>
        </w:rPr>
        <w:t xml:space="preserve"> depuis 2014</w:t>
      </w:r>
      <w:r w:rsidR="00B74778" w:rsidRPr="00A35B88">
        <w:rPr>
          <w:rFonts w:ascii="Times New Roman" w:hAnsi="Times New Roman" w:cs="Times New Roman"/>
          <w:sz w:val="24"/>
          <w:szCs w:val="24"/>
        </w:rPr>
        <w:t xml:space="preserve">. Au cours de ces quinze dernières années, l’Union Européenne (et la Chine pour les Etats membres d’Asie centrale) sont devenus des débouchés plus importants que la Russie ou </w:t>
      </w:r>
      <w:r w:rsidR="00D747DE">
        <w:rPr>
          <w:rFonts w:ascii="Times New Roman" w:hAnsi="Times New Roman" w:cs="Times New Roman"/>
          <w:sz w:val="24"/>
          <w:szCs w:val="24"/>
        </w:rPr>
        <w:t xml:space="preserve">même l’ensemble de </w:t>
      </w:r>
      <w:r w:rsidR="00B74778" w:rsidRPr="00A35B88">
        <w:rPr>
          <w:rFonts w:ascii="Times New Roman" w:hAnsi="Times New Roman" w:cs="Times New Roman"/>
          <w:sz w:val="24"/>
          <w:szCs w:val="24"/>
        </w:rPr>
        <w:t>l’UEE (voir g</w:t>
      </w:r>
      <w:r w:rsidR="002D6602" w:rsidRPr="00A35B88">
        <w:rPr>
          <w:rFonts w:ascii="Times New Roman" w:hAnsi="Times New Roman" w:cs="Times New Roman"/>
          <w:sz w:val="24"/>
          <w:szCs w:val="24"/>
        </w:rPr>
        <w:t>r</w:t>
      </w:r>
      <w:r w:rsidR="00B74778" w:rsidRPr="00A35B88">
        <w:rPr>
          <w:rFonts w:ascii="Times New Roman" w:hAnsi="Times New Roman" w:cs="Times New Roman"/>
          <w:sz w:val="24"/>
          <w:szCs w:val="24"/>
        </w:rPr>
        <w:t>aphique</w:t>
      </w:r>
      <w:r w:rsidR="002D6602" w:rsidRPr="00A35B88">
        <w:rPr>
          <w:rFonts w:ascii="Times New Roman" w:hAnsi="Times New Roman" w:cs="Times New Roman"/>
          <w:sz w:val="24"/>
          <w:szCs w:val="24"/>
        </w:rPr>
        <w:t>s ci-dessous</w:t>
      </w:r>
      <w:r w:rsidR="00B74778" w:rsidRPr="00A35B88">
        <w:rPr>
          <w:rFonts w:ascii="Times New Roman" w:hAnsi="Times New Roman" w:cs="Times New Roman"/>
          <w:sz w:val="24"/>
          <w:szCs w:val="24"/>
        </w:rPr>
        <w:t xml:space="preserve">). </w:t>
      </w:r>
      <w:r w:rsidR="000409E2" w:rsidRPr="00A35B88">
        <w:rPr>
          <w:rFonts w:ascii="Times New Roman" w:hAnsi="Times New Roman" w:cs="Times New Roman"/>
          <w:sz w:val="24"/>
          <w:szCs w:val="24"/>
        </w:rPr>
        <w:t xml:space="preserve"> </w:t>
      </w:r>
      <w:r w:rsidRPr="00A35B88">
        <w:rPr>
          <w:rFonts w:ascii="Times New Roman" w:hAnsi="Times New Roman" w:cs="Times New Roman"/>
          <w:sz w:val="24"/>
          <w:szCs w:val="24"/>
        </w:rPr>
        <w:t xml:space="preserve">     </w:t>
      </w:r>
    </w:p>
    <w:p w:rsidR="0087147C" w:rsidRDefault="00A020DC" w:rsidP="002C7854">
      <w:pPr>
        <w:jc w:val="both"/>
        <w:rPr>
          <w:rFonts w:ascii="Times New Roman" w:hAnsi="Times New Roman" w:cs="Times New Roman"/>
          <w:sz w:val="24"/>
          <w:szCs w:val="24"/>
        </w:rPr>
        <w:sectPr w:rsidR="0087147C" w:rsidSect="002D6602">
          <w:type w:val="continuous"/>
          <w:pgSz w:w="11906" w:h="16838"/>
          <w:pgMar w:top="1417" w:right="1417" w:bottom="1417" w:left="1417" w:header="708" w:footer="708" w:gutter="0"/>
          <w:cols w:space="708"/>
          <w:docGrid w:linePitch="360"/>
        </w:sectPr>
      </w:pPr>
      <w:r>
        <w:rPr>
          <w:rFonts w:ascii="Times New Roman" w:hAnsi="Times New Roman" w:cs="Times New Roman"/>
          <w:sz w:val="24"/>
          <w:szCs w:val="24"/>
        </w:rPr>
        <w:t>Lorsque qu’on analyse les débouchés pour les produits russes, on constate également que les produits de la Chine (pour les Etats membres d’Asie centrale) ou de l’UE (pour la Biélorussie) voient leurs parts de marchés croître au sein des économies nationales des Etats membres de l’UEE. L’UEE et l’ECU n’enraye</w:t>
      </w:r>
      <w:r w:rsidR="00D747DE">
        <w:rPr>
          <w:rFonts w:ascii="Times New Roman" w:hAnsi="Times New Roman" w:cs="Times New Roman"/>
          <w:sz w:val="24"/>
          <w:szCs w:val="24"/>
        </w:rPr>
        <w:t>nt</w:t>
      </w:r>
      <w:r>
        <w:rPr>
          <w:rFonts w:ascii="Times New Roman" w:hAnsi="Times New Roman" w:cs="Times New Roman"/>
          <w:sz w:val="24"/>
          <w:szCs w:val="24"/>
        </w:rPr>
        <w:t xml:space="preserve"> pas la montée des importations originaires d’en dehors de l’UEE. Bien qu’on puisse constater une montée modeste d’un commerce entre les petits membres de l’UEE, la part du commerce intra-UEE au sein du commerce total des Etats membres de l’UEE baisse, principalement du fait de la baisse de la part du commerce de ces pays avec la Russie.</w:t>
      </w:r>
      <w:r w:rsidR="00CC0BBC">
        <w:rPr>
          <w:rFonts w:ascii="Times New Roman" w:hAnsi="Times New Roman" w:cs="Times New Roman"/>
          <w:sz w:val="24"/>
          <w:szCs w:val="24"/>
        </w:rPr>
        <w:t xml:space="preserve"> Cette baisse commence avant la crise de 2008 ou la crise ukrainienne. Elle ne s’explique pas simplement par la mécanique de la baisse relative du PIB russe dans le PIB mondial car l’UE qui connaît une baisse similaire de son pourcentage dans le PIB mondial entre 2008 et 2014 (les deux perdent un cinquième de leur poids respectif dans l’économie mondiale). </w:t>
      </w:r>
    </w:p>
    <w:p w:rsidR="003C40FB" w:rsidRDefault="003C40FB" w:rsidP="002C7854">
      <w:pPr>
        <w:jc w:val="both"/>
        <w:rPr>
          <w:rFonts w:ascii="Times New Roman" w:hAnsi="Times New Roman" w:cs="Times New Roman"/>
          <w:sz w:val="24"/>
          <w:szCs w:val="24"/>
        </w:rPr>
      </w:pPr>
    </w:p>
    <w:p w:rsidR="00B74778" w:rsidRDefault="00B74778" w:rsidP="002C7854">
      <w:pPr>
        <w:jc w:val="both"/>
        <w:rPr>
          <w:rFonts w:ascii="Times New Roman" w:hAnsi="Times New Roman" w:cs="Times New Roman"/>
          <w:sz w:val="24"/>
          <w:szCs w:val="24"/>
        </w:rPr>
      </w:pPr>
      <w:r>
        <w:rPr>
          <w:noProof/>
          <w:lang w:val="en-GB" w:eastAsia="en-GB"/>
        </w:rPr>
        <w:drawing>
          <wp:inline distT="0" distB="0" distL="0" distR="0" wp14:anchorId="0DE932C4" wp14:editId="1CAA8A8C">
            <wp:extent cx="2663825" cy="5254388"/>
            <wp:effectExtent l="0" t="0" r="3175" b="381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020DC" w:rsidRDefault="00A020DC" w:rsidP="002C7854">
      <w:pPr>
        <w:jc w:val="both"/>
        <w:rPr>
          <w:rFonts w:ascii="Times New Roman" w:hAnsi="Times New Roman" w:cs="Times New Roman"/>
          <w:sz w:val="24"/>
          <w:szCs w:val="24"/>
        </w:rPr>
      </w:pPr>
    </w:p>
    <w:p w:rsidR="0087147C" w:rsidRDefault="0087147C" w:rsidP="002C7854">
      <w:pPr>
        <w:jc w:val="both"/>
        <w:rPr>
          <w:rFonts w:ascii="Times New Roman" w:hAnsi="Times New Roman" w:cs="Times New Roman"/>
          <w:sz w:val="24"/>
          <w:szCs w:val="24"/>
        </w:rPr>
      </w:pPr>
    </w:p>
    <w:p w:rsidR="00A020DC" w:rsidRDefault="00A020DC" w:rsidP="002C7854">
      <w:pPr>
        <w:jc w:val="both"/>
        <w:rPr>
          <w:rFonts w:ascii="Times New Roman" w:hAnsi="Times New Roman" w:cs="Times New Roman"/>
          <w:sz w:val="24"/>
          <w:szCs w:val="24"/>
        </w:rPr>
      </w:pPr>
      <w:r>
        <w:rPr>
          <w:noProof/>
          <w:lang w:val="en-GB" w:eastAsia="en-GB"/>
        </w:rPr>
        <w:drawing>
          <wp:inline distT="0" distB="0" distL="0" distR="0" wp14:anchorId="21CD1AF1" wp14:editId="18F6BF1A">
            <wp:extent cx="2663825" cy="5268036"/>
            <wp:effectExtent l="0" t="0" r="3175" b="889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74778" w:rsidRDefault="00B74778" w:rsidP="002C7854">
      <w:pPr>
        <w:jc w:val="both"/>
        <w:rPr>
          <w:rFonts w:ascii="Times New Roman" w:hAnsi="Times New Roman" w:cs="Times New Roman"/>
          <w:sz w:val="24"/>
          <w:szCs w:val="24"/>
        </w:rPr>
      </w:pPr>
      <w:r>
        <w:rPr>
          <w:noProof/>
          <w:lang w:val="en-GB" w:eastAsia="en-GB"/>
        </w:rPr>
        <w:lastRenderedPageBreak/>
        <w:drawing>
          <wp:inline distT="0" distB="0" distL="0" distR="0" wp14:anchorId="1EF53309" wp14:editId="63EC1C69">
            <wp:extent cx="2751827" cy="3683000"/>
            <wp:effectExtent l="0" t="0" r="10795" b="1270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74778" w:rsidRDefault="00B74778" w:rsidP="002C7854">
      <w:pPr>
        <w:jc w:val="both"/>
        <w:rPr>
          <w:rFonts w:ascii="Times New Roman" w:hAnsi="Times New Roman" w:cs="Times New Roman"/>
          <w:sz w:val="24"/>
          <w:szCs w:val="24"/>
        </w:rPr>
      </w:pPr>
    </w:p>
    <w:p w:rsidR="0087147C" w:rsidRDefault="00A020DC" w:rsidP="002C7854">
      <w:pPr>
        <w:jc w:val="both"/>
        <w:rPr>
          <w:rFonts w:ascii="Times New Roman" w:hAnsi="Times New Roman" w:cs="Times New Roman"/>
          <w:sz w:val="24"/>
          <w:szCs w:val="24"/>
        </w:rPr>
      </w:pPr>
      <w:bookmarkStart w:id="0" w:name="_GoBack"/>
      <w:r>
        <w:rPr>
          <w:noProof/>
          <w:lang w:val="en-GB" w:eastAsia="en-GB"/>
        </w:rPr>
        <w:drawing>
          <wp:inline distT="0" distB="0" distL="0" distR="0" wp14:anchorId="1C856429" wp14:editId="7E0087A2">
            <wp:extent cx="2717165" cy="4201064"/>
            <wp:effectExtent l="0" t="0" r="6985" b="9525"/>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bookmarkEnd w:id="0"/>
    </w:p>
    <w:p w:rsidR="00B74778" w:rsidRDefault="0087147C" w:rsidP="002C7854">
      <w:pPr>
        <w:jc w:val="both"/>
        <w:rPr>
          <w:rFonts w:ascii="Times New Roman" w:hAnsi="Times New Roman" w:cs="Times New Roman"/>
          <w:sz w:val="24"/>
          <w:szCs w:val="24"/>
        </w:rPr>
      </w:pPr>
      <w:r>
        <w:rPr>
          <w:noProof/>
          <w:lang w:val="en-GB" w:eastAsia="en-GB"/>
        </w:rPr>
        <w:drawing>
          <wp:inline distT="0" distB="0" distL="0" distR="0" wp14:anchorId="45BB36BF" wp14:editId="5F237E55">
            <wp:extent cx="2655570" cy="3666227"/>
            <wp:effectExtent l="0" t="0" r="11430" b="10795"/>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7147C" w:rsidRDefault="0087147C" w:rsidP="002C7854">
      <w:pPr>
        <w:jc w:val="both"/>
        <w:rPr>
          <w:rFonts w:ascii="Times New Roman" w:hAnsi="Times New Roman" w:cs="Times New Roman"/>
          <w:sz w:val="24"/>
          <w:szCs w:val="24"/>
        </w:rPr>
      </w:pPr>
    </w:p>
    <w:p w:rsidR="00B74778" w:rsidRDefault="00A020DC" w:rsidP="002C7854">
      <w:pPr>
        <w:jc w:val="both"/>
        <w:rPr>
          <w:rFonts w:ascii="Times New Roman" w:hAnsi="Times New Roman" w:cs="Times New Roman"/>
          <w:sz w:val="24"/>
          <w:szCs w:val="24"/>
        </w:rPr>
      </w:pPr>
      <w:r>
        <w:rPr>
          <w:noProof/>
          <w:lang w:val="en-GB" w:eastAsia="en-GB"/>
        </w:rPr>
        <w:drawing>
          <wp:inline distT="0" distB="0" distL="0" distR="0" wp14:anchorId="40E2578D" wp14:editId="3BD1A99C">
            <wp:extent cx="2673985" cy="4241165"/>
            <wp:effectExtent l="0" t="0" r="12065" b="6985"/>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7147C" w:rsidRDefault="0087147C" w:rsidP="002C7854">
      <w:pPr>
        <w:jc w:val="both"/>
        <w:rPr>
          <w:rFonts w:ascii="Times New Roman" w:hAnsi="Times New Roman" w:cs="Times New Roman"/>
          <w:sz w:val="24"/>
          <w:szCs w:val="24"/>
        </w:rPr>
        <w:sectPr w:rsidR="0087147C" w:rsidSect="0087147C">
          <w:type w:val="continuous"/>
          <w:pgSz w:w="11906" w:h="16838"/>
          <w:pgMar w:top="1417" w:right="1417" w:bottom="1417" w:left="1417" w:header="708" w:footer="708" w:gutter="0"/>
          <w:cols w:num="2" w:space="708"/>
          <w:docGrid w:linePitch="360"/>
        </w:sectPr>
      </w:pPr>
    </w:p>
    <w:p w:rsidR="006A5A63" w:rsidRPr="006A5A63" w:rsidRDefault="006A5A63" w:rsidP="006A5A63">
      <w:pPr>
        <w:pStyle w:val="Notedebasdepage"/>
        <w:jc w:val="center"/>
        <w:rPr>
          <w:rFonts w:ascii="Times New Roman" w:hAnsi="Times New Roman" w:cs="Times New Roman"/>
          <w:lang w:val="en-US"/>
        </w:rPr>
      </w:pPr>
      <w:r>
        <w:rPr>
          <w:rFonts w:ascii="Times New Roman" w:hAnsi="Times New Roman" w:cs="Times New Roman"/>
          <w:lang w:val="en-US"/>
        </w:rPr>
        <w:t xml:space="preserve">Source </w:t>
      </w:r>
      <w:r w:rsidRPr="006A5A63">
        <w:rPr>
          <w:rFonts w:ascii="Times New Roman" w:hAnsi="Times New Roman" w:cs="Times New Roman"/>
          <w:lang w:val="en-US"/>
        </w:rPr>
        <w:t xml:space="preserve">MIT, </w:t>
      </w:r>
      <w:r w:rsidRPr="006A5A63">
        <w:rPr>
          <w:rFonts w:ascii="Times New Roman" w:hAnsi="Times New Roman" w:cs="Times New Roman"/>
          <w:i/>
          <w:lang w:val="en-US"/>
        </w:rPr>
        <w:t xml:space="preserve">The Observatory of Economic Complexity, </w:t>
      </w:r>
      <w:r w:rsidRPr="006A5A63">
        <w:rPr>
          <w:rFonts w:ascii="Times New Roman" w:hAnsi="Times New Roman" w:cs="Times New Roman"/>
          <w:lang w:val="en-US"/>
        </w:rPr>
        <w:t>2016</w:t>
      </w:r>
    </w:p>
    <w:p w:rsidR="00B74778" w:rsidRPr="006A5A63" w:rsidRDefault="00B74778" w:rsidP="002C7854">
      <w:pPr>
        <w:jc w:val="both"/>
        <w:rPr>
          <w:rFonts w:ascii="Times New Roman" w:hAnsi="Times New Roman" w:cs="Times New Roman"/>
          <w:sz w:val="24"/>
          <w:szCs w:val="24"/>
          <w:lang w:val="en-US"/>
        </w:rPr>
      </w:pPr>
    </w:p>
    <w:p w:rsidR="00B74778" w:rsidRDefault="00D747DE" w:rsidP="002C7854">
      <w:pPr>
        <w:jc w:val="both"/>
        <w:rPr>
          <w:rFonts w:ascii="Times New Roman" w:hAnsi="Times New Roman" w:cs="Times New Roman"/>
          <w:sz w:val="24"/>
          <w:szCs w:val="24"/>
        </w:rPr>
      </w:pPr>
      <w:r>
        <w:rPr>
          <w:rFonts w:ascii="Times New Roman" w:hAnsi="Times New Roman" w:cs="Times New Roman"/>
          <w:sz w:val="24"/>
          <w:szCs w:val="24"/>
        </w:rPr>
        <w:lastRenderedPageBreak/>
        <w:t>On doit donc y voir</w:t>
      </w:r>
      <w:r w:rsidR="0087147C">
        <w:rPr>
          <w:rFonts w:ascii="Times New Roman" w:hAnsi="Times New Roman" w:cs="Times New Roman"/>
          <w:sz w:val="24"/>
          <w:szCs w:val="24"/>
        </w:rPr>
        <w:t xml:space="preserve"> une tendance structurelle de long terme de baisse relative du commerce intra UEE. On pourrait argumen</w:t>
      </w:r>
      <w:r>
        <w:rPr>
          <w:rFonts w:ascii="Times New Roman" w:hAnsi="Times New Roman" w:cs="Times New Roman"/>
          <w:sz w:val="24"/>
          <w:szCs w:val="24"/>
        </w:rPr>
        <w:t xml:space="preserve">ter que cette tendance baissière aurait </w:t>
      </w:r>
      <w:r w:rsidR="0087147C">
        <w:rPr>
          <w:rFonts w:ascii="Times New Roman" w:hAnsi="Times New Roman" w:cs="Times New Roman"/>
          <w:sz w:val="24"/>
          <w:szCs w:val="24"/>
        </w:rPr>
        <w:t>être</w:t>
      </w:r>
      <w:r>
        <w:rPr>
          <w:rFonts w:ascii="Times New Roman" w:hAnsi="Times New Roman" w:cs="Times New Roman"/>
          <w:sz w:val="24"/>
          <w:szCs w:val="24"/>
        </w:rPr>
        <w:t xml:space="preserve"> pu</w:t>
      </w:r>
      <w:r w:rsidR="0087147C">
        <w:rPr>
          <w:rFonts w:ascii="Times New Roman" w:hAnsi="Times New Roman" w:cs="Times New Roman"/>
          <w:sz w:val="24"/>
          <w:szCs w:val="24"/>
        </w:rPr>
        <w:t xml:space="preserve"> </w:t>
      </w:r>
      <w:r>
        <w:rPr>
          <w:rFonts w:ascii="Times New Roman" w:hAnsi="Times New Roman" w:cs="Times New Roman"/>
          <w:sz w:val="24"/>
          <w:szCs w:val="24"/>
        </w:rPr>
        <w:t>être encore plus</w:t>
      </w:r>
      <w:r w:rsidR="0087147C">
        <w:rPr>
          <w:rFonts w:ascii="Times New Roman" w:hAnsi="Times New Roman" w:cs="Times New Roman"/>
          <w:sz w:val="24"/>
          <w:szCs w:val="24"/>
        </w:rPr>
        <w:t xml:space="preserve"> marquée sans le projet d’intégration de l’UEE et ses effets de détournement de commerce</w:t>
      </w:r>
      <w:r>
        <w:rPr>
          <w:rFonts w:ascii="Times New Roman" w:hAnsi="Times New Roman" w:cs="Times New Roman"/>
          <w:sz w:val="24"/>
          <w:szCs w:val="24"/>
        </w:rPr>
        <w:t>.</w:t>
      </w:r>
      <w:r w:rsidR="0087147C">
        <w:rPr>
          <w:rFonts w:ascii="Times New Roman" w:hAnsi="Times New Roman" w:cs="Times New Roman"/>
          <w:sz w:val="24"/>
          <w:szCs w:val="24"/>
        </w:rPr>
        <w:t xml:space="preserve"> </w:t>
      </w:r>
      <w:r>
        <w:rPr>
          <w:rFonts w:ascii="Times New Roman" w:hAnsi="Times New Roman" w:cs="Times New Roman"/>
          <w:sz w:val="24"/>
          <w:szCs w:val="24"/>
        </w:rPr>
        <w:t xml:space="preserve">Quoi qu’il en soit, </w:t>
      </w:r>
      <w:r w:rsidR="0087147C">
        <w:rPr>
          <w:rFonts w:ascii="Times New Roman" w:hAnsi="Times New Roman" w:cs="Times New Roman"/>
          <w:sz w:val="24"/>
          <w:szCs w:val="24"/>
        </w:rPr>
        <w:t>cela signifie que l’UEE n’est pas à ce stade suffisante</w:t>
      </w:r>
      <w:r>
        <w:rPr>
          <w:rFonts w:ascii="Times New Roman" w:hAnsi="Times New Roman" w:cs="Times New Roman"/>
          <w:sz w:val="24"/>
          <w:szCs w:val="24"/>
        </w:rPr>
        <w:t xml:space="preserve"> pour empêcher le renforcement</w:t>
      </w:r>
      <w:r w:rsidR="0087147C">
        <w:rPr>
          <w:rFonts w:ascii="Times New Roman" w:hAnsi="Times New Roman" w:cs="Times New Roman"/>
          <w:sz w:val="24"/>
          <w:szCs w:val="24"/>
        </w:rPr>
        <w:t xml:space="preserve"> de relations commerciales de plus en plus importantes avec les grandes économ</w:t>
      </w:r>
      <w:r>
        <w:rPr>
          <w:rFonts w:ascii="Times New Roman" w:hAnsi="Times New Roman" w:cs="Times New Roman"/>
          <w:sz w:val="24"/>
          <w:szCs w:val="24"/>
        </w:rPr>
        <w:t>ies voisines des Etats de l’UEE :</w:t>
      </w:r>
      <w:r w:rsidR="0087147C">
        <w:rPr>
          <w:rFonts w:ascii="Times New Roman" w:hAnsi="Times New Roman" w:cs="Times New Roman"/>
          <w:sz w:val="24"/>
          <w:szCs w:val="24"/>
        </w:rPr>
        <w:t xml:space="preserve"> l’Union Européenne et la Chine. L’inclusion de nouveaux membres ne changerait pas fondamentalement ces tendances car leur poids reste faible. Ainsi le gouvernement du Tadjikistan a marqué un intérêt pour l’UEE mais </w:t>
      </w:r>
      <w:r w:rsidR="00040A50">
        <w:rPr>
          <w:rFonts w:ascii="Times New Roman" w:hAnsi="Times New Roman" w:cs="Times New Roman"/>
          <w:sz w:val="24"/>
          <w:szCs w:val="24"/>
        </w:rPr>
        <w:t xml:space="preserve">cette économie </w:t>
      </w:r>
      <w:r w:rsidR="0087147C">
        <w:rPr>
          <w:rFonts w:ascii="Times New Roman" w:hAnsi="Times New Roman" w:cs="Times New Roman"/>
          <w:sz w:val="24"/>
          <w:szCs w:val="24"/>
        </w:rPr>
        <w:t xml:space="preserve">ne constitue que </w:t>
      </w:r>
      <w:r w:rsidR="00040A50">
        <w:rPr>
          <w:rFonts w:ascii="Times New Roman" w:hAnsi="Times New Roman" w:cs="Times New Roman"/>
          <w:sz w:val="24"/>
          <w:szCs w:val="24"/>
        </w:rPr>
        <w:t>0.11% des exportations russes et 0.013% des importations russes</w:t>
      </w:r>
      <w:r w:rsidR="0087147C">
        <w:rPr>
          <w:rFonts w:ascii="Times New Roman" w:hAnsi="Times New Roman" w:cs="Times New Roman"/>
          <w:sz w:val="24"/>
          <w:szCs w:val="24"/>
        </w:rPr>
        <w:t>.</w:t>
      </w:r>
      <w:r w:rsidR="00040A50">
        <w:rPr>
          <w:rFonts w:ascii="Times New Roman" w:hAnsi="Times New Roman" w:cs="Times New Roman"/>
          <w:sz w:val="24"/>
          <w:szCs w:val="24"/>
        </w:rPr>
        <w:t xml:space="preserve"> Même l’Ukraine, le plus gros marché des candidats potentiels de l’UEE que le gouvernement russe essaie depuis plusieurs années de faire rejoindre le projet d’intégration eurasiatique n’a jamais constitué plus de 8% du commerce russe au cours de ces quinze dernière années et la part du commerce Ukrainien à destination de l’Europe occidentale n’a cessé de croître.</w:t>
      </w:r>
      <w:r w:rsidR="0087147C">
        <w:rPr>
          <w:rFonts w:ascii="Times New Roman" w:hAnsi="Times New Roman" w:cs="Times New Roman"/>
          <w:sz w:val="24"/>
          <w:szCs w:val="24"/>
        </w:rPr>
        <w:t xml:space="preserve">       </w:t>
      </w:r>
    </w:p>
    <w:p w:rsidR="006A5A63" w:rsidRDefault="006A5A63" w:rsidP="002C7854">
      <w:pPr>
        <w:jc w:val="both"/>
        <w:rPr>
          <w:rFonts w:ascii="Times New Roman" w:hAnsi="Times New Roman" w:cs="Times New Roman"/>
          <w:sz w:val="24"/>
          <w:szCs w:val="24"/>
        </w:rPr>
      </w:pPr>
    </w:p>
    <w:p w:rsidR="00F73B96" w:rsidRDefault="000B066B" w:rsidP="002C7854">
      <w:pPr>
        <w:jc w:val="both"/>
        <w:rPr>
          <w:rFonts w:ascii="Times New Roman" w:hAnsi="Times New Roman" w:cs="Times New Roman"/>
          <w:sz w:val="24"/>
          <w:szCs w:val="24"/>
        </w:rPr>
      </w:pPr>
      <w:r>
        <w:rPr>
          <w:rFonts w:ascii="Times New Roman" w:hAnsi="Times New Roman" w:cs="Times New Roman"/>
          <w:sz w:val="24"/>
          <w:szCs w:val="24"/>
        </w:rPr>
        <w:t>Une analyse de la structure du commerce peut mettre en évidence q</w:t>
      </w:r>
      <w:r w:rsidR="00F73B96">
        <w:rPr>
          <w:rFonts w:ascii="Times New Roman" w:hAnsi="Times New Roman" w:cs="Times New Roman"/>
          <w:sz w:val="24"/>
          <w:szCs w:val="24"/>
        </w:rPr>
        <w:t>uelques changements quali</w:t>
      </w:r>
      <w:r>
        <w:rPr>
          <w:rFonts w:ascii="Times New Roman" w:hAnsi="Times New Roman" w:cs="Times New Roman"/>
          <w:sz w:val="24"/>
          <w:szCs w:val="24"/>
        </w:rPr>
        <w:t>tatifs concomitant</w:t>
      </w:r>
      <w:r w:rsidR="00F73B96">
        <w:rPr>
          <w:rFonts w:ascii="Times New Roman" w:hAnsi="Times New Roman" w:cs="Times New Roman"/>
          <w:sz w:val="24"/>
          <w:szCs w:val="24"/>
        </w:rPr>
        <w:t>s</w:t>
      </w:r>
      <w:r>
        <w:rPr>
          <w:rFonts w:ascii="Times New Roman" w:hAnsi="Times New Roman" w:cs="Times New Roman"/>
          <w:sz w:val="24"/>
          <w:szCs w:val="24"/>
        </w:rPr>
        <w:t xml:space="preserve"> à la mise en place de l’UEE et de l’</w:t>
      </w:r>
      <w:r w:rsidR="00F73B96">
        <w:rPr>
          <w:rFonts w:ascii="Times New Roman" w:hAnsi="Times New Roman" w:cs="Times New Roman"/>
          <w:sz w:val="24"/>
          <w:szCs w:val="24"/>
        </w:rPr>
        <w:t>ECU</w:t>
      </w:r>
      <w:r>
        <w:rPr>
          <w:rFonts w:ascii="Times New Roman" w:hAnsi="Times New Roman" w:cs="Times New Roman"/>
          <w:sz w:val="24"/>
          <w:szCs w:val="24"/>
        </w:rPr>
        <w:t>.</w:t>
      </w:r>
      <w:r w:rsidR="00F73B96">
        <w:rPr>
          <w:rFonts w:ascii="Times New Roman" w:hAnsi="Times New Roman" w:cs="Times New Roman"/>
          <w:sz w:val="24"/>
          <w:szCs w:val="24"/>
        </w:rPr>
        <w:t xml:space="preserve"> Ainsi, l</w:t>
      </w:r>
      <w:r>
        <w:rPr>
          <w:rFonts w:ascii="Times New Roman" w:hAnsi="Times New Roman" w:cs="Times New Roman"/>
          <w:sz w:val="24"/>
          <w:szCs w:val="24"/>
        </w:rPr>
        <w:t xml:space="preserve">e Kazakhstan qui n’exportait quasiment des matières premières </w:t>
      </w:r>
      <w:r w:rsidR="00F73B96">
        <w:rPr>
          <w:rFonts w:ascii="Times New Roman" w:hAnsi="Times New Roman" w:cs="Times New Roman"/>
          <w:sz w:val="24"/>
          <w:szCs w:val="24"/>
        </w:rPr>
        <w:t xml:space="preserve">à la fin des années 1990 </w:t>
      </w:r>
      <w:r>
        <w:rPr>
          <w:rFonts w:ascii="Times New Roman" w:hAnsi="Times New Roman" w:cs="Times New Roman"/>
          <w:sz w:val="24"/>
          <w:szCs w:val="24"/>
        </w:rPr>
        <w:t>exporte aujourd’hui vers la Russie des produits électroniques et des ordinateurs. Bien qu’elle dispose</w:t>
      </w:r>
      <w:r w:rsidR="00F73B96">
        <w:rPr>
          <w:rFonts w:ascii="Times New Roman" w:hAnsi="Times New Roman" w:cs="Times New Roman"/>
          <w:sz w:val="24"/>
          <w:szCs w:val="24"/>
        </w:rPr>
        <w:t xml:space="preserve"> d’une</w:t>
      </w:r>
      <w:r>
        <w:rPr>
          <w:rFonts w:ascii="Times New Roman" w:hAnsi="Times New Roman" w:cs="Times New Roman"/>
          <w:sz w:val="24"/>
          <w:szCs w:val="24"/>
        </w:rPr>
        <w:t xml:space="preserve"> capacité de production ICT</w:t>
      </w:r>
      <w:r w:rsidR="00F73B96">
        <w:rPr>
          <w:rFonts w:ascii="Times New Roman" w:hAnsi="Times New Roman" w:cs="Times New Roman"/>
          <w:sz w:val="24"/>
          <w:szCs w:val="24"/>
        </w:rPr>
        <w:t xml:space="preserve"> et que le gouvernement a des programme de soutien aux firmes produisant des composantes électroniques</w:t>
      </w:r>
      <w:r>
        <w:rPr>
          <w:rFonts w:ascii="Times New Roman" w:hAnsi="Times New Roman" w:cs="Times New Roman"/>
          <w:sz w:val="24"/>
          <w:szCs w:val="24"/>
        </w:rPr>
        <w:t xml:space="preserve">, il est difficile de savoir </w:t>
      </w:r>
      <w:r w:rsidR="00F73B96">
        <w:rPr>
          <w:rFonts w:ascii="Times New Roman" w:hAnsi="Times New Roman" w:cs="Times New Roman"/>
          <w:sz w:val="24"/>
          <w:szCs w:val="24"/>
        </w:rPr>
        <w:t xml:space="preserve">dans les exportations ICT vers la Russie quelle est </w:t>
      </w:r>
      <w:r>
        <w:rPr>
          <w:rFonts w:ascii="Times New Roman" w:hAnsi="Times New Roman" w:cs="Times New Roman"/>
          <w:sz w:val="24"/>
          <w:szCs w:val="24"/>
        </w:rPr>
        <w:t xml:space="preserve">la part de produits nationaux et celle qui provient d’un commerce de transit en provenance de Chine qui exporte des produits similaires. En tout cas, le Kazakhstan exporte ces produits électroniques essentiellement vers la Russie et </w:t>
      </w:r>
      <w:r w:rsidR="00EF2130">
        <w:rPr>
          <w:rFonts w:ascii="Times New Roman" w:hAnsi="Times New Roman" w:cs="Times New Roman"/>
          <w:sz w:val="24"/>
          <w:szCs w:val="24"/>
        </w:rPr>
        <w:t>beaucoup moins</w:t>
      </w:r>
      <w:r>
        <w:rPr>
          <w:rFonts w:ascii="Times New Roman" w:hAnsi="Times New Roman" w:cs="Times New Roman"/>
          <w:sz w:val="24"/>
          <w:szCs w:val="24"/>
        </w:rPr>
        <w:t xml:space="preserve"> en dehors de l’ex-espace soviétique</w:t>
      </w:r>
      <w:r w:rsidR="00F73B96">
        <w:rPr>
          <w:rFonts w:ascii="Times New Roman" w:hAnsi="Times New Roman" w:cs="Times New Roman"/>
          <w:sz w:val="24"/>
          <w:szCs w:val="24"/>
        </w:rPr>
        <w:t>. Les analystes de l’économie Biélorussie ont mis en évidence sa forte intégration avec l’économie russe depuis l’éclatement de l’URSS ce qui explique le caractère diversifié des échanges russes et biélorusses</w:t>
      </w:r>
      <w:r w:rsidR="00A020DC">
        <w:rPr>
          <w:rFonts w:ascii="Times New Roman" w:hAnsi="Times New Roman" w:cs="Times New Roman"/>
          <w:sz w:val="24"/>
          <w:szCs w:val="24"/>
        </w:rPr>
        <w:t xml:space="preserve"> mais cela est un fait antérieur la création de l’UEE</w:t>
      </w:r>
      <w:r w:rsidR="0056249F">
        <w:rPr>
          <w:rStyle w:val="Appelnotedebasdep"/>
          <w:rFonts w:ascii="Times New Roman" w:hAnsi="Times New Roman" w:cs="Times New Roman"/>
          <w:sz w:val="24"/>
          <w:szCs w:val="24"/>
        </w:rPr>
        <w:footnoteReference w:id="20"/>
      </w:r>
      <w:r w:rsidR="00F73B96">
        <w:rPr>
          <w:rFonts w:ascii="Times New Roman" w:hAnsi="Times New Roman" w:cs="Times New Roman"/>
          <w:sz w:val="24"/>
          <w:szCs w:val="24"/>
        </w:rPr>
        <w:t>.</w:t>
      </w:r>
      <w:r w:rsidR="00877161">
        <w:rPr>
          <w:rFonts w:ascii="Times New Roman" w:hAnsi="Times New Roman" w:cs="Times New Roman"/>
          <w:sz w:val="24"/>
          <w:szCs w:val="24"/>
        </w:rPr>
        <w:t xml:space="preserve"> Le </w:t>
      </w:r>
      <w:r w:rsidR="00496350">
        <w:rPr>
          <w:rFonts w:ascii="Times New Roman" w:hAnsi="Times New Roman" w:cs="Times New Roman"/>
          <w:sz w:val="24"/>
          <w:szCs w:val="24"/>
        </w:rPr>
        <w:t>Kirghizstan</w:t>
      </w:r>
      <w:r w:rsidR="00B62956">
        <w:rPr>
          <w:rFonts w:ascii="Times New Roman" w:hAnsi="Times New Roman" w:cs="Times New Roman"/>
          <w:sz w:val="24"/>
          <w:szCs w:val="24"/>
        </w:rPr>
        <w:t xml:space="preserve"> lui aussi exporte ses produits manufacturés vers les pays de l’ex-URSS, y compris ceux hors de l’UEE (ampoules électriques, équipement automobile, textile)</w:t>
      </w:r>
      <w:r w:rsidR="00877161">
        <w:rPr>
          <w:rFonts w:ascii="Times New Roman" w:hAnsi="Times New Roman" w:cs="Times New Roman"/>
          <w:sz w:val="24"/>
          <w:szCs w:val="24"/>
        </w:rPr>
        <w:t xml:space="preserve"> </w:t>
      </w:r>
      <w:r w:rsidR="00EF2130">
        <w:rPr>
          <w:rFonts w:ascii="Times New Roman" w:hAnsi="Times New Roman" w:cs="Times New Roman"/>
          <w:sz w:val="24"/>
          <w:szCs w:val="24"/>
        </w:rPr>
        <w:t>ce qui peut s’expliquer en partie par</w:t>
      </w:r>
      <w:r w:rsidR="00B62956">
        <w:rPr>
          <w:rFonts w:ascii="Times New Roman" w:hAnsi="Times New Roman" w:cs="Times New Roman"/>
          <w:sz w:val="24"/>
          <w:szCs w:val="24"/>
        </w:rPr>
        <w:t xml:space="preserve"> de réseaux de production et de distribution hérité de la période soviétique</w:t>
      </w:r>
      <w:r w:rsidR="00EF2130">
        <w:rPr>
          <w:rFonts w:ascii="Times New Roman" w:hAnsi="Times New Roman" w:cs="Times New Roman"/>
          <w:sz w:val="24"/>
          <w:szCs w:val="24"/>
        </w:rPr>
        <w:t xml:space="preserve"> mais ces montants sont très faibles (quelques millions d’euros)</w:t>
      </w:r>
      <w:r w:rsidR="00A35B88">
        <w:rPr>
          <w:rStyle w:val="Appelnotedebasdep"/>
          <w:rFonts w:ascii="Times New Roman" w:hAnsi="Times New Roman" w:cs="Times New Roman"/>
          <w:sz w:val="24"/>
          <w:szCs w:val="24"/>
        </w:rPr>
        <w:footnoteReference w:id="21"/>
      </w:r>
      <w:r w:rsidR="00EF2130">
        <w:rPr>
          <w:rFonts w:ascii="Times New Roman" w:hAnsi="Times New Roman" w:cs="Times New Roman"/>
          <w:sz w:val="24"/>
          <w:szCs w:val="24"/>
        </w:rPr>
        <w:t>. I</w:t>
      </w:r>
      <w:r w:rsidR="00B62956">
        <w:rPr>
          <w:rFonts w:ascii="Times New Roman" w:hAnsi="Times New Roman" w:cs="Times New Roman"/>
          <w:sz w:val="24"/>
          <w:szCs w:val="24"/>
        </w:rPr>
        <w:t xml:space="preserve">l exporte </w:t>
      </w:r>
      <w:r w:rsidR="00EF2130">
        <w:rPr>
          <w:rFonts w:ascii="Times New Roman" w:hAnsi="Times New Roman" w:cs="Times New Roman"/>
          <w:sz w:val="24"/>
          <w:szCs w:val="24"/>
        </w:rPr>
        <w:t xml:space="preserve">relativement </w:t>
      </w:r>
      <w:r w:rsidR="00B62956">
        <w:rPr>
          <w:rFonts w:ascii="Times New Roman" w:hAnsi="Times New Roman" w:cs="Times New Roman"/>
          <w:sz w:val="24"/>
          <w:szCs w:val="24"/>
        </w:rPr>
        <w:t>plus de matières premières en dehors de l’</w:t>
      </w:r>
      <w:r w:rsidR="00EF2130">
        <w:rPr>
          <w:rFonts w:ascii="Times New Roman" w:hAnsi="Times New Roman" w:cs="Times New Roman"/>
          <w:sz w:val="24"/>
          <w:szCs w:val="24"/>
        </w:rPr>
        <w:t>ex-URSS</w:t>
      </w:r>
      <w:r w:rsidR="00B62956">
        <w:rPr>
          <w:rFonts w:ascii="Times New Roman" w:hAnsi="Times New Roman" w:cs="Times New Roman"/>
          <w:sz w:val="24"/>
          <w:szCs w:val="24"/>
        </w:rPr>
        <w:t xml:space="preserve">. </w:t>
      </w:r>
      <w:r w:rsidR="00EF2130">
        <w:rPr>
          <w:rFonts w:ascii="Times New Roman" w:hAnsi="Times New Roman" w:cs="Times New Roman"/>
          <w:sz w:val="24"/>
          <w:szCs w:val="24"/>
        </w:rPr>
        <w:t xml:space="preserve">Ces éléments montrent que les économies des Etats membres exportent essentiellement des matières premières </w:t>
      </w:r>
      <w:r w:rsidR="009063AC">
        <w:rPr>
          <w:rFonts w:ascii="Times New Roman" w:hAnsi="Times New Roman" w:cs="Times New Roman"/>
          <w:sz w:val="24"/>
          <w:szCs w:val="24"/>
        </w:rPr>
        <w:t xml:space="preserve">et des </w:t>
      </w:r>
      <w:r w:rsidR="00EF2130">
        <w:rPr>
          <w:rFonts w:ascii="Times New Roman" w:hAnsi="Times New Roman" w:cs="Times New Roman"/>
          <w:sz w:val="24"/>
          <w:szCs w:val="24"/>
        </w:rPr>
        <w:t>produits énergétique</w:t>
      </w:r>
      <w:r w:rsidR="0087147C">
        <w:rPr>
          <w:rFonts w:ascii="Times New Roman" w:hAnsi="Times New Roman" w:cs="Times New Roman"/>
          <w:sz w:val="24"/>
          <w:szCs w:val="24"/>
        </w:rPr>
        <w:t xml:space="preserve">s vers l’extérieur mais ils </w:t>
      </w:r>
      <w:r w:rsidR="009063AC">
        <w:rPr>
          <w:rFonts w:ascii="Times New Roman" w:hAnsi="Times New Roman" w:cs="Times New Roman"/>
          <w:sz w:val="24"/>
          <w:szCs w:val="24"/>
        </w:rPr>
        <w:t>échange</w:t>
      </w:r>
      <w:r w:rsidR="0087147C">
        <w:rPr>
          <w:rFonts w:ascii="Times New Roman" w:hAnsi="Times New Roman" w:cs="Times New Roman"/>
          <w:sz w:val="24"/>
          <w:szCs w:val="24"/>
        </w:rPr>
        <w:t>nt relativement plus</w:t>
      </w:r>
      <w:r w:rsidR="009063AC">
        <w:rPr>
          <w:rFonts w:ascii="Times New Roman" w:hAnsi="Times New Roman" w:cs="Times New Roman"/>
          <w:sz w:val="24"/>
          <w:szCs w:val="24"/>
        </w:rPr>
        <w:t xml:space="preserve"> de produi</w:t>
      </w:r>
      <w:r w:rsidR="0087147C">
        <w:rPr>
          <w:rFonts w:ascii="Times New Roman" w:hAnsi="Times New Roman" w:cs="Times New Roman"/>
          <w:sz w:val="24"/>
          <w:szCs w:val="24"/>
        </w:rPr>
        <w:t>ts manufacturés en sein de l’ex-</w:t>
      </w:r>
      <w:r w:rsidR="009063AC">
        <w:rPr>
          <w:rFonts w:ascii="Times New Roman" w:hAnsi="Times New Roman" w:cs="Times New Roman"/>
          <w:sz w:val="24"/>
          <w:szCs w:val="24"/>
        </w:rPr>
        <w:t>espace soviétique.</w:t>
      </w:r>
      <w:r w:rsidR="00EF2130">
        <w:rPr>
          <w:rFonts w:ascii="Times New Roman" w:hAnsi="Times New Roman" w:cs="Times New Roman"/>
          <w:sz w:val="24"/>
          <w:szCs w:val="24"/>
        </w:rPr>
        <w:t xml:space="preserve"> </w:t>
      </w:r>
      <w:r w:rsidR="00F73B96">
        <w:rPr>
          <w:rFonts w:ascii="Times New Roman" w:hAnsi="Times New Roman" w:cs="Times New Roman"/>
          <w:sz w:val="24"/>
          <w:szCs w:val="24"/>
        </w:rPr>
        <w:t xml:space="preserve"> </w:t>
      </w:r>
    </w:p>
    <w:p w:rsidR="003C40FB" w:rsidRDefault="003C40FB" w:rsidP="002C7854">
      <w:pPr>
        <w:jc w:val="both"/>
        <w:rPr>
          <w:rFonts w:ascii="Times New Roman" w:hAnsi="Times New Roman" w:cs="Times New Roman"/>
          <w:sz w:val="24"/>
          <w:szCs w:val="24"/>
        </w:rPr>
      </w:pPr>
    </w:p>
    <w:p w:rsidR="00972FF9" w:rsidRDefault="000F148E" w:rsidP="002C7854">
      <w:pPr>
        <w:jc w:val="both"/>
        <w:rPr>
          <w:rFonts w:ascii="Times New Roman" w:hAnsi="Times New Roman" w:cs="Times New Roman"/>
          <w:sz w:val="24"/>
          <w:szCs w:val="24"/>
        </w:rPr>
      </w:pPr>
      <w:r>
        <w:rPr>
          <w:rFonts w:ascii="Times New Roman" w:hAnsi="Times New Roman" w:cs="Times New Roman"/>
          <w:b/>
          <w:sz w:val="24"/>
          <w:szCs w:val="24"/>
        </w:rPr>
        <w:t xml:space="preserve">5. </w:t>
      </w:r>
      <w:r w:rsidR="00972FF9" w:rsidRPr="00972FF9">
        <w:rPr>
          <w:rFonts w:ascii="Times New Roman" w:hAnsi="Times New Roman" w:cs="Times New Roman"/>
          <w:b/>
          <w:sz w:val="24"/>
          <w:szCs w:val="24"/>
        </w:rPr>
        <w:t>L’UEE, un Mercosur russe ? Les limites d’un processus d’intégration régionale composé de pays exportateurs de matières premières</w:t>
      </w:r>
    </w:p>
    <w:p w:rsidR="006A5A63" w:rsidRDefault="00040A50" w:rsidP="002C7854">
      <w:pPr>
        <w:jc w:val="both"/>
        <w:rPr>
          <w:rFonts w:ascii="Times New Roman" w:hAnsi="Times New Roman" w:cs="Times New Roman"/>
          <w:sz w:val="24"/>
          <w:szCs w:val="24"/>
        </w:rPr>
      </w:pPr>
      <w:r>
        <w:rPr>
          <w:rFonts w:ascii="Times New Roman" w:hAnsi="Times New Roman" w:cs="Times New Roman"/>
          <w:sz w:val="24"/>
          <w:szCs w:val="24"/>
        </w:rPr>
        <w:t>Si l’on la compare avec d’autres dynamiques d’intégration régionale, l’UEE partage un grand nombre de similarités avec le Mercosur (Brésil, Argentine, Paraguay, Uruguay et Venezuela).</w:t>
      </w:r>
      <w:r w:rsidR="00DF1523">
        <w:rPr>
          <w:rFonts w:ascii="Times New Roman" w:hAnsi="Times New Roman" w:cs="Times New Roman"/>
          <w:sz w:val="24"/>
          <w:szCs w:val="24"/>
        </w:rPr>
        <w:t xml:space="preserve"> La Russie comme le Brésil domine largement l’</w:t>
      </w:r>
      <w:r w:rsidR="00E60691">
        <w:rPr>
          <w:rFonts w:ascii="Times New Roman" w:hAnsi="Times New Roman" w:cs="Times New Roman"/>
          <w:sz w:val="24"/>
          <w:szCs w:val="24"/>
        </w:rPr>
        <w:t>ensemble régional. Tous</w:t>
      </w:r>
      <w:r w:rsidR="00DF1523">
        <w:rPr>
          <w:rFonts w:ascii="Times New Roman" w:hAnsi="Times New Roman" w:cs="Times New Roman"/>
          <w:sz w:val="24"/>
          <w:szCs w:val="24"/>
        </w:rPr>
        <w:t xml:space="preserve"> deux sont principalement des exportateurs de produits primaires (minéraux, produits énergétiques </w:t>
      </w:r>
      <w:r w:rsidR="00DF1523">
        <w:rPr>
          <w:rFonts w:ascii="Times New Roman" w:hAnsi="Times New Roman" w:cs="Times New Roman"/>
          <w:sz w:val="24"/>
          <w:szCs w:val="24"/>
        </w:rPr>
        <w:lastRenderedPageBreak/>
        <w:t>produits agricoles) et cette tendance s’approfondit depuis deux décennies</w:t>
      </w:r>
      <w:r w:rsidR="0056249F">
        <w:rPr>
          <w:rFonts w:ascii="Times New Roman" w:hAnsi="Times New Roman" w:cs="Times New Roman"/>
          <w:sz w:val="24"/>
          <w:szCs w:val="24"/>
        </w:rPr>
        <w:t xml:space="preserve"> (voir graphique ci-dessous)</w:t>
      </w:r>
      <w:r w:rsidR="00E60691">
        <w:rPr>
          <w:rFonts w:ascii="Times New Roman" w:hAnsi="Times New Roman" w:cs="Times New Roman"/>
          <w:sz w:val="24"/>
          <w:szCs w:val="24"/>
        </w:rPr>
        <w:t>. Bien qu</w:t>
      </w:r>
      <w:r w:rsidR="00315A32">
        <w:rPr>
          <w:rFonts w:ascii="Times New Roman" w:hAnsi="Times New Roman" w:cs="Times New Roman"/>
          <w:sz w:val="24"/>
          <w:szCs w:val="24"/>
        </w:rPr>
        <w:t>e ces deux pays</w:t>
      </w:r>
      <w:r w:rsidR="00E60691">
        <w:rPr>
          <w:rFonts w:ascii="Times New Roman" w:hAnsi="Times New Roman" w:cs="Times New Roman"/>
          <w:sz w:val="24"/>
          <w:szCs w:val="24"/>
        </w:rPr>
        <w:t xml:space="preserve"> disposent de capacités industrielles, celles-ci sont concentrées dans certains </w:t>
      </w:r>
      <w:r w:rsidR="0056249F">
        <w:rPr>
          <w:rFonts w:ascii="Times New Roman" w:hAnsi="Times New Roman" w:cs="Times New Roman"/>
          <w:sz w:val="24"/>
          <w:szCs w:val="24"/>
        </w:rPr>
        <w:t>secteurs spécifiques (énergie ;</w:t>
      </w:r>
      <w:r w:rsidR="00E60691">
        <w:rPr>
          <w:rFonts w:ascii="Times New Roman" w:hAnsi="Times New Roman" w:cs="Times New Roman"/>
          <w:sz w:val="24"/>
          <w:szCs w:val="24"/>
        </w:rPr>
        <w:t xml:space="preserve"> p</w:t>
      </w:r>
      <w:r w:rsidR="0056249F">
        <w:rPr>
          <w:rFonts w:ascii="Times New Roman" w:hAnsi="Times New Roman" w:cs="Times New Roman"/>
          <w:sz w:val="24"/>
          <w:szCs w:val="24"/>
        </w:rPr>
        <w:t>rospection minière ; métallurgie ;</w:t>
      </w:r>
      <w:r w:rsidR="00E60691">
        <w:rPr>
          <w:rFonts w:ascii="Times New Roman" w:hAnsi="Times New Roman" w:cs="Times New Roman"/>
          <w:sz w:val="24"/>
          <w:szCs w:val="24"/>
        </w:rPr>
        <w:t xml:space="preserve"> </w:t>
      </w:r>
      <w:r w:rsidR="00315A32">
        <w:rPr>
          <w:rFonts w:ascii="Times New Roman" w:hAnsi="Times New Roman" w:cs="Times New Roman"/>
          <w:sz w:val="24"/>
          <w:szCs w:val="24"/>
        </w:rPr>
        <w:t>défense</w:t>
      </w:r>
      <w:r w:rsidR="00E60691">
        <w:rPr>
          <w:rFonts w:ascii="Times New Roman" w:hAnsi="Times New Roman" w:cs="Times New Roman"/>
          <w:sz w:val="24"/>
          <w:szCs w:val="24"/>
        </w:rPr>
        <w:t xml:space="preserve"> pour la Russie et agrobusiness pour le Brésil) alors que la plupart de</w:t>
      </w:r>
      <w:r w:rsidR="00315A32">
        <w:rPr>
          <w:rFonts w:ascii="Times New Roman" w:hAnsi="Times New Roman" w:cs="Times New Roman"/>
          <w:sz w:val="24"/>
          <w:szCs w:val="24"/>
        </w:rPr>
        <w:t>s</w:t>
      </w:r>
      <w:r w:rsidR="00E60691">
        <w:rPr>
          <w:rFonts w:ascii="Times New Roman" w:hAnsi="Times New Roman" w:cs="Times New Roman"/>
          <w:sz w:val="24"/>
          <w:szCs w:val="24"/>
        </w:rPr>
        <w:t xml:space="preserve"> produits manufacturés </w:t>
      </w:r>
      <w:r w:rsidR="00315A32">
        <w:rPr>
          <w:rFonts w:ascii="Times New Roman" w:hAnsi="Times New Roman" w:cs="Times New Roman"/>
          <w:sz w:val="24"/>
          <w:szCs w:val="24"/>
        </w:rPr>
        <w:t xml:space="preserve">et des services intensifs en technologie </w:t>
      </w:r>
      <w:r w:rsidR="00E60691">
        <w:rPr>
          <w:rFonts w:ascii="Times New Roman" w:hAnsi="Times New Roman" w:cs="Times New Roman"/>
          <w:sz w:val="24"/>
          <w:szCs w:val="24"/>
        </w:rPr>
        <w:t>sont importés ou réalisés par des multinationales étrangères.</w:t>
      </w:r>
      <w:r w:rsidR="00315A32">
        <w:rPr>
          <w:rFonts w:ascii="Times New Roman" w:hAnsi="Times New Roman" w:cs="Times New Roman"/>
          <w:sz w:val="24"/>
          <w:szCs w:val="24"/>
        </w:rPr>
        <w:t xml:space="preserve"> Comme les Etats membres de l’UEE et du Mercosur sont principalement exportateurs de produits primaires, ils sont plus tournés vers les grands marchés mondiaux consommateurs (Europe Occidentale, Amérique du Nord, Asie orientale) que vers leur propre région</w:t>
      </w:r>
      <w:r w:rsidR="0056249F">
        <w:rPr>
          <w:rFonts w:ascii="Times New Roman" w:hAnsi="Times New Roman" w:cs="Times New Roman"/>
          <w:sz w:val="24"/>
          <w:szCs w:val="24"/>
        </w:rPr>
        <w:t>,</w:t>
      </w:r>
      <w:r w:rsidR="00315A32">
        <w:rPr>
          <w:rFonts w:ascii="Times New Roman" w:hAnsi="Times New Roman" w:cs="Times New Roman"/>
          <w:sz w:val="24"/>
          <w:szCs w:val="24"/>
        </w:rPr>
        <w:t xml:space="preserve"> ce qui </w:t>
      </w:r>
      <w:r w:rsidR="00E774E9">
        <w:rPr>
          <w:rFonts w:ascii="Times New Roman" w:hAnsi="Times New Roman" w:cs="Times New Roman"/>
          <w:sz w:val="24"/>
          <w:szCs w:val="24"/>
        </w:rPr>
        <w:t xml:space="preserve">explique </w:t>
      </w:r>
      <w:r w:rsidR="00315A32">
        <w:rPr>
          <w:rFonts w:ascii="Times New Roman" w:hAnsi="Times New Roman" w:cs="Times New Roman"/>
          <w:sz w:val="24"/>
          <w:szCs w:val="24"/>
        </w:rPr>
        <w:t>la bai</w:t>
      </w:r>
      <w:r w:rsidR="00A35B88">
        <w:rPr>
          <w:rFonts w:ascii="Times New Roman" w:hAnsi="Times New Roman" w:cs="Times New Roman"/>
          <w:sz w:val="24"/>
          <w:szCs w:val="24"/>
        </w:rPr>
        <w:t xml:space="preserve">sse relative  du commerce </w:t>
      </w:r>
      <w:proofErr w:type="spellStart"/>
      <w:r w:rsidR="00A35B88">
        <w:rPr>
          <w:rFonts w:ascii="Times New Roman" w:hAnsi="Times New Roman" w:cs="Times New Roman"/>
          <w:sz w:val="24"/>
          <w:szCs w:val="24"/>
        </w:rPr>
        <w:t>intra</w:t>
      </w:r>
      <w:r w:rsidR="00315A32">
        <w:rPr>
          <w:rFonts w:ascii="Times New Roman" w:hAnsi="Times New Roman" w:cs="Times New Roman"/>
          <w:sz w:val="24"/>
          <w:szCs w:val="24"/>
        </w:rPr>
        <w:t>régional</w:t>
      </w:r>
      <w:proofErr w:type="spellEnd"/>
      <w:r w:rsidR="00E774E9">
        <w:rPr>
          <w:rFonts w:ascii="Times New Roman" w:hAnsi="Times New Roman" w:cs="Times New Roman"/>
          <w:sz w:val="24"/>
          <w:szCs w:val="24"/>
        </w:rPr>
        <w:t>. Ces deux leaders régionaux ont des gouvernements qui ont des velléités de souveraineté économique et s’opposent au laissez-faire du consensus de Washington prônés par les grandes institutions multilatérales (Banque Mondiales, FMI et OMC) et les économies les plus avancées (UE, Etats-Unis, Japon).</w:t>
      </w:r>
      <w:r w:rsidR="00310759">
        <w:rPr>
          <w:rFonts w:ascii="Times New Roman" w:hAnsi="Times New Roman" w:cs="Times New Roman"/>
          <w:sz w:val="24"/>
          <w:szCs w:val="24"/>
        </w:rPr>
        <w:t xml:space="preserve"> L’intégration régionale est vu comme un outil pour développer le secteur industriel en générant un marché protégé plus grand que le marché national</w:t>
      </w:r>
      <w:r w:rsidR="0056249F">
        <w:rPr>
          <w:rFonts w:ascii="Times New Roman" w:hAnsi="Times New Roman" w:cs="Times New Roman"/>
          <w:sz w:val="24"/>
          <w:szCs w:val="24"/>
        </w:rPr>
        <w:t>, ceci afin de</w:t>
      </w:r>
      <w:r w:rsidR="00310759">
        <w:rPr>
          <w:rFonts w:ascii="Times New Roman" w:hAnsi="Times New Roman" w:cs="Times New Roman"/>
          <w:sz w:val="24"/>
          <w:szCs w:val="24"/>
        </w:rPr>
        <w:t xml:space="preserve"> permettre aux grandes firmes nationales de bénéficier pleinement des économies d’échelle et des effets d’apprentissage. </w:t>
      </w:r>
    </w:p>
    <w:p w:rsidR="00040A50" w:rsidRDefault="00310759" w:rsidP="002C7854">
      <w:pPr>
        <w:jc w:val="both"/>
        <w:rPr>
          <w:rFonts w:ascii="Times New Roman" w:hAnsi="Times New Roman" w:cs="Times New Roman"/>
          <w:sz w:val="24"/>
          <w:szCs w:val="24"/>
        </w:rPr>
      </w:pPr>
      <w:r>
        <w:rPr>
          <w:rFonts w:ascii="Times New Roman" w:hAnsi="Times New Roman" w:cs="Times New Roman"/>
          <w:sz w:val="24"/>
          <w:szCs w:val="24"/>
        </w:rPr>
        <w:t>Mais dans les deux cas, les secteurs industriels sont plus</w:t>
      </w:r>
      <w:r w:rsidR="00707FAC">
        <w:rPr>
          <w:rFonts w:ascii="Times New Roman" w:hAnsi="Times New Roman" w:cs="Times New Roman"/>
          <w:sz w:val="24"/>
          <w:szCs w:val="24"/>
        </w:rPr>
        <w:t xml:space="preserve"> faibles que c</w:t>
      </w:r>
      <w:r>
        <w:rPr>
          <w:rFonts w:ascii="Times New Roman" w:hAnsi="Times New Roman" w:cs="Times New Roman"/>
          <w:sz w:val="24"/>
          <w:szCs w:val="24"/>
        </w:rPr>
        <w:t>eux des produits primaires</w:t>
      </w:r>
      <w:r w:rsidR="0056249F">
        <w:rPr>
          <w:rFonts w:ascii="Times New Roman" w:hAnsi="Times New Roman" w:cs="Times New Roman"/>
          <w:sz w:val="24"/>
          <w:szCs w:val="24"/>
        </w:rPr>
        <w:t>. L</w:t>
      </w:r>
      <w:r w:rsidR="00707FAC">
        <w:rPr>
          <w:rFonts w:ascii="Times New Roman" w:hAnsi="Times New Roman" w:cs="Times New Roman"/>
          <w:sz w:val="24"/>
          <w:szCs w:val="24"/>
        </w:rPr>
        <w:t>eur capacité de lobbying en faveur d’une politique industrielle cohérente reste insuffisante pour infléc</w:t>
      </w:r>
      <w:r w:rsidR="009025E3">
        <w:rPr>
          <w:rFonts w:ascii="Times New Roman" w:hAnsi="Times New Roman" w:cs="Times New Roman"/>
          <w:sz w:val="24"/>
          <w:szCs w:val="24"/>
        </w:rPr>
        <w:t>hir la</w:t>
      </w:r>
      <w:r w:rsidR="00707FAC">
        <w:rPr>
          <w:rFonts w:ascii="Times New Roman" w:hAnsi="Times New Roman" w:cs="Times New Roman"/>
          <w:sz w:val="24"/>
          <w:szCs w:val="24"/>
        </w:rPr>
        <w:t xml:space="preserve"> dépendance</w:t>
      </w:r>
      <w:r w:rsidR="009025E3">
        <w:rPr>
          <w:rFonts w:ascii="Times New Roman" w:hAnsi="Times New Roman" w:cs="Times New Roman"/>
          <w:sz w:val="24"/>
          <w:szCs w:val="24"/>
        </w:rPr>
        <w:t xml:space="preserve"> de ces leaders régionaux</w:t>
      </w:r>
      <w:r w:rsidR="00707FAC">
        <w:rPr>
          <w:rFonts w:ascii="Times New Roman" w:hAnsi="Times New Roman" w:cs="Times New Roman"/>
          <w:sz w:val="24"/>
          <w:szCs w:val="24"/>
        </w:rPr>
        <w:t xml:space="preserve"> en matière d’accès aux marchés de matières premières et d’importations de produits de haute technologie</w:t>
      </w:r>
      <w:r w:rsidR="00A35B88">
        <w:rPr>
          <w:rStyle w:val="Appelnotedebasdep"/>
          <w:rFonts w:ascii="Times New Roman" w:hAnsi="Times New Roman" w:cs="Times New Roman"/>
          <w:sz w:val="24"/>
          <w:szCs w:val="24"/>
        </w:rPr>
        <w:footnoteReference w:id="22"/>
      </w:r>
      <w:r w:rsidR="00707FAC">
        <w:rPr>
          <w:rFonts w:ascii="Times New Roman" w:hAnsi="Times New Roman" w:cs="Times New Roman"/>
          <w:sz w:val="24"/>
          <w:szCs w:val="24"/>
        </w:rPr>
        <w:t>. Ni le Brésil, ni la Russie ne peuvent prétendre à ce stade jouer le rôle de fournisseur de haute technologie</w:t>
      </w:r>
      <w:r w:rsidR="009025E3">
        <w:rPr>
          <w:rFonts w:ascii="Times New Roman" w:hAnsi="Times New Roman" w:cs="Times New Roman"/>
          <w:sz w:val="24"/>
          <w:szCs w:val="24"/>
        </w:rPr>
        <w:t xml:space="preserve"> vis-à-vis de</w:t>
      </w:r>
      <w:r w:rsidR="00707FAC">
        <w:rPr>
          <w:rFonts w:ascii="Times New Roman" w:hAnsi="Times New Roman" w:cs="Times New Roman"/>
          <w:sz w:val="24"/>
          <w:szCs w:val="24"/>
        </w:rPr>
        <w:t xml:space="preserve"> leurs voisins régionaux</w:t>
      </w:r>
      <w:r w:rsidR="006D35AE">
        <w:rPr>
          <w:rFonts w:ascii="Times New Roman" w:hAnsi="Times New Roman" w:cs="Times New Roman"/>
          <w:sz w:val="24"/>
          <w:szCs w:val="24"/>
        </w:rPr>
        <w:t>. Cette faiblesse</w:t>
      </w:r>
      <w:r w:rsidR="009025E3">
        <w:rPr>
          <w:rFonts w:ascii="Times New Roman" w:hAnsi="Times New Roman" w:cs="Times New Roman"/>
          <w:sz w:val="24"/>
          <w:szCs w:val="24"/>
        </w:rPr>
        <w:t xml:space="preserve"> limite leur capacité d’attraction en tant que centre d’une intégration régionale à la différence des Etats-Unis, de l’Allemagne et du Japon dont les firmes multinationales détentrice</w:t>
      </w:r>
      <w:r w:rsidR="00C8771D">
        <w:rPr>
          <w:rFonts w:ascii="Times New Roman" w:hAnsi="Times New Roman" w:cs="Times New Roman"/>
          <w:sz w:val="24"/>
          <w:szCs w:val="24"/>
        </w:rPr>
        <w:t>s</w:t>
      </w:r>
      <w:r w:rsidR="009025E3">
        <w:rPr>
          <w:rFonts w:ascii="Times New Roman" w:hAnsi="Times New Roman" w:cs="Times New Roman"/>
          <w:sz w:val="24"/>
          <w:szCs w:val="24"/>
        </w:rPr>
        <w:t xml:space="preserve"> de haute technologie et de savoir-faire managérial international</w:t>
      </w:r>
      <w:r w:rsidR="00C8771D">
        <w:rPr>
          <w:rFonts w:ascii="Times New Roman" w:hAnsi="Times New Roman" w:cs="Times New Roman"/>
          <w:sz w:val="24"/>
          <w:szCs w:val="24"/>
        </w:rPr>
        <w:t xml:space="preserve"> génèrent </w:t>
      </w:r>
      <w:r w:rsidR="00A90405">
        <w:rPr>
          <w:rFonts w:ascii="Times New Roman" w:hAnsi="Times New Roman" w:cs="Times New Roman"/>
          <w:sz w:val="24"/>
          <w:szCs w:val="24"/>
        </w:rPr>
        <w:t>une forte dynamique microéconomique renforçant l’intégration régionale</w:t>
      </w:r>
      <w:r w:rsidR="00924827">
        <w:rPr>
          <w:rFonts w:ascii="Times New Roman" w:hAnsi="Times New Roman" w:cs="Times New Roman"/>
          <w:sz w:val="24"/>
          <w:szCs w:val="24"/>
        </w:rPr>
        <w:t xml:space="preserve"> (respectivement l’ALENA, l’UE</w:t>
      </w:r>
      <w:r w:rsidR="00A90405">
        <w:rPr>
          <w:rFonts w:ascii="Times New Roman" w:hAnsi="Times New Roman" w:cs="Times New Roman"/>
          <w:sz w:val="24"/>
          <w:szCs w:val="24"/>
        </w:rPr>
        <w:t xml:space="preserve"> </w:t>
      </w:r>
      <w:r w:rsidR="00924827">
        <w:rPr>
          <w:rFonts w:ascii="Times New Roman" w:hAnsi="Times New Roman" w:cs="Times New Roman"/>
          <w:sz w:val="24"/>
          <w:szCs w:val="24"/>
        </w:rPr>
        <w:t xml:space="preserve">ou la région ASEAN+3) </w:t>
      </w:r>
      <w:r w:rsidR="00A90405">
        <w:rPr>
          <w:rFonts w:ascii="Times New Roman" w:hAnsi="Times New Roman" w:cs="Times New Roman"/>
          <w:sz w:val="24"/>
          <w:szCs w:val="24"/>
        </w:rPr>
        <w:t>en régionalisant leur processus de production.</w:t>
      </w:r>
      <w:r w:rsidR="009025E3">
        <w:rPr>
          <w:rFonts w:ascii="Times New Roman" w:hAnsi="Times New Roman" w:cs="Times New Roman"/>
          <w:sz w:val="24"/>
          <w:szCs w:val="24"/>
        </w:rPr>
        <w:t xml:space="preserve"> </w:t>
      </w:r>
      <w:r>
        <w:rPr>
          <w:rFonts w:ascii="Times New Roman" w:hAnsi="Times New Roman" w:cs="Times New Roman"/>
          <w:sz w:val="24"/>
          <w:szCs w:val="24"/>
        </w:rPr>
        <w:t xml:space="preserve"> </w:t>
      </w:r>
      <w:r w:rsidR="00E774E9">
        <w:rPr>
          <w:rFonts w:ascii="Times New Roman" w:hAnsi="Times New Roman" w:cs="Times New Roman"/>
          <w:sz w:val="24"/>
          <w:szCs w:val="24"/>
        </w:rPr>
        <w:t xml:space="preserve">  </w:t>
      </w:r>
      <w:r w:rsidR="00E60691">
        <w:rPr>
          <w:rFonts w:ascii="Times New Roman" w:hAnsi="Times New Roman" w:cs="Times New Roman"/>
          <w:sz w:val="24"/>
          <w:szCs w:val="24"/>
        </w:rPr>
        <w:t xml:space="preserve"> </w:t>
      </w:r>
    </w:p>
    <w:p w:rsidR="00E52C86" w:rsidRDefault="00E52C86" w:rsidP="002C7854">
      <w:pPr>
        <w:jc w:val="both"/>
        <w:rPr>
          <w:rFonts w:ascii="Times New Roman" w:hAnsi="Times New Roman" w:cs="Times New Roman"/>
          <w:sz w:val="24"/>
          <w:szCs w:val="24"/>
        </w:rPr>
      </w:pPr>
      <w:r>
        <w:rPr>
          <w:noProof/>
          <w:lang w:val="en-GB" w:eastAsia="en-GB"/>
        </w:rPr>
        <w:drawing>
          <wp:inline distT="0" distB="0" distL="0" distR="0" wp14:anchorId="0B9A280C" wp14:editId="58699F19">
            <wp:extent cx="5732060" cy="2850515"/>
            <wp:effectExtent l="0" t="0" r="2540" b="6985"/>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A5A63" w:rsidRDefault="006A5A63" w:rsidP="006A5A63">
      <w:pPr>
        <w:jc w:val="center"/>
        <w:rPr>
          <w:rFonts w:ascii="Times New Roman" w:hAnsi="Times New Roman" w:cs="Times New Roman"/>
          <w:sz w:val="24"/>
          <w:szCs w:val="24"/>
        </w:rPr>
      </w:pPr>
      <w:r>
        <w:rPr>
          <w:rFonts w:ascii="Times New Roman" w:hAnsi="Times New Roman" w:cs="Times New Roman"/>
          <w:sz w:val="24"/>
          <w:szCs w:val="24"/>
        </w:rPr>
        <w:t>Source : Banque Mondiale, data, 2016</w:t>
      </w:r>
    </w:p>
    <w:p w:rsidR="006A5A63" w:rsidRDefault="006A5A63" w:rsidP="002C7854">
      <w:pPr>
        <w:jc w:val="both"/>
        <w:rPr>
          <w:rFonts w:ascii="Times New Roman" w:hAnsi="Times New Roman" w:cs="Times New Roman"/>
          <w:sz w:val="24"/>
          <w:szCs w:val="24"/>
        </w:rPr>
      </w:pPr>
    </w:p>
    <w:p w:rsidR="00924827" w:rsidRDefault="00ED0620" w:rsidP="002C7854">
      <w:pPr>
        <w:jc w:val="both"/>
        <w:rPr>
          <w:rFonts w:ascii="Times New Roman" w:hAnsi="Times New Roman" w:cs="Times New Roman"/>
          <w:sz w:val="24"/>
          <w:szCs w:val="24"/>
        </w:rPr>
      </w:pPr>
      <w:r>
        <w:rPr>
          <w:rFonts w:ascii="Times New Roman" w:hAnsi="Times New Roman" w:cs="Times New Roman"/>
          <w:sz w:val="24"/>
          <w:szCs w:val="24"/>
        </w:rPr>
        <w:t>Comme</w:t>
      </w:r>
      <w:r w:rsidR="0056249F">
        <w:rPr>
          <w:rFonts w:ascii="Times New Roman" w:hAnsi="Times New Roman" w:cs="Times New Roman"/>
          <w:sz w:val="24"/>
          <w:szCs w:val="24"/>
        </w:rPr>
        <w:t xml:space="preserve"> le</w:t>
      </w:r>
      <w:r>
        <w:rPr>
          <w:rFonts w:ascii="Times New Roman" w:hAnsi="Times New Roman" w:cs="Times New Roman"/>
          <w:sz w:val="24"/>
          <w:szCs w:val="24"/>
        </w:rPr>
        <w:t xml:space="preserve"> Mercosur, l’UEE n’arrive pas </w:t>
      </w:r>
      <w:r w:rsidR="0056249F">
        <w:rPr>
          <w:rFonts w:ascii="Times New Roman" w:hAnsi="Times New Roman" w:cs="Times New Roman"/>
          <w:sz w:val="24"/>
          <w:szCs w:val="24"/>
        </w:rPr>
        <w:t>à empêcher les économies de sa</w:t>
      </w:r>
      <w:r>
        <w:rPr>
          <w:rFonts w:ascii="Times New Roman" w:hAnsi="Times New Roman" w:cs="Times New Roman"/>
          <w:sz w:val="24"/>
          <w:szCs w:val="24"/>
        </w:rPr>
        <w:t xml:space="preserve"> région de renforcer les liens avec les grandes économies mondiales. La façade pacifique </w:t>
      </w:r>
      <w:r w:rsidR="00924827">
        <w:rPr>
          <w:rFonts w:ascii="Times New Roman" w:hAnsi="Times New Roman" w:cs="Times New Roman"/>
          <w:sz w:val="24"/>
          <w:szCs w:val="24"/>
        </w:rPr>
        <w:t>de l’Amérique latine s’éloigne du projet d’intégration Mercosur en multipliant les accords de libre-échange en dehors de l’Amérique du sud</w:t>
      </w:r>
      <w:r w:rsidR="0056249F">
        <w:rPr>
          <w:rFonts w:ascii="Times New Roman" w:hAnsi="Times New Roman" w:cs="Times New Roman"/>
          <w:sz w:val="24"/>
          <w:szCs w:val="24"/>
        </w:rPr>
        <w:t>, tout</w:t>
      </w:r>
      <w:r w:rsidR="00924827">
        <w:rPr>
          <w:rFonts w:ascii="Times New Roman" w:hAnsi="Times New Roman" w:cs="Times New Roman"/>
          <w:sz w:val="24"/>
          <w:szCs w:val="24"/>
        </w:rPr>
        <w:t xml:space="preserve"> comme la Moldavie</w:t>
      </w:r>
      <w:r w:rsidR="0056249F">
        <w:rPr>
          <w:rFonts w:ascii="Times New Roman" w:hAnsi="Times New Roman" w:cs="Times New Roman"/>
          <w:sz w:val="24"/>
          <w:szCs w:val="24"/>
        </w:rPr>
        <w:t>, la Géorgie</w:t>
      </w:r>
      <w:r w:rsidR="00924827">
        <w:rPr>
          <w:rFonts w:ascii="Times New Roman" w:hAnsi="Times New Roman" w:cs="Times New Roman"/>
          <w:sz w:val="24"/>
          <w:szCs w:val="24"/>
        </w:rPr>
        <w:t xml:space="preserve"> ou l’Ukraine. </w:t>
      </w:r>
    </w:p>
    <w:p w:rsidR="006A5A63" w:rsidRDefault="00CB58E8" w:rsidP="002C7854">
      <w:pPr>
        <w:jc w:val="both"/>
        <w:rPr>
          <w:rFonts w:ascii="Times New Roman" w:hAnsi="Times New Roman" w:cs="Times New Roman"/>
          <w:sz w:val="24"/>
          <w:szCs w:val="24"/>
        </w:rPr>
      </w:pPr>
      <w:r>
        <w:rPr>
          <w:rFonts w:ascii="Times New Roman" w:hAnsi="Times New Roman" w:cs="Times New Roman"/>
          <w:sz w:val="24"/>
          <w:szCs w:val="24"/>
        </w:rPr>
        <w:t>La spécialisation dans les matières premières et les produits agricole</w:t>
      </w:r>
      <w:r w:rsidR="0056249F">
        <w:rPr>
          <w:rFonts w:ascii="Times New Roman" w:hAnsi="Times New Roman" w:cs="Times New Roman"/>
          <w:sz w:val="24"/>
          <w:szCs w:val="24"/>
        </w:rPr>
        <w:t>s</w:t>
      </w:r>
      <w:r>
        <w:rPr>
          <w:rFonts w:ascii="Times New Roman" w:hAnsi="Times New Roman" w:cs="Times New Roman"/>
          <w:sz w:val="24"/>
          <w:szCs w:val="24"/>
        </w:rPr>
        <w:t xml:space="preserve"> est moins porteuse de valeur ajoutée. </w:t>
      </w:r>
      <w:r w:rsidR="0056249F">
        <w:rPr>
          <w:rFonts w:ascii="Times New Roman" w:hAnsi="Times New Roman" w:cs="Times New Roman"/>
          <w:sz w:val="24"/>
          <w:szCs w:val="24"/>
        </w:rPr>
        <w:t xml:space="preserve">La </w:t>
      </w:r>
      <w:r>
        <w:rPr>
          <w:rFonts w:ascii="Times New Roman" w:hAnsi="Times New Roman" w:cs="Times New Roman"/>
          <w:sz w:val="24"/>
          <w:szCs w:val="24"/>
        </w:rPr>
        <w:t>Russie et</w:t>
      </w:r>
      <w:r w:rsidR="0056249F">
        <w:rPr>
          <w:rFonts w:ascii="Times New Roman" w:hAnsi="Times New Roman" w:cs="Times New Roman"/>
          <w:sz w:val="24"/>
          <w:szCs w:val="24"/>
        </w:rPr>
        <w:t xml:space="preserve"> le</w:t>
      </w:r>
      <w:r>
        <w:rPr>
          <w:rFonts w:ascii="Times New Roman" w:hAnsi="Times New Roman" w:cs="Times New Roman"/>
          <w:sz w:val="24"/>
          <w:szCs w:val="24"/>
        </w:rPr>
        <w:t xml:space="preserve"> Brésil ont connu de plus faibles gains de productivité que</w:t>
      </w:r>
      <w:r w:rsidR="0056249F">
        <w:rPr>
          <w:rFonts w:ascii="Times New Roman" w:hAnsi="Times New Roman" w:cs="Times New Roman"/>
          <w:sz w:val="24"/>
          <w:szCs w:val="24"/>
        </w:rPr>
        <w:t xml:space="preserve"> les pays de l’Asie orientale qui se sont</w:t>
      </w:r>
      <w:r>
        <w:rPr>
          <w:rFonts w:ascii="Times New Roman" w:hAnsi="Times New Roman" w:cs="Times New Roman"/>
          <w:sz w:val="24"/>
          <w:szCs w:val="24"/>
        </w:rPr>
        <w:t xml:space="preserve"> massivement industrialisée. Dans plusieurs éc</w:t>
      </w:r>
      <w:r w:rsidR="0056249F">
        <w:rPr>
          <w:rFonts w:ascii="Times New Roman" w:hAnsi="Times New Roman" w:cs="Times New Roman"/>
          <w:sz w:val="24"/>
          <w:szCs w:val="24"/>
        </w:rPr>
        <w:t>onomies de l’Asie orientale, le poids des ouvriers et d</w:t>
      </w:r>
      <w:r>
        <w:rPr>
          <w:rFonts w:ascii="Times New Roman" w:hAnsi="Times New Roman" w:cs="Times New Roman"/>
          <w:sz w:val="24"/>
          <w:szCs w:val="24"/>
        </w:rPr>
        <w:t xml:space="preserve">es employés urbains </w:t>
      </w:r>
      <w:r w:rsidR="0056249F">
        <w:rPr>
          <w:rFonts w:ascii="Times New Roman" w:hAnsi="Times New Roman" w:cs="Times New Roman"/>
          <w:sz w:val="24"/>
          <w:szCs w:val="24"/>
        </w:rPr>
        <w:t>s’est fortement accru</w:t>
      </w:r>
      <w:r>
        <w:rPr>
          <w:rFonts w:ascii="Times New Roman" w:hAnsi="Times New Roman" w:cs="Times New Roman"/>
          <w:sz w:val="24"/>
          <w:szCs w:val="24"/>
        </w:rPr>
        <w:t xml:space="preserve"> </w:t>
      </w:r>
      <w:r w:rsidR="0056249F">
        <w:rPr>
          <w:rFonts w:ascii="Times New Roman" w:hAnsi="Times New Roman" w:cs="Times New Roman"/>
          <w:sz w:val="24"/>
          <w:szCs w:val="24"/>
        </w:rPr>
        <w:t>du fait du</w:t>
      </w:r>
      <w:r>
        <w:rPr>
          <w:rFonts w:ascii="Times New Roman" w:hAnsi="Times New Roman" w:cs="Times New Roman"/>
          <w:sz w:val="24"/>
          <w:szCs w:val="24"/>
        </w:rPr>
        <w:t xml:space="preserve"> développement industri</w:t>
      </w:r>
      <w:r w:rsidR="0056249F">
        <w:rPr>
          <w:rFonts w:ascii="Times New Roman" w:hAnsi="Times New Roman" w:cs="Times New Roman"/>
          <w:sz w:val="24"/>
          <w:szCs w:val="24"/>
        </w:rPr>
        <w:t>el. Les créations d’emplois et l</w:t>
      </w:r>
      <w:r>
        <w:rPr>
          <w:rFonts w:ascii="Times New Roman" w:hAnsi="Times New Roman" w:cs="Times New Roman"/>
          <w:sz w:val="24"/>
          <w:szCs w:val="24"/>
        </w:rPr>
        <w:t xml:space="preserve">es gains de productivité </w:t>
      </w:r>
      <w:r w:rsidR="0056249F">
        <w:rPr>
          <w:rFonts w:ascii="Times New Roman" w:hAnsi="Times New Roman" w:cs="Times New Roman"/>
          <w:sz w:val="24"/>
          <w:szCs w:val="24"/>
        </w:rPr>
        <w:t xml:space="preserve">du secteur industriel </w:t>
      </w:r>
      <w:r>
        <w:rPr>
          <w:rFonts w:ascii="Times New Roman" w:hAnsi="Times New Roman" w:cs="Times New Roman"/>
          <w:sz w:val="24"/>
          <w:szCs w:val="24"/>
        </w:rPr>
        <w:t>ont progressivement renforcé</w:t>
      </w:r>
      <w:r w:rsidR="00843136">
        <w:rPr>
          <w:rFonts w:ascii="Times New Roman" w:hAnsi="Times New Roman" w:cs="Times New Roman"/>
          <w:sz w:val="24"/>
          <w:szCs w:val="24"/>
        </w:rPr>
        <w:t xml:space="preserve"> le</w:t>
      </w:r>
      <w:r>
        <w:rPr>
          <w:rFonts w:ascii="Times New Roman" w:hAnsi="Times New Roman" w:cs="Times New Roman"/>
          <w:sz w:val="24"/>
          <w:szCs w:val="24"/>
        </w:rPr>
        <w:t xml:space="preserve"> rapport de force</w:t>
      </w:r>
      <w:r w:rsidR="00843136">
        <w:rPr>
          <w:rFonts w:ascii="Times New Roman" w:hAnsi="Times New Roman" w:cs="Times New Roman"/>
          <w:sz w:val="24"/>
          <w:szCs w:val="24"/>
        </w:rPr>
        <w:t xml:space="preserve"> en faveur des salariés urbains</w:t>
      </w:r>
      <w:r w:rsidR="0056249F">
        <w:rPr>
          <w:rFonts w:ascii="Times New Roman" w:hAnsi="Times New Roman" w:cs="Times New Roman"/>
          <w:sz w:val="24"/>
          <w:szCs w:val="24"/>
        </w:rPr>
        <w:t>. Cela</w:t>
      </w:r>
      <w:r>
        <w:rPr>
          <w:rFonts w:ascii="Times New Roman" w:hAnsi="Times New Roman" w:cs="Times New Roman"/>
          <w:sz w:val="24"/>
          <w:szCs w:val="24"/>
        </w:rPr>
        <w:t xml:space="preserve"> a donné lieu à des hausses salariales qui o</w:t>
      </w:r>
      <w:r w:rsidR="0056249F">
        <w:rPr>
          <w:rFonts w:ascii="Times New Roman" w:hAnsi="Times New Roman" w:cs="Times New Roman"/>
          <w:sz w:val="24"/>
          <w:szCs w:val="24"/>
        </w:rPr>
        <w:t xml:space="preserve">nt  généré </w:t>
      </w:r>
      <w:r>
        <w:rPr>
          <w:rFonts w:ascii="Times New Roman" w:hAnsi="Times New Roman" w:cs="Times New Roman"/>
          <w:sz w:val="24"/>
          <w:szCs w:val="24"/>
        </w:rPr>
        <w:t>l’émergence d’un marché domestique de consommation de masse (au Japon</w:t>
      </w:r>
      <w:r w:rsidR="0056249F">
        <w:rPr>
          <w:rFonts w:ascii="Times New Roman" w:hAnsi="Times New Roman" w:cs="Times New Roman"/>
          <w:sz w:val="24"/>
          <w:szCs w:val="24"/>
        </w:rPr>
        <w:t xml:space="preserve"> dans les années 1970</w:t>
      </w:r>
      <w:r>
        <w:rPr>
          <w:rFonts w:ascii="Times New Roman" w:hAnsi="Times New Roman" w:cs="Times New Roman"/>
          <w:sz w:val="24"/>
          <w:szCs w:val="24"/>
        </w:rPr>
        <w:t>, puis en Corée</w:t>
      </w:r>
      <w:r w:rsidR="0056249F">
        <w:rPr>
          <w:rFonts w:ascii="Times New Roman" w:hAnsi="Times New Roman" w:cs="Times New Roman"/>
          <w:sz w:val="24"/>
          <w:szCs w:val="24"/>
        </w:rPr>
        <w:t xml:space="preserve"> et</w:t>
      </w:r>
      <w:r>
        <w:rPr>
          <w:rFonts w:ascii="Times New Roman" w:hAnsi="Times New Roman" w:cs="Times New Roman"/>
          <w:sz w:val="24"/>
          <w:szCs w:val="24"/>
        </w:rPr>
        <w:t xml:space="preserve"> à Taiwan</w:t>
      </w:r>
      <w:r w:rsidR="0056249F">
        <w:rPr>
          <w:rFonts w:ascii="Times New Roman" w:hAnsi="Times New Roman" w:cs="Times New Roman"/>
          <w:sz w:val="24"/>
          <w:szCs w:val="24"/>
        </w:rPr>
        <w:t xml:space="preserve"> dans les années 1990</w:t>
      </w:r>
      <w:r>
        <w:rPr>
          <w:rFonts w:ascii="Times New Roman" w:hAnsi="Times New Roman" w:cs="Times New Roman"/>
          <w:sz w:val="24"/>
          <w:szCs w:val="24"/>
        </w:rPr>
        <w:t xml:space="preserve"> et en Chine</w:t>
      </w:r>
      <w:r w:rsidR="0056249F">
        <w:rPr>
          <w:rFonts w:ascii="Times New Roman" w:hAnsi="Times New Roman" w:cs="Times New Roman"/>
          <w:sz w:val="24"/>
          <w:szCs w:val="24"/>
        </w:rPr>
        <w:t xml:space="preserve"> depuis la fin des années 2000</w:t>
      </w:r>
      <w:r>
        <w:rPr>
          <w:rFonts w:ascii="Times New Roman" w:hAnsi="Times New Roman" w:cs="Times New Roman"/>
          <w:sz w:val="24"/>
          <w:szCs w:val="24"/>
        </w:rPr>
        <w:t>). Ces phénomènes sont beaucoup moins marqués au Brésil et on constate une évolution inverse, une désindustrialisation</w:t>
      </w:r>
      <w:r w:rsidR="003F08F1">
        <w:rPr>
          <w:rFonts w:ascii="Times New Roman" w:hAnsi="Times New Roman" w:cs="Times New Roman"/>
          <w:sz w:val="24"/>
          <w:szCs w:val="24"/>
        </w:rPr>
        <w:t xml:space="preserve"> relative</w:t>
      </w:r>
      <w:r>
        <w:rPr>
          <w:rFonts w:ascii="Times New Roman" w:hAnsi="Times New Roman" w:cs="Times New Roman"/>
          <w:sz w:val="24"/>
          <w:szCs w:val="24"/>
        </w:rPr>
        <w:t xml:space="preserve">, en Russie et dans </w:t>
      </w:r>
      <w:r w:rsidR="003F08F1">
        <w:rPr>
          <w:rFonts w:ascii="Times New Roman" w:hAnsi="Times New Roman" w:cs="Times New Roman"/>
          <w:sz w:val="24"/>
          <w:szCs w:val="24"/>
        </w:rPr>
        <w:t>presque tous</w:t>
      </w:r>
      <w:r>
        <w:rPr>
          <w:rFonts w:ascii="Times New Roman" w:hAnsi="Times New Roman" w:cs="Times New Roman"/>
          <w:sz w:val="24"/>
          <w:szCs w:val="24"/>
        </w:rPr>
        <w:t xml:space="preserve"> Etats membre de l’UEE.</w:t>
      </w:r>
      <w:r w:rsidR="00843136">
        <w:rPr>
          <w:rFonts w:ascii="Times New Roman" w:hAnsi="Times New Roman" w:cs="Times New Roman"/>
          <w:sz w:val="24"/>
          <w:szCs w:val="24"/>
        </w:rPr>
        <w:t xml:space="preserve"> Cela signifie que la croissance des marchés de consommation nationaux des Etats membres de l’UEE auront du mal à générer une dynamique qui renforce l’intégration comme cela a été le cas dans l’Europe des années 1950-1960 and dans l’Asie orientale des années 1990-2000.</w:t>
      </w:r>
    </w:p>
    <w:p w:rsidR="00A90405" w:rsidRDefault="00924827" w:rsidP="002C7854">
      <w:pPr>
        <w:jc w:val="both"/>
        <w:rPr>
          <w:rFonts w:ascii="Times New Roman" w:hAnsi="Times New Roman" w:cs="Times New Roman"/>
          <w:sz w:val="24"/>
          <w:szCs w:val="24"/>
        </w:rPr>
      </w:pPr>
      <w:r>
        <w:rPr>
          <w:rFonts w:ascii="Times New Roman" w:hAnsi="Times New Roman" w:cs="Times New Roman"/>
          <w:sz w:val="24"/>
          <w:szCs w:val="24"/>
        </w:rPr>
        <w:t xml:space="preserve">Evidemment, </w:t>
      </w:r>
      <w:r w:rsidR="00A35B88">
        <w:rPr>
          <w:rFonts w:ascii="Times New Roman" w:hAnsi="Times New Roman" w:cs="Times New Roman"/>
          <w:sz w:val="24"/>
          <w:szCs w:val="24"/>
        </w:rPr>
        <w:t>de nombreux</w:t>
      </w:r>
      <w:r>
        <w:rPr>
          <w:rFonts w:ascii="Times New Roman" w:hAnsi="Times New Roman" w:cs="Times New Roman"/>
          <w:sz w:val="24"/>
          <w:szCs w:val="24"/>
        </w:rPr>
        <w:t xml:space="preserve"> analystes considèrent que l’UEE est un outil </w:t>
      </w:r>
      <w:r w:rsidR="00A35B88">
        <w:rPr>
          <w:rFonts w:ascii="Times New Roman" w:hAnsi="Times New Roman" w:cs="Times New Roman"/>
          <w:sz w:val="24"/>
          <w:szCs w:val="24"/>
        </w:rPr>
        <w:t>plus géopolitique qu’économique</w:t>
      </w:r>
      <w:r w:rsidR="00F047F8">
        <w:rPr>
          <w:rFonts w:ascii="Times New Roman" w:hAnsi="Times New Roman" w:cs="Times New Roman"/>
          <w:sz w:val="24"/>
          <w:szCs w:val="24"/>
        </w:rPr>
        <w:t xml:space="preserve"> </w:t>
      </w:r>
      <w:r>
        <w:rPr>
          <w:rFonts w:ascii="Times New Roman" w:hAnsi="Times New Roman" w:cs="Times New Roman"/>
          <w:sz w:val="24"/>
          <w:szCs w:val="24"/>
        </w:rPr>
        <w:t xml:space="preserve">mais de telles faiblesses </w:t>
      </w:r>
      <w:r w:rsidR="003F08F1">
        <w:rPr>
          <w:rFonts w:ascii="Times New Roman" w:hAnsi="Times New Roman" w:cs="Times New Roman"/>
          <w:sz w:val="24"/>
          <w:szCs w:val="24"/>
        </w:rPr>
        <w:t xml:space="preserve">économiques </w:t>
      </w:r>
      <w:r>
        <w:rPr>
          <w:rFonts w:ascii="Times New Roman" w:hAnsi="Times New Roman" w:cs="Times New Roman"/>
          <w:sz w:val="24"/>
          <w:szCs w:val="24"/>
        </w:rPr>
        <w:t>intrinsèques au projet d’intégration eurasiatique en limite la crédibilité et le pouvoir d’attraction. Dans les conditions actuelles, l’UEE</w:t>
      </w:r>
      <w:r w:rsidR="00CB58E8">
        <w:rPr>
          <w:rFonts w:ascii="Times New Roman" w:hAnsi="Times New Roman" w:cs="Times New Roman"/>
          <w:sz w:val="24"/>
          <w:szCs w:val="24"/>
        </w:rPr>
        <w:t xml:space="preserve"> ne peut engendrer une interdépendance croissante entre ses membres comme dans le cas de l’UE, de l’ALENA</w:t>
      </w:r>
      <w:r w:rsidR="00945449">
        <w:rPr>
          <w:rFonts w:ascii="Times New Roman" w:hAnsi="Times New Roman" w:cs="Times New Roman"/>
          <w:sz w:val="24"/>
          <w:szCs w:val="24"/>
        </w:rPr>
        <w:t xml:space="preserve"> ou de l’Asie orientale</w:t>
      </w:r>
      <w:r w:rsidR="003F08F1">
        <w:rPr>
          <w:rFonts w:ascii="Times New Roman" w:hAnsi="Times New Roman" w:cs="Times New Roman"/>
          <w:sz w:val="24"/>
          <w:szCs w:val="24"/>
        </w:rPr>
        <w:t>. Elle</w:t>
      </w:r>
      <w:r w:rsidR="00945449">
        <w:rPr>
          <w:rFonts w:ascii="Times New Roman" w:hAnsi="Times New Roman" w:cs="Times New Roman"/>
          <w:sz w:val="24"/>
          <w:szCs w:val="24"/>
        </w:rPr>
        <w:t xml:space="preserve"> risque de connaître une évolution plus problématique à l’instar du Mercosur.</w:t>
      </w:r>
      <w:r w:rsidR="003F08F1">
        <w:rPr>
          <w:rFonts w:ascii="Times New Roman" w:hAnsi="Times New Roman" w:cs="Times New Roman"/>
          <w:sz w:val="24"/>
          <w:szCs w:val="24"/>
        </w:rPr>
        <w:t xml:space="preserve"> S</w:t>
      </w:r>
      <w:r w:rsidR="00972FF9">
        <w:rPr>
          <w:rFonts w:ascii="Times New Roman" w:hAnsi="Times New Roman" w:cs="Times New Roman"/>
          <w:sz w:val="24"/>
          <w:szCs w:val="24"/>
        </w:rPr>
        <w:t>outenir</w:t>
      </w:r>
      <w:r w:rsidR="003F08F1">
        <w:rPr>
          <w:rFonts w:ascii="Times New Roman" w:hAnsi="Times New Roman" w:cs="Times New Roman"/>
          <w:sz w:val="24"/>
          <w:szCs w:val="24"/>
        </w:rPr>
        <w:t xml:space="preserve"> l’UEE</w:t>
      </w:r>
      <w:r w:rsidR="00972FF9">
        <w:rPr>
          <w:rFonts w:ascii="Times New Roman" w:hAnsi="Times New Roman" w:cs="Times New Roman"/>
          <w:sz w:val="24"/>
          <w:szCs w:val="24"/>
        </w:rPr>
        <w:t xml:space="preserve"> </w:t>
      </w:r>
      <w:r w:rsidR="00A35B88">
        <w:rPr>
          <w:rFonts w:ascii="Times New Roman" w:hAnsi="Times New Roman" w:cs="Times New Roman"/>
          <w:sz w:val="24"/>
          <w:szCs w:val="24"/>
        </w:rPr>
        <w:t>pour en faire un outil capab</w:t>
      </w:r>
      <w:r w:rsidR="00F047F8">
        <w:rPr>
          <w:rFonts w:ascii="Times New Roman" w:hAnsi="Times New Roman" w:cs="Times New Roman"/>
          <w:sz w:val="24"/>
          <w:szCs w:val="24"/>
        </w:rPr>
        <w:t xml:space="preserve">le de résister à l’influence économique croissante des grandes économies voisines (Union Européenne et Chine) </w:t>
      </w:r>
      <w:r w:rsidR="00972FF9">
        <w:rPr>
          <w:rFonts w:ascii="Times New Roman" w:hAnsi="Times New Roman" w:cs="Times New Roman"/>
          <w:sz w:val="24"/>
          <w:szCs w:val="24"/>
        </w:rPr>
        <w:t>demandera des ressources économiques importantes à l’Etat russe comme c’est déjà le cas pour l</w:t>
      </w:r>
      <w:r w:rsidR="00F047F8">
        <w:rPr>
          <w:rFonts w:ascii="Times New Roman" w:hAnsi="Times New Roman" w:cs="Times New Roman"/>
          <w:sz w:val="24"/>
          <w:szCs w:val="24"/>
        </w:rPr>
        <w:t>a Biélorussie et ses ca</w:t>
      </w:r>
      <w:r w:rsidR="00972FF9">
        <w:rPr>
          <w:rFonts w:ascii="Times New Roman" w:hAnsi="Times New Roman" w:cs="Times New Roman"/>
          <w:sz w:val="24"/>
          <w:szCs w:val="24"/>
        </w:rPr>
        <w:t>d</w:t>
      </w:r>
      <w:r w:rsidR="00F047F8">
        <w:rPr>
          <w:rFonts w:ascii="Times New Roman" w:hAnsi="Times New Roman" w:cs="Times New Roman"/>
          <w:sz w:val="24"/>
          <w:szCs w:val="24"/>
        </w:rPr>
        <w:t>ea</w:t>
      </w:r>
      <w:r w:rsidR="00972FF9">
        <w:rPr>
          <w:rFonts w:ascii="Times New Roman" w:hAnsi="Times New Roman" w:cs="Times New Roman"/>
          <w:sz w:val="24"/>
          <w:szCs w:val="24"/>
        </w:rPr>
        <w:t>ux énergétiques</w:t>
      </w:r>
      <w:r w:rsidR="00BF2182">
        <w:rPr>
          <w:rStyle w:val="Appelnotedebasdep"/>
          <w:rFonts w:ascii="Times New Roman" w:hAnsi="Times New Roman" w:cs="Times New Roman"/>
          <w:sz w:val="24"/>
          <w:szCs w:val="24"/>
        </w:rPr>
        <w:footnoteReference w:id="23"/>
      </w:r>
      <w:r w:rsidR="00972FF9">
        <w:rPr>
          <w:rFonts w:ascii="Times New Roman" w:hAnsi="Times New Roman" w:cs="Times New Roman"/>
          <w:sz w:val="24"/>
          <w:szCs w:val="24"/>
        </w:rPr>
        <w:t>.</w:t>
      </w:r>
      <w:r w:rsidR="00F047F8">
        <w:rPr>
          <w:rFonts w:ascii="Times New Roman" w:hAnsi="Times New Roman" w:cs="Times New Roman"/>
          <w:sz w:val="24"/>
          <w:szCs w:val="24"/>
        </w:rPr>
        <w:t xml:space="preserve"> Le budget russe aura du mal à les financer dans ce contexte de prix énergétiques faibles.</w:t>
      </w:r>
      <w:r>
        <w:rPr>
          <w:rFonts w:ascii="Times New Roman" w:hAnsi="Times New Roman" w:cs="Times New Roman"/>
          <w:sz w:val="24"/>
          <w:szCs w:val="24"/>
        </w:rPr>
        <w:t xml:space="preserve"> </w:t>
      </w:r>
      <w:r w:rsidR="00F047F8">
        <w:rPr>
          <w:rFonts w:ascii="Times New Roman" w:hAnsi="Times New Roman" w:cs="Times New Roman"/>
          <w:sz w:val="24"/>
          <w:szCs w:val="24"/>
        </w:rPr>
        <w:t>Même sur le plan géopolitique</w:t>
      </w:r>
      <w:r w:rsidR="003F08F1">
        <w:rPr>
          <w:rFonts w:ascii="Times New Roman" w:hAnsi="Times New Roman" w:cs="Times New Roman"/>
          <w:sz w:val="24"/>
          <w:szCs w:val="24"/>
        </w:rPr>
        <w:t>,</w:t>
      </w:r>
      <w:r w:rsidR="00F047F8">
        <w:rPr>
          <w:rFonts w:ascii="Times New Roman" w:hAnsi="Times New Roman" w:cs="Times New Roman"/>
          <w:sz w:val="24"/>
          <w:szCs w:val="24"/>
        </w:rPr>
        <w:t xml:space="preserve"> l’UEE </w:t>
      </w:r>
      <w:r w:rsidR="00586E82">
        <w:rPr>
          <w:rFonts w:ascii="Times New Roman" w:hAnsi="Times New Roman" w:cs="Times New Roman"/>
          <w:sz w:val="24"/>
          <w:szCs w:val="24"/>
        </w:rPr>
        <w:t>est donc un outil qui montre ses limites dans sa structure actuelle.</w:t>
      </w:r>
    </w:p>
    <w:p w:rsidR="006A5A63" w:rsidRDefault="00945449" w:rsidP="002C7854">
      <w:pPr>
        <w:jc w:val="both"/>
        <w:rPr>
          <w:rFonts w:ascii="Times New Roman" w:hAnsi="Times New Roman" w:cs="Times New Roman"/>
          <w:sz w:val="24"/>
          <w:szCs w:val="24"/>
        </w:rPr>
      </w:pPr>
      <w:r>
        <w:rPr>
          <w:rFonts w:ascii="Times New Roman" w:hAnsi="Times New Roman" w:cs="Times New Roman"/>
          <w:sz w:val="24"/>
          <w:szCs w:val="24"/>
        </w:rPr>
        <w:t>Pour changer cela, il faudrait que le</w:t>
      </w:r>
      <w:r w:rsidR="00586E82">
        <w:rPr>
          <w:rFonts w:ascii="Times New Roman" w:hAnsi="Times New Roman" w:cs="Times New Roman"/>
          <w:sz w:val="24"/>
          <w:szCs w:val="24"/>
        </w:rPr>
        <w:t>s</w:t>
      </w:r>
      <w:r>
        <w:rPr>
          <w:rFonts w:ascii="Times New Roman" w:hAnsi="Times New Roman" w:cs="Times New Roman"/>
          <w:sz w:val="24"/>
          <w:szCs w:val="24"/>
        </w:rPr>
        <w:t xml:space="preserve"> gouvernement</w:t>
      </w:r>
      <w:r w:rsidR="00586E82">
        <w:rPr>
          <w:rFonts w:ascii="Times New Roman" w:hAnsi="Times New Roman" w:cs="Times New Roman"/>
          <w:sz w:val="24"/>
          <w:szCs w:val="24"/>
        </w:rPr>
        <w:t>s des Etats membres de l’UEE</w:t>
      </w:r>
      <w:r>
        <w:rPr>
          <w:rFonts w:ascii="Times New Roman" w:hAnsi="Times New Roman" w:cs="Times New Roman"/>
          <w:sz w:val="24"/>
          <w:szCs w:val="24"/>
        </w:rPr>
        <w:t xml:space="preserve"> puisse</w:t>
      </w:r>
      <w:r w:rsidR="00586E82">
        <w:rPr>
          <w:rFonts w:ascii="Times New Roman" w:hAnsi="Times New Roman" w:cs="Times New Roman"/>
          <w:sz w:val="24"/>
          <w:szCs w:val="24"/>
        </w:rPr>
        <w:t>nt</w:t>
      </w:r>
      <w:r>
        <w:rPr>
          <w:rFonts w:ascii="Times New Roman" w:hAnsi="Times New Roman" w:cs="Times New Roman"/>
          <w:sz w:val="24"/>
          <w:szCs w:val="24"/>
        </w:rPr>
        <w:t xml:space="preserve"> trouver une marge de manœuvre pour imposer une politique industrielle volontariste</w:t>
      </w:r>
      <w:r w:rsidR="00586E82">
        <w:rPr>
          <w:rFonts w:ascii="Times New Roman" w:hAnsi="Times New Roman" w:cs="Times New Roman"/>
          <w:sz w:val="24"/>
          <w:szCs w:val="24"/>
        </w:rPr>
        <w:t xml:space="preserve"> au niveau de l’IEE</w:t>
      </w:r>
      <w:r w:rsidR="003F08F1">
        <w:rPr>
          <w:rFonts w:ascii="Times New Roman" w:hAnsi="Times New Roman" w:cs="Times New Roman"/>
          <w:sz w:val="24"/>
          <w:szCs w:val="24"/>
        </w:rPr>
        <w:t>,</w:t>
      </w:r>
      <w:r>
        <w:rPr>
          <w:rFonts w:ascii="Times New Roman" w:hAnsi="Times New Roman" w:cs="Times New Roman"/>
          <w:sz w:val="24"/>
          <w:szCs w:val="24"/>
        </w:rPr>
        <w:t xml:space="preserve"> à l’instar de l’Etat chinois </w:t>
      </w:r>
      <w:r w:rsidR="003F08F1">
        <w:rPr>
          <w:rFonts w:ascii="Times New Roman" w:hAnsi="Times New Roman" w:cs="Times New Roman"/>
          <w:sz w:val="24"/>
          <w:szCs w:val="24"/>
        </w:rPr>
        <w:t>(</w:t>
      </w:r>
      <w:r>
        <w:rPr>
          <w:rFonts w:ascii="Times New Roman" w:hAnsi="Times New Roman" w:cs="Times New Roman"/>
          <w:sz w:val="24"/>
          <w:szCs w:val="24"/>
        </w:rPr>
        <w:t>et du parti communiste chinois</w:t>
      </w:r>
      <w:r w:rsidR="003F08F1">
        <w:rPr>
          <w:rFonts w:ascii="Times New Roman" w:hAnsi="Times New Roman" w:cs="Times New Roman"/>
          <w:sz w:val="24"/>
          <w:szCs w:val="24"/>
        </w:rPr>
        <w:t>)</w:t>
      </w:r>
      <w:r>
        <w:rPr>
          <w:rFonts w:ascii="Times New Roman" w:hAnsi="Times New Roman" w:cs="Times New Roman"/>
          <w:sz w:val="24"/>
          <w:szCs w:val="24"/>
        </w:rPr>
        <w:t>. Bien que des pays comme la Chine ou le Brésil soient également touché</w:t>
      </w:r>
      <w:r w:rsidR="003F08F1">
        <w:rPr>
          <w:rFonts w:ascii="Times New Roman" w:hAnsi="Times New Roman" w:cs="Times New Roman"/>
          <w:sz w:val="24"/>
          <w:szCs w:val="24"/>
        </w:rPr>
        <w:t>s</w:t>
      </w:r>
      <w:r>
        <w:rPr>
          <w:rFonts w:ascii="Times New Roman" w:hAnsi="Times New Roman" w:cs="Times New Roman"/>
          <w:sz w:val="24"/>
          <w:szCs w:val="24"/>
        </w:rPr>
        <w:t xml:space="preserve"> par la corruption</w:t>
      </w:r>
      <w:r w:rsidR="00607DC9">
        <w:rPr>
          <w:rFonts w:ascii="Times New Roman" w:hAnsi="Times New Roman" w:cs="Times New Roman"/>
          <w:sz w:val="24"/>
          <w:szCs w:val="24"/>
        </w:rPr>
        <w:t>, les Etats issus de l’ex-URSS connaissent des niveaux de corruption beaucoup plus élevés en termes de capitaux détournés par rapport au PIB</w:t>
      </w:r>
      <w:r w:rsidR="00A35B88">
        <w:rPr>
          <w:rStyle w:val="Appelnotedebasdep"/>
          <w:rFonts w:ascii="Times New Roman" w:hAnsi="Times New Roman" w:cs="Times New Roman"/>
          <w:sz w:val="24"/>
          <w:szCs w:val="24"/>
        </w:rPr>
        <w:footnoteReference w:id="24"/>
      </w:r>
      <w:r w:rsidR="00DC1491">
        <w:rPr>
          <w:rFonts w:ascii="Times New Roman" w:hAnsi="Times New Roman" w:cs="Times New Roman"/>
          <w:sz w:val="24"/>
          <w:szCs w:val="24"/>
        </w:rPr>
        <w:t>.</w:t>
      </w:r>
      <w:r w:rsidR="00607DC9">
        <w:rPr>
          <w:rFonts w:ascii="Times New Roman" w:hAnsi="Times New Roman" w:cs="Times New Roman"/>
          <w:sz w:val="24"/>
          <w:szCs w:val="24"/>
        </w:rPr>
        <w:t xml:space="preserve"> Le cadre particulier de</w:t>
      </w:r>
      <w:r w:rsidR="00586E82">
        <w:rPr>
          <w:rFonts w:ascii="Times New Roman" w:hAnsi="Times New Roman" w:cs="Times New Roman"/>
          <w:sz w:val="24"/>
          <w:szCs w:val="24"/>
        </w:rPr>
        <w:t xml:space="preserve"> l’éclatement de l’URSS et de s</w:t>
      </w:r>
      <w:r w:rsidR="00607DC9">
        <w:rPr>
          <w:rFonts w:ascii="Times New Roman" w:hAnsi="Times New Roman" w:cs="Times New Roman"/>
          <w:sz w:val="24"/>
          <w:szCs w:val="24"/>
        </w:rPr>
        <w:t>a transition vers le capitalisme a permis des détournements d’actifs de l’Etat d’une magnitude exceptionnelle. Le</w:t>
      </w:r>
      <w:r w:rsidR="00586E82">
        <w:rPr>
          <w:rFonts w:ascii="Times New Roman" w:hAnsi="Times New Roman" w:cs="Times New Roman"/>
          <w:sz w:val="24"/>
          <w:szCs w:val="24"/>
        </w:rPr>
        <w:t>s sorties illégales de capitaux, le</w:t>
      </w:r>
      <w:r w:rsidR="00607DC9">
        <w:rPr>
          <w:rFonts w:ascii="Times New Roman" w:hAnsi="Times New Roman" w:cs="Times New Roman"/>
          <w:sz w:val="24"/>
          <w:szCs w:val="24"/>
        </w:rPr>
        <w:t xml:space="preserve"> nombre de milliardaires par rapport au PIB, l’inefficacité et le gaspillage des travaux d’infrastructures, les assassinats d’officiels visant à réduire la corruption témoignent d’une gangrène de l’Etat particulièrement importante et plus élevée que dans </w:t>
      </w:r>
      <w:r w:rsidR="00607DC9">
        <w:rPr>
          <w:rFonts w:ascii="Times New Roman" w:hAnsi="Times New Roman" w:cs="Times New Roman"/>
          <w:sz w:val="24"/>
          <w:szCs w:val="24"/>
        </w:rPr>
        <w:lastRenderedPageBreak/>
        <w:t xml:space="preserve">d’autres </w:t>
      </w:r>
      <w:r w:rsidR="003F08F1">
        <w:rPr>
          <w:rFonts w:ascii="Times New Roman" w:hAnsi="Times New Roman" w:cs="Times New Roman"/>
          <w:sz w:val="24"/>
          <w:szCs w:val="24"/>
        </w:rPr>
        <w:t xml:space="preserve">grandes </w:t>
      </w:r>
      <w:r w:rsidR="00607DC9">
        <w:rPr>
          <w:rFonts w:ascii="Times New Roman" w:hAnsi="Times New Roman" w:cs="Times New Roman"/>
          <w:sz w:val="24"/>
          <w:szCs w:val="24"/>
        </w:rPr>
        <w:t>économies émergentes</w:t>
      </w:r>
      <w:r w:rsidR="00586E82">
        <w:rPr>
          <w:rFonts w:ascii="Times New Roman" w:hAnsi="Times New Roman" w:cs="Times New Roman"/>
          <w:sz w:val="24"/>
          <w:szCs w:val="24"/>
        </w:rPr>
        <w:t xml:space="preserve"> en Asie ou en Amérique Latine</w:t>
      </w:r>
      <w:r w:rsidR="00A35B88">
        <w:rPr>
          <w:rStyle w:val="Appelnotedebasdep"/>
          <w:rFonts w:ascii="Times New Roman" w:hAnsi="Times New Roman" w:cs="Times New Roman"/>
          <w:sz w:val="24"/>
          <w:szCs w:val="24"/>
        </w:rPr>
        <w:footnoteReference w:id="25"/>
      </w:r>
      <w:r w:rsidR="00607DC9">
        <w:rPr>
          <w:rFonts w:ascii="Times New Roman" w:hAnsi="Times New Roman" w:cs="Times New Roman"/>
          <w:sz w:val="24"/>
          <w:szCs w:val="24"/>
        </w:rPr>
        <w:t>. Cette fragilisation de l’Etat</w:t>
      </w:r>
      <w:r w:rsidR="003F08F1">
        <w:rPr>
          <w:rFonts w:ascii="Times New Roman" w:hAnsi="Times New Roman" w:cs="Times New Roman"/>
          <w:sz w:val="24"/>
          <w:szCs w:val="24"/>
        </w:rPr>
        <w:t>,</w:t>
      </w:r>
      <w:r w:rsidR="00607DC9">
        <w:rPr>
          <w:rFonts w:ascii="Times New Roman" w:hAnsi="Times New Roman" w:cs="Times New Roman"/>
          <w:sz w:val="24"/>
          <w:szCs w:val="24"/>
        </w:rPr>
        <w:t xml:space="preserve"> miné par la corruption et les organisations criminelle</w:t>
      </w:r>
      <w:r w:rsidR="00586E82">
        <w:rPr>
          <w:rFonts w:ascii="Times New Roman" w:hAnsi="Times New Roman" w:cs="Times New Roman"/>
          <w:sz w:val="24"/>
          <w:szCs w:val="24"/>
        </w:rPr>
        <w:t>s</w:t>
      </w:r>
      <w:r w:rsidR="003F08F1">
        <w:rPr>
          <w:rFonts w:ascii="Times New Roman" w:hAnsi="Times New Roman" w:cs="Times New Roman"/>
          <w:sz w:val="24"/>
          <w:szCs w:val="24"/>
        </w:rPr>
        <w:t>,</w:t>
      </w:r>
      <w:r w:rsidR="00607DC9">
        <w:rPr>
          <w:rFonts w:ascii="Times New Roman" w:hAnsi="Times New Roman" w:cs="Times New Roman"/>
          <w:sz w:val="24"/>
          <w:szCs w:val="24"/>
        </w:rPr>
        <w:t xml:space="preserve"> nuit fortement à sa capacité</w:t>
      </w:r>
      <w:r w:rsidR="00586E82">
        <w:rPr>
          <w:rFonts w:ascii="Times New Roman" w:hAnsi="Times New Roman" w:cs="Times New Roman"/>
          <w:sz w:val="24"/>
          <w:szCs w:val="24"/>
        </w:rPr>
        <w:t xml:space="preserve"> d’organiser une politique industrielle. </w:t>
      </w:r>
    </w:p>
    <w:p w:rsidR="00A90405" w:rsidRDefault="00586E82" w:rsidP="002C7854">
      <w:pPr>
        <w:jc w:val="both"/>
        <w:rPr>
          <w:rFonts w:ascii="Times New Roman" w:hAnsi="Times New Roman" w:cs="Times New Roman"/>
          <w:sz w:val="24"/>
          <w:szCs w:val="24"/>
        </w:rPr>
      </w:pPr>
      <w:r>
        <w:rPr>
          <w:rFonts w:ascii="Times New Roman" w:hAnsi="Times New Roman" w:cs="Times New Roman"/>
          <w:sz w:val="24"/>
          <w:szCs w:val="24"/>
        </w:rPr>
        <w:t>En ce qui concerne l’attitude des dirigeants des Etats partenaires de la Russie dans l’UEE, on ne peut que constater des liens personnels et familiaux durable entre le pouvoir économique et politique. La captation de rentes économiques par des « élites » politiques locales</w:t>
      </w:r>
      <w:r w:rsidR="00607DC9">
        <w:rPr>
          <w:rFonts w:ascii="Times New Roman" w:hAnsi="Times New Roman" w:cs="Times New Roman"/>
          <w:sz w:val="24"/>
          <w:szCs w:val="24"/>
        </w:rPr>
        <w:t xml:space="preserve"> </w:t>
      </w:r>
      <w:r>
        <w:rPr>
          <w:rFonts w:ascii="Times New Roman" w:hAnsi="Times New Roman" w:cs="Times New Roman"/>
          <w:sz w:val="24"/>
          <w:szCs w:val="24"/>
        </w:rPr>
        <w:t xml:space="preserve">constitue un important obstacle aux rationalisations des capacités de production et à la libre circulation transparente des capitaux </w:t>
      </w:r>
      <w:r w:rsidR="003F08F1">
        <w:rPr>
          <w:rFonts w:ascii="Times New Roman" w:hAnsi="Times New Roman" w:cs="Times New Roman"/>
          <w:sz w:val="24"/>
          <w:szCs w:val="24"/>
        </w:rPr>
        <w:t>qui sont nécessaires au renforcement de</w:t>
      </w:r>
      <w:r>
        <w:rPr>
          <w:rFonts w:ascii="Times New Roman" w:hAnsi="Times New Roman" w:cs="Times New Roman"/>
          <w:sz w:val="24"/>
          <w:szCs w:val="24"/>
        </w:rPr>
        <w:t xml:space="preserve"> l’intégration économique de l’UEE. C’est un ph</w:t>
      </w:r>
      <w:r w:rsidR="00EA053C">
        <w:rPr>
          <w:rFonts w:ascii="Times New Roman" w:hAnsi="Times New Roman" w:cs="Times New Roman"/>
          <w:sz w:val="24"/>
          <w:szCs w:val="24"/>
        </w:rPr>
        <w:t>énomène que connaissent certain</w:t>
      </w:r>
      <w:r>
        <w:rPr>
          <w:rFonts w:ascii="Times New Roman" w:hAnsi="Times New Roman" w:cs="Times New Roman"/>
          <w:sz w:val="24"/>
          <w:szCs w:val="24"/>
        </w:rPr>
        <w:t>s</w:t>
      </w:r>
      <w:r w:rsidR="00EA053C">
        <w:rPr>
          <w:rFonts w:ascii="Times New Roman" w:hAnsi="Times New Roman" w:cs="Times New Roman"/>
          <w:sz w:val="24"/>
          <w:szCs w:val="24"/>
        </w:rPr>
        <w:t xml:space="preserve"> processus d’intégration</w:t>
      </w:r>
      <w:r>
        <w:rPr>
          <w:rFonts w:ascii="Times New Roman" w:hAnsi="Times New Roman" w:cs="Times New Roman"/>
          <w:sz w:val="24"/>
          <w:szCs w:val="24"/>
        </w:rPr>
        <w:t xml:space="preserve"> régional</w:t>
      </w:r>
      <w:r w:rsidR="00EA053C">
        <w:rPr>
          <w:rFonts w:ascii="Times New Roman" w:hAnsi="Times New Roman" w:cs="Times New Roman"/>
          <w:sz w:val="24"/>
          <w:szCs w:val="24"/>
        </w:rPr>
        <w:t>e</w:t>
      </w:r>
      <w:r>
        <w:rPr>
          <w:rFonts w:ascii="Times New Roman" w:hAnsi="Times New Roman" w:cs="Times New Roman"/>
          <w:sz w:val="24"/>
          <w:szCs w:val="24"/>
        </w:rPr>
        <w:t xml:space="preserve"> en Afrique ou au Moyen-Orient (au Maghreb ou dans les pays du Golfe)</w:t>
      </w:r>
      <w:r w:rsidR="00EA053C">
        <w:rPr>
          <w:rFonts w:ascii="Times New Roman" w:hAnsi="Times New Roman" w:cs="Times New Roman"/>
          <w:sz w:val="24"/>
          <w:szCs w:val="24"/>
        </w:rPr>
        <w:t xml:space="preserve"> et qui explique leur relative stagnation. L’UEE a donc peu de chance de rivaliser face à la montée en puissance de la Chine dans la région et à </w:t>
      </w:r>
      <w:r w:rsidR="003F08F1">
        <w:rPr>
          <w:rFonts w:ascii="Times New Roman" w:hAnsi="Times New Roman" w:cs="Times New Roman"/>
          <w:sz w:val="24"/>
          <w:szCs w:val="24"/>
        </w:rPr>
        <w:t>l’attrait économique que</w:t>
      </w:r>
      <w:r w:rsidR="00EA053C">
        <w:rPr>
          <w:rFonts w:ascii="Times New Roman" w:hAnsi="Times New Roman" w:cs="Times New Roman"/>
          <w:sz w:val="24"/>
          <w:szCs w:val="24"/>
        </w:rPr>
        <w:t xml:space="preserve"> l’Union Européenne </w:t>
      </w:r>
      <w:r w:rsidR="003F08F1">
        <w:rPr>
          <w:rFonts w:ascii="Times New Roman" w:hAnsi="Times New Roman" w:cs="Times New Roman"/>
          <w:sz w:val="24"/>
          <w:szCs w:val="24"/>
        </w:rPr>
        <w:t xml:space="preserve">continue de susciter </w:t>
      </w:r>
      <w:r w:rsidR="00EA053C">
        <w:rPr>
          <w:rFonts w:ascii="Times New Roman" w:hAnsi="Times New Roman" w:cs="Times New Roman"/>
          <w:sz w:val="24"/>
          <w:szCs w:val="24"/>
        </w:rPr>
        <w:t xml:space="preserve">malgré sa stagnation actuelle.  </w:t>
      </w:r>
    </w:p>
    <w:p w:rsidR="00040A50" w:rsidRDefault="00040A50" w:rsidP="002C7854">
      <w:pPr>
        <w:jc w:val="both"/>
        <w:rPr>
          <w:rFonts w:ascii="Times New Roman" w:hAnsi="Times New Roman" w:cs="Times New Roman"/>
          <w:sz w:val="24"/>
          <w:szCs w:val="24"/>
        </w:rPr>
      </w:pPr>
    </w:p>
    <w:p w:rsidR="00040A50" w:rsidRDefault="00040A50" w:rsidP="002C7854">
      <w:pPr>
        <w:jc w:val="both"/>
        <w:rPr>
          <w:rFonts w:ascii="Times New Roman" w:hAnsi="Times New Roman" w:cs="Times New Roman"/>
          <w:sz w:val="24"/>
          <w:szCs w:val="24"/>
        </w:rPr>
      </w:pPr>
    </w:p>
    <w:p w:rsidR="006F3977" w:rsidRDefault="00040A50" w:rsidP="002C7854">
      <w:pPr>
        <w:jc w:val="both"/>
        <w:rPr>
          <w:rFonts w:ascii="Times New Roman" w:hAnsi="Times New Roman" w:cs="Times New Roman"/>
          <w:sz w:val="24"/>
          <w:szCs w:val="24"/>
        </w:rPr>
      </w:pPr>
      <w:r>
        <w:rPr>
          <w:rFonts w:ascii="Times New Roman" w:hAnsi="Times New Roman" w:cs="Times New Roman"/>
          <w:sz w:val="24"/>
          <w:szCs w:val="24"/>
        </w:rPr>
        <w:t xml:space="preserve"> </w:t>
      </w:r>
    </w:p>
    <w:p w:rsidR="006F3977" w:rsidRDefault="006F3977" w:rsidP="002C7854">
      <w:pPr>
        <w:jc w:val="both"/>
        <w:rPr>
          <w:rFonts w:ascii="Times New Roman" w:hAnsi="Times New Roman" w:cs="Times New Roman"/>
          <w:sz w:val="24"/>
          <w:szCs w:val="24"/>
        </w:rPr>
      </w:pPr>
    </w:p>
    <w:p w:rsidR="006F3977" w:rsidRDefault="006F3977" w:rsidP="002C7854">
      <w:pPr>
        <w:jc w:val="both"/>
        <w:rPr>
          <w:rFonts w:ascii="Times New Roman" w:hAnsi="Times New Roman" w:cs="Times New Roman"/>
          <w:sz w:val="24"/>
          <w:szCs w:val="24"/>
        </w:rPr>
      </w:pPr>
    </w:p>
    <w:p w:rsidR="006F3977" w:rsidRDefault="006F3977" w:rsidP="002C7854">
      <w:pPr>
        <w:jc w:val="both"/>
        <w:rPr>
          <w:rFonts w:ascii="Times New Roman" w:hAnsi="Times New Roman" w:cs="Times New Roman"/>
          <w:sz w:val="24"/>
          <w:szCs w:val="24"/>
        </w:rPr>
      </w:pPr>
    </w:p>
    <w:p w:rsidR="00E60723" w:rsidRPr="00A041CB" w:rsidRDefault="00E60723"/>
    <w:sectPr w:rsidR="00E60723" w:rsidRPr="00A041CB" w:rsidSect="0087147C">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6E28" w:rsidRDefault="00D76E28" w:rsidP="000C7190">
      <w:pPr>
        <w:spacing w:after="0" w:line="240" w:lineRule="auto"/>
      </w:pPr>
      <w:r>
        <w:separator/>
      </w:r>
    </w:p>
  </w:endnote>
  <w:endnote w:type="continuationSeparator" w:id="0">
    <w:p w:rsidR="00D76E28" w:rsidRDefault="00D76E28" w:rsidP="000C71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6E28" w:rsidRDefault="00D76E28" w:rsidP="000C7190">
      <w:pPr>
        <w:spacing w:after="0" w:line="240" w:lineRule="auto"/>
      </w:pPr>
      <w:r>
        <w:separator/>
      </w:r>
    </w:p>
  </w:footnote>
  <w:footnote w:type="continuationSeparator" w:id="0">
    <w:p w:rsidR="00D76E28" w:rsidRDefault="00D76E28" w:rsidP="000C7190">
      <w:pPr>
        <w:spacing w:after="0" w:line="240" w:lineRule="auto"/>
      </w:pPr>
      <w:r>
        <w:continuationSeparator/>
      </w:r>
    </w:p>
  </w:footnote>
  <w:footnote w:id="1">
    <w:p w:rsidR="00A35B88" w:rsidRPr="006A5A63" w:rsidRDefault="00A35B88" w:rsidP="00152097">
      <w:pPr>
        <w:pStyle w:val="Notedebasdepage"/>
        <w:rPr>
          <w:rFonts w:ascii="Times New Roman" w:hAnsi="Times New Roman" w:cs="Times New Roman"/>
        </w:rPr>
      </w:pPr>
      <w:r>
        <w:rPr>
          <w:rStyle w:val="Appelnotedebasdep"/>
        </w:rPr>
        <w:footnoteRef/>
      </w:r>
      <w:r>
        <w:t xml:space="preserve"> </w:t>
      </w:r>
      <w:r w:rsidRPr="006A5A63">
        <w:rPr>
          <w:rFonts w:ascii="Times New Roman" w:hAnsi="Times New Roman" w:cs="Times New Roman"/>
        </w:rPr>
        <w:t>Professeur à l’Institut d’Etudes Européennes de l’Université Saint-Louis Bruxelles</w:t>
      </w:r>
    </w:p>
    <w:p w:rsidR="00A35B88" w:rsidRPr="006A5A63" w:rsidRDefault="00A35B88">
      <w:pPr>
        <w:pStyle w:val="Notedebasdepage"/>
        <w:rPr>
          <w:rFonts w:ascii="Times New Roman" w:hAnsi="Times New Roman" w:cs="Times New Roman"/>
        </w:rPr>
      </w:pPr>
    </w:p>
  </w:footnote>
  <w:footnote w:id="2">
    <w:p w:rsidR="004C347D" w:rsidRPr="004C347D" w:rsidRDefault="004C347D">
      <w:pPr>
        <w:pStyle w:val="Notedebasdepage"/>
      </w:pPr>
      <w:r>
        <w:rPr>
          <w:rStyle w:val="Appelnotedebasdep"/>
        </w:rPr>
        <w:footnoteRef/>
      </w:r>
      <w:r>
        <w:t xml:space="preserve"> </w:t>
      </w:r>
      <w:r>
        <w:rPr>
          <w:rStyle w:val="apple-converted-space"/>
          <w:rFonts w:ascii="Arial" w:hAnsi="Arial" w:cs="Arial"/>
          <w:color w:val="252525"/>
          <w:sz w:val="21"/>
          <w:szCs w:val="21"/>
          <w:shd w:val="clear" w:color="auto" w:fill="FFFFFF"/>
        </w:rPr>
        <w:t> </w:t>
      </w:r>
      <w:r>
        <w:rPr>
          <w:rStyle w:val="apple-converted-space"/>
          <w:rFonts w:ascii="Times New Roman" w:hAnsi="Times New Roman" w:cs="Times New Roman"/>
          <w:shd w:val="clear" w:color="auto" w:fill="FFFFFF"/>
        </w:rPr>
        <w:t>En r</w:t>
      </w:r>
      <w:r w:rsidRPr="004C347D">
        <w:rPr>
          <w:rStyle w:val="apple-converted-space"/>
          <w:rFonts w:ascii="Times New Roman" w:hAnsi="Times New Roman" w:cs="Times New Roman"/>
          <w:shd w:val="clear" w:color="auto" w:fill="FFFFFF"/>
        </w:rPr>
        <w:t xml:space="preserve">usse </w:t>
      </w:r>
      <w:r w:rsidRPr="004C347D">
        <w:rPr>
          <w:rStyle w:val="lang-ru"/>
          <w:rFonts w:ascii="Times New Roman" w:hAnsi="Times New Roman" w:cs="Times New Roman"/>
          <w:shd w:val="clear" w:color="auto" w:fill="FFFFFF"/>
          <w:lang w:val="ru-RU"/>
        </w:rPr>
        <w:t>Евразийский экономический союз</w:t>
      </w:r>
      <w:r>
        <w:rPr>
          <w:rStyle w:val="lang-ru"/>
          <w:rFonts w:ascii="Times New Roman" w:hAnsi="Times New Roman" w:cs="Times New Roman"/>
          <w:shd w:val="clear" w:color="auto" w:fill="FFFFFF"/>
          <w:lang w:val="ru-RU"/>
        </w:rPr>
        <w:t> </w:t>
      </w:r>
      <w:r>
        <w:rPr>
          <w:rFonts w:ascii="Times New Roman" w:hAnsi="Times New Roman" w:cs="Times New Roman"/>
          <w:shd w:val="clear" w:color="auto" w:fill="FFFFFF"/>
        </w:rPr>
        <w:t>;</w:t>
      </w:r>
      <w:r w:rsidRPr="004C347D">
        <w:rPr>
          <w:rFonts w:ascii="Times New Roman" w:hAnsi="Times New Roman" w:cs="Times New Roman"/>
          <w:shd w:val="clear" w:color="auto" w:fill="FFFFFF"/>
        </w:rPr>
        <w:t xml:space="preserve"> en</w:t>
      </w:r>
      <w:r w:rsidRPr="004C347D">
        <w:rPr>
          <w:rStyle w:val="apple-converted-space"/>
          <w:rFonts w:ascii="Times New Roman" w:hAnsi="Times New Roman" w:cs="Times New Roman"/>
          <w:shd w:val="clear" w:color="auto" w:fill="FFFFFF"/>
        </w:rPr>
        <w:t> </w:t>
      </w:r>
      <w:hyperlink r:id="rId1" w:tooltip="Biélorusse" w:history="1">
        <w:r w:rsidRPr="004C347D">
          <w:rPr>
            <w:rStyle w:val="Lienhypertexte"/>
            <w:rFonts w:ascii="Times New Roman" w:hAnsi="Times New Roman" w:cs="Times New Roman"/>
            <w:color w:val="auto"/>
            <w:u w:val="none"/>
            <w:shd w:val="clear" w:color="auto" w:fill="FFFFFF"/>
          </w:rPr>
          <w:t>biélorusse</w:t>
        </w:r>
      </w:hyperlink>
      <w:r w:rsidRPr="004C347D">
        <w:rPr>
          <w:rStyle w:val="apple-converted-space"/>
          <w:rFonts w:ascii="Times New Roman" w:hAnsi="Times New Roman" w:cs="Times New Roman"/>
          <w:shd w:val="clear" w:color="auto" w:fill="FFFFFF"/>
        </w:rPr>
        <w:t> </w:t>
      </w:r>
      <w:r w:rsidRPr="004C347D">
        <w:rPr>
          <w:rStyle w:val="lang-be"/>
          <w:rFonts w:ascii="Times New Roman" w:hAnsi="Times New Roman" w:cs="Times New Roman"/>
          <w:shd w:val="clear" w:color="auto" w:fill="FFFFFF"/>
          <w:lang w:val="be-BY"/>
        </w:rPr>
        <w:t>Еўразійскі эканамічны саюз</w:t>
      </w:r>
      <w:r>
        <w:rPr>
          <w:rStyle w:val="lang-be"/>
          <w:rFonts w:ascii="Times New Roman" w:hAnsi="Times New Roman" w:cs="Times New Roman"/>
          <w:shd w:val="clear" w:color="auto" w:fill="FFFFFF"/>
          <w:lang w:val="be-BY"/>
        </w:rPr>
        <w:t> </w:t>
      </w:r>
      <w:r>
        <w:rPr>
          <w:rFonts w:ascii="Times New Roman" w:hAnsi="Times New Roman" w:cs="Times New Roman"/>
          <w:shd w:val="clear" w:color="auto" w:fill="FFFFFF"/>
        </w:rPr>
        <w:t>;</w:t>
      </w:r>
      <w:r w:rsidRPr="004C347D">
        <w:rPr>
          <w:rFonts w:ascii="Times New Roman" w:hAnsi="Times New Roman" w:cs="Times New Roman"/>
          <w:shd w:val="clear" w:color="auto" w:fill="FFFFFF"/>
        </w:rPr>
        <w:t xml:space="preserve"> en</w:t>
      </w:r>
      <w:r w:rsidRPr="004C347D">
        <w:rPr>
          <w:rStyle w:val="apple-converted-space"/>
          <w:rFonts w:ascii="Times New Roman" w:hAnsi="Times New Roman" w:cs="Times New Roman"/>
          <w:shd w:val="clear" w:color="auto" w:fill="FFFFFF"/>
        </w:rPr>
        <w:t> </w:t>
      </w:r>
      <w:hyperlink r:id="rId2" w:tooltip="Kazakh" w:history="1">
        <w:r w:rsidRPr="004C347D">
          <w:rPr>
            <w:rStyle w:val="Lienhypertexte"/>
            <w:rFonts w:ascii="Times New Roman" w:hAnsi="Times New Roman" w:cs="Times New Roman"/>
            <w:color w:val="auto"/>
            <w:u w:val="none"/>
            <w:shd w:val="clear" w:color="auto" w:fill="FFFFFF"/>
          </w:rPr>
          <w:t>kazakh</w:t>
        </w:r>
      </w:hyperlink>
      <w:r w:rsidRPr="004C347D">
        <w:rPr>
          <w:rStyle w:val="apple-converted-space"/>
          <w:rFonts w:ascii="Times New Roman" w:hAnsi="Times New Roman" w:cs="Times New Roman"/>
          <w:shd w:val="clear" w:color="auto" w:fill="FFFFFF"/>
        </w:rPr>
        <w:t> </w:t>
      </w:r>
      <w:r w:rsidRPr="004C347D">
        <w:rPr>
          <w:rStyle w:val="lang-kk"/>
          <w:rFonts w:ascii="Times New Roman" w:hAnsi="Times New Roman" w:cs="Times New Roman"/>
          <w:shd w:val="clear" w:color="auto" w:fill="FFFFFF"/>
          <w:lang w:val="kk-KZ"/>
        </w:rPr>
        <w:t>Еуразиялық Экономикалық Одақ</w:t>
      </w:r>
      <w:r>
        <w:rPr>
          <w:rStyle w:val="lang-kk"/>
          <w:rFonts w:ascii="Times New Roman" w:hAnsi="Times New Roman" w:cs="Times New Roman"/>
          <w:shd w:val="clear" w:color="auto" w:fill="FFFFFF"/>
        </w:rPr>
        <w:t>;</w:t>
      </w:r>
      <w:r w:rsidRPr="004C347D">
        <w:rPr>
          <w:rStyle w:val="lang-kk"/>
          <w:rFonts w:ascii="Times New Roman" w:hAnsi="Times New Roman" w:cs="Times New Roman"/>
          <w:shd w:val="clear" w:color="auto" w:fill="FFFFFF"/>
        </w:rPr>
        <w:t xml:space="preserve"> en anglais</w:t>
      </w:r>
      <w:r w:rsidRPr="004C347D">
        <w:rPr>
          <w:rFonts w:ascii="Times New Roman" w:hAnsi="Times New Roman" w:cs="Times New Roman"/>
        </w:rPr>
        <w:t xml:space="preserve"> </w:t>
      </w:r>
      <w:proofErr w:type="spellStart"/>
      <w:r w:rsidRPr="004C347D">
        <w:rPr>
          <w:rFonts w:ascii="Times New Roman" w:hAnsi="Times New Roman" w:cs="Times New Roman"/>
        </w:rPr>
        <w:t>Eurasian</w:t>
      </w:r>
      <w:proofErr w:type="spellEnd"/>
      <w:r w:rsidRPr="004C347D">
        <w:rPr>
          <w:rFonts w:ascii="Times New Roman" w:hAnsi="Times New Roman" w:cs="Times New Roman"/>
        </w:rPr>
        <w:t xml:space="preserve"> </w:t>
      </w:r>
      <w:proofErr w:type="spellStart"/>
      <w:r w:rsidRPr="004C347D">
        <w:rPr>
          <w:rFonts w:ascii="Times New Roman" w:hAnsi="Times New Roman" w:cs="Times New Roman"/>
        </w:rPr>
        <w:t>Economic</w:t>
      </w:r>
      <w:proofErr w:type="spellEnd"/>
      <w:r w:rsidRPr="004C347D">
        <w:rPr>
          <w:rFonts w:ascii="Times New Roman" w:hAnsi="Times New Roman" w:cs="Times New Roman"/>
        </w:rPr>
        <w:t xml:space="preserve"> Union</w:t>
      </w:r>
    </w:p>
  </w:footnote>
  <w:footnote w:id="3">
    <w:p w:rsidR="000D1C88" w:rsidRPr="000D1C88" w:rsidRDefault="000D1C88">
      <w:pPr>
        <w:pStyle w:val="Notedebasdepage"/>
        <w:rPr>
          <w:rFonts w:ascii="Times New Roman" w:hAnsi="Times New Roman" w:cs="Times New Roman"/>
        </w:rPr>
      </w:pPr>
      <w:r w:rsidRPr="000D1C88">
        <w:rPr>
          <w:rStyle w:val="Appelnotedebasdep"/>
          <w:rFonts w:ascii="Times New Roman" w:hAnsi="Times New Roman" w:cs="Times New Roman"/>
        </w:rPr>
        <w:footnoteRef/>
      </w:r>
      <w:r w:rsidRPr="000D1C88">
        <w:rPr>
          <w:rFonts w:ascii="Times New Roman" w:hAnsi="Times New Roman" w:cs="Times New Roman"/>
        </w:rPr>
        <w:t xml:space="preserve"> Jean-Christophe </w:t>
      </w:r>
      <w:proofErr w:type="spellStart"/>
      <w:r w:rsidRPr="000D1C88">
        <w:rPr>
          <w:rFonts w:ascii="Times New Roman" w:hAnsi="Times New Roman" w:cs="Times New Roman"/>
        </w:rPr>
        <w:t>Defraigne</w:t>
      </w:r>
      <w:proofErr w:type="spellEnd"/>
      <w:r w:rsidRPr="000D1C88">
        <w:rPr>
          <w:rFonts w:ascii="Times New Roman" w:hAnsi="Times New Roman" w:cs="Times New Roman"/>
        </w:rPr>
        <w:t xml:space="preserve">, </w:t>
      </w:r>
      <w:r w:rsidRPr="000D1C88">
        <w:rPr>
          <w:rFonts w:ascii="Times New Roman" w:hAnsi="Times New Roman" w:cs="Times New Roman"/>
          <w:i/>
        </w:rPr>
        <w:t>Introduction à l’Économie Européenne</w:t>
      </w:r>
      <w:r w:rsidRPr="000D1C88">
        <w:rPr>
          <w:rFonts w:ascii="Times New Roman" w:hAnsi="Times New Roman" w:cs="Times New Roman"/>
        </w:rPr>
        <w:t>, Bruxelles, Ouvertures économiques/De Boeck, 2013 </w:t>
      </w:r>
    </w:p>
  </w:footnote>
  <w:footnote w:id="4">
    <w:p w:rsidR="00A35B88" w:rsidRPr="006A5A63" w:rsidRDefault="00A35B88">
      <w:pPr>
        <w:pStyle w:val="Notedebasdepage"/>
        <w:rPr>
          <w:rFonts w:ascii="Times New Roman" w:hAnsi="Times New Roman" w:cs="Times New Roman"/>
          <w:lang w:val="en-US"/>
        </w:rPr>
      </w:pPr>
      <w:r w:rsidRPr="000D1C88">
        <w:rPr>
          <w:rStyle w:val="Appelnotedebasdep"/>
          <w:rFonts w:ascii="Times New Roman" w:hAnsi="Times New Roman" w:cs="Times New Roman"/>
        </w:rPr>
        <w:footnoteRef/>
      </w:r>
      <w:r w:rsidRPr="000D1C88">
        <w:rPr>
          <w:rFonts w:ascii="Times New Roman" w:hAnsi="Times New Roman" w:cs="Times New Roman"/>
          <w:lang w:val="en-US"/>
        </w:rPr>
        <w:t xml:space="preserve"> Perry Anderson : </w:t>
      </w:r>
      <w:r w:rsidRPr="000D1C88">
        <w:rPr>
          <w:rFonts w:ascii="Times New Roman" w:hAnsi="Times New Roman" w:cs="Times New Roman"/>
          <w:i/>
          <w:lang w:val="en-US"/>
        </w:rPr>
        <w:t>Lineages of Absolutist states</w:t>
      </w:r>
      <w:r w:rsidRPr="006A5A63">
        <w:rPr>
          <w:rFonts w:ascii="Times New Roman" w:hAnsi="Times New Roman" w:cs="Times New Roman"/>
          <w:i/>
          <w:lang w:val="en-US"/>
        </w:rPr>
        <w:t xml:space="preserve">, </w:t>
      </w:r>
      <w:proofErr w:type="spellStart"/>
      <w:r w:rsidRPr="006A5A63">
        <w:rPr>
          <w:rFonts w:ascii="Times New Roman" w:hAnsi="Times New Roman" w:cs="Times New Roman"/>
          <w:lang w:val="en-US"/>
        </w:rPr>
        <w:t>Londres</w:t>
      </w:r>
      <w:proofErr w:type="spellEnd"/>
      <w:r w:rsidRPr="006A5A63">
        <w:rPr>
          <w:rFonts w:ascii="Times New Roman" w:hAnsi="Times New Roman" w:cs="Times New Roman"/>
          <w:lang w:val="en-US"/>
        </w:rPr>
        <w:t>, Verso, 1974.</w:t>
      </w:r>
    </w:p>
  </w:footnote>
  <w:footnote w:id="5">
    <w:p w:rsidR="00A35B88" w:rsidRPr="006A5A63" w:rsidRDefault="00A35B88">
      <w:pPr>
        <w:pStyle w:val="Notedebasdepage"/>
        <w:rPr>
          <w:rFonts w:ascii="Times New Roman" w:hAnsi="Times New Roman" w:cs="Times New Roman"/>
          <w:lang w:val="en-US"/>
        </w:rPr>
      </w:pPr>
      <w:r w:rsidRPr="006A5A63">
        <w:rPr>
          <w:rStyle w:val="Appelnotedebasdep"/>
          <w:rFonts w:ascii="Times New Roman" w:hAnsi="Times New Roman" w:cs="Times New Roman"/>
        </w:rPr>
        <w:footnoteRef/>
      </w:r>
      <w:r w:rsidRPr="006A5A63">
        <w:rPr>
          <w:rFonts w:ascii="Times New Roman" w:hAnsi="Times New Roman" w:cs="Times New Roman"/>
          <w:lang w:val="en-US"/>
        </w:rPr>
        <w:t xml:space="preserve"> John Norton Westwood, </w:t>
      </w:r>
      <w:r w:rsidRPr="006A5A63">
        <w:rPr>
          <w:rFonts w:ascii="Times New Roman" w:hAnsi="Times New Roman" w:cs="Times New Roman"/>
          <w:i/>
          <w:lang w:val="en-US"/>
        </w:rPr>
        <w:t>Endurance and Endeavour: Russian History 1812-1912</w:t>
      </w:r>
      <w:r w:rsidRPr="006A5A63">
        <w:rPr>
          <w:rFonts w:ascii="Times New Roman" w:hAnsi="Times New Roman" w:cs="Times New Roman"/>
          <w:lang w:val="en-US"/>
        </w:rPr>
        <w:t>, Oxford, Oxford University Press, 1993</w:t>
      </w:r>
    </w:p>
  </w:footnote>
  <w:footnote w:id="6">
    <w:p w:rsidR="00A35B88" w:rsidRPr="006A5A63" w:rsidRDefault="00A35B88">
      <w:pPr>
        <w:pStyle w:val="Notedebasdepage"/>
        <w:rPr>
          <w:rFonts w:ascii="Times New Roman" w:hAnsi="Times New Roman" w:cs="Times New Roman"/>
          <w:lang w:val="en-US"/>
        </w:rPr>
      </w:pPr>
      <w:r w:rsidRPr="006A5A63">
        <w:rPr>
          <w:rStyle w:val="Appelnotedebasdep"/>
          <w:rFonts w:ascii="Times New Roman" w:hAnsi="Times New Roman" w:cs="Times New Roman"/>
        </w:rPr>
        <w:footnoteRef/>
      </w:r>
      <w:r w:rsidRPr="006A5A63">
        <w:rPr>
          <w:rFonts w:ascii="Times New Roman" w:hAnsi="Times New Roman" w:cs="Times New Roman"/>
          <w:lang w:val="en-US"/>
        </w:rPr>
        <w:t xml:space="preserve"> Paul Gregory &amp; Robert Stuart, </w:t>
      </w:r>
      <w:r w:rsidRPr="006A5A63">
        <w:rPr>
          <w:rFonts w:ascii="Times New Roman" w:hAnsi="Times New Roman" w:cs="Times New Roman"/>
          <w:i/>
          <w:lang w:val="en-US"/>
        </w:rPr>
        <w:t>Soviet Economic Structure and Performance, 4th edition</w:t>
      </w:r>
      <w:r w:rsidRPr="006A5A63">
        <w:rPr>
          <w:rFonts w:ascii="Times New Roman" w:hAnsi="Times New Roman" w:cs="Times New Roman"/>
          <w:lang w:val="en-US"/>
        </w:rPr>
        <w:t xml:space="preserve">, </w:t>
      </w:r>
      <w:proofErr w:type="spellStart"/>
      <w:r w:rsidRPr="006A5A63">
        <w:rPr>
          <w:rFonts w:ascii="Times New Roman" w:hAnsi="Times New Roman" w:cs="Times New Roman"/>
          <w:lang w:val="en-US"/>
        </w:rPr>
        <w:t>Londres</w:t>
      </w:r>
      <w:proofErr w:type="spellEnd"/>
      <w:r w:rsidRPr="006A5A63">
        <w:rPr>
          <w:rFonts w:ascii="Times New Roman" w:hAnsi="Times New Roman" w:cs="Times New Roman"/>
          <w:lang w:val="en-US"/>
        </w:rPr>
        <w:t xml:space="preserve">, Harper and Collins,1990. </w:t>
      </w:r>
    </w:p>
    <w:p w:rsidR="00A35B88" w:rsidRPr="006A5A63" w:rsidRDefault="00A35B88">
      <w:pPr>
        <w:pStyle w:val="Notedebasdepage"/>
        <w:rPr>
          <w:rFonts w:ascii="Times New Roman" w:hAnsi="Times New Roman" w:cs="Times New Roman"/>
        </w:rPr>
      </w:pPr>
      <w:r w:rsidRPr="006A5A63">
        <w:rPr>
          <w:rFonts w:ascii="Times New Roman" w:hAnsi="Times New Roman" w:cs="Times New Roman"/>
        </w:rPr>
        <w:t xml:space="preserve">Moshe Lewin, </w:t>
      </w:r>
      <w:r w:rsidRPr="006A5A63">
        <w:rPr>
          <w:rFonts w:ascii="Times New Roman" w:hAnsi="Times New Roman" w:cs="Times New Roman"/>
          <w:i/>
        </w:rPr>
        <w:t xml:space="preserve">Un Siècle Soviétique, </w:t>
      </w:r>
      <w:r w:rsidRPr="006A5A63">
        <w:rPr>
          <w:rFonts w:ascii="Times New Roman" w:hAnsi="Times New Roman" w:cs="Times New Roman"/>
        </w:rPr>
        <w:t>Paris, Fayard, 2003</w:t>
      </w:r>
    </w:p>
  </w:footnote>
  <w:footnote w:id="7">
    <w:p w:rsidR="00A35B88" w:rsidRPr="006A5A63" w:rsidRDefault="00A35B88">
      <w:pPr>
        <w:pStyle w:val="Notedebasdepage"/>
        <w:rPr>
          <w:rFonts w:ascii="Times New Roman" w:hAnsi="Times New Roman" w:cs="Times New Roman"/>
          <w:i/>
        </w:rPr>
      </w:pPr>
      <w:r w:rsidRPr="006A5A63">
        <w:rPr>
          <w:rStyle w:val="Appelnotedebasdep"/>
          <w:rFonts w:ascii="Times New Roman" w:hAnsi="Times New Roman" w:cs="Times New Roman"/>
        </w:rPr>
        <w:footnoteRef/>
      </w:r>
      <w:r w:rsidRPr="006A5A63">
        <w:rPr>
          <w:rFonts w:ascii="Times New Roman" w:hAnsi="Times New Roman" w:cs="Times New Roman"/>
        </w:rPr>
        <w:t xml:space="preserve"> Jacques </w:t>
      </w:r>
      <w:proofErr w:type="spellStart"/>
      <w:r w:rsidRPr="006A5A63">
        <w:rPr>
          <w:rFonts w:ascii="Times New Roman" w:hAnsi="Times New Roman" w:cs="Times New Roman"/>
        </w:rPr>
        <w:t>Nagels</w:t>
      </w:r>
      <w:proofErr w:type="spellEnd"/>
      <w:r w:rsidRPr="006A5A63">
        <w:rPr>
          <w:rFonts w:ascii="Times New Roman" w:hAnsi="Times New Roman" w:cs="Times New Roman"/>
        </w:rPr>
        <w:t xml:space="preserve">, </w:t>
      </w:r>
      <w:r w:rsidRPr="006A5A63">
        <w:rPr>
          <w:rFonts w:ascii="Times New Roman" w:hAnsi="Times New Roman" w:cs="Times New Roman"/>
          <w:i/>
        </w:rPr>
        <w:t xml:space="preserve"> La Tiers-Mondisation de l’ex-URSS, </w:t>
      </w:r>
      <w:r w:rsidRPr="006A5A63">
        <w:rPr>
          <w:rFonts w:ascii="Times New Roman" w:hAnsi="Times New Roman" w:cs="Times New Roman"/>
        </w:rPr>
        <w:t>Bruxelles, Editions de l’Université de Bruxelles, 1993.</w:t>
      </w:r>
    </w:p>
  </w:footnote>
  <w:footnote w:id="8">
    <w:p w:rsidR="00A35B88" w:rsidRPr="006A5A63" w:rsidRDefault="00A35B88">
      <w:pPr>
        <w:pStyle w:val="Notedebasdepage"/>
        <w:rPr>
          <w:rFonts w:ascii="Times New Roman" w:hAnsi="Times New Roman" w:cs="Times New Roman"/>
        </w:rPr>
      </w:pPr>
      <w:r w:rsidRPr="006A5A63">
        <w:rPr>
          <w:rStyle w:val="Appelnotedebasdep"/>
          <w:rFonts w:ascii="Times New Roman" w:hAnsi="Times New Roman" w:cs="Times New Roman"/>
        </w:rPr>
        <w:footnoteRef/>
      </w:r>
      <w:r w:rsidRPr="006A5A63">
        <w:rPr>
          <w:rFonts w:ascii="Times New Roman" w:hAnsi="Times New Roman" w:cs="Times New Roman"/>
        </w:rPr>
        <w:t xml:space="preserve"> Jean </w:t>
      </w:r>
      <w:proofErr w:type="spellStart"/>
      <w:r w:rsidRPr="006A5A63">
        <w:rPr>
          <w:rFonts w:ascii="Times New Roman" w:hAnsi="Times New Roman" w:cs="Times New Roman"/>
        </w:rPr>
        <w:t>Radvanyi</w:t>
      </w:r>
      <w:proofErr w:type="spellEnd"/>
      <w:r w:rsidRPr="006A5A63">
        <w:rPr>
          <w:rFonts w:ascii="Times New Roman" w:hAnsi="Times New Roman" w:cs="Times New Roman"/>
        </w:rPr>
        <w:t xml:space="preserve">, </w:t>
      </w:r>
      <w:r w:rsidRPr="006A5A63">
        <w:rPr>
          <w:rFonts w:ascii="Times New Roman" w:hAnsi="Times New Roman" w:cs="Times New Roman"/>
          <w:i/>
        </w:rPr>
        <w:t xml:space="preserve">La Nouvelle Russie, </w:t>
      </w:r>
      <w:r w:rsidRPr="006A5A63">
        <w:rPr>
          <w:rFonts w:ascii="Times New Roman" w:hAnsi="Times New Roman" w:cs="Times New Roman"/>
        </w:rPr>
        <w:t>Paris, Armand Colin,2007</w:t>
      </w:r>
    </w:p>
    <w:p w:rsidR="00A35B88" w:rsidRPr="006A5A63" w:rsidRDefault="00A35B88">
      <w:pPr>
        <w:pStyle w:val="Notedebasdepage"/>
        <w:rPr>
          <w:rFonts w:ascii="Times New Roman" w:hAnsi="Times New Roman" w:cs="Times New Roman"/>
        </w:rPr>
      </w:pPr>
      <w:r w:rsidRPr="006A5A63">
        <w:rPr>
          <w:rFonts w:ascii="Times New Roman" w:hAnsi="Times New Roman" w:cs="Times New Roman"/>
        </w:rPr>
        <w:t xml:space="preserve">Claude </w:t>
      </w:r>
      <w:proofErr w:type="spellStart"/>
      <w:r w:rsidRPr="006A5A63">
        <w:rPr>
          <w:rFonts w:ascii="Times New Roman" w:hAnsi="Times New Roman" w:cs="Times New Roman"/>
        </w:rPr>
        <w:t>Cabanne</w:t>
      </w:r>
      <w:proofErr w:type="spellEnd"/>
      <w:r w:rsidRPr="006A5A63">
        <w:rPr>
          <w:rFonts w:ascii="Times New Roman" w:hAnsi="Times New Roman" w:cs="Times New Roman"/>
        </w:rPr>
        <w:t xml:space="preserve"> &amp; Elena </w:t>
      </w:r>
      <w:proofErr w:type="spellStart"/>
      <w:r w:rsidRPr="006A5A63">
        <w:rPr>
          <w:rFonts w:ascii="Times New Roman" w:hAnsi="Times New Roman" w:cs="Times New Roman"/>
        </w:rPr>
        <w:t>Tchistiakova</w:t>
      </w:r>
      <w:proofErr w:type="spellEnd"/>
      <w:r w:rsidRPr="006A5A63">
        <w:rPr>
          <w:rFonts w:ascii="Times New Roman" w:hAnsi="Times New Roman" w:cs="Times New Roman"/>
        </w:rPr>
        <w:t xml:space="preserve">, </w:t>
      </w:r>
      <w:r w:rsidRPr="006A5A63">
        <w:rPr>
          <w:rFonts w:ascii="Times New Roman" w:hAnsi="Times New Roman" w:cs="Times New Roman"/>
          <w:i/>
        </w:rPr>
        <w:t>La Russie : perspectives économiques et sociales</w:t>
      </w:r>
      <w:r w:rsidRPr="006A5A63">
        <w:rPr>
          <w:rFonts w:ascii="Times New Roman" w:hAnsi="Times New Roman" w:cs="Times New Roman"/>
        </w:rPr>
        <w:t>, Paris, Armand Colin,2005</w:t>
      </w:r>
    </w:p>
  </w:footnote>
  <w:footnote w:id="9">
    <w:p w:rsidR="00A35B88" w:rsidRPr="006A5A63" w:rsidRDefault="00A35B88">
      <w:pPr>
        <w:pStyle w:val="Notedebasdepage"/>
        <w:rPr>
          <w:rFonts w:ascii="Times New Roman" w:hAnsi="Times New Roman" w:cs="Times New Roman"/>
        </w:rPr>
      </w:pPr>
      <w:r w:rsidRPr="006A5A63">
        <w:rPr>
          <w:rStyle w:val="Appelnotedebasdep"/>
          <w:rFonts w:ascii="Times New Roman" w:hAnsi="Times New Roman" w:cs="Times New Roman"/>
        </w:rPr>
        <w:footnoteRef/>
      </w:r>
      <w:r w:rsidRPr="006A5A63">
        <w:rPr>
          <w:rFonts w:ascii="Times New Roman" w:hAnsi="Times New Roman" w:cs="Times New Roman"/>
        </w:rPr>
        <w:t xml:space="preserve"> Claude </w:t>
      </w:r>
      <w:proofErr w:type="spellStart"/>
      <w:r w:rsidRPr="006A5A63">
        <w:rPr>
          <w:rFonts w:ascii="Times New Roman" w:hAnsi="Times New Roman" w:cs="Times New Roman"/>
        </w:rPr>
        <w:t>Cabanne</w:t>
      </w:r>
      <w:proofErr w:type="spellEnd"/>
      <w:r w:rsidRPr="006A5A63">
        <w:rPr>
          <w:rFonts w:ascii="Times New Roman" w:hAnsi="Times New Roman" w:cs="Times New Roman"/>
        </w:rPr>
        <w:t xml:space="preserve"> &amp; Elena </w:t>
      </w:r>
      <w:proofErr w:type="spellStart"/>
      <w:r w:rsidRPr="006A5A63">
        <w:rPr>
          <w:rFonts w:ascii="Times New Roman" w:hAnsi="Times New Roman" w:cs="Times New Roman"/>
        </w:rPr>
        <w:t>Tchistiakova</w:t>
      </w:r>
      <w:proofErr w:type="spellEnd"/>
      <w:r w:rsidRPr="006A5A63">
        <w:rPr>
          <w:rFonts w:ascii="Times New Roman" w:hAnsi="Times New Roman" w:cs="Times New Roman"/>
        </w:rPr>
        <w:t xml:space="preserve">, </w:t>
      </w:r>
      <w:r w:rsidRPr="006A5A63">
        <w:rPr>
          <w:rFonts w:ascii="Times New Roman" w:hAnsi="Times New Roman" w:cs="Times New Roman"/>
          <w:i/>
        </w:rPr>
        <w:t>La Russie : perspectives économiques et sociales</w:t>
      </w:r>
      <w:r w:rsidRPr="006A5A63">
        <w:rPr>
          <w:rFonts w:ascii="Times New Roman" w:hAnsi="Times New Roman" w:cs="Times New Roman"/>
        </w:rPr>
        <w:t>, Paris, Armand Colin,2005</w:t>
      </w:r>
    </w:p>
  </w:footnote>
  <w:footnote w:id="10">
    <w:p w:rsidR="00A35B88" w:rsidRPr="006A5A63" w:rsidRDefault="00A35B88" w:rsidP="00EE09D1">
      <w:pPr>
        <w:autoSpaceDE w:val="0"/>
        <w:autoSpaceDN w:val="0"/>
        <w:adjustRightInd w:val="0"/>
        <w:spacing w:after="0" w:line="240" w:lineRule="auto"/>
        <w:rPr>
          <w:rFonts w:ascii="Times New Roman" w:hAnsi="Times New Roman" w:cs="Times New Roman"/>
          <w:sz w:val="20"/>
          <w:szCs w:val="20"/>
          <w:lang w:val="en-US"/>
        </w:rPr>
      </w:pPr>
      <w:r w:rsidRPr="006A5A63">
        <w:rPr>
          <w:rStyle w:val="Appelnotedebasdep"/>
          <w:rFonts w:ascii="Times New Roman" w:hAnsi="Times New Roman" w:cs="Times New Roman"/>
          <w:sz w:val="20"/>
          <w:szCs w:val="20"/>
        </w:rPr>
        <w:footnoteRef/>
      </w:r>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Rilka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Dragneva</w:t>
      </w:r>
      <w:proofErr w:type="spellEnd"/>
      <w:r w:rsidRPr="006A5A63">
        <w:rPr>
          <w:rFonts w:ascii="Times New Roman" w:hAnsi="Times New Roman" w:cs="Times New Roman"/>
          <w:sz w:val="20"/>
          <w:szCs w:val="20"/>
          <w:lang w:val="en-US"/>
        </w:rPr>
        <w:t xml:space="preserve"> &amp; </w:t>
      </w:r>
      <w:proofErr w:type="spellStart"/>
      <w:r w:rsidRPr="006A5A63">
        <w:rPr>
          <w:rFonts w:ascii="Times New Roman" w:hAnsi="Times New Roman" w:cs="Times New Roman"/>
          <w:sz w:val="20"/>
          <w:szCs w:val="20"/>
          <w:lang w:val="en-US"/>
        </w:rPr>
        <w:t>Kataryna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Wolczuk</w:t>
      </w:r>
      <w:proofErr w:type="spellEnd"/>
      <w:r w:rsidRPr="006A5A63">
        <w:rPr>
          <w:rFonts w:ascii="Times New Roman" w:hAnsi="Times New Roman" w:cs="Times New Roman"/>
          <w:sz w:val="20"/>
          <w:szCs w:val="20"/>
          <w:lang w:val="en-US"/>
        </w:rPr>
        <w:t>,</w:t>
      </w:r>
      <w:r w:rsidRPr="006A5A63">
        <w:rPr>
          <w:rFonts w:ascii="Times New Roman" w:hAnsi="Times New Roman" w:cs="Times New Roman"/>
          <w:i/>
          <w:sz w:val="20"/>
          <w:szCs w:val="20"/>
          <w:lang w:val="en-US"/>
        </w:rPr>
        <w:t xml:space="preserve"> Russia, the Eurasian </w:t>
      </w:r>
      <w:proofErr w:type="spellStart"/>
      <w:r w:rsidRPr="006A5A63">
        <w:rPr>
          <w:rFonts w:ascii="Times New Roman" w:hAnsi="Times New Roman" w:cs="Times New Roman"/>
          <w:i/>
          <w:sz w:val="20"/>
          <w:szCs w:val="20"/>
          <w:lang w:val="en-US"/>
        </w:rPr>
        <w:t>CustomsUnion</w:t>
      </w:r>
      <w:proofErr w:type="spellEnd"/>
      <w:r w:rsidRPr="006A5A63">
        <w:rPr>
          <w:rFonts w:ascii="Times New Roman" w:hAnsi="Times New Roman" w:cs="Times New Roman"/>
          <w:i/>
          <w:sz w:val="20"/>
          <w:szCs w:val="20"/>
          <w:lang w:val="en-US"/>
        </w:rPr>
        <w:t xml:space="preserve"> and the EU: </w:t>
      </w:r>
      <w:proofErr w:type="spellStart"/>
      <w:r w:rsidRPr="006A5A63">
        <w:rPr>
          <w:rFonts w:ascii="Times New Roman" w:hAnsi="Times New Roman" w:cs="Times New Roman"/>
          <w:i/>
          <w:sz w:val="20"/>
          <w:szCs w:val="20"/>
          <w:lang w:val="en-US"/>
        </w:rPr>
        <w:t>Cooperation,Stagnation</w:t>
      </w:r>
      <w:proofErr w:type="spellEnd"/>
      <w:r w:rsidRPr="006A5A63">
        <w:rPr>
          <w:rFonts w:ascii="Times New Roman" w:hAnsi="Times New Roman" w:cs="Times New Roman"/>
          <w:i/>
          <w:sz w:val="20"/>
          <w:szCs w:val="20"/>
          <w:lang w:val="en-US"/>
        </w:rPr>
        <w:t xml:space="preserve"> or Rivalry? </w:t>
      </w:r>
      <w:proofErr w:type="spellStart"/>
      <w:r w:rsidRPr="006A5A63">
        <w:rPr>
          <w:rFonts w:ascii="Times New Roman" w:hAnsi="Times New Roman" w:cs="Times New Roman"/>
          <w:sz w:val="20"/>
          <w:szCs w:val="20"/>
          <w:lang w:val="en-US"/>
        </w:rPr>
        <w:t>Londres</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Chatam</w:t>
      </w:r>
      <w:proofErr w:type="spellEnd"/>
      <w:r w:rsidRPr="006A5A63">
        <w:rPr>
          <w:rFonts w:ascii="Times New Roman" w:hAnsi="Times New Roman" w:cs="Times New Roman"/>
          <w:sz w:val="20"/>
          <w:szCs w:val="20"/>
          <w:lang w:val="en-US"/>
        </w:rPr>
        <w:t xml:space="preserve"> House, 2012</w:t>
      </w:r>
    </w:p>
    <w:p w:rsidR="00A35B88" w:rsidRPr="006A5A63" w:rsidRDefault="00A35B88" w:rsidP="00DD1E41">
      <w:pPr>
        <w:pStyle w:val="Notedebasdepage"/>
        <w:tabs>
          <w:tab w:val="left" w:pos="7232"/>
        </w:tabs>
        <w:rPr>
          <w:rFonts w:ascii="Times New Roman" w:hAnsi="Times New Roman" w:cs="Times New Roman"/>
          <w:lang w:val="en-US"/>
        </w:rPr>
      </w:pPr>
      <w:r w:rsidRPr="006A5A63">
        <w:rPr>
          <w:rFonts w:ascii="Times New Roman" w:hAnsi="Times New Roman" w:cs="Times New Roman"/>
          <w:lang w:val="en-US"/>
        </w:rPr>
        <w:tab/>
      </w:r>
    </w:p>
  </w:footnote>
  <w:footnote w:id="11">
    <w:p w:rsidR="00A35B88" w:rsidRPr="006A5A63" w:rsidRDefault="00A35B88">
      <w:pPr>
        <w:pStyle w:val="Notedebasdepage"/>
        <w:rPr>
          <w:rFonts w:ascii="Times New Roman" w:hAnsi="Times New Roman" w:cs="Times New Roman"/>
          <w:lang w:val="en-US"/>
        </w:rPr>
      </w:pPr>
      <w:r w:rsidRPr="006A5A63">
        <w:rPr>
          <w:rStyle w:val="Appelnotedebasdep"/>
          <w:rFonts w:ascii="Times New Roman" w:hAnsi="Times New Roman" w:cs="Times New Roman"/>
        </w:rPr>
        <w:footnoteRef/>
      </w:r>
      <w:r w:rsidRPr="006A5A63">
        <w:rPr>
          <w:rFonts w:ascii="Times New Roman" w:hAnsi="Times New Roman" w:cs="Times New Roman"/>
          <w:lang w:val="en-US"/>
        </w:rPr>
        <w:t xml:space="preserve"> Ben Judah, </w:t>
      </w:r>
      <w:r w:rsidRPr="006A5A63">
        <w:rPr>
          <w:rFonts w:ascii="Times New Roman" w:hAnsi="Times New Roman" w:cs="Times New Roman"/>
          <w:i/>
          <w:lang w:val="en-US"/>
        </w:rPr>
        <w:t>Fragile Empire,</w:t>
      </w:r>
      <w:r w:rsidRPr="006A5A63">
        <w:rPr>
          <w:rFonts w:ascii="Times New Roman" w:hAnsi="Times New Roman" w:cs="Times New Roman"/>
          <w:lang w:val="en-US"/>
        </w:rPr>
        <w:t xml:space="preserve"> London, Yale University Press, 2013.</w:t>
      </w:r>
    </w:p>
  </w:footnote>
  <w:footnote w:id="12">
    <w:p w:rsidR="00A35B88" w:rsidRPr="006A5A63" w:rsidRDefault="00A35B88">
      <w:pPr>
        <w:pStyle w:val="Notedebasdepage"/>
        <w:rPr>
          <w:rFonts w:ascii="Times New Roman" w:hAnsi="Times New Roman" w:cs="Times New Roman"/>
          <w:lang w:val="en-US"/>
        </w:rPr>
      </w:pPr>
      <w:r w:rsidRPr="006A5A63">
        <w:rPr>
          <w:rStyle w:val="Appelnotedebasdep"/>
          <w:rFonts w:ascii="Times New Roman" w:hAnsi="Times New Roman" w:cs="Times New Roman"/>
        </w:rPr>
        <w:footnoteRef/>
      </w:r>
      <w:r w:rsidRPr="006A5A63">
        <w:rPr>
          <w:rFonts w:ascii="Times New Roman" w:hAnsi="Times New Roman" w:cs="Times New Roman"/>
          <w:lang w:val="en-US"/>
        </w:rPr>
        <w:t xml:space="preserve"> Jean </w:t>
      </w:r>
      <w:proofErr w:type="spellStart"/>
      <w:r w:rsidRPr="006A5A63">
        <w:rPr>
          <w:rFonts w:ascii="Times New Roman" w:hAnsi="Times New Roman" w:cs="Times New Roman"/>
          <w:lang w:val="en-US"/>
        </w:rPr>
        <w:t>Fouré</w:t>
      </w:r>
      <w:proofErr w:type="spellEnd"/>
      <w:r w:rsidRPr="006A5A63">
        <w:rPr>
          <w:rFonts w:ascii="Times New Roman" w:hAnsi="Times New Roman" w:cs="Times New Roman"/>
          <w:lang w:val="en-US"/>
        </w:rPr>
        <w:t xml:space="preserve">, </w:t>
      </w:r>
      <w:proofErr w:type="spellStart"/>
      <w:r w:rsidRPr="006A5A63">
        <w:rPr>
          <w:rFonts w:ascii="Times New Roman" w:hAnsi="Times New Roman" w:cs="Times New Roman"/>
          <w:lang w:val="en-US"/>
        </w:rPr>
        <w:t>Agnès</w:t>
      </w:r>
      <w:proofErr w:type="spellEnd"/>
      <w:r w:rsidRPr="006A5A63">
        <w:rPr>
          <w:rFonts w:ascii="Times New Roman" w:hAnsi="Times New Roman" w:cs="Times New Roman"/>
          <w:lang w:val="en-US"/>
        </w:rPr>
        <w:t xml:space="preserve"> </w:t>
      </w:r>
      <w:proofErr w:type="spellStart"/>
      <w:r w:rsidRPr="006A5A63">
        <w:rPr>
          <w:rFonts w:ascii="Times New Roman" w:hAnsi="Times New Roman" w:cs="Times New Roman"/>
          <w:lang w:val="en-US"/>
        </w:rPr>
        <w:t>Benassy-Quéré</w:t>
      </w:r>
      <w:proofErr w:type="spellEnd"/>
      <w:r w:rsidRPr="006A5A63">
        <w:rPr>
          <w:rFonts w:ascii="Times New Roman" w:hAnsi="Times New Roman" w:cs="Times New Roman"/>
          <w:lang w:val="en-US"/>
        </w:rPr>
        <w:t xml:space="preserve"> &amp; Lionel </w:t>
      </w:r>
      <w:proofErr w:type="spellStart"/>
      <w:r w:rsidRPr="006A5A63">
        <w:rPr>
          <w:rFonts w:ascii="Times New Roman" w:hAnsi="Times New Roman" w:cs="Times New Roman"/>
          <w:lang w:val="en-US"/>
        </w:rPr>
        <w:t>Fontagné</w:t>
      </w:r>
      <w:proofErr w:type="spellEnd"/>
      <w:r w:rsidRPr="006A5A63">
        <w:rPr>
          <w:rFonts w:ascii="Times New Roman" w:hAnsi="Times New Roman" w:cs="Times New Roman"/>
          <w:lang w:val="en-US"/>
        </w:rPr>
        <w:t xml:space="preserve">, </w:t>
      </w:r>
      <w:r w:rsidRPr="006A5A63">
        <w:rPr>
          <w:rFonts w:ascii="Times New Roman" w:hAnsi="Times New Roman" w:cs="Times New Roman"/>
          <w:i/>
          <w:lang w:val="en-US"/>
        </w:rPr>
        <w:t>The world economy in 2050: a tentative picture</w:t>
      </w:r>
      <w:r w:rsidRPr="006A5A63">
        <w:rPr>
          <w:rFonts w:ascii="Times New Roman" w:hAnsi="Times New Roman" w:cs="Times New Roman"/>
          <w:lang w:val="en-US"/>
        </w:rPr>
        <w:t>, Paris, CEPII.</w:t>
      </w:r>
    </w:p>
  </w:footnote>
  <w:footnote w:id="13">
    <w:p w:rsidR="00A35B88" w:rsidRPr="006A5A63" w:rsidRDefault="00A35B88" w:rsidP="00447F07">
      <w:pPr>
        <w:autoSpaceDE w:val="0"/>
        <w:autoSpaceDN w:val="0"/>
        <w:adjustRightInd w:val="0"/>
        <w:spacing w:after="0" w:line="240" w:lineRule="auto"/>
        <w:rPr>
          <w:rFonts w:ascii="Times New Roman" w:hAnsi="Times New Roman" w:cs="Times New Roman"/>
          <w:i/>
          <w:sz w:val="20"/>
          <w:szCs w:val="20"/>
          <w:lang w:val="en-US"/>
        </w:rPr>
      </w:pPr>
      <w:r w:rsidRPr="006A5A63">
        <w:rPr>
          <w:rStyle w:val="Appelnotedebasdep"/>
          <w:rFonts w:ascii="Times New Roman" w:hAnsi="Times New Roman" w:cs="Times New Roman"/>
          <w:sz w:val="20"/>
          <w:szCs w:val="20"/>
        </w:rPr>
        <w:footnoteRef/>
      </w:r>
      <w:proofErr w:type="spellStart"/>
      <w:r w:rsidRPr="006A5A63">
        <w:rPr>
          <w:rFonts w:ascii="Times New Roman" w:hAnsi="Times New Roman" w:cs="Times New Roman"/>
          <w:sz w:val="20"/>
          <w:szCs w:val="20"/>
          <w:lang w:val="en-US"/>
        </w:rPr>
        <w:t>Nargis</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Kassenova</w:t>
      </w:r>
      <w:proofErr w:type="spellEnd"/>
      <w:r w:rsidRPr="006A5A63">
        <w:rPr>
          <w:rFonts w:ascii="Times New Roman" w:hAnsi="Times New Roman" w:cs="Times New Roman"/>
          <w:sz w:val="20"/>
          <w:szCs w:val="20"/>
          <w:lang w:val="en-US"/>
        </w:rPr>
        <w:t xml:space="preserve">, </w:t>
      </w:r>
      <w:r w:rsidRPr="006A5A63">
        <w:rPr>
          <w:rFonts w:ascii="Times New Roman" w:hAnsi="Times New Roman" w:cs="Times New Roman"/>
          <w:i/>
          <w:sz w:val="20"/>
          <w:szCs w:val="20"/>
          <w:lang w:val="en-US"/>
        </w:rPr>
        <w:t xml:space="preserve">Kazakhstan and Eurasian economic integration in </w:t>
      </w:r>
      <w:proofErr w:type="spellStart"/>
      <w:r w:rsidRPr="006A5A63">
        <w:rPr>
          <w:rFonts w:ascii="Times New Roman" w:hAnsi="Times New Roman" w:cs="Times New Roman"/>
          <w:sz w:val="20"/>
          <w:szCs w:val="20"/>
          <w:lang w:val="en-US"/>
        </w:rPr>
        <w:t>Rilka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Dragneva</w:t>
      </w:r>
      <w:proofErr w:type="spellEnd"/>
      <w:r w:rsidRPr="006A5A63">
        <w:rPr>
          <w:rFonts w:ascii="Times New Roman" w:hAnsi="Times New Roman" w:cs="Times New Roman"/>
          <w:sz w:val="20"/>
          <w:szCs w:val="20"/>
          <w:lang w:val="en-US"/>
        </w:rPr>
        <w:t xml:space="preserve"> &amp; </w:t>
      </w:r>
      <w:proofErr w:type="spellStart"/>
      <w:r w:rsidRPr="006A5A63">
        <w:rPr>
          <w:rFonts w:ascii="Times New Roman" w:hAnsi="Times New Roman" w:cs="Times New Roman"/>
          <w:sz w:val="20"/>
          <w:szCs w:val="20"/>
          <w:lang w:val="en-US"/>
        </w:rPr>
        <w:t>Kataryna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Wolczuk</w:t>
      </w:r>
      <w:proofErr w:type="spellEnd"/>
      <w:r w:rsidRPr="006A5A63">
        <w:rPr>
          <w:rFonts w:ascii="Times New Roman" w:hAnsi="Times New Roman" w:cs="Times New Roman"/>
          <w:i/>
          <w:sz w:val="20"/>
          <w:szCs w:val="20"/>
          <w:lang w:val="en-US"/>
        </w:rPr>
        <w:t xml:space="preserve"> Eurasian economic integration, </w:t>
      </w:r>
      <w:proofErr w:type="spellStart"/>
      <w:r w:rsidRPr="006A5A63">
        <w:rPr>
          <w:rFonts w:ascii="Times New Roman" w:hAnsi="Times New Roman" w:cs="Times New Roman"/>
          <w:sz w:val="20"/>
          <w:szCs w:val="20"/>
          <w:lang w:val="en-US"/>
        </w:rPr>
        <w:t>Chelterham</w:t>
      </w:r>
      <w:proofErr w:type="spellEnd"/>
      <w:r w:rsidRPr="006A5A63">
        <w:rPr>
          <w:rFonts w:ascii="Times New Roman" w:hAnsi="Times New Roman" w:cs="Times New Roman"/>
          <w:sz w:val="20"/>
          <w:szCs w:val="20"/>
          <w:lang w:val="en-US"/>
        </w:rPr>
        <w:t>, Edward Elgar, 2013.</w:t>
      </w:r>
    </w:p>
    <w:p w:rsidR="00A35B88" w:rsidRPr="006A5A63" w:rsidRDefault="00A35B88">
      <w:pPr>
        <w:pStyle w:val="Notedebasdepage"/>
        <w:rPr>
          <w:rFonts w:ascii="Times New Roman" w:hAnsi="Times New Roman" w:cs="Times New Roman"/>
        </w:rPr>
      </w:pPr>
      <w:r w:rsidRPr="00AD6358">
        <w:rPr>
          <w:rFonts w:ascii="Times New Roman" w:hAnsi="Times New Roman" w:cs="Times New Roman"/>
          <w:lang w:val="en-US"/>
        </w:rPr>
        <w:t xml:space="preserve"> </w:t>
      </w:r>
      <w:r w:rsidRPr="006A5A63">
        <w:rPr>
          <w:rFonts w:ascii="Times New Roman" w:hAnsi="Times New Roman" w:cs="Times New Roman"/>
        </w:rPr>
        <w:t xml:space="preserve">David </w:t>
      </w:r>
      <w:proofErr w:type="spellStart"/>
      <w:r w:rsidRPr="006A5A63">
        <w:rPr>
          <w:rFonts w:ascii="Times New Roman" w:hAnsi="Times New Roman" w:cs="Times New Roman"/>
        </w:rPr>
        <w:t>Teurtrie</w:t>
      </w:r>
      <w:proofErr w:type="spellEnd"/>
      <w:r w:rsidRPr="006A5A63">
        <w:rPr>
          <w:rFonts w:ascii="Times New Roman" w:hAnsi="Times New Roman" w:cs="Times New Roman"/>
        </w:rPr>
        <w:t xml:space="preserve">, </w:t>
      </w:r>
      <w:r w:rsidRPr="006A5A63">
        <w:rPr>
          <w:rFonts w:ascii="Times New Roman" w:hAnsi="Times New Roman" w:cs="Times New Roman"/>
          <w:i/>
        </w:rPr>
        <w:t xml:space="preserve">Eurasie postsoviétique </w:t>
      </w:r>
      <w:r w:rsidRPr="006A5A63">
        <w:rPr>
          <w:rFonts w:ascii="Times New Roman" w:hAnsi="Times New Roman" w:cs="Times New Roman"/>
        </w:rPr>
        <w:t xml:space="preserve">in </w:t>
      </w:r>
      <w:r w:rsidRPr="006A5A63">
        <w:rPr>
          <w:rFonts w:ascii="Times New Roman" w:hAnsi="Times New Roman" w:cs="Times New Roman"/>
          <w:i/>
        </w:rPr>
        <w:t>Image économique du Monde</w:t>
      </w:r>
      <w:r w:rsidRPr="006A5A63">
        <w:rPr>
          <w:rFonts w:ascii="Times New Roman" w:hAnsi="Times New Roman" w:cs="Times New Roman"/>
        </w:rPr>
        <w:t>, Paris, Armand Colin, 2014.</w:t>
      </w:r>
    </w:p>
  </w:footnote>
  <w:footnote w:id="14">
    <w:p w:rsidR="00A35B88" w:rsidRPr="006A5A63" w:rsidRDefault="00A35B88" w:rsidP="0044763E">
      <w:pPr>
        <w:autoSpaceDE w:val="0"/>
        <w:autoSpaceDN w:val="0"/>
        <w:adjustRightInd w:val="0"/>
        <w:spacing w:after="0" w:line="240" w:lineRule="auto"/>
        <w:rPr>
          <w:rFonts w:ascii="Times New Roman" w:hAnsi="Times New Roman" w:cs="Times New Roman"/>
          <w:i/>
          <w:sz w:val="20"/>
          <w:szCs w:val="20"/>
          <w:lang w:val="en-US"/>
        </w:rPr>
      </w:pPr>
      <w:r w:rsidRPr="006A5A63">
        <w:rPr>
          <w:rStyle w:val="Appelnotedebasdep"/>
          <w:rFonts w:ascii="Times New Roman" w:hAnsi="Times New Roman" w:cs="Times New Roman"/>
          <w:sz w:val="20"/>
          <w:szCs w:val="20"/>
        </w:rPr>
        <w:footnoteRef/>
      </w:r>
      <w:r w:rsidRPr="006A5A63">
        <w:rPr>
          <w:rFonts w:ascii="Times New Roman" w:hAnsi="Times New Roman" w:cs="Times New Roman"/>
          <w:sz w:val="20"/>
          <w:szCs w:val="20"/>
          <w:lang w:val="en-US"/>
        </w:rPr>
        <w:t xml:space="preserve"> Laure </w:t>
      </w:r>
      <w:proofErr w:type="spellStart"/>
      <w:r w:rsidRPr="006A5A63">
        <w:rPr>
          <w:rFonts w:ascii="Times New Roman" w:hAnsi="Times New Roman" w:cs="Times New Roman"/>
          <w:sz w:val="20"/>
          <w:szCs w:val="20"/>
          <w:lang w:val="en-US"/>
        </w:rPr>
        <w:t>Delcourt,</w:t>
      </w:r>
      <w:r w:rsidRPr="006A5A63">
        <w:rPr>
          <w:rFonts w:ascii="Times New Roman" w:hAnsi="Times New Roman" w:cs="Times New Roman"/>
          <w:i/>
          <w:sz w:val="20"/>
          <w:szCs w:val="20"/>
          <w:lang w:val="en-US"/>
        </w:rPr>
        <w:t>Eurasian</w:t>
      </w:r>
      <w:proofErr w:type="spellEnd"/>
      <w:r w:rsidRPr="006A5A63">
        <w:rPr>
          <w:rFonts w:ascii="Times New Roman" w:hAnsi="Times New Roman" w:cs="Times New Roman"/>
          <w:i/>
          <w:sz w:val="20"/>
          <w:szCs w:val="20"/>
          <w:lang w:val="en-US"/>
        </w:rPr>
        <w:t xml:space="preserve"> economic integration: implication for the EU Eastern Partnership in </w:t>
      </w:r>
      <w:proofErr w:type="spellStart"/>
      <w:r w:rsidRPr="006A5A63">
        <w:rPr>
          <w:rFonts w:ascii="Times New Roman" w:hAnsi="Times New Roman" w:cs="Times New Roman"/>
          <w:sz w:val="20"/>
          <w:szCs w:val="20"/>
          <w:lang w:val="en-US"/>
        </w:rPr>
        <w:t>Rilka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Dragneva</w:t>
      </w:r>
      <w:proofErr w:type="spellEnd"/>
      <w:r w:rsidRPr="006A5A63">
        <w:rPr>
          <w:rFonts w:ascii="Times New Roman" w:hAnsi="Times New Roman" w:cs="Times New Roman"/>
          <w:sz w:val="20"/>
          <w:szCs w:val="20"/>
          <w:lang w:val="en-US"/>
        </w:rPr>
        <w:t xml:space="preserve"> &amp; </w:t>
      </w:r>
      <w:proofErr w:type="spellStart"/>
      <w:r w:rsidRPr="006A5A63">
        <w:rPr>
          <w:rFonts w:ascii="Times New Roman" w:hAnsi="Times New Roman" w:cs="Times New Roman"/>
          <w:sz w:val="20"/>
          <w:szCs w:val="20"/>
          <w:lang w:val="en-US"/>
        </w:rPr>
        <w:t>Kataryna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Wolczuk</w:t>
      </w:r>
      <w:proofErr w:type="spellEnd"/>
      <w:r w:rsidRPr="006A5A63">
        <w:rPr>
          <w:rFonts w:ascii="Times New Roman" w:hAnsi="Times New Roman" w:cs="Times New Roman"/>
          <w:i/>
          <w:sz w:val="20"/>
          <w:szCs w:val="20"/>
          <w:lang w:val="en-US"/>
        </w:rPr>
        <w:t xml:space="preserve"> Eurasian economic integration, </w:t>
      </w:r>
      <w:proofErr w:type="spellStart"/>
      <w:r w:rsidRPr="006A5A63">
        <w:rPr>
          <w:rFonts w:ascii="Times New Roman" w:hAnsi="Times New Roman" w:cs="Times New Roman"/>
          <w:sz w:val="20"/>
          <w:szCs w:val="20"/>
          <w:lang w:val="en-US"/>
        </w:rPr>
        <w:t>Chelterham</w:t>
      </w:r>
      <w:proofErr w:type="spellEnd"/>
      <w:r w:rsidRPr="006A5A63">
        <w:rPr>
          <w:rFonts w:ascii="Times New Roman" w:hAnsi="Times New Roman" w:cs="Times New Roman"/>
          <w:sz w:val="20"/>
          <w:szCs w:val="20"/>
          <w:lang w:val="en-US"/>
        </w:rPr>
        <w:t>, Edward Elgar, 2013.</w:t>
      </w:r>
    </w:p>
    <w:p w:rsidR="00A35B88" w:rsidRPr="006A5A63" w:rsidRDefault="00A35B88" w:rsidP="0044763E">
      <w:pPr>
        <w:autoSpaceDE w:val="0"/>
        <w:autoSpaceDN w:val="0"/>
        <w:adjustRightInd w:val="0"/>
        <w:spacing w:after="0" w:line="240" w:lineRule="auto"/>
        <w:rPr>
          <w:rFonts w:ascii="Times New Roman" w:hAnsi="Times New Roman" w:cs="Times New Roman"/>
          <w:sz w:val="20"/>
          <w:szCs w:val="20"/>
          <w:lang w:val="en-US"/>
        </w:rPr>
      </w:pPr>
      <w:proofErr w:type="spellStart"/>
      <w:r w:rsidRPr="006A5A63">
        <w:rPr>
          <w:rFonts w:ascii="Times New Roman" w:hAnsi="Times New Roman" w:cs="Times New Roman"/>
          <w:sz w:val="20"/>
          <w:szCs w:val="20"/>
          <w:lang w:val="en-US"/>
        </w:rPr>
        <w:t>Rilka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Dragneva</w:t>
      </w:r>
      <w:proofErr w:type="spellEnd"/>
      <w:r w:rsidRPr="006A5A63">
        <w:rPr>
          <w:rFonts w:ascii="Times New Roman" w:hAnsi="Times New Roman" w:cs="Times New Roman"/>
          <w:sz w:val="20"/>
          <w:szCs w:val="20"/>
          <w:lang w:val="en-US"/>
        </w:rPr>
        <w:t xml:space="preserve"> &amp; </w:t>
      </w:r>
      <w:proofErr w:type="spellStart"/>
      <w:r w:rsidRPr="006A5A63">
        <w:rPr>
          <w:rFonts w:ascii="Times New Roman" w:hAnsi="Times New Roman" w:cs="Times New Roman"/>
          <w:sz w:val="20"/>
          <w:szCs w:val="20"/>
          <w:lang w:val="en-US"/>
        </w:rPr>
        <w:t>Kataryna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Wolczuk</w:t>
      </w:r>
      <w:proofErr w:type="spellEnd"/>
      <w:r w:rsidRPr="006A5A63">
        <w:rPr>
          <w:rFonts w:ascii="Times New Roman" w:hAnsi="Times New Roman" w:cs="Times New Roman"/>
          <w:sz w:val="20"/>
          <w:szCs w:val="20"/>
          <w:lang w:val="en-US"/>
        </w:rPr>
        <w:t>,</w:t>
      </w:r>
      <w:r w:rsidRPr="006A5A63">
        <w:rPr>
          <w:rFonts w:ascii="Times New Roman" w:hAnsi="Times New Roman" w:cs="Times New Roman"/>
          <w:i/>
          <w:sz w:val="20"/>
          <w:szCs w:val="20"/>
          <w:lang w:val="en-US"/>
        </w:rPr>
        <w:t xml:space="preserve"> Russia, the Eurasian </w:t>
      </w:r>
      <w:proofErr w:type="spellStart"/>
      <w:r w:rsidRPr="006A5A63">
        <w:rPr>
          <w:rFonts w:ascii="Times New Roman" w:hAnsi="Times New Roman" w:cs="Times New Roman"/>
          <w:i/>
          <w:sz w:val="20"/>
          <w:szCs w:val="20"/>
          <w:lang w:val="en-US"/>
        </w:rPr>
        <w:t>CustomsUnion</w:t>
      </w:r>
      <w:proofErr w:type="spellEnd"/>
      <w:r w:rsidRPr="006A5A63">
        <w:rPr>
          <w:rFonts w:ascii="Times New Roman" w:hAnsi="Times New Roman" w:cs="Times New Roman"/>
          <w:i/>
          <w:sz w:val="20"/>
          <w:szCs w:val="20"/>
          <w:lang w:val="en-US"/>
        </w:rPr>
        <w:t xml:space="preserve"> and the EU: </w:t>
      </w:r>
      <w:proofErr w:type="spellStart"/>
      <w:r w:rsidRPr="006A5A63">
        <w:rPr>
          <w:rFonts w:ascii="Times New Roman" w:hAnsi="Times New Roman" w:cs="Times New Roman"/>
          <w:i/>
          <w:sz w:val="20"/>
          <w:szCs w:val="20"/>
          <w:lang w:val="en-US"/>
        </w:rPr>
        <w:t>Cooperation,Stagnation</w:t>
      </w:r>
      <w:proofErr w:type="spellEnd"/>
      <w:r w:rsidRPr="006A5A63">
        <w:rPr>
          <w:rFonts w:ascii="Times New Roman" w:hAnsi="Times New Roman" w:cs="Times New Roman"/>
          <w:i/>
          <w:sz w:val="20"/>
          <w:szCs w:val="20"/>
          <w:lang w:val="en-US"/>
        </w:rPr>
        <w:t xml:space="preserve"> or Rivalry? </w:t>
      </w:r>
      <w:proofErr w:type="spellStart"/>
      <w:r w:rsidRPr="006A5A63">
        <w:rPr>
          <w:rFonts w:ascii="Times New Roman" w:hAnsi="Times New Roman" w:cs="Times New Roman"/>
          <w:sz w:val="20"/>
          <w:szCs w:val="20"/>
          <w:lang w:val="en-US"/>
        </w:rPr>
        <w:t>Londres</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Chatam</w:t>
      </w:r>
      <w:proofErr w:type="spellEnd"/>
      <w:r w:rsidRPr="006A5A63">
        <w:rPr>
          <w:rFonts w:ascii="Times New Roman" w:hAnsi="Times New Roman" w:cs="Times New Roman"/>
          <w:sz w:val="20"/>
          <w:szCs w:val="20"/>
          <w:lang w:val="en-US"/>
        </w:rPr>
        <w:t xml:space="preserve"> House, 2012</w:t>
      </w:r>
    </w:p>
  </w:footnote>
  <w:footnote w:id="15">
    <w:p w:rsidR="00A35B88" w:rsidRPr="00AD6358" w:rsidRDefault="00A35B88">
      <w:pPr>
        <w:pStyle w:val="Notedebasdepage"/>
        <w:rPr>
          <w:rFonts w:ascii="Times New Roman" w:hAnsi="Times New Roman" w:cs="Times New Roman"/>
          <w:lang w:val="en-US"/>
        </w:rPr>
      </w:pPr>
      <w:r w:rsidRPr="006A5A63">
        <w:rPr>
          <w:rStyle w:val="Appelnotedebasdep"/>
          <w:rFonts w:ascii="Times New Roman" w:hAnsi="Times New Roman" w:cs="Times New Roman"/>
        </w:rPr>
        <w:footnoteRef/>
      </w:r>
      <w:r w:rsidRPr="00AD6358">
        <w:rPr>
          <w:rFonts w:ascii="Times New Roman" w:hAnsi="Times New Roman" w:cs="Times New Roman"/>
          <w:lang w:val="en-US"/>
        </w:rPr>
        <w:t xml:space="preserve"> </w:t>
      </w:r>
      <w:proofErr w:type="spellStart"/>
      <w:r w:rsidRPr="00AD6358">
        <w:rPr>
          <w:rFonts w:ascii="Times New Roman" w:hAnsi="Times New Roman" w:cs="Times New Roman"/>
          <w:lang w:val="en-US"/>
        </w:rPr>
        <w:t>Banque</w:t>
      </w:r>
      <w:proofErr w:type="spellEnd"/>
      <w:r w:rsidRPr="00AD6358">
        <w:rPr>
          <w:rFonts w:ascii="Times New Roman" w:hAnsi="Times New Roman" w:cs="Times New Roman"/>
          <w:lang w:val="en-US"/>
        </w:rPr>
        <w:t xml:space="preserve"> </w:t>
      </w:r>
      <w:proofErr w:type="spellStart"/>
      <w:r w:rsidRPr="00AD6358">
        <w:rPr>
          <w:rFonts w:ascii="Times New Roman" w:hAnsi="Times New Roman" w:cs="Times New Roman"/>
          <w:lang w:val="en-US"/>
        </w:rPr>
        <w:t>mondiale</w:t>
      </w:r>
      <w:proofErr w:type="spellEnd"/>
      <w:r w:rsidRPr="00AD6358">
        <w:rPr>
          <w:rFonts w:ascii="Times New Roman" w:hAnsi="Times New Roman" w:cs="Times New Roman"/>
          <w:lang w:val="en-US"/>
        </w:rPr>
        <w:t>, data, 2016</w:t>
      </w:r>
    </w:p>
  </w:footnote>
  <w:footnote w:id="16">
    <w:p w:rsidR="00A35B88" w:rsidRPr="00AD6358" w:rsidRDefault="00A35B88">
      <w:pPr>
        <w:pStyle w:val="Notedebasdepage"/>
        <w:rPr>
          <w:rFonts w:ascii="Times New Roman" w:hAnsi="Times New Roman" w:cs="Times New Roman"/>
          <w:lang w:val="en-US"/>
        </w:rPr>
      </w:pPr>
      <w:r w:rsidRPr="006A5A63">
        <w:rPr>
          <w:rStyle w:val="Appelnotedebasdep"/>
          <w:rFonts w:ascii="Times New Roman" w:hAnsi="Times New Roman" w:cs="Times New Roman"/>
        </w:rPr>
        <w:footnoteRef/>
      </w:r>
      <w:r w:rsidRPr="00AD6358">
        <w:rPr>
          <w:rFonts w:ascii="Times New Roman" w:hAnsi="Times New Roman" w:cs="Times New Roman"/>
          <w:lang w:val="en-US"/>
        </w:rPr>
        <w:t xml:space="preserve"> Jean-Christophe </w:t>
      </w:r>
      <w:proofErr w:type="spellStart"/>
      <w:r w:rsidRPr="00AD6358">
        <w:rPr>
          <w:rFonts w:ascii="Times New Roman" w:hAnsi="Times New Roman" w:cs="Times New Roman"/>
          <w:lang w:val="en-US"/>
        </w:rPr>
        <w:t>Defraigne</w:t>
      </w:r>
      <w:proofErr w:type="spellEnd"/>
      <w:r w:rsidRPr="00AD6358">
        <w:rPr>
          <w:rFonts w:ascii="Times New Roman" w:hAnsi="Times New Roman" w:cs="Times New Roman"/>
          <w:lang w:val="en-US"/>
        </w:rPr>
        <w:t xml:space="preserve">, </w:t>
      </w:r>
      <w:r w:rsidRPr="00AD6358">
        <w:rPr>
          <w:rFonts w:ascii="Times New Roman" w:hAnsi="Times New Roman" w:cs="Times New Roman"/>
          <w:i/>
          <w:lang w:val="en-US"/>
        </w:rPr>
        <w:t>The relevance of Europe’s Supranational Experience for other Regional Integration Processes</w:t>
      </w:r>
      <w:r w:rsidRPr="00AD6358">
        <w:rPr>
          <w:rFonts w:ascii="Times New Roman" w:hAnsi="Times New Roman" w:cs="Times New Roman"/>
          <w:lang w:val="en-US"/>
        </w:rPr>
        <w:t xml:space="preserve"> » in Christian Franck, Jean-Christophe </w:t>
      </w:r>
      <w:proofErr w:type="spellStart"/>
      <w:r w:rsidRPr="00AD6358">
        <w:rPr>
          <w:rFonts w:ascii="Times New Roman" w:hAnsi="Times New Roman" w:cs="Times New Roman"/>
          <w:lang w:val="en-US"/>
        </w:rPr>
        <w:t>Defraigne</w:t>
      </w:r>
      <w:proofErr w:type="spellEnd"/>
      <w:r w:rsidRPr="00AD6358">
        <w:rPr>
          <w:rFonts w:ascii="Times New Roman" w:hAnsi="Times New Roman" w:cs="Times New Roman"/>
          <w:lang w:val="en-US"/>
        </w:rPr>
        <w:t xml:space="preserve"> and </w:t>
      </w:r>
      <w:proofErr w:type="spellStart"/>
      <w:r w:rsidRPr="00AD6358">
        <w:rPr>
          <w:rFonts w:ascii="Times New Roman" w:hAnsi="Times New Roman" w:cs="Times New Roman"/>
          <w:lang w:val="en-US"/>
        </w:rPr>
        <w:t>Virginie</w:t>
      </w:r>
      <w:proofErr w:type="spellEnd"/>
      <w:r w:rsidRPr="00AD6358">
        <w:rPr>
          <w:rFonts w:ascii="Times New Roman" w:hAnsi="Times New Roman" w:cs="Times New Roman"/>
          <w:lang w:val="en-US"/>
        </w:rPr>
        <w:t xml:space="preserve"> de </w:t>
      </w:r>
      <w:proofErr w:type="spellStart"/>
      <w:r w:rsidRPr="00AD6358">
        <w:rPr>
          <w:rFonts w:ascii="Times New Roman" w:hAnsi="Times New Roman" w:cs="Times New Roman"/>
          <w:lang w:val="en-US"/>
        </w:rPr>
        <w:t>Moriamé</w:t>
      </w:r>
      <w:proofErr w:type="spellEnd"/>
      <w:r w:rsidRPr="00AD6358">
        <w:rPr>
          <w:rFonts w:ascii="Times New Roman" w:hAnsi="Times New Roman" w:cs="Times New Roman"/>
          <w:lang w:val="en-US"/>
        </w:rPr>
        <w:t xml:space="preserve">, </w:t>
      </w:r>
      <w:r w:rsidRPr="00AD6358">
        <w:rPr>
          <w:rFonts w:ascii="Times New Roman" w:hAnsi="Times New Roman" w:cs="Times New Roman"/>
          <w:i/>
          <w:lang w:val="en-US"/>
        </w:rPr>
        <w:t>The European Union and the Rise of Regionalism: Source of Inspiration and Active Promoter/</w:t>
      </w:r>
      <w:proofErr w:type="spellStart"/>
      <w:r w:rsidRPr="00AD6358">
        <w:rPr>
          <w:rFonts w:ascii="Times New Roman" w:hAnsi="Times New Roman" w:cs="Times New Roman"/>
          <w:i/>
          <w:lang w:val="en-US"/>
        </w:rPr>
        <w:t>L</w:t>
      </w:r>
      <w:r w:rsidRPr="00AD6358">
        <w:rPr>
          <w:rFonts w:ascii="Times New Roman" w:hAnsi="Times New Roman" w:cs="Times New Roman"/>
          <w:i/>
          <w:smallCaps/>
          <w:lang w:val="en-US"/>
        </w:rPr>
        <w:t>’</w:t>
      </w:r>
      <w:r w:rsidRPr="00AD6358">
        <w:rPr>
          <w:rFonts w:ascii="Times New Roman" w:hAnsi="Times New Roman" w:cs="Times New Roman"/>
          <w:i/>
          <w:lang w:val="en-US"/>
        </w:rPr>
        <w:t>Union</w:t>
      </w:r>
      <w:proofErr w:type="spellEnd"/>
      <w:r w:rsidRPr="00AD6358">
        <w:rPr>
          <w:rFonts w:ascii="Times New Roman" w:hAnsi="Times New Roman" w:cs="Times New Roman"/>
          <w:i/>
          <w:lang w:val="en-US"/>
        </w:rPr>
        <w:t xml:space="preserve"> </w:t>
      </w:r>
      <w:proofErr w:type="spellStart"/>
      <w:r w:rsidRPr="00AD6358">
        <w:rPr>
          <w:rFonts w:ascii="Times New Roman" w:hAnsi="Times New Roman" w:cs="Times New Roman"/>
          <w:i/>
          <w:lang w:val="en-US"/>
        </w:rPr>
        <w:t>européenne</w:t>
      </w:r>
      <w:proofErr w:type="spellEnd"/>
      <w:r w:rsidRPr="00AD6358">
        <w:rPr>
          <w:rFonts w:ascii="Times New Roman" w:hAnsi="Times New Roman" w:cs="Times New Roman"/>
          <w:i/>
          <w:lang w:val="en-US"/>
        </w:rPr>
        <w:t xml:space="preserve"> et la </w:t>
      </w:r>
      <w:proofErr w:type="spellStart"/>
      <w:r w:rsidRPr="00AD6358">
        <w:rPr>
          <w:rFonts w:ascii="Times New Roman" w:hAnsi="Times New Roman" w:cs="Times New Roman"/>
          <w:i/>
          <w:lang w:val="en-US"/>
        </w:rPr>
        <w:t>montée</w:t>
      </w:r>
      <w:proofErr w:type="spellEnd"/>
      <w:r w:rsidRPr="00AD6358">
        <w:rPr>
          <w:rFonts w:ascii="Times New Roman" w:hAnsi="Times New Roman" w:cs="Times New Roman"/>
          <w:i/>
          <w:lang w:val="en-US"/>
        </w:rPr>
        <w:t xml:space="preserve"> du </w:t>
      </w:r>
      <w:proofErr w:type="spellStart"/>
      <w:r w:rsidRPr="00AD6358">
        <w:rPr>
          <w:rFonts w:ascii="Times New Roman" w:hAnsi="Times New Roman" w:cs="Times New Roman"/>
          <w:i/>
          <w:lang w:val="en-US"/>
        </w:rPr>
        <w:t>régionalisme</w:t>
      </w:r>
      <w:proofErr w:type="spellEnd"/>
      <w:r w:rsidRPr="00AD6358">
        <w:rPr>
          <w:rFonts w:ascii="Times New Roman" w:hAnsi="Times New Roman" w:cs="Times New Roman"/>
          <w:i/>
          <w:lang w:val="en-US"/>
        </w:rPr>
        <w:t xml:space="preserve"> : </w:t>
      </w:r>
      <w:proofErr w:type="spellStart"/>
      <w:r w:rsidRPr="00AD6358">
        <w:rPr>
          <w:rFonts w:ascii="Times New Roman" w:hAnsi="Times New Roman" w:cs="Times New Roman"/>
          <w:i/>
          <w:lang w:val="en-US"/>
        </w:rPr>
        <w:t>exemplarité</w:t>
      </w:r>
      <w:proofErr w:type="spellEnd"/>
      <w:r w:rsidRPr="00AD6358">
        <w:rPr>
          <w:rFonts w:ascii="Times New Roman" w:hAnsi="Times New Roman" w:cs="Times New Roman"/>
          <w:i/>
          <w:lang w:val="en-US"/>
        </w:rPr>
        <w:t xml:space="preserve"> et </w:t>
      </w:r>
      <w:proofErr w:type="spellStart"/>
      <w:r w:rsidRPr="00AD6358">
        <w:rPr>
          <w:rFonts w:ascii="Times New Roman" w:hAnsi="Times New Roman" w:cs="Times New Roman"/>
          <w:i/>
          <w:lang w:val="en-US"/>
        </w:rPr>
        <w:t>partenariats</w:t>
      </w:r>
      <w:proofErr w:type="spellEnd"/>
      <w:r w:rsidRPr="00AD6358">
        <w:rPr>
          <w:rFonts w:ascii="Times New Roman" w:hAnsi="Times New Roman" w:cs="Times New Roman"/>
          <w:lang w:val="en-US"/>
        </w:rPr>
        <w:t>, Louvain-la-</w:t>
      </w:r>
      <w:proofErr w:type="spellStart"/>
      <w:r w:rsidRPr="00AD6358">
        <w:rPr>
          <w:rFonts w:ascii="Times New Roman" w:hAnsi="Times New Roman" w:cs="Times New Roman"/>
          <w:lang w:val="en-US"/>
        </w:rPr>
        <w:t>Neuve</w:t>
      </w:r>
      <w:proofErr w:type="spellEnd"/>
      <w:r w:rsidRPr="00AD6358">
        <w:rPr>
          <w:rFonts w:ascii="Times New Roman" w:hAnsi="Times New Roman" w:cs="Times New Roman"/>
          <w:lang w:val="en-US"/>
        </w:rPr>
        <w:t>, Academia-</w:t>
      </w:r>
      <w:proofErr w:type="spellStart"/>
      <w:r w:rsidRPr="00AD6358">
        <w:rPr>
          <w:rFonts w:ascii="Times New Roman" w:hAnsi="Times New Roman" w:cs="Times New Roman"/>
          <w:lang w:val="en-US"/>
        </w:rPr>
        <w:t>Bruylant</w:t>
      </w:r>
      <w:proofErr w:type="spellEnd"/>
      <w:r w:rsidRPr="00AD6358">
        <w:rPr>
          <w:rFonts w:ascii="Times New Roman" w:hAnsi="Times New Roman" w:cs="Times New Roman"/>
          <w:lang w:val="en-US"/>
        </w:rPr>
        <w:t>, 2009</w:t>
      </w:r>
    </w:p>
  </w:footnote>
  <w:footnote w:id="17">
    <w:p w:rsidR="00A35B88" w:rsidRPr="006A5A63" w:rsidRDefault="00A35B88">
      <w:pPr>
        <w:pStyle w:val="Notedebasdepage"/>
        <w:rPr>
          <w:rFonts w:ascii="Times New Roman" w:hAnsi="Times New Roman" w:cs="Times New Roman"/>
          <w:i/>
          <w:lang w:val="en-US"/>
        </w:rPr>
      </w:pPr>
      <w:r w:rsidRPr="006A5A63">
        <w:rPr>
          <w:rStyle w:val="Appelnotedebasdep"/>
          <w:rFonts w:ascii="Times New Roman" w:hAnsi="Times New Roman" w:cs="Times New Roman"/>
        </w:rPr>
        <w:footnoteRef/>
      </w:r>
      <w:r w:rsidRPr="006A5A63">
        <w:rPr>
          <w:rFonts w:ascii="Times New Roman" w:hAnsi="Times New Roman" w:cs="Times New Roman"/>
          <w:lang w:val="en-US"/>
        </w:rPr>
        <w:t xml:space="preserve"> MIT, </w:t>
      </w:r>
      <w:r w:rsidRPr="006A5A63">
        <w:rPr>
          <w:rFonts w:ascii="Times New Roman" w:hAnsi="Times New Roman" w:cs="Times New Roman"/>
          <w:i/>
          <w:lang w:val="en-US"/>
        </w:rPr>
        <w:t xml:space="preserve">The Observatory of Economic Complexity, </w:t>
      </w:r>
      <w:proofErr w:type="spellStart"/>
      <w:r w:rsidRPr="006A5A63">
        <w:rPr>
          <w:rFonts w:ascii="Times New Roman" w:hAnsi="Times New Roman" w:cs="Times New Roman"/>
          <w:lang w:val="en-US"/>
        </w:rPr>
        <w:t>consulté</w:t>
      </w:r>
      <w:proofErr w:type="spellEnd"/>
      <w:r w:rsidRPr="006A5A63">
        <w:rPr>
          <w:rFonts w:ascii="Times New Roman" w:hAnsi="Times New Roman" w:cs="Times New Roman"/>
          <w:lang w:val="en-US"/>
        </w:rPr>
        <w:t xml:space="preserve"> le 24 </w:t>
      </w:r>
      <w:proofErr w:type="spellStart"/>
      <w:r w:rsidRPr="006A5A63">
        <w:rPr>
          <w:rFonts w:ascii="Times New Roman" w:hAnsi="Times New Roman" w:cs="Times New Roman"/>
          <w:lang w:val="en-US"/>
        </w:rPr>
        <w:t>septembre</w:t>
      </w:r>
      <w:proofErr w:type="spellEnd"/>
      <w:r w:rsidRPr="006A5A63">
        <w:rPr>
          <w:rFonts w:ascii="Times New Roman" w:hAnsi="Times New Roman" w:cs="Times New Roman"/>
          <w:lang w:val="en-US"/>
        </w:rPr>
        <w:t xml:space="preserve"> 2016 </w:t>
      </w:r>
      <w:r w:rsidRPr="006A5A63">
        <w:rPr>
          <w:rFonts w:ascii="Times New Roman" w:hAnsi="Times New Roman" w:cs="Times New Roman"/>
          <w:i/>
          <w:lang w:val="en-US"/>
        </w:rPr>
        <w:t>http://atlas.media.mit.edu/en/</w:t>
      </w:r>
    </w:p>
  </w:footnote>
  <w:footnote w:id="18">
    <w:p w:rsidR="00A35B88" w:rsidRPr="006A5A63" w:rsidRDefault="00A35B88" w:rsidP="00A35B88">
      <w:pPr>
        <w:spacing w:after="0"/>
        <w:jc w:val="both"/>
        <w:rPr>
          <w:rFonts w:ascii="Times New Roman" w:hAnsi="Times New Roman" w:cs="Times New Roman"/>
          <w:sz w:val="20"/>
          <w:szCs w:val="20"/>
        </w:rPr>
      </w:pPr>
      <w:r w:rsidRPr="006A5A63">
        <w:rPr>
          <w:rStyle w:val="Appelnotedebasdep"/>
          <w:rFonts w:ascii="Times New Roman" w:hAnsi="Times New Roman" w:cs="Times New Roman"/>
          <w:sz w:val="20"/>
          <w:szCs w:val="20"/>
        </w:rPr>
        <w:footnoteRef/>
      </w:r>
      <w:r w:rsidRPr="006A5A63">
        <w:rPr>
          <w:rFonts w:ascii="Times New Roman" w:hAnsi="Times New Roman" w:cs="Times New Roman"/>
          <w:sz w:val="20"/>
          <w:szCs w:val="20"/>
        </w:rPr>
        <w:t xml:space="preserve"> Organisation Mondiale du Commerce, Genève,  site consulté le 24 septembre 2016 </w:t>
      </w:r>
      <w:hyperlink r:id="rId3" w:anchor="bkmk485r" w:history="1">
        <w:r w:rsidRPr="006A5A63">
          <w:rPr>
            <w:rStyle w:val="Lienhypertexte"/>
            <w:rFonts w:ascii="Times New Roman" w:hAnsi="Times New Roman" w:cs="Times New Roman"/>
            <w:color w:val="auto"/>
            <w:sz w:val="20"/>
            <w:szCs w:val="20"/>
          </w:rPr>
          <w:t>https://www.wto.org/french/tratop_f/dispu_f/cases_f/ds485_f.htm#bkmk485r</w:t>
        </w:r>
      </w:hyperlink>
    </w:p>
    <w:p w:rsidR="00A35B88" w:rsidRPr="006A5A63" w:rsidRDefault="00D76E28" w:rsidP="00A35B88">
      <w:pPr>
        <w:spacing w:after="0"/>
        <w:jc w:val="both"/>
        <w:rPr>
          <w:rFonts w:ascii="Times New Roman" w:hAnsi="Times New Roman" w:cs="Times New Roman"/>
          <w:sz w:val="20"/>
          <w:szCs w:val="20"/>
        </w:rPr>
      </w:pPr>
      <w:hyperlink r:id="rId4" w:history="1">
        <w:r w:rsidR="00A35B88" w:rsidRPr="006A5A63">
          <w:rPr>
            <w:rStyle w:val="Lienhypertexte"/>
            <w:rFonts w:ascii="Times New Roman" w:hAnsi="Times New Roman" w:cs="Times New Roman"/>
            <w:color w:val="auto"/>
            <w:sz w:val="20"/>
            <w:szCs w:val="20"/>
          </w:rPr>
          <w:t>https://www.wto.org/french/tratop_f/dispu_f/cases_f/ds462_f.htm</w:t>
        </w:r>
      </w:hyperlink>
    </w:p>
  </w:footnote>
  <w:footnote w:id="19">
    <w:p w:rsidR="00A35B88" w:rsidRPr="006A5A63" w:rsidRDefault="00A35B88" w:rsidP="00A35B88">
      <w:pPr>
        <w:autoSpaceDE w:val="0"/>
        <w:autoSpaceDN w:val="0"/>
        <w:adjustRightInd w:val="0"/>
        <w:spacing w:after="0" w:line="240" w:lineRule="auto"/>
        <w:rPr>
          <w:rFonts w:ascii="Times New Roman" w:hAnsi="Times New Roman" w:cs="Times New Roman"/>
          <w:i/>
          <w:sz w:val="20"/>
          <w:szCs w:val="20"/>
          <w:lang w:val="en-US"/>
        </w:rPr>
      </w:pPr>
      <w:r w:rsidRPr="006A5A63">
        <w:rPr>
          <w:rStyle w:val="Appelnotedebasdep"/>
          <w:rFonts w:ascii="Times New Roman" w:hAnsi="Times New Roman" w:cs="Times New Roman"/>
          <w:sz w:val="20"/>
          <w:szCs w:val="20"/>
        </w:rPr>
        <w:footnoteRef/>
      </w:r>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Rilka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Dragneva</w:t>
      </w:r>
      <w:proofErr w:type="spellEnd"/>
      <w:r w:rsidRPr="006A5A63">
        <w:rPr>
          <w:rFonts w:ascii="Times New Roman" w:hAnsi="Times New Roman" w:cs="Times New Roman"/>
          <w:sz w:val="20"/>
          <w:szCs w:val="20"/>
          <w:lang w:val="en-US"/>
        </w:rPr>
        <w:t xml:space="preserve"> &amp; </w:t>
      </w:r>
      <w:proofErr w:type="spellStart"/>
      <w:r w:rsidRPr="006A5A63">
        <w:rPr>
          <w:rFonts w:ascii="Times New Roman" w:hAnsi="Times New Roman" w:cs="Times New Roman"/>
          <w:sz w:val="20"/>
          <w:szCs w:val="20"/>
          <w:lang w:val="en-US"/>
        </w:rPr>
        <w:t>Kataryna</w:t>
      </w:r>
      <w:proofErr w:type="spellEnd"/>
      <w:r w:rsidRPr="006A5A63">
        <w:rPr>
          <w:rFonts w:ascii="Times New Roman" w:hAnsi="Times New Roman" w:cs="Times New Roman"/>
          <w:sz w:val="20"/>
          <w:szCs w:val="20"/>
          <w:lang w:val="en-US"/>
        </w:rPr>
        <w:t xml:space="preserve"> </w:t>
      </w:r>
      <w:proofErr w:type="spellStart"/>
      <w:r w:rsidRPr="006A5A63">
        <w:rPr>
          <w:rFonts w:ascii="Times New Roman" w:hAnsi="Times New Roman" w:cs="Times New Roman"/>
          <w:sz w:val="20"/>
          <w:szCs w:val="20"/>
          <w:lang w:val="en-US"/>
        </w:rPr>
        <w:t>Wolczuk</w:t>
      </w:r>
      <w:proofErr w:type="spellEnd"/>
      <w:r w:rsidRPr="006A5A63">
        <w:rPr>
          <w:rFonts w:ascii="Times New Roman" w:hAnsi="Times New Roman" w:cs="Times New Roman"/>
          <w:i/>
          <w:sz w:val="20"/>
          <w:szCs w:val="20"/>
          <w:lang w:val="en-US"/>
        </w:rPr>
        <w:t xml:space="preserve"> Eurasian economic integration, </w:t>
      </w:r>
      <w:proofErr w:type="spellStart"/>
      <w:r w:rsidRPr="006A5A63">
        <w:rPr>
          <w:rFonts w:ascii="Times New Roman" w:hAnsi="Times New Roman" w:cs="Times New Roman"/>
          <w:sz w:val="20"/>
          <w:szCs w:val="20"/>
          <w:lang w:val="en-US"/>
        </w:rPr>
        <w:t>Chelterham</w:t>
      </w:r>
      <w:proofErr w:type="spellEnd"/>
      <w:r w:rsidRPr="006A5A63">
        <w:rPr>
          <w:rFonts w:ascii="Times New Roman" w:hAnsi="Times New Roman" w:cs="Times New Roman"/>
          <w:sz w:val="20"/>
          <w:szCs w:val="20"/>
          <w:lang w:val="en-US"/>
        </w:rPr>
        <w:t>, Edward Elgar, 2013.</w:t>
      </w:r>
    </w:p>
    <w:p w:rsidR="00A35B88" w:rsidRPr="006A5A63" w:rsidRDefault="00A35B88">
      <w:pPr>
        <w:pStyle w:val="Notedebasdepage"/>
        <w:rPr>
          <w:rFonts w:ascii="Times New Roman" w:hAnsi="Times New Roman" w:cs="Times New Roman"/>
          <w:lang w:val="en-US"/>
        </w:rPr>
      </w:pPr>
    </w:p>
  </w:footnote>
  <w:footnote w:id="20">
    <w:p w:rsidR="0056249F" w:rsidRPr="0056249F" w:rsidRDefault="0056249F">
      <w:pPr>
        <w:pStyle w:val="Notedebasdepage"/>
      </w:pPr>
      <w:r>
        <w:rPr>
          <w:rStyle w:val="Appelnotedebasdep"/>
        </w:rPr>
        <w:footnoteRef/>
      </w:r>
      <w:r w:rsidRPr="0056249F">
        <w:t xml:space="preserve"> </w:t>
      </w:r>
      <w:r w:rsidRPr="0056249F">
        <w:rPr>
          <w:rFonts w:ascii="Times New Roman" w:hAnsi="Times New Roman" w:cs="Times New Roman"/>
        </w:rPr>
        <w:t xml:space="preserve">David </w:t>
      </w:r>
      <w:proofErr w:type="spellStart"/>
      <w:r w:rsidRPr="0056249F">
        <w:rPr>
          <w:rFonts w:ascii="Times New Roman" w:hAnsi="Times New Roman" w:cs="Times New Roman"/>
        </w:rPr>
        <w:t>Teurtrie</w:t>
      </w:r>
      <w:proofErr w:type="spellEnd"/>
      <w:r w:rsidRPr="0056249F">
        <w:rPr>
          <w:rFonts w:ascii="Times New Roman" w:hAnsi="Times New Roman" w:cs="Times New Roman"/>
        </w:rPr>
        <w:t>, Les Enjeux de Souveraineté de la Russie avec son étranger proche, thèse de doctorat, Caen, université de Caen,2006</w:t>
      </w:r>
    </w:p>
  </w:footnote>
  <w:footnote w:id="21">
    <w:p w:rsidR="00A35B88" w:rsidRPr="006A5A63" w:rsidRDefault="00A35B88">
      <w:pPr>
        <w:pStyle w:val="Notedebasdepage"/>
        <w:rPr>
          <w:rFonts w:ascii="Times New Roman" w:hAnsi="Times New Roman" w:cs="Times New Roman"/>
          <w:lang w:val="en-US"/>
        </w:rPr>
      </w:pPr>
      <w:r w:rsidRPr="006A5A63">
        <w:rPr>
          <w:rStyle w:val="Appelnotedebasdep"/>
          <w:rFonts w:ascii="Times New Roman" w:hAnsi="Times New Roman" w:cs="Times New Roman"/>
        </w:rPr>
        <w:footnoteRef/>
      </w:r>
      <w:r w:rsidRPr="006A5A63">
        <w:rPr>
          <w:rFonts w:ascii="Times New Roman" w:hAnsi="Times New Roman" w:cs="Times New Roman"/>
          <w:lang w:val="en-US"/>
        </w:rPr>
        <w:t xml:space="preserve"> MIT, </w:t>
      </w:r>
      <w:r w:rsidRPr="006A5A63">
        <w:rPr>
          <w:rFonts w:ascii="Times New Roman" w:hAnsi="Times New Roman" w:cs="Times New Roman"/>
          <w:i/>
          <w:lang w:val="en-US"/>
        </w:rPr>
        <w:t xml:space="preserve">The Observatory of Economic Complexity, </w:t>
      </w:r>
      <w:proofErr w:type="spellStart"/>
      <w:r w:rsidRPr="006A5A63">
        <w:rPr>
          <w:rFonts w:ascii="Times New Roman" w:hAnsi="Times New Roman" w:cs="Times New Roman"/>
          <w:lang w:val="en-US"/>
        </w:rPr>
        <w:t>consulté</w:t>
      </w:r>
      <w:proofErr w:type="spellEnd"/>
      <w:r w:rsidRPr="006A5A63">
        <w:rPr>
          <w:rFonts w:ascii="Times New Roman" w:hAnsi="Times New Roman" w:cs="Times New Roman"/>
          <w:lang w:val="en-US"/>
        </w:rPr>
        <w:t xml:space="preserve"> le 24 </w:t>
      </w:r>
      <w:proofErr w:type="spellStart"/>
      <w:r w:rsidRPr="006A5A63">
        <w:rPr>
          <w:rFonts w:ascii="Times New Roman" w:hAnsi="Times New Roman" w:cs="Times New Roman"/>
          <w:lang w:val="en-US"/>
        </w:rPr>
        <w:t>septembre</w:t>
      </w:r>
      <w:proofErr w:type="spellEnd"/>
      <w:r w:rsidRPr="006A5A63">
        <w:rPr>
          <w:rFonts w:ascii="Times New Roman" w:hAnsi="Times New Roman" w:cs="Times New Roman"/>
          <w:lang w:val="en-US"/>
        </w:rPr>
        <w:t xml:space="preserve"> 2016 </w:t>
      </w:r>
      <w:r w:rsidRPr="006A5A63">
        <w:rPr>
          <w:rFonts w:ascii="Times New Roman" w:hAnsi="Times New Roman" w:cs="Times New Roman"/>
          <w:i/>
          <w:lang w:val="en-US"/>
        </w:rPr>
        <w:t>http://atlas.media.mit.edu/en/</w:t>
      </w:r>
    </w:p>
  </w:footnote>
  <w:footnote w:id="22">
    <w:p w:rsidR="00A35B88" w:rsidRPr="006A5A63" w:rsidRDefault="00A35B88">
      <w:pPr>
        <w:pStyle w:val="Notedebasdepage"/>
        <w:rPr>
          <w:rFonts w:ascii="Times New Roman" w:hAnsi="Times New Roman" w:cs="Times New Roman"/>
        </w:rPr>
      </w:pPr>
      <w:r w:rsidRPr="006A5A63">
        <w:rPr>
          <w:rStyle w:val="Appelnotedebasdep"/>
          <w:rFonts w:ascii="Times New Roman" w:hAnsi="Times New Roman" w:cs="Times New Roman"/>
        </w:rPr>
        <w:footnoteRef/>
      </w:r>
      <w:r w:rsidRPr="006A5A63">
        <w:rPr>
          <w:rFonts w:ascii="Times New Roman" w:hAnsi="Times New Roman" w:cs="Times New Roman"/>
          <w:lang w:val="en-US"/>
        </w:rPr>
        <w:t xml:space="preserve"> </w:t>
      </w:r>
      <w:r w:rsidRPr="006A5A63">
        <w:rPr>
          <w:rFonts w:ascii="Times New Roman" w:hAnsi="Times New Roman" w:cs="Times New Roman"/>
          <w:lang w:val="en-GB"/>
        </w:rPr>
        <w:t xml:space="preserve">Cf. Jean-Christophe </w:t>
      </w:r>
      <w:proofErr w:type="spellStart"/>
      <w:r w:rsidRPr="006A5A63">
        <w:rPr>
          <w:rFonts w:ascii="Times New Roman" w:hAnsi="Times New Roman" w:cs="Times New Roman"/>
          <w:lang w:val="en-GB"/>
        </w:rPr>
        <w:t>Defraigne</w:t>
      </w:r>
      <w:proofErr w:type="spellEnd"/>
      <w:r w:rsidRPr="006A5A63">
        <w:rPr>
          <w:rFonts w:ascii="Times New Roman" w:hAnsi="Times New Roman" w:cs="Times New Roman"/>
          <w:lang w:val="en-GB"/>
        </w:rPr>
        <w:t xml:space="preserve">, « Is a </w:t>
      </w:r>
      <w:proofErr w:type="spellStart"/>
      <w:r w:rsidRPr="006A5A63">
        <w:rPr>
          <w:rFonts w:ascii="Times New Roman" w:hAnsi="Times New Roman" w:cs="Times New Roman"/>
          <w:lang w:val="en-GB"/>
        </w:rPr>
        <w:t>Strenghtening</w:t>
      </w:r>
      <w:proofErr w:type="spellEnd"/>
      <w:r w:rsidRPr="006A5A63">
        <w:rPr>
          <w:rFonts w:ascii="Times New Roman" w:hAnsi="Times New Roman" w:cs="Times New Roman"/>
          <w:lang w:val="en-GB"/>
        </w:rPr>
        <w:t xml:space="preserve"> South-South Regional Integration Possible ? </w:t>
      </w:r>
      <w:r w:rsidRPr="006A5A63">
        <w:rPr>
          <w:rFonts w:ascii="Times New Roman" w:hAnsi="Times New Roman" w:cs="Times New Roman"/>
        </w:rPr>
        <w:t xml:space="preserve">The Case of Mercosur and Latin </w:t>
      </w:r>
      <w:proofErr w:type="spellStart"/>
      <w:r w:rsidRPr="006A5A63">
        <w:rPr>
          <w:rFonts w:ascii="Times New Roman" w:hAnsi="Times New Roman" w:cs="Times New Roman"/>
        </w:rPr>
        <w:t>America</w:t>
      </w:r>
      <w:proofErr w:type="spellEnd"/>
      <w:r w:rsidRPr="006A5A63">
        <w:rPr>
          <w:rFonts w:ascii="Times New Roman" w:hAnsi="Times New Roman" w:cs="Times New Roman"/>
        </w:rPr>
        <w:t xml:space="preserve"> », </w:t>
      </w:r>
      <w:r w:rsidRPr="006A5A63">
        <w:rPr>
          <w:rFonts w:ascii="Times New Roman" w:hAnsi="Times New Roman" w:cs="Times New Roman"/>
          <w:i/>
        </w:rPr>
        <w:t>Fédéralisme Régionalisme</w:t>
      </w:r>
      <w:r w:rsidRPr="006A5A63">
        <w:rPr>
          <w:rFonts w:ascii="Times New Roman" w:hAnsi="Times New Roman" w:cs="Times New Roman"/>
        </w:rPr>
        <w:t>, 2016, à paraître.</w:t>
      </w:r>
    </w:p>
  </w:footnote>
  <w:footnote w:id="23">
    <w:p w:rsidR="00A35B88" w:rsidRPr="006A5A63" w:rsidRDefault="00A35B88">
      <w:pPr>
        <w:pStyle w:val="Notedebasdepage"/>
        <w:rPr>
          <w:rFonts w:ascii="Times New Roman" w:hAnsi="Times New Roman" w:cs="Times New Roman"/>
        </w:rPr>
      </w:pPr>
      <w:r w:rsidRPr="006A5A63">
        <w:rPr>
          <w:rStyle w:val="Appelnotedebasdep"/>
          <w:rFonts w:ascii="Times New Roman" w:hAnsi="Times New Roman" w:cs="Times New Roman"/>
        </w:rPr>
        <w:footnoteRef/>
      </w:r>
      <w:r w:rsidRPr="006A5A63">
        <w:rPr>
          <w:rFonts w:ascii="Times New Roman" w:hAnsi="Times New Roman" w:cs="Times New Roman"/>
        </w:rPr>
        <w:t xml:space="preserve"> </w:t>
      </w:r>
      <w:proofErr w:type="spellStart"/>
      <w:r w:rsidRPr="006A5A63">
        <w:rPr>
          <w:rFonts w:ascii="Times New Roman" w:hAnsi="Times New Roman" w:cs="Times New Roman"/>
        </w:rPr>
        <w:t>Dominic</w:t>
      </w:r>
      <w:proofErr w:type="spellEnd"/>
      <w:r w:rsidRPr="006A5A63">
        <w:rPr>
          <w:rFonts w:ascii="Times New Roman" w:hAnsi="Times New Roman" w:cs="Times New Roman"/>
        </w:rPr>
        <w:t xml:space="preserve"> </w:t>
      </w:r>
      <w:proofErr w:type="spellStart"/>
      <w:r w:rsidRPr="006A5A63">
        <w:rPr>
          <w:rFonts w:ascii="Times New Roman" w:hAnsi="Times New Roman" w:cs="Times New Roman"/>
        </w:rPr>
        <w:t>Fean</w:t>
      </w:r>
      <w:proofErr w:type="spellEnd"/>
      <w:r w:rsidRPr="006A5A63">
        <w:rPr>
          <w:rFonts w:ascii="Times New Roman" w:hAnsi="Times New Roman" w:cs="Times New Roman"/>
        </w:rPr>
        <w:t xml:space="preserve">, </w:t>
      </w:r>
      <w:r w:rsidRPr="006A5A63">
        <w:rPr>
          <w:rFonts w:ascii="Times New Roman" w:hAnsi="Times New Roman" w:cs="Times New Roman"/>
          <w:i/>
        </w:rPr>
        <w:t>L’Union Eurasienne : un projet économique à visée politique</w:t>
      </w:r>
      <w:r w:rsidRPr="006A5A63">
        <w:rPr>
          <w:rFonts w:ascii="Times New Roman" w:hAnsi="Times New Roman" w:cs="Times New Roman"/>
        </w:rPr>
        <w:t xml:space="preserve"> in </w:t>
      </w:r>
      <w:proofErr w:type="spellStart"/>
      <w:r w:rsidRPr="006A5A63">
        <w:rPr>
          <w:rFonts w:ascii="Times New Roman" w:hAnsi="Times New Roman" w:cs="Times New Roman"/>
        </w:rPr>
        <w:t>Ramses</w:t>
      </w:r>
      <w:proofErr w:type="spellEnd"/>
      <w:r w:rsidRPr="006A5A63">
        <w:rPr>
          <w:rFonts w:ascii="Times New Roman" w:hAnsi="Times New Roman" w:cs="Times New Roman"/>
        </w:rPr>
        <w:t xml:space="preserve"> 2013, Paris, IFRI </w:t>
      </w:r>
      <w:proofErr w:type="spellStart"/>
      <w:r w:rsidRPr="006A5A63">
        <w:rPr>
          <w:rFonts w:ascii="Times New Roman" w:hAnsi="Times New Roman" w:cs="Times New Roman"/>
        </w:rPr>
        <w:t>Dunod</w:t>
      </w:r>
      <w:proofErr w:type="spellEnd"/>
      <w:r w:rsidRPr="006A5A63">
        <w:rPr>
          <w:rFonts w:ascii="Times New Roman" w:hAnsi="Times New Roman" w:cs="Times New Roman"/>
        </w:rPr>
        <w:t>.</w:t>
      </w:r>
    </w:p>
  </w:footnote>
  <w:footnote w:id="24">
    <w:p w:rsidR="00A35B88" w:rsidRPr="006A5A63" w:rsidRDefault="00A35B88">
      <w:pPr>
        <w:pStyle w:val="Notedebasdepage"/>
        <w:rPr>
          <w:rFonts w:ascii="Times New Roman" w:hAnsi="Times New Roman" w:cs="Times New Roman"/>
          <w:i/>
          <w:lang w:val="en-US"/>
        </w:rPr>
      </w:pPr>
      <w:r w:rsidRPr="006A5A63">
        <w:rPr>
          <w:rStyle w:val="Appelnotedebasdep"/>
          <w:rFonts w:ascii="Times New Roman" w:hAnsi="Times New Roman" w:cs="Times New Roman"/>
        </w:rPr>
        <w:footnoteRef/>
      </w:r>
      <w:r w:rsidRPr="006A5A63">
        <w:rPr>
          <w:rFonts w:ascii="Times New Roman" w:hAnsi="Times New Roman" w:cs="Times New Roman"/>
          <w:lang w:val="en-US"/>
        </w:rPr>
        <w:t xml:space="preserve"> Andrew </w:t>
      </w:r>
      <w:proofErr w:type="spellStart"/>
      <w:r w:rsidRPr="006A5A63">
        <w:rPr>
          <w:rFonts w:ascii="Times New Roman" w:hAnsi="Times New Roman" w:cs="Times New Roman"/>
          <w:lang w:val="en-US"/>
        </w:rPr>
        <w:t>Wedeman</w:t>
      </w:r>
      <w:proofErr w:type="spellEnd"/>
      <w:r w:rsidRPr="006A5A63">
        <w:rPr>
          <w:rFonts w:ascii="Times New Roman" w:hAnsi="Times New Roman" w:cs="Times New Roman"/>
          <w:lang w:val="en-US"/>
        </w:rPr>
        <w:t xml:space="preserve">, </w:t>
      </w:r>
      <w:r w:rsidRPr="006A5A63">
        <w:rPr>
          <w:rFonts w:ascii="Times New Roman" w:hAnsi="Times New Roman" w:cs="Times New Roman"/>
          <w:i/>
          <w:lang w:val="en-US"/>
        </w:rPr>
        <w:t xml:space="preserve">Double Paradox : rapid growth and rising corruption in China, </w:t>
      </w:r>
      <w:proofErr w:type="spellStart"/>
      <w:r w:rsidRPr="006A5A63">
        <w:rPr>
          <w:rFonts w:ascii="Times New Roman" w:hAnsi="Times New Roman" w:cs="Times New Roman"/>
          <w:i/>
          <w:lang w:val="en-US"/>
        </w:rPr>
        <w:t>Itaqua</w:t>
      </w:r>
      <w:proofErr w:type="spellEnd"/>
      <w:r w:rsidRPr="006A5A63">
        <w:rPr>
          <w:rFonts w:ascii="Times New Roman" w:hAnsi="Times New Roman" w:cs="Times New Roman"/>
          <w:i/>
          <w:lang w:val="en-US"/>
        </w:rPr>
        <w:t xml:space="preserve">, </w:t>
      </w:r>
      <w:r w:rsidRPr="006A5A63">
        <w:rPr>
          <w:rFonts w:ascii="Times New Roman" w:hAnsi="Times New Roman" w:cs="Times New Roman"/>
          <w:lang w:val="en-US"/>
        </w:rPr>
        <w:t>Cornell University Press</w:t>
      </w:r>
      <w:r w:rsidRPr="006A5A63">
        <w:rPr>
          <w:rFonts w:ascii="Times New Roman" w:hAnsi="Times New Roman" w:cs="Times New Roman"/>
          <w:i/>
          <w:lang w:val="en-US"/>
        </w:rPr>
        <w:t xml:space="preserve">, </w:t>
      </w:r>
      <w:r w:rsidRPr="006A5A63">
        <w:rPr>
          <w:rFonts w:ascii="Times New Roman" w:hAnsi="Times New Roman" w:cs="Times New Roman"/>
          <w:lang w:val="en-US"/>
        </w:rPr>
        <w:t>2012</w:t>
      </w:r>
    </w:p>
  </w:footnote>
  <w:footnote w:id="25">
    <w:p w:rsidR="00A35B88" w:rsidRPr="006A5A63" w:rsidRDefault="00A35B88">
      <w:pPr>
        <w:pStyle w:val="Notedebasdepage"/>
        <w:rPr>
          <w:rFonts w:ascii="Times New Roman" w:hAnsi="Times New Roman" w:cs="Times New Roman"/>
          <w:lang w:val="en-US"/>
        </w:rPr>
      </w:pPr>
      <w:r w:rsidRPr="006A5A63">
        <w:rPr>
          <w:rStyle w:val="Appelnotedebasdep"/>
          <w:rFonts w:ascii="Times New Roman" w:hAnsi="Times New Roman" w:cs="Times New Roman"/>
        </w:rPr>
        <w:footnoteRef/>
      </w:r>
      <w:proofErr w:type="spellStart"/>
      <w:r w:rsidRPr="006A5A63">
        <w:rPr>
          <w:rFonts w:ascii="Times New Roman" w:hAnsi="Times New Roman" w:cs="Times New Roman"/>
          <w:lang w:val="en-US"/>
        </w:rPr>
        <w:t>Ruchir</w:t>
      </w:r>
      <w:proofErr w:type="spellEnd"/>
      <w:r w:rsidRPr="006A5A63">
        <w:rPr>
          <w:rFonts w:ascii="Times New Roman" w:hAnsi="Times New Roman" w:cs="Times New Roman"/>
          <w:lang w:val="en-US"/>
        </w:rPr>
        <w:t xml:space="preserve"> Sharma, </w:t>
      </w:r>
      <w:r w:rsidRPr="006A5A63">
        <w:rPr>
          <w:rFonts w:ascii="Times New Roman" w:hAnsi="Times New Roman" w:cs="Times New Roman"/>
          <w:i/>
          <w:lang w:val="en-US"/>
        </w:rPr>
        <w:t xml:space="preserve">The Rise and Fall of Nations, </w:t>
      </w:r>
      <w:r w:rsidR="006A5A63" w:rsidRPr="006A5A63">
        <w:rPr>
          <w:rFonts w:ascii="Times New Roman" w:hAnsi="Times New Roman" w:cs="Times New Roman"/>
          <w:lang w:val="en-US"/>
        </w:rPr>
        <w:t>New-York, Allen Lane, 2015</w:t>
      </w:r>
    </w:p>
    <w:p w:rsidR="006A5A63" w:rsidRPr="006A5A63" w:rsidRDefault="006A5A63">
      <w:pPr>
        <w:pStyle w:val="Notedebasdepage"/>
        <w:rPr>
          <w:rFonts w:ascii="Times New Roman" w:hAnsi="Times New Roman" w:cs="Times New Roman"/>
          <w:lang w:val="en-US"/>
        </w:rPr>
      </w:pPr>
      <w:r w:rsidRPr="006A5A63">
        <w:rPr>
          <w:rFonts w:ascii="Times New Roman" w:hAnsi="Times New Roman" w:cs="Times New Roman"/>
          <w:lang w:val="en-US"/>
        </w:rPr>
        <w:t xml:space="preserve">Ben Judah, </w:t>
      </w:r>
      <w:r w:rsidRPr="006A5A63">
        <w:rPr>
          <w:rFonts w:ascii="Times New Roman" w:hAnsi="Times New Roman" w:cs="Times New Roman"/>
          <w:i/>
          <w:lang w:val="en-US"/>
        </w:rPr>
        <w:t>Fragile Empire,</w:t>
      </w:r>
      <w:r w:rsidRPr="006A5A63">
        <w:rPr>
          <w:rFonts w:ascii="Times New Roman" w:hAnsi="Times New Roman" w:cs="Times New Roman"/>
          <w:lang w:val="en-US"/>
        </w:rPr>
        <w:t xml:space="preserve"> London, Yale University Press, 2013.</w:t>
      </w:r>
    </w:p>
    <w:p w:rsidR="006A5A63" w:rsidRPr="006A5A63" w:rsidRDefault="006A5A63">
      <w:pPr>
        <w:pStyle w:val="Notedebasdepage"/>
      </w:pPr>
      <w:r w:rsidRPr="006A5A63">
        <w:rPr>
          <w:rFonts w:ascii="Times New Roman" w:hAnsi="Times New Roman" w:cs="Times New Roman"/>
        </w:rPr>
        <w:t>Jean-Jacques Marie: La Russie sous Poutine, Paris, Payot, 2016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163858"/>
    <w:multiLevelType w:val="multilevel"/>
    <w:tmpl w:val="4470CAC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447"/>
    <w:rsid w:val="00006B92"/>
    <w:rsid w:val="0003338A"/>
    <w:rsid w:val="000409E2"/>
    <w:rsid w:val="00040A50"/>
    <w:rsid w:val="000836E3"/>
    <w:rsid w:val="00095663"/>
    <w:rsid w:val="000B066B"/>
    <w:rsid w:val="000B1C4A"/>
    <w:rsid w:val="000B2359"/>
    <w:rsid w:val="000C7190"/>
    <w:rsid w:val="000D1C88"/>
    <w:rsid w:val="000F148E"/>
    <w:rsid w:val="00102538"/>
    <w:rsid w:val="00104F4E"/>
    <w:rsid w:val="00152097"/>
    <w:rsid w:val="00155038"/>
    <w:rsid w:val="00157C81"/>
    <w:rsid w:val="00177355"/>
    <w:rsid w:val="001A5F45"/>
    <w:rsid w:val="001B0C4C"/>
    <w:rsid w:val="001E5227"/>
    <w:rsid w:val="00207902"/>
    <w:rsid w:val="002230FF"/>
    <w:rsid w:val="00224BE7"/>
    <w:rsid w:val="00252D87"/>
    <w:rsid w:val="00253364"/>
    <w:rsid w:val="00271F01"/>
    <w:rsid w:val="002A5062"/>
    <w:rsid w:val="002B19D4"/>
    <w:rsid w:val="002C7854"/>
    <w:rsid w:val="002D6602"/>
    <w:rsid w:val="003045A8"/>
    <w:rsid w:val="00310759"/>
    <w:rsid w:val="00312447"/>
    <w:rsid w:val="003155EC"/>
    <w:rsid w:val="00315A32"/>
    <w:rsid w:val="00364957"/>
    <w:rsid w:val="0036625D"/>
    <w:rsid w:val="003C21D2"/>
    <w:rsid w:val="003C40FB"/>
    <w:rsid w:val="003F08F1"/>
    <w:rsid w:val="0040650B"/>
    <w:rsid w:val="00410973"/>
    <w:rsid w:val="00426EFE"/>
    <w:rsid w:val="0044573C"/>
    <w:rsid w:val="0044763E"/>
    <w:rsid w:val="00447F07"/>
    <w:rsid w:val="00456D1F"/>
    <w:rsid w:val="00474B12"/>
    <w:rsid w:val="00496350"/>
    <w:rsid w:val="004B1C37"/>
    <w:rsid w:val="004B6381"/>
    <w:rsid w:val="004C347D"/>
    <w:rsid w:val="004F3B32"/>
    <w:rsid w:val="005351BD"/>
    <w:rsid w:val="00536527"/>
    <w:rsid w:val="0056249F"/>
    <w:rsid w:val="00582705"/>
    <w:rsid w:val="00586E82"/>
    <w:rsid w:val="005B51F4"/>
    <w:rsid w:val="005E3B7A"/>
    <w:rsid w:val="005E6101"/>
    <w:rsid w:val="00601EA3"/>
    <w:rsid w:val="00607DC9"/>
    <w:rsid w:val="006278D6"/>
    <w:rsid w:val="006574B2"/>
    <w:rsid w:val="00662087"/>
    <w:rsid w:val="0067199E"/>
    <w:rsid w:val="00680B3C"/>
    <w:rsid w:val="006843B9"/>
    <w:rsid w:val="00684DA2"/>
    <w:rsid w:val="006A5A63"/>
    <w:rsid w:val="006B3B01"/>
    <w:rsid w:val="006B494D"/>
    <w:rsid w:val="006D35AE"/>
    <w:rsid w:val="006F3977"/>
    <w:rsid w:val="00706EBB"/>
    <w:rsid w:val="00707FAC"/>
    <w:rsid w:val="00751C80"/>
    <w:rsid w:val="0077434E"/>
    <w:rsid w:val="007750CE"/>
    <w:rsid w:val="00780E26"/>
    <w:rsid w:val="007A5140"/>
    <w:rsid w:val="007C6C94"/>
    <w:rsid w:val="007D17F5"/>
    <w:rsid w:val="00810915"/>
    <w:rsid w:val="00812002"/>
    <w:rsid w:val="00831987"/>
    <w:rsid w:val="00843136"/>
    <w:rsid w:val="008713B3"/>
    <w:rsid w:val="0087147C"/>
    <w:rsid w:val="00875BDA"/>
    <w:rsid w:val="00877161"/>
    <w:rsid w:val="008818CC"/>
    <w:rsid w:val="008B5943"/>
    <w:rsid w:val="008C5BC8"/>
    <w:rsid w:val="008E2B08"/>
    <w:rsid w:val="008E70ED"/>
    <w:rsid w:val="008F23A3"/>
    <w:rsid w:val="008F5DD8"/>
    <w:rsid w:val="009025E3"/>
    <w:rsid w:val="00904DF6"/>
    <w:rsid w:val="009063AC"/>
    <w:rsid w:val="00924827"/>
    <w:rsid w:val="00945449"/>
    <w:rsid w:val="00945D82"/>
    <w:rsid w:val="00947986"/>
    <w:rsid w:val="009634DD"/>
    <w:rsid w:val="00972FF9"/>
    <w:rsid w:val="00977444"/>
    <w:rsid w:val="0098536D"/>
    <w:rsid w:val="00A020DC"/>
    <w:rsid w:val="00A041CB"/>
    <w:rsid w:val="00A20997"/>
    <w:rsid w:val="00A32050"/>
    <w:rsid w:val="00A35B88"/>
    <w:rsid w:val="00A419E6"/>
    <w:rsid w:val="00A60FE2"/>
    <w:rsid w:val="00A90405"/>
    <w:rsid w:val="00A93B42"/>
    <w:rsid w:val="00AA5441"/>
    <w:rsid w:val="00AA5EAA"/>
    <w:rsid w:val="00AA6A0C"/>
    <w:rsid w:val="00AB336A"/>
    <w:rsid w:val="00AC1FC7"/>
    <w:rsid w:val="00AD6358"/>
    <w:rsid w:val="00B009D8"/>
    <w:rsid w:val="00B114E6"/>
    <w:rsid w:val="00B16AF9"/>
    <w:rsid w:val="00B4532A"/>
    <w:rsid w:val="00B5120D"/>
    <w:rsid w:val="00B62956"/>
    <w:rsid w:val="00B64E7B"/>
    <w:rsid w:val="00B64E86"/>
    <w:rsid w:val="00B74778"/>
    <w:rsid w:val="00B7585E"/>
    <w:rsid w:val="00BB436A"/>
    <w:rsid w:val="00BE76C4"/>
    <w:rsid w:val="00BF2182"/>
    <w:rsid w:val="00BF7235"/>
    <w:rsid w:val="00C37F86"/>
    <w:rsid w:val="00C40F84"/>
    <w:rsid w:val="00C41C90"/>
    <w:rsid w:val="00C47448"/>
    <w:rsid w:val="00C61FB2"/>
    <w:rsid w:val="00C776E0"/>
    <w:rsid w:val="00C8771D"/>
    <w:rsid w:val="00C96D61"/>
    <w:rsid w:val="00CB58E8"/>
    <w:rsid w:val="00CC0BBC"/>
    <w:rsid w:val="00CC32FE"/>
    <w:rsid w:val="00D010C5"/>
    <w:rsid w:val="00D074D8"/>
    <w:rsid w:val="00D63B9B"/>
    <w:rsid w:val="00D747DE"/>
    <w:rsid w:val="00D75722"/>
    <w:rsid w:val="00D76E28"/>
    <w:rsid w:val="00D8705E"/>
    <w:rsid w:val="00D909B8"/>
    <w:rsid w:val="00DB7EDA"/>
    <w:rsid w:val="00DC1491"/>
    <w:rsid w:val="00DC16AF"/>
    <w:rsid w:val="00DC5DF7"/>
    <w:rsid w:val="00DD1E41"/>
    <w:rsid w:val="00DF1523"/>
    <w:rsid w:val="00E10561"/>
    <w:rsid w:val="00E2254F"/>
    <w:rsid w:val="00E47EF1"/>
    <w:rsid w:val="00E52C86"/>
    <w:rsid w:val="00E60691"/>
    <w:rsid w:val="00E60723"/>
    <w:rsid w:val="00E70985"/>
    <w:rsid w:val="00E721D7"/>
    <w:rsid w:val="00E7612C"/>
    <w:rsid w:val="00E774E9"/>
    <w:rsid w:val="00E81D11"/>
    <w:rsid w:val="00EA053C"/>
    <w:rsid w:val="00EC0B9E"/>
    <w:rsid w:val="00EC7FC1"/>
    <w:rsid w:val="00ED0620"/>
    <w:rsid w:val="00EE09D1"/>
    <w:rsid w:val="00EF0F44"/>
    <w:rsid w:val="00EF2130"/>
    <w:rsid w:val="00F047F8"/>
    <w:rsid w:val="00F258E6"/>
    <w:rsid w:val="00F3424B"/>
    <w:rsid w:val="00F707BB"/>
    <w:rsid w:val="00F73B96"/>
    <w:rsid w:val="00FE6911"/>
    <w:rsid w:val="00FE7B8B"/>
    <w:rsid w:val="00FF59D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271E1E-F492-4A35-8D37-61CDE3801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semiHidden/>
    <w:unhideWhenUsed/>
    <w:rsid w:val="000C719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C7190"/>
    <w:rPr>
      <w:sz w:val="20"/>
      <w:szCs w:val="20"/>
    </w:rPr>
  </w:style>
  <w:style w:type="character" w:styleId="Appelnotedebasdep">
    <w:name w:val="footnote reference"/>
    <w:basedOn w:val="Policepardfaut"/>
    <w:semiHidden/>
    <w:unhideWhenUsed/>
    <w:rsid w:val="000C7190"/>
    <w:rPr>
      <w:vertAlign w:val="superscript"/>
    </w:rPr>
  </w:style>
  <w:style w:type="paragraph" w:styleId="En-tte">
    <w:name w:val="header"/>
    <w:basedOn w:val="Normal"/>
    <w:link w:val="En-tteCar"/>
    <w:uiPriority w:val="99"/>
    <w:unhideWhenUsed/>
    <w:rsid w:val="00662087"/>
    <w:pPr>
      <w:tabs>
        <w:tab w:val="center" w:pos="4536"/>
        <w:tab w:val="right" w:pos="9072"/>
      </w:tabs>
      <w:spacing w:after="0" w:line="240" w:lineRule="auto"/>
    </w:pPr>
  </w:style>
  <w:style w:type="character" w:customStyle="1" w:styleId="En-tteCar">
    <w:name w:val="En-tête Car"/>
    <w:basedOn w:val="Policepardfaut"/>
    <w:link w:val="En-tte"/>
    <w:uiPriority w:val="99"/>
    <w:rsid w:val="00662087"/>
  </w:style>
  <w:style w:type="paragraph" w:styleId="Pieddepage">
    <w:name w:val="footer"/>
    <w:basedOn w:val="Normal"/>
    <w:link w:val="PieddepageCar"/>
    <w:uiPriority w:val="99"/>
    <w:unhideWhenUsed/>
    <w:rsid w:val="0066208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62087"/>
  </w:style>
  <w:style w:type="character" w:customStyle="1" w:styleId="apple-converted-space">
    <w:name w:val="apple-converted-space"/>
    <w:basedOn w:val="Policepardfaut"/>
    <w:rsid w:val="00662087"/>
  </w:style>
  <w:style w:type="character" w:styleId="Accentuation">
    <w:name w:val="Emphasis"/>
    <w:basedOn w:val="Policepardfaut"/>
    <w:uiPriority w:val="20"/>
    <w:qFormat/>
    <w:rsid w:val="00662087"/>
    <w:rPr>
      <w:i/>
      <w:iCs/>
    </w:rPr>
  </w:style>
  <w:style w:type="character" w:styleId="Lienhypertexte">
    <w:name w:val="Hyperlink"/>
    <w:basedOn w:val="Policepardfaut"/>
    <w:uiPriority w:val="99"/>
    <w:unhideWhenUsed/>
    <w:rsid w:val="009634DD"/>
    <w:rPr>
      <w:color w:val="0563C1" w:themeColor="hyperlink"/>
      <w:u w:val="single"/>
    </w:rPr>
  </w:style>
  <w:style w:type="character" w:customStyle="1" w:styleId="lang-ru">
    <w:name w:val="lang-ru"/>
    <w:basedOn w:val="Policepardfaut"/>
    <w:rsid w:val="004C347D"/>
  </w:style>
  <w:style w:type="character" w:customStyle="1" w:styleId="lang-be">
    <w:name w:val="lang-be"/>
    <w:basedOn w:val="Policepardfaut"/>
    <w:rsid w:val="004C347D"/>
  </w:style>
  <w:style w:type="character" w:customStyle="1" w:styleId="lang-kk">
    <w:name w:val="lang-kk"/>
    <w:basedOn w:val="Policepardfaut"/>
    <w:rsid w:val="004C347D"/>
  </w:style>
  <w:style w:type="paragraph" w:styleId="Paragraphedeliste">
    <w:name w:val="List Paragraph"/>
    <w:basedOn w:val="Normal"/>
    <w:uiPriority w:val="34"/>
    <w:qFormat/>
    <w:rsid w:val="001E52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6265207">
      <w:bodyDiv w:val="1"/>
      <w:marLeft w:val="0"/>
      <w:marRight w:val="0"/>
      <w:marTop w:val="0"/>
      <w:marBottom w:val="0"/>
      <w:divBdr>
        <w:top w:val="none" w:sz="0" w:space="0" w:color="auto"/>
        <w:left w:val="none" w:sz="0" w:space="0" w:color="auto"/>
        <w:bottom w:val="none" w:sz="0" w:space="0" w:color="auto"/>
        <w:right w:val="none" w:sz="0" w:space="0" w:color="auto"/>
      </w:divBdr>
    </w:div>
    <w:div w:id="2068718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wto.org/french/tratop_f/dispu_f/cases_f/ds485_f.htm" TargetMode="External"/><Relationship Id="rId2" Type="http://schemas.openxmlformats.org/officeDocument/2006/relationships/hyperlink" Target="https://fr.wikipedia.org/wiki/Kazakh" TargetMode="External"/><Relationship Id="rId1" Type="http://schemas.openxmlformats.org/officeDocument/2006/relationships/hyperlink" Target="https://fr.wikipedia.org/wiki/Bi%C3%A9lorusse" TargetMode="External"/><Relationship Id="rId4" Type="http://schemas.openxmlformats.org/officeDocument/2006/relationships/hyperlink" Target="https://www.wto.org/french/tratop_f/dispu_f/cases_f/ds462_f.ht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jean-christophe\acad%202016-9-13\academique-recherche\UEE%20Outre%20terre%2048.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Classeur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D:\jean-christophe\acad%202016-9-13\academique-recherche\globalisation\OT48%20union%20eurasienne\UEE%20Outre%20terre%2048.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a:t>PIB nominal 2015 </a:t>
            </a:r>
          </a:p>
          <a:p>
            <a:pPr>
              <a:defRPr/>
            </a:pPr>
            <a:r>
              <a:rPr lang="fr-BE" sz="1100"/>
              <a:t>(milliards de dollars courants</a:t>
            </a:r>
          </a:p>
          <a:p>
            <a:pPr>
              <a:defRPr/>
            </a:pPr>
            <a:r>
              <a:rPr lang="fr-BE" sz="1100"/>
              <a:t>source: Banque Mondiale data 2015)</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Feuil1!$E$47:$E$54</c:f>
              <c:strCache>
                <c:ptCount val="8"/>
                <c:pt idx="0">
                  <c:v>UEE 2016</c:v>
                </c:pt>
                <c:pt idx="1">
                  <c:v>UEE élargissement  maximal</c:v>
                </c:pt>
                <c:pt idx="2">
                  <c:v>USA</c:v>
                </c:pt>
                <c:pt idx="3">
                  <c:v>Union Européenne</c:v>
                </c:pt>
                <c:pt idx="4">
                  <c:v>Chine</c:v>
                </c:pt>
                <c:pt idx="5">
                  <c:v>Japon</c:v>
                </c:pt>
                <c:pt idx="6">
                  <c:v>Brésil</c:v>
                </c:pt>
                <c:pt idx="7">
                  <c:v>France</c:v>
                </c:pt>
              </c:strCache>
            </c:strRef>
          </c:cat>
          <c:val>
            <c:numRef>
              <c:f>Feuil1!$F$47:$F$54</c:f>
              <c:numCache>
                <c:formatCode>General</c:formatCode>
                <c:ptCount val="8"/>
                <c:pt idx="0">
                  <c:v>1569.7760000000001</c:v>
                </c:pt>
                <c:pt idx="1">
                  <c:v>1855.683</c:v>
                </c:pt>
                <c:pt idx="2">
                  <c:v>17946.995999999999</c:v>
                </c:pt>
                <c:pt idx="3">
                  <c:v>18518.43</c:v>
                </c:pt>
                <c:pt idx="4">
                  <c:v>10430.59</c:v>
                </c:pt>
                <c:pt idx="5">
                  <c:v>4602.4189999999999</c:v>
                </c:pt>
                <c:pt idx="6">
                  <c:v>2346.5230000000001</c:v>
                </c:pt>
                <c:pt idx="7">
                  <c:v>2829.192</c:v>
                </c:pt>
              </c:numCache>
            </c:numRef>
          </c:val>
        </c:ser>
        <c:dLbls>
          <c:showLegendKey val="0"/>
          <c:showVal val="0"/>
          <c:showCatName val="0"/>
          <c:showSerName val="0"/>
          <c:showPercent val="0"/>
          <c:showBubbleSize val="0"/>
        </c:dLbls>
        <c:gapWidth val="219"/>
        <c:overlap val="-27"/>
        <c:axId val="224668720"/>
        <c:axId val="224669112"/>
      </c:barChart>
      <c:catAx>
        <c:axId val="224668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669112"/>
        <c:crosses val="autoZero"/>
        <c:auto val="1"/>
        <c:lblAlgn val="ctr"/>
        <c:lblOffset val="100"/>
        <c:noMultiLvlLbl val="0"/>
      </c:catAx>
      <c:valAx>
        <c:axId val="224669112"/>
        <c:scaling>
          <c:orientation val="minMax"/>
          <c:max val="2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668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fr-BE" sz="1000"/>
              <a:t>Exportations</a:t>
            </a:r>
            <a:r>
              <a:rPr lang="fr-BE" sz="1000" baseline="0"/>
              <a:t> Russie 1999-2014 </a:t>
            </a:r>
          </a:p>
          <a:p>
            <a:pPr>
              <a:defRPr sz="1000"/>
            </a:pPr>
            <a:r>
              <a:rPr lang="fr-BE" sz="1000" baseline="0"/>
              <a:t>par destination (en %)</a:t>
            </a:r>
            <a:endParaRPr lang="fr-BE" sz="1000"/>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'commerce russie'!$A$28</c:f>
              <c:strCache>
                <c:ptCount val="1"/>
                <c:pt idx="0">
                  <c:v>Biélorussie</c:v>
                </c:pt>
              </c:strCache>
            </c:strRef>
          </c:tx>
          <c:spPr>
            <a:ln w="28575" cap="rnd">
              <a:solidFill>
                <a:schemeClr val="accent1"/>
              </a:solidFill>
              <a:round/>
            </a:ln>
            <a:effectLst/>
          </c:spPr>
          <c:marker>
            <c:symbol val="none"/>
          </c:marker>
          <c:cat>
            <c:numRef>
              <c:f>'commerce russie'!$B$27:$G$27</c:f>
              <c:numCache>
                <c:formatCode>General</c:formatCode>
                <c:ptCount val="6"/>
                <c:pt idx="0">
                  <c:v>1999</c:v>
                </c:pt>
                <c:pt idx="1">
                  <c:v>2002</c:v>
                </c:pt>
                <c:pt idx="2">
                  <c:v>2005</c:v>
                </c:pt>
                <c:pt idx="3">
                  <c:v>2008</c:v>
                </c:pt>
                <c:pt idx="4">
                  <c:v>2011</c:v>
                </c:pt>
                <c:pt idx="5">
                  <c:v>2014</c:v>
                </c:pt>
              </c:numCache>
            </c:numRef>
          </c:cat>
          <c:val>
            <c:numRef>
              <c:f>'commerce russie'!$B$28:$G$28</c:f>
              <c:numCache>
                <c:formatCode>General</c:formatCode>
                <c:ptCount val="6"/>
                <c:pt idx="0">
                  <c:v>4.4000000000000004</c:v>
                </c:pt>
                <c:pt idx="1">
                  <c:v>5.0999999999999996</c:v>
                </c:pt>
                <c:pt idx="2">
                  <c:v>4</c:v>
                </c:pt>
                <c:pt idx="3">
                  <c:v>5.2</c:v>
                </c:pt>
                <c:pt idx="4">
                  <c:v>4.8</c:v>
                </c:pt>
                <c:pt idx="5">
                  <c:v>3.3</c:v>
                </c:pt>
              </c:numCache>
            </c:numRef>
          </c:val>
          <c:smooth val="0"/>
        </c:ser>
        <c:ser>
          <c:idx val="1"/>
          <c:order val="1"/>
          <c:tx>
            <c:strRef>
              <c:f>'commerce russie'!$A$29</c:f>
              <c:strCache>
                <c:ptCount val="1"/>
                <c:pt idx="0">
                  <c:v>Kazakhstan</c:v>
                </c:pt>
              </c:strCache>
            </c:strRef>
          </c:tx>
          <c:spPr>
            <a:ln w="28575" cap="rnd">
              <a:solidFill>
                <a:schemeClr val="accent2"/>
              </a:solidFill>
              <a:round/>
            </a:ln>
            <a:effectLst/>
          </c:spPr>
          <c:marker>
            <c:symbol val="none"/>
          </c:marker>
          <c:cat>
            <c:numRef>
              <c:f>'commerce russie'!$B$27:$G$27</c:f>
              <c:numCache>
                <c:formatCode>General</c:formatCode>
                <c:ptCount val="6"/>
                <c:pt idx="0">
                  <c:v>1999</c:v>
                </c:pt>
                <c:pt idx="1">
                  <c:v>2002</c:v>
                </c:pt>
                <c:pt idx="2">
                  <c:v>2005</c:v>
                </c:pt>
                <c:pt idx="3">
                  <c:v>2008</c:v>
                </c:pt>
                <c:pt idx="4">
                  <c:v>2011</c:v>
                </c:pt>
                <c:pt idx="5">
                  <c:v>2014</c:v>
                </c:pt>
              </c:numCache>
            </c:numRef>
          </c:cat>
          <c:val>
            <c:numRef>
              <c:f>'commerce russie'!$B$29:$G$29</c:f>
              <c:numCache>
                <c:formatCode>General</c:formatCode>
                <c:ptCount val="6"/>
                <c:pt idx="0">
                  <c:v>1.8</c:v>
                </c:pt>
                <c:pt idx="1">
                  <c:v>2.2000000000000002</c:v>
                </c:pt>
                <c:pt idx="2">
                  <c:v>2.6</c:v>
                </c:pt>
                <c:pt idx="3">
                  <c:v>3</c:v>
                </c:pt>
                <c:pt idx="4">
                  <c:v>2.7</c:v>
                </c:pt>
                <c:pt idx="5">
                  <c:v>2.5</c:v>
                </c:pt>
              </c:numCache>
            </c:numRef>
          </c:val>
          <c:smooth val="0"/>
        </c:ser>
        <c:ser>
          <c:idx val="2"/>
          <c:order val="2"/>
          <c:tx>
            <c:strRef>
              <c:f>'commerce russie'!$A$30</c:f>
              <c:strCache>
                <c:ptCount val="1"/>
                <c:pt idx="0">
                  <c:v>Kirghizstan</c:v>
                </c:pt>
              </c:strCache>
            </c:strRef>
          </c:tx>
          <c:spPr>
            <a:ln w="28575" cap="rnd">
              <a:solidFill>
                <a:schemeClr val="accent3"/>
              </a:solidFill>
              <a:round/>
            </a:ln>
            <a:effectLst/>
          </c:spPr>
          <c:marker>
            <c:symbol val="none"/>
          </c:marker>
          <c:cat>
            <c:numRef>
              <c:f>'commerce russie'!$B$27:$G$27</c:f>
              <c:numCache>
                <c:formatCode>General</c:formatCode>
                <c:ptCount val="6"/>
                <c:pt idx="0">
                  <c:v>1999</c:v>
                </c:pt>
                <c:pt idx="1">
                  <c:v>2002</c:v>
                </c:pt>
                <c:pt idx="2">
                  <c:v>2005</c:v>
                </c:pt>
                <c:pt idx="3">
                  <c:v>2008</c:v>
                </c:pt>
                <c:pt idx="4">
                  <c:v>2011</c:v>
                </c:pt>
                <c:pt idx="5">
                  <c:v>2014</c:v>
                </c:pt>
              </c:numCache>
            </c:numRef>
          </c:cat>
          <c:val>
            <c:numRef>
              <c:f>'commerce russie'!$B$30:$G$30</c:f>
              <c:numCache>
                <c:formatCode>General</c:formatCode>
                <c:ptCount val="6"/>
                <c:pt idx="0">
                  <c:v>0.11</c:v>
                </c:pt>
                <c:pt idx="1">
                  <c:v>9.8000000000000004E-2</c:v>
                </c:pt>
                <c:pt idx="2">
                  <c:v>0.15</c:v>
                </c:pt>
                <c:pt idx="3">
                  <c:v>0.32</c:v>
                </c:pt>
                <c:pt idx="4">
                  <c:v>0.11</c:v>
                </c:pt>
                <c:pt idx="5">
                  <c:v>0.15</c:v>
                </c:pt>
              </c:numCache>
            </c:numRef>
          </c:val>
          <c:smooth val="0"/>
        </c:ser>
        <c:ser>
          <c:idx val="3"/>
          <c:order val="3"/>
          <c:tx>
            <c:strRef>
              <c:f>'commerce russie'!$A$31</c:f>
              <c:strCache>
                <c:ptCount val="1"/>
                <c:pt idx="0">
                  <c:v>Armenie</c:v>
                </c:pt>
              </c:strCache>
            </c:strRef>
          </c:tx>
          <c:spPr>
            <a:ln w="28575" cap="rnd">
              <a:solidFill>
                <a:schemeClr val="accent4"/>
              </a:solidFill>
              <a:round/>
            </a:ln>
            <a:effectLst/>
          </c:spPr>
          <c:marker>
            <c:symbol val="none"/>
          </c:marker>
          <c:cat>
            <c:numRef>
              <c:f>'commerce russie'!$B$27:$G$27</c:f>
              <c:numCache>
                <c:formatCode>General</c:formatCode>
                <c:ptCount val="6"/>
                <c:pt idx="0">
                  <c:v>1999</c:v>
                </c:pt>
                <c:pt idx="1">
                  <c:v>2002</c:v>
                </c:pt>
                <c:pt idx="2">
                  <c:v>2005</c:v>
                </c:pt>
                <c:pt idx="3">
                  <c:v>2008</c:v>
                </c:pt>
                <c:pt idx="4">
                  <c:v>2011</c:v>
                </c:pt>
                <c:pt idx="5">
                  <c:v>2014</c:v>
                </c:pt>
              </c:numCache>
            </c:numRef>
          </c:cat>
          <c:val>
            <c:numRef>
              <c:f>'commerce russie'!$B$31:$G$31</c:f>
              <c:numCache>
                <c:formatCode>General</c:formatCode>
                <c:ptCount val="6"/>
                <c:pt idx="0">
                  <c:v>7.2999999999999995E-2</c:v>
                </c:pt>
                <c:pt idx="1">
                  <c:v>8.8999999999999996E-2</c:v>
                </c:pt>
                <c:pt idx="2">
                  <c:v>8.2000000000000003E-2</c:v>
                </c:pt>
                <c:pt idx="3">
                  <c:v>0.19</c:v>
                </c:pt>
                <c:pt idx="4">
                  <c:v>8.3000000000000004E-2</c:v>
                </c:pt>
                <c:pt idx="5">
                  <c:v>7.8E-2</c:v>
                </c:pt>
              </c:numCache>
            </c:numRef>
          </c:val>
          <c:smooth val="0"/>
        </c:ser>
        <c:ser>
          <c:idx val="4"/>
          <c:order val="4"/>
          <c:tx>
            <c:strRef>
              <c:f>'commerce russie'!$A$32</c:f>
              <c:strCache>
                <c:ptCount val="1"/>
                <c:pt idx="0">
                  <c:v>Union Européenne</c:v>
                </c:pt>
              </c:strCache>
            </c:strRef>
          </c:tx>
          <c:spPr>
            <a:ln w="28575" cap="rnd">
              <a:solidFill>
                <a:schemeClr val="accent5"/>
              </a:solidFill>
              <a:round/>
            </a:ln>
            <a:effectLst/>
          </c:spPr>
          <c:marker>
            <c:symbol val="none"/>
          </c:marker>
          <c:cat>
            <c:numRef>
              <c:f>'commerce russie'!$B$27:$G$27</c:f>
              <c:numCache>
                <c:formatCode>General</c:formatCode>
                <c:ptCount val="6"/>
                <c:pt idx="0">
                  <c:v>1999</c:v>
                </c:pt>
                <c:pt idx="1">
                  <c:v>2002</c:v>
                </c:pt>
                <c:pt idx="2">
                  <c:v>2005</c:v>
                </c:pt>
                <c:pt idx="3">
                  <c:v>2008</c:v>
                </c:pt>
                <c:pt idx="4">
                  <c:v>2011</c:v>
                </c:pt>
                <c:pt idx="5">
                  <c:v>2014</c:v>
                </c:pt>
              </c:numCache>
            </c:numRef>
          </c:cat>
          <c:val>
            <c:numRef>
              <c:f>'commerce russie'!$B$32:$G$32</c:f>
              <c:numCache>
                <c:formatCode>General</c:formatCode>
                <c:ptCount val="6"/>
                <c:pt idx="0">
                  <c:v>45.5</c:v>
                </c:pt>
                <c:pt idx="1">
                  <c:v>50.46</c:v>
                </c:pt>
                <c:pt idx="2">
                  <c:v>50</c:v>
                </c:pt>
                <c:pt idx="3">
                  <c:v>50.82</c:v>
                </c:pt>
                <c:pt idx="4">
                  <c:v>33</c:v>
                </c:pt>
                <c:pt idx="5">
                  <c:v>32.4</c:v>
                </c:pt>
              </c:numCache>
            </c:numRef>
          </c:val>
          <c:smooth val="0"/>
        </c:ser>
        <c:ser>
          <c:idx val="5"/>
          <c:order val="5"/>
          <c:tx>
            <c:strRef>
              <c:f>'commerce russie'!$A$33</c:f>
              <c:strCache>
                <c:ptCount val="1"/>
                <c:pt idx="0">
                  <c:v>Chine</c:v>
                </c:pt>
              </c:strCache>
            </c:strRef>
          </c:tx>
          <c:spPr>
            <a:ln w="28575" cap="rnd">
              <a:solidFill>
                <a:schemeClr val="accent6"/>
              </a:solidFill>
              <a:round/>
            </a:ln>
            <a:effectLst/>
          </c:spPr>
          <c:marker>
            <c:symbol val="none"/>
          </c:marker>
          <c:cat>
            <c:numRef>
              <c:f>'commerce russie'!$B$27:$G$27</c:f>
              <c:numCache>
                <c:formatCode>General</c:formatCode>
                <c:ptCount val="6"/>
                <c:pt idx="0">
                  <c:v>1999</c:v>
                </c:pt>
                <c:pt idx="1">
                  <c:v>2002</c:v>
                </c:pt>
                <c:pt idx="2">
                  <c:v>2005</c:v>
                </c:pt>
                <c:pt idx="3">
                  <c:v>2008</c:v>
                </c:pt>
                <c:pt idx="4">
                  <c:v>2011</c:v>
                </c:pt>
                <c:pt idx="5">
                  <c:v>2014</c:v>
                </c:pt>
              </c:numCache>
            </c:numRef>
          </c:cat>
          <c:val>
            <c:numRef>
              <c:f>'commerce russie'!$B$33:$G$33</c:f>
              <c:numCache>
                <c:formatCode>General</c:formatCode>
                <c:ptCount val="6"/>
                <c:pt idx="0">
                  <c:v>5.4</c:v>
                </c:pt>
                <c:pt idx="1">
                  <c:v>7.3</c:v>
                </c:pt>
                <c:pt idx="2">
                  <c:v>6.3</c:v>
                </c:pt>
                <c:pt idx="3">
                  <c:v>5.2</c:v>
                </c:pt>
                <c:pt idx="4">
                  <c:v>5.8</c:v>
                </c:pt>
                <c:pt idx="5">
                  <c:v>6.8</c:v>
                </c:pt>
              </c:numCache>
            </c:numRef>
          </c:val>
          <c:smooth val="0"/>
        </c:ser>
        <c:ser>
          <c:idx val="6"/>
          <c:order val="6"/>
          <c:tx>
            <c:strRef>
              <c:f>'commerce russie'!$A$34</c:f>
              <c:strCache>
                <c:ptCount val="1"/>
                <c:pt idx="0">
                  <c:v>Turquie</c:v>
                </c:pt>
              </c:strCache>
            </c:strRef>
          </c:tx>
          <c:spPr>
            <a:ln w="28575" cap="rnd">
              <a:solidFill>
                <a:schemeClr val="accent1">
                  <a:lumMod val="60000"/>
                </a:schemeClr>
              </a:solidFill>
              <a:round/>
            </a:ln>
            <a:effectLst/>
          </c:spPr>
          <c:marker>
            <c:symbol val="none"/>
          </c:marker>
          <c:val>
            <c:numRef>
              <c:f>'commerce russie'!$B$34:$G$34</c:f>
              <c:numCache>
                <c:formatCode>General</c:formatCode>
                <c:ptCount val="6"/>
                <c:pt idx="0">
                  <c:v>2.8</c:v>
                </c:pt>
                <c:pt idx="1">
                  <c:v>3.3</c:v>
                </c:pt>
                <c:pt idx="2">
                  <c:v>5</c:v>
                </c:pt>
                <c:pt idx="3">
                  <c:v>6.8</c:v>
                </c:pt>
                <c:pt idx="4">
                  <c:v>1.8</c:v>
                </c:pt>
                <c:pt idx="5">
                  <c:v>2.1</c:v>
                </c:pt>
              </c:numCache>
            </c:numRef>
          </c:val>
          <c:smooth val="0"/>
        </c:ser>
        <c:ser>
          <c:idx val="7"/>
          <c:order val="7"/>
          <c:tx>
            <c:strRef>
              <c:f>'commerce russie'!$A$35</c:f>
              <c:strCache>
                <c:ptCount val="1"/>
                <c:pt idx="0">
                  <c:v>Ukraine</c:v>
                </c:pt>
              </c:strCache>
            </c:strRef>
          </c:tx>
          <c:spPr>
            <a:ln w="28575" cap="rnd">
              <a:solidFill>
                <a:schemeClr val="accent2">
                  <a:lumMod val="60000"/>
                </a:schemeClr>
              </a:solidFill>
              <a:round/>
            </a:ln>
            <a:effectLst/>
          </c:spPr>
          <c:marker>
            <c:symbol val="none"/>
          </c:marker>
          <c:val>
            <c:numRef>
              <c:f>'commerce russie'!$B$35:$G$35</c:f>
              <c:numCache>
                <c:formatCode>General</c:formatCode>
                <c:ptCount val="6"/>
                <c:pt idx="0">
                  <c:v>6.5</c:v>
                </c:pt>
                <c:pt idx="1">
                  <c:v>5.5</c:v>
                </c:pt>
                <c:pt idx="2">
                  <c:v>5.0999999999999996</c:v>
                </c:pt>
                <c:pt idx="3">
                  <c:v>4.3</c:v>
                </c:pt>
                <c:pt idx="4">
                  <c:v>2.9</c:v>
                </c:pt>
                <c:pt idx="5">
                  <c:v>1.6</c:v>
                </c:pt>
              </c:numCache>
            </c:numRef>
          </c:val>
          <c:smooth val="0"/>
        </c:ser>
        <c:ser>
          <c:idx val="8"/>
          <c:order val="8"/>
          <c:tx>
            <c:strRef>
              <c:f>'commerce russie'!$A$36</c:f>
              <c:strCache>
                <c:ptCount val="1"/>
                <c:pt idx="0">
                  <c:v>Tadjikistan</c:v>
                </c:pt>
              </c:strCache>
            </c:strRef>
          </c:tx>
          <c:spPr>
            <a:ln w="28575" cap="rnd">
              <a:solidFill>
                <a:schemeClr val="accent3">
                  <a:lumMod val="60000"/>
                </a:schemeClr>
              </a:solidFill>
              <a:round/>
            </a:ln>
            <a:effectLst/>
          </c:spPr>
          <c:marker>
            <c:symbol val="none"/>
          </c:marker>
          <c:val>
            <c:numRef>
              <c:f>'commerce russie'!$B$36:$G$36</c:f>
              <c:numCache>
                <c:formatCode>General</c:formatCode>
                <c:ptCount val="6"/>
                <c:pt idx="0">
                  <c:v>8.5000000000000006E-2</c:v>
                </c:pt>
                <c:pt idx="1">
                  <c:v>0.1</c:v>
                </c:pt>
                <c:pt idx="2">
                  <c:v>0.1</c:v>
                </c:pt>
                <c:pt idx="3">
                  <c:v>0.19</c:v>
                </c:pt>
                <c:pt idx="4">
                  <c:v>8.8999999999999996E-2</c:v>
                </c:pt>
                <c:pt idx="5">
                  <c:v>0.11</c:v>
                </c:pt>
              </c:numCache>
            </c:numRef>
          </c:val>
          <c:smooth val="0"/>
        </c:ser>
        <c:ser>
          <c:idx val="9"/>
          <c:order val="9"/>
          <c:tx>
            <c:strRef>
              <c:f>'commerce russie'!$A$37</c:f>
              <c:strCache>
                <c:ptCount val="1"/>
                <c:pt idx="0">
                  <c:v>UEE</c:v>
                </c:pt>
              </c:strCache>
            </c:strRef>
          </c:tx>
          <c:spPr>
            <a:ln w="28575" cap="rnd">
              <a:solidFill>
                <a:schemeClr val="accent4">
                  <a:lumMod val="60000"/>
                </a:schemeClr>
              </a:solidFill>
              <a:round/>
            </a:ln>
            <a:effectLst/>
          </c:spPr>
          <c:marker>
            <c:symbol val="none"/>
          </c:marker>
          <c:val>
            <c:numRef>
              <c:f>'commerce russie'!$B$37:$G$37</c:f>
              <c:numCache>
                <c:formatCode>General</c:formatCode>
                <c:ptCount val="6"/>
                <c:pt idx="0">
                  <c:v>6.3830000000000009</c:v>
                </c:pt>
                <c:pt idx="1">
                  <c:v>7.4870000000000001</c:v>
                </c:pt>
                <c:pt idx="2">
                  <c:v>6.8319999999999999</c:v>
                </c:pt>
                <c:pt idx="3">
                  <c:v>8.7099999999999991</c:v>
                </c:pt>
                <c:pt idx="4">
                  <c:v>7.6930000000000005</c:v>
                </c:pt>
                <c:pt idx="5">
                  <c:v>6.0280000000000005</c:v>
                </c:pt>
              </c:numCache>
            </c:numRef>
          </c:val>
          <c:smooth val="0"/>
        </c:ser>
        <c:dLbls>
          <c:showLegendKey val="0"/>
          <c:showVal val="0"/>
          <c:showCatName val="0"/>
          <c:showSerName val="0"/>
          <c:showPercent val="0"/>
          <c:showBubbleSize val="0"/>
        </c:dLbls>
        <c:smooth val="0"/>
        <c:axId val="431130528"/>
        <c:axId val="431130920"/>
      </c:lineChart>
      <c:catAx>
        <c:axId val="431130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130920"/>
        <c:crosses val="autoZero"/>
        <c:auto val="1"/>
        <c:lblAlgn val="ctr"/>
        <c:lblOffset val="100"/>
        <c:noMultiLvlLbl val="0"/>
      </c:catAx>
      <c:valAx>
        <c:axId val="431130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130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US" sz="1000" b="0" i="0" baseline="0">
                <a:effectLst/>
              </a:rPr>
              <a:t>Origine des importations de la Biélorussie (en %)</a:t>
            </a:r>
            <a:endParaRPr lang="fr-BE" sz="1000">
              <a:effectLst/>
            </a:endParaRPr>
          </a:p>
          <a:p>
            <a:pPr>
              <a:defRPr sz="1000"/>
            </a:pPr>
            <a:r>
              <a:rPr lang="en-US" sz="1000" b="0" i="0" baseline="0">
                <a:effectLst/>
              </a:rPr>
              <a:t>(1999-2008-2014) </a:t>
            </a:r>
            <a:endParaRPr lang="fr-BE" sz="1000">
              <a:effectLst/>
            </a:endParaRP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v>1999</c:v>
          </c:tx>
          <c:spPr>
            <a:solidFill>
              <a:schemeClr val="accent1"/>
            </a:solidFill>
            <a:ln>
              <a:noFill/>
            </a:ln>
            <a:effectLst/>
          </c:spPr>
          <c:invertIfNegative val="0"/>
          <c:cat>
            <c:strRef>
              <c:f>'commerce biélorussie'!$A$17:$A$26</c:f>
              <c:strCache>
                <c:ptCount val="10"/>
                <c:pt idx="0">
                  <c:v>Russie</c:v>
                </c:pt>
                <c:pt idx="1">
                  <c:v>Kazakhstan</c:v>
                </c:pt>
                <c:pt idx="2">
                  <c:v>Kirghizstan</c:v>
                </c:pt>
                <c:pt idx="3">
                  <c:v>Armenie</c:v>
                </c:pt>
                <c:pt idx="4">
                  <c:v>Union Européenne</c:v>
                </c:pt>
                <c:pt idx="5">
                  <c:v>Chine</c:v>
                </c:pt>
                <c:pt idx="6">
                  <c:v>Brazil</c:v>
                </c:pt>
                <c:pt idx="7">
                  <c:v>Ukraine</c:v>
                </c:pt>
                <c:pt idx="8">
                  <c:v>Tadjikistan</c:v>
                </c:pt>
                <c:pt idx="9">
                  <c:v>UEE</c:v>
                </c:pt>
              </c:strCache>
            </c:strRef>
          </c:cat>
          <c:val>
            <c:numRef>
              <c:f>'commerce biélorussie'!$B$17:$B$26</c:f>
              <c:numCache>
                <c:formatCode>General</c:formatCode>
                <c:ptCount val="10"/>
                <c:pt idx="0">
                  <c:v>56</c:v>
                </c:pt>
                <c:pt idx="1">
                  <c:v>0.73</c:v>
                </c:pt>
                <c:pt idx="2">
                  <c:v>8.8999999999999996E-2</c:v>
                </c:pt>
                <c:pt idx="3">
                  <c:v>0</c:v>
                </c:pt>
                <c:pt idx="4">
                  <c:v>22</c:v>
                </c:pt>
                <c:pt idx="5">
                  <c:v>0.41</c:v>
                </c:pt>
                <c:pt idx="6">
                  <c:v>0.85</c:v>
                </c:pt>
                <c:pt idx="7">
                  <c:v>6.8</c:v>
                </c:pt>
                <c:pt idx="8">
                  <c:v>0</c:v>
                </c:pt>
                <c:pt idx="9">
                  <c:v>56.818999999999996</c:v>
                </c:pt>
              </c:numCache>
            </c:numRef>
          </c:val>
        </c:ser>
        <c:ser>
          <c:idx val="1"/>
          <c:order val="1"/>
          <c:tx>
            <c:v>2008</c:v>
          </c:tx>
          <c:spPr>
            <a:solidFill>
              <a:schemeClr val="accent2"/>
            </a:solidFill>
            <a:ln>
              <a:noFill/>
            </a:ln>
            <a:effectLst/>
          </c:spPr>
          <c:invertIfNegative val="0"/>
          <c:cat>
            <c:strRef>
              <c:f>'commerce biélorussie'!$A$17:$A$26</c:f>
              <c:strCache>
                <c:ptCount val="10"/>
                <c:pt idx="0">
                  <c:v>Russie</c:v>
                </c:pt>
                <c:pt idx="1">
                  <c:v>Kazakhstan</c:v>
                </c:pt>
                <c:pt idx="2">
                  <c:v>Kirghizstan</c:v>
                </c:pt>
                <c:pt idx="3">
                  <c:v>Armenie</c:v>
                </c:pt>
                <c:pt idx="4">
                  <c:v>Union Européenne</c:v>
                </c:pt>
                <c:pt idx="5">
                  <c:v>Chine</c:v>
                </c:pt>
                <c:pt idx="6">
                  <c:v>Brazil</c:v>
                </c:pt>
                <c:pt idx="7">
                  <c:v>Ukraine</c:v>
                </c:pt>
                <c:pt idx="8">
                  <c:v>Tadjikistan</c:v>
                </c:pt>
                <c:pt idx="9">
                  <c:v>UEE</c:v>
                </c:pt>
              </c:strCache>
            </c:strRef>
          </c:cat>
          <c:val>
            <c:numRef>
              <c:f>'commerce biélorussie'!$C$17:$C$26</c:f>
              <c:numCache>
                <c:formatCode>General</c:formatCode>
                <c:ptCount val="10"/>
                <c:pt idx="0">
                  <c:v>42</c:v>
                </c:pt>
                <c:pt idx="1">
                  <c:v>1.5</c:v>
                </c:pt>
                <c:pt idx="2">
                  <c:v>0.17</c:v>
                </c:pt>
                <c:pt idx="3">
                  <c:v>0.11</c:v>
                </c:pt>
                <c:pt idx="4">
                  <c:v>29</c:v>
                </c:pt>
                <c:pt idx="5">
                  <c:v>1.9</c:v>
                </c:pt>
                <c:pt idx="6">
                  <c:v>4.8</c:v>
                </c:pt>
                <c:pt idx="7">
                  <c:v>11</c:v>
                </c:pt>
                <c:pt idx="8">
                  <c:v>0</c:v>
                </c:pt>
                <c:pt idx="9">
                  <c:v>43.78</c:v>
                </c:pt>
              </c:numCache>
            </c:numRef>
          </c:val>
        </c:ser>
        <c:ser>
          <c:idx val="2"/>
          <c:order val="2"/>
          <c:tx>
            <c:v>2014</c:v>
          </c:tx>
          <c:spPr>
            <a:solidFill>
              <a:schemeClr val="accent3"/>
            </a:solidFill>
            <a:ln>
              <a:noFill/>
            </a:ln>
            <a:effectLst/>
          </c:spPr>
          <c:invertIfNegative val="0"/>
          <c:cat>
            <c:strRef>
              <c:f>'commerce biélorussie'!$A$17:$A$26</c:f>
              <c:strCache>
                <c:ptCount val="10"/>
                <c:pt idx="0">
                  <c:v>Russie</c:v>
                </c:pt>
                <c:pt idx="1">
                  <c:v>Kazakhstan</c:v>
                </c:pt>
                <c:pt idx="2">
                  <c:v>Kirghizstan</c:v>
                </c:pt>
                <c:pt idx="3">
                  <c:v>Armenie</c:v>
                </c:pt>
                <c:pt idx="4">
                  <c:v>Union Européenne</c:v>
                </c:pt>
                <c:pt idx="5">
                  <c:v>Chine</c:v>
                </c:pt>
                <c:pt idx="6">
                  <c:v>Brazil</c:v>
                </c:pt>
                <c:pt idx="7">
                  <c:v>Ukraine</c:v>
                </c:pt>
                <c:pt idx="8">
                  <c:v>Tadjikistan</c:v>
                </c:pt>
                <c:pt idx="9">
                  <c:v>UEE</c:v>
                </c:pt>
              </c:strCache>
            </c:strRef>
          </c:cat>
          <c:val>
            <c:numRef>
              <c:f>'commerce biélorussie'!$D$17:$D$26</c:f>
              <c:numCache>
                <c:formatCode>General</c:formatCode>
                <c:ptCount val="10"/>
                <c:pt idx="0">
                  <c:v>39</c:v>
                </c:pt>
                <c:pt idx="1">
                  <c:v>2.2000000000000002</c:v>
                </c:pt>
                <c:pt idx="2">
                  <c:v>0.25</c:v>
                </c:pt>
                <c:pt idx="3">
                  <c:v>7.4999999999999997E-2</c:v>
                </c:pt>
                <c:pt idx="5">
                  <c:v>1.7</c:v>
                </c:pt>
                <c:pt idx="6">
                  <c:v>2</c:v>
                </c:pt>
                <c:pt idx="7">
                  <c:v>2.5</c:v>
                </c:pt>
                <c:pt idx="8">
                  <c:v>8.4000000000000005E-2</c:v>
                </c:pt>
                <c:pt idx="9">
                  <c:v>41.525000000000006</c:v>
                </c:pt>
              </c:numCache>
            </c:numRef>
          </c:val>
        </c:ser>
        <c:dLbls>
          <c:showLegendKey val="0"/>
          <c:showVal val="0"/>
          <c:showCatName val="0"/>
          <c:showSerName val="0"/>
          <c:showPercent val="0"/>
          <c:showBubbleSize val="0"/>
        </c:dLbls>
        <c:gapWidth val="219"/>
        <c:overlap val="-27"/>
        <c:axId val="431131704"/>
        <c:axId val="428957304"/>
      </c:barChart>
      <c:catAx>
        <c:axId val="431131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8957304"/>
        <c:crosses val="autoZero"/>
        <c:auto val="1"/>
        <c:lblAlgn val="ctr"/>
        <c:lblOffset val="100"/>
        <c:noMultiLvlLbl val="0"/>
      </c:catAx>
      <c:valAx>
        <c:axId val="428957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131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fr-BE" sz="1000"/>
              <a:t>Origine des importations de la Russie</a:t>
            </a:r>
          </a:p>
          <a:p>
            <a:pPr>
              <a:defRPr sz="1000"/>
            </a:pPr>
            <a:r>
              <a:rPr lang="fr-BE" sz="1000"/>
              <a:t>1999-2014 (en %)</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'commerce russie'!$A$4</c:f>
              <c:strCache>
                <c:ptCount val="1"/>
                <c:pt idx="0">
                  <c:v>Biélorussie</c:v>
                </c:pt>
              </c:strCache>
            </c:strRef>
          </c:tx>
          <c:spPr>
            <a:ln w="28575" cap="rnd">
              <a:solidFill>
                <a:schemeClr val="accent1"/>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russie'!$B$4:$G$4</c:f>
              <c:numCache>
                <c:formatCode>General</c:formatCode>
                <c:ptCount val="6"/>
                <c:pt idx="0">
                  <c:v>10</c:v>
                </c:pt>
                <c:pt idx="1">
                  <c:v>8.6999999999999993</c:v>
                </c:pt>
                <c:pt idx="2">
                  <c:v>5.6</c:v>
                </c:pt>
                <c:pt idx="3">
                  <c:v>4</c:v>
                </c:pt>
                <c:pt idx="4">
                  <c:v>4.7</c:v>
                </c:pt>
                <c:pt idx="5">
                  <c:v>3.9</c:v>
                </c:pt>
              </c:numCache>
            </c:numRef>
          </c:val>
          <c:smooth val="0"/>
        </c:ser>
        <c:ser>
          <c:idx val="1"/>
          <c:order val="1"/>
          <c:tx>
            <c:strRef>
              <c:f>'commerce russie'!$A$5</c:f>
              <c:strCache>
                <c:ptCount val="1"/>
                <c:pt idx="0">
                  <c:v>Kazakhstan</c:v>
                </c:pt>
              </c:strCache>
            </c:strRef>
          </c:tx>
          <c:spPr>
            <a:ln w="28575" cap="rnd">
              <a:solidFill>
                <a:schemeClr val="accent2"/>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russie'!$B$5:$G$5</c:f>
              <c:numCache>
                <c:formatCode>General</c:formatCode>
                <c:ptCount val="6"/>
                <c:pt idx="0">
                  <c:v>4.5</c:v>
                </c:pt>
                <c:pt idx="1">
                  <c:v>3.7</c:v>
                </c:pt>
                <c:pt idx="2">
                  <c:v>3.1</c:v>
                </c:pt>
                <c:pt idx="3">
                  <c:v>2.2999999999999998</c:v>
                </c:pt>
                <c:pt idx="4">
                  <c:v>2.2999999999999998</c:v>
                </c:pt>
                <c:pt idx="5">
                  <c:v>2.5</c:v>
                </c:pt>
              </c:numCache>
            </c:numRef>
          </c:val>
          <c:smooth val="0"/>
        </c:ser>
        <c:ser>
          <c:idx val="2"/>
          <c:order val="2"/>
          <c:tx>
            <c:strRef>
              <c:f>'commerce russie'!$A$6</c:f>
              <c:strCache>
                <c:ptCount val="1"/>
                <c:pt idx="0">
                  <c:v>Kirghizstan</c:v>
                </c:pt>
              </c:strCache>
            </c:strRef>
          </c:tx>
          <c:spPr>
            <a:ln w="28575" cap="rnd">
              <a:solidFill>
                <a:schemeClr val="accent3"/>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russie'!$B$6:$G$6</c:f>
              <c:numCache>
                <c:formatCode>General</c:formatCode>
                <c:ptCount val="6"/>
                <c:pt idx="0">
                  <c:v>0.3</c:v>
                </c:pt>
                <c:pt idx="1">
                  <c:v>0.16</c:v>
                </c:pt>
                <c:pt idx="2">
                  <c:v>0.14000000000000001</c:v>
                </c:pt>
                <c:pt idx="3">
                  <c:v>0.18</c:v>
                </c:pt>
                <c:pt idx="4">
                  <c:v>9.5000000000000001E-2</c:v>
                </c:pt>
                <c:pt idx="5">
                  <c:v>2.5000000000000001E-2</c:v>
                </c:pt>
              </c:numCache>
            </c:numRef>
          </c:val>
          <c:smooth val="0"/>
        </c:ser>
        <c:ser>
          <c:idx val="3"/>
          <c:order val="3"/>
          <c:tx>
            <c:strRef>
              <c:f>'commerce russie'!$A$7</c:f>
              <c:strCache>
                <c:ptCount val="1"/>
                <c:pt idx="0">
                  <c:v>Armenie</c:v>
                </c:pt>
              </c:strCache>
            </c:strRef>
          </c:tx>
          <c:spPr>
            <a:ln w="28575" cap="rnd">
              <a:solidFill>
                <a:schemeClr val="accent4"/>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russie'!$B$7:$G$7</c:f>
              <c:numCache>
                <c:formatCode>General</c:formatCode>
                <c:ptCount val="6"/>
                <c:pt idx="0">
                  <c:v>8.7999999999999995E-2</c:v>
                </c:pt>
                <c:pt idx="1">
                  <c:v>0.12</c:v>
                </c:pt>
                <c:pt idx="2">
                  <c:v>0.05</c:v>
                </c:pt>
                <c:pt idx="3">
                  <c:v>7.0000000000000007E-2</c:v>
                </c:pt>
                <c:pt idx="4">
                  <c:v>0.06</c:v>
                </c:pt>
                <c:pt idx="5">
                  <c:v>0.11</c:v>
                </c:pt>
              </c:numCache>
            </c:numRef>
          </c:val>
          <c:smooth val="0"/>
        </c:ser>
        <c:ser>
          <c:idx val="4"/>
          <c:order val="4"/>
          <c:tx>
            <c:strRef>
              <c:f>'commerce russie'!$A$8</c:f>
              <c:strCache>
                <c:ptCount val="1"/>
                <c:pt idx="0">
                  <c:v>Union Européenne</c:v>
                </c:pt>
              </c:strCache>
            </c:strRef>
          </c:tx>
          <c:spPr>
            <a:ln w="28575" cap="rnd">
              <a:solidFill>
                <a:schemeClr val="accent5"/>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russie'!$B$8:$G$8</c:f>
              <c:numCache>
                <c:formatCode>General</c:formatCode>
                <c:ptCount val="6"/>
                <c:pt idx="0">
                  <c:v>45.4</c:v>
                </c:pt>
                <c:pt idx="1">
                  <c:v>48.8</c:v>
                </c:pt>
                <c:pt idx="2">
                  <c:v>46.35</c:v>
                </c:pt>
                <c:pt idx="3">
                  <c:v>43.49</c:v>
                </c:pt>
                <c:pt idx="4">
                  <c:v>39.700000000000003</c:v>
                </c:pt>
                <c:pt idx="5">
                  <c:v>40.299999999999997</c:v>
                </c:pt>
              </c:numCache>
            </c:numRef>
          </c:val>
          <c:smooth val="0"/>
        </c:ser>
        <c:ser>
          <c:idx val="5"/>
          <c:order val="5"/>
          <c:tx>
            <c:strRef>
              <c:f>'commerce russie'!$A$9</c:f>
              <c:strCache>
                <c:ptCount val="1"/>
                <c:pt idx="0">
                  <c:v>Chine</c:v>
                </c:pt>
              </c:strCache>
            </c:strRef>
          </c:tx>
          <c:spPr>
            <a:ln w="28575" cap="rnd">
              <a:solidFill>
                <a:schemeClr val="accent6"/>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russie'!$B$9:$G$9</c:f>
              <c:numCache>
                <c:formatCode>General</c:formatCode>
                <c:ptCount val="6"/>
                <c:pt idx="0">
                  <c:v>2.8</c:v>
                </c:pt>
                <c:pt idx="1">
                  <c:v>5.2</c:v>
                </c:pt>
                <c:pt idx="2">
                  <c:v>7.2</c:v>
                </c:pt>
                <c:pt idx="3">
                  <c:v>13</c:v>
                </c:pt>
                <c:pt idx="4">
                  <c:v>15</c:v>
                </c:pt>
                <c:pt idx="5">
                  <c:v>17</c:v>
                </c:pt>
              </c:numCache>
            </c:numRef>
          </c:val>
          <c:smooth val="0"/>
        </c:ser>
        <c:ser>
          <c:idx val="6"/>
          <c:order val="6"/>
          <c:tx>
            <c:strRef>
              <c:f>'commerce russie'!$A$10</c:f>
              <c:strCache>
                <c:ptCount val="1"/>
                <c:pt idx="0">
                  <c:v>Turquie</c:v>
                </c:pt>
              </c:strCache>
            </c:strRef>
          </c:tx>
          <c:spPr>
            <a:ln w="28575" cap="rnd">
              <a:solidFill>
                <a:schemeClr val="accent1">
                  <a:lumMod val="60000"/>
                </a:schemeClr>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russie'!$B$10:$G$10</c:f>
              <c:numCache>
                <c:formatCode>General</c:formatCode>
                <c:ptCount val="6"/>
                <c:pt idx="0">
                  <c:v>1</c:v>
                </c:pt>
                <c:pt idx="1">
                  <c:v>1.6</c:v>
                </c:pt>
                <c:pt idx="2">
                  <c:v>1.7</c:v>
                </c:pt>
                <c:pt idx="3">
                  <c:v>2.4</c:v>
                </c:pt>
                <c:pt idx="4">
                  <c:v>2.1</c:v>
                </c:pt>
                <c:pt idx="5">
                  <c:v>2.2999999999999998</c:v>
                </c:pt>
              </c:numCache>
            </c:numRef>
          </c:val>
          <c:smooth val="0"/>
        </c:ser>
        <c:ser>
          <c:idx val="7"/>
          <c:order val="7"/>
          <c:tx>
            <c:strRef>
              <c:f>'commerce russie'!$A$11</c:f>
              <c:strCache>
                <c:ptCount val="1"/>
                <c:pt idx="0">
                  <c:v>Ukraine</c:v>
                </c:pt>
              </c:strCache>
            </c:strRef>
          </c:tx>
          <c:spPr>
            <a:ln w="28575" cap="rnd">
              <a:solidFill>
                <a:schemeClr val="accent2">
                  <a:lumMod val="60000"/>
                </a:schemeClr>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russie'!$B$11:$G$11</c:f>
              <c:numCache>
                <c:formatCode>General</c:formatCode>
                <c:ptCount val="6"/>
                <c:pt idx="0">
                  <c:v>8.1</c:v>
                </c:pt>
                <c:pt idx="1">
                  <c:v>7</c:v>
                </c:pt>
                <c:pt idx="2">
                  <c:v>7.8</c:v>
                </c:pt>
                <c:pt idx="3">
                  <c:v>6.1</c:v>
                </c:pt>
                <c:pt idx="4">
                  <c:v>5.6</c:v>
                </c:pt>
                <c:pt idx="5">
                  <c:v>3.7</c:v>
                </c:pt>
              </c:numCache>
            </c:numRef>
          </c:val>
          <c:smooth val="0"/>
        </c:ser>
        <c:ser>
          <c:idx val="8"/>
          <c:order val="8"/>
          <c:tx>
            <c:strRef>
              <c:f>'commerce russie'!$A$12</c:f>
              <c:strCache>
                <c:ptCount val="1"/>
                <c:pt idx="0">
                  <c:v>Tadjikistan</c:v>
                </c:pt>
              </c:strCache>
            </c:strRef>
          </c:tx>
          <c:spPr>
            <a:ln w="28575" cap="rnd">
              <a:solidFill>
                <a:schemeClr val="accent3">
                  <a:lumMod val="60000"/>
                </a:schemeClr>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russie'!$B$12:$G$12</c:f>
              <c:numCache>
                <c:formatCode>General</c:formatCode>
                <c:ptCount val="6"/>
                <c:pt idx="0">
                  <c:v>0.36</c:v>
                </c:pt>
                <c:pt idx="1">
                  <c:v>0.14000000000000001</c:v>
                </c:pt>
                <c:pt idx="2">
                  <c:v>0.09</c:v>
                </c:pt>
                <c:pt idx="3">
                  <c:v>7.9000000000000001E-2</c:v>
                </c:pt>
                <c:pt idx="4">
                  <c:v>2.9000000000000001E-2</c:v>
                </c:pt>
                <c:pt idx="5">
                  <c:v>1.2999999999999999E-2</c:v>
                </c:pt>
              </c:numCache>
            </c:numRef>
          </c:val>
          <c:smooth val="0"/>
        </c:ser>
        <c:ser>
          <c:idx val="9"/>
          <c:order val="9"/>
          <c:tx>
            <c:strRef>
              <c:f>'commerce russie'!$A$13</c:f>
              <c:strCache>
                <c:ptCount val="1"/>
                <c:pt idx="0">
                  <c:v>UEE</c:v>
                </c:pt>
              </c:strCache>
            </c:strRef>
          </c:tx>
          <c:spPr>
            <a:ln w="28575" cap="rnd">
              <a:solidFill>
                <a:schemeClr val="accent4">
                  <a:lumMod val="60000"/>
                </a:schemeClr>
              </a:solidFill>
              <a:round/>
            </a:ln>
            <a:effectLst/>
          </c:spPr>
          <c:marker>
            <c:symbol val="none"/>
          </c:marker>
          <c:cat>
            <c:numRef>
              <c:f>'commerce russie'!$B$3:$G$3</c:f>
              <c:numCache>
                <c:formatCode>General</c:formatCode>
                <c:ptCount val="6"/>
                <c:pt idx="0">
                  <c:v>1999</c:v>
                </c:pt>
                <c:pt idx="1">
                  <c:v>2002</c:v>
                </c:pt>
                <c:pt idx="2">
                  <c:v>2005</c:v>
                </c:pt>
                <c:pt idx="3">
                  <c:v>2008</c:v>
                </c:pt>
                <c:pt idx="4">
                  <c:v>2011</c:v>
                </c:pt>
                <c:pt idx="5">
                  <c:v>2014</c:v>
                </c:pt>
              </c:numCache>
            </c:numRef>
          </c:cat>
          <c:val>
            <c:numRef>
              <c:f>'commerce russie'!$B$13:$G$13</c:f>
              <c:numCache>
                <c:formatCode>General</c:formatCode>
                <c:ptCount val="6"/>
                <c:pt idx="0">
                  <c:v>14.888</c:v>
                </c:pt>
                <c:pt idx="1">
                  <c:v>12.679999999999998</c:v>
                </c:pt>
                <c:pt idx="2">
                  <c:v>8.89</c:v>
                </c:pt>
                <c:pt idx="3">
                  <c:v>6.55</c:v>
                </c:pt>
                <c:pt idx="4">
                  <c:v>7.1549999999999994</c:v>
                </c:pt>
                <c:pt idx="5">
                  <c:v>6.535000000000001</c:v>
                </c:pt>
              </c:numCache>
            </c:numRef>
          </c:val>
          <c:smooth val="0"/>
        </c:ser>
        <c:dLbls>
          <c:showLegendKey val="0"/>
          <c:showVal val="0"/>
          <c:showCatName val="0"/>
          <c:showSerName val="0"/>
          <c:showPercent val="0"/>
          <c:showBubbleSize val="0"/>
        </c:dLbls>
        <c:smooth val="0"/>
        <c:axId val="428958088"/>
        <c:axId val="428958480"/>
      </c:lineChart>
      <c:catAx>
        <c:axId val="428958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8958480"/>
        <c:crosses val="autoZero"/>
        <c:auto val="1"/>
        <c:lblAlgn val="ctr"/>
        <c:lblOffset val="100"/>
        <c:noMultiLvlLbl val="0"/>
      </c:catAx>
      <c:valAx>
        <c:axId val="428958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8958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sz="1000"/>
              <a:t>Pourcentage de biens manufacturés dans les exportations de biens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v>2000</c:v>
          </c:tx>
          <c:spPr>
            <a:solidFill>
              <a:schemeClr val="accent1"/>
            </a:solidFill>
            <a:ln>
              <a:noFill/>
            </a:ln>
            <a:effectLst/>
          </c:spPr>
          <c:invertIfNegative val="0"/>
          <c:cat>
            <c:strRef>
              <c:f>'poids secteur primaire'!$A$23:$A$37</c:f>
              <c:strCache>
                <c:ptCount val="15"/>
                <c:pt idx="0">
                  <c:v>Russie</c:v>
                </c:pt>
                <c:pt idx="1">
                  <c:v>Biélorussie</c:v>
                </c:pt>
                <c:pt idx="2">
                  <c:v>Kazakhstan</c:v>
                </c:pt>
                <c:pt idx="3">
                  <c:v>Kirghizstan</c:v>
                </c:pt>
                <c:pt idx="4">
                  <c:v>Armenie</c:v>
                </c:pt>
                <c:pt idx="6">
                  <c:v>Brésil</c:v>
                </c:pt>
                <c:pt idx="7">
                  <c:v>Argentine</c:v>
                </c:pt>
                <c:pt idx="9">
                  <c:v>France</c:v>
                </c:pt>
                <c:pt idx="10">
                  <c:v>Allemagne</c:v>
                </c:pt>
                <c:pt idx="11">
                  <c:v>Japon</c:v>
                </c:pt>
                <c:pt idx="13">
                  <c:v>Chine</c:v>
                </c:pt>
                <c:pt idx="14">
                  <c:v>Vietnam</c:v>
                </c:pt>
              </c:strCache>
            </c:strRef>
          </c:cat>
          <c:val>
            <c:numRef>
              <c:f>'poids secteur primaire'!$B$23:$B$37</c:f>
              <c:numCache>
                <c:formatCode>General</c:formatCode>
                <c:ptCount val="15"/>
                <c:pt idx="0">
                  <c:v>23.6</c:v>
                </c:pt>
                <c:pt idx="1">
                  <c:v>65.099999999999994</c:v>
                </c:pt>
                <c:pt idx="2">
                  <c:v>18.899999999999999</c:v>
                </c:pt>
                <c:pt idx="3">
                  <c:v>30.9</c:v>
                </c:pt>
                <c:pt idx="4">
                  <c:v>43.1</c:v>
                </c:pt>
                <c:pt idx="6">
                  <c:v>58.4</c:v>
                </c:pt>
                <c:pt idx="7">
                  <c:v>32.5</c:v>
                </c:pt>
                <c:pt idx="9">
                  <c:v>80.900000000000006</c:v>
                </c:pt>
                <c:pt idx="10">
                  <c:v>83.7</c:v>
                </c:pt>
                <c:pt idx="11">
                  <c:v>93.9</c:v>
                </c:pt>
                <c:pt idx="13">
                  <c:v>88.2</c:v>
                </c:pt>
                <c:pt idx="14">
                  <c:v>42.7</c:v>
                </c:pt>
              </c:numCache>
            </c:numRef>
          </c:val>
        </c:ser>
        <c:ser>
          <c:idx val="1"/>
          <c:order val="1"/>
          <c:tx>
            <c:v>2014</c:v>
          </c:tx>
          <c:spPr>
            <a:solidFill>
              <a:schemeClr val="accent2"/>
            </a:solidFill>
            <a:ln>
              <a:noFill/>
            </a:ln>
            <a:effectLst/>
          </c:spPr>
          <c:invertIfNegative val="0"/>
          <c:cat>
            <c:strRef>
              <c:f>'poids secteur primaire'!$A$23:$A$37</c:f>
              <c:strCache>
                <c:ptCount val="15"/>
                <c:pt idx="0">
                  <c:v>Russie</c:v>
                </c:pt>
                <c:pt idx="1">
                  <c:v>Biélorussie</c:v>
                </c:pt>
                <c:pt idx="2">
                  <c:v>Kazakhstan</c:v>
                </c:pt>
                <c:pt idx="3">
                  <c:v>Kirghizstan</c:v>
                </c:pt>
                <c:pt idx="4">
                  <c:v>Armenie</c:v>
                </c:pt>
                <c:pt idx="6">
                  <c:v>Brésil</c:v>
                </c:pt>
                <c:pt idx="7">
                  <c:v>Argentine</c:v>
                </c:pt>
                <c:pt idx="9">
                  <c:v>France</c:v>
                </c:pt>
                <c:pt idx="10">
                  <c:v>Allemagne</c:v>
                </c:pt>
                <c:pt idx="11">
                  <c:v>Japon</c:v>
                </c:pt>
                <c:pt idx="13">
                  <c:v>Chine</c:v>
                </c:pt>
                <c:pt idx="14">
                  <c:v>Vietnam</c:v>
                </c:pt>
              </c:strCache>
            </c:strRef>
          </c:cat>
          <c:val>
            <c:numRef>
              <c:f>'poids secteur primaire'!$C$23:$C$37</c:f>
              <c:numCache>
                <c:formatCode>General</c:formatCode>
                <c:ptCount val="15"/>
                <c:pt idx="0">
                  <c:v>17.399999999999999</c:v>
                </c:pt>
                <c:pt idx="1">
                  <c:v>46.6</c:v>
                </c:pt>
                <c:pt idx="2">
                  <c:v>11.3</c:v>
                </c:pt>
                <c:pt idx="3">
                  <c:v>39.200000000000003</c:v>
                </c:pt>
                <c:pt idx="4">
                  <c:v>24</c:v>
                </c:pt>
                <c:pt idx="6">
                  <c:v>34.799999999999997</c:v>
                </c:pt>
                <c:pt idx="7">
                  <c:v>32.1</c:v>
                </c:pt>
                <c:pt idx="9">
                  <c:v>77.7</c:v>
                </c:pt>
                <c:pt idx="10">
                  <c:v>83.6</c:v>
                </c:pt>
                <c:pt idx="11">
                  <c:v>88.2</c:v>
                </c:pt>
                <c:pt idx="13">
                  <c:v>94</c:v>
                </c:pt>
                <c:pt idx="14">
                  <c:v>76.3</c:v>
                </c:pt>
              </c:numCache>
            </c:numRef>
          </c:val>
        </c:ser>
        <c:dLbls>
          <c:showLegendKey val="0"/>
          <c:showVal val="0"/>
          <c:showCatName val="0"/>
          <c:showSerName val="0"/>
          <c:showPercent val="0"/>
          <c:showBubbleSize val="0"/>
        </c:dLbls>
        <c:gapWidth val="219"/>
        <c:overlap val="-27"/>
        <c:axId val="428959656"/>
        <c:axId val="428960048"/>
      </c:barChart>
      <c:catAx>
        <c:axId val="428959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8960048"/>
        <c:crosses val="autoZero"/>
        <c:auto val="1"/>
        <c:lblAlgn val="ctr"/>
        <c:lblOffset val="100"/>
        <c:noMultiLvlLbl val="0"/>
      </c:catAx>
      <c:valAx>
        <c:axId val="428960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8959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sz="1000"/>
              <a:t>% du PIB de l'espace</a:t>
            </a:r>
            <a:r>
              <a:rPr lang="en-US" sz="1000" baseline="0"/>
              <a:t> économique de l'ex URSS en 2015</a:t>
            </a:r>
          </a:p>
          <a:p>
            <a:pPr>
              <a:defRPr sz="1000"/>
            </a:pPr>
            <a:r>
              <a:rPr lang="en-US" sz="1000" baseline="0"/>
              <a:t>(hormis pays baltes et incluant la Mongolie)</a:t>
            </a:r>
            <a:endParaRPr lang="en-US" sz="1000"/>
          </a:p>
        </c:rich>
      </c:tx>
      <c:layout>
        <c:manualLayout>
          <c:xMode val="edge"/>
          <c:yMode val="edge"/>
          <c:x val="0.12566666666666668"/>
          <c:y val="1.6649325440125574E-2"/>
        </c:manualLayout>
      </c:layout>
      <c:overlay val="0"/>
      <c:spPr>
        <a:noFill/>
        <a:ln>
          <a:noFill/>
        </a:ln>
        <a:effectLst/>
      </c:spPr>
      <c:txPr>
        <a:bodyPr rot="0" spcFirstLastPara="1" vertOverflow="ellipsis" vert="horz" wrap="square" anchor="ctr" anchorCtr="1"/>
        <a:lstStyle/>
        <a:p>
          <a:pPr>
            <a:defRPr sz="10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47"/>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3"/>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0"/>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1"/>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Pt>
            <c:idx val="12"/>
            <c:bubble3D val="0"/>
            <c:spPr>
              <a:gradFill rotWithShape="1">
                <a:gsLst>
                  <a:gs pos="0">
                    <a:schemeClr val="accent1">
                      <a:lumMod val="80000"/>
                      <a:lumOff val="20000"/>
                      <a:satMod val="103000"/>
                      <a:lumMod val="102000"/>
                      <a:tint val="94000"/>
                    </a:schemeClr>
                  </a:gs>
                  <a:gs pos="50000">
                    <a:schemeClr val="accent1">
                      <a:lumMod val="80000"/>
                      <a:lumOff val="20000"/>
                      <a:satMod val="110000"/>
                      <a:lumMod val="100000"/>
                      <a:shade val="100000"/>
                    </a:schemeClr>
                  </a:gs>
                  <a:gs pos="100000">
                    <a:schemeClr val="accent1">
                      <a:lumMod val="80000"/>
                      <a:lumOff val="2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Feuil1!$C$1:$C$13</c:f>
              <c:strCache>
                <c:ptCount val="13"/>
                <c:pt idx="0">
                  <c:v>Russie</c:v>
                </c:pt>
                <c:pt idx="1">
                  <c:v> Kazakhstan</c:v>
                </c:pt>
                <c:pt idx="2">
                  <c:v>Biélorussie</c:v>
                </c:pt>
                <c:pt idx="3">
                  <c:v>Arménie</c:v>
                </c:pt>
                <c:pt idx="4">
                  <c:v>Kirghizistan</c:v>
                </c:pt>
                <c:pt idx="5">
                  <c:v>Ukraine</c:v>
                </c:pt>
                <c:pt idx="6">
                  <c:v>Azerbaïdjan</c:v>
                </c:pt>
                <c:pt idx="7">
                  <c:v> Moldavie</c:v>
                </c:pt>
                <c:pt idx="8">
                  <c:v>Ouzbékistan</c:v>
                </c:pt>
                <c:pt idx="9">
                  <c:v> Tadjikistan</c:v>
                </c:pt>
                <c:pt idx="10">
                  <c:v> Géorgie</c:v>
                </c:pt>
                <c:pt idx="11">
                  <c:v>Turkménistan</c:v>
                </c:pt>
                <c:pt idx="12">
                  <c:v> Mongolie</c:v>
                </c:pt>
              </c:strCache>
            </c:strRef>
          </c:cat>
          <c:val>
            <c:numRef>
              <c:f>Feuil1!$D$1:$D$13</c:f>
              <c:numCache>
                <c:formatCode>0.0</c:formatCode>
                <c:ptCount val="13"/>
                <c:pt idx="0">
                  <c:v>71.400000000000006</c:v>
                </c:pt>
                <c:pt idx="1">
                  <c:v>9.3000000000000007</c:v>
                </c:pt>
                <c:pt idx="2">
                  <c:v>2.9</c:v>
                </c:pt>
                <c:pt idx="3">
                  <c:v>0.6</c:v>
                </c:pt>
                <c:pt idx="4">
                  <c:v>0.4</c:v>
                </c:pt>
                <c:pt idx="5">
                  <c:v>4.9000000000000004</c:v>
                </c:pt>
                <c:pt idx="6">
                  <c:v>2.9</c:v>
                </c:pt>
                <c:pt idx="7">
                  <c:v>0.3</c:v>
                </c:pt>
                <c:pt idx="8">
                  <c:v>3.5</c:v>
                </c:pt>
                <c:pt idx="9">
                  <c:v>0.4</c:v>
                </c:pt>
                <c:pt idx="10">
                  <c:v>0.8</c:v>
                </c:pt>
                <c:pt idx="11">
                  <c:v>1.9</c:v>
                </c:pt>
                <c:pt idx="12">
                  <c:v>0.6</c:v>
                </c:pt>
              </c:numCache>
            </c:numRef>
          </c:val>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BE" sz="1200" b="1"/>
              <a:t>Salaire minimum mensuel</a:t>
            </a:r>
            <a:r>
              <a:rPr lang="fr-BE" sz="1200" b="1" baseline="0"/>
              <a:t> brut </a:t>
            </a:r>
          </a:p>
          <a:p>
            <a:pPr>
              <a:defRPr/>
            </a:pPr>
            <a:r>
              <a:rPr lang="fr-BE" sz="1200" b="1" baseline="0"/>
              <a:t>en dollars courant</a:t>
            </a:r>
          </a:p>
          <a:p>
            <a:pPr>
              <a:defRPr/>
            </a:pPr>
            <a:r>
              <a:rPr lang="fr-BE" sz="1000" baseline="0"/>
              <a:t>Russie= 100</a:t>
            </a:r>
          </a:p>
          <a:p>
            <a:pPr>
              <a:defRPr/>
            </a:pPr>
            <a:endParaRPr lang="fr-BE" sz="10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'salaire min'!$A$18:$A$22</c:f>
              <c:strCache>
                <c:ptCount val="5"/>
                <c:pt idx="0">
                  <c:v>Kazakhstan 2013</c:v>
                </c:pt>
                <c:pt idx="1">
                  <c:v>Kirghizstan 2011</c:v>
                </c:pt>
                <c:pt idx="2">
                  <c:v>Biélorussie 2013</c:v>
                </c:pt>
                <c:pt idx="3">
                  <c:v>Arménie 2013</c:v>
                </c:pt>
                <c:pt idx="4">
                  <c:v>Russie 2013</c:v>
                </c:pt>
              </c:strCache>
            </c:strRef>
          </c:cat>
          <c:val>
            <c:numRef>
              <c:f>'salaire min'!$B$18:$B$22</c:f>
              <c:numCache>
                <c:formatCode>General</c:formatCode>
                <c:ptCount val="5"/>
                <c:pt idx="0">
                  <c:v>76.5</c:v>
                </c:pt>
                <c:pt idx="1">
                  <c:v>9.4</c:v>
                </c:pt>
                <c:pt idx="2">
                  <c:v>96.7</c:v>
                </c:pt>
                <c:pt idx="3">
                  <c:v>70.099999999999994</c:v>
                </c:pt>
                <c:pt idx="4">
                  <c:v>100</c:v>
                </c:pt>
              </c:numCache>
            </c:numRef>
          </c:val>
        </c:ser>
        <c:dLbls>
          <c:showLegendKey val="0"/>
          <c:showVal val="0"/>
          <c:showCatName val="0"/>
          <c:showSerName val="0"/>
          <c:showPercent val="0"/>
          <c:showBubbleSize val="0"/>
        </c:dLbls>
        <c:gapWidth val="219"/>
        <c:overlap val="-27"/>
        <c:axId val="224670288"/>
        <c:axId val="224670680"/>
      </c:barChart>
      <c:catAx>
        <c:axId val="224670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670680"/>
        <c:crosses val="autoZero"/>
        <c:auto val="1"/>
        <c:lblAlgn val="ctr"/>
        <c:lblOffset val="100"/>
        <c:noMultiLvlLbl val="0"/>
      </c:catAx>
      <c:valAx>
        <c:axId val="224670680"/>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6702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fr-BE" sz="1200" b="1" i="0" baseline="0">
                <a:effectLst/>
              </a:rPr>
              <a:t>Salaire minimum mensuel brut </a:t>
            </a:r>
            <a:endParaRPr lang="fr-BE" sz="1200" b="1">
              <a:effectLst/>
            </a:endParaRPr>
          </a:p>
          <a:p>
            <a:pPr>
              <a:defRPr sz="1200"/>
            </a:pPr>
            <a:r>
              <a:rPr lang="fr-BE" sz="1200" b="1" i="0" baseline="0">
                <a:effectLst/>
              </a:rPr>
              <a:t>en dollars courant</a:t>
            </a:r>
            <a:endParaRPr lang="fr-BE" sz="1200" b="1">
              <a:effectLst/>
            </a:endParaRPr>
          </a:p>
          <a:p>
            <a:pPr>
              <a:defRPr sz="1200"/>
            </a:pPr>
            <a:r>
              <a:rPr lang="fr-BE" sz="1000" b="0" i="0" baseline="0">
                <a:effectLst/>
              </a:rPr>
              <a:t>France= 100</a:t>
            </a:r>
            <a:endParaRPr lang="fr-BE" sz="1000">
              <a:effectLst/>
            </a:endParaRPr>
          </a:p>
        </c:rich>
      </c:tx>
      <c:layout>
        <c:manualLayout>
          <c:xMode val="edge"/>
          <c:yMode val="edge"/>
          <c:x val="0.11745626624258175"/>
          <c:y val="3.1909759090971775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'salaire min'!$A$31:$A$32</c:f>
              <c:strCache>
                <c:ptCount val="2"/>
                <c:pt idx="0">
                  <c:v>Roumanie </c:v>
                </c:pt>
                <c:pt idx="1">
                  <c:v>France</c:v>
                </c:pt>
              </c:strCache>
            </c:strRef>
          </c:cat>
          <c:val>
            <c:numRef>
              <c:f>'salaire min'!$B$31:$B$32</c:f>
              <c:numCache>
                <c:formatCode>General</c:formatCode>
                <c:ptCount val="2"/>
                <c:pt idx="0">
                  <c:v>12.5</c:v>
                </c:pt>
                <c:pt idx="1">
                  <c:v>100</c:v>
                </c:pt>
              </c:numCache>
            </c:numRef>
          </c:val>
        </c:ser>
        <c:dLbls>
          <c:showLegendKey val="0"/>
          <c:showVal val="0"/>
          <c:showCatName val="0"/>
          <c:showSerName val="0"/>
          <c:showPercent val="0"/>
          <c:showBubbleSize val="0"/>
        </c:dLbls>
        <c:gapWidth val="219"/>
        <c:overlap val="-27"/>
        <c:axId val="224671464"/>
        <c:axId val="224671856"/>
      </c:barChart>
      <c:catAx>
        <c:axId val="224671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671856"/>
        <c:crosses val="autoZero"/>
        <c:auto val="1"/>
        <c:lblAlgn val="ctr"/>
        <c:lblOffset val="100"/>
        <c:noMultiLvlLbl val="0"/>
      </c:catAx>
      <c:valAx>
        <c:axId val="224671856"/>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671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fr-BE" sz="1000"/>
              <a:t>Dépense</a:t>
            </a:r>
            <a:r>
              <a:rPr lang="fr-BE" sz="1000" baseline="0"/>
              <a:t> en R&amp;D en % du PIB 2005-2014</a:t>
            </a:r>
            <a:endParaRPr lang="fr-BE" sz="1000"/>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'poids secteur primaire'!$A$44:$A$57</c:f>
              <c:strCache>
                <c:ptCount val="14"/>
                <c:pt idx="0">
                  <c:v>Russie</c:v>
                </c:pt>
                <c:pt idx="1">
                  <c:v>Biélorussie</c:v>
                </c:pt>
                <c:pt idx="2">
                  <c:v>Kazakhstan</c:v>
                </c:pt>
                <c:pt idx="3">
                  <c:v>Kirghizstan</c:v>
                </c:pt>
                <c:pt idx="4">
                  <c:v>Armenie</c:v>
                </c:pt>
                <c:pt idx="6">
                  <c:v>Brésil</c:v>
                </c:pt>
                <c:pt idx="7">
                  <c:v>Argentine</c:v>
                </c:pt>
                <c:pt idx="9">
                  <c:v>France</c:v>
                </c:pt>
                <c:pt idx="10">
                  <c:v>Allemagne</c:v>
                </c:pt>
                <c:pt idx="11">
                  <c:v>Japon</c:v>
                </c:pt>
                <c:pt idx="13">
                  <c:v>Chine</c:v>
                </c:pt>
              </c:strCache>
            </c:strRef>
          </c:cat>
          <c:val>
            <c:numRef>
              <c:f>'poids secteur primaire'!$B$44:$B$57</c:f>
              <c:numCache>
                <c:formatCode>General</c:formatCode>
                <c:ptCount val="14"/>
                <c:pt idx="0">
                  <c:v>1.1299999999999999</c:v>
                </c:pt>
                <c:pt idx="1">
                  <c:v>0.67</c:v>
                </c:pt>
                <c:pt idx="2">
                  <c:v>0.17</c:v>
                </c:pt>
                <c:pt idx="3">
                  <c:v>0.16</c:v>
                </c:pt>
                <c:pt idx="4">
                  <c:v>0.24</c:v>
                </c:pt>
                <c:pt idx="6">
                  <c:v>1.1499999999999999</c:v>
                </c:pt>
                <c:pt idx="7">
                  <c:v>0.57999999999999996</c:v>
                </c:pt>
                <c:pt idx="9">
                  <c:v>2.23</c:v>
                </c:pt>
                <c:pt idx="10">
                  <c:v>2.85</c:v>
                </c:pt>
                <c:pt idx="11">
                  <c:v>3.47</c:v>
                </c:pt>
                <c:pt idx="13">
                  <c:v>2.0099999999999998</c:v>
                </c:pt>
              </c:numCache>
            </c:numRef>
          </c:val>
        </c:ser>
        <c:dLbls>
          <c:showLegendKey val="0"/>
          <c:showVal val="0"/>
          <c:showCatName val="0"/>
          <c:showSerName val="0"/>
          <c:showPercent val="0"/>
          <c:showBubbleSize val="0"/>
        </c:dLbls>
        <c:gapWidth val="219"/>
        <c:overlap val="-27"/>
        <c:axId val="431322536"/>
        <c:axId val="431322928"/>
      </c:barChart>
      <c:catAx>
        <c:axId val="431322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322928"/>
        <c:crosses val="autoZero"/>
        <c:auto val="1"/>
        <c:lblAlgn val="ctr"/>
        <c:lblOffset val="100"/>
        <c:noMultiLvlLbl val="0"/>
      </c:catAx>
      <c:valAx>
        <c:axId val="431322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322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fr-BE" sz="1000"/>
              <a:t>Recettes</a:t>
            </a:r>
            <a:r>
              <a:rPr lang="fr-BE" sz="1000" baseline="0"/>
              <a:t> et dépenses en matière de propriété intellectuelle 2015 (en millions de dollars)</a:t>
            </a:r>
            <a:endParaRPr lang="fr-BE" sz="1000"/>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0"/>
          <c:tx>
            <c:v>recettes de la PI</c:v>
          </c:tx>
          <c:spPr>
            <a:solidFill>
              <a:schemeClr val="accent2"/>
            </a:solidFill>
            <a:ln>
              <a:noFill/>
            </a:ln>
            <a:effectLst/>
          </c:spPr>
          <c:invertIfNegative val="0"/>
          <c:cat>
            <c:strRef>
              <c:f>'poids secteur primaire'!$A$44:$A$57</c:f>
              <c:strCache>
                <c:ptCount val="14"/>
                <c:pt idx="0">
                  <c:v>Russie</c:v>
                </c:pt>
                <c:pt idx="1">
                  <c:v>Biélorussie</c:v>
                </c:pt>
                <c:pt idx="2">
                  <c:v>Kazakhstan</c:v>
                </c:pt>
                <c:pt idx="3">
                  <c:v>Kirghizstan</c:v>
                </c:pt>
                <c:pt idx="4">
                  <c:v>Armenie</c:v>
                </c:pt>
                <c:pt idx="6">
                  <c:v>Brésil</c:v>
                </c:pt>
                <c:pt idx="7">
                  <c:v>Argentine</c:v>
                </c:pt>
                <c:pt idx="9">
                  <c:v>France</c:v>
                </c:pt>
                <c:pt idx="10">
                  <c:v>Allemagne</c:v>
                </c:pt>
                <c:pt idx="11">
                  <c:v>Japon</c:v>
                </c:pt>
                <c:pt idx="13">
                  <c:v>Chine</c:v>
                </c:pt>
              </c:strCache>
            </c:strRef>
          </c:cat>
          <c:val>
            <c:numRef>
              <c:f>'poids secteur primaire'!$C$44:$C$57</c:f>
              <c:numCache>
                <c:formatCode>General</c:formatCode>
                <c:ptCount val="14"/>
                <c:pt idx="0">
                  <c:v>726</c:v>
                </c:pt>
                <c:pt idx="1">
                  <c:v>23</c:v>
                </c:pt>
                <c:pt idx="2">
                  <c:v>2</c:v>
                </c:pt>
                <c:pt idx="3">
                  <c:v>1</c:v>
                </c:pt>
                <c:pt idx="6">
                  <c:v>581</c:v>
                </c:pt>
                <c:pt idx="7">
                  <c:v>171</c:v>
                </c:pt>
                <c:pt idx="9">
                  <c:v>14033</c:v>
                </c:pt>
                <c:pt idx="10">
                  <c:v>14585</c:v>
                </c:pt>
                <c:pt idx="11">
                  <c:v>36631</c:v>
                </c:pt>
                <c:pt idx="13">
                  <c:v>1085</c:v>
                </c:pt>
              </c:numCache>
            </c:numRef>
          </c:val>
        </c:ser>
        <c:ser>
          <c:idx val="2"/>
          <c:order val="1"/>
          <c:tx>
            <c:v>dépenses achat PI</c:v>
          </c:tx>
          <c:spPr>
            <a:solidFill>
              <a:schemeClr val="accent3"/>
            </a:solidFill>
            <a:ln>
              <a:noFill/>
            </a:ln>
            <a:effectLst/>
          </c:spPr>
          <c:invertIfNegative val="0"/>
          <c:cat>
            <c:strRef>
              <c:f>'poids secteur primaire'!$A$44:$A$57</c:f>
              <c:strCache>
                <c:ptCount val="14"/>
                <c:pt idx="0">
                  <c:v>Russie</c:v>
                </c:pt>
                <c:pt idx="1">
                  <c:v>Biélorussie</c:v>
                </c:pt>
                <c:pt idx="2">
                  <c:v>Kazakhstan</c:v>
                </c:pt>
                <c:pt idx="3">
                  <c:v>Kirghizstan</c:v>
                </c:pt>
                <c:pt idx="4">
                  <c:v>Armenie</c:v>
                </c:pt>
                <c:pt idx="6">
                  <c:v>Brésil</c:v>
                </c:pt>
                <c:pt idx="7">
                  <c:v>Argentine</c:v>
                </c:pt>
                <c:pt idx="9">
                  <c:v>France</c:v>
                </c:pt>
                <c:pt idx="10">
                  <c:v>Allemagne</c:v>
                </c:pt>
                <c:pt idx="11">
                  <c:v>Japon</c:v>
                </c:pt>
                <c:pt idx="13">
                  <c:v>Chine</c:v>
                </c:pt>
              </c:strCache>
            </c:strRef>
          </c:cat>
          <c:val>
            <c:numRef>
              <c:f>'poids secteur primaire'!$D$44:$D$57</c:f>
              <c:numCache>
                <c:formatCode>General</c:formatCode>
                <c:ptCount val="14"/>
                <c:pt idx="0">
                  <c:v>5634</c:v>
                </c:pt>
                <c:pt idx="1">
                  <c:v>131</c:v>
                </c:pt>
                <c:pt idx="2">
                  <c:v>66</c:v>
                </c:pt>
                <c:pt idx="3">
                  <c:v>6</c:v>
                </c:pt>
                <c:pt idx="6">
                  <c:v>5250</c:v>
                </c:pt>
                <c:pt idx="7">
                  <c:v>1867</c:v>
                </c:pt>
                <c:pt idx="9">
                  <c:v>12121</c:v>
                </c:pt>
                <c:pt idx="10">
                  <c:v>8917</c:v>
                </c:pt>
                <c:pt idx="11">
                  <c:v>16990</c:v>
                </c:pt>
                <c:pt idx="13">
                  <c:v>22022</c:v>
                </c:pt>
              </c:numCache>
            </c:numRef>
          </c:val>
        </c:ser>
        <c:dLbls>
          <c:showLegendKey val="0"/>
          <c:showVal val="0"/>
          <c:showCatName val="0"/>
          <c:showSerName val="0"/>
          <c:showPercent val="0"/>
          <c:showBubbleSize val="0"/>
        </c:dLbls>
        <c:gapWidth val="219"/>
        <c:overlap val="-27"/>
        <c:axId val="431323712"/>
        <c:axId val="431324104"/>
      </c:barChart>
      <c:catAx>
        <c:axId val="431323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324104"/>
        <c:crosses val="autoZero"/>
        <c:auto val="1"/>
        <c:lblAlgn val="ctr"/>
        <c:lblOffset val="100"/>
        <c:noMultiLvlLbl val="0"/>
      </c:catAx>
      <c:valAx>
        <c:axId val="431324104"/>
        <c:scaling>
          <c:orientation val="minMax"/>
          <c:max val="25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323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fr-BE" sz="1000"/>
              <a:t>Destinations</a:t>
            </a:r>
            <a:r>
              <a:rPr lang="fr-BE" sz="1000" baseline="0"/>
              <a:t> des exportations du </a:t>
            </a:r>
            <a:r>
              <a:rPr lang="fr-BE" sz="1000" b="0" i="0" u="none" strike="noStrike" baseline="0">
                <a:effectLst/>
              </a:rPr>
              <a:t>Kazakhstan</a:t>
            </a:r>
          </a:p>
          <a:p>
            <a:pPr>
              <a:defRPr sz="1000"/>
            </a:pPr>
            <a:r>
              <a:rPr lang="fr-BE" sz="1000" b="0" i="0" u="none" strike="noStrike" baseline="0">
                <a:effectLst/>
              </a:rPr>
              <a:t>1999-2014 (en %)</a:t>
            </a:r>
            <a:endParaRPr lang="fr-BE" sz="1000"/>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9.7136482939632549E-2"/>
          <c:y val="0.10315068493150685"/>
          <c:w val="0.90286351706036749"/>
          <c:h val="0.6974803149606299"/>
        </c:manualLayout>
      </c:layout>
      <c:lineChart>
        <c:grouping val="standard"/>
        <c:varyColors val="0"/>
        <c:ser>
          <c:idx val="0"/>
          <c:order val="0"/>
          <c:tx>
            <c:strRef>
              <c:f>' khazak'!$A$3</c:f>
              <c:strCache>
                <c:ptCount val="1"/>
                <c:pt idx="0">
                  <c:v>Biélorussie</c:v>
                </c:pt>
              </c:strCache>
            </c:strRef>
          </c:tx>
          <c:spPr>
            <a:ln w="28575" cap="rnd">
              <a:solidFill>
                <a:schemeClr val="accent1"/>
              </a:solidFill>
              <a:round/>
            </a:ln>
            <a:effectLst/>
          </c:spPr>
          <c:marker>
            <c:symbol val="none"/>
          </c:marker>
          <c:cat>
            <c:numRef>
              <c:f>' khazak'!$B$2:$G$2</c:f>
              <c:numCache>
                <c:formatCode>General</c:formatCode>
                <c:ptCount val="6"/>
                <c:pt idx="0">
                  <c:v>1999</c:v>
                </c:pt>
                <c:pt idx="1">
                  <c:v>2002</c:v>
                </c:pt>
                <c:pt idx="2">
                  <c:v>2005</c:v>
                </c:pt>
                <c:pt idx="3">
                  <c:v>2008</c:v>
                </c:pt>
                <c:pt idx="4">
                  <c:v>2011</c:v>
                </c:pt>
                <c:pt idx="5">
                  <c:v>2014</c:v>
                </c:pt>
              </c:numCache>
            </c:numRef>
          </c:cat>
          <c:val>
            <c:numRef>
              <c:f>' khazak'!$B$3:$G$3</c:f>
              <c:numCache>
                <c:formatCode>General</c:formatCode>
                <c:ptCount val="6"/>
                <c:pt idx="0">
                  <c:v>0.24</c:v>
                </c:pt>
                <c:pt idx="1">
                  <c:v>0.16</c:v>
                </c:pt>
                <c:pt idx="2">
                  <c:v>0.14000000000000001</c:v>
                </c:pt>
                <c:pt idx="3">
                  <c:v>0.31</c:v>
                </c:pt>
                <c:pt idx="4">
                  <c:v>9.0999999999999998E-2</c:v>
                </c:pt>
                <c:pt idx="5">
                  <c:v>7.2999999999999995E-2</c:v>
                </c:pt>
              </c:numCache>
            </c:numRef>
          </c:val>
          <c:smooth val="0"/>
        </c:ser>
        <c:ser>
          <c:idx val="1"/>
          <c:order val="1"/>
          <c:tx>
            <c:strRef>
              <c:f>' khazak'!$A$4</c:f>
              <c:strCache>
                <c:ptCount val="1"/>
                <c:pt idx="0">
                  <c:v>Russie</c:v>
                </c:pt>
              </c:strCache>
            </c:strRef>
          </c:tx>
          <c:spPr>
            <a:ln w="28575" cap="rnd">
              <a:solidFill>
                <a:schemeClr val="accent2"/>
              </a:solidFill>
              <a:round/>
            </a:ln>
            <a:effectLst/>
          </c:spPr>
          <c:marker>
            <c:symbol val="none"/>
          </c:marker>
          <c:cat>
            <c:numRef>
              <c:f>' khazak'!$B$2:$G$2</c:f>
              <c:numCache>
                <c:formatCode>General</c:formatCode>
                <c:ptCount val="6"/>
                <c:pt idx="0">
                  <c:v>1999</c:v>
                </c:pt>
                <c:pt idx="1">
                  <c:v>2002</c:v>
                </c:pt>
                <c:pt idx="2">
                  <c:v>2005</c:v>
                </c:pt>
                <c:pt idx="3">
                  <c:v>2008</c:v>
                </c:pt>
                <c:pt idx="4">
                  <c:v>2011</c:v>
                </c:pt>
                <c:pt idx="5">
                  <c:v>2014</c:v>
                </c:pt>
              </c:numCache>
            </c:numRef>
          </c:cat>
          <c:val>
            <c:numRef>
              <c:f>' khazak'!$B$4:$G$4</c:f>
              <c:numCache>
                <c:formatCode>General</c:formatCode>
                <c:ptCount val="6"/>
                <c:pt idx="0">
                  <c:v>27</c:v>
                </c:pt>
                <c:pt idx="1">
                  <c:v>19</c:v>
                </c:pt>
                <c:pt idx="2">
                  <c:v>14</c:v>
                </c:pt>
                <c:pt idx="3">
                  <c:v>12</c:v>
                </c:pt>
                <c:pt idx="4">
                  <c:v>8.6999999999999993</c:v>
                </c:pt>
                <c:pt idx="5">
                  <c:v>8</c:v>
                </c:pt>
              </c:numCache>
            </c:numRef>
          </c:val>
          <c:smooth val="0"/>
        </c:ser>
        <c:ser>
          <c:idx val="2"/>
          <c:order val="2"/>
          <c:tx>
            <c:strRef>
              <c:f>' khazak'!$A$5</c:f>
              <c:strCache>
                <c:ptCount val="1"/>
                <c:pt idx="0">
                  <c:v>Tadjikistan</c:v>
                </c:pt>
              </c:strCache>
            </c:strRef>
          </c:tx>
          <c:spPr>
            <a:ln w="28575" cap="rnd">
              <a:solidFill>
                <a:schemeClr val="accent3"/>
              </a:solidFill>
              <a:round/>
            </a:ln>
            <a:effectLst/>
          </c:spPr>
          <c:marker>
            <c:symbol val="none"/>
          </c:marker>
          <c:cat>
            <c:numRef>
              <c:f>' khazak'!$B$2:$G$2</c:f>
              <c:numCache>
                <c:formatCode>General</c:formatCode>
                <c:ptCount val="6"/>
                <c:pt idx="0">
                  <c:v>1999</c:v>
                </c:pt>
                <c:pt idx="1">
                  <c:v>2002</c:v>
                </c:pt>
                <c:pt idx="2">
                  <c:v>2005</c:v>
                </c:pt>
                <c:pt idx="3">
                  <c:v>2008</c:v>
                </c:pt>
                <c:pt idx="4">
                  <c:v>2011</c:v>
                </c:pt>
                <c:pt idx="5">
                  <c:v>2014</c:v>
                </c:pt>
              </c:numCache>
            </c:numRef>
          </c:cat>
          <c:val>
            <c:numRef>
              <c:f>' khazak'!$B$5:$G$5</c:f>
              <c:numCache>
                <c:formatCode>General</c:formatCode>
                <c:ptCount val="6"/>
                <c:pt idx="0">
                  <c:v>0</c:v>
                </c:pt>
                <c:pt idx="1">
                  <c:v>0</c:v>
                </c:pt>
                <c:pt idx="2">
                  <c:v>0</c:v>
                </c:pt>
                <c:pt idx="3">
                  <c:v>0</c:v>
                </c:pt>
                <c:pt idx="4">
                  <c:v>0.4</c:v>
                </c:pt>
                <c:pt idx="5">
                  <c:v>0.64</c:v>
                </c:pt>
              </c:numCache>
            </c:numRef>
          </c:val>
          <c:smooth val="0"/>
        </c:ser>
        <c:ser>
          <c:idx val="3"/>
          <c:order val="3"/>
          <c:tx>
            <c:strRef>
              <c:f>' khazak'!$A$6</c:f>
              <c:strCache>
                <c:ptCount val="1"/>
                <c:pt idx="0">
                  <c:v>Kirghizstan</c:v>
                </c:pt>
              </c:strCache>
            </c:strRef>
          </c:tx>
          <c:spPr>
            <a:ln w="28575" cap="rnd">
              <a:solidFill>
                <a:schemeClr val="accent4"/>
              </a:solidFill>
              <a:round/>
            </a:ln>
            <a:effectLst/>
          </c:spPr>
          <c:marker>
            <c:symbol val="none"/>
          </c:marker>
          <c:cat>
            <c:numRef>
              <c:f>' khazak'!$B$2:$G$2</c:f>
              <c:numCache>
                <c:formatCode>General</c:formatCode>
                <c:ptCount val="6"/>
                <c:pt idx="0">
                  <c:v>1999</c:v>
                </c:pt>
                <c:pt idx="1">
                  <c:v>2002</c:v>
                </c:pt>
                <c:pt idx="2">
                  <c:v>2005</c:v>
                </c:pt>
                <c:pt idx="3">
                  <c:v>2008</c:v>
                </c:pt>
                <c:pt idx="4">
                  <c:v>2011</c:v>
                </c:pt>
                <c:pt idx="5">
                  <c:v>2014</c:v>
                </c:pt>
              </c:numCache>
            </c:numRef>
          </c:cat>
          <c:val>
            <c:numRef>
              <c:f>' khazak'!$B$6:$G$6</c:f>
              <c:numCache>
                <c:formatCode>General</c:formatCode>
                <c:ptCount val="6"/>
                <c:pt idx="0">
                  <c:v>0.49</c:v>
                </c:pt>
                <c:pt idx="1">
                  <c:v>1.1000000000000001</c:v>
                </c:pt>
                <c:pt idx="2">
                  <c:v>0.81</c:v>
                </c:pt>
                <c:pt idx="3">
                  <c:v>0.72</c:v>
                </c:pt>
                <c:pt idx="4">
                  <c:v>0.54</c:v>
                </c:pt>
                <c:pt idx="5">
                  <c:v>0.87</c:v>
                </c:pt>
              </c:numCache>
            </c:numRef>
          </c:val>
          <c:smooth val="0"/>
        </c:ser>
        <c:ser>
          <c:idx val="4"/>
          <c:order val="4"/>
          <c:tx>
            <c:strRef>
              <c:f>' khazak'!$A$7</c:f>
              <c:strCache>
                <c:ptCount val="1"/>
                <c:pt idx="0">
                  <c:v>Armenie</c:v>
                </c:pt>
              </c:strCache>
            </c:strRef>
          </c:tx>
          <c:spPr>
            <a:ln w="28575" cap="rnd">
              <a:solidFill>
                <a:schemeClr val="accent5"/>
              </a:solidFill>
              <a:round/>
            </a:ln>
            <a:effectLst/>
          </c:spPr>
          <c:marker>
            <c:symbol val="none"/>
          </c:marker>
          <c:cat>
            <c:numRef>
              <c:f>' khazak'!$B$2:$G$2</c:f>
              <c:numCache>
                <c:formatCode>General</c:formatCode>
                <c:ptCount val="6"/>
                <c:pt idx="0">
                  <c:v>1999</c:v>
                </c:pt>
                <c:pt idx="1">
                  <c:v>2002</c:v>
                </c:pt>
                <c:pt idx="2">
                  <c:v>2005</c:v>
                </c:pt>
                <c:pt idx="3">
                  <c:v>2008</c:v>
                </c:pt>
                <c:pt idx="4">
                  <c:v>2011</c:v>
                </c:pt>
                <c:pt idx="5">
                  <c:v>2014</c:v>
                </c:pt>
              </c:numCache>
            </c:numRef>
          </c:cat>
          <c:val>
            <c:numRef>
              <c:f>' khazak'!$B$7:$G$7</c:f>
              <c:numCache>
                <c:formatCode>General</c:formatCode>
                <c:ptCount val="6"/>
                <c:pt idx="0">
                  <c:v>0</c:v>
                </c:pt>
                <c:pt idx="1">
                  <c:v>8.5000000000000006E-3</c:v>
                </c:pt>
                <c:pt idx="2">
                  <c:v>0</c:v>
                </c:pt>
                <c:pt idx="3">
                  <c:v>3.5000000000000003E-2</c:v>
                </c:pt>
                <c:pt idx="4">
                  <c:v>0</c:v>
                </c:pt>
                <c:pt idx="5">
                  <c:v>0</c:v>
                </c:pt>
              </c:numCache>
            </c:numRef>
          </c:val>
          <c:smooth val="0"/>
        </c:ser>
        <c:ser>
          <c:idx val="5"/>
          <c:order val="5"/>
          <c:tx>
            <c:strRef>
              <c:f>' khazak'!$A$8</c:f>
              <c:strCache>
                <c:ptCount val="1"/>
                <c:pt idx="0">
                  <c:v>Union Européenne</c:v>
                </c:pt>
              </c:strCache>
            </c:strRef>
          </c:tx>
          <c:spPr>
            <a:ln w="28575" cap="rnd">
              <a:solidFill>
                <a:schemeClr val="accent6"/>
              </a:solidFill>
              <a:round/>
            </a:ln>
            <a:effectLst/>
          </c:spPr>
          <c:marker>
            <c:symbol val="none"/>
          </c:marker>
          <c:cat>
            <c:numRef>
              <c:f>' khazak'!$B$2:$G$2</c:f>
              <c:numCache>
                <c:formatCode>General</c:formatCode>
                <c:ptCount val="6"/>
                <c:pt idx="0">
                  <c:v>1999</c:v>
                </c:pt>
                <c:pt idx="1">
                  <c:v>2002</c:v>
                </c:pt>
                <c:pt idx="2">
                  <c:v>2005</c:v>
                </c:pt>
                <c:pt idx="3">
                  <c:v>2008</c:v>
                </c:pt>
                <c:pt idx="4">
                  <c:v>2011</c:v>
                </c:pt>
                <c:pt idx="5">
                  <c:v>2014</c:v>
                </c:pt>
              </c:numCache>
            </c:numRef>
          </c:cat>
          <c:val>
            <c:numRef>
              <c:f>' khazak'!$B$8:$G$8</c:f>
              <c:numCache>
                <c:formatCode>General</c:formatCode>
                <c:ptCount val="6"/>
                <c:pt idx="0">
                  <c:v>37.799999999999997</c:v>
                </c:pt>
                <c:pt idx="1">
                  <c:v>45.7</c:v>
                </c:pt>
                <c:pt idx="2">
                  <c:v>55</c:v>
                </c:pt>
                <c:pt idx="3">
                  <c:v>49.8</c:v>
                </c:pt>
                <c:pt idx="4">
                  <c:v>47</c:v>
                </c:pt>
                <c:pt idx="5">
                  <c:v>53.14</c:v>
                </c:pt>
              </c:numCache>
            </c:numRef>
          </c:val>
          <c:smooth val="0"/>
        </c:ser>
        <c:ser>
          <c:idx val="6"/>
          <c:order val="6"/>
          <c:tx>
            <c:strRef>
              <c:f>' khazak'!$A$9</c:f>
              <c:strCache>
                <c:ptCount val="1"/>
                <c:pt idx="0">
                  <c:v>Chine</c:v>
                </c:pt>
              </c:strCache>
            </c:strRef>
          </c:tx>
          <c:spPr>
            <a:ln w="28575" cap="rnd">
              <a:solidFill>
                <a:schemeClr val="accent1">
                  <a:lumMod val="60000"/>
                </a:schemeClr>
              </a:solidFill>
              <a:round/>
            </a:ln>
            <a:effectLst/>
          </c:spPr>
          <c:marker>
            <c:symbol val="none"/>
          </c:marker>
          <c:val>
            <c:numRef>
              <c:f>' khazak'!$B$9:$G$9</c:f>
              <c:numCache>
                <c:formatCode>General</c:formatCode>
                <c:ptCount val="6"/>
                <c:pt idx="0">
                  <c:v>12</c:v>
                </c:pt>
                <c:pt idx="1">
                  <c:v>15</c:v>
                </c:pt>
                <c:pt idx="2">
                  <c:v>13</c:v>
                </c:pt>
                <c:pt idx="3">
                  <c:v>15</c:v>
                </c:pt>
                <c:pt idx="4">
                  <c:v>17</c:v>
                </c:pt>
                <c:pt idx="5">
                  <c:v>12</c:v>
                </c:pt>
              </c:numCache>
            </c:numRef>
          </c:val>
          <c:smooth val="0"/>
        </c:ser>
        <c:ser>
          <c:idx val="7"/>
          <c:order val="7"/>
          <c:tx>
            <c:strRef>
              <c:f>' khazak'!$A$10</c:f>
              <c:strCache>
                <c:ptCount val="1"/>
                <c:pt idx="0">
                  <c:v>Turquie</c:v>
                </c:pt>
              </c:strCache>
            </c:strRef>
          </c:tx>
          <c:spPr>
            <a:ln w="28575" cap="rnd">
              <a:solidFill>
                <a:schemeClr val="accent2">
                  <a:lumMod val="60000"/>
                </a:schemeClr>
              </a:solidFill>
              <a:round/>
            </a:ln>
            <a:effectLst/>
          </c:spPr>
          <c:marker>
            <c:symbol val="none"/>
          </c:marker>
          <c:val>
            <c:numRef>
              <c:f>' khazak'!$B$10:$G$10</c:f>
              <c:numCache>
                <c:formatCode>General</c:formatCode>
                <c:ptCount val="6"/>
                <c:pt idx="0">
                  <c:v>5.7</c:v>
                </c:pt>
                <c:pt idx="1">
                  <c:v>2.2999999999999998</c:v>
                </c:pt>
                <c:pt idx="2">
                  <c:v>2.5</c:v>
                </c:pt>
                <c:pt idx="3">
                  <c:v>4.4000000000000004</c:v>
                </c:pt>
                <c:pt idx="4">
                  <c:v>2.9</c:v>
                </c:pt>
                <c:pt idx="5">
                  <c:v>2.9</c:v>
                </c:pt>
              </c:numCache>
            </c:numRef>
          </c:val>
          <c:smooth val="0"/>
        </c:ser>
        <c:ser>
          <c:idx val="8"/>
          <c:order val="8"/>
          <c:tx>
            <c:strRef>
              <c:f>' khazak'!$A$12</c:f>
              <c:strCache>
                <c:ptCount val="1"/>
                <c:pt idx="0">
                  <c:v>UEE</c:v>
                </c:pt>
              </c:strCache>
            </c:strRef>
          </c:tx>
          <c:spPr>
            <a:ln w="28575" cap="rnd">
              <a:solidFill>
                <a:schemeClr val="accent3">
                  <a:lumMod val="60000"/>
                </a:schemeClr>
              </a:solidFill>
              <a:round/>
            </a:ln>
            <a:effectLst/>
          </c:spPr>
          <c:marker>
            <c:symbol val="none"/>
          </c:marker>
          <c:val>
            <c:numRef>
              <c:f>' khazak'!$B$12:$G$12</c:f>
              <c:numCache>
                <c:formatCode>General</c:formatCode>
                <c:ptCount val="6"/>
                <c:pt idx="0">
                  <c:v>27.729999999999997</c:v>
                </c:pt>
                <c:pt idx="1">
                  <c:v>20.268500000000003</c:v>
                </c:pt>
                <c:pt idx="2">
                  <c:v>14.950000000000001</c:v>
                </c:pt>
                <c:pt idx="3">
                  <c:v>13.065000000000001</c:v>
                </c:pt>
                <c:pt idx="4">
                  <c:v>9.3309999999999995</c:v>
                </c:pt>
                <c:pt idx="5">
                  <c:v>8.9429999999999996</c:v>
                </c:pt>
              </c:numCache>
            </c:numRef>
          </c:val>
          <c:smooth val="0"/>
        </c:ser>
        <c:dLbls>
          <c:showLegendKey val="0"/>
          <c:showVal val="0"/>
          <c:showCatName val="0"/>
          <c:showSerName val="0"/>
          <c:showPercent val="0"/>
          <c:showBubbleSize val="0"/>
        </c:dLbls>
        <c:smooth val="0"/>
        <c:axId val="431324888"/>
        <c:axId val="431325280"/>
      </c:lineChart>
      <c:catAx>
        <c:axId val="431324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325280"/>
        <c:crosses val="autoZero"/>
        <c:auto val="1"/>
        <c:lblAlgn val="ctr"/>
        <c:lblOffset val="100"/>
        <c:noMultiLvlLbl val="0"/>
      </c:catAx>
      <c:valAx>
        <c:axId val="431325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324888"/>
        <c:crosses val="autoZero"/>
        <c:crossBetween val="between"/>
      </c:valAx>
      <c:spPr>
        <a:noFill/>
        <a:ln>
          <a:noFill/>
        </a:ln>
        <a:effectLst/>
      </c:spPr>
    </c:plotArea>
    <c:legend>
      <c:legendPos val="b"/>
      <c:layout>
        <c:manualLayout>
          <c:xMode val="edge"/>
          <c:yMode val="edge"/>
          <c:x val="5.7948626505119519E-2"/>
          <c:y val="0.86010251256663983"/>
          <c:w val="0.92224301521308649"/>
          <c:h val="0.1398974874333601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fr-BE" sz="1000" b="0" i="0" baseline="0">
                <a:effectLst/>
              </a:rPr>
              <a:t>Origine des importations du Kazakhstan</a:t>
            </a:r>
          </a:p>
          <a:p>
            <a:pPr>
              <a:defRPr sz="1000"/>
            </a:pPr>
            <a:r>
              <a:rPr lang="fr-BE" sz="1000" b="0" i="0" u="none" strike="noStrike" baseline="0">
                <a:effectLst/>
              </a:rPr>
              <a:t>1999-2014 </a:t>
            </a:r>
            <a:r>
              <a:rPr lang="fr-BE" sz="1000" b="0" i="0" baseline="0">
                <a:effectLst/>
              </a:rPr>
              <a:t> (en %)</a:t>
            </a:r>
            <a:endParaRPr lang="fr-BE" sz="1000">
              <a:effectLst/>
            </a:endParaRP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9.7136482939632549E-2"/>
          <c:y val="0.11299619358346928"/>
          <c:w val="0.90286351706036749"/>
          <c:h val="0.69054133323057298"/>
        </c:manualLayout>
      </c:layout>
      <c:lineChart>
        <c:grouping val="standard"/>
        <c:varyColors val="0"/>
        <c:ser>
          <c:idx val="0"/>
          <c:order val="0"/>
          <c:tx>
            <c:strRef>
              <c:f>' khazak'!$A$21</c:f>
              <c:strCache>
                <c:ptCount val="1"/>
                <c:pt idx="0">
                  <c:v>Biélorussie</c:v>
                </c:pt>
              </c:strCache>
            </c:strRef>
          </c:tx>
          <c:spPr>
            <a:ln w="28575" cap="rnd">
              <a:solidFill>
                <a:schemeClr val="accent1"/>
              </a:solidFill>
              <a:round/>
            </a:ln>
            <a:effectLst/>
          </c:spPr>
          <c:marker>
            <c:symbol val="none"/>
          </c:marker>
          <c:cat>
            <c:numRef>
              <c:f>' khazak'!$B$20:$G$20</c:f>
              <c:numCache>
                <c:formatCode>General</c:formatCode>
                <c:ptCount val="6"/>
                <c:pt idx="0">
                  <c:v>1999</c:v>
                </c:pt>
                <c:pt idx="1">
                  <c:v>2002</c:v>
                </c:pt>
                <c:pt idx="2">
                  <c:v>2005</c:v>
                </c:pt>
                <c:pt idx="3">
                  <c:v>2008</c:v>
                </c:pt>
                <c:pt idx="4">
                  <c:v>2011</c:v>
                </c:pt>
                <c:pt idx="5">
                  <c:v>2014</c:v>
                </c:pt>
              </c:numCache>
            </c:numRef>
          </c:cat>
          <c:val>
            <c:numRef>
              <c:f>' khazak'!$B$21:$G$21</c:f>
              <c:numCache>
                <c:formatCode>General</c:formatCode>
                <c:ptCount val="6"/>
                <c:pt idx="0">
                  <c:v>0.82</c:v>
                </c:pt>
                <c:pt idx="1">
                  <c:v>0.8</c:v>
                </c:pt>
                <c:pt idx="2">
                  <c:v>1.1000000000000001</c:v>
                </c:pt>
                <c:pt idx="3">
                  <c:v>1</c:v>
                </c:pt>
                <c:pt idx="4">
                  <c:v>1.5</c:v>
                </c:pt>
                <c:pt idx="5">
                  <c:v>1.7</c:v>
                </c:pt>
              </c:numCache>
            </c:numRef>
          </c:val>
          <c:smooth val="0"/>
        </c:ser>
        <c:ser>
          <c:idx val="1"/>
          <c:order val="1"/>
          <c:tx>
            <c:strRef>
              <c:f>' khazak'!$A$22</c:f>
              <c:strCache>
                <c:ptCount val="1"/>
                <c:pt idx="0">
                  <c:v>Russie</c:v>
                </c:pt>
              </c:strCache>
            </c:strRef>
          </c:tx>
          <c:spPr>
            <a:ln w="28575" cap="rnd">
              <a:solidFill>
                <a:schemeClr val="accent2"/>
              </a:solidFill>
              <a:round/>
            </a:ln>
            <a:effectLst/>
          </c:spPr>
          <c:marker>
            <c:symbol val="none"/>
          </c:marker>
          <c:cat>
            <c:numRef>
              <c:f>' khazak'!$B$20:$G$20</c:f>
              <c:numCache>
                <c:formatCode>General</c:formatCode>
                <c:ptCount val="6"/>
                <c:pt idx="0">
                  <c:v>1999</c:v>
                </c:pt>
                <c:pt idx="1">
                  <c:v>2002</c:v>
                </c:pt>
                <c:pt idx="2">
                  <c:v>2005</c:v>
                </c:pt>
                <c:pt idx="3">
                  <c:v>2008</c:v>
                </c:pt>
                <c:pt idx="4">
                  <c:v>2011</c:v>
                </c:pt>
                <c:pt idx="5">
                  <c:v>2014</c:v>
                </c:pt>
              </c:numCache>
            </c:numRef>
          </c:cat>
          <c:val>
            <c:numRef>
              <c:f>' khazak'!$B$22:$G$22</c:f>
              <c:numCache>
                <c:formatCode>General</c:formatCode>
                <c:ptCount val="6"/>
                <c:pt idx="0">
                  <c:v>35</c:v>
                </c:pt>
                <c:pt idx="1">
                  <c:v>37</c:v>
                </c:pt>
                <c:pt idx="2">
                  <c:v>37</c:v>
                </c:pt>
                <c:pt idx="3">
                  <c:v>36</c:v>
                </c:pt>
                <c:pt idx="4">
                  <c:v>39</c:v>
                </c:pt>
                <c:pt idx="5">
                  <c:v>31</c:v>
                </c:pt>
              </c:numCache>
            </c:numRef>
          </c:val>
          <c:smooth val="0"/>
        </c:ser>
        <c:ser>
          <c:idx val="2"/>
          <c:order val="2"/>
          <c:tx>
            <c:strRef>
              <c:f>' khazak'!$A$23</c:f>
              <c:strCache>
                <c:ptCount val="1"/>
                <c:pt idx="0">
                  <c:v>Tadjikistan</c:v>
                </c:pt>
              </c:strCache>
            </c:strRef>
          </c:tx>
          <c:spPr>
            <a:ln w="28575" cap="rnd">
              <a:solidFill>
                <a:schemeClr val="accent3"/>
              </a:solidFill>
              <a:round/>
            </a:ln>
            <a:effectLst/>
          </c:spPr>
          <c:marker>
            <c:symbol val="none"/>
          </c:marker>
          <c:cat>
            <c:numRef>
              <c:f>' khazak'!$B$20:$G$20</c:f>
              <c:numCache>
                <c:formatCode>General</c:formatCode>
                <c:ptCount val="6"/>
                <c:pt idx="0">
                  <c:v>1999</c:v>
                </c:pt>
                <c:pt idx="1">
                  <c:v>2002</c:v>
                </c:pt>
                <c:pt idx="2">
                  <c:v>2005</c:v>
                </c:pt>
                <c:pt idx="3">
                  <c:v>2008</c:v>
                </c:pt>
                <c:pt idx="4">
                  <c:v>2011</c:v>
                </c:pt>
                <c:pt idx="5">
                  <c:v>2014</c:v>
                </c:pt>
              </c:numCache>
            </c:numRef>
          </c:cat>
          <c:val>
            <c:numRef>
              <c:f>' khazak'!$B$23:$G$23</c:f>
              <c:numCache>
                <c:formatCode>General</c:formatCode>
                <c:ptCount val="6"/>
                <c:pt idx="0">
                  <c:v>6.5000000000000002E-2</c:v>
                </c:pt>
                <c:pt idx="1">
                  <c:v>4.4999999999999998E-2</c:v>
                </c:pt>
                <c:pt idx="2">
                  <c:v>9.4E-2</c:v>
                </c:pt>
                <c:pt idx="3">
                  <c:v>1.0999999999999999E-2</c:v>
                </c:pt>
                <c:pt idx="4">
                  <c:v>0.13</c:v>
                </c:pt>
                <c:pt idx="5">
                  <c:v>0.44</c:v>
                </c:pt>
              </c:numCache>
            </c:numRef>
          </c:val>
          <c:smooth val="0"/>
        </c:ser>
        <c:ser>
          <c:idx val="3"/>
          <c:order val="3"/>
          <c:tx>
            <c:strRef>
              <c:f>' khazak'!$A$24</c:f>
              <c:strCache>
                <c:ptCount val="1"/>
                <c:pt idx="0">
                  <c:v>Kirghizstan</c:v>
                </c:pt>
              </c:strCache>
            </c:strRef>
          </c:tx>
          <c:spPr>
            <a:ln w="28575" cap="rnd">
              <a:solidFill>
                <a:schemeClr val="accent4"/>
              </a:solidFill>
              <a:round/>
            </a:ln>
            <a:effectLst/>
          </c:spPr>
          <c:marker>
            <c:symbol val="none"/>
          </c:marker>
          <c:cat>
            <c:numRef>
              <c:f>' khazak'!$B$20:$G$20</c:f>
              <c:numCache>
                <c:formatCode>General</c:formatCode>
                <c:ptCount val="6"/>
                <c:pt idx="0">
                  <c:v>1999</c:v>
                </c:pt>
                <c:pt idx="1">
                  <c:v>2002</c:v>
                </c:pt>
                <c:pt idx="2">
                  <c:v>2005</c:v>
                </c:pt>
                <c:pt idx="3">
                  <c:v>2008</c:v>
                </c:pt>
                <c:pt idx="4">
                  <c:v>2011</c:v>
                </c:pt>
                <c:pt idx="5">
                  <c:v>2014</c:v>
                </c:pt>
              </c:numCache>
            </c:numRef>
          </c:cat>
          <c:val>
            <c:numRef>
              <c:f>' khazak'!$B$24:$G$24</c:f>
              <c:numCache>
                <c:formatCode>General</c:formatCode>
                <c:ptCount val="6"/>
                <c:pt idx="0">
                  <c:v>0.73</c:v>
                </c:pt>
                <c:pt idx="1">
                  <c:v>0.48</c:v>
                </c:pt>
                <c:pt idx="2">
                  <c:v>0.67</c:v>
                </c:pt>
                <c:pt idx="3">
                  <c:v>0.46</c:v>
                </c:pt>
                <c:pt idx="4">
                  <c:v>0.64</c:v>
                </c:pt>
                <c:pt idx="5">
                  <c:v>0.85</c:v>
                </c:pt>
              </c:numCache>
            </c:numRef>
          </c:val>
          <c:smooth val="0"/>
        </c:ser>
        <c:ser>
          <c:idx val="4"/>
          <c:order val="4"/>
          <c:tx>
            <c:strRef>
              <c:f>' khazak'!$A$25</c:f>
              <c:strCache>
                <c:ptCount val="1"/>
                <c:pt idx="0">
                  <c:v>Armenie</c:v>
                </c:pt>
              </c:strCache>
            </c:strRef>
          </c:tx>
          <c:spPr>
            <a:ln w="28575" cap="rnd">
              <a:solidFill>
                <a:schemeClr val="accent5"/>
              </a:solidFill>
              <a:round/>
            </a:ln>
            <a:effectLst/>
          </c:spPr>
          <c:marker>
            <c:symbol val="none"/>
          </c:marker>
          <c:cat>
            <c:numRef>
              <c:f>' khazak'!$B$20:$G$20</c:f>
              <c:numCache>
                <c:formatCode>General</c:formatCode>
                <c:ptCount val="6"/>
                <c:pt idx="0">
                  <c:v>1999</c:v>
                </c:pt>
                <c:pt idx="1">
                  <c:v>2002</c:v>
                </c:pt>
                <c:pt idx="2">
                  <c:v>2005</c:v>
                </c:pt>
                <c:pt idx="3">
                  <c:v>2008</c:v>
                </c:pt>
                <c:pt idx="4">
                  <c:v>2011</c:v>
                </c:pt>
                <c:pt idx="5">
                  <c:v>2014</c:v>
                </c:pt>
              </c:numCache>
            </c:numRef>
          </c:cat>
          <c:val>
            <c:numRef>
              <c:f>' khazak'!$B$25:$G$25</c:f>
              <c:numCache>
                <c:formatCode>General</c:formatCode>
                <c:ptCount val="6"/>
                <c:pt idx="0">
                  <c:v>0</c:v>
                </c:pt>
                <c:pt idx="1">
                  <c:v>0.01</c:v>
                </c:pt>
                <c:pt idx="2">
                  <c:v>1.2E-2</c:v>
                </c:pt>
                <c:pt idx="3">
                  <c:v>2.3E-2</c:v>
                </c:pt>
                <c:pt idx="4">
                  <c:v>8.9999999999999993E-3</c:v>
                </c:pt>
                <c:pt idx="5">
                  <c:v>1.9E-2</c:v>
                </c:pt>
              </c:numCache>
            </c:numRef>
          </c:val>
          <c:smooth val="0"/>
        </c:ser>
        <c:ser>
          <c:idx val="5"/>
          <c:order val="5"/>
          <c:tx>
            <c:strRef>
              <c:f>' khazak'!$A$26</c:f>
              <c:strCache>
                <c:ptCount val="1"/>
                <c:pt idx="0">
                  <c:v>Union Européenne</c:v>
                </c:pt>
              </c:strCache>
            </c:strRef>
          </c:tx>
          <c:spPr>
            <a:ln w="28575" cap="rnd">
              <a:solidFill>
                <a:schemeClr val="accent6"/>
              </a:solidFill>
              <a:round/>
            </a:ln>
            <a:effectLst/>
          </c:spPr>
          <c:marker>
            <c:symbol val="none"/>
          </c:marker>
          <c:cat>
            <c:numRef>
              <c:f>' khazak'!$B$20:$G$20</c:f>
              <c:numCache>
                <c:formatCode>General</c:formatCode>
                <c:ptCount val="6"/>
                <c:pt idx="0">
                  <c:v>1999</c:v>
                </c:pt>
                <c:pt idx="1">
                  <c:v>2002</c:v>
                </c:pt>
                <c:pt idx="2">
                  <c:v>2005</c:v>
                </c:pt>
                <c:pt idx="3">
                  <c:v>2008</c:v>
                </c:pt>
                <c:pt idx="4">
                  <c:v>2011</c:v>
                </c:pt>
                <c:pt idx="5">
                  <c:v>2014</c:v>
                </c:pt>
              </c:numCache>
            </c:numRef>
          </c:cat>
          <c:val>
            <c:numRef>
              <c:f>' khazak'!$B$26:$G$26</c:f>
              <c:numCache>
                <c:formatCode>General</c:formatCode>
                <c:ptCount val="6"/>
                <c:pt idx="0">
                  <c:v>33.89</c:v>
                </c:pt>
                <c:pt idx="1">
                  <c:v>29.1</c:v>
                </c:pt>
                <c:pt idx="2">
                  <c:v>26.1</c:v>
                </c:pt>
                <c:pt idx="3">
                  <c:v>24</c:v>
                </c:pt>
                <c:pt idx="4">
                  <c:v>19</c:v>
                </c:pt>
                <c:pt idx="5">
                  <c:v>19.399999999999999</c:v>
                </c:pt>
              </c:numCache>
            </c:numRef>
          </c:val>
          <c:smooth val="0"/>
        </c:ser>
        <c:ser>
          <c:idx val="6"/>
          <c:order val="6"/>
          <c:tx>
            <c:strRef>
              <c:f>' khazak'!$A$27</c:f>
              <c:strCache>
                <c:ptCount val="1"/>
                <c:pt idx="0">
                  <c:v>Chine</c:v>
                </c:pt>
              </c:strCache>
            </c:strRef>
          </c:tx>
          <c:spPr>
            <a:ln w="28575" cap="rnd">
              <a:solidFill>
                <a:schemeClr val="accent1">
                  <a:lumMod val="60000"/>
                </a:schemeClr>
              </a:solidFill>
              <a:round/>
            </a:ln>
            <a:effectLst/>
          </c:spPr>
          <c:marker>
            <c:symbol val="none"/>
          </c:marker>
          <c:val>
            <c:numRef>
              <c:f>' khazak'!$B$27:$G$27</c:f>
              <c:numCache>
                <c:formatCode>General</c:formatCode>
                <c:ptCount val="6"/>
                <c:pt idx="0">
                  <c:v>4.5999999999999996</c:v>
                </c:pt>
                <c:pt idx="1">
                  <c:v>4.7</c:v>
                </c:pt>
                <c:pt idx="2">
                  <c:v>7</c:v>
                </c:pt>
                <c:pt idx="3">
                  <c:v>12</c:v>
                </c:pt>
                <c:pt idx="4">
                  <c:v>13</c:v>
                </c:pt>
                <c:pt idx="5">
                  <c:v>17</c:v>
                </c:pt>
              </c:numCache>
            </c:numRef>
          </c:val>
          <c:smooth val="0"/>
        </c:ser>
        <c:ser>
          <c:idx val="7"/>
          <c:order val="7"/>
          <c:tx>
            <c:strRef>
              <c:f>' khazak'!$A$28</c:f>
              <c:strCache>
                <c:ptCount val="1"/>
                <c:pt idx="0">
                  <c:v>Turquie</c:v>
                </c:pt>
              </c:strCache>
            </c:strRef>
          </c:tx>
          <c:spPr>
            <a:ln w="28575" cap="rnd">
              <a:solidFill>
                <a:schemeClr val="accent2">
                  <a:lumMod val="60000"/>
                </a:schemeClr>
              </a:solidFill>
              <a:round/>
            </a:ln>
            <a:effectLst/>
          </c:spPr>
          <c:marker>
            <c:symbol val="none"/>
          </c:marker>
          <c:val>
            <c:numRef>
              <c:f>' khazak'!$B$28:$G$28</c:f>
              <c:numCache>
                <c:formatCode>General</c:formatCode>
                <c:ptCount val="6"/>
                <c:pt idx="0">
                  <c:v>2.6</c:v>
                </c:pt>
                <c:pt idx="1">
                  <c:v>2.5</c:v>
                </c:pt>
                <c:pt idx="2">
                  <c:v>2.2999999999999998</c:v>
                </c:pt>
                <c:pt idx="3">
                  <c:v>2.5</c:v>
                </c:pt>
                <c:pt idx="4">
                  <c:v>1.9</c:v>
                </c:pt>
                <c:pt idx="5">
                  <c:v>2.4</c:v>
                </c:pt>
              </c:numCache>
            </c:numRef>
          </c:val>
          <c:smooth val="0"/>
        </c:ser>
        <c:ser>
          <c:idx val="8"/>
          <c:order val="8"/>
          <c:tx>
            <c:strRef>
              <c:f>' khazak'!$A$29</c:f>
              <c:strCache>
                <c:ptCount val="1"/>
                <c:pt idx="0">
                  <c:v>Ukraine</c:v>
                </c:pt>
              </c:strCache>
            </c:strRef>
          </c:tx>
          <c:spPr>
            <a:ln w="28575" cap="rnd">
              <a:solidFill>
                <a:schemeClr val="accent3">
                  <a:lumMod val="60000"/>
                </a:schemeClr>
              </a:solidFill>
              <a:round/>
            </a:ln>
            <a:effectLst/>
          </c:spPr>
          <c:marker>
            <c:symbol val="none"/>
          </c:marker>
          <c:val>
            <c:numRef>
              <c:f>' khazak'!$B$29:$G$29</c:f>
              <c:numCache>
                <c:formatCode>General</c:formatCode>
                <c:ptCount val="6"/>
                <c:pt idx="0">
                  <c:v>1.2</c:v>
                </c:pt>
                <c:pt idx="1">
                  <c:v>3.2</c:v>
                </c:pt>
                <c:pt idx="2">
                  <c:v>4.7</c:v>
                </c:pt>
                <c:pt idx="3">
                  <c:v>5.5</c:v>
                </c:pt>
                <c:pt idx="4">
                  <c:v>4.5</c:v>
                </c:pt>
                <c:pt idx="5">
                  <c:v>2.9</c:v>
                </c:pt>
              </c:numCache>
            </c:numRef>
          </c:val>
          <c:smooth val="0"/>
        </c:ser>
        <c:ser>
          <c:idx val="9"/>
          <c:order val="9"/>
          <c:tx>
            <c:strRef>
              <c:f>' khazak'!$A$30</c:f>
              <c:strCache>
                <c:ptCount val="1"/>
                <c:pt idx="0">
                  <c:v>UEE</c:v>
                </c:pt>
              </c:strCache>
            </c:strRef>
          </c:tx>
          <c:spPr>
            <a:ln w="28575" cap="rnd">
              <a:solidFill>
                <a:schemeClr val="accent4">
                  <a:lumMod val="60000"/>
                </a:schemeClr>
              </a:solidFill>
              <a:round/>
            </a:ln>
            <a:effectLst/>
          </c:spPr>
          <c:marker>
            <c:symbol val="none"/>
          </c:marker>
          <c:val>
            <c:numRef>
              <c:f>' khazak'!$B$30:$G$30</c:f>
              <c:numCache>
                <c:formatCode>General</c:formatCode>
                <c:ptCount val="6"/>
                <c:pt idx="0">
                  <c:v>36.549999999999997</c:v>
                </c:pt>
                <c:pt idx="1">
                  <c:v>38.289999999999992</c:v>
                </c:pt>
                <c:pt idx="2">
                  <c:v>38.782000000000004</c:v>
                </c:pt>
                <c:pt idx="3">
                  <c:v>37.483000000000004</c:v>
                </c:pt>
                <c:pt idx="4">
                  <c:v>41.149000000000001</c:v>
                </c:pt>
                <c:pt idx="5">
                  <c:v>33.569000000000003</c:v>
                </c:pt>
              </c:numCache>
            </c:numRef>
          </c:val>
          <c:smooth val="0"/>
        </c:ser>
        <c:dLbls>
          <c:showLegendKey val="0"/>
          <c:showVal val="0"/>
          <c:showCatName val="0"/>
          <c:showSerName val="0"/>
          <c:showPercent val="0"/>
          <c:showBubbleSize val="0"/>
        </c:dLbls>
        <c:smooth val="0"/>
        <c:axId val="431128176"/>
        <c:axId val="431128568"/>
      </c:lineChart>
      <c:catAx>
        <c:axId val="431128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128568"/>
        <c:crosses val="autoZero"/>
        <c:auto val="1"/>
        <c:lblAlgn val="ctr"/>
        <c:lblOffset val="100"/>
        <c:noMultiLvlLbl val="0"/>
      </c:catAx>
      <c:valAx>
        <c:axId val="431128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128176"/>
        <c:crosses val="autoZero"/>
        <c:crossBetween val="between"/>
      </c:valAx>
      <c:spPr>
        <a:noFill/>
        <a:ln>
          <a:noFill/>
        </a:ln>
        <a:effectLst/>
      </c:spPr>
    </c:plotArea>
    <c:legend>
      <c:legendPos val="b"/>
      <c:layout>
        <c:manualLayout>
          <c:xMode val="edge"/>
          <c:yMode val="edge"/>
          <c:x val="5.7948626505119519E-2"/>
          <c:y val="0.86047350397497324"/>
          <c:w val="0.92701059566600663"/>
          <c:h val="0.1250616937106583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US" sz="1000" baseline="0"/>
              <a:t>E</a:t>
            </a:r>
            <a:r>
              <a:rPr lang="en-US" sz="1000"/>
              <a:t>xportations de la Biélorussie par destination (en %)</a:t>
            </a:r>
          </a:p>
          <a:p>
            <a:pPr>
              <a:defRPr sz="1000"/>
            </a:pPr>
            <a:r>
              <a:rPr lang="en-US" sz="1000"/>
              <a:t>(1999-2008-2014) </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v>1999</c:v>
          </c:tx>
          <c:spPr>
            <a:solidFill>
              <a:schemeClr val="accent1"/>
            </a:solidFill>
            <a:ln>
              <a:noFill/>
            </a:ln>
            <a:effectLst/>
          </c:spPr>
          <c:invertIfNegative val="0"/>
          <c:cat>
            <c:strRef>
              <c:f>'commerce biélorussie'!$A$2:$A$11</c:f>
              <c:strCache>
                <c:ptCount val="10"/>
                <c:pt idx="0">
                  <c:v>Russie</c:v>
                </c:pt>
                <c:pt idx="1">
                  <c:v>Kazakhstan</c:v>
                </c:pt>
                <c:pt idx="2">
                  <c:v>Kirghizstan</c:v>
                </c:pt>
                <c:pt idx="3">
                  <c:v>Armenie</c:v>
                </c:pt>
                <c:pt idx="4">
                  <c:v>Union Européenne</c:v>
                </c:pt>
                <c:pt idx="5">
                  <c:v>Chine</c:v>
                </c:pt>
                <c:pt idx="6">
                  <c:v>Brazil</c:v>
                </c:pt>
                <c:pt idx="7">
                  <c:v>Ukraine</c:v>
                </c:pt>
                <c:pt idx="8">
                  <c:v>Tadjikistan</c:v>
                </c:pt>
                <c:pt idx="9">
                  <c:v>UEE</c:v>
                </c:pt>
              </c:strCache>
            </c:strRef>
          </c:cat>
          <c:val>
            <c:numRef>
              <c:f>'commerce biélorussie'!$B$2:$B$11</c:f>
              <c:numCache>
                <c:formatCode>General</c:formatCode>
                <c:ptCount val="10"/>
                <c:pt idx="0">
                  <c:v>64</c:v>
                </c:pt>
                <c:pt idx="1">
                  <c:v>0.73</c:v>
                </c:pt>
                <c:pt idx="2">
                  <c:v>8.8999999999999996E-2</c:v>
                </c:pt>
                <c:pt idx="3">
                  <c:v>0</c:v>
                </c:pt>
                <c:pt idx="4">
                  <c:v>22</c:v>
                </c:pt>
                <c:pt idx="5">
                  <c:v>0.41</c:v>
                </c:pt>
                <c:pt idx="6">
                  <c:v>0.85</c:v>
                </c:pt>
                <c:pt idx="7">
                  <c:v>6.8</c:v>
                </c:pt>
                <c:pt idx="8">
                  <c:v>0</c:v>
                </c:pt>
                <c:pt idx="9">
                  <c:v>64.819000000000003</c:v>
                </c:pt>
              </c:numCache>
            </c:numRef>
          </c:val>
        </c:ser>
        <c:ser>
          <c:idx val="1"/>
          <c:order val="1"/>
          <c:tx>
            <c:v>2008</c:v>
          </c:tx>
          <c:spPr>
            <a:solidFill>
              <a:schemeClr val="accent2"/>
            </a:solidFill>
            <a:ln>
              <a:noFill/>
            </a:ln>
            <a:effectLst/>
          </c:spPr>
          <c:invertIfNegative val="0"/>
          <c:cat>
            <c:strRef>
              <c:f>'commerce biélorussie'!$A$2:$A$11</c:f>
              <c:strCache>
                <c:ptCount val="10"/>
                <c:pt idx="0">
                  <c:v>Russie</c:v>
                </c:pt>
                <c:pt idx="1">
                  <c:v>Kazakhstan</c:v>
                </c:pt>
                <c:pt idx="2">
                  <c:v>Kirghizstan</c:v>
                </c:pt>
                <c:pt idx="3">
                  <c:v>Armenie</c:v>
                </c:pt>
                <c:pt idx="4">
                  <c:v>Union Européenne</c:v>
                </c:pt>
                <c:pt idx="5">
                  <c:v>Chine</c:v>
                </c:pt>
                <c:pt idx="6">
                  <c:v>Brazil</c:v>
                </c:pt>
                <c:pt idx="7">
                  <c:v>Ukraine</c:v>
                </c:pt>
                <c:pt idx="8">
                  <c:v>Tadjikistan</c:v>
                </c:pt>
                <c:pt idx="9">
                  <c:v>UEE</c:v>
                </c:pt>
              </c:strCache>
            </c:strRef>
          </c:cat>
          <c:val>
            <c:numRef>
              <c:f>'commerce biélorussie'!$C$2:$C$11</c:f>
              <c:numCache>
                <c:formatCode>General</c:formatCode>
                <c:ptCount val="10"/>
                <c:pt idx="0">
                  <c:v>42</c:v>
                </c:pt>
                <c:pt idx="1">
                  <c:v>1.5</c:v>
                </c:pt>
                <c:pt idx="2">
                  <c:v>0.17</c:v>
                </c:pt>
                <c:pt idx="3">
                  <c:v>0.11</c:v>
                </c:pt>
                <c:pt idx="4">
                  <c:v>29</c:v>
                </c:pt>
                <c:pt idx="5">
                  <c:v>1.9</c:v>
                </c:pt>
                <c:pt idx="6">
                  <c:v>4.8</c:v>
                </c:pt>
                <c:pt idx="7">
                  <c:v>11</c:v>
                </c:pt>
                <c:pt idx="8">
                  <c:v>0</c:v>
                </c:pt>
                <c:pt idx="9">
                  <c:v>43.78</c:v>
                </c:pt>
              </c:numCache>
            </c:numRef>
          </c:val>
        </c:ser>
        <c:ser>
          <c:idx val="2"/>
          <c:order val="2"/>
          <c:tx>
            <c:v>2014</c:v>
          </c:tx>
          <c:spPr>
            <a:solidFill>
              <a:schemeClr val="accent3"/>
            </a:solidFill>
            <a:ln>
              <a:noFill/>
            </a:ln>
            <a:effectLst/>
          </c:spPr>
          <c:invertIfNegative val="0"/>
          <c:cat>
            <c:strRef>
              <c:f>'commerce biélorussie'!$A$2:$A$11</c:f>
              <c:strCache>
                <c:ptCount val="10"/>
                <c:pt idx="0">
                  <c:v>Russie</c:v>
                </c:pt>
                <c:pt idx="1">
                  <c:v>Kazakhstan</c:v>
                </c:pt>
                <c:pt idx="2">
                  <c:v>Kirghizstan</c:v>
                </c:pt>
                <c:pt idx="3">
                  <c:v>Armenie</c:v>
                </c:pt>
                <c:pt idx="4">
                  <c:v>Union Européenne</c:v>
                </c:pt>
                <c:pt idx="5">
                  <c:v>Chine</c:v>
                </c:pt>
                <c:pt idx="6">
                  <c:v>Brazil</c:v>
                </c:pt>
                <c:pt idx="7">
                  <c:v>Ukraine</c:v>
                </c:pt>
                <c:pt idx="8">
                  <c:v>Tadjikistan</c:v>
                </c:pt>
                <c:pt idx="9">
                  <c:v>UEE</c:v>
                </c:pt>
              </c:strCache>
            </c:strRef>
          </c:cat>
          <c:val>
            <c:numRef>
              <c:f>'commerce biélorussie'!$D$2:$D$11</c:f>
              <c:numCache>
                <c:formatCode>General</c:formatCode>
                <c:ptCount val="10"/>
                <c:pt idx="0">
                  <c:v>39</c:v>
                </c:pt>
                <c:pt idx="1">
                  <c:v>2.2000000000000002</c:v>
                </c:pt>
                <c:pt idx="2">
                  <c:v>0.25</c:v>
                </c:pt>
                <c:pt idx="3">
                  <c:v>7.4999999999999997E-2</c:v>
                </c:pt>
                <c:pt idx="4">
                  <c:v>28.21</c:v>
                </c:pt>
                <c:pt idx="5">
                  <c:v>1.7</c:v>
                </c:pt>
                <c:pt idx="6">
                  <c:v>2</c:v>
                </c:pt>
                <c:pt idx="7">
                  <c:v>2.5</c:v>
                </c:pt>
                <c:pt idx="8">
                  <c:v>8.4000000000000005E-2</c:v>
                </c:pt>
                <c:pt idx="9">
                  <c:v>41.525000000000006</c:v>
                </c:pt>
              </c:numCache>
            </c:numRef>
          </c:val>
        </c:ser>
        <c:dLbls>
          <c:showLegendKey val="0"/>
          <c:showVal val="0"/>
          <c:showCatName val="0"/>
          <c:showSerName val="0"/>
          <c:showPercent val="0"/>
          <c:showBubbleSize val="0"/>
        </c:dLbls>
        <c:gapWidth val="219"/>
        <c:overlap val="-27"/>
        <c:axId val="431129352"/>
        <c:axId val="431129744"/>
      </c:barChart>
      <c:catAx>
        <c:axId val="431129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129744"/>
        <c:crosses val="autoZero"/>
        <c:auto val="1"/>
        <c:lblAlgn val="ctr"/>
        <c:lblOffset val="100"/>
        <c:noMultiLvlLbl val="0"/>
      </c:catAx>
      <c:valAx>
        <c:axId val="431129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1129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B1BDCB-9B3F-4DC7-AFE5-DA9E21553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3097</TotalTime>
  <Pages>1</Pages>
  <Words>5434</Words>
  <Characters>30978</Characters>
  <Application>Microsoft Office Word</Application>
  <DocSecurity>0</DocSecurity>
  <Lines>258</Lines>
  <Paragraphs>72</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36340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jean-christophe</dc:creator>
  <cp:keywords/>
  <dc:description/>
  <cp:lastModifiedBy>jean-christophe</cp:lastModifiedBy>
  <cp:revision>66</cp:revision>
  <dcterms:created xsi:type="dcterms:W3CDTF">2016-09-17T08:33:00Z</dcterms:created>
  <dcterms:modified xsi:type="dcterms:W3CDTF">2016-10-25T21:36:00Z</dcterms:modified>
</cp:coreProperties>
</file>