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C51BE" w14:textId="198B44CA" w:rsidR="00DF0C44" w:rsidRPr="00EB5F23" w:rsidRDefault="00C5056B" w:rsidP="00EB5F23">
      <w:pPr>
        <w:spacing w:line="276" w:lineRule="auto"/>
        <w:jc w:val="both"/>
        <w:rPr>
          <w:rFonts w:cs="Times New Roman"/>
          <w:lang w:val="en-US"/>
        </w:rPr>
      </w:pPr>
      <w:r w:rsidRPr="00EB5F23">
        <w:rPr>
          <w:smallCaps/>
          <w:lang w:val="en-US"/>
        </w:rPr>
        <w:t>Robins</w:t>
      </w:r>
      <w:r w:rsidRPr="00EB5F23">
        <w:rPr>
          <w:rFonts w:cs="Times New Roman"/>
          <w:smallCaps/>
          <w:lang w:val="en-US"/>
        </w:rPr>
        <w:t>on</w:t>
      </w:r>
      <w:r w:rsidRPr="00EB5F23">
        <w:rPr>
          <w:rFonts w:cs="Times New Roman"/>
          <w:lang w:val="en-US"/>
        </w:rPr>
        <w:t xml:space="preserve">, Martin E., </w:t>
      </w:r>
      <w:r w:rsidR="00CC30EC" w:rsidRPr="00EB5F23">
        <w:rPr>
          <w:rFonts w:cs="Times New Roman"/>
          <w:i/>
          <w:iCs/>
          <w:lang w:val="en-US"/>
        </w:rPr>
        <w:t>Augustine, Rahner and Trinitarian Exegesis. An Exploration of Augustine's Exegesis of Scripture as a Foundation for Rahner's Trinitarian Project and Rule</w:t>
      </w:r>
      <w:r w:rsidRPr="00EB5F23">
        <w:rPr>
          <w:rFonts w:cs="Times New Roman"/>
          <w:lang w:val="en-US"/>
        </w:rPr>
        <w:t>, T</w:t>
      </w:r>
      <w:r w:rsidRPr="00EB5F23">
        <w:rPr>
          <w:rFonts w:cs="Times New Roman"/>
          <w:lang w:val="en-US"/>
        </w:rPr>
        <w:sym w:font="Symbol" w:char="F026"/>
      </w:r>
      <w:proofErr w:type="spellStart"/>
      <w:r w:rsidRPr="00EB5F23">
        <w:rPr>
          <w:rFonts w:cs="Times New Roman"/>
          <w:lang w:val="en-US"/>
        </w:rPr>
        <w:t>Tclark</w:t>
      </w:r>
      <w:proofErr w:type="spellEnd"/>
      <w:r w:rsidRPr="00EB5F23">
        <w:rPr>
          <w:rFonts w:cs="Times New Roman"/>
          <w:lang w:val="en-US"/>
        </w:rPr>
        <w:t>, London</w:t>
      </w:r>
      <w:r w:rsidR="00CF3F86" w:rsidRPr="00EB5F23">
        <w:rPr>
          <w:rFonts w:cs="Times New Roman"/>
          <w:lang w:val="en-US"/>
        </w:rPr>
        <w:t>/</w:t>
      </w:r>
      <w:r w:rsidRPr="00EB5F23">
        <w:rPr>
          <w:rFonts w:cs="Times New Roman"/>
          <w:lang w:val="en-US"/>
        </w:rPr>
        <w:t>New York</w:t>
      </w:r>
      <w:r w:rsidR="00CF3F86" w:rsidRPr="00EB5F23">
        <w:rPr>
          <w:rFonts w:cs="Times New Roman"/>
          <w:lang w:val="en-US"/>
        </w:rPr>
        <w:t>/</w:t>
      </w:r>
      <w:r w:rsidRPr="00EB5F23">
        <w:rPr>
          <w:rFonts w:cs="Times New Roman"/>
          <w:lang w:val="en-US"/>
        </w:rPr>
        <w:t>Dub</w:t>
      </w:r>
      <w:r w:rsidR="00021D81">
        <w:rPr>
          <w:rFonts w:cs="Times New Roman"/>
          <w:lang w:val="en-US"/>
        </w:rPr>
        <w:t>l</w:t>
      </w:r>
      <w:r w:rsidRPr="00EB5F23">
        <w:rPr>
          <w:rFonts w:cs="Times New Roman"/>
          <w:lang w:val="en-US"/>
        </w:rPr>
        <w:t>in 2024, 245p.</w:t>
      </w:r>
    </w:p>
    <w:p w14:paraId="714EFF40" w14:textId="2B9102D7" w:rsidR="007F3B12" w:rsidRPr="00EB5F23" w:rsidRDefault="009347F4" w:rsidP="00EB5F23">
      <w:pPr>
        <w:spacing w:line="276" w:lineRule="auto"/>
        <w:jc w:val="both"/>
        <w:rPr>
          <w:rFonts w:cs="Times New Roman"/>
          <w:lang w:val="en-US"/>
        </w:rPr>
      </w:pPr>
      <w:r w:rsidRPr="00EB5F23">
        <w:rPr>
          <w:rFonts w:cs="Times New Roman"/>
          <w:i/>
          <w:iCs/>
          <w:lang w:val="en-US"/>
        </w:rPr>
        <w:t>Augustine, Rahner and Trinitarian Exegesis </w:t>
      </w:r>
      <w:r w:rsidRPr="00EB5F23">
        <w:rPr>
          <w:rFonts w:cs="Times New Roman"/>
          <w:lang w:val="en-US"/>
        </w:rPr>
        <w:t>is the publication of the doctoral research conducted by Martin E.</w:t>
      </w:r>
      <w:r w:rsidR="00C541B1" w:rsidRPr="00EB5F23">
        <w:rPr>
          <w:rFonts w:cs="Times New Roman"/>
          <w:lang w:val="en-US"/>
        </w:rPr>
        <w:t> </w:t>
      </w:r>
      <w:r w:rsidRPr="00EB5F23">
        <w:rPr>
          <w:rFonts w:cs="Times New Roman"/>
          <w:lang w:val="en-US"/>
        </w:rPr>
        <w:t>Robinson under the supervision of Professors David Höhne and Mark Earngey at Moore Theological College (Sydney, Australia).</w:t>
      </w:r>
      <w:r w:rsidR="007F3B12" w:rsidRPr="00EB5F23">
        <w:rPr>
          <w:rFonts w:cs="Times New Roman"/>
          <w:i/>
          <w:iCs/>
          <w:lang w:val="en-US"/>
        </w:rPr>
        <w:t xml:space="preserve"> </w:t>
      </w:r>
      <w:r w:rsidR="007F3B12" w:rsidRPr="00EB5F23">
        <w:rPr>
          <w:rFonts w:cs="Times New Roman"/>
          <w:lang w:val="en-US"/>
        </w:rPr>
        <w:t>Taking Karl Rahner’s </w:t>
      </w:r>
      <w:r w:rsidR="007F3B12" w:rsidRPr="00EB5F23">
        <w:rPr>
          <w:rFonts w:cs="Times New Roman"/>
          <w:i/>
          <w:iCs/>
          <w:lang w:val="en-US"/>
        </w:rPr>
        <w:t>Grundaxiom</w:t>
      </w:r>
      <w:r w:rsidR="007F3B12" w:rsidRPr="00EB5F23">
        <w:rPr>
          <w:rFonts w:cs="Times New Roman"/>
          <w:lang w:val="en-US"/>
        </w:rPr>
        <w:t xml:space="preserve"> (the economic Trinity is the immanent Trinity, </w:t>
      </w:r>
      <w:r w:rsidR="00C541B1" w:rsidRPr="00EB5F23">
        <w:rPr>
          <w:rFonts w:cs="Times New Roman"/>
          <w:lang w:val="en-US"/>
        </w:rPr>
        <w:t>and vice versa</w:t>
      </w:r>
      <w:r w:rsidR="007F3B12" w:rsidRPr="00EB5F23">
        <w:rPr>
          <w:rFonts w:cs="Times New Roman"/>
          <w:lang w:val="en-US"/>
        </w:rPr>
        <w:t xml:space="preserve">) as </w:t>
      </w:r>
      <w:r w:rsidR="00C541B1" w:rsidRPr="00EB5F23">
        <w:rPr>
          <w:rFonts w:cs="Times New Roman"/>
          <w:lang w:val="en-US"/>
        </w:rPr>
        <w:t>the s</w:t>
      </w:r>
      <w:r w:rsidR="007F3B12" w:rsidRPr="00EB5F23">
        <w:rPr>
          <w:rFonts w:cs="Times New Roman"/>
          <w:lang w:val="en-US"/>
        </w:rPr>
        <w:t xml:space="preserve">tarting point, Robinson’s aim is twofold. Firstly, he identifies </w:t>
      </w:r>
      <w:r w:rsidR="00CE173B" w:rsidRPr="00EB5F23">
        <w:rPr>
          <w:rFonts w:cs="Times New Roman"/>
          <w:lang w:val="en-US"/>
        </w:rPr>
        <w:t>eight</w:t>
      </w:r>
      <w:r w:rsidR="007F3B12" w:rsidRPr="00EB5F23">
        <w:rPr>
          <w:rFonts w:cs="Times New Roman"/>
          <w:lang w:val="en-US"/>
        </w:rPr>
        <w:t xml:space="preserve"> criticisms that Rahner addresses directly and indirectly to Augustine and demonstrates why they</w:t>
      </w:r>
      <w:r w:rsidR="00C541B1" w:rsidRPr="00EB5F23">
        <w:rPr>
          <w:rFonts w:cs="Times New Roman"/>
          <w:lang w:val="en-US"/>
        </w:rPr>
        <w:t>’</w:t>
      </w:r>
      <w:r w:rsidR="007F3B12" w:rsidRPr="00EB5F23">
        <w:rPr>
          <w:rFonts w:cs="Times New Roman"/>
          <w:lang w:val="en-US"/>
        </w:rPr>
        <w:t xml:space="preserve">re debatable, or even unjustified. Secondly, Robinson attempts to prove that Augustine’s work provides the </w:t>
      </w:r>
      <w:r w:rsidR="007F3B12" w:rsidRPr="00BB0C7E">
        <w:rPr>
          <w:rFonts w:cs="Times New Roman"/>
          <w:lang w:val="en-US"/>
        </w:rPr>
        <w:t xml:space="preserve">necessary resources to respond appropriately to </w:t>
      </w:r>
      <w:r w:rsidR="00E41033" w:rsidRPr="00BB0C7E">
        <w:rPr>
          <w:rFonts w:cs="Times New Roman"/>
          <w:lang w:val="en-US"/>
        </w:rPr>
        <w:t xml:space="preserve">criticisms </w:t>
      </w:r>
      <w:r w:rsidR="00BB0C7E" w:rsidRPr="00BB0C7E">
        <w:rPr>
          <w:rFonts w:cs="Times New Roman"/>
          <w:lang w:val="en-US"/>
        </w:rPr>
        <w:t>addressed to</w:t>
      </w:r>
      <w:r w:rsidR="00E41033" w:rsidRPr="00BB0C7E">
        <w:rPr>
          <w:rFonts w:cs="Times New Roman"/>
          <w:lang w:val="en-US"/>
        </w:rPr>
        <w:t xml:space="preserve"> Rahner’s </w:t>
      </w:r>
      <w:r w:rsidR="00E41033" w:rsidRPr="00BB0C7E">
        <w:rPr>
          <w:rFonts w:cs="Times New Roman"/>
          <w:i/>
          <w:iCs/>
          <w:lang w:val="en-US"/>
        </w:rPr>
        <w:t>Grundaxiom</w:t>
      </w:r>
      <w:r w:rsidR="00E41033" w:rsidRPr="00BB0C7E">
        <w:rPr>
          <w:rFonts w:cs="Times New Roman"/>
          <w:lang w:val="en-US"/>
        </w:rPr>
        <w:t xml:space="preserve"> concept</w:t>
      </w:r>
      <w:r w:rsidR="007F3B12" w:rsidRPr="00BB0C7E">
        <w:rPr>
          <w:rFonts w:cs="Times New Roman"/>
          <w:lang w:val="en-US"/>
        </w:rPr>
        <w:t>.</w:t>
      </w:r>
      <w:r w:rsidR="00BB0443" w:rsidRPr="00EB5F23">
        <w:rPr>
          <w:rFonts w:cs="Times New Roman"/>
          <w:lang w:val="en-US"/>
        </w:rPr>
        <w:t xml:space="preserve"> His thesis is as follows: Augustine’s Trinitarian exegesis provides significant support for Rahner’s Trinitarian project. Augustine offers both substantial biblical support and solutions to the problems raised by the </w:t>
      </w:r>
      <w:r w:rsidR="00BB0443" w:rsidRPr="00EB5F23">
        <w:rPr>
          <w:rFonts w:cs="Times New Roman"/>
          <w:i/>
          <w:iCs/>
          <w:lang w:val="en-US"/>
        </w:rPr>
        <w:t>Grundaxiom</w:t>
      </w:r>
      <w:r w:rsidR="00BB0443" w:rsidRPr="00EB5F23">
        <w:rPr>
          <w:rFonts w:cs="Times New Roman"/>
          <w:lang w:val="en-US"/>
        </w:rPr>
        <w:t>.</w:t>
      </w:r>
    </w:p>
    <w:p w14:paraId="05905AFC" w14:textId="20442EDE" w:rsidR="00BB0443" w:rsidRPr="00EB5F23" w:rsidRDefault="00BB0443" w:rsidP="00EB5F23">
      <w:pPr>
        <w:spacing w:line="276" w:lineRule="auto"/>
        <w:jc w:val="both"/>
        <w:rPr>
          <w:rFonts w:cs="Times New Roman"/>
          <w:lang w:val="en-US"/>
        </w:rPr>
      </w:pPr>
      <w:r w:rsidRPr="00EB5F23">
        <w:rPr>
          <w:rFonts w:cs="Times New Roman"/>
          <w:lang w:val="en-US"/>
        </w:rPr>
        <w:t xml:space="preserve">The book is divided into six chapters. The first chapter serves as an introduction. </w:t>
      </w:r>
      <w:r w:rsidR="007E6FBF" w:rsidRPr="00EB5F23">
        <w:rPr>
          <w:rFonts w:cs="Times New Roman"/>
          <w:lang w:val="en-US"/>
        </w:rPr>
        <w:t>The author methodically and comprehensively presents the key aspects of his research</w:t>
      </w:r>
      <w:r w:rsidR="00BB0C7E">
        <w:rPr>
          <w:rFonts w:cs="Times New Roman"/>
          <w:lang w:val="en-US"/>
        </w:rPr>
        <w:t xml:space="preserve">. First, </w:t>
      </w:r>
      <w:r w:rsidR="007E6FBF" w:rsidRPr="00EB5F23">
        <w:rPr>
          <w:rFonts w:cs="Times New Roman"/>
          <w:lang w:val="en-US"/>
        </w:rPr>
        <w:t>an overview of the eight criticisms that Rahner</w:t>
      </w:r>
      <w:r w:rsidR="00BB0C7E">
        <w:rPr>
          <w:rFonts w:cs="Times New Roman"/>
          <w:lang w:val="en-US"/>
        </w:rPr>
        <w:t xml:space="preserve"> </w:t>
      </w:r>
      <w:r w:rsidR="007E6FBF" w:rsidRPr="00652F31">
        <w:rPr>
          <w:rFonts w:cs="Times New Roman"/>
          <w:lang w:val="en-US"/>
        </w:rPr>
        <w:t>directs</w:t>
      </w:r>
      <w:r w:rsidR="007E6FBF" w:rsidRPr="00EB5F23">
        <w:rPr>
          <w:rFonts w:cs="Times New Roman"/>
          <w:lang w:val="en-US"/>
        </w:rPr>
        <w:t xml:space="preserve"> </w:t>
      </w:r>
      <w:r w:rsidR="00BB0C7E">
        <w:rPr>
          <w:rFonts w:cs="Times New Roman"/>
          <w:lang w:val="en-US"/>
        </w:rPr>
        <w:t xml:space="preserve">towards </w:t>
      </w:r>
      <w:r w:rsidR="00BB0C7E" w:rsidRPr="00EB5F23">
        <w:rPr>
          <w:rFonts w:cs="Times New Roman"/>
          <w:lang w:val="en-US"/>
        </w:rPr>
        <w:t>Augustine</w:t>
      </w:r>
      <w:r w:rsidR="001E2660">
        <w:rPr>
          <w:rFonts w:cs="Times New Roman"/>
          <w:lang w:val="en-US"/>
        </w:rPr>
        <w:t xml:space="preserve"> </w:t>
      </w:r>
      <w:r w:rsidR="00BB0C7E" w:rsidRPr="00EB5F23">
        <w:rPr>
          <w:rFonts w:cs="Times New Roman"/>
          <w:lang w:val="en-US"/>
        </w:rPr>
        <w:t>and the Western</w:t>
      </w:r>
      <w:r w:rsidR="00BB0C7E">
        <w:rPr>
          <w:rFonts w:cs="Times New Roman"/>
          <w:lang w:val="en-US"/>
        </w:rPr>
        <w:t xml:space="preserve"> tradition</w:t>
      </w:r>
      <w:r w:rsidR="001E2660">
        <w:rPr>
          <w:rFonts w:cs="Times New Roman"/>
          <w:lang w:val="en-US"/>
        </w:rPr>
        <w:t xml:space="preserve"> </w:t>
      </w:r>
      <w:r w:rsidR="001E2660">
        <w:rPr>
          <w:rFonts w:cs="Times New Roman"/>
          <w:lang w:val="en-US"/>
        </w:rPr>
        <w:t>(according to the author)</w:t>
      </w:r>
      <w:r w:rsidR="00BB0C7E">
        <w:rPr>
          <w:rFonts w:cs="Times New Roman"/>
          <w:lang w:val="en-US"/>
        </w:rPr>
        <w:t xml:space="preserve">. </w:t>
      </w:r>
      <w:r w:rsidR="00E33697">
        <w:rPr>
          <w:rFonts w:cs="Times New Roman"/>
          <w:lang w:val="en-US"/>
        </w:rPr>
        <w:t>Secondly, he</w:t>
      </w:r>
      <w:r w:rsidR="007E6FBF" w:rsidRPr="00EB5F23">
        <w:rPr>
          <w:rFonts w:cs="Times New Roman"/>
          <w:lang w:val="en-US"/>
        </w:rPr>
        <w:t xml:space="preserve"> examines the main criticisms that can be levelled at Rahner’s </w:t>
      </w:r>
      <w:r w:rsidR="007E6FBF" w:rsidRPr="00EB5F23">
        <w:rPr>
          <w:rFonts w:cs="Times New Roman"/>
          <w:i/>
          <w:iCs/>
          <w:lang w:val="en-US"/>
        </w:rPr>
        <w:t>Grundaxiom</w:t>
      </w:r>
      <w:r w:rsidR="007E6FBF" w:rsidRPr="00EB5F23">
        <w:rPr>
          <w:rFonts w:cs="Times New Roman"/>
          <w:lang w:val="en-US"/>
        </w:rPr>
        <w:t xml:space="preserve"> and the exegetical difficulties it poses through the Father-Son and Son-Spirit relationship. </w:t>
      </w:r>
      <w:r w:rsidR="00CE07D7">
        <w:rPr>
          <w:rFonts w:cs="Times New Roman"/>
          <w:lang w:val="en-US"/>
        </w:rPr>
        <w:t xml:space="preserve">At the end of the chapter, </w:t>
      </w:r>
      <w:r w:rsidR="00CE07D7" w:rsidRPr="00CE07D7">
        <w:rPr>
          <w:rFonts w:cs="Times New Roman"/>
          <w:lang w:val="en-US"/>
        </w:rPr>
        <w:t xml:space="preserve">Robinson </w:t>
      </w:r>
      <w:r w:rsidR="00CE07D7">
        <w:rPr>
          <w:rFonts w:cs="Times New Roman"/>
          <w:lang w:val="en-US"/>
        </w:rPr>
        <w:t>explains</w:t>
      </w:r>
      <w:r w:rsidR="00CE07D7" w:rsidRPr="00CE07D7">
        <w:rPr>
          <w:rFonts w:cs="Times New Roman"/>
          <w:lang w:val="en-US"/>
        </w:rPr>
        <w:t xml:space="preserve"> his desire to address three </w:t>
      </w:r>
      <w:r w:rsidR="00CE07D7">
        <w:rPr>
          <w:rFonts w:cs="Times New Roman"/>
          <w:lang w:val="en-US"/>
        </w:rPr>
        <w:t>gaps</w:t>
      </w:r>
      <w:r w:rsidR="00CE07D7" w:rsidRPr="00CE07D7">
        <w:rPr>
          <w:rFonts w:cs="Times New Roman"/>
          <w:lang w:val="en-US"/>
        </w:rPr>
        <w:t xml:space="preserve">. 1. To compare Augustinian exegesis on the economy of salvation with Rahner’s work on the Augustinian-Western tradition. 2. To propose an exegetical argument for the </w:t>
      </w:r>
      <w:r w:rsidR="00CE07D7" w:rsidRPr="00CE07D7">
        <w:rPr>
          <w:rFonts w:cs="Times New Roman"/>
          <w:i/>
          <w:iCs/>
          <w:lang w:val="en-US"/>
        </w:rPr>
        <w:t>Grundaxiom</w:t>
      </w:r>
      <w:r w:rsidR="00CE07D7" w:rsidRPr="00CE07D7">
        <w:rPr>
          <w:rFonts w:cs="Times New Roman"/>
          <w:lang w:val="en-US"/>
        </w:rPr>
        <w:t xml:space="preserve">. 3. To draw on patristic exegesis to make Rahner’s </w:t>
      </w:r>
      <w:r w:rsidR="00CE07D7" w:rsidRPr="00CE07D7">
        <w:rPr>
          <w:rFonts w:cs="Times New Roman"/>
          <w:i/>
          <w:iCs/>
          <w:lang w:val="en-US"/>
        </w:rPr>
        <w:t>Grundaxiom</w:t>
      </w:r>
      <w:r w:rsidR="00CE07D7" w:rsidRPr="00CE07D7">
        <w:rPr>
          <w:rFonts w:cs="Times New Roman"/>
          <w:lang w:val="en-US"/>
        </w:rPr>
        <w:t xml:space="preserve"> a viable proposition.</w:t>
      </w:r>
    </w:p>
    <w:p w14:paraId="0496A87A" w14:textId="5882E624" w:rsidR="0096322A" w:rsidRDefault="00CE07D7" w:rsidP="00EB5F23">
      <w:pPr>
        <w:spacing w:line="276" w:lineRule="auto"/>
        <w:jc w:val="both"/>
        <w:rPr>
          <w:rFonts w:cs="Times New Roman"/>
          <w:lang w:val="en-US"/>
        </w:rPr>
      </w:pPr>
      <w:r w:rsidRPr="00CE07D7">
        <w:rPr>
          <w:rFonts w:cs="Times New Roman"/>
          <w:lang w:val="en-US"/>
        </w:rPr>
        <w:t>To achieve his aim, Robinson devotes chapters two and three—which should be read as a single unit—to Rahner’s critiques of Augustine and the Western Augustinian tradition.</w:t>
      </w:r>
      <w:r>
        <w:rPr>
          <w:rFonts w:cs="Times New Roman"/>
          <w:lang w:val="en-US"/>
        </w:rPr>
        <w:t xml:space="preserve"> </w:t>
      </w:r>
      <w:r w:rsidR="007E6FBF" w:rsidRPr="00EB5F23">
        <w:rPr>
          <w:rFonts w:cs="Times New Roman"/>
          <w:lang w:val="en-US"/>
        </w:rPr>
        <w:t xml:space="preserve">The overarching argument of these two chapters is that Books 2 to 4 of Augustine’s work meet the requirements of Rahner’s </w:t>
      </w:r>
      <w:r w:rsidR="00652F31" w:rsidRPr="00EB5F23">
        <w:rPr>
          <w:rFonts w:cs="Times New Roman"/>
          <w:lang w:val="en-US"/>
        </w:rPr>
        <w:t>program</w:t>
      </w:r>
      <w:r w:rsidR="00450D69">
        <w:rPr>
          <w:rFonts w:cs="Times New Roman"/>
          <w:lang w:val="en-US"/>
        </w:rPr>
        <w:t xml:space="preserve"> and thus invalidates Rahner’s criticisms. 1.</w:t>
      </w:r>
      <w:r w:rsidR="007E6FBF" w:rsidRPr="00EB5F23">
        <w:rPr>
          <w:rFonts w:cs="Times New Roman"/>
          <w:lang w:val="en-US"/>
        </w:rPr>
        <w:t xml:space="preserve"> Augustine’s work is rooted in the text of </w:t>
      </w:r>
      <w:r w:rsidR="00450D69" w:rsidRPr="00EB5F23">
        <w:rPr>
          <w:rFonts w:cs="Times New Roman"/>
          <w:lang w:val="en-US"/>
        </w:rPr>
        <w:t>Scripture</w:t>
      </w:r>
      <w:r w:rsidR="00450D69">
        <w:rPr>
          <w:rFonts w:cs="Times New Roman"/>
          <w:lang w:val="en-US"/>
        </w:rPr>
        <w:t>. 2.</w:t>
      </w:r>
      <w:r w:rsidR="007E6FBF" w:rsidRPr="00EB5F23">
        <w:rPr>
          <w:rFonts w:cs="Times New Roman"/>
          <w:lang w:val="en-US"/>
        </w:rPr>
        <w:t xml:space="preserve"> </w:t>
      </w:r>
      <w:r w:rsidR="00450D69">
        <w:rPr>
          <w:rFonts w:cs="Times New Roman"/>
          <w:lang w:val="en-US"/>
        </w:rPr>
        <w:t>T</w:t>
      </w:r>
      <w:r w:rsidR="007E6FBF" w:rsidRPr="00EB5F23">
        <w:rPr>
          <w:rFonts w:cs="Times New Roman"/>
          <w:lang w:val="en-US"/>
        </w:rPr>
        <w:t xml:space="preserve">he </w:t>
      </w:r>
      <w:r w:rsidR="007E6FBF" w:rsidRPr="00EB5F23">
        <w:rPr>
          <w:rFonts w:cs="Times New Roman"/>
          <w:i/>
          <w:iCs/>
          <w:lang w:val="en-US"/>
        </w:rPr>
        <w:t>De Deo Uno</w:t>
      </w:r>
      <w:r w:rsidR="007E6FBF" w:rsidRPr="00EB5F23">
        <w:rPr>
          <w:rFonts w:cs="Times New Roman"/>
          <w:lang w:val="en-US"/>
        </w:rPr>
        <w:t xml:space="preserve"> is integrated into the </w:t>
      </w:r>
      <w:r w:rsidR="007E6FBF" w:rsidRPr="00EB5F23">
        <w:rPr>
          <w:rFonts w:cs="Times New Roman"/>
          <w:i/>
          <w:iCs/>
          <w:lang w:val="en-US"/>
        </w:rPr>
        <w:t>De </w:t>
      </w:r>
      <w:r w:rsidR="007E6FBF" w:rsidRPr="001E2660">
        <w:rPr>
          <w:rFonts w:cs="Times New Roman"/>
          <w:i/>
          <w:iCs/>
          <w:lang w:val="en-US"/>
        </w:rPr>
        <w:t>Deo Trino</w:t>
      </w:r>
      <w:r w:rsidR="00450D69" w:rsidRPr="001E2660">
        <w:rPr>
          <w:rFonts w:cs="Times New Roman"/>
          <w:lang w:val="en-US"/>
        </w:rPr>
        <w:t>. 3.</w:t>
      </w:r>
      <w:r w:rsidR="007E6FBF" w:rsidRPr="001E2660">
        <w:rPr>
          <w:rFonts w:cs="Times New Roman"/>
          <w:lang w:val="en-US"/>
        </w:rPr>
        <w:t xml:space="preserve"> </w:t>
      </w:r>
      <w:r w:rsidR="00450D69" w:rsidRPr="001E2660">
        <w:rPr>
          <w:rFonts w:cs="Times New Roman"/>
          <w:lang w:val="en-US"/>
        </w:rPr>
        <w:t>Augustine</w:t>
      </w:r>
      <w:r w:rsidR="007E6FBF" w:rsidRPr="00EB5F23">
        <w:rPr>
          <w:rFonts w:cs="Times New Roman"/>
          <w:lang w:val="en-US"/>
        </w:rPr>
        <w:t xml:space="preserve"> acknowledges the unique nature of the Son’s incarnatio</w:t>
      </w:r>
      <w:r w:rsidR="00450D69">
        <w:rPr>
          <w:rFonts w:cs="Times New Roman"/>
          <w:lang w:val="en-US"/>
        </w:rPr>
        <w:t>n. 4. Augustin</w:t>
      </w:r>
      <w:r w:rsidR="007E6FBF" w:rsidRPr="00EB5F23">
        <w:rPr>
          <w:rFonts w:cs="Times New Roman"/>
          <w:lang w:val="en-US"/>
        </w:rPr>
        <w:t>e incorporates the doctrine of creation</w:t>
      </w:r>
      <w:r w:rsidR="00450D69">
        <w:rPr>
          <w:rFonts w:cs="Times New Roman"/>
          <w:lang w:val="en-US"/>
        </w:rPr>
        <w:t xml:space="preserve">. 5. </w:t>
      </w:r>
      <w:r w:rsidR="00450D69" w:rsidRPr="00450D69">
        <w:rPr>
          <w:rFonts w:cs="Times New Roman"/>
          <w:lang w:val="en-US"/>
        </w:rPr>
        <w:t xml:space="preserve">Both faith </w:t>
      </w:r>
      <w:r w:rsidR="00450D69" w:rsidRPr="001E2660">
        <w:rPr>
          <w:rFonts w:cs="Times New Roman"/>
          <w:lang w:val="en-US"/>
        </w:rPr>
        <w:t xml:space="preserve">and piety are </w:t>
      </w:r>
      <w:r w:rsidR="00450D69" w:rsidRPr="001E2660">
        <w:rPr>
          <w:rFonts w:cs="Times New Roman"/>
          <w:lang w:val="en-US"/>
        </w:rPr>
        <w:t>considered</w:t>
      </w:r>
      <w:r w:rsidR="00450D69" w:rsidRPr="001E2660">
        <w:rPr>
          <w:rFonts w:cs="Times New Roman"/>
          <w:lang w:val="en-US"/>
        </w:rPr>
        <w:t>.</w:t>
      </w:r>
      <w:r w:rsidR="00450D69" w:rsidRPr="001E2660">
        <w:rPr>
          <w:rFonts w:cs="Times New Roman"/>
          <w:lang w:val="en-US"/>
        </w:rPr>
        <w:t xml:space="preserve"> 6. Augustine </w:t>
      </w:r>
      <w:r w:rsidR="007E6FBF" w:rsidRPr="001E2660">
        <w:rPr>
          <w:rFonts w:cs="Times New Roman"/>
          <w:lang w:val="en-US"/>
        </w:rPr>
        <w:t>is concerned with the theophanies found in the Old Testament</w:t>
      </w:r>
      <w:r w:rsidR="00450D69" w:rsidRPr="001E2660">
        <w:rPr>
          <w:rFonts w:cs="Times New Roman"/>
          <w:lang w:val="en-US"/>
        </w:rPr>
        <w:t>. 7.</w:t>
      </w:r>
      <w:r w:rsidR="00450D69">
        <w:rPr>
          <w:rFonts w:cs="Times New Roman"/>
          <w:lang w:val="en-US"/>
        </w:rPr>
        <w:t xml:space="preserve"> T</w:t>
      </w:r>
      <w:r w:rsidR="007E6FBF" w:rsidRPr="00EB5F23">
        <w:rPr>
          <w:rFonts w:cs="Times New Roman"/>
          <w:lang w:val="en-US"/>
        </w:rPr>
        <w:t xml:space="preserve">he Trinity and </w:t>
      </w:r>
      <w:r w:rsidR="00450D69">
        <w:rPr>
          <w:rFonts w:cs="Times New Roman"/>
          <w:lang w:val="en-US"/>
        </w:rPr>
        <w:t xml:space="preserve">the </w:t>
      </w:r>
      <w:r w:rsidR="007E6FBF" w:rsidRPr="00EB5F23">
        <w:rPr>
          <w:rFonts w:cs="Times New Roman"/>
          <w:lang w:val="en-US"/>
        </w:rPr>
        <w:t>grace are integrated</w:t>
      </w:r>
      <w:r w:rsidR="00450D69">
        <w:rPr>
          <w:rFonts w:cs="Times New Roman"/>
          <w:lang w:val="en-US"/>
        </w:rPr>
        <w:t xml:space="preserve"> in the Scripture. 8. Augustine </w:t>
      </w:r>
      <w:r w:rsidR="007E6FBF" w:rsidRPr="00EB5F23">
        <w:rPr>
          <w:rFonts w:cs="Times New Roman"/>
          <w:lang w:val="en-US"/>
        </w:rPr>
        <w:t>considers the themes of piety and mission.</w:t>
      </w:r>
      <w:r w:rsidR="000E07F9" w:rsidRPr="00EB5F23">
        <w:rPr>
          <w:rFonts w:cs="Times New Roman"/>
          <w:lang w:val="en-US"/>
        </w:rPr>
        <w:t xml:space="preserve"> </w:t>
      </w:r>
      <w:r w:rsidR="00240765" w:rsidRPr="00240765">
        <w:rPr>
          <w:rFonts w:cs="Times New Roman"/>
          <w:lang w:val="en-US"/>
        </w:rPr>
        <w:t xml:space="preserve">Thus, for the author, Augustine’s focus on Scripture addresses the limitations of </w:t>
      </w:r>
      <w:r w:rsidR="00240765">
        <w:rPr>
          <w:rFonts w:cs="Times New Roman"/>
          <w:lang w:val="en-US"/>
        </w:rPr>
        <w:t>the</w:t>
      </w:r>
      <w:r w:rsidR="00240765" w:rsidRPr="00240765">
        <w:rPr>
          <w:rFonts w:cs="Times New Roman"/>
          <w:lang w:val="en-US"/>
        </w:rPr>
        <w:t xml:space="preserve"> Western tradition</w:t>
      </w:r>
      <w:r w:rsidR="00240765">
        <w:rPr>
          <w:rFonts w:cs="Times New Roman"/>
          <w:lang w:val="en-US"/>
        </w:rPr>
        <w:t xml:space="preserve"> </w:t>
      </w:r>
      <w:r w:rsidR="00240765">
        <w:rPr>
          <w:rFonts w:cs="Times New Roman"/>
          <w:lang w:val="en-US"/>
        </w:rPr>
        <w:t>(i.e. despite Christians acknowledging the Trinity, they remain in practice ‘monotheists’</w:t>
      </w:r>
      <w:r w:rsidR="00240765">
        <w:rPr>
          <w:rFonts w:cs="Times New Roman"/>
          <w:lang w:val="en-US"/>
        </w:rPr>
        <w:t xml:space="preserve">, </w:t>
      </w:r>
      <w:r w:rsidR="00240765">
        <w:rPr>
          <w:rFonts w:cs="Times New Roman"/>
          <w:lang w:val="en-US"/>
        </w:rPr>
        <w:t xml:space="preserve">where speculative approaches are </w:t>
      </w:r>
      <w:r w:rsidR="001E2660">
        <w:rPr>
          <w:rFonts w:cs="Times New Roman"/>
          <w:lang w:val="en-US"/>
        </w:rPr>
        <w:t>favored</w:t>
      </w:r>
      <w:r w:rsidR="00240765">
        <w:rPr>
          <w:rFonts w:cs="Times New Roman"/>
          <w:lang w:val="en-US"/>
        </w:rPr>
        <w:t xml:space="preserve"> to the point of causing Trinitarian theology to disappear)</w:t>
      </w:r>
      <w:r w:rsidR="00240765">
        <w:rPr>
          <w:rFonts w:cs="Times New Roman"/>
          <w:lang w:val="en-US"/>
        </w:rPr>
        <w:t xml:space="preserve"> </w:t>
      </w:r>
      <w:r w:rsidR="00240765" w:rsidRPr="00240765">
        <w:rPr>
          <w:rFonts w:cs="Times New Roman"/>
          <w:lang w:val="en-US"/>
        </w:rPr>
        <w:t xml:space="preserve">and anticipates Rahner’s proposals. </w:t>
      </w:r>
      <w:r w:rsidR="00450D69">
        <w:rPr>
          <w:rFonts w:cs="Times New Roman"/>
          <w:lang w:val="en-US"/>
        </w:rPr>
        <w:t>Thus, a</w:t>
      </w:r>
      <w:r w:rsidR="00240765" w:rsidRPr="00240765">
        <w:rPr>
          <w:rFonts w:cs="Times New Roman"/>
          <w:lang w:val="en-US"/>
        </w:rPr>
        <w:t xml:space="preserve">ccording to Robinson, Augustine embodies the biblical perspective that Rahner seeks to restore to the </w:t>
      </w:r>
      <w:r w:rsidR="001E2660" w:rsidRPr="00240765">
        <w:rPr>
          <w:rFonts w:cs="Times New Roman"/>
          <w:lang w:val="en-US"/>
        </w:rPr>
        <w:t>cent</w:t>
      </w:r>
      <w:r w:rsidR="001E2660">
        <w:rPr>
          <w:rFonts w:cs="Times New Roman"/>
          <w:lang w:val="en-US"/>
        </w:rPr>
        <w:t>er</w:t>
      </w:r>
      <w:r w:rsidR="00240765" w:rsidRPr="00240765">
        <w:rPr>
          <w:rFonts w:cs="Times New Roman"/>
          <w:lang w:val="en-US"/>
        </w:rPr>
        <w:t xml:space="preserve"> of theology through the </w:t>
      </w:r>
      <w:r w:rsidR="00240765" w:rsidRPr="00240765">
        <w:rPr>
          <w:rFonts w:cs="Times New Roman"/>
          <w:i/>
          <w:iCs/>
          <w:lang w:val="en-US"/>
        </w:rPr>
        <w:t>Grundaxiom</w:t>
      </w:r>
      <w:r w:rsidR="00240765" w:rsidRPr="00240765">
        <w:rPr>
          <w:rFonts w:cs="Times New Roman"/>
          <w:lang w:val="en-US"/>
        </w:rPr>
        <w:t>, but which he fails to achieve.</w:t>
      </w:r>
    </w:p>
    <w:p w14:paraId="6AEBFADF" w14:textId="4D9587CC" w:rsidR="0091269A" w:rsidRPr="00EB5F23" w:rsidRDefault="0091269A" w:rsidP="00EB5F23">
      <w:pPr>
        <w:pStyle w:val="NormalWeb"/>
        <w:spacing w:line="276" w:lineRule="auto"/>
        <w:jc w:val="both"/>
        <w:rPr>
          <w:rFonts w:ascii="Garamond" w:hAnsi="Garamond"/>
          <w:color w:val="000000"/>
          <w:lang w:val="en-US"/>
        </w:rPr>
      </w:pPr>
      <w:r w:rsidRPr="00EB5F23">
        <w:rPr>
          <w:rFonts w:ascii="Garamond" w:hAnsi="Garamond"/>
          <w:color w:val="000000"/>
          <w:lang w:val="en-US"/>
        </w:rPr>
        <w:t>The fourth and fifth chapters should also be considered together. In these two chapters, Robinson demonstrates how certain issues raised by Rahner’s</w:t>
      </w:r>
      <w:r w:rsidRPr="00EB5F23">
        <w:rPr>
          <w:rStyle w:val="apple-converted-space"/>
          <w:rFonts w:ascii="Garamond" w:hAnsi="Garamond"/>
          <w:color w:val="000000"/>
          <w:lang w:val="en-US"/>
        </w:rPr>
        <w:t> </w:t>
      </w:r>
      <w:r w:rsidRPr="00EB5F23">
        <w:rPr>
          <w:rFonts w:ascii="Garamond" w:hAnsi="Garamond"/>
          <w:i/>
          <w:iCs/>
          <w:color w:val="000000"/>
          <w:lang w:val="en-US"/>
        </w:rPr>
        <w:t>Grundaxiom</w:t>
      </w:r>
      <w:r w:rsidRPr="00EB5F23">
        <w:rPr>
          <w:rStyle w:val="apple-converted-space"/>
          <w:rFonts w:ascii="Garamond" w:hAnsi="Garamond"/>
          <w:color w:val="000000"/>
          <w:lang w:val="en-US"/>
        </w:rPr>
        <w:t> </w:t>
      </w:r>
      <w:r w:rsidRPr="00EB5F23">
        <w:rPr>
          <w:rFonts w:ascii="Garamond" w:hAnsi="Garamond"/>
          <w:color w:val="000000"/>
          <w:lang w:val="en-US"/>
        </w:rPr>
        <w:t>find solutions or potential solutions in Augustine</w:t>
      </w:r>
      <w:r w:rsidR="00450D69">
        <w:rPr>
          <w:rFonts w:ascii="Garamond" w:hAnsi="Garamond"/>
          <w:color w:val="000000"/>
          <w:lang w:val="en-US"/>
        </w:rPr>
        <w:t>’s works</w:t>
      </w:r>
      <w:r w:rsidRPr="00EB5F23">
        <w:rPr>
          <w:rFonts w:ascii="Garamond" w:hAnsi="Garamond"/>
          <w:color w:val="000000"/>
          <w:lang w:val="en-US"/>
        </w:rPr>
        <w:t>. Through meticulous analysis, he traces the Father/Son and Son/Spirit relationships, illustrating his expertise in Augustine’s corpus and its commentaries, whilst highlighting elements that may help address the shortcomings of Rahner’s</w:t>
      </w:r>
      <w:r w:rsidRPr="00EB5F23">
        <w:rPr>
          <w:rStyle w:val="apple-converted-space"/>
          <w:rFonts w:ascii="Garamond" w:hAnsi="Garamond"/>
          <w:color w:val="000000"/>
          <w:lang w:val="en-US"/>
        </w:rPr>
        <w:t> </w:t>
      </w:r>
      <w:r w:rsidRPr="00EB5F23">
        <w:rPr>
          <w:rFonts w:ascii="Garamond" w:hAnsi="Garamond"/>
          <w:i/>
          <w:iCs/>
          <w:color w:val="000000"/>
          <w:lang w:val="en-US"/>
        </w:rPr>
        <w:t>Grundaxiom</w:t>
      </w:r>
      <w:r w:rsidRPr="00EB5F23">
        <w:rPr>
          <w:rFonts w:ascii="Garamond" w:hAnsi="Garamond"/>
          <w:color w:val="000000"/>
          <w:lang w:val="en-US"/>
        </w:rPr>
        <w:t xml:space="preserve">. Among the points Robinson establishes are that Augustine’s writings make it possible to avoid </w:t>
      </w:r>
      <w:r w:rsidRPr="00EB5F23">
        <w:rPr>
          <w:rFonts w:ascii="Garamond" w:hAnsi="Garamond"/>
          <w:color w:val="000000"/>
          <w:lang w:val="en-US"/>
        </w:rPr>
        <w:lastRenderedPageBreak/>
        <w:t xml:space="preserve">ontological subordination in the transition from an economic Trinity to an immanent Trinity; that biblical texts concerning the Son, where power and judgement are discussed, can be </w:t>
      </w:r>
      <w:proofErr w:type="spellStart"/>
      <w:r w:rsidRPr="00EB5F23">
        <w:rPr>
          <w:rFonts w:ascii="Garamond" w:hAnsi="Garamond"/>
          <w:color w:val="000000"/>
          <w:lang w:val="en-US"/>
        </w:rPr>
        <w:t>analysed</w:t>
      </w:r>
      <w:proofErr w:type="spellEnd"/>
      <w:r w:rsidRPr="00EB5F23">
        <w:rPr>
          <w:rFonts w:ascii="Garamond" w:hAnsi="Garamond"/>
          <w:color w:val="000000"/>
          <w:lang w:val="en-US"/>
        </w:rPr>
        <w:t xml:space="preserve"> without undermining the Father/Son</w:t>
      </w:r>
      <w:r w:rsidR="00240765">
        <w:rPr>
          <w:rFonts w:ascii="Garamond" w:hAnsi="Garamond"/>
          <w:color w:val="000000"/>
          <w:lang w:val="en-US"/>
        </w:rPr>
        <w:t xml:space="preserve">’s </w:t>
      </w:r>
      <w:r w:rsidRPr="00EB5F23">
        <w:rPr>
          <w:rFonts w:ascii="Garamond" w:hAnsi="Garamond"/>
          <w:color w:val="000000"/>
          <w:lang w:val="en-US"/>
        </w:rPr>
        <w:t xml:space="preserve">relationship; and that reading the Scriptures does not compromise the Trinity. </w:t>
      </w:r>
      <w:r w:rsidR="00EB5F23">
        <w:rPr>
          <w:rFonts w:ascii="Garamond" w:hAnsi="Garamond"/>
          <w:color w:val="000000"/>
          <w:lang w:val="en-US"/>
        </w:rPr>
        <w:t xml:space="preserve">On the Son/Spirit relationship, the author demonstrates that, in Augustine, the Spirit is already implicated in the generation of the Son and that </w:t>
      </w:r>
      <w:r w:rsidR="00641D58">
        <w:rPr>
          <w:rFonts w:ascii="Garamond" w:hAnsi="Garamond"/>
          <w:color w:val="000000"/>
          <w:lang w:val="en-US"/>
        </w:rPr>
        <w:t>the Spirit</w:t>
      </w:r>
      <w:r w:rsidR="00EB5F23">
        <w:rPr>
          <w:rFonts w:ascii="Garamond" w:hAnsi="Garamond"/>
          <w:color w:val="000000"/>
          <w:lang w:val="en-US"/>
        </w:rPr>
        <w:t xml:space="preserve"> is understood as an intra</w:t>
      </w:r>
      <w:r w:rsidR="00641D58">
        <w:rPr>
          <w:rFonts w:ascii="Garamond" w:hAnsi="Garamond"/>
          <w:color w:val="000000"/>
          <w:lang w:val="en-US"/>
        </w:rPr>
        <w:t>-T</w:t>
      </w:r>
      <w:r w:rsidR="00EB5F23">
        <w:rPr>
          <w:rFonts w:ascii="Garamond" w:hAnsi="Garamond"/>
          <w:color w:val="000000"/>
          <w:lang w:val="en-US"/>
        </w:rPr>
        <w:t>rinitarian gift between the Father and the Son.</w:t>
      </w:r>
      <w:r w:rsidRPr="00EB5F23">
        <w:rPr>
          <w:rFonts w:ascii="Garamond" w:hAnsi="Garamond"/>
          <w:color w:val="000000"/>
          <w:lang w:val="en-US"/>
        </w:rPr>
        <w:t xml:space="preserve"> Robinson considers that Augustinian commentaries make it possible to avoid the pitfalls of </w:t>
      </w:r>
      <w:proofErr w:type="spellStart"/>
      <w:r w:rsidRPr="00EB5F23">
        <w:rPr>
          <w:rFonts w:ascii="Garamond" w:hAnsi="Garamond"/>
          <w:color w:val="000000"/>
          <w:lang w:val="en-US"/>
        </w:rPr>
        <w:t>Spirituque</w:t>
      </w:r>
      <w:proofErr w:type="spellEnd"/>
      <w:r w:rsidRPr="00EB5F23">
        <w:rPr>
          <w:rFonts w:ascii="Garamond" w:hAnsi="Garamond"/>
          <w:color w:val="000000"/>
          <w:lang w:val="en-US"/>
        </w:rPr>
        <w:t xml:space="preserve"> and provide what is necessary to cover the major economic events.</w:t>
      </w:r>
    </w:p>
    <w:p w14:paraId="2565FD5A" w14:textId="4463A903" w:rsidR="00B61865" w:rsidRPr="00EB5F23" w:rsidRDefault="00B61865" w:rsidP="00EB5F23">
      <w:pPr>
        <w:spacing w:line="276" w:lineRule="auto"/>
        <w:jc w:val="both"/>
        <w:rPr>
          <w:rFonts w:cs="Times New Roman"/>
          <w:lang w:val="en-US"/>
        </w:rPr>
      </w:pPr>
      <w:r w:rsidRPr="00EB5F23">
        <w:rPr>
          <w:rFonts w:cs="Times New Roman"/>
          <w:lang w:val="en-US"/>
        </w:rPr>
        <w:t xml:space="preserve">The sixth chapter serves as the conclusion and </w:t>
      </w:r>
      <w:proofErr w:type="spellStart"/>
      <w:r w:rsidRPr="00EB5F23">
        <w:rPr>
          <w:rFonts w:cs="Times New Roman"/>
          <w:lang w:val="en-US"/>
        </w:rPr>
        <w:t>summarise</w:t>
      </w:r>
      <w:r w:rsidR="00EB5F23">
        <w:rPr>
          <w:rFonts w:cs="Times New Roman"/>
          <w:lang w:val="en-US"/>
        </w:rPr>
        <w:t>s</w:t>
      </w:r>
      <w:proofErr w:type="spellEnd"/>
      <w:r w:rsidRPr="00EB5F23">
        <w:rPr>
          <w:rFonts w:cs="Times New Roman"/>
          <w:lang w:val="en-US"/>
        </w:rPr>
        <w:t xml:space="preserve"> the research. </w:t>
      </w:r>
      <w:r w:rsidR="00240765">
        <w:rPr>
          <w:rFonts w:cs="Times New Roman"/>
          <w:lang w:val="en-US"/>
        </w:rPr>
        <w:t xml:space="preserve">Initially, the author stated his intention to revisit Rahner’s critiques of the Augustinian tradition and to propose solutions to Rahner’s </w:t>
      </w:r>
      <w:r w:rsidR="00240765" w:rsidRPr="00240765">
        <w:rPr>
          <w:rFonts w:cs="Times New Roman"/>
          <w:i/>
          <w:iCs/>
          <w:lang w:val="en-US"/>
        </w:rPr>
        <w:t>Grundaxiom</w:t>
      </w:r>
      <w:r w:rsidR="00240765">
        <w:rPr>
          <w:rFonts w:cs="Times New Roman"/>
          <w:lang w:val="en-US"/>
        </w:rPr>
        <w:t xml:space="preserve"> based on Augustine’s writings,</w:t>
      </w:r>
      <w:r w:rsidR="00240765">
        <w:rPr>
          <w:rFonts w:ascii="Times New Roman" w:hAnsi="Times New Roman" w:cs="Times New Roman"/>
          <w:lang w:val="en-US"/>
        </w:rPr>
        <w:t> </w:t>
      </w:r>
      <w:r w:rsidR="00240765">
        <w:rPr>
          <w:rFonts w:cs="Times New Roman"/>
          <w:lang w:val="en-US"/>
        </w:rPr>
        <w:t xml:space="preserve">a line of argument that he develops throughout the four chapters. He also succeeds in addressing another lacuna identified in the introduction: proposing a new scriptural analysis of </w:t>
      </w:r>
      <w:r w:rsidR="00240765" w:rsidRPr="00240765">
        <w:rPr>
          <w:rFonts w:cs="Times New Roman"/>
          <w:i/>
          <w:iCs/>
          <w:lang w:val="en-US"/>
        </w:rPr>
        <w:t>De </w:t>
      </w:r>
      <w:proofErr w:type="spellStart"/>
      <w:r w:rsidR="00240765" w:rsidRPr="00240765">
        <w:rPr>
          <w:rFonts w:cs="Times New Roman"/>
          <w:i/>
          <w:iCs/>
          <w:lang w:val="en-US"/>
        </w:rPr>
        <w:t>Trinitate</w:t>
      </w:r>
      <w:proofErr w:type="spellEnd"/>
      <w:r w:rsidR="00641D58">
        <w:rPr>
          <w:rFonts w:cs="Times New Roman"/>
          <w:lang w:val="en-US"/>
        </w:rPr>
        <w:t>. Which he does throughout his doctoral thesis, especially in the second chapter</w:t>
      </w:r>
      <w:r w:rsidR="00240765">
        <w:rPr>
          <w:rFonts w:cs="Times New Roman"/>
          <w:lang w:val="en-US"/>
        </w:rPr>
        <w:t xml:space="preserve"> on Augustine and the economy. </w:t>
      </w:r>
    </w:p>
    <w:p w14:paraId="5664D46C" w14:textId="51536428" w:rsidR="009347F4" w:rsidRPr="00EB5F23" w:rsidRDefault="001E2660" w:rsidP="00EB5F23">
      <w:pPr>
        <w:spacing w:line="276" w:lineRule="auto"/>
        <w:jc w:val="both"/>
        <w:rPr>
          <w:rFonts w:cs="Times New Roman"/>
          <w:lang w:val="en-US"/>
        </w:rPr>
      </w:pPr>
      <w:r>
        <w:rPr>
          <w:rFonts w:cs="Times New Roman"/>
          <w:lang w:val="en-US"/>
        </w:rPr>
        <w:t>Furthermore, a</w:t>
      </w:r>
      <w:r w:rsidR="008A381E" w:rsidRPr="00EB5F23">
        <w:rPr>
          <w:rFonts w:cs="Times New Roman"/>
          <w:lang w:val="en-US"/>
        </w:rPr>
        <w:t xml:space="preserve"> few concerns can be noted. Whilst the title suggests </w:t>
      </w:r>
      <w:r w:rsidR="000962EE" w:rsidRPr="00EB5F23">
        <w:rPr>
          <w:rFonts w:cs="Times New Roman"/>
          <w:lang w:val="en-US"/>
        </w:rPr>
        <w:t>it</w:t>
      </w:r>
      <w:r w:rsidR="008A381E" w:rsidRPr="00EB5F23">
        <w:rPr>
          <w:rFonts w:cs="Times New Roman"/>
          <w:lang w:val="en-US"/>
        </w:rPr>
        <w:t xml:space="preserve"> deals with Augustine and Rahner, it appears to focus primarily on Augustine. </w:t>
      </w:r>
      <w:r w:rsidR="00A1701D">
        <w:rPr>
          <w:rFonts w:cs="Times New Roman"/>
          <w:lang w:val="en-US"/>
        </w:rPr>
        <w:t>The author’s knowledge of Augustine is beyond doubt and is demonstrated through detailed analyses and numerous references. However, when it comes to Rahner, the author’s comments seem to lack nuance.</w:t>
      </w:r>
      <w:r w:rsidR="008A381E" w:rsidRPr="00EB5F23">
        <w:rPr>
          <w:rFonts w:cs="Times New Roman"/>
          <w:lang w:val="en-US"/>
        </w:rPr>
        <w:t xml:space="preserve"> Certain quotes are particularly damning and portray Rahner as almost naive, having understood little of Augustine and been blinded by Bonaventure. The well-known criticisms levelled at Rahner for his lack of explicit references to authors and biblical passages</w:t>
      </w:r>
      <w:r w:rsidR="00E41033">
        <w:rPr>
          <w:rFonts w:cs="Times New Roman"/>
          <w:lang w:val="en-US"/>
        </w:rPr>
        <w:t xml:space="preserve"> </w:t>
      </w:r>
      <w:r w:rsidR="00E41033">
        <w:rPr>
          <w:rFonts w:cs="Times New Roman"/>
          <w:lang w:val="en-US"/>
        </w:rPr>
        <w:t>–</w:t>
      </w:r>
      <w:r w:rsidR="00E41033">
        <w:rPr>
          <w:rFonts w:cs="Times New Roman"/>
          <w:lang w:val="en-US"/>
        </w:rPr>
        <w:t xml:space="preserve"> </w:t>
      </w:r>
      <w:r w:rsidR="008A381E" w:rsidRPr="00EB5F23">
        <w:rPr>
          <w:rFonts w:cs="Times New Roman"/>
          <w:lang w:val="en-US"/>
        </w:rPr>
        <w:t>and the methodological concerns this entails</w:t>
      </w:r>
      <w:r w:rsidR="00E41033">
        <w:rPr>
          <w:rFonts w:cs="Times New Roman"/>
          <w:lang w:val="en-US"/>
        </w:rPr>
        <w:t xml:space="preserve"> </w:t>
      </w:r>
      <w:r w:rsidR="00E41033">
        <w:rPr>
          <w:rFonts w:cs="Times New Roman"/>
          <w:lang w:val="en-US"/>
        </w:rPr>
        <w:t>–</w:t>
      </w:r>
      <w:r w:rsidR="00E41033">
        <w:rPr>
          <w:rFonts w:cs="Times New Roman"/>
          <w:lang w:val="en-US"/>
        </w:rPr>
        <w:t xml:space="preserve"> </w:t>
      </w:r>
      <w:r w:rsidR="008A381E" w:rsidRPr="00EB5F23">
        <w:rPr>
          <w:rFonts w:cs="Times New Roman"/>
          <w:lang w:val="en-US"/>
        </w:rPr>
        <w:t xml:space="preserve">appear outdated, even anachronistic. </w:t>
      </w:r>
      <w:r w:rsidR="00EB5F23">
        <w:rPr>
          <w:rFonts w:cs="Times New Roman"/>
          <w:lang w:val="en-US"/>
        </w:rPr>
        <w:t xml:space="preserve">A particularly extensive bibliography (over five pages) for Augustinian writings also illustrates this </w:t>
      </w:r>
      <w:r>
        <w:rPr>
          <w:rFonts w:cs="Times New Roman"/>
          <w:lang w:val="en-US"/>
        </w:rPr>
        <w:t>im</w:t>
      </w:r>
      <w:r w:rsidR="00EB5F23">
        <w:rPr>
          <w:rFonts w:cs="Times New Roman"/>
          <w:lang w:val="en-US"/>
        </w:rPr>
        <w:t>balance, whereas Rahner</w:t>
      </w:r>
      <w:r>
        <w:rPr>
          <w:rFonts w:cs="Times New Roman"/>
          <w:lang w:val="en-US"/>
        </w:rPr>
        <w:t>’s bibliography</w:t>
      </w:r>
      <w:r w:rsidR="00EB5F23">
        <w:rPr>
          <w:rFonts w:cs="Times New Roman"/>
          <w:lang w:val="en-US"/>
        </w:rPr>
        <w:t xml:space="preserve"> barely fills a page.</w:t>
      </w:r>
    </w:p>
    <w:p w14:paraId="751F583A" w14:textId="3F5066C7" w:rsidR="00BB0443" w:rsidRDefault="008F0EAC" w:rsidP="00EB5F23">
      <w:pPr>
        <w:spacing w:line="276" w:lineRule="auto"/>
        <w:jc w:val="both"/>
        <w:rPr>
          <w:rFonts w:cs="Times New Roman"/>
          <w:lang w:val="en-US"/>
        </w:rPr>
      </w:pPr>
      <w:r>
        <w:rPr>
          <w:rFonts w:cs="Times New Roman"/>
          <w:lang w:val="en-US"/>
        </w:rPr>
        <w:t>This publication</w:t>
      </w:r>
      <w:r w:rsidR="00EB5F23">
        <w:rPr>
          <w:rFonts w:cs="Times New Roman"/>
          <w:lang w:val="en-US"/>
        </w:rPr>
        <w:t xml:space="preserve"> </w:t>
      </w:r>
      <w:r w:rsidR="001E2660">
        <w:rPr>
          <w:rFonts w:cs="Times New Roman"/>
          <w:lang w:val="en-US"/>
        </w:rPr>
        <w:t>showcas</w:t>
      </w:r>
      <w:r>
        <w:rPr>
          <w:rFonts w:cs="Times New Roman"/>
          <w:lang w:val="en-US"/>
        </w:rPr>
        <w:t xml:space="preserve">es the author’s skills to communicate </w:t>
      </w:r>
      <w:r w:rsidR="00454DD7">
        <w:rPr>
          <w:rFonts w:cs="Times New Roman"/>
          <w:lang w:val="en-US"/>
        </w:rPr>
        <w:t>in an orderly</w:t>
      </w:r>
      <w:r>
        <w:rPr>
          <w:rFonts w:cs="Times New Roman"/>
          <w:lang w:val="en-US"/>
        </w:rPr>
        <w:t xml:space="preserve"> fashion</w:t>
      </w:r>
      <w:r w:rsidR="00EB5F23">
        <w:rPr>
          <w:rFonts w:cs="Times New Roman"/>
          <w:lang w:val="en-US"/>
        </w:rPr>
        <w:t>.</w:t>
      </w:r>
      <w:r w:rsidR="00C949F8" w:rsidRPr="00EB5F23">
        <w:rPr>
          <w:rFonts w:cs="Times New Roman"/>
          <w:lang w:val="en-US"/>
        </w:rPr>
        <w:t xml:space="preserve"> </w:t>
      </w:r>
      <w:r w:rsidR="00454DD7">
        <w:rPr>
          <w:rFonts w:cs="Times New Roman"/>
          <w:lang w:val="en-US"/>
        </w:rPr>
        <w:t>Furthermore, h</w:t>
      </w:r>
      <w:r w:rsidR="00C949F8" w:rsidRPr="00EB5F23">
        <w:rPr>
          <w:rFonts w:cs="Times New Roman"/>
          <w:lang w:val="en-US"/>
        </w:rPr>
        <w:t xml:space="preserve">e makes no secret of his opinions. </w:t>
      </w:r>
      <w:r w:rsidR="00EB5F23">
        <w:rPr>
          <w:rFonts w:cs="Times New Roman"/>
          <w:lang w:val="en-US"/>
        </w:rPr>
        <w:t>He states his objectives, and the summaries found along the way allow the reader to assess their progress and see where they stand.</w:t>
      </w:r>
      <w:r w:rsidR="00C949F8" w:rsidRPr="00EB5F23">
        <w:rPr>
          <w:rFonts w:cs="Times New Roman"/>
          <w:lang w:val="en-US"/>
        </w:rPr>
        <w:t xml:space="preserve"> </w:t>
      </w:r>
      <w:r w:rsidR="00EB5F23">
        <w:rPr>
          <w:rFonts w:cs="Times New Roman"/>
          <w:lang w:val="en-US"/>
        </w:rPr>
        <w:t>Readers particularly appreciate the triple index, which facilitates and encourages focused and efficient reading.</w:t>
      </w:r>
    </w:p>
    <w:p w14:paraId="529E9957" w14:textId="4A77BC8D" w:rsidR="00EB5F23" w:rsidRPr="00EB5F23" w:rsidRDefault="00EB5F23" w:rsidP="00EB5F23">
      <w:pPr>
        <w:spacing w:line="276" w:lineRule="auto"/>
        <w:jc w:val="right"/>
        <w:rPr>
          <w:rFonts w:cs="Times New Roman"/>
          <w:lang w:val="en-US"/>
        </w:rPr>
      </w:pPr>
      <w:r>
        <w:rPr>
          <w:rFonts w:cs="Times New Roman"/>
          <w:lang w:val="en-US"/>
        </w:rPr>
        <w:t>Flore Xhonneux</w:t>
      </w:r>
    </w:p>
    <w:p w14:paraId="766C9F7D" w14:textId="77777777" w:rsidR="0091269A" w:rsidRDefault="0091269A" w:rsidP="00EB5F23">
      <w:pPr>
        <w:spacing w:line="276" w:lineRule="auto"/>
        <w:jc w:val="both"/>
        <w:rPr>
          <w:i/>
          <w:iCs/>
          <w:lang w:val="fr-FR"/>
        </w:rPr>
      </w:pPr>
    </w:p>
    <w:p w14:paraId="74EBCEE3" w14:textId="77777777" w:rsidR="0091269A" w:rsidRDefault="0091269A" w:rsidP="0091269A">
      <w:pPr>
        <w:jc w:val="both"/>
        <w:rPr>
          <w:i/>
          <w:iCs/>
          <w:lang w:val="fr-FR"/>
        </w:rPr>
      </w:pPr>
    </w:p>
    <w:sectPr w:rsidR="009126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 (Corps CS)">
    <w:altName w:val="Times New Roman"/>
    <w:panose1 w:val="020B0604020202020204"/>
    <w:charset w:val="00"/>
    <w:family w:val="roman"/>
    <w:pitch w:val="default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30EC"/>
    <w:rsid w:val="00021D81"/>
    <w:rsid w:val="00072BB3"/>
    <w:rsid w:val="000962EE"/>
    <w:rsid w:val="000E07F9"/>
    <w:rsid w:val="001913BF"/>
    <w:rsid w:val="001E2660"/>
    <w:rsid w:val="00240765"/>
    <w:rsid w:val="002570F1"/>
    <w:rsid w:val="002808BE"/>
    <w:rsid w:val="003B47FD"/>
    <w:rsid w:val="00450D69"/>
    <w:rsid w:val="00454DD7"/>
    <w:rsid w:val="004B6F75"/>
    <w:rsid w:val="00593F78"/>
    <w:rsid w:val="005C7C60"/>
    <w:rsid w:val="00641D58"/>
    <w:rsid w:val="00644249"/>
    <w:rsid w:val="00652F31"/>
    <w:rsid w:val="00685379"/>
    <w:rsid w:val="00710CB7"/>
    <w:rsid w:val="007244C3"/>
    <w:rsid w:val="0076038B"/>
    <w:rsid w:val="007E6FBF"/>
    <w:rsid w:val="007F3B12"/>
    <w:rsid w:val="008A381E"/>
    <w:rsid w:val="008F0EAC"/>
    <w:rsid w:val="0091269A"/>
    <w:rsid w:val="00934239"/>
    <w:rsid w:val="009347F4"/>
    <w:rsid w:val="009415A0"/>
    <w:rsid w:val="0096322A"/>
    <w:rsid w:val="00966ED9"/>
    <w:rsid w:val="009B4ADC"/>
    <w:rsid w:val="009D09E2"/>
    <w:rsid w:val="00A1701D"/>
    <w:rsid w:val="00A718C9"/>
    <w:rsid w:val="00AF72B3"/>
    <w:rsid w:val="00B61865"/>
    <w:rsid w:val="00BB0443"/>
    <w:rsid w:val="00BB0C7E"/>
    <w:rsid w:val="00BF628D"/>
    <w:rsid w:val="00C17DDF"/>
    <w:rsid w:val="00C5056B"/>
    <w:rsid w:val="00C541B1"/>
    <w:rsid w:val="00C949F8"/>
    <w:rsid w:val="00CC30EC"/>
    <w:rsid w:val="00CE07D7"/>
    <w:rsid w:val="00CE173B"/>
    <w:rsid w:val="00CF3F86"/>
    <w:rsid w:val="00DF0C44"/>
    <w:rsid w:val="00E33697"/>
    <w:rsid w:val="00E41033"/>
    <w:rsid w:val="00E678F0"/>
    <w:rsid w:val="00EB5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10A289C"/>
  <w15:chartTrackingRefBased/>
  <w15:docId w15:val="{DA08ECA2-92C3-0E4B-9AF8-EC03E00FD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aramond" w:eastAsiaTheme="minorHAnsi" w:hAnsi="Garamond" w:cs="Times New Roman (Corps CS)"/>
        <w:kern w:val="2"/>
        <w:sz w:val="24"/>
        <w:szCs w:val="24"/>
        <w:lang w:val="fr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CC30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C30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CC30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CC30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CC30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CC30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CC30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CC30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CC30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C30E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Titre2Car">
    <w:name w:val="Titre 2 Car"/>
    <w:basedOn w:val="Policepardfaut"/>
    <w:link w:val="Titre2"/>
    <w:uiPriority w:val="9"/>
    <w:semiHidden/>
    <w:rsid w:val="00CC30E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Titre3Car">
    <w:name w:val="Titre 3 Car"/>
    <w:basedOn w:val="Policepardfaut"/>
    <w:link w:val="Titre3"/>
    <w:uiPriority w:val="9"/>
    <w:semiHidden/>
    <w:rsid w:val="00CC30EC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Titre4Car">
    <w:name w:val="Titre 4 Car"/>
    <w:basedOn w:val="Policepardfaut"/>
    <w:link w:val="Titre4"/>
    <w:uiPriority w:val="9"/>
    <w:semiHidden/>
    <w:rsid w:val="00CC30EC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Titre5Car">
    <w:name w:val="Titre 5 Car"/>
    <w:basedOn w:val="Policepardfaut"/>
    <w:link w:val="Titre5"/>
    <w:uiPriority w:val="9"/>
    <w:semiHidden/>
    <w:rsid w:val="00CC30EC"/>
    <w:rPr>
      <w:rFonts w:eastAsiaTheme="majorEastAsia" w:cstheme="majorBidi"/>
      <w:color w:val="0F4761" w:themeColor="accent1" w:themeShade="BF"/>
      <w:lang w:val="en-US"/>
    </w:rPr>
  </w:style>
  <w:style w:type="character" w:customStyle="1" w:styleId="Titre6Car">
    <w:name w:val="Titre 6 Car"/>
    <w:basedOn w:val="Policepardfaut"/>
    <w:link w:val="Titre6"/>
    <w:uiPriority w:val="9"/>
    <w:semiHidden/>
    <w:rsid w:val="00CC30EC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Titre7Car">
    <w:name w:val="Titre 7 Car"/>
    <w:basedOn w:val="Policepardfaut"/>
    <w:link w:val="Titre7"/>
    <w:uiPriority w:val="9"/>
    <w:semiHidden/>
    <w:rsid w:val="00CC30EC"/>
    <w:rPr>
      <w:rFonts w:eastAsiaTheme="majorEastAsia" w:cstheme="majorBidi"/>
      <w:color w:val="595959" w:themeColor="text1" w:themeTint="A6"/>
      <w:lang w:val="en-US"/>
    </w:rPr>
  </w:style>
  <w:style w:type="character" w:customStyle="1" w:styleId="Titre8Car">
    <w:name w:val="Titre 8 Car"/>
    <w:basedOn w:val="Policepardfaut"/>
    <w:link w:val="Titre8"/>
    <w:uiPriority w:val="9"/>
    <w:semiHidden/>
    <w:rsid w:val="00CC30EC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Titre9Car">
    <w:name w:val="Titre 9 Car"/>
    <w:basedOn w:val="Policepardfaut"/>
    <w:link w:val="Titre9"/>
    <w:uiPriority w:val="9"/>
    <w:semiHidden/>
    <w:rsid w:val="00CC30EC"/>
    <w:rPr>
      <w:rFonts w:eastAsiaTheme="majorEastAsia" w:cstheme="majorBidi"/>
      <w:color w:val="272727" w:themeColor="text1" w:themeTint="D8"/>
      <w:lang w:val="en-US"/>
    </w:rPr>
  </w:style>
  <w:style w:type="paragraph" w:styleId="Titre">
    <w:name w:val="Title"/>
    <w:basedOn w:val="Normal"/>
    <w:next w:val="Normal"/>
    <w:link w:val="TitreCar"/>
    <w:uiPriority w:val="10"/>
    <w:qFormat/>
    <w:rsid w:val="00CC30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CC30EC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CC30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CC30EC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ation">
    <w:name w:val="Quote"/>
    <w:basedOn w:val="Normal"/>
    <w:next w:val="Normal"/>
    <w:link w:val="CitationCar"/>
    <w:uiPriority w:val="29"/>
    <w:qFormat/>
    <w:rsid w:val="00CC30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CC30EC"/>
    <w:rPr>
      <w:i/>
      <w:iCs/>
      <w:color w:val="404040" w:themeColor="text1" w:themeTint="BF"/>
      <w:lang w:val="en-US"/>
    </w:rPr>
  </w:style>
  <w:style w:type="paragraph" w:styleId="Paragraphedeliste">
    <w:name w:val="List Paragraph"/>
    <w:basedOn w:val="Normal"/>
    <w:uiPriority w:val="34"/>
    <w:qFormat/>
    <w:rsid w:val="00CC30EC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CC30EC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CC30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CC30EC"/>
    <w:rPr>
      <w:i/>
      <w:iCs/>
      <w:color w:val="0F4761" w:themeColor="accent1" w:themeShade="BF"/>
      <w:lang w:val="en-US"/>
    </w:rPr>
  </w:style>
  <w:style w:type="character" w:styleId="Rfrenceintense">
    <w:name w:val="Intense Reference"/>
    <w:basedOn w:val="Policepardfaut"/>
    <w:uiPriority w:val="32"/>
    <w:qFormat/>
    <w:rsid w:val="00CC30EC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CC30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126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customStyle="1" w:styleId="apple-converted-space">
    <w:name w:val="apple-converted-space"/>
    <w:basedOn w:val="Policepardfaut"/>
    <w:rsid w:val="009126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0A25E8A-A80B-0645-9262-9191A4CE9365}">
  <we:reference id="WA200007559" version="12.4.0.0" store="Omex" storeType="OMEX"/>
  <we:alternateReferences>
    <we:reference id="WA200007559" version="12.4.0.0" store="WA200007559" storeType="OMEX"/>
  </we:alternateReferences>
  <we:properties>
    <we:property name="AntidoteWordID" value="&quot;5441ad6f-994d-48bd-9853-d7e441894a4f&quot;"/>
  </we:properties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470</TotalTime>
  <Pages>2</Pages>
  <Words>983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 Xhonneux</dc:creator>
  <cp:keywords/>
  <dc:description/>
  <cp:lastModifiedBy>Flore Xhonneux</cp:lastModifiedBy>
  <cp:revision>18</cp:revision>
  <dcterms:created xsi:type="dcterms:W3CDTF">2026-05-04T10:00:00Z</dcterms:created>
  <dcterms:modified xsi:type="dcterms:W3CDTF">2026-06-02T16:36:00Z</dcterms:modified>
</cp:coreProperties>
</file>