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7054D" w14:textId="77777777" w:rsidR="00DD3430" w:rsidRPr="00DD3430" w:rsidRDefault="00DD3430" w:rsidP="00DD3430">
      <w:pPr>
        <w:shd w:val="clear" w:color="auto" w:fill="FFFFFF"/>
        <w:spacing w:after="150" w:line="480" w:lineRule="atLeast"/>
        <w:jc w:val="both"/>
        <w:textAlignment w:val="baseline"/>
        <w:outlineLvl w:val="0"/>
        <w:rPr>
          <w:rFonts w:ascii="Georgia" w:eastAsia="Times New Roman" w:hAnsi="Georgia" w:cs="Times New Roman"/>
          <w:color w:val="3E3D40"/>
          <w:kern w:val="36"/>
          <w:sz w:val="45"/>
          <w:szCs w:val="45"/>
          <w:lang w:val="en-US" w:eastAsia="fr-BE"/>
        </w:rPr>
      </w:pPr>
      <w:r w:rsidRPr="00DD3430">
        <w:rPr>
          <w:rFonts w:ascii="Georgia" w:eastAsia="Times New Roman" w:hAnsi="Georgia" w:cs="Times New Roman"/>
          <w:color w:val="3E3D40"/>
          <w:kern w:val="36"/>
          <w:sz w:val="45"/>
          <w:szCs w:val="45"/>
          <w:lang w:val="en-US" w:eastAsia="fr-BE"/>
        </w:rPr>
        <w:t>Validation of a new double-coil TMS method to assess corticospinal excitability bilaterally</w:t>
      </w:r>
    </w:p>
    <w:p w14:paraId="797348BD" w14:textId="77777777" w:rsidR="00DD3430" w:rsidRPr="00DD3430" w:rsidRDefault="00DD3430" w:rsidP="00DD3430">
      <w:pPr>
        <w:shd w:val="clear" w:color="auto" w:fill="FFFFFF"/>
        <w:spacing w:after="150" w:line="270" w:lineRule="atLeast"/>
        <w:jc w:val="both"/>
        <w:textAlignment w:val="baseline"/>
        <w:rPr>
          <w:rFonts w:ascii="Trebuchet MS" w:eastAsia="Times New Roman" w:hAnsi="Trebuchet MS" w:cs="Times New Roman"/>
          <w:color w:val="707173"/>
          <w:sz w:val="27"/>
          <w:szCs w:val="27"/>
          <w:lang w:eastAsia="fr-BE"/>
        </w:rPr>
      </w:pPr>
      <w:hyperlink r:id="rId8" w:history="1">
        <w:r w:rsidRPr="00DD3430">
          <w:rPr>
            <w:rFonts w:ascii="Trebuchet MS" w:eastAsia="Times New Roman" w:hAnsi="Trebuchet MS" w:cs="Times New Roman"/>
            <w:color w:val="707173"/>
            <w:sz w:val="27"/>
            <w:szCs w:val="27"/>
            <w:u w:val="single"/>
            <w:bdr w:val="none" w:sz="0" w:space="0" w:color="auto" w:frame="1"/>
            <w:lang w:eastAsia="fr-BE"/>
          </w:rPr>
          <w:t>Julien Grandjean</w:t>
        </w:r>
      </w:hyperlink>
      <w:r w:rsidRPr="00DD3430">
        <w:rPr>
          <w:rFonts w:ascii="Trebuchet MS" w:eastAsia="Times New Roman" w:hAnsi="Trebuchet MS" w:cs="Times New Roman"/>
          <w:color w:val="707173"/>
          <w:sz w:val="18"/>
          <w:szCs w:val="18"/>
          <w:vertAlign w:val="superscript"/>
          <w:lang w:eastAsia="fr-BE"/>
        </w:rPr>
        <w:t>1*</w:t>
      </w:r>
      <w:r w:rsidRPr="00DD3430">
        <w:rPr>
          <w:rFonts w:ascii="Trebuchet MS" w:eastAsia="Times New Roman" w:hAnsi="Trebuchet MS" w:cs="Times New Roman"/>
          <w:color w:val="707173"/>
          <w:sz w:val="27"/>
          <w:szCs w:val="27"/>
          <w:lang w:eastAsia="fr-BE"/>
        </w:rPr>
        <w:t>, </w:t>
      </w:r>
      <w:proofErr w:type="spellStart"/>
      <w:r w:rsidRPr="00DD3430">
        <w:rPr>
          <w:rFonts w:ascii="Trebuchet MS" w:eastAsia="Times New Roman" w:hAnsi="Trebuchet MS" w:cs="Times New Roman"/>
          <w:color w:val="707173"/>
          <w:sz w:val="27"/>
          <w:szCs w:val="27"/>
          <w:lang w:eastAsia="fr-BE"/>
        </w:rPr>
        <w:fldChar w:fldCharType="begin"/>
      </w:r>
      <w:r w:rsidRPr="00DD3430">
        <w:rPr>
          <w:rFonts w:ascii="Trebuchet MS" w:eastAsia="Times New Roman" w:hAnsi="Trebuchet MS" w:cs="Times New Roman"/>
          <w:color w:val="707173"/>
          <w:sz w:val="27"/>
          <w:szCs w:val="27"/>
          <w:lang w:eastAsia="fr-BE"/>
        </w:rPr>
        <w:instrText xml:space="preserve"> HYPERLINK "https://www.frontiersin.org/Community/WhosWhoActivity.aspx?sname=&amp;UID=0" </w:instrText>
      </w:r>
      <w:r w:rsidRPr="00DD3430">
        <w:rPr>
          <w:rFonts w:ascii="Trebuchet MS" w:eastAsia="Times New Roman" w:hAnsi="Trebuchet MS" w:cs="Times New Roman"/>
          <w:color w:val="707173"/>
          <w:sz w:val="27"/>
          <w:szCs w:val="27"/>
          <w:lang w:eastAsia="fr-BE"/>
        </w:rPr>
        <w:fldChar w:fldCharType="separate"/>
      </w:r>
      <w:r w:rsidRPr="00DD3430">
        <w:rPr>
          <w:rFonts w:ascii="Trebuchet MS" w:eastAsia="Times New Roman" w:hAnsi="Trebuchet MS" w:cs="Times New Roman"/>
          <w:color w:val="707173"/>
          <w:sz w:val="27"/>
          <w:szCs w:val="27"/>
          <w:u w:val="single"/>
          <w:bdr w:val="none" w:sz="0" w:space="0" w:color="auto" w:frame="1"/>
          <w:lang w:eastAsia="fr-BE"/>
        </w:rPr>
        <w:t>Gerard</w:t>
      </w:r>
      <w:proofErr w:type="spellEnd"/>
      <w:r w:rsidRPr="00DD3430">
        <w:rPr>
          <w:rFonts w:ascii="Trebuchet MS" w:eastAsia="Times New Roman" w:hAnsi="Trebuchet MS" w:cs="Times New Roman"/>
          <w:color w:val="707173"/>
          <w:sz w:val="27"/>
          <w:szCs w:val="27"/>
          <w:u w:val="single"/>
          <w:bdr w:val="none" w:sz="0" w:space="0" w:color="auto" w:frame="1"/>
          <w:lang w:eastAsia="fr-BE"/>
        </w:rPr>
        <w:t xml:space="preserve"> Derosiere</w:t>
      </w:r>
      <w:r w:rsidRPr="00DD3430">
        <w:rPr>
          <w:rFonts w:ascii="Trebuchet MS" w:eastAsia="Times New Roman" w:hAnsi="Trebuchet MS" w:cs="Times New Roman"/>
          <w:color w:val="707173"/>
          <w:sz w:val="27"/>
          <w:szCs w:val="27"/>
          <w:lang w:eastAsia="fr-BE"/>
        </w:rPr>
        <w:fldChar w:fldCharType="end"/>
      </w:r>
      <w:r w:rsidRPr="00DD3430">
        <w:rPr>
          <w:rFonts w:ascii="Trebuchet MS" w:eastAsia="Times New Roman" w:hAnsi="Trebuchet MS" w:cs="Times New Roman"/>
          <w:color w:val="707173"/>
          <w:sz w:val="18"/>
          <w:szCs w:val="18"/>
          <w:vertAlign w:val="superscript"/>
          <w:lang w:eastAsia="fr-BE"/>
        </w:rPr>
        <w:t>1</w:t>
      </w:r>
      <w:r w:rsidRPr="00DD3430">
        <w:rPr>
          <w:rFonts w:ascii="Trebuchet MS" w:eastAsia="Times New Roman" w:hAnsi="Trebuchet MS" w:cs="Times New Roman"/>
          <w:color w:val="707173"/>
          <w:sz w:val="27"/>
          <w:szCs w:val="27"/>
          <w:lang w:eastAsia="fr-BE"/>
        </w:rPr>
        <w:t>, </w:t>
      </w:r>
      <w:hyperlink r:id="rId9" w:history="1">
        <w:r w:rsidRPr="00DD3430">
          <w:rPr>
            <w:rFonts w:ascii="Trebuchet MS" w:eastAsia="Times New Roman" w:hAnsi="Trebuchet MS" w:cs="Times New Roman"/>
            <w:color w:val="707173"/>
            <w:sz w:val="27"/>
            <w:szCs w:val="27"/>
            <w:u w:val="single"/>
            <w:bdr w:val="none" w:sz="0" w:space="0" w:color="auto" w:frame="1"/>
            <w:lang w:eastAsia="fr-BE"/>
          </w:rPr>
          <w:t>Pierre Vassiliadis</w:t>
        </w:r>
      </w:hyperlink>
      <w:r w:rsidRPr="00DD3430">
        <w:rPr>
          <w:rFonts w:ascii="Trebuchet MS" w:eastAsia="Times New Roman" w:hAnsi="Trebuchet MS" w:cs="Times New Roman"/>
          <w:color w:val="707173"/>
          <w:sz w:val="18"/>
          <w:szCs w:val="18"/>
          <w:vertAlign w:val="superscript"/>
          <w:lang w:eastAsia="fr-BE"/>
        </w:rPr>
        <w:t>1</w:t>
      </w:r>
      <w:r w:rsidRPr="00DD3430">
        <w:rPr>
          <w:rFonts w:ascii="Trebuchet MS" w:eastAsia="Times New Roman" w:hAnsi="Trebuchet MS" w:cs="Times New Roman"/>
          <w:color w:val="707173"/>
          <w:sz w:val="27"/>
          <w:szCs w:val="27"/>
          <w:lang w:eastAsia="fr-BE"/>
        </w:rPr>
        <w:t>, </w:t>
      </w:r>
      <w:hyperlink r:id="rId10" w:history="1">
        <w:r w:rsidRPr="00DD3430">
          <w:rPr>
            <w:rFonts w:ascii="Trebuchet MS" w:eastAsia="Times New Roman" w:hAnsi="Trebuchet MS" w:cs="Times New Roman"/>
            <w:color w:val="707173"/>
            <w:sz w:val="27"/>
            <w:szCs w:val="27"/>
            <w:u w:val="single"/>
            <w:bdr w:val="none" w:sz="0" w:space="0" w:color="auto" w:frame="1"/>
            <w:lang w:eastAsia="fr-BE"/>
          </w:rPr>
          <w:t>Louise Quemener</w:t>
        </w:r>
      </w:hyperlink>
      <w:r w:rsidRPr="00DD3430">
        <w:rPr>
          <w:rFonts w:ascii="Trebuchet MS" w:eastAsia="Times New Roman" w:hAnsi="Trebuchet MS" w:cs="Times New Roman"/>
          <w:color w:val="707173"/>
          <w:sz w:val="18"/>
          <w:szCs w:val="18"/>
          <w:vertAlign w:val="superscript"/>
          <w:lang w:eastAsia="fr-BE"/>
        </w:rPr>
        <w:t>1</w:t>
      </w:r>
      <w:r w:rsidRPr="00DD3430">
        <w:rPr>
          <w:rFonts w:ascii="Trebuchet MS" w:eastAsia="Times New Roman" w:hAnsi="Trebuchet MS" w:cs="Times New Roman"/>
          <w:color w:val="707173"/>
          <w:sz w:val="27"/>
          <w:szCs w:val="27"/>
          <w:lang w:eastAsia="fr-BE"/>
        </w:rPr>
        <w:t>, </w:t>
      </w:r>
      <w:proofErr w:type="spellStart"/>
      <w:r w:rsidRPr="00DD3430">
        <w:rPr>
          <w:rFonts w:ascii="Trebuchet MS" w:eastAsia="Times New Roman" w:hAnsi="Trebuchet MS" w:cs="Times New Roman"/>
          <w:color w:val="707173"/>
          <w:sz w:val="27"/>
          <w:szCs w:val="27"/>
          <w:lang w:eastAsia="fr-BE"/>
        </w:rPr>
        <w:fldChar w:fldCharType="begin"/>
      </w:r>
      <w:r w:rsidRPr="00DD3430">
        <w:rPr>
          <w:rFonts w:ascii="Trebuchet MS" w:eastAsia="Times New Roman" w:hAnsi="Trebuchet MS" w:cs="Times New Roman"/>
          <w:color w:val="707173"/>
          <w:sz w:val="27"/>
          <w:szCs w:val="27"/>
          <w:lang w:eastAsia="fr-BE"/>
        </w:rPr>
        <w:instrText xml:space="preserve"> HYPERLINK "https://www.frontiersin.org/Community/WhosWhoActivity.aspx?sname=&amp;UID=0" </w:instrText>
      </w:r>
      <w:r w:rsidRPr="00DD3430">
        <w:rPr>
          <w:rFonts w:ascii="Trebuchet MS" w:eastAsia="Times New Roman" w:hAnsi="Trebuchet MS" w:cs="Times New Roman"/>
          <w:color w:val="707173"/>
          <w:sz w:val="27"/>
          <w:szCs w:val="27"/>
          <w:lang w:eastAsia="fr-BE"/>
        </w:rPr>
        <w:fldChar w:fldCharType="separate"/>
      </w:r>
      <w:r w:rsidRPr="00DD3430">
        <w:rPr>
          <w:rFonts w:ascii="Trebuchet MS" w:eastAsia="Times New Roman" w:hAnsi="Trebuchet MS" w:cs="Times New Roman"/>
          <w:color w:val="707173"/>
          <w:sz w:val="27"/>
          <w:szCs w:val="27"/>
          <w:u w:val="single"/>
          <w:bdr w:val="none" w:sz="0" w:space="0" w:color="auto" w:frame="1"/>
          <w:lang w:eastAsia="fr-BE"/>
        </w:rPr>
        <w:t>Ysaline</w:t>
      </w:r>
      <w:proofErr w:type="spellEnd"/>
      <w:r w:rsidRPr="00DD3430">
        <w:rPr>
          <w:rFonts w:ascii="Trebuchet MS" w:eastAsia="Times New Roman" w:hAnsi="Trebuchet MS" w:cs="Times New Roman"/>
          <w:color w:val="707173"/>
          <w:sz w:val="27"/>
          <w:szCs w:val="27"/>
          <w:u w:val="single"/>
          <w:bdr w:val="none" w:sz="0" w:space="0" w:color="auto" w:frame="1"/>
          <w:lang w:eastAsia="fr-BE"/>
        </w:rPr>
        <w:t xml:space="preserve"> De Wilde</w:t>
      </w:r>
      <w:r w:rsidRPr="00DD3430">
        <w:rPr>
          <w:rFonts w:ascii="Trebuchet MS" w:eastAsia="Times New Roman" w:hAnsi="Trebuchet MS" w:cs="Times New Roman"/>
          <w:color w:val="707173"/>
          <w:sz w:val="27"/>
          <w:szCs w:val="27"/>
          <w:lang w:eastAsia="fr-BE"/>
        </w:rPr>
        <w:fldChar w:fldCharType="end"/>
      </w:r>
      <w:r w:rsidRPr="00DD3430">
        <w:rPr>
          <w:rFonts w:ascii="Trebuchet MS" w:eastAsia="Times New Roman" w:hAnsi="Trebuchet MS" w:cs="Times New Roman"/>
          <w:color w:val="707173"/>
          <w:sz w:val="18"/>
          <w:szCs w:val="18"/>
          <w:vertAlign w:val="superscript"/>
          <w:lang w:eastAsia="fr-BE"/>
        </w:rPr>
        <w:t>1</w:t>
      </w:r>
      <w:r w:rsidRPr="00DD3430">
        <w:rPr>
          <w:rFonts w:ascii="Trebuchet MS" w:eastAsia="Times New Roman" w:hAnsi="Trebuchet MS" w:cs="Times New Roman"/>
          <w:color w:val="707173"/>
          <w:sz w:val="27"/>
          <w:szCs w:val="27"/>
          <w:lang w:eastAsia="fr-BE"/>
        </w:rPr>
        <w:t> and </w:t>
      </w:r>
      <w:hyperlink r:id="rId11" w:history="1">
        <w:r w:rsidRPr="00DD3430">
          <w:rPr>
            <w:rFonts w:ascii="Trebuchet MS" w:eastAsia="Times New Roman" w:hAnsi="Trebuchet MS" w:cs="Times New Roman"/>
            <w:color w:val="707173"/>
            <w:sz w:val="27"/>
            <w:szCs w:val="27"/>
            <w:u w:val="single"/>
            <w:bdr w:val="none" w:sz="0" w:space="0" w:color="auto" w:frame="1"/>
            <w:lang w:eastAsia="fr-BE"/>
          </w:rPr>
          <w:t>Julie Duque</w:t>
        </w:r>
      </w:hyperlink>
      <w:r w:rsidRPr="00DD3430">
        <w:rPr>
          <w:rFonts w:ascii="Trebuchet MS" w:eastAsia="Times New Roman" w:hAnsi="Trebuchet MS" w:cs="Times New Roman"/>
          <w:color w:val="707173"/>
          <w:sz w:val="18"/>
          <w:szCs w:val="18"/>
          <w:vertAlign w:val="superscript"/>
          <w:lang w:eastAsia="fr-BE"/>
        </w:rPr>
        <w:t>1</w:t>
      </w:r>
    </w:p>
    <w:p w14:paraId="56BA7ED5" w14:textId="77777777" w:rsidR="00DD3430" w:rsidRDefault="00DD3430" w:rsidP="00DD3430">
      <w:pPr>
        <w:pBdr>
          <w:bottom w:val="single" w:sz="2" w:space="0" w:color="FFFFFF"/>
        </w:pBdr>
        <w:shd w:val="clear" w:color="auto" w:fill="FFFFFF"/>
        <w:spacing w:after="0" w:line="240" w:lineRule="atLeast"/>
        <w:jc w:val="both"/>
        <w:textAlignment w:val="baseline"/>
        <w:rPr>
          <w:rFonts w:ascii="Trebuchet MS" w:eastAsia="Times New Roman" w:hAnsi="Trebuchet MS" w:cs="Times New Roman"/>
          <w:color w:val="707173"/>
          <w:sz w:val="18"/>
          <w:szCs w:val="18"/>
          <w:lang w:eastAsia="fr-BE"/>
        </w:rPr>
      </w:pPr>
      <w:r w:rsidRPr="00DD3430">
        <w:rPr>
          <w:rFonts w:ascii="Trebuchet MS" w:eastAsia="Times New Roman" w:hAnsi="Trebuchet MS" w:cs="Times New Roman"/>
          <w:color w:val="707173"/>
          <w:sz w:val="15"/>
          <w:szCs w:val="15"/>
          <w:bdr w:val="none" w:sz="0" w:space="0" w:color="auto" w:frame="1"/>
          <w:vertAlign w:val="superscript"/>
          <w:lang w:eastAsia="fr-BE"/>
        </w:rPr>
        <w:t>1</w:t>
      </w:r>
      <w:r w:rsidRPr="00DD3430">
        <w:rPr>
          <w:rFonts w:ascii="Trebuchet MS" w:eastAsia="Times New Roman" w:hAnsi="Trebuchet MS" w:cs="Times New Roman"/>
          <w:color w:val="707173"/>
          <w:sz w:val="18"/>
          <w:szCs w:val="18"/>
          <w:lang w:eastAsia="fr-BE"/>
        </w:rPr>
        <w:t xml:space="preserve"> Institut de Neuroscience, Université Catholique de Louvain, </w:t>
      </w:r>
      <w:proofErr w:type="spellStart"/>
      <w:r w:rsidRPr="00DD3430">
        <w:rPr>
          <w:rFonts w:ascii="Trebuchet MS" w:eastAsia="Times New Roman" w:hAnsi="Trebuchet MS" w:cs="Times New Roman"/>
          <w:color w:val="707173"/>
          <w:sz w:val="18"/>
          <w:szCs w:val="18"/>
          <w:lang w:eastAsia="fr-BE"/>
        </w:rPr>
        <w:t>Belgium</w:t>
      </w:r>
      <w:proofErr w:type="spellEnd"/>
    </w:p>
    <w:p w14:paraId="4BA09B1A" w14:textId="77777777" w:rsidR="00DD3430" w:rsidRPr="00DD3430" w:rsidRDefault="00DD3430" w:rsidP="00DD3430">
      <w:pPr>
        <w:pBdr>
          <w:bottom w:val="single" w:sz="2" w:space="0" w:color="FFFFFF"/>
        </w:pBdr>
        <w:shd w:val="clear" w:color="auto" w:fill="FFFFFF"/>
        <w:spacing w:after="0" w:line="240" w:lineRule="atLeast"/>
        <w:jc w:val="both"/>
        <w:textAlignment w:val="baseline"/>
        <w:rPr>
          <w:rFonts w:ascii="Trebuchet MS" w:eastAsia="Times New Roman" w:hAnsi="Trebuchet MS" w:cs="Times New Roman"/>
          <w:color w:val="707173"/>
          <w:sz w:val="18"/>
          <w:szCs w:val="18"/>
          <w:lang w:eastAsia="fr-BE"/>
        </w:rPr>
      </w:pPr>
      <w:bookmarkStart w:id="0" w:name="_GoBack"/>
      <w:bookmarkEnd w:id="0"/>
    </w:p>
    <w:p w14:paraId="6B6B1999" w14:textId="77777777" w:rsidR="00DD3430" w:rsidRPr="00DD3430" w:rsidRDefault="00DD3430" w:rsidP="00DD3430">
      <w:pPr>
        <w:shd w:val="clear" w:color="auto" w:fill="FFFFFF"/>
        <w:spacing w:after="0" w:line="330" w:lineRule="atLeast"/>
        <w:jc w:val="both"/>
        <w:textAlignment w:val="baseline"/>
        <w:rPr>
          <w:rFonts w:ascii="Georgia" w:eastAsia="Times New Roman" w:hAnsi="Georgia" w:cs="Times New Roman"/>
          <w:color w:val="3E3D40"/>
          <w:sz w:val="24"/>
          <w:szCs w:val="24"/>
          <w:lang w:val="en-US" w:eastAsia="fr-BE"/>
        </w:rPr>
      </w:pPr>
      <w:r w:rsidRPr="00DD3430">
        <w:rPr>
          <w:rFonts w:ascii="Georgia" w:eastAsia="Times New Roman" w:hAnsi="Georgia" w:cs="Times New Roman"/>
          <w:color w:val="3E3D40"/>
          <w:sz w:val="24"/>
          <w:szCs w:val="24"/>
          <w:bdr w:val="none" w:sz="0" w:space="0" w:color="auto" w:frame="1"/>
          <w:lang w:val="en-US" w:eastAsia="fr-BE"/>
        </w:rPr>
        <w:t>During the two last decades, many studies have applied single-coil transcranial magnetic stimulation (TMS) over one primary motor cortex (M1), eliciting motor-evoked potentials (MEPs) in a contralateral hand or limb muscle to track corticospinal excitability (CSE) changes in various contexts. MEPs represent a valuable indicator of the CSE at the time of stimulation (</w:t>
      </w:r>
      <w:proofErr w:type="spellStart"/>
      <w:r w:rsidRPr="00DD3430">
        <w:rPr>
          <w:rFonts w:ascii="Georgia" w:eastAsia="Times New Roman" w:hAnsi="Georgia" w:cs="Times New Roman"/>
          <w:color w:val="3E3D40"/>
          <w:sz w:val="24"/>
          <w:szCs w:val="24"/>
          <w:bdr w:val="none" w:sz="0" w:space="0" w:color="auto" w:frame="1"/>
          <w:lang w:val="en-US" w:eastAsia="fr-BE"/>
        </w:rPr>
        <w:t>Bestmann</w:t>
      </w:r>
      <w:proofErr w:type="spellEnd"/>
      <w:r w:rsidRPr="00DD3430">
        <w:rPr>
          <w:rFonts w:ascii="Georgia" w:eastAsia="Times New Roman" w:hAnsi="Georgia" w:cs="Times New Roman"/>
          <w:color w:val="3E3D40"/>
          <w:sz w:val="24"/>
          <w:szCs w:val="24"/>
          <w:bdr w:val="none" w:sz="0" w:space="0" w:color="auto" w:frame="1"/>
          <w:lang w:val="en-US" w:eastAsia="fr-BE"/>
        </w:rPr>
        <w:t xml:space="preserve"> &amp; Duque, 2016; </w:t>
      </w:r>
      <w:proofErr w:type="spellStart"/>
      <w:r w:rsidRPr="00DD3430">
        <w:rPr>
          <w:rFonts w:ascii="Georgia" w:eastAsia="Times New Roman" w:hAnsi="Georgia" w:cs="Times New Roman"/>
          <w:color w:val="3E3D40"/>
          <w:sz w:val="24"/>
          <w:szCs w:val="24"/>
          <w:bdr w:val="none" w:sz="0" w:space="0" w:color="auto" w:frame="1"/>
          <w:lang w:val="en-US" w:eastAsia="fr-BE"/>
        </w:rPr>
        <w:t>Grandjean</w:t>
      </w:r>
      <w:proofErr w:type="spellEnd"/>
      <w:r w:rsidRPr="00DD3430">
        <w:rPr>
          <w:rFonts w:ascii="Georgia" w:eastAsia="Times New Roman" w:hAnsi="Georgia" w:cs="Times New Roman"/>
          <w:color w:val="3E3D40"/>
          <w:sz w:val="24"/>
          <w:szCs w:val="24"/>
          <w:bdr w:val="none" w:sz="0" w:space="0" w:color="auto" w:frame="1"/>
          <w:lang w:val="en-US" w:eastAsia="fr-BE"/>
        </w:rPr>
        <w:t xml:space="preserve"> et al., 2018)</w:t>
      </w:r>
      <w:r w:rsidRPr="00DD3430">
        <w:rPr>
          <w:rFonts w:ascii="Times New Roman" w:eastAsia="Times New Roman" w:hAnsi="Times New Roman" w:cs="Times New Roman"/>
          <w:color w:val="3E3D40"/>
          <w:sz w:val="24"/>
          <w:szCs w:val="24"/>
          <w:bdr w:val="none" w:sz="0" w:space="0" w:color="auto" w:frame="1"/>
          <w:lang w:val="en-US" w:eastAsia="fr-BE"/>
        </w:rPr>
        <w:t>⁠</w:t>
      </w:r>
      <w:r w:rsidRPr="00DD3430">
        <w:rPr>
          <w:rFonts w:ascii="Georgia" w:eastAsia="Times New Roman" w:hAnsi="Georgia" w:cs="Times New Roman"/>
          <w:color w:val="3E3D40"/>
          <w:sz w:val="24"/>
          <w:szCs w:val="24"/>
          <w:bdr w:val="none" w:sz="0" w:space="0" w:color="auto" w:frame="1"/>
          <w:lang w:val="en-US" w:eastAsia="fr-BE"/>
        </w:rPr>
        <w:t xml:space="preserve"> and their amplitude can be compared at different moments within a given condition and between different states (</w:t>
      </w:r>
      <w:proofErr w:type="spellStart"/>
      <w:r w:rsidRPr="00DD3430">
        <w:rPr>
          <w:rFonts w:ascii="Georgia" w:eastAsia="Times New Roman" w:hAnsi="Georgia" w:cs="Times New Roman"/>
          <w:color w:val="3E3D40"/>
          <w:sz w:val="24"/>
          <w:szCs w:val="24"/>
          <w:bdr w:val="none" w:sz="0" w:space="0" w:color="auto" w:frame="1"/>
          <w:lang w:val="en-US" w:eastAsia="fr-BE"/>
        </w:rPr>
        <w:t>Bestmann</w:t>
      </w:r>
      <w:proofErr w:type="spellEnd"/>
      <w:r w:rsidRPr="00DD3430">
        <w:rPr>
          <w:rFonts w:ascii="Georgia" w:eastAsia="Times New Roman" w:hAnsi="Georgia" w:cs="Times New Roman"/>
          <w:color w:val="3E3D40"/>
          <w:sz w:val="24"/>
          <w:szCs w:val="24"/>
          <w:bdr w:val="none" w:sz="0" w:space="0" w:color="auto" w:frame="1"/>
          <w:lang w:val="en-US" w:eastAsia="fr-BE"/>
        </w:rPr>
        <w:t xml:space="preserve"> &amp; </w:t>
      </w:r>
      <w:proofErr w:type="spellStart"/>
      <w:r w:rsidRPr="00DD3430">
        <w:rPr>
          <w:rFonts w:ascii="Georgia" w:eastAsia="Times New Roman" w:hAnsi="Georgia" w:cs="Times New Roman"/>
          <w:color w:val="3E3D40"/>
          <w:sz w:val="24"/>
          <w:szCs w:val="24"/>
          <w:bdr w:val="none" w:sz="0" w:space="0" w:color="auto" w:frame="1"/>
          <w:lang w:val="en-US" w:eastAsia="fr-BE"/>
        </w:rPr>
        <w:t>Krakauer</w:t>
      </w:r>
      <w:proofErr w:type="spellEnd"/>
      <w:r w:rsidRPr="00DD3430">
        <w:rPr>
          <w:rFonts w:ascii="Georgia" w:eastAsia="Times New Roman" w:hAnsi="Georgia" w:cs="Times New Roman"/>
          <w:color w:val="3E3D40"/>
          <w:sz w:val="24"/>
          <w:szCs w:val="24"/>
          <w:bdr w:val="none" w:sz="0" w:space="0" w:color="auto" w:frame="1"/>
          <w:lang w:val="en-US" w:eastAsia="fr-BE"/>
        </w:rPr>
        <w:t xml:space="preserve">, 2015; </w:t>
      </w:r>
      <w:proofErr w:type="spellStart"/>
      <w:r w:rsidRPr="00DD3430">
        <w:rPr>
          <w:rFonts w:ascii="Georgia" w:eastAsia="Times New Roman" w:hAnsi="Georgia" w:cs="Times New Roman"/>
          <w:color w:val="3E3D40"/>
          <w:sz w:val="24"/>
          <w:szCs w:val="24"/>
          <w:bdr w:val="none" w:sz="0" w:space="0" w:color="auto" w:frame="1"/>
          <w:lang w:val="en-US" w:eastAsia="fr-BE"/>
        </w:rPr>
        <w:t>Vassiliadis</w:t>
      </w:r>
      <w:proofErr w:type="spellEnd"/>
      <w:r w:rsidRPr="00DD3430">
        <w:rPr>
          <w:rFonts w:ascii="Georgia" w:eastAsia="Times New Roman" w:hAnsi="Georgia" w:cs="Times New Roman"/>
          <w:color w:val="3E3D40"/>
          <w:sz w:val="24"/>
          <w:szCs w:val="24"/>
          <w:bdr w:val="none" w:sz="0" w:space="0" w:color="auto" w:frame="1"/>
          <w:lang w:val="en-US" w:eastAsia="fr-BE"/>
        </w:rPr>
        <w:t xml:space="preserve"> et al., 2018)</w:t>
      </w:r>
      <w:r w:rsidRPr="00DD3430">
        <w:rPr>
          <w:rFonts w:ascii="Times New Roman" w:eastAsia="Times New Roman" w:hAnsi="Times New Roman" w:cs="Times New Roman"/>
          <w:color w:val="3E3D40"/>
          <w:sz w:val="24"/>
          <w:szCs w:val="24"/>
          <w:bdr w:val="none" w:sz="0" w:space="0" w:color="auto" w:frame="1"/>
          <w:lang w:val="en-US" w:eastAsia="fr-BE"/>
        </w:rPr>
        <w:t>⁠</w:t>
      </w:r>
      <w:r w:rsidRPr="00DD3430">
        <w:rPr>
          <w:rFonts w:ascii="Georgia" w:eastAsia="Times New Roman" w:hAnsi="Georgia" w:cs="Times New Roman"/>
          <w:color w:val="3E3D40"/>
          <w:sz w:val="24"/>
          <w:szCs w:val="24"/>
          <w:bdr w:val="none" w:sz="0" w:space="0" w:color="auto" w:frame="1"/>
          <w:lang w:val="en-US" w:eastAsia="fr-BE"/>
        </w:rPr>
        <w:t xml:space="preserve">. For example, in studies of action preparation, MEPs have been elicited at different times during the reaction time period preceding left and right hand responses in various tasks (Cos, Duque, &amp; </w:t>
      </w:r>
      <w:proofErr w:type="spellStart"/>
      <w:r w:rsidRPr="00DD3430">
        <w:rPr>
          <w:rFonts w:ascii="Georgia" w:eastAsia="Times New Roman" w:hAnsi="Georgia" w:cs="Times New Roman"/>
          <w:color w:val="3E3D40"/>
          <w:sz w:val="24"/>
          <w:szCs w:val="24"/>
          <w:bdr w:val="none" w:sz="0" w:space="0" w:color="auto" w:frame="1"/>
          <w:lang w:val="en-US" w:eastAsia="fr-BE"/>
        </w:rPr>
        <w:t>Cisek</w:t>
      </w:r>
      <w:proofErr w:type="spellEnd"/>
      <w:r w:rsidRPr="00DD3430">
        <w:rPr>
          <w:rFonts w:ascii="Georgia" w:eastAsia="Times New Roman" w:hAnsi="Georgia" w:cs="Times New Roman"/>
          <w:color w:val="3E3D40"/>
          <w:sz w:val="24"/>
          <w:szCs w:val="24"/>
          <w:bdr w:val="none" w:sz="0" w:space="0" w:color="auto" w:frame="1"/>
          <w:lang w:val="en-US" w:eastAsia="fr-BE"/>
        </w:rPr>
        <w:t xml:space="preserve">, 2014; Duque, </w:t>
      </w:r>
      <w:proofErr w:type="spellStart"/>
      <w:r w:rsidRPr="00DD3430">
        <w:rPr>
          <w:rFonts w:ascii="Georgia" w:eastAsia="Times New Roman" w:hAnsi="Georgia" w:cs="Times New Roman"/>
          <w:color w:val="3E3D40"/>
          <w:sz w:val="24"/>
          <w:szCs w:val="24"/>
          <w:bdr w:val="none" w:sz="0" w:space="0" w:color="auto" w:frame="1"/>
          <w:lang w:val="en-US" w:eastAsia="fr-BE"/>
        </w:rPr>
        <w:t>Petitjean</w:t>
      </w:r>
      <w:proofErr w:type="spellEnd"/>
      <w:r w:rsidRPr="00DD3430">
        <w:rPr>
          <w:rFonts w:ascii="Georgia" w:eastAsia="Times New Roman" w:hAnsi="Georgia" w:cs="Times New Roman"/>
          <w:color w:val="3E3D40"/>
          <w:sz w:val="24"/>
          <w:szCs w:val="24"/>
          <w:bdr w:val="none" w:sz="0" w:space="0" w:color="auto" w:frame="1"/>
          <w:lang w:val="en-US" w:eastAsia="fr-BE"/>
        </w:rPr>
        <w:t xml:space="preserve">, &amp; </w:t>
      </w:r>
      <w:proofErr w:type="spellStart"/>
      <w:r w:rsidRPr="00DD3430">
        <w:rPr>
          <w:rFonts w:ascii="Georgia" w:eastAsia="Times New Roman" w:hAnsi="Georgia" w:cs="Times New Roman"/>
          <w:color w:val="3E3D40"/>
          <w:sz w:val="24"/>
          <w:szCs w:val="24"/>
          <w:bdr w:val="none" w:sz="0" w:space="0" w:color="auto" w:frame="1"/>
          <w:lang w:val="en-US" w:eastAsia="fr-BE"/>
        </w:rPr>
        <w:t>Swinnen</w:t>
      </w:r>
      <w:proofErr w:type="spellEnd"/>
      <w:r w:rsidRPr="00DD3430">
        <w:rPr>
          <w:rFonts w:ascii="Georgia" w:eastAsia="Times New Roman" w:hAnsi="Georgia" w:cs="Times New Roman"/>
          <w:color w:val="3E3D40"/>
          <w:sz w:val="24"/>
          <w:szCs w:val="24"/>
          <w:bdr w:val="none" w:sz="0" w:space="0" w:color="auto" w:frame="1"/>
          <w:lang w:val="en-US" w:eastAsia="fr-BE"/>
        </w:rPr>
        <w:t xml:space="preserve">, 2016; </w:t>
      </w:r>
      <w:proofErr w:type="spellStart"/>
      <w:r w:rsidRPr="00DD3430">
        <w:rPr>
          <w:rFonts w:ascii="Georgia" w:eastAsia="Times New Roman" w:hAnsi="Georgia" w:cs="Times New Roman"/>
          <w:color w:val="3E3D40"/>
          <w:sz w:val="24"/>
          <w:szCs w:val="24"/>
          <w:bdr w:val="none" w:sz="0" w:space="0" w:color="auto" w:frame="1"/>
          <w:lang w:val="en-US" w:eastAsia="fr-BE"/>
        </w:rPr>
        <w:t>Quoilin</w:t>
      </w:r>
      <w:proofErr w:type="spellEnd"/>
      <w:r w:rsidRPr="00DD3430">
        <w:rPr>
          <w:rFonts w:ascii="Georgia" w:eastAsia="Times New Roman" w:hAnsi="Georgia" w:cs="Times New Roman"/>
          <w:color w:val="3E3D40"/>
          <w:sz w:val="24"/>
          <w:szCs w:val="24"/>
          <w:bdr w:val="none" w:sz="0" w:space="0" w:color="auto" w:frame="1"/>
          <w:lang w:val="en-US" w:eastAsia="fr-BE"/>
        </w:rPr>
        <w:t xml:space="preserve">, Lambert, Jacob, Klein, &amp; Duque, 2016; Wilhelm, </w:t>
      </w:r>
      <w:proofErr w:type="spellStart"/>
      <w:r w:rsidRPr="00DD3430">
        <w:rPr>
          <w:rFonts w:ascii="Georgia" w:eastAsia="Times New Roman" w:hAnsi="Georgia" w:cs="Times New Roman"/>
          <w:color w:val="3E3D40"/>
          <w:sz w:val="24"/>
          <w:szCs w:val="24"/>
          <w:bdr w:val="none" w:sz="0" w:space="0" w:color="auto" w:frame="1"/>
          <w:lang w:val="en-US" w:eastAsia="fr-BE"/>
        </w:rPr>
        <w:t>Grandjean</w:t>
      </w:r>
      <w:proofErr w:type="spellEnd"/>
      <w:r w:rsidRPr="00DD3430">
        <w:rPr>
          <w:rFonts w:ascii="Georgia" w:eastAsia="Times New Roman" w:hAnsi="Georgia" w:cs="Times New Roman"/>
          <w:color w:val="3E3D40"/>
          <w:sz w:val="24"/>
          <w:szCs w:val="24"/>
          <w:bdr w:val="none" w:sz="0" w:space="0" w:color="auto" w:frame="1"/>
          <w:lang w:val="en-US" w:eastAsia="fr-BE"/>
        </w:rPr>
        <w:t>, &amp; Duque, 2017)</w:t>
      </w:r>
      <w:r w:rsidRPr="00DD3430">
        <w:rPr>
          <w:rFonts w:ascii="Times New Roman" w:eastAsia="Times New Roman" w:hAnsi="Times New Roman" w:cs="Times New Roman"/>
          <w:color w:val="3E3D40"/>
          <w:sz w:val="24"/>
          <w:szCs w:val="24"/>
          <w:bdr w:val="none" w:sz="0" w:space="0" w:color="auto" w:frame="1"/>
          <w:lang w:val="en-US" w:eastAsia="fr-BE"/>
        </w:rPr>
        <w:t>⁠⁠</w:t>
      </w:r>
      <w:r w:rsidRPr="00DD3430">
        <w:rPr>
          <w:rFonts w:ascii="Georgia" w:eastAsia="Times New Roman" w:hAnsi="Georgia" w:cs="Times New Roman"/>
          <w:color w:val="3E3D40"/>
          <w:sz w:val="24"/>
          <w:szCs w:val="24"/>
          <w:bdr w:val="none" w:sz="0" w:space="0" w:color="auto" w:frame="1"/>
          <w:lang w:val="en-US" w:eastAsia="fr-BE"/>
        </w:rPr>
        <w:t>. This work has led to considerable advances in the understanding of neural processes underlying action preparation, including the identification of various excitatory and inhibitory influences modulating CSE distinctively depending on the role of the probed muscle in the forthcoming response (</w:t>
      </w:r>
      <w:proofErr w:type="spellStart"/>
      <w:r w:rsidRPr="00DD3430">
        <w:rPr>
          <w:rFonts w:ascii="Georgia" w:eastAsia="Times New Roman" w:hAnsi="Georgia" w:cs="Times New Roman"/>
          <w:color w:val="3E3D40"/>
          <w:sz w:val="24"/>
          <w:szCs w:val="24"/>
          <w:bdr w:val="none" w:sz="0" w:space="0" w:color="auto" w:frame="1"/>
          <w:lang w:val="en-US" w:eastAsia="fr-BE"/>
        </w:rPr>
        <w:t>Hadar</w:t>
      </w:r>
      <w:proofErr w:type="spellEnd"/>
      <w:r w:rsidRPr="00DD3430">
        <w:rPr>
          <w:rFonts w:ascii="Georgia" w:eastAsia="Times New Roman" w:hAnsi="Georgia" w:cs="Times New Roman"/>
          <w:color w:val="3E3D40"/>
          <w:sz w:val="24"/>
          <w:szCs w:val="24"/>
          <w:bdr w:val="none" w:sz="0" w:space="0" w:color="auto" w:frame="1"/>
          <w:lang w:val="en-US" w:eastAsia="fr-BE"/>
        </w:rPr>
        <w:t>, Rowe, Di Costa, Jones, &amp; Yarrow, 2016)</w:t>
      </w:r>
      <w:r w:rsidRPr="00DD3430">
        <w:rPr>
          <w:rFonts w:ascii="Times New Roman" w:eastAsia="Times New Roman" w:hAnsi="Times New Roman" w:cs="Times New Roman"/>
          <w:color w:val="3E3D40"/>
          <w:sz w:val="24"/>
          <w:szCs w:val="24"/>
          <w:bdr w:val="none" w:sz="0" w:space="0" w:color="auto" w:frame="1"/>
          <w:lang w:val="en-US" w:eastAsia="fr-BE"/>
        </w:rPr>
        <w:t>⁠</w:t>
      </w:r>
      <w:r w:rsidRPr="00DD3430">
        <w:rPr>
          <w:rFonts w:ascii="Georgia" w:eastAsia="Times New Roman" w:hAnsi="Georgia" w:cs="Times New Roman"/>
          <w:color w:val="3E3D40"/>
          <w:sz w:val="24"/>
          <w:szCs w:val="24"/>
          <w:bdr w:val="none" w:sz="0" w:space="0" w:color="auto" w:frame="1"/>
          <w:lang w:val="en-US" w:eastAsia="fr-BE"/>
        </w:rPr>
        <w:t xml:space="preserve"> and on the task-setting (reviewed in Duque, Greenhouse, </w:t>
      </w:r>
      <w:proofErr w:type="spellStart"/>
      <w:r w:rsidRPr="00DD3430">
        <w:rPr>
          <w:rFonts w:ascii="Georgia" w:eastAsia="Times New Roman" w:hAnsi="Georgia" w:cs="Times New Roman"/>
          <w:color w:val="3E3D40"/>
          <w:sz w:val="24"/>
          <w:szCs w:val="24"/>
          <w:bdr w:val="none" w:sz="0" w:space="0" w:color="auto" w:frame="1"/>
          <w:lang w:val="en-US" w:eastAsia="fr-BE"/>
        </w:rPr>
        <w:t>Labruna</w:t>
      </w:r>
      <w:proofErr w:type="spellEnd"/>
      <w:r w:rsidRPr="00DD3430">
        <w:rPr>
          <w:rFonts w:ascii="Georgia" w:eastAsia="Times New Roman" w:hAnsi="Georgia" w:cs="Times New Roman"/>
          <w:color w:val="3E3D40"/>
          <w:sz w:val="24"/>
          <w:szCs w:val="24"/>
          <w:bdr w:val="none" w:sz="0" w:space="0" w:color="auto" w:frame="1"/>
          <w:lang w:val="en-US" w:eastAsia="fr-BE"/>
        </w:rPr>
        <w:t xml:space="preserve">, &amp; </w:t>
      </w:r>
      <w:proofErr w:type="spellStart"/>
      <w:r w:rsidRPr="00DD3430">
        <w:rPr>
          <w:rFonts w:ascii="Georgia" w:eastAsia="Times New Roman" w:hAnsi="Georgia" w:cs="Times New Roman"/>
          <w:color w:val="3E3D40"/>
          <w:sz w:val="24"/>
          <w:szCs w:val="24"/>
          <w:bdr w:val="none" w:sz="0" w:space="0" w:color="auto" w:frame="1"/>
          <w:lang w:val="en-US" w:eastAsia="fr-BE"/>
        </w:rPr>
        <w:t>Ivry</w:t>
      </w:r>
      <w:proofErr w:type="spellEnd"/>
      <w:r w:rsidRPr="00DD3430">
        <w:rPr>
          <w:rFonts w:ascii="Georgia" w:eastAsia="Times New Roman" w:hAnsi="Georgia" w:cs="Times New Roman"/>
          <w:color w:val="3E3D40"/>
          <w:sz w:val="24"/>
          <w:szCs w:val="24"/>
          <w:bdr w:val="none" w:sz="0" w:space="0" w:color="auto" w:frame="1"/>
          <w:lang w:val="en-US" w:eastAsia="fr-BE"/>
        </w:rPr>
        <w:t>, 2017)</w:t>
      </w:r>
      <w:r w:rsidRPr="00DD3430">
        <w:rPr>
          <w:rFonts w:ascii="Times New Roman" w:eastAsia="Times New Roman" w:hAnsi="Times New Roman" w:cs="Times New Roman"/>
          <w:color w:val="3E3D40"/>
          <w:sz w:val="24"/>
          <w:szCs w:val="24"/>
          <w:bdr w:val="none" w:sz="0" w:space="0" w:color="auto" w:frame="1"/>
          <w:lang w:val="en-US" w:eastAsia="fr-BE"/>
        </w:rPr>
        <w:t>⁠</w:t>
      </w:r>
      <w:r w:rsidRPr="00DD3430">
        <w:rPr>
          <w:rFonts w:ascii="Georgia" w:eastAsia="Times New Roman" w:hAnsi="Georgia" w:cs="Times New Roman"/>
          <w:color w:val="3E3D40"/>
          <w:sz w:val="24"/>
          <w:szCs w:val="24"/>
          <w:bdr w:val="none" w:sz="0" w:space="0" w:color="auto" w:frame="1"/>
          <w:lang w:val="en-US" w:eastAsia="fr-BE"/>
        </w:rPr>
        <w:t xml:space="preserve">. However, a substantial caveat in the previously mentioned literature is that MEPs are usually only recorded from muscles of a single hand following the application of TMS over one M1 only. This occurs because applying TMS over both M1 in separate blocks doubles the duration of the experiment, making it impossible to fit all the conditions in a single session. Hence, in most experiments, the MEP data have only provided researchers with half of the story, increasing the risk of shortcuts in data interpretations. </w:t>
      </w:r>
      <w:proofErr w:type="gramStart"/>
      <w:r w:rsidRPr="00DD3430">
        <w:rPr>
          <w:rFonts w:ascii="Georgia" w:eastAsia="Times New Roman" w:hAnsi="Georgia" w:cs="Times New Roman"/>
          <w:color w:val="3E3D40"/>
          <w:sz w:val="24"/>
          <w:szCs w:val="24"/>
          <w:bdr w:val="none" w:sz="0" w:space="0" w:color="auto" w:frame="1"/>
          <w:lang w:val="en-US" w:eastAsia="fr-BE"/>
        </w:rPr>
        <w:t>For example, in action preparation studies, it has been typically assumed that differences in MEP amplitudes between conditions in which a muscle (e.g. right index agonist) is either selected (e.g. right index response) or non-selected (e.g. left index response) for the forthcoming movement are due to the distinct function of the probed muscle in these two situations (</w:t>
      </w:r>
      <w:proofErr w:type="spellStart"/>
      <w:r w:rsidRPr="00DD3430">
        <w:rPr>
          <w:rFonts w:ascii="Georgia" w:eastAsia="Times New Roman" w:hAnsi="Georgia" w:cs="Times New Roman"/>
          <w:color w:val="3E3D40"/>
          <w:sz w:val="24"/>
          <w:szCs w:val="24"/>
          <w:bdr w:val="none" w:sz="0" w:space="0" w:color="auto" w:frame="1"/>
          <w:lang w:val="en-US" w:eastAsia="fr-BE"/>
        </w:rPr>
        <w:t>Labruna</w:t>
      </w:r>
      <w:proofErr w:type="spellEnd"/>
      <w:r w:rsidRPr="00DD3430">
        <w:rPr>
          <w:rFonts w:ascii="Georgia" w:eastAsia="Times New Roman" w:hAnsi="Georgia" w:cs="Times New Roman"/>
          <w:color w:val="3E3D40"/>
          <w:sz w:val="24"/>
          <w:szCs w:val="24"/>
          <w:bdr w:val="none" w:sz="0" w:space="0" w:color="auto" w:frame="1"/>
          <w:lang w:val="en-US" w:eastAsia="fr-BE"/>
        </w:rPr>
        <w:t xml:space="preserve"> et al., 2014)</w:t>
      </w:r>
      <w:r w:rsidRPr="00DD3430">
        <w:rPr>
          <w:rFonts w:ascii="Times New Roman" w:eastAsia="Times New Roman" w:hAnsi="Times New Roman" w:cs="Times New Roman"/>
          <w:color w:val="3E3D40"/>
          <w:sz w:val="24"/>
          <w:szCs w:val="24"/>
          <w:bdr w:val="none" w:sz="0" w:space="0" w:color="auto" w:frame="1"/>
          <w:lang w:val="en-US" w:eastAsia="fr-BE"/>
        </w:rPr>
        <w:t>⁠</w:t>
      </w:r>
      <w:r w:rsidRPr="00DD3430">
        <w:rPr>
          <w:rFonts w:ascii="Georgia" w:eastAsia="Times New Roman" w:hAnsi="Georgia" w:cs="Times New Roman"/>
          <w:color w:val="3E3D40"/>
          <w:sz w:val="24"/>
          <w:szCs w:val="24"/>
          <w:bdr w:val="none" w:sz="0" w:space="0" w:color="auto" w:frame="1"/>
          <w:lang w:val="en-US" w:eastAsia="fr-BE"/>
        </w:rPr>
        <w:t>.</w:t>
      </w:r>
      <w:proofErr w:type="gramEnd"/>
      <w:r w:rsidRPr="00DD3430">
        <w:rPr>
          <w:rFonts w:ascii="Georgia" w:eastAsia="Times New Roman" w:hAnsi="Georgia" w:cs="Times New Roman"/>
          <w:color w:val="3E3D40"/>
          <w:sz w:val="24"/>
          <w:szCs w:val="24"/>
          <w:bdr w:val="none" w:sz="0" w:space="0" w:color="auto" w:frame="1"/>
          <w:lang w:val="en-US" w:eastAsia="fr-BE"/>
        </w:rPr>
        <w:t xml:space="preserve"> </w:t>
      </w:r>
      <w:proofErr w:type="gramStart"/>
      <w:r w:rsidRPr="00DD3430">
        <w:rPr>
          <w:rFonts w:ascii="Georgia" w:eastAsia="Times New Roman" w:hAnsi="Georgia" w:cs="Times New Roman"/>
          <w:color w:val="3E3D40"/>
          <w:sz w:val="24"/>
          <w:szCs w:val="24"/>
          <w:bdr w:val="none" w:sz="0" w:space="0" w:color="auto" w:frame="1"/>
          <w:lang w:val="en-US" w:eastAsia="fr-BE"/>
        </w:rPr>
        <w:t xml:space="preserve">In other words, the stronger left MEP suppression in conditions where the target muscle is selected for the forthcoming movement compared to when it is non-selected has been commonly understood from the distinct function (selected vs. non- selected) of the left hand muscle in these two situations (Duque, Lew, </w:t>
      </w:r>
      <w:proofErr w:type="spellStart"/>
      <w:r w:rsidRPr="00DD3430">
        <w:rPr>
          <w:rFonts w:ascii="Georgia" w:eastAsia="Times New Roman" w:hAnsi="Georgia" w:cs="Times New Roman"/>
          <w:color w:val="3E3D40"/>
          <w:sz w:val="24"/>
          <w:szCs w:val="24"/>
          <w:bdr w:val="none" w:sz="0" w:space="0" w:color="auto" w:frame="1"/>
          <w:lang w:val="en-US" w:eastAsia="fr-BE"/>
        </w:rPr>
        <w:t>Mazzocchio</w:t>
      </w:r>
      <w:proofErr w:type="spellEnd"/>
      <w:r w:rsidRPr="00DD3430">
        <w:rPr>
          <w:rFonts w:ascii="Georgia" w:eastAsia="Times New Roman" w:hAnsi="Georgia" w:cs="Times New Roman"/>
          <w:color w:val="3E3D40"/>
          <w:sz w:val="24"/>
          <w:szCs w:val="24"/>
          <w:bdr w:val="none" w:sz="0" w:space="0" w:color="auto" w:frame="1"/>
          <w:lang w:val="en-US" w:eastAsia="fr-BE"/>
        </w:rPr>
        <w:t xml:space="preserve">, Olivier, &amp; </w:t>
      </w:r>
      <w:proofErr w:type="spellStart"/>
      <w:r w:rsidRPr="00DD3430">
        <w:rPr>
          <w:rFonts w:ascii="Georgia" w:eastAsia="Times New Roman" w:hAnsi="Georgia" w:cs="Times New Roman"/>
          <w:color w:val="3E3D40"/>
          <w:sz w:val="24"/>
          <w:szCs w:val="24"/>
          <w:bdr w:val="none" w:sz="0" w:space="0" w:color="auto" w:frame="1"/>
          <w:lang w:val="en-US" w:eastAsia="fr-BE"/>
        </w:rPr>
        <w:t>Ivry</w:t>
      </w:r>
      <w:proofErr w:type="spellEnd"/>
      <w:r w:rsidRPr="00DD3430">
        <w:rPr>
          <w:rFonts w:ascii="Georgia" w:eastAsia="Times New Roman" w:hAnsi="Georgia" w:cs="Times New Roman"/>
          <w:color w:val="3E3D40"/>
          <w:sz w:val="24"/>
          <w:szCs w:val="24"/>
          <w:bdr w:val="none" w:sz="0" w:space="0" w:color="auto" w:frame="1"/>
          <w:lang w:val="en-US" w:eastAsia="fr-BE"/>
        </w:rPr>
        <w:t xml:space="preserve">, 2010; </w:t>
      </w:r>
      <w:proofErr w:type="spellStart"/>
      <w:r w:rsidRPr="00DD3430">
        <w:rPr>
          <w:rFonts w:ascii="Georgia" w:eastAsia="Times New Roman" w:hAnsi="Georgia" w:cs="Times New Roman"/>
          <w:color w:val="3E3D40"/>
          <w:sz w:val="24"/>
          <w:szCs w:val="24"/>
          <w:bdr w:val="none" w:sz="0" w:space="0" w:color="auto" w:frame="1"/>
          <w:lang w:val="en-US" w:eastAsia="fr-BE"/>
        </w:rPr>
        <w:t>Labruna</w:t>
      </w:r>
      <w:proofErr w:type="spellEnd"/>
      <w:r w:rsidRPr="00DD3430">
        <w:rPr>
          <w:rFonts w:ascii="Georgia" w:eastAsia="Times New Roman" w:hAnsi="Georgia" w:cs="Times New Roman"/>
          <w:color w:val="3E3D40"/>
          <w:sz w:val="24"/>
          <w:szCs w:val="24"/>
          <w:bdr w:val="none" w:sz="0" w:space="0" w:color="auto" w:frame="1"/>
          <w:lang w:val="en-US" w:eastAsia="fr-BE"/>
        </w:rPr>
        <w:t xml:space="preserve"> et al., 2014)</w:t>
      </w:r>
      <w:r w:rsidRPr="00DD3430">
        <w:rPr>
          <w:rFonts w:ascii="Times New Roman" w:eastAsia="Times New Roman" w:hAnsi="Times New Roman" w:cs="Times New Roman"/>
          <w:color w:val="3E3D40"/>
          <w:sz w:val="24"/>
          <w:szCs w:val="24"/>
          <w:bdr w:val="none" w:sz="0" w:space="0" w:color="auto" w:frame="1"/>
          <w:lang w:val="en-US" w:eastAsia="fr-BE"/>
        </w:rPr>
        <w:t>⁠</w:t>
      </w:r>
      <w:r w:rsidRPr="00DD3430">
        <w:rPr>
          <w:rFonts w:ascii="Georgia" w:eastAsia="Times New Roman" w:hAnsi="Georgia" w:cs="Times New Roman"/>
          <w:color w:val="3E3D40"/>
          <w:sz w:val="24"/>
          <w:szCs w:val="24"/>
          <w:bdr w:val="none" w:sz="0" w:space="0" w:color="auto" w:frame="1"/>
          <w:lang w:val="en-US" w:eastAsia="fr-BE"/>
        </w:rPr>
        <w:t>: preparatory inhibition is thought to be more prominent for selected than non-selected effector representations.</w:t>
      </w:r>
      <w:proofErr w:type="gramEnd"/>
      <w:r w:rsidRPr="00DD3430">
        <w:rPr>
          <w:rFonts w:ascii="Georgia" w:eastAsia="Times New Roman" w:hAnsi="Georgia" w:cs="Times New Roman"/>
          <w:color w:val="3E3D40"/>
          <w:sz w:val="24"/>
          <w:szCs w:val="24"/>
          <w:bdr w:val="none" w:sz="0" w:space="0" w:color="auto" w:frame="1"/>
          <w:lang w:val="en-US" w:eastAsia="fr-BE"/>
        </w:rPr>
        <w:t xml:space="preserve"> Yet, there is a substantial confound here because besides the function, conditions also differ </w:t>
      </w:r>
      <w:proofErr w:type="gramStart"/>
      <w:r w:rsidRPr="00DD3430">
        <w:rPr>
          <w:rFonts w:ascii="Georgia" w:eastAsia="Times New Roman" w:hAnsi="Georgia" w:cs="Times New Roman"/>
          <w:color w:val="3E3D40"/>
          <w:sz w:val="24"/>
          <w:szCs w:val="24"/>
          <w:bdr w:val="none" w:sz="0" w:space="0" w:color="auto" w:frame="1"/>
          <w:lang w:val="en-US" w:eastAsia="fr-BE"/>
        </w:rPr>
        <w:t>in regard to</w:t>
      </w:r>
      <w:proofErr w:type="gramEnd"/>
      <w:r w:rsidRPr="00DD3430">
        <w:rPr>
          <w:rFonts w:ascii="Georgia" w:eastAsia="Times New Roman" w:hAnsi="Georgia" w:cs="Times New Roman"/>
          <w:color w:val="3E3D40"/>
          <w:sz w:val="24"/>
          <w:szCs w:val="24"/>
          <w:bdr w:val="none" w:sz="0" w:space="0" w:color="auto" w:frame="1"/>
          <w:lang w:val="en-US" w:eastAsia="fr-BE"/>
        </w:rPr>
        <w:t xml:space="preserve"> the hand being cued for the response (right or left). Hence, MEP differences may be due to the </w:t>
      </w:r>
      <w:r w:rsidRPr="00DD3430">
        <w:rPr>
          <w:rFonts w:ascii="Georgia" w:eastAsia="Times New Roman" w:hAnsi="Georgia" w:cs="Times New Roman"/>
          <w:color w:val="3E3D40"/>
          <w:sz w:val="24"/>
          <w:szCs w:val="24"/>
          <w:bdr w:val="none" w:sz="0" w:space="0" w:color="auto" w:frame="1"/>
          <w:lang w:val="en-US" w:eastAsia="fr-BE"/>
        </w:rPr>
        <w:lastRenderedPageBreak/>
        <w:t xml:space="preserve">use of the dominant vs non-dominant hand, a possibility that has rarely been considered in the past (Wilhelm, </w:t>
      </w:r>
      <w:proofErr w:type="spellStart"/>
      <w:r w:rsidRPr="00DD3430">
        <w:rPr>
          <w:rFonts w:ascii="Georgia" w:eastAsia="Times New Roman" w:hAnsi="Georgia" w:cs="Times New Roman"/>
          <w:color w:val="3E3D40"/>
          <w:sz w:val="24"/>
          <w:szCs w:val="24"/>
          <w:bdr w:val="none" w:sz="0" w:space="0" w:color="auto" w:frame="1"/>
          <w:lang w:val="en-US" w:eastAsia="fr-BE"/>
        </w:rPr>
        <w:t>Quoilin</w:t>
      </w:r>
      <w:proofErr w:type="spellEnd"/>
      <w:r w:rsidRPr="00DD3430">
        <w:rPr>
          <w:rFonts w:ascii="Georgia" w:eastAsia="Times New Roman" w:hAnsi="Georgia" w:cs="Times New Roman"/>
          <w:color w:val="3E3D40"/>
          <w:sz w:val="24"/>
          <w:szCs w:val="24"/>
          <w:bdr w:val="none" w:sz="0" w:space="0" w:color="auto" w:frame="1"/>
          <w:lang w:val="en-US" w:eastAsia="fr-BE"/>
        </w:rPr>
        <w:t xml:space="preserve">, </w:t>
      </w:r>
      <w:proofErr w:type="spellStart"/>
      <w:r w:rsidRPr="00DD3430">
        <w:rPr>
          <w:rFonts w:ascii="Georgia" w:eastAsia="Times New Roman" w:hAnsi="Georgia" w:cs="Times New Roman"/>
          <w:color w:val="3E3D40"/>
          <w:sz w:val="24"/>
          <w:szCs w:val="24"/>
          <w:bdr w:val="none" w:sz="0" w:space="0" w:color="auto" w:frame="1"/>
          <w:lang w:val="en-US" w:eastAsia="fr-BE"/>
        </w:rPr>
        <w:t>Petitjean</w:t>
      </w:r>
      <w:proofErr w:type="spellEnd"/>
      <w:r w:rsidRPr="00DD3430">
        <w:rPr>
          <w:rFonts w:ascii="Georgia" w:eastAsia="Times New Roman" w:hAnsi="Georgia" w:cs="Times New Roman"/>
          <w:color w:val="3E3D40"/>
          <w:sz w:val="24"/>
          <w:szCs w:val="24"/>
          <w:bdr w:val="none" w:sz="0" w:space="0" w:color="auto" w:frame="1"/>
          <w:lang w:val="en-US" w:eastAsia="fr-BE"/>
        </w:rPr>
        <w:t>, &amp; Duque, 2016</w:t>
      </w:r>
      <w:proofErr w:type="gramStart"/>
      <w:r w:rsidRPr="00DD3430">
        <w:rPr>
          <w:rFonts w:ascii="Georgia" w:eastAsia="Times New Roman" w:hAnsi="Georgia" w:cs="Times New Roman"/>
          <w:color w:val="3E3D40"/>
          <w:sz w:val="24"/>
          <w:szCs w:val="24"/>
          <w:bdr w:val="none" w:sz="0" w:space="0" w:color="auto" w:frame="1"/>
          <w:lang w:val="en-US" w:eastAsia="fr-BE"/>
        </w:rPr>
        <w:t>)</w:t>
      </w:r>
      <w:r w:rsidRPr="00DD3430">
        <w:rPr>
          <w:rFonts w:ascii="Times New Roman" w:eastAsia="Times New Roman" w:hAnsi="Times New Roman" w:cs="Times New Roman"/>
          <w:color w:val="3E3D40"/>
          <w:sz w:val="24"/>
          <w:szCs w:val="24"/>
          <w:bdr w:val="none" w:sz="0" w:space="0" w:color="auto" w:frame="1"/>
          <w:lang w:val="en-US" w:eastAsia="fr-BE"/>
        </w:rPr>
        <w:t>⁠</w:t>
      </w:r>
      <w:proofErr w:type="gramEnd"/>
      <w:r w:rsidRPr="00DD3430">
        <w:rPr>
          <w:rFonts w:ascii="Georgia" w:eastAsia="Times New Roman" w:hAnsi="Georgia" w:cs="Times New Roman"/>
          <w:color w:val="3E3D40"/>
          <w:sz w:val="24"/>
          <w:szCs w:val="24"/>
          <w:bdr w:val="none" w:sz="0" w:space="0" w:color="auto" w:frame="1"/>
          <w:lang w:val="en-US" w:eastAsia="fr-BE"/>
        </w:rPr>
        <w:t xml:space="preserve">. For the reasons outlined above, it would be useful to obtain MEPs in both hands at once, to track CSE bilaterally. For instance, in the hand choice example above, this would allow researchers to obtain markers of CSE changes associated with selected and non-selected hands within each trial, whether the dominant or non-dominant hand is chosen for the </w:t>
      </w:r>
      <w:proofErr w:type="gramStart"/>
      <w:r w:rsidRPr="00DD3430">
        <w:rPr>
          <w:rFonts w:ascii="Georgia" w:eastAsia="Times New Roman" w:hAnsi="Georgia" w:cs="Times New Roman"/>
          <w:color w:val="3E3D40"/>
          <w:sz w:val="24"/>
          <w:szCs w:val="24"/>
          <w:bdr w:val="none" w:sz="0" w:space="0" w:color="auto" w:frame="1"/>
          <w:lang w:val="en-US" w:eastAsia="fr-BE"/>
        </w:rPr>
        <w:t>response.</w:t>
      </w:r>
      <w:proofErr w:type="gramEnd"/>
      <w:r w:rsidRPr="00DD3430">
        <w:rPr>
          <w:rFonts w:ascii="Georgia" w:eastAsia="Times New Roman" w:hAnsi="Georgia" w:cs="Times New Roman"/>
          <w:color w:val="3E3D40"/>
          <w:sz w:val="24"/>
          <w:szCs w:val="24"/>
          <w:bdr w:val="none" w:sz="0" w:space="0" w:color="auto" w:frame="1"/>
          <w:lang w:val="en-US" w:eastAsia="fr-BE"/>
        </w:rPr>
        <w:t xml:space="preserve"> Obtaining MEPs in both hands requires using a double-coil TMS approach where the two M1 are stimulated concurrently (</w:t>
      </w:r>
      <w:proofErr w:type="spellStart"/>
      <w:r w:rsidRPr="00DD3430">
        <w:rPr>
          <w:rFonts w:ascii="Georgia" w:eastAsia="Times New Roman" w:hAnsi="Georgia" w:cs="Times New Roman"/>
          <w:color w:val="3E3D40"/>
          <w:sz w:val="24"/>
          <w:szCs w:val="24"/>
          <w:bdr w:val="none" w:sz="0" w:space="0" w:color="auto" w:frame="1"/>
          <w:lang w:val="en-US" w:eastAsia="fr-BE"/>
        </w:rPr>
        <w:t>Grandjean</w:t>
      </w:r>
      <w:proofErr w:type="spellEnd"/>
      <w:r w:rsidRPr="00DD3430">
        <w:rPr>
          <w:rFonts w:ascii="Georgia" w:eastAsia="Times New Roman" w:hAnsi="Georgia" w:cs="Times New Roman"/>
          <w:color w:val="3E3D40"/>
          <w:sz w:val="24"/>
          <w:szCs w:val="24"/>
          <w:bdr w:val="none" w:sz="0" w:space="0" w:color="auto" w:frame="1"/>
          <w:lang w:val="en-US" w:eastAsia="fr-BE"/>
        </w:rPr>
        <w:t xml:space="preserve"> et al., 2017b, 2017a</w:t>
      </w:r>
      <w:proofErr w:type="gramStart"/>
      <w:r w:rsidRPr="00DD3430">
        <w:rPr>
          <w:rFonts w:ascii="Georgia" w:eastAsia="Times New Roman" w:hAnsi="Georgia" w:cs="Times New Roman"/>
          <w:color w:val="3E3D40"/>
          <w:sz w:val="24"/>
          <w:szCs w:val="24"/>
          <w:bdr w:val="none" w:sz="0" w:space="0" w:color="auto" w:frame="1"/>
          <w:lang w:val="en-US" w:eastAsia="fr-BE"/>
        </w:rPr>
        <w:t>)</w:t>
      </w:r>
      <w:r w:rsidRPr="00DD3430">
        <w:rPr>
          <w:rFonts w:ascii="Times New Roman" w:eastAsia="Times New Roman" w:hAnsi="Times New Roman" w:cs="Times New Roman"/>
          <w:color w:val="3E3D40"/>
          <w:sz w:val="24"/>
          <w:szCs w:val="24"/>
          <w:bdr w:val="none" w:sz="0" w:space="0" w:color="auto" w:frame="1"/>
          <w:lang w:val="en-US" w:eastAsia="fr-BE"/>
        </w:rPr>
        <w:t>⁠</w:t>
      </w:r>
      <w:proofErr w:type="gramEnd"/>
      <w:r w:rsidRPr="00DD3430">
        <w:rPr>
          <w:rFonts w:ascii="Georgia" w:eastAsia="Times New Roman" w:hAnsi="Georgia" w:cs="Times New Roman"/>
          <w:color w:val="3E3D40"/>
          <w:sz w:val="24"/>
          <w:szCs w:val="24"/>
          <w:bdr w:val="none" w:sz="0" w:space="0" w:color="auto" w:frame="1"/>
          <w:lang w:val="en-US" w:eastAsia="fr-BE"/>
        </w:rPr>
        <w:t xml:space="preserve">. In this context, a critical issue is to avoid electromagnetic interference between the two stimulating coils. That is, if triggered exactly at the same time, the two magnetic fields (duration </w:t>
      </w:r>
      <w:r w:rsidRPr="00DD3430">
        <w:rPr>
          <w:rFonts w:ascii="Cambria Math" w:eastAsia="Times New Roman" w:hAnsi="Cambria Math" w:cs="Cambria Math"/>
          <w:color w:val="3E3D40"/>
          <w:sz w:val="24"/>
          <w:szCs w:val="24"/>
          <w:bdr w:val="none" w:sz="0" w:space="0" w:color="auto" w:frame="1"/>
          <w:lang w:val="en-US" w:eastAsia="fr-BE"/>
        </w:rPr>
        <w:t>∼</w:t>
      </w:r>
      <w:r w:rsidRPr="00DD3430">
        <w:rPr>
          <w:rFonts w:ascii="Georgia" w:eastAsia="Times New Roman" w:hAnsi="Georgia" w:cs="Times New Roman"/>
          <w:color w:val="3E3D40"/>
          <w:sz w:val="24"/>
          <w:szCs w:val="24"/>
          <w:bdr w:val="none" w:sz="0" w:space="0" w:color="auto" w:frame="1"/>
          <w:lang w:val="en-US" w:eastAsia="fr-BE"/>
        </w:rPr>
        <w:t xml:space="preserve">200 </w:t>
      </w:r>
      <w:r w:rsidRPr="00DD3430">
        <w:rPr>
          <w:rFonts w:ascii="Georgia" w:eastAsia="Times New Roman" w:hAnsi="Georgia" w:cs="Georgia"/>
          <w:color w:val="3E3D40"/>
          <w:sz w:val="24"/>
          <w:szCs w:val="24"/>
          <w:bdr w:val="none" w:sz="0" w:space="0" w:color="auto" w:frame="1"/>
          <w:lang w:eastAsia="fr-BE"/>
        </w:rPr>
        <w:t>μ</w:t>
      </w:r>
      <w:r w:rsidRPr="00DD3430">
        <w:rPr>
          <w:rFonts w:ascii="Georgia" w:eastAsia="Times New Roman" w:hAnsi="Georgia" w:cs="Times New Roman"/>
          <w:color w:val="3E3D40"/>
          <w:sz w:val="24"/>
          <w:szCs w:val="24"/>
          <w:bdr w:val="none" w:sz="0" w:space="0" w:color="auto" w:frame="1"/>
          <w:lang w:val="en-US" w:eastAsia="fr-BE"/>
        </w:rPr>
        <w:t xml:space="preserve">s) interact, exerting a force on the TMS coils; the resulting MEPs </w:t>
      </w:r>
      <w:proofErr w:type="gramStart"/>
      <w:r w:rsidRPr="00DD3430">
        <w:rPr>
          <w:rFonts w:ascii="Georgia" w:eastAsia="Times New Roman" w:hAnsi="Georgia" w:cs="Times New Roman"/>
          <w:color w:val="3E3D40"/>
          <w:sz w:val="24"/>
          <w:szCs w:val="24"/>
          <w:bdr w:val="none" w:sz="0" w:space="0" w:color="auto" w:frame="1"/>
          <w:lang w:val="en-US" w:eastAsia="fr-BE"/>
        </w:rPr>
        <w:t>are smaller compared</w:t>
      </w:r>
      <w:proofErr w:type="gramEnd"/>
      <w:r w:rsidRPr="00DD3430">
        <w:rPr>
          <w:rFonts w:ascii="Georgia" w:eastAsia="Times New Roman" w:hAnsi="Georgia" w:cs="Times New Roman"/>
          <w:color w:val="3E3D40"/>
          <w:sz w:val="24"/>
          <w:szCs w:val="24"/>
          <w:bdr w:val="none" w:sz="0" w:space="0" w:color="auto" w:frame="1"/>
          <w:lang w:val="en-US" w:eastAsia="fr-BE"/>
        </w:rPr>
        <w:t xml:space="preserve"> to when a single-coil TMS method is used (unpublished observations). Fortunately, this problem </w:t>
      </w:r>
      <w:proofErr w:type="gramStart"/>
      <w:r w:rsidRPr="00DD3430">
        <w:rPr>
          <w:rFonts w:ascii="Georgia" w:eastAsia="Times New Roman" w:hAnsi="Georgia" w:cs="Times New Roman"/>
          <w:color w:val="3E3D40"/>
          <w:sz w:val="24"/>
          <w:szCs w:val="24"/>
          <w:bdr w:val="none" w:sz="0" w:space="0" w:color="auto" w:frame="1"/>
          <w:lang w:val="en-US" w:eastAsia="fr-BE"/>
        </w:rPr>
        <w:t>can be overcome</w:t>
      </w:r>
      <w:proofErr w:type="gramEnd"/>
      <w:r w:rsidRPr="00DD3430">
        <w:rPr>
          <w:rFonts w:ascii="Georgia" w:eastAsia="Times New Roman" w:hAnsi="Georgia" w:cs="Times New Roman"/>
          <w:color w:val="3E3D40"/>
          <w:sz w:val="24"/>
          <w:szCs w:val="24"/>
          <w:bdr w:val="none" w:sz="0" w:space="0" w:color="auto" w:frame="1"/>
          <w:lang w:val="en-US" w:eastAsia="fr-BE"/>
        </w:rPr>
        <w:t xml:space="preserve"> by adding a short interval between the two M1 pulses. Another critical point is to make sure that the two descending volleys do not influence each other. Notably, cortical interactions through the corpus callosum can occur with intervals as short as 4 </w:t>
      </w:r>
      <w:proofErr w:type="spellStart"/>
      <w:r w:rsidRPr="00DD3430">
        <w:rPr>
          <w:rFonts w:ascii="Georgia" w:eastAsia="Times New Roman" w:hAnsi="Georgia" w:cs="Times New Roman"/>
          <w:color w:val="3E3D40"/>
          <w:sz w:val="24"/>
          <w:szCs w:val="24"/>
          <w:bdr w:val="none" w:sz="0" w:space="0" w:color="auto" w:frame="1"/>
          <w:lang w:val="en-US" w:eastAsia="fr-BE"/>
        </w:rPr>
        <w:t>ms</w:t>
      </w:r>
      <w:proofErr w:type="spellEnd"/>
      <w:r w:rsidRPr="00DD3430">
        <w:rPr>
          <w:rFonts w:ascii="Georgia" w:eastAsia="Times New Roman" w:hAnsi="Georgia" w:cs="Times New Roman"/>
          <w:color w:val="3E3D40"/>
          <w:sz w:val="24"/>
          <w:szCs w:val="24"/>
          <w:bdr w:val="none" w:sz="0" w:space="0" w:color="auto" w:frame="1"/>
          <w:lang w:val="en-US" w:eastAsia="fr-BE"/>
        </w:rPr>
        <w:t xml:space="preserve"> (</w:t>
      </w:r>
      <w:proofErr w:type="spellStart"/>
      <w:r w:rsidRPr="00DD3430">
        <w:rPr>
          <w:rFonts w:ascii="Georgia" w:eastAsia="Times New Roman" w:hAnsi="Georgia" w:cs="Times New Roman"/>
          <w:color w:val="3E3D40"/>
          <w:sz w:val="24"/>
          <w:szCs w:val="24"/>
          <w:bdr w:val="none" w:sz="0" w:space="0" w:color="auto" w:frame="1"/>
          <w:lang w:val="en-US" w:eastAsia="fr-BE"/>
        </w:rPr>
        <w:t>Ferbert</w:t>
      </w:r>
      <w:proofErr w:type="spellEnd"/>
      <w:r w:rsidRPr="00DD3430">
        <w:rPr>
          <w:rFonts w:ascii="Georgia" w:eastAsia="Times New Roman" w:hAnsi="Georgia" w:cs="Times New Roman"/>
          <w:color w:val="3E3D40"/>
          <w:sz w:val="24"/>
          <w:szCs w:val="24"/>
          <w:bdr w:val="none" w:sz="0" w:space="0" w:color="auto" w:frame="1"/>
          <w:lang w:val="en-US" w:eastAsia="fr-BE"/>
        </w:rPr>
        <w:t xml:space="preserve"> et al., 1992; </w:t>
      </w:r>
      <w:proofErr w:type="spellStart"/>
      <w:r w:rsidRPr="00DD3430">
        <w:rPr>
          <w:rFonts w:ascii="Georgia" w:eastAsia="Times New Roman" w:hAnsi="Georgia" w:cs="Times New Roman"/>
          <w:color w:val="3E3D40"/>
          <w:sz w:val="24"/>
          <w:szCs w:val="24"/>
          <w:bdr w:val="none" w:sz="0" w:space="0" w:color="auto" w:frame="1"/>
          <w:lang w:val="en-US" w:eastAsia="fr-BE"/>
        </w:rPr>
        <w:t>Hanajima</w:t>
      </w:r>
      <w:proofErr w:type="spellEnd"/>
      <w:r w:rsidRPr="00DD3430">
        <w:rPr>
          <w:rFonts w:ascii="Georgia" w:eastAsia="Times New Roman" w:hAnsi="Georgia" w:cs="Times New Roman"/>
          <w:color w:val="3E3D40"/>
          <w:sz w:val="24"/>
          <w:szCs w:val="24"/>
          <w:bdr w:val="none" w:sz="0" w:space="0" w:color="auto" w:frame="1"/>
          <w:lang w:val="en-US" w:eastAsia="fr-BE"/>
        </w:rPr>
        <w:t xml:space="preserve"> et al., 2001; reviewed in Reis et al., 2008</w:t>
      </w:r>
      <w:proofErr w:type="gramStart"/>
      <w:r w:rsidRPr="00DD3430">
        <w:rPr>
          <w:rFonts w:ascii="Georgia" w:eastAsia="Times New Roman" w:hAnsi="Georgia" w:cs="Times New Roman"/>
          <w:color w:val="3E3D40"/>
          <w:sz w:val="24"/>
          <w:szCs w:val="24"/>
          <w:bdr w:val="none" w:sz="0" w:space="0" w:color="auto" w:frame="1"/>
          <w:lang w:val="en-US" w:eastAsia="fr-BE"/>
        </w:rPr>
        <w:t>)</w:t>
      </w:r>
      <w:r w:rsidRPr="00DD3430">
        <w:rPr>
          <w:rFonts w:ascii="Times New Roman" w:eastAsia="Times New Roman" w:hAnsi="Times New Roman" w:cs="Times New Roman"/>
          <w:color w:val="3E3D40"/>
          <w:sz w:val="24"/>
          <w:szCs w:val="24"/>
          <w:bdr w:val="none" w:sz="0" w:space="0" w:color="auto" w:frame="1"/>
          <w:lang w:val="en-US" w:eastAsia="fr-BE"/>
        </w:rPr>
        <w:t>⁠</w:t>
      </w:r>
      <w:proofErr w:type="gramEnd"/>
      <w:r w:rsidRPr="00DD3430">
        <w:rPr>
          <w:rFonts w:ascii="Georgia" w:eastAsia="Times New Roman" w:hAnsi="Georgia" w:cs="Times New Roman"/>
          <w:color w:val="3E3D40"/>
          <w:sz w:val="24"/>
          <w:szCs w:val="24"/>
          <w:bdr w:val="none" w:sz="0" w:space="0" w:color="auto" w:frame="1"/>
          <w:lang w:val="en-US" w:eastAsia="fr-BE"/>
        </w:rPr>
        <w:t xml:space="preserve">. Hence, the inter-pulse interval </w:t>
      </w:r>
      <w:proofErr w:type="gramStart"/>
      <w:r w:rsidRPr="00DD3430">
        <w:rPr>
          <w:rFonts w:ascii="Georgia" w:eastAsia="Times New Roman" w:hAnsi="Georgia" w:cs="Times New Roman"/>
          <w:color w:val="3E3D40"/>
          <w:sz w:val="24"/>
          <w:szCs w:val="24"/>
          <w:bdr w:val="none" w:sz="0" w:space="0" w:color="auto" w:frame="1"/>
          <w:lang w:val="en-US" w:eastAsia="fr-BE"/>
        </w:rPr>
        <w:t>should be kept</w:t>
      </w:r>
      <w:proofErr w:type="gramEnd"/>
      <w:r w:rsidRPr="00DD3430">
        <w:rPr>
          <w:rFonts w:ascii="Georgia" w:eastAsia="Times New Roman" w:hAnsi="Georgia" w:cs="Times New Roman"/>
          <w:color w:val="3E3D40"/>
          <w:sz w:val="24"/>
          <w:szCs w:val="24"/>
          <w:bdr w:val="none" w:sz="0" w:space="0" w:color="auto" w:frame="1"/>
          <w:lang w:val="en-US" w:eastAsia="fr-BE"/>
        </w:rPr>
        <w:t xml:space="preserve"> shorter than that to avoid </w:t>
      </w:r>
      <w:proofErr w:type="spellStart"/>
      <w:r w:rsidRPr="00DD3430">
        <w:rPr>
          <w:rFonts w:ascii="Georgia" w:eastAsia="Times New Roman" w:hAnsi="Georgia" w:cs="Times New Roman"/>
          <w:color w:val="3E3D40"/>
          <w:sz w:val="24"/>
          <w:szCs w:val="24"/>
          <w:bdr w:val="none" w:sz="0" w:space="0" w:color="auto" w:frame="1"/>
          <w:lang w:val="en-US" w:eastAsia="fr-BE"/>
        </w:rPr>
        <w:t>transcallosal</w:t>
      </w:r>
      <w:proofErr w:type="spellEnd"/>
      <w:r w:rsidRPr="00DD3430">
        <w:rPr>
          <w:rFonts w:ascii="Georgia" w:eastAsia="Times New Roman" w:hAnsi="Georgia" w:cs="Times New Roman"/>
          <w:color w:val="3E3D40"/>
          <w:sz w:val="24"/>
          <w:szCs w:val="24"/>
          <w:bdr w:val="none" w:sz="0" w:space="0" w:color="auto" w:frame="1"/>
          <w:lang w:val="en-US" w:eastAsia="fr-BE"/>
        </w:rPr>
        <w:t xml:space="preserve"> interactions; yet, neural connections may still occur subcortically. In the present study, we tested a double-coil TMS method where the two M1 are stimulated with a 1 </w:t>
      </w:r>
      <w:proofErr w:type="spellStart"/>
      <w:r w:rsidRPr="00DD3430">
        <w:rPr>
          <w:rFonts w:ascii="Georgia" w:eastAsia="Times New Roman" w:hAnsi="Georgia" w:cs="Times New Roman"/>
          <w:color w:val="3E3D40"/>
          <w:sz w:val="24"/>
          <w:szCs w:val="24"/>
          <w:bdr w:val="none" w:sz="0" w:space="0" w:color="auto" w:frame="1"/>
          <w:lang w:val="en-US" w:eastAsia="fr-BE"/>
        </w:rPr>
        <w:t>ms</w:t>
      </w:r>
      <w:proofErr w:type="spellEnd"/>
      <w:r w:rsidRPr="00DD3430">
        <w:rPr>
          <w:rFonts w:ascii="Georgia" w:eastAsia="Times New Roman" w:hAnsi="Georgia" w:cs="Times New Roman"/>
          <w:color w:val="3E3D40"/>
          <w:sz w:val="24"/>
          <w:szCs w:val="24"/>
          <w:bdr w:val="none" w:sz="0" w:space="0" w:color="auto" w:frame="1"/>
          <w:lang w:val="en-US" w:eastAsia="fr-BE"/>
        </w:rPr>
        <w:t xml:space="preserve"> inter-pulse interval (double-coil1ms). MEPs elicited using this new approach (</w:t>
      </w:r>
      <w:proofErr w:type="spellStart"/>
      <w:r w:rsidRPr="00DD3430">
        <w:rPr>
          <w:rFonts w:ascii="Georgia" w:eastAsia="Times New Roman" w:hAnsi="Georgia" w:cs="Times New Roman"/>
          <w:color w:val="3E3D40"/>
          <w:sz w:val="24"/>
          <w:szCs w:val="24"/>
          <w:bdr w:val="none" w:sz="0" w:space="0" w:color="auto" w:frame="1"/>
          <w:lang w:val="en-US" w:eastAsia="fr-BE"/>
        </w:rPr>
        <w:t>MEPdouble</w:t>
      </w:r>
      <w:proofErr w:type="spellEnd"/>
      <w:r w:rsidRPr="00DD3430">
        <w:rPr>
          <w:rFonts w:ascii="Georgia" w:eastAsia="Times New Roman" w:hAnsi="Georgia" w:cs="Times New Roman"/>
          <w:color w:val="3E3D40"/>
          <w:sz w:val="24"/>
          <w:szCs w:val="24"/>
          <w:bdr w:val="none" w:sz="0" w:space="0" w:color="auto" w:frame="1"/>
          <w:lang w:val="en-US" w:eastAsia="fr-BE"/>
        </w:rPr>
        <w:t xml:space="preserve">) </w:t>
      </w:r>
      <w:proofErr w:type="gramStart"/>
      <w:r w:rsidRPr="00DD3430">
        <w:rPr>
          <w:rFonts w:ascii="Georgia" w:eastAsia="Times New Roman" w:hAnsi="Georgia" w:cs="Times New Roman"/>
          <w:color w:val="3E3D40"/>
          <w:sz w:val="24"/>
          <w:szCs w:val="24"/>
          <w:bdr w:val="none" w:sz="0" w:space="0" w:color="auto" w:frame="1"/>
          <w:lang w:val="en-US" w:eastAsia="fr-BE"/>
        </w:rPr>
        <w:t>were compared</w:t>
      </w:r>
      <w:proofErr w:type="gramEnd"/>
      <w:r w:rsidRPr="00DD3430">
        <w:rPr>
          <w:rFonts w:ascii="Georgia" w:eastAsia="Times New Roman" w:hAnsi="Georgia" w:cs="Times New Roman"/>
          <w:color w:val="3E3D40"/>
          <w:sz w:val="24"/>
          <w:szCs w:val="24"/>
          <w:bdr w:val="none" w:sz="0" w:space="0" w:color="auto" w:frame="1"/>
          <w:lang w:val="en-US" w:eastAsia="fr-BE"/>
        </w:rPr>
        <w:t xml:space="preserve"> to those elicited using a standard single-coil TMS method (</w:t>
      </w:r>
      <w:proofErr w:type="spellStart"/>
      <w:r w:rsidRPr="00DD3430">
        <w:rPr>
          <w:rFonts w:ascii="Georgia" w:eastAsia="Times New Roman" w:hAnsi="Georgia" w:cs="Times New Roman"/>
          <w:color w:val="3E3D40"/>
          <w:sz w:val="24"/>
          <w:szCs w:val="24"/>
          <w:bdr w:val="none" w:sz="0" w:space="0" w:color="auto" w:frame="1"/>
          <w:lang w:val="en-US" w:eastAsia="fr-BE"/>
        </w:rPr>
        <w:t>MEPsingle</w:t>
      </w:r>
      <w:proofErr w:type="spellEnd"/>
      <w:r w:rsidRPr="00DD3430">
        <w:rPr>
          <w:rFonts w:ascii="Georgia" w:eastAsia="Times New Roman" w:hAnsi="Georgia" w:cs="Times New Roman"/>
          <w:color w:val="3E3D40"/>
          <w:sz w:val="24"/>
          <w:szCs w:val="24"/>
          <w:bdr w:val="none" w:sz="0" w:space="0" w:color="auto" w:frame="1"/>
          <w:lang w:val="en-US" w:eastAsia="fr-BE"/>
        </w:rPr>
        <w:t xml:space="preserve">). These MEPs were recorded for five different intensities of stimulation (at 100, 115, 130, 145 or 160 % of the resting motor threshold, </w:t>
      </w:r>
      <w:proofErr w:type="spellStart"/>
      <w:r w:rsidRPr="00DD3430">
        <w:rPr>
          <w:rFonts w:ascii="Georgia" w:eastAsia="Times New Roman" w:hAnsi="Georgia" w:cs="Times New Roman"/>
          <w:color w:val="3E3D40"/>
          <w:sz w:val="24"/>
          <w:szCs w:val="24"/>
          <w:bdr w:val="none" w:sz="0" w:space="0" w:color="auto" w:frame="1"/>
          <w:lang w:val="en-US" w:eastAsia="fr-BE"/>
        </w:rPr>
        <w:t>rMT</w:t>
      </w:r>
      <w:proofErr w:type="spellEnd"/>
      <w:r w:rsidRPr="00DD3430">
        <w:rPr>
          <w:rFonts w:ascii="Georgia" w:eastAsia="Times New Roman" w:hAnsi="Georgia" w:cs="Times New Roman"/>
          <w:color w:val="3E3D40"/>
          <w:sz w:val="24"/>
          <w:szCs w:val="24"/>
          <w:bdr w:val="none" w:sz="0" w:space="0" w:color="auto" w:frame="1"/>
          <w:lang w:val="en-US" w:eastAsia="fr-BE"/>
        </w:rPr>
        <w:t>) while participants were completely relaxed, at rest (n = 32). The goal of the present study was to assess whether double-coil1ms TMS yields comparable MEPs as single-coil TMS.</w:t>
      </w:r>
    </w:p>
    <w:p w14:paraId="06C1E4AB" w14:textId="77777777" w:rsidR="004C6679" w:rsidRPr="00DD3430" w:rsidRDefault="00DD3430" w:rsidP="00DD3430">
      <w:pPr>
        <w:jc w:val="both"/>
        <w:rPr>
          <w:lang w:val="en-US"/>
        </w:rPr>
      </w:pPr>
    </w:p>
    <w:sectPr w:rsidR="004C6679" w:rsidRPr="00DD34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3D16FB"/>
    <w:multiLevelType w:val="multilevel"/>
    <w:tmpl w:val="C1A6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430"/>
    <w:rsid w:val="0024497C"/>
    <w:rsid w:val="00DD3430"/>
    <w:rsid w:val="00F6164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04B54"/>
  <w15:chartTrackingRefBased/>
  <w15:docId w15:val="{A654509C-CA6B-47F6-8A9E-D0631861D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D34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430"/>
    <w:rPr>
      <w:rFonts w:ascii="Times New Roman" w:eastAsia="Times New Roman" w:hAnsi="Times New Roman" w:cs="Times New Roman"/>
      <w:b/>
      <w:bCs/>
      <w:kern w:val="36"/>
      <w:sz w:val="48"/>
      <w:szCs w:val="48"/>
      <w:lang w:eastAsia="fr-BE"/>
    </w:rPr>
  </w:style>
  <w:style w:type="character" w:styleId="Hyperlink">
    <w:name w:val="Hyperlink"/>
    <w:basedOn w:val="DefaultParagraphFont"/>
    <w:uiPriority w:val="99"/>
    <w:semiHidden/>
    <w:unhideWhenUsed/>
    <w:rsid w:val="00DD3430"/>
    <w:rPr>
      <w:color w:val="0000FF"/>
      <w:u w:val="single"/>
    </w:rPr>
  </w:style>
  <w:style w:type="paragraph" w:customStyle="1" w:styleId="pb15">
    <w:name w:val="pb15"/>
    <w:basedOn w:val="Normal"/>
    <w:rsid w:val="00DD3430"/>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cont16">
    <w:name w:val="cont16"/>
    <w:basedOn w:val="DefaultParagraphFont"/>
    <w:rsid w:val="00DD3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30821">
      <w:bodyDiv w:val="1"/>
      <w:marLeft w:val="0"/>
      <w:marRight w:val="0"/>
      <w:marTop w:val="0"/>
      <w:marBottom w:val="0"/>
      <w:divBdr>
        <w:top w:val="none" w:sz="0" w:space="0" w:color="auto"/>
        <w:left w:val="none" w:sz="0" w:space="0" w:color="auto"/>
        <w:bottom w:val="none" w:sz="0" w:space="0" w:color="auto"/>
        <w:right w:val="none" w:sz="0" w:space="0" w:color="auto"/>
      </w:divBdr>
      <w:divsChild>
        <w:div w:id="137153914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ontiersin.org/people/JulienGrandjean/422972"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rontiersin.org/Community/WhosWhoActivity.aspx?sname=&amp;UID=0" TargetMode="External"/><Relationship Id="rId5" Type="http://schemas.openxmlformats.org/officeDocument/2006/relationships/styles" Target="styles.xml"/><Relationship Id="rId10" Type="http://schemas.openxmlformats.org/officeDocument/2006/relationships/hyperlink" Target="https://www.frontiersin.org/Community/WhosWhoActivity.aspx?sname=&amp;UID=0" TargetMode="External"/><Relationship Id="rId4" Type="http://schemas.openxmlformats.org/officeDocument/2006/relationships/numbering" Target="numbering.xml"/><Relationship Id="rId9" Type="http://schemas.openxmlformats.org/officeDocument/2006/relationships/hyperlink" Target="https://www.frontiersin.org/people/PierreVassiliadis/42300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5D24CC472FBC45A8A995E16101B939" ma:contentTypeVersion="9" ma:contentTypeDescription="Crée un document." ma:contentTypeScope="" ma:versionID="1ae9a7287d4ee369a895c43ae34b8f6c">
  <xsd:schema xmlns:xsd="http://www.w3.org/2001/XMLSchema" xmlns:xs="http://www.w3.org/2001/XMLSchema" xmlns:p="http://schemas.microsoft.com/office/2006/metadata/properties" xmlns:ns3="ecaad299-8987-4a3c-a80e-09cee69feab2" targetNamespace="http://schemas.microsoft.com/office/2006/metadata/properties" ma:root="true" ma:fieldsID="b3a205083382559a6861d0a9d576b133" ns3:_="">
    <xsd:import namespace="ecaad299-8987-4a3c-a80e-09cee69fea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ad299-8987-4a3c-a80e-09cee69fe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80272E-B1C7-4DB1-8ED7-6DEC178D6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aad299-8987-4a3c-a80e-09cee69fe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04F417-697C-431C-81FC-B07194334677}">
  <ds:schemaRefs>
    <ds:schemaRef ds:uri="http://schemas.microsoft.com/sharepoint/v3/contenttype/forms"/>
  </ds:schemaRefs>
</ds:datastoreItem>
</file>

<file path=customXml/itemProps3.xml><?xml version="1.0" encoding="utf-8"?>
<ds:datastoreItem xmlns:ds="http://schemas.openxmlformats.org/officeDocument/2006/customXml" ds:itemID="{E510C61E-7F94-4F52-8046-3E48C16FAF18}">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ecaad299-8987-4a3c-a80e-09cee69feab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899</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Université Catholique de Louvain</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Gérard Derosiere</dc:creator>
  <cp:keywords/>
  <dc:description/>
  <cp:lastModifiedBy>Gérard Derosiere</cp:lastModifiedBy>
  <cp:revision>1</cp:revision>
  <dcterms:created xsi:type="dcterms:W3CDTF">2020-12-23T15:46:00Z</dcterms:created>
  <dcterms:modified xsi:type="dcterms:W3CDTF">2020-12-23T15:47:00Z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0x010100E65D24CC472FBC45A8A995E16101B939</vt:lpwstr>
  </property>
</Properties>
</file>