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64F50" w14:textId="70BF2122" w:rsidR="005B7CBF" w:rsidRDefault="002E105E" w:rsidP="002E105E">
      <w:pPr>
        <w:ind w:firstLine="0"/>
      </w:pPr>
      <w:r w:rsidRPr="002E105E">
        <w:rPr>
          <w:b/>
          <w:bCs/>
        </w:rPr>
        <w:t>2222.</w:t>
      </w:r>
      <w:r>
        <w:t xml:space="preserve"> </w:t>
      </w:r>
      <w:r w:rsidRPr="00863001">
        <w:rPr>
          <w:i/>
          <w:iCs/>
          <w:lang w:val="en-GB"/>
        </w:rPr>
        <w:t>Records of Medieval Newmarket. Manor Court Rolls 1399-1413 and Manor Account Rolls 1403-1483</w:t>
      </w:r>
      <w:r w:rsidRPr="00863001">
        <w:rPr>
          <w:lang w:val="en-GB"/>
        </w:rPr>
        <w:t xml:space="preserve">. Edited by James </w:t>
      </w:r>
      <w:r w:rsidRPr="00863001">
        <w:rPr>
          <w:b/>
          <w:bCs/>
          <w:lang w:val="en-GB"/>
        </w:rPr>
        <w:t>Davis</w:t>
      </w:r>
      <w:r w:rsidRPr="00863001">
        <w:rPr>
          <w:lang w:val="en-GB"/>
        </w:rPr>
        <w:t xml:space="preserve"> &amp; Joanne </w:t>
      </w:r>
      <w:r w:rsidRPr="00863001">
        <w:rPr>
          <w:b/>
          <w:bCs/>
          <w:lang w:val="en-GB"/>
        </w:rPr>
        <w:t>Sear</w:t>
      </w:r>
      <w:r w:rsidRPr="00863001">
        <w:rPr>
          <w:lang w:val="en-GB"/>
        </w:rPr>
        <w:t xml:space="preserve">. The Boydell Press, </w:t>
      </w:r>
      <w:r w:rsidRPr="002E105E">
        <w:t>Woodbridge 2023 (Suffolk Records Society, 66). 23,5 cm, 360 p., ill., index, £ 85,00. ISBN 978-1-83765-012-5.</w:t>
      </w:r>
    </w:p>
    <w:p w14:paraId="1D5EC1AB" w14:textId="77777777" w:rsidR="00EF70DB" w:rsidRDefault="00EF70DB" w:rsidP="002E105E">
      <w:pPr>
        <w:ind w:firstLine="0"/>
      </w:pPr>
    </w:p>
    <w:p w14:paraId="77B9923B" w14:textId="247E0865" w:rsidR="006D7F62" w:rsidRDefault="003F00AA" w:rsidP="00BE139D">
      <w:r>
        <w:t>L</w:t>
      </w:r>
      <w:r w:rsidR="00574488">
        <w:t xml:space="preserve">a vie </w:t>
      </w:r>
      <w:r w:rsidR="003929F0">
        <w:t>socio-</w:t>
      </w:r>
      <w:r w:rsidR="00574488">
        <w:t xml:space="preserve">économique </w:t>
      </w:r>
      <w:r>
        <w:t xml:space="preserve">de </w:t>
      </w:r>
      <w:r w:rsidR="00574488">
        <w:t xml:space="preserve">Newmarket </w:t>
      </w:r>
      <w:r w:rsidR="00775F14">
        <w:t>au XV</w:t>
      </w:r>
      <w:r w:rsidR="00775F14" w:rsidRPr="00775F14">
        <w:rPr>
          <w:vertAlign w:val="superscript"/>
        </w:rPr>
        <w:t>e</w:t>
      </w:r>
      <w:r w:rsidR="00775F14">
        <w:t xml:space="preserve"> s. </w:t>
      </w:r>
      <w:r w:rsidR="00574488">
        <w:t xml:space="preserve">est bien </w:t>
      </w:r>
      <w:r>
        <w:t xml:space="preserve">documentée grâce aux rouleaux </w:t>
      </w:r>
      <w:r w:rsidR="00B87DA9">
        <w:t xml:space="preserve">de </w:t>
      </w:r>
      <w:r w:rsidR="00B87DA9" w:rsidRPr="00727B38">
        <w:t>la cour seigneuriale</w:t>
      </w:r>
      <w:r>
        <w:t xml:space="preserve"> </w:t>
      </w:r>
      <w:r w:rsidR="00CE16E7">
        <w:t>(</w:t>
      </w:r>
      <w:r w:rsidR="00CE16E7" w:rsidRPr="002E105E">
        <w:rPr>
          <w:i/>
          <w:iCs/>
        </w:rPr>
        <w:t>Manor Court Rolls</w:t>
      </w:r>
      <w:r w:rsidR="00CE16E7" w:rsidRPr="00CE16E7">
        <w:t xml:space="preserve">) </w:t>
      </w:r>
      <w:r>
        <w:t xml:space="preserve">et </w:t>
      </w:r>
      <w:r w:rsidR="00CE16E7">
        <w:t>aux</w:t>
      </w:r>
      <w:r w:rsidR="00B87DA9">
        <w:t xml:space="preserve"> rouleaux </w:t>
      </w:r>
      <w:r>
        <w:t>de comptes</w:t>
      </w:r>
      <w:r w:rsidR="00CE16E7">
        <w:t xml:space="preserve"> </w:t>
      </w:r>
      <w:r w:rsidR="00727B38">
        <w:t>de la seigneurie</w:t>
      </w:r>
      <w:r w:rsidR="00CE16E7">
        <w:t xml:space="preserve"> (</w:t>
      </w:r>
      <w:r w:rsidR="00CE16E7" w:rsidRPr="002E105E">
        <w:rPr>
          <w:i/>
          <w:iCs/>
        </w:rPr>
        <w:t xml:space="preserve">Manor </w:t>
      </w:r>
      <w:r w:rsidR="00CE16E7" w:rsidRPr="0075029A">
        <w:rPr>
          <w:i/>
          <w:iCs/>
          <w:lang w:val="en-GB"/>
        </w:rPr>
        <w:t>Account</w:t>
      </w:r>
      <w:r w:rsidR="00CE16E7" w:rsidRPr="002E105E">
        <w:rPr>
          <w:i/>
          <w:iCs/>
        </w:rPr>
        <w:t xml:space="preserve"> Rolls</w:t>
      </w:r>
      <w:r w:rsidR="0075029A" w:rsidRPr="0075029A">
        <w:t>)</w:t>
      </w:r>
      <w:r w:rsidR="006D7F62">
        <w:t>, qui</w:t>
      </w:r>
      <w:r w:rsidR="00BC3471">
        <w:t xml:space="preserve"> couvrent</w:t>
      </w:r>
      <w:r w:rsidR="00CE16E7">
        <w:t xml:space="preserve"> respectivement les années </w:t>
      </w:r>
      <w:r w:rsidR="00BC3471">
        <w:t>1399-1413 et 1403-1483</w:t>
      </w:r>
      <w:r w:rsidR="006D7F62">
        <w:t>.</w:t>
      </w:r>
      <w:r w:rsidR="00DE1A88">
        <w:t xml:space="preserve"> En proposant une </w:t>
      </w:r>
      <w:r w:rsidR="00C04C1C">
        <w:t xml:space="preserve">traduction intégrale des enregistrements, </w:t>
      </w:r>
      <w:r w:rsidR="00D3471A">
        <w:t xml:space="preserve">J. Davis et J. </w:t>
      </w:r>
      <w:r w:rsidR="00D3471A" w:rsidRPr="00D3471A">
        <w:rPr>
          <w:lang w:val="en-US"/>
        </w:rPr>
        <w:t>Sear</w:t>
      </w:r>
      <w:r w:rsidR="00C04C1C">
        <w:t xml:space="preserve"> fournissent aux historiens une riche ressource permettant d</w:t>
      </w:r>
      <w:r w:rsidR="003E6CF0">
        <w:t>’explorer la Newmarket médiévale et, plus largement, d’étudier le développement économique des petites villes de l’Angleterre tardo-médiévale.</w:t>
      </w:r>
    </w:p>
    <w:p w14:paraId="5A31D410" w14:textId="7BC2EF7A" w:rsidR="00E319F2" w:rsidRDefault="00AD67AB" w:rsidP="00933A67">
      <w:r>
        <w:t>Dans l’</w:t>
      </w:r>
      <w:r w:rsidR="00CD5A2B">
        <w:t>introduction (p. ix-xxxviii)</w:t>
      </w:r>
      <w:r>
        <w:t>, les éd.</w:t>
      </w:r>
      <w:r w:rsidR="00CD5A2B">
        <w:t xml:space="preserve"> </w:t>
      </w:r>
      <w:r w:rsidR="00D3471A">
        <w:t>donnent</w:t>
      </w:r>
      <w:r w:rsidR="00CD5A2B">
        <w:t xml:space="preserve"> une description des </w:t>
      </w:r>
      <w:r>
        <w:t xml:space="preserve">rouleaux </w:t>
      </w:r>
      <w:r w:rsidR="00CD5A2B">
        <w:t>édités (</w:t>
      </w:r>
      <w:r w:rsidR="00995519">
        <w:t xml:space="preserve">mss </w:t>
      </w:r>
      <w:r w:rsidR="00CD5A2B" w:rsidRPr="007B04BE">
        <w:t>Bury St. Edmunds, RO, 1476/1</w:t>
      </w:r>
      <w:r w:rsidR="00CD5A2B">
        <w:t xml:space="preserve">/1-48, </w:t>
      </w:r>
      <w:r w:rsidR="00CD5A2B" w:rsidRPr="0075029A">
        <w:t>359/3, 1476/12-13</w:t>
      </w:r>
      <w:r w:rsidR="00CD5A2B">
        <w:t> ;</w:t>
      </w:r>
      <w:r w:rsidR="00CD5A2B" w:rsidRPr="0075029A">
        <w:t xml:space="preserve"> London, BL, </w:t>
      </w:r>
      <w:proofErr w:type="spellStart"/>
      <w:r w:rsidR="00CD5A2B" w:rsidRPr="0075029A">
        <w:t>Add</w:t>
      </w:r>
      <w:proofErr w:type="spellEnd"/>
      <w:r w:rsidR="00CD5A2B" w:rsidRPr="0075029A">
        <w:t>. Charter 25867</w:t>
      </w:r>
      <w:r>
        <w:t xml:space="preserve">) et reviennent sur travail d’écriture des clercs. En effet, les rouleaux </w:t>
      </w:r>
      <w:r w:rsidRPr="00727B38">
        <w:t xml:space="preserve">des </w:t>
      </w:r>
      <w:r w:rsidRPr="00754933">
        <w:t>cours</w:t>
      </w:r>
      <w:r w:rsidRPr="00727B38">
        <w:t xml:space="preserve"> comme</w:t>
      </w:r>
      <w:r>
        <w:t xml:space="preserve"> des comptes sont indubitablement des documents de travail, rédigés par différents scribes au fil des années : les entrées sont parfois grattées et réécrites, et des additions sont visibles dans les marges et les interlignes (</w:t>
      </w:r>
      <w:r w:rsidR="00995519">
        <w:t>elles sont signalées par des</w:t>
      </w:r>
      <w:r>
        <w:t xml:space="preserve"> italiques). Les entrées, très peu ornées, sont inscrites d’une main cursive dans une forme très abrégée de latin, d’anglais et de français normand.</w:t>
      </w:r>
      <w:r w:rsidR="00D3471A">
        <w:t xml:space="preserve"> </w:t>
      </w:r>
      <w:r w:rsidR="00995519">
        <w:t>Les éd.</w:t>
      </w:r>
      <w:r w:rsidR="00D3471A">
        <w:t xml:space="preserve"> détaillent ensuite les particularités de </w:t>
      </w:r>
      <w:r w:rsidR="00D3471A" w:rsidRPr="00727B38">
        <w:t>chaque cour de Newmarket</w:t>
      </w:r>
      <w:r w:rsidR="00D3471A">
        <w:t xml:space="preserve"> et de ses comptes, avant d’évoque</w:t>
      </w:r>
      <w:r w:rsidR="00754933">
        <w:t>r</w:t>
      </w:r>
      <w:r w:rsidR="00D3471A">
        <w:t xml:space="preserve"> la famille </w:t>
      </w:r>
      <w:r w:rsidR="00023C32">
        <w:t>à la tête d</w:t>
      </w:r>
      <w:r w:rsidR="00727B38">
        <w:t xml:space="preserve">e la </w:t>
      </w:r>
      <w:r w:rsidR="00727B38" w:rsidRPr="00727B38">
        <w:t xml:space="preserve">seigneurie </w:t>
      </w:r>
      <w:r w:rsidR="00023C32" w:rsidRPr="00727B38">
        <w:t>(</w:t>
      </w:r>
      <w:r w:rsidR="00023C32" w:rsidRPr="00727B38">
        <w:rPr>
          <w:i/>
          <w:iCs/>
          <w:lang w:val="en-GB"/>
        </w:rPr>
        <w:t>manor</w:t>
      </w:r>
      <w:r w:rsidR="00023C32" w:rsidRPr="00727B38">
        <w:t>)</w:t>
      </w:r>
      <w:r w:rsidR="00023C32">
        <w:t xml:space="preserve"> et les facteurs explicatifs de l’essor économique de Newmarket. </w:t>
      </w:r>
      <w:r w:rsidR="00525815">
        <w:t xml:space="preserve">Parmi ceux-ci, épinglons sa position stratégique, aux croisements des routes reliant Norwich à Londres et Cambridge à Bury St Edmunds ; le faible nombre de marchés </w:t>
      </w:r>
      <w:r w:rsidR="00717097">
        <w:t xml:space="preserve">concurrents </w:t>
      </w:r>
      <w:r w:rsidR="00525815">
        <w:t>tenus à l’ouest du comté ; sa proximité avec les zones de production de laine et de vêtements ; enfin, la grande liberté de la communauté marchande, garantie par l’abbaye de St Edmunds et la faible ingérence seigneuriale.</w:t>
      </w:r>
    </w:p>
    <w:p w14:paraId="59268E91" w14:textId="4AC438DB" w:rsidR="00554D6D" w:rsidRDefault="00023C32" w:rsidP="00554D6D">
      <w:r>
        <w:t>Traduite aux p. 1-133, l</w:t>
      </w:r>
      <w:r w:rsidR="00554D6D">
        <w:t xml:space="preserve">a série des rouleaux judiciaires de Newmarket enregistre les sessions des quatre </w:t>
      </w:r>
      <w:r w:rsidR="00554D6D" w:rsidRPr="00727B38">
        <w:t>cours</w:t>
      </w:r>
      <w:r w:rsidR="00554D6D">
        <w:t xml:space="preserve"> tenues dans </w:t>
      </w:r>
      <w:r w:rsidR="00727B38">
        <w:t>la seigneurie</w:t>
      </w:r>
      <w:r w:rsidR="00554D6D">
        <w:t xml:space="preserve">, ce qui est peu commun pour les petites villes. Premièrement, l’on conserve trente-deux sessions de la </w:t>
      </w:r>
      <w:r w:rsidR="00554D6D" w:rsidRPr="00885659">
        <w:rPr>
          <w:i/>
          <w:iCs/>
          <w:lang w:val="en-GB"/>
        </w:rPr>
        <w:t>manor court</w:t>
      </w:r>
      <w:r w:rsidR="00554D6D">
        <w:t xml:space="preserve">, qui garantit les droits du seigneur sur la paysannerie dépendante. De la </w:t>
      </w:r>
      <w:r w:rsidR="00554D6D" w:rsidRPr="00885659">
        <w:rPr>
          <w:i/>
          <w:iCs/>
          <w:lang w:val="en-GB"/>
        </w:rPr>
        <w:t>market court</w:t>
      </w:r>
      <w:r w:rsidR="00554D6D">
        <w:t xml:space="preserve">, qui s’occupe des procès de régulation des activités commerçantes, notamment lors du marché hebdomadaire, on dispose de 183 sessions. Troisièmement, dix-sept sessions de la </w:t>
      </w:r>
      <w:r w:rsidR="00554D6D" w:rsidRPr="00885659">
        <w:rPr>
          <w:i/>
          <w:iCs/>
          <w:lang w:val="en-GB"/>
        </w:rPr>
        <w:t>fair court</w:t>
      </w:r>
      <w:r w:rsidR="00554D6D">
        <w:rPr>
          <w:iCs/>
          <w:lang w:val="en-GB"/>
        </w:rPr>
        <w:t xml:space="preserve"> </w:t>
      </w:r>
      <w:r w:rsidR="00554D6D" w:rsidRPr="003B1B70">
        <w:rPr>
          <w:iCs/>
        </w:rPr>
        <w:t>sont enregistrées</w:t>
      </w:r>
      <w:r w:rsidR="00554D6D">
        <w:rPr>
          <w:iCs/>
        </w:rPr>
        <w:t xml:space="preserve">. Semblable à la </w:t>
      </w:r>
      <w:r w:rsidR="00554D6D" w:rsidRPr="00885659">
        <w:rPr>
          <w:i/>
          <w:iCs/>
          <w:lang w:val="en-GB"/>
        </w:rPr>
        <w:t>market court</w:t>
      </w:r>
      <w:r w:rsidR="00554D6D">
        <w:t xml:space="preserve">, elle </w:t>
      </w:r>
      <w:r w:rsidR="00554D6D" w:rsidRPr="00885659">
        <w:t xml:space="preserve">permet aux </w:t>
      </w:r>
      <w:r w:rsidR="00554D6D">
        <w:t>marchands</w:t>
      </w:r>
      <w:r w:rsidR="00554D6D" w:rsidRPr="00885659">
        <w:t xml:space="preserve"> participant à la foire </w:t>
      </w:r>
      <w:r w:rsidR="00554D6D">
        <w:t>semestrielle</w:t>
      </w:r>
      <w:r w:rsidR="00554D6D" w:rsidRPr="00885659">
        <w:t xml:space="preserve"> de saisir la justice</w:t>
      </w:r>
      <w:r w:rsidR="00554D6D">
        <w:t xml:space="preserve">. Quatrièmement, sont consignées dix sessions de la </w:t>
      </w:r>
      <w:r w:rsidR="00554D6D" w:rsidRPr="001A2030">
        <w:rPr>
          <w:i/>
          <w:iCs/>
          <w:lang w:val="en-GB"/>
        </w:rPr>
        <w:t>leet court</w:t>
      </w:r>
      <w:r w:rsidR="00554D6D">
        <w:t xml:space="preserve">, qui, relevant de la juridiction royale, punit les infractions mineures à la paix du roi. En tout, ce ne sont pas moins </w:t>
      </w:r>
      <w:r w:rsidR="00554D6D">
        <w:lastRenderedPageBreak/>
        <w:t>de 48 folios conservés, opisthographes pour la plupart, irréguliers dans leur taille et leur forme et accompagnés d’aide-mémoires.</w:t>
      </w:r>
    </w:p>
    <w:p w14:paraId="37382DF6" w14:textId="0069E41F" w:rsidR="00554D6D" w:rsidRDefault="00554D6D" w:rsidP="00554D6D">
      <w:r>
        <w:t>Les rouleaux des comptes</w:t>
      </w:r>
      <w:r w:rsidR="00023C32">
        <w:t>, traduits aux p.</w:t>
      </w:r>
      <w:r w:rsidR="000A1568">
        <w:t> </w:t>
      </w:r>
      <w:r w:rsidR="00023C32">
        <w:t>135-</w:t>
      </w:r>
      <w:r w:rsidR="000A1568">
        <w:t>281</w:t>
      </w:r>
      <w:r w:rsidR="00023C32">
        <w:t>,</w:t>
      </w:r>
      <w:r>
        <w:t xml:space="preserve"> détaillent quant à eux la gestion annuelle de Newmarket, le rendement et les dépenses. Seuls les comptes des années 1403/04, 1428/29 à 1439/40 et 1472/73 à 1482/83 sont conservés. Au recto figurent les revenus et les dépenses, tandis que les détails sur les flux de grains, de stock et parfois de main-d’œuvre sont consignés au verso. Notons que, contrairement à d’autres </w:t>
      </w:r>
      <w:r w:rsidR="00727B38">
        <w:t xml:space="preserve">seigneuries anglaises </w:t>
      </w:r>
      <w:r>
        <w:t>fondé</w:t>
      </w:r>
      <w:r w:rsidR="00727B38">
        <w:t>e</w:t>
      </w:r>
      <w:r>
        <w:t>s sur la composante agricole, les activités de Newmarket se basent avant tout sur le commerce et les marchés. De largeur semblable, les folios varient sensiblement en longueur (de 38 à 213 cm). Quatre factures sont attachées aux comptes.</w:t>
      </w:r>
    </w:p>
    <w:p w14:paraId="720CB632" w14:textId="2DF904B9" w:rsidR="004449FC" w:rsidRPr="00863001" w:rsidRDefault="000A1568" w:rsidP="00863001">
      <w:r>
        <w:t>Pour compléter le volume, les éd. joignent deux chartes royales concernant les foires de Newmarket (p. 282-283), traduites par P. May, ainsi qu’un glossaire</w:t>
      </w:r>
      <w:r w:rsidR="00995519">
        <w:t xml:space="preserve"> (p. 284-287)</w:t>
      </w:r>
      <w:r>
        <w:t xml:space="preserve">, une bibliographie </w:t>
      </w:r>
      <w:r w:rsidR="00995519">
        <w:t xml:space="preserve">(p. 298-290) </w:t>
      </w:r>
      <w:r>
        <w:t>et différents index (p. </w:t>
      </w:r>
      <w:r w:rsidR="00995519">
        <w:t>291-318).</w:t>
      </w:r>
    </w:p>
    <w:sectPr w:rsidR="004449FC" w:rsidRPr="00863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7D8B9" w14:textId="77777777" w:rsidR="008B34F1" w:rsidRDefault="008B34F1" w:rsidP="00055790">
      <w:pPr>
        <w:spacing w:line="240" w:lineRule="auto"/>
      </w:pPr>
      <w:r>
        <w:separator/>
      </w:r>
    </w:p>
  </w:endnote>
  <w:endnote w:type="continuationSeparator" w:id="0">
    <w:p w14:paraId="2BA9FB68" w14:textId="77777777" w:rsidR="008B34F1" w:rsidRDefault="008B34F1" w:rsidP="000557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CB337" w14:textId="77777777" w:rsidR="008B34F1" w:rsidRDefault="008B34F1" w:rsidP="00055790">
      <w:pPr>
        <w:spacing w:line="240" w:lineRule="auto"/>
      </w:pPr>
      <w:r>
        <w:separator/>
      </w:r>
    </w:p>
  </w:footnote>
  <w:footnote w:type="continuationSeparator" w:id="0">
    <w:p w14:paraId="2217383D" w14:textId="77777777" w:rsidR="008B34F1" w:rsidRDefault="008B34F1" w:rsidP="000557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8124E"/>
    <w:multiLevelType w:val="hybridMultilevel"/>
    <w:tmpl w:val="90E875E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A10C6"/>
    <w:multiLevelType w:val="hybridMultilevel"/>
    <w:tmpl w:val="1C621C32"/>
    <w:lvl w:ilvl="0" w:tplc="9DECE1B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339065">
    <w:abstractNumId w:val="1"/>
  </w:num>
  <w:num w:numId="2" w16cid:durableId="1946497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E"/>
    <w:rsid w:val="000124A5"/>
    <w:rsid w:val="00023C32"/>
    <w:rsid w:val="00055790"/>
    <w:rsid w:val="00065192"/>
    <w:rsid w:val="00065BF0"/>
    <w:rsid w:val="00094FAD"/>
    <w:rsid w:val="000A1568"/>
    <w:rsid w:val="000B34FB"/>
    <w:rsid w:val="000D089B"/>
    <w:rsid w:val="000E263F"/>
    <w:rsid w:val="000F04CC"/>
    <w:rsid w:val="001821B9"/>
    <w:rsid w:val="001A2024"/>
    <w:rsid w:val="001A2030"/>
    <w:rsid w:val="001C0EBB"/>
    <w:rsid w:val="0028483D"/>
    <w:rsid w:val="002910C7"/>
    <w:rsid w:val="002A74E6"/>
    <w:rsid w:val="002C2E41"/>
    <w:rsid w:val="002E105E"/>
    <w:rsid w:val="00306586"/>
    <w:rsid w:val="0030703C"/>
    <w:rsid w:val="003303F0"/>
    <w:rsid w:val="00340C2E"/>
    <w:rsid w:val="00367366"/>
    <w:rsid w:val="003929F0"/>
    <w:rsid w:val="003A51F9"/>
    <w:rsid w:val="003A5524"/>
    <w:rsid w:val="003B1B70"/>
    <w:rsid w:val="003D416A"/>
    <w:rsid w:val="003E6CF0"/>
    <w:rsid w:val="003F00AA"/>
    <w:rsid w:val="00441EC3"/>
    <w:rsid w:val="004449FC"/>
    <w:rsid w:val="00487D83"/>
    <w:rsid w:val="004D1FD2"/>
    <w:rsid w:val="00525815"/>
    <w:rsid w:val="00531438"/>
    <w:rsid w:val="0053368A"/>
    <w:rsid w:val="00554D6D"/>
    <w:rsid w:val="00574488"/>
    <w:rsid w:val="00597412"/>
    <w:rsid w:val="005B3395"/>
    <w:rsid w:val="005B7CBF"/>
    <w:rsid w:val="005E321E"/>
    <w:rsid w:val="00687D4C"/>
    <w:rsid w:val="00696D08"/>
    <w:rsid w:val="006A081D"/>
    <w:rsid w:val="006A0D3E"/>
    <w:rsid w:val="006C4819"/>
    <w:rsid w:val="006D7F62"/>
    <w:rsid w:val="006E1EEE"/>
    <w:rsid w:val="006E5470"/>
    <w:rsid w:val="006E601E"/>
    <w:rsid w:val="006F3D97"/>
    <w:rsid w:val="00717097"/>
    <w:rsid w:val="007228DF"/>
    <w:rsid w:val="00727B38"/>
    <w:rsid w:val="0075029A"/>
    <w:rsid w:val="00754933"/>
    <w:rsid w:val="00765563"/>
    <w:rsid w:val="00775F14"/>
    <w:rsid w:val="007B04BE"/>
    <w:rsid w:val="007D39CB"/>
    <w:rsid w:val="008029CC"/>
    <w:rsid w:val="00805C43"/>
    <w:rsid w:val="008062B3"/>
    <w:rsid w:val="008137F2"/>
    <w:rsid w:val="00833BE0"/>
    <w:rsid w:val="00863001"/>
    <w:rsid w:val="00885659"/>
    <w:rsid w:val="008B34F1"/>
    <w:rsid w:val="008B7174"/>
    <w:rsid w:val="008C5E62"/>
    <w:rsid w:val="008F55B6"/>
    <w:rsid w:val="008F6EBB"/>
    <w:rsid w:val="00906AC7"/>
    <w:rsid w:val="00932339"/>
    <w:rsid w:val="00933A67"/>
    <w:rsid w:val="009341C4"/>
    <w:rsid w:val="00964790"/>
    <w:rsid w:val="00965F10"/>
    <w:rsid w:val="00983B7D"/>
    <w:rsid w:val="00984C14"/>
    <w:rsid w:val="00990E0F"/>
    <w:rsid w:val="00995519"/>
    <w:rsid w:val="00A11A4A"/>
    <w:rsid w:val="00A33096"/>
    <w:rsid w:val="00A3752D"/>
    <w:rsid w:val="00A4101D"/>
    <w:rsid w:val="00A44A41"/>
    <w:rsid w:val="00A70E95"/>
    <w:rsid w:val="00AB7295"/>
    <w:rsid w:val="00AB75E6"/>
    <w:rsid w:val="00AC1C10"/>
    <w:rsid w:val="00AD67AB"/>
    <w:rsid w:val="00AF2021"/>
    <w:rsid w:val="00B84C26"/>
    <w:rsid w:val="00B87DA9"/>
    <w:rsid w:val="00BB1A18"/>
    <w:rsid w:val="00BC3471"/>
    <w:rsid w:val="00BD1973"/>
    <w:rsid w:val="00BD7CD9"/>
    <w:rsid w:val="00BE139D"/>
    <w:rsid w:val="00BE3F94"/>
    <w:rsid w:val="00BE7BC0"/>
    <w:rsid w:val="00C04C1C"/>
    <w:rsid w:val="00C07A28"/>
    <w:rsid w:val="00C24539"/>
    <w:rsid w:val="00C3219B"/>
    <w:rsid w:val="00CD5A2B"/>
    <w:rsid w:val="00CD7260"/>
    <w:rsid w:val="00CE16E7"/>
    <w:rsid w:val="00D0575E"/>
    <w:rsid w:val="00D11695"/>
    <w:rsid w:val="00D26B68"/>
    <w:rsid w:val="00D3471A"/>
    <w:rsid w:val="00D37BFF"/>
    <w:rsid w:val="00D455AD"/>
    <w:rsid w:val="00D50A50"/>
    <w:rsid w:val="00DC0CB8"/>
    <w:rsid w:val="00DD3EDB"/>
    <w:rsid w:val="00DE1A88"/>
    <w:rsid w:val="00E319F2"/>
    <w:rsid w:val="00E50A68"/>
    <w:rsid w:val="00E704EF"/>
    <w:rsid w:val="00E81D8F"/>
    <w:rsid w:val="00ED2DA5"/>
    <w:rsid w:val="00EF70DB"/>
    <w:rsid w:val="00F20D4B"/>
    <w:rsid w:val="00F31208"/>
    <w:rsid w:val="00F361FF"/>
    <w:rsid w:val="00F53B5B"/>
    <w:rsid w:val="00F82279"/>
    <w:rsid w:val="00F91A42"/>
    <w:rsid w:val="00FA5BE2"/>
    <w:rsid w:val="00FB3378"/>
    <w:rsid w:val="00FD2BFF"/>
    <w:rsid w:val="00F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EBDD"/>
  <w15:chartTrackingRefBased/>
  <w15:docId w15:val="{ACCC28CD-89B5-4240-875B-424E9BE1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4A"/>
    <w:pPr>
      <w:spacing w:line="360" w:lineRule="auto"/>
      <w:ind w:firstLine="709"/>
    </w:pPr>
    <w:rPr>
      <w:rFonts w:ascii="Times New Roman" w:hAnsi="Times New Roman" w:cs="Times New Roman"/>
      <w:kern w:val="0"/>
      <w:sz w:val="24"/>
      <w:szCs w:val="24"/>
      <w:lang w:eastAsia="fr-BE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65563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1C0EBB"/>
    <w:pPr>
      <w:spacing w:before="120" w:after="120"/>
      <w:outlineLvl w:val="1"/>
    </w:pPr>
    <w:rPr>
      <w:b w:val="0"/>
      <w:i/>
      <w:sz w:val="24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765563"/>
    <w:pPr>
      <w:outlineLvl w:val="2"/>
    </w:pPr>
    <w:rPr>
      <w:b/>
      <w:i w:val="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C0EBB"/>
    <w:rPr>
      <w:rFonts w:ascii="Times New Roman" w:eastAsiaTheme="majorEastAsia" w:hAnsi="Times New Roman" w:cstheme="majorBidi"/>
      <w:i/>
      <w:sz w:val="24"/>
      <w:szCs w:val="26"/>
      <w:lang w:eastAsia="fr-BE"/>
    </w:rPr>
  </w:style>
  <w:style w:type="character" w:customStyle="1" w:styleId="Titre1Car">
    <w:name w:val="Titre 1 Car"/>
    <w:basedOn w:val="Policepardfaut"/>
    <w:link w:val="Titre1"/>
    <w:uiPriority w:val="9"/>
    <w:rsid w:val="0076556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765563"/>
    <w:rPr>
      <w:rFonts w:ascii="Times New Roman" w:eastAsiaTheme="majorEastAsia" w:hAnsi="Times New Roman" w:cstheme="majorBidi"/>
      <w:sz w:val="24"/>
      <w:szCs w:val="24"/>
    </w:rPr>
  </w:style>
  <w:style w:type="paragraph" w:styleId="Notedebasdepage">
    <w:name w:val="footnote text"/>
    <w:link w:val="NotedebasdepageCar"/>
    <w:uiPriority w:val="99"/>
    <w:semiHidden/>
    <w:unhideWhenUsed/>
    <w:rsid w:val="00A11A4A"/>
    <w:rPr>
      <w:rFonts w:ascii="Times New Roman" w:hAnsi="Times New Roman" w:cs="Times New Roman"/>
      <w:sz w:val="20"/>
      <w:szCs w:val="20"/>
      <w:lang w:eastAsia="fr-B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1A4A"/>
    <w:rPr>
      <w:rFonts w:ascii="Times New Roman" w:hAnsi="Times New Roman" w:cs="Times New Roman"/>
      <w:sz w:val="20"/>
      <w:szCs w:val="20"/>
      <w:lang w:eastAsia="fr-B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7CD9"/>
    <w:pPr>
      <w:numPr>
        <w:ilvl w:val="1"/>
      </w:numPr>
      <w:spacing w:after="240"/>
      <w:ind w:firstLine="709"/>
      <w:jc w:val="center"/>
    </w:pPr>
    <w:rPr>
      <w:rFonts w:eastAsiaTheme="minorEastAsia" w:cstheme="minorBidi"/>
      <w:b/>
      <w:i/>
      <w:spacing w:val="15"/>
      <w:sz w:val="36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D7CD9"/>
    <w:rPr>
      <w:rFonts w:ascii="Times New Roman" w:eastAsiaTheme="minorEastAsia" w:hAnsi="Times New Roman"/>
      <w:b/>
      <w:i/>
      <w:spacing w:val="15"/>
      <w:sz w:val="36"/>
      <w:lang w:eastAsia="fr-B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F91A42"/>
    <w:pPr>
      <w:spacing w:before="320" w:after="320" w:line="240" w:lineRule="auto"/>
      <w:ind w:firstLine="0"/>
      <w:contextualSpacing/>
      <w:jc w:val="center"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1A42"/>
    <w:rPr>
      <w:rFonts w:ascii="Times New Roman" w:eastAsiaTheme="majorEastAsia" w:hAnsi="Times New Roman" w:cstheme="majorBidi"/>
      <w:spacing w:val="-10"/>
      <w:kern w:val="28"/>
      <w:sz w:val="36"/>
      <w:szCs w:val="56"/>
      <w:lang w:eastAsia="fr-BE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1A2024"/>
    <w:pPr>
      <w:spacing w:before="120" w:after="120" w:line="240" w:lineRule="auto"/>
      <w:ind w:left="851" w:firstLine="0"/>
      <w:contextualSpacing/>
    </w:pPr>
    <w:rPr>
      <w:i/>
      <w:iCs/>
      <w:noProof/>
      <w:lang w:val="la-Latn"/>
    </w:rPr>
  </w:style>
  <w:style w:type="character" w:customStyle="1" w:styleId="CitationCar">
    <w:name w:val="Citation Car"/>
    <w:basedOn w:val="Policepardfaut"/>
    <w:link w:val="Citation"/>
    <w:uiPriority w:val="29"/>
    <w:rsid w:val="001A2024"/>
    <w:rPr>
      <w:rFonts w:ascii="Times New Roman" w:hAnsi="Times New Roman" w:cs="Times New Roman"/>
      <w:i/>
      <w:iCs/>
      <w:noProof/>
      <w:kern w:val="0"/>
      <w:sz w:val="24"/>
      <w:szCs w:val="24"/>
      <w:lang w:val="la-Latn" w:eastAsia="fr-B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06AC7"/>
    <w:pPr>
      <w:spacing w:before="100" w:beforeAutospacing="1" w:after="100" w:afterAutospacing="1" w:line="240" w:lineRule="auto"/>
      <w:ind w:firstLine="0"/>
      <w:jc w:val="left"/>
    </w:pPr>
  </w:style>
  <w:style w:type="paragraph" w:styleId="Paragraphedeliste">
    <w:name w:val="List Paragraph"/>
    <w:basedOn w:val="Normal"/>
    <w:uiPriority w:val="34"/>
    <w:qFormat/>
    <w:rsid w:val="00906AC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5579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5790"/>
    <w:rPr>
      <w:rFonts w:ascii="Times New Roman" w:hAnsi="Times New Roman" w:cs="Times New Roman"/>
      <w:kern w:val="0"/>
      <w:sz w:val="24"/>
      <w:szCs w:val="24"/>
      <w:lang w:eastAsia="fr-BE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5579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5790"/>
    <w:rPr>
      <w:rFonts w:ascii="Times New Roman" w:hAnsi="Times New Roman" w:cs="Times New Roman"/>
      <w:kern w:val="0"/>
      <w:sz w:val="24"/>
      <w:szCs w:val="24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2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Eléonore Venturelli</dc:creator>
  <cp:keywords/>
  <dc:description/>
  <cp:lastModifiedBy>Eléonore Venturelli</cp:lastModifiedBy>
  <cp:revision>14</cp:revision>
  <dcterms:created xsi:type="dcterms:W3CDTF">2023-11-28T10:16:00Z</dcterms:created>
  <dcterms:modified xsi:type="dcterms:W3CDTF">2024-01-22T12:52:00Z</dcterms:modified>
</cp:coreProperties>
</file>