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140" w:rsidRDefault="00315140" w:rsidP="00EF5CD2">
      <w:pPr>
        <w:pStyle w:val="Titel"/>
        <w:jc w:val="left"/>
        <w:rPr>
          <w:sz w:val="44"/>
          <w:szCs w:val="44"/>
        </w:rPr>
      </w:pPr>
      <w:r w:rsidRPr="00DF632C">
        <w:rPr>
          <w:sz w:val="44"/>
          <w:szCs w:val="44"/>
        </w:rPr>
        <w:t>Behoorlijke wetgeving in de adviespraktijk van de afdeling Wetgeving van de Raad van State (2015 en 2016)</w:t>
      </w:r>
    </w:p>
    <w:p w:rsidR="006B3F5A" w:rsidRPr="00262AA8" w:rsidRDefault="006B3F5A" w:rsidP="006B3F5A">
      <w:pPr>
        <w:autoSpaceDE w:val="0"/>
        <w:autoSpaceDN w:val="0"/>
        <w:adjustRightInd w:val="0"/>
        <w:rPr>
          <w:i/>
        </w:rPr>
      </w:pPr>
      <w:r w:rsidRPr="00262AA8">
        <w:rPr>
          <w:i/>
        </w:rPr>
        <w:t>Tim Corthaut, Jonas Riemslagh, Dries Van Eeckhoutte, Frédéric Vanneste en Jeroen Van Nieuwenhove</w:t>
      </w:r>
    </w:p>
    <w:p w:rsidR="006B3F5A" w:rsidRPr="00262AA8" w:rsidRDefault="006B3F5A" w:rsidP="00262AA8"/>
    <w:sdt>
      <w:sdtPr>
        <w:rPr>
          <w:rFonts w:ascii="Times New Roman" w:eastAsiaTheme="minorHAnsi" w:hAnsi="Times New Roman" w:cstheme="minorBidi"/>
          <w:b w:val="0"/>
          <w:bCs w:val="0"/>
          <w:color w:val="auto"/>
          <w:sz w:val="24"/>
          <w:szCs w:val="22"/>
          <w:lang w:val="nl-NL" w:eastAsia="en-US"/>
        </w:rPr>
        <w:id w:val="749625963"/>
        <w:docPartObj>
          <w:docPartGallery w:val="Table of Contents"/>
          <w:docPartUnique/>
        </w:docPartObj>
      </w:sdtPr>
      <w:sdtContent>
        <w:p w:rsidR="007A7C50" w:rsidRDefault="007A7C50">
          <w:pPr>
            <w:pStyle w:val="Kopvaninhoudsopgave"/>
            <w:rPr>
              <w:lang w:val="nl-NL"/>
            </w:rPr>
          </w:pPr>
          <w:r>
            <w:rPr>
              <w:lang w:val="nl-NL"/>
            </w:rPr>
            <w:t>Inhoud</w:t>
          </w:r>
        </w:p>
        <w:p w:rsidR="007A4B6F" w:rsidRPr="007A4B6F" w:rsidRDefault="007A4B6F" w:rsidP="007A4B6F">
          <w:pPr>
            <w:rPr>
              <w:lang w:val="nl-NL" w:eastAsia="nl-BE"/>
            </w:rPr>
          </w:pPr>
        </w:p>
        <w:p w:rsidR="00113337" w:rsidRDefault="002A7EE6">
          <w:pPr>
            <w:pStyle w:val="Inhopg1"/>
            <w:tabs>
              <w:tab w:val="right" w:leader="dot" w:pos="9062"/>
            </w:tabs>
            <w:rPr>
              <w:rFonts w:asciiTheme="minorHAnsi" w:eastAsiaTheme="minorEastAsia" w:hAnsiTheme="minorHAnsi"/>
              <w:noProof/>
              <w:sz w:val="22"/>
              <w:lang w:eastAsia="nl-BE"/>
            </w:rPr>
          </w:pPr>
          <w:r>
            <w:fldChar w:fldCharType="begin"/>
          </w:r>
          <w:r w:rsidR="007A7C50">
            <w:instrText xml:space="preserve"> TOC \o "1-3" \h \z \u </w:instrText>
          </w:r>
          <w:r>
            <w:fldChar w:fldCharType="separate"/>
          </w:r>
          <w:hyperlink w:anchor="_Toc495677856" w:history="1">
            <w:r w:rsidR="00113337" w:rsidRPr="00C93E44">
              <w:rPr>
                <w:rStyle w:val="Hyperlink"/>
                <w:noProof/>
              </w:rPr>
              <w:t>I. Inleiding</w:t>
            </w:r>
            <w:r w:rsidR="00113337">
              <w:rPr>
                <w:noProof/>
                <w:webHidden/>
              </w:rPr>
              <w:tab/>
            </w:r>
            <w:r w:rsidR="00113337">
              <w:rPr>
                <w:noProof/>
                <w:webHidden/>
              </w:rPr>
              <w:fldChar w:fldCharType="begin"/>
            </w:r>
            <w:r w:rsidR="00113337">
              <w:rPr>
                <w:noProof/>
                <w:webHidden/>
              </w:rPr>
              <w:instrText xml:space="preserve"> PAGEREF _Toc495677856 \h </w:instrText>
            </w:r>
            <w:r w:rsidR="00113337">
              <w:rPr>
                <w:noProof/>
                <w:webHidden/>
              </w:rPr>
            </w:r>
            <w:r w:rsidR="00113337">
              <w:rPr>
                <w:noProof/>
                <w:webHidden/>
              </w:rPr>
              <w:fldChar w:fldCharType="separate"/>
            </w:r>
            <w:r w:rsidR="00113337">
              <w:rPr>
                <w:noProof/>
                <w:webHidden/>
              </w:rPr>
              <w:t>3</w:t>
            </w:r>
            <w:r w:rsidR="00113337">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57" w:history="1">
            <w:r w:rsidRPr="00C93E44">
              <w:rPr>
                <w:rStyle w:val="Hyperlink"/>
                <w:noProof/>
              </w:rPr>
              <w:t>II. Normenhiërarchie</w:t>
            </w:r>
            <w:r>
              <w:rPr>
                <w:noProof/>
                <w:webHidden/>
              </w:rPr>
              <w:tab/>
            </w:r>
            <w:r>
              <w:rPr>
                <w:noProof/>
                <w:webHidden/>
              </w:rPr>
              <w:fldChar w:fldCharType="begin"/>
            </w:r>
            <w:r>
              <w:rPr>
                <w:noProof/>
                <w:webHidden/>
              </w:rPr>
              <w:instrText xml:space="preserve"> PAGEREF _Toc495677857 \h </w:instrText>
            </w:r>
            <w:r>
              <w:rPr>
                <w:noProof/>
                <w:webHidden/>
              </w:rPr>
            </w:r>
            <w:r>
              <w:rPr>
                <w:noProof/>
                <w:webHidden/>
              </w:rPr>
              <w:fldChar w:fldCharType="separate"/>
            </w:r>
            <w:r>
              <w:rPr>
                <w:noProof/>
                <w:webHidden/>
              </w:rPr>
              <w:t>4</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58" w:history="1">
            <w:r w:rsidRPr="00C93E44">
              <w:rPr>
                <w:rStyle w:val="Hyperlink"/>
                <w:noProof/>
              </w:rPr>
              <w:t>III. Normatieve kracht</w:t>
            </w:r>
            <w:r>
              <w:rPr>
                <w:noProof/>
                <w:webHidden/>
              </w:rPr>
              <w:tab/>
            </w:r>
            <w:r>
              <w:rPr>
                <w:noProof/>
                <w:webHidden/>
              </w:rPr>
              <w:fldChar w:fldCharType="begin"/>
            </w:r>
            <w:r>
              <w:rPr>
                <w:noProof/>
                <w:webHidden/>
              </w:rPr>
              <w:instrText xml:space="preserve"> PAGEREF _Toc495677858 \h </w:instrText>
            </w:r>
            <w:r>
              <w:rPr>
                <w:noProof/>
                <w:webHidden/>
              </w:rPr>
            </w:r>
            <w:r>
              <w:rPr>
                <w:noProof/>
                <w:webHidden/>
              </w:rPr>
              <w:fldChar w:fldCharType="separate"/>
            </w:r>
            <w:r>
              <w:rPr>
                <w:noProof/>
                <w:webHidden/>
              </w:rPr>
              <w:t>5</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59" w:history="1">
            <w:r w:rsidRPr="00C93E44">
              <w:rPr>
                <w:rStyle w:val="Hyperlink"/>
                <w:noProof/>
              </w:rPr>
              <w:t>A. Alternatieve instrumenten voor regelgeving</w:t>
            </w:r>
            <w:r>
              <w:rPr>
                <w:noProof/>
                <w:webHidden/>
              </w:rPr>
              <w:tab/>
            </w:r>
            <w:r>
              <w:rPr>
                <w:noProof/>
                <w:webHidden/>
              </w:rPr>
              <w:fldChar w:fldCharType="begin"/>
            </w:r>
            <w:r>
              <w:rPr>
                <w:noProof/>
                <w:webHidden/>
              </w:rPr>
              <w:instrText xml:space="preserve"> PAGEREF _Toc495677859 \h </w:instrText>
            </w:r>
            <w:r>
              <w:rPr>
                <w:noProof/>
                <w:webHidden/>
              </w:rPr>
            </w:r>
            <w:r>
              <w:rPr>
                <w:noProof/>
                <w:webHidden/>
              </w:rPr>
              <w:fldChar w:fldCharType="separate"/>
            </w:r>
            <w:r>
              <w:rPr>
                <w:noProof/>
                <w:webHidden/>
              </w:rPr>
              <w:t>5</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0" w:history="1">
            <w:r w:rsidRPr="00C93E44">
              <w:rPr>
                <w:rStyle w:val="Hyperlink"/>
                <w:noProof/>
              </w:rPr>
              <w:t>B. Programmatorische bepalingen</w:t>
            </w:r>
            <w:r>
              <w:rPr>
                <w:noProof/>
                <w:webHidden/>
              </w:rPr>
              <w:tab/>
            </w:r>
            <w:r>
              <w:rPr>
                <w:noProof/>
                <w:webHidden/>
              </w:rPr>
              <w:fldChar w:fldCharType="begin"/>
            </w:r>
            <w:r>
              <w:rPr>
                <w:noProof/>
                <w:webHidden/>
              </w:rPr>
              <w:instrText xml:space="preserve"> PAGEREF _Toc495677860 \h </w:instrText>
            </w:r>
            <w:r>
              <w:rPr>
                <w:noProof/>
                <w:webHidden/>
              </w:rPr>
            </w:r>
            <w:r>
              <w:rPr>
                <w:noProof/>
                <w:webHidden/>
              </w:rPr>
              <w:fldChar w:fldCharType="separate"/>
            </w:r>
            <w:r>
              <w:rPr>
                <w:noProof/>
                <w:webHidden/>
              </w:rPr>
              <w:t>6</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61" w:history="1">
            <w:r w:rsidRPr="00C93E44">
              <w:rPr>
                <w:rStyle w:val="Hyperlink"/>
                <w:noProof/>
              </w:rPr>
              <w:t>IV. Internationaal recht</w:t>
            </w:r>
            <w:r>
              <w:rPr>
                <w:noProof/>
                <w:webHidden/>
              </w:rPr>
              <w:tab/>
            </w:r>
            <w:r>
              <w:rPr>
                <w:noProof/>
                <w:webHidden/>
              </w:rPr>
              <w:fldChar w:fldCharType="begin"/>
            </w:r>
            <w:r>
              <w:rPr>
                <w:noProof/>
                <w:webHidden/>
              </w:rPr>
              <w:instrText xml:space="preserve"> PAGEREF _Toc495677861 \h </w:instrText>
            </w:r>
            <w:r>
              <w:rPr>
                <w:noProof/>
                <w:webHidden/>
              </w:rPr>
            </w:r>
            <w:r>
              <w:rPr>
                <w:noProof/>
                <w:webHidden/>
              </w:rPr>
              <w:fldChar w:fldCharType="separate"/>
            </w:r>
            <w:r>
              <w:rPr>
                <w:noProof/>
                <w:webHidden/>
              </w:rPr>
              <w:t>6</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2" w:history="1">
            <w:r w:rsidRPr="00C93E44">
              <w:rPr>
                <w:rStyle w:val="Hyperlink"/>
                <w:noProof/>
              </w:rPr>
              <w:t>A. Toetsing van de ontwerptekst aan internationaal recht</w:t>
            </w:r>
            <w:r>
              <w:rPr>
                <w:noProof/>
                <w:webHidden/>
              </w:rPr>
              <w:tab/>
            </w:r>
            <w:r>
              <w:rPr>
                <w:noProof/>
                <w:webHidden/>
              </w:rPr>
              <w:fldChar w:fldCharType="begin"/>
            </w:r>
            <w:r>
              <w:rPr>
                <w:noProof/>
                <w:webHidden/>
              </w:rPr>
              <w:instrText xml:space="preserve"> PAGEREF _Toc495677862 \h </w:instrText>
            </w:r>
            <w:r>
              <w:rPr>
                <w:noProof/>
                <w:webHidden/>
              </w:rPr>
            </w:r>
            <w:r>
              <w:rPr>
                <w:noProof/>
                <w:webHidden/>
              </w:rPr>
              <w:fldChar w:fldCharType="separate"/>
            </w:r>
            <w:r>
              <w:rPr>
                <w:noProof/>
                <w:webHidden/>
              </w:rPr>
              <w:t>6</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3" w:history="1">
            <w:r w:rsidRPr="00C93E44">
              <w:rPr>
                <w:rStyle w:val="Hyperlink"/>
                <w:noProof/>
              </w:rPr>
              <w:t>B. Toetsing van afgeleid internationaal recht aan grondrechten</w:t>
            </w:r>
            <w:r>
              <w:rPr>
                <w:noProof/>
                <w:webHidden/>
              </w:rPr>
              <w:tab/>
            </w:r>
            <w:r>
              <w:rPr>
                <w:noProof/>
                <w:webHidden/>
              </w:rPr>
              <w:fldChar w:fldCharType="begin"/>
            </w:r>
            <w:r>
              <w:rPr>
                <w:noProof/>
                <w:webHidden/>
              </w:rPr>
              <w:instrText xml:space="preserve"> PAGEREF _Toc495677863 \h </w:instrText>
            </w:r>
            <w:r>
              <w:rPr>
                <w:noProof/>
                <w:webHidden/>
              </w:rPr>
            </w:r>
            <w:r>
              <w:rPr>
                <w:noProof/>
                <w:webHidden/>
              </w:rPr>
              <w:fldChar w:fldCharType="separate"/>
            </w:r>
            <w:r>
              <w:rPr>
                <w:noProof/>
                <w:webHidden/>
              </w:rPr>
              <w:t>7</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4" w:history="1">
            <w:r w:rsidRPr="00C93E44">
              <w:rPr>
                <w:rStyle w:val="Hyperlink"/>
                <w:noProof/>
              </w:rPr>
              <w:t>C. Grenzen</w:t>
            </w:r>
            <w:r>
              <w:rPr>
                <w:noProof/>
                <w:webHidden/>
              </w:rPr>
              <w:tab/>
            </w:r>
            <w:r>
              <w:rPr>
                <w:noProof/>
                <w:webHidden/>
              </w:rPr>
              <w:fldChar w:fldCharType="begin"/>
            </w:r>
            <w:r>
              <w:rPr>
                <w:noProof/>
                <w:webHidden/>
              </w:rPr>
              <w:instrText xml:space="preserve"> PAGEREF _Toc495677864 \h </w:instrText>
            </w:r>
            <w:r>
              <w:rPr>
                <w:noProof/>
                <w:webHidden/>
              </w:rPr>
            </w:r>
            <w:r>
              <w:rPr>
                <w:noProof/>
                <w:webHidden/>
              </w:rPr>
              <w:fldChar w:fldCharType="separate"/>
            </w:r>
            <w:r>
              <w:rPr>
                <w:noProof/>
                <w:webHidden/>
              </w:rPr>
              <w:t>8</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5" w:history="1">
            <w:r w:rsidRPr="00C93E44">
              <w:rPr>
                <w:rStyle w:val="Hyperlink"/>
                <w:noProof/>
              </w:rPr>
              <w:t>D. Opzegging van verdragen door de uitvoerende macht</w:t>
            </w:r>
            <w:r>
              <w:rPr>
                <w:noProof/>
                <w:webHidden/>
              </w:rPr>
              <w:tab/>
            </w:r>
            <w:r>
              <w:rPr>
                <w:noProof/>
                <w:webHidden/>
              </w:rPr>
              <w:fldChar w:fldCharType="begin"/>
            </w:r>
            <w:r>
              <w:rPr>
                <w:noProof/>
                <w:webHidden/>
              </w:rPr>
              <w:instrText xml:space="preserve"> PAGEREF _Toc495677865 \h </w:instrText>
            </w:r>
            <w:r>
              <w:rPr>
                <w:noProof/>
                <w:webHidden/>
              </w:rPr>
            </w:r>
            <w:r>
              <w:rPr>
                <w:noProof/>
                <w:webHidden/>
              </w:rPr>
              <w:fldChar w:fldCharType="separate"/>
            </w:r>
            <w:r>
              <w:rPr>
                <w:noProof/>
                <w:webHidden/>
              </w:rPr>
              <w:t>10</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6" w:history="1">
            <w:r w:rsidRPr="00C93E44">
              <w:rPr>
                <w:rStyle w:val="Hyperlink"/>
                <w:noProof/>
              </w:rPr>
              <w:t>E. Intern overleg en samenwerking</w:t>
            </w:r>
            <w:r>
              <w:rPr>
                <w:noProof/>
                <w:webHidden/>
              </w:rPr>
              <w:tab/>
            </w:r>
            <w:r>
              <w:rPr>
                <w:noProof/>
                <w:webHidden/>
              </w:rPr>
              <w:fldChar w:fldCharType="begin"/>
            </w:r>
            <w:r>
              <w:rPr>
                <w:noProof/>
                <w:webHidden/>
              </w:rPr>
              <w:instrText xml:space="preserve"> PAGEREF _Toc495677866 \h </w:instrText>
            </w:r>
            <w:r>
              <w:rPr>
                <w:noProof/>
                <w:webHidden/>
              </w:rPr>
            </w:r>
            <w:r>
              <w:rPr>
                <w:noProof/>
                <w:webHidden/>
              </w:rPr>
              <w:fldChar w:fldCharType="separate"/>
            </w:r>
            <w:r>
              <w:rPr>
                <w:noProof/>
                <w:webHidden/>
              </w:rPr>
              <w:t>11</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7" w:history="1">
            <w:r w:rsidRPr="00C93E44">
              <w:rPr>
                <w:rStyle w:val="Hyperlink"/>
                <w:noProof/>
              </w:rPr>
              <w:t>F. Mandateren van ministers of ambtenaren voor internationale samenwerking</w:t>
            </w:r>
            <w:r>
              <w:rPr>
                <w:noProof/>
                <w:webHidden/>
              </w:rPr>
              <w:tab/>
            </w:r>
            <w:r>
              <w:rPr>
                <w:noProof/>
                <w:webHidden/>
              </w:rPr>
              <w:fldChar w:fldCharType="begin"/>
            </w:r>
            <w:r>
              <w:rPr>
                <w:noProof/>
                <w:webHidden/>
              </w:rPr>
              <w:instrText xml:space="preserve"> PAGEREF _Toc495677867 \h </w:instrText>
            </w:r>
            <w:r>
              <w:rPr>
                <w:noProof/>
                <w:webHidden/>
              </w:rPr>
            </w:r>
            <w:r>
              <w:rPr>
                <w:noProof/>
                <w:webHidden/>
              </w:rPr>
              <w:fldChar w:fldCharType="separate"/>
            </w:r>
            <w:r>
              <w:rPr>
                <w:noProof/>
                <w:webHidden/>
              </w:rPr>
              <w:t>13</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8" w:history="1">
            <w:r w:rsidRPr="00C93E44">
              <w:rPr>
                <w:rStyle w:val="Hyperlink"/>
                <w:noProof/>
              </w:rPr>
              <w:t>G. Akkoorden in vereenvoudigde vorm</w:t>
            </w:r>
            <w:r>
              <w:rPr>
                <w:noProof/>
                <w:webHidden/>
              </w:rPr>
              <w:tab/>
            </w:r>
            <w:r>
              <w:rPr>
                <w:noProof/>
                <w:webHidden/>
              </w:rPr>
              <w:fldChar w:fldCharType="begin"/>
            </w:r>
            <w:r>
              <w:rPr>
                <w:noProof/>
                <w:webHidden/>
              </w:rPr>
              <w:instrText xml:space="preserve"> PAGEREF _Toc495677868 \h </w:instrText>
            </w:r>
            <w:r>
              <w:rPr>
                <w:noProof/>
                <w:webHidden/>
              </w:rPr>
            </w:r>
            <w:r>
              <w:rPr>
                <w:noProof/>
                <w:webHidden/>
              </w:rPr>
              <w:fldChar w:fldCharType="separate"/>
            </w:r>
            <w:r>
              <w:rPr>
                <w:noProof/>
                <w:webHidden/>
              </w:rPr>
              <w:t>13</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69" w:history="1">
            <w:r w:rsidRPr="00C93E44">
              <w:rPr>
                <w:rStyle w:val="Hyperlink"/>
                <w:noProof/>
              </w:rPr>
              <w:t>H. Clausule van meest begunstigde natie</w:t>
            </w:r>
            <w:r>
              <w:rPr>
                <w:noProof/>
                <w:webHidden/>
              </w:rPr>
              <w:tab/>
            </w:r>
            <w:r>
              <w:rPr>
                <w:noProof/>
                <w:webHidden/>
              </w:rPr>
              <w:fldChar w:fldCharType="begin"/>
            </w:r>
            <w:r>
              <w:rPr>
                <w:noProof/>
                <w:webHidden/>
              </w:rPr>
              <w:instrText xml:space="preserve"> PAGEREF _Toc495677869 \h </w:instrText>
            </w:r>
            <w:r>
              <w:rPr>
                <w:noProof/>
                <w:webHidden/>
              </w:rPr>
            </w:r>
            <w:r>
              <w:rPr>
                <w:noProof/>
                <w:webHidden/>
              </w:rPr>
              <w:fldChar w:fldCharType="separate"/>
            </w:r>
            <w:r>
              <w:rPr>
                <w:noProof/>
                <w:webHidden/>
              </w:rPr>
              <w:t>17</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70" w:history="1">
            <w:r w:rsidRPr="00C93E44">
              <w:rPr>
                <w:rStyle w:val="Hyperlink"/>
                <w:noProof/>
              </w:rPr>
              <w:t>I. Redactie van verdragen</w:t>
            </w:r>
            <w:r>
              <w:rPr>
                <w:noProof/>
                <w:webHidden/>
              </w:rPr>
              <w:tab/>
            </w:r>
            <w:r>
              <w:rPr>
                <w:noProof/>
                <w:webHidden/>
              </w:rPr>
              <w:fldChar w:fldCharType="begin"/>
            </w:r>
            <w:r>
              <w:rPr>
                <w:noProof/>
                <w:webHidden/>
              </w:rPr>
              <w:instrText xml:space="preserve"> PAGEREF _Toc495677870 \h </w:instrText>
            </w:r>
            <w:r>
              <w:rPr>
                <w:noProof/>
                <w:webHidden/>
              </w:rPr>
            </w:r>
            <w:r>
              <w:rPr>
                <w:noProof/>
                <w:webHidden/>
              </w:rPr>
              <w:fldChar w:fldCharType="separate"/>
            </w:r>
            <w:r>
              <w:rPr>
                <w:noProof/>
                <w:webHidden/>
              </w:rPr>
              <w:t>17</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71" w:history="1">
            <w:r w:rsidRPr="00C93E44">
              <w:rPr>
                <w:rStyle w:val="Hyperlink"/>
                <w:noProof/>
              </w:rPr>
              <w:t>V. Implementatie van EU-recht</w:t>
            </w:r>
            <w:r>
              <w:rPr>
                <w:noProof/>
                <w:webHidden/>
              </w:rPr>
              <w:tab/>
            </w:r>
            <w:r>
              <w:rPr>
                <w:noProof/>
                <w:webHidden/>
              </w:rPr>
              <w:fldChar w:fldCharType="begin"/>
            </w:r>
            <w:r>
              <w:rPr>
                <w:noProof/>
                <w:webHidden/>
              </w:rPr>
              <w:instrText xml:space="preserve"> PAGEREF _Toc495677871 \h </w:instrText>
            </w:r>
            <w:r>
              <w:rPr>
                <w:noProof/>
                <w:webHidden/>
              </w:rPr>
            </w:r>
            <w:r>
              <w:rPr>
                <w:noProof/>
                <w:webHidden/>
              </w:rPr>
              <w:fldChar w:fldCharType="separate"/>
            </w:r>
            <w:r>
              <w:rPr>
                <w:noProof/>
                <w:webHidden/>
              </w:rPr>
              <w:t>18</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72" w:history="1">
            <w:r w:rsidRPr="00C93E44">
              <w:rPr>
                <w:rStyle w:val="Hyperlink"/>
                <w:noProof/>
              </w:rPr>
              <w:t>A. Omzetting van EU-recht</w:t>
            </w:r>
            <w:r>
              <w:rPr>
                <w:noProof/>
                <w:webHidden/>
              </w:rPr>
              <w:tab/>
            </w:r>
            <w:r>
              <w:rPr>
                <w:noProof/>
                <w:webHidden/>
              </w:rPr>
              <w:fldChar w:fldCharType="begin"/>
            </w:r>
            <w:r>
              <w:rPr>
                <w:noProof/>
                <w:webHidden/>
              </w:rPr>
              <w:instrText xml:space="preserve"> PAGEREF _Toc495677872 \h </w:instrText>
            </w:r>
            <w:r>
              <w:rPr>
                <w:noProof/>
                <w:webHidden/>
              </w:rPr>
            </w:r>
            <w:r>
              <w:rPr>
                <w:noProof/>
                <w:webHidden/>
              </w:rPr>
              <w:fldChar w:fldCharType="separate"/>
            </w:r>
            <w:r>
              <w:rPr>
                <w:noProof/>
                <w:webHidden/>
              </w:rPr>
              <w:t>19</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73" w:history="1">
            <w:r w:rsidRPr="00C93E44">
              <w:rPr>
                <w:rStyle w:val="Hyperlink"/>
                <w:noProof/>
              </w:rPr>
              <w:t>B. Coherente omzetting in het federale België</w:t>
            </w:r>
            <w:r>
              <w:rPr>
                <w:noProof/>
                <w:webHidden/>
              </w:rPr>
              <w:tab/>
            </w:r>
            <w:r>
              <w:rPr>
                <w:noProof/>
                <w:webHidden/>
              </w:rPr>
              <w:fldChar w:fldCharType="begin"/>
            </w:r>
            <w:r>
              <w:rPr>
                <w:noProof/>
                <w:webHidden/>
              </w:rPr>
              <w:instrText xml:space="preserve"> PAGEREF _Toc495677873 \h </w:instrText>
            </w:r>
            <w:r>
              <w:rPr>
                <w:noProof/>
                <w:webHidden/>
              </w:rPr>
            </w:r>
            <w:r>
              <w:rPr>
                <w:noProof/>
                <w:webHidden/>
              </w:rPr>
              <w:fldChar w:fldCharType="separate"/>
            </w:r>
            <w:r>
              <w:rPr>
                <w:noProof/>
                <w:webHidden/>
              </w:rPr>
              <w:t>22</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74" w:history="1">
            <w:r w:rsidRPr="00C93E44">
              <w:rPr>
                <w:rStyle w:val="Hyperlink"/>
                <w:noProof/>
              </w:rPr>
              <w:t>C. Bevoegdheidsverdeling tussen de EU en de lidstaten</w:t>
            </w:r>
            <w:r>
              <w:rPr>
                <w:noProof/>
                <w:webHidden/>
              </w:rPr>
              <w:tab/>
            </w:r>
            <w:r>
              <w:rPr>
                <w:noProof/>
                <w:webHidden/>
              </w:rPr>
              <w:fldChar w:fldCharType="begin"/>
            </w:r>
            <w:r>
              <w:rPr>
                <w:noProof/>
                <w:webHidden/>
              </w:rPr>
              <w:instrText xml:space="preserve"> PAGEREF _Toc495677874 \h </w:instrText>
            </w:r>
            <w:r>
              <w:rPr>
                <w:noProof/>
                <w:webHidden/>
              </w:rPr>
            </w:r>
            <w:r>
              <w:rPr>
                <w:noProof/>
                <w:webHidden/>
              </w:rPr>
              <w:fldChar w:fldCharType="separate"/>
            </w:r>
            <w:r>
              <w:rPr>
                <w:noProof/>
                <w:webHidden/>
              </w:rPr>
              <w:t>24</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75" w:history="1">
            <w:r w:rsidRPr="00C93E44">
              <w:rPr>
                <w:rStyle w:val="Hyperlink"/>
                <w:noProof/>
              </w:rPr>
              <w:t>D. Externe betrekkingen</w:t>
            </w:r>
            <w:r>
              <w:rPr>
                <w:noProof/>
                <w:webHidden/>
              </w:rPr>
              <w:tab/>
            </w:r>
            <w:r>
              <w:rPr>
                <w:noProof/>
                <w:webHidden/>
              </w:rPr>
              <w:fldChar w:fldCharType="begin"/>
            </w:r>
            <w:r>
              <w:rPr>
                <w:noProof/>
                <w:webHidden/>
              </w:rPr>
              <w:instrText xml:space="preserve"> PAGEREF _Toc495677875 \h </w:instrText>
            </w:r>
            <w:r>
              <w:rPr>
                <w:noProof/>
                <w:webHidden/>
              </w:rPr>
            </w:r>
            <w:r>
              <w:rPr>
                <w:noProof/>
                <w:webHidden/>
              </w:rPr>
              <w:fldChar w:fldCharType="separate"/>
            </w:r>
            <w:r>
              <w:rPr>
                <w:noProof/>
                <w:webHidden/>
              </w:rPr>
              <w:t>25</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76" w:history="1">
            <w:r w:rsidRPr="00C93E44">
              <w:rPr>
                <w:rStyle w:val="Hyperlink"/>
                <w:noProof/>
              </w:rPr>
              <w:t>E. Vrij verkeer</w:t>
            </w:r>
            <w:r>
              <w:rPr>
                <w:noProof/>
                <w:webHidden/>
              </w:rPr>
              <w:tab/>
            </w:r>
            <w:r>
              <w:rPr>
                <w:noProof/>
                <w:webHidden/>
              </w:rPr>
              <w:fldChar w:fldCharType="begin"/>
            </w:r>
            <w:r>
              <w:rPr>
                <w:noProof/>
                <w:webHidden/>
              </w:rPr>
              <w:instrText xml:space="preserve"> PAGEREF _Toc495677876 \h </w:instrText>
            </w:r>
            <w:r>
              <w:rPr>
                <w:noProof/>
                <w:webHidden/>
              </w:rPr>
            </w:r>
            <w:r>
              <w:rPr>
                <w:noProof/>
                <w:webHidden/>
              </w:rPr>
              <w:fldChar w:fldCharType="separate"/>
            </w:r>
            <w:r>
              <w:rPr>
                <w:noProof/>
                <w:webHidden/>
              </w:rPr>
              <w:t>26</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877" w:history="1">
            <w:r w:rsidRPr="00C93E44">
              <w:rPr>
                <w:rStyle w:val="Hyperlink"/>
                <w:noProof/>
              </w:rPr>
              <w:t>1. Vrij verkeer van goederen</w:t>
            </w:r>
            <w:r>
              <w:rPr>
                <w:noProof/>
                <w:webHidden/>
              </w:rPr>
              <w:tab/>
            </w:r>
            <w:r>
              <w:rPr>
                <w:noProof/>
                <w:webHidden/>
              </w:rPr>
              <w:fldChar w:fldCharType="begin"/>
            </w:r>
            <w:r>
              <w:rPr>
                <w:noProof/>
                <w:webHidden/>
              </w:rPr>
              <w:instrText xml:space="preserve"> PAGEREF _Toc495677877 \h </w:instrText>
            </w:r>
            <w:r>
              <w:rPr>
                <w:noProof/>
                <w:webHidden/>
              </w:rPr>
            </w:r>
            <w:r>
              <w:rPr>
                <w:noProof/>
                <w:webHidden/>
              </w:rPr>
              <w:fldChar w:fldCharType="separate"/>
            </w:r>
            <w:r>
              <w:rPr>
                <w:noProof/>
                <w:webHidden/>
              </w:rPr>
              <w:t>26</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878" w:history="1">
            <w:r w:rsidRPr="00C93E44">
              <w:rPr>
                <w:rStyle w:val="Hyperlink"/>
                <w:noProof/>
              </w:rPr>
              <w:t>2. Vrij verkeer van personen</w:t>
            </w:r>
            <w:r>
              <w:rPr>
                <w:noProof/>
                <w:webHidden/>
              </w:rPr>
              <w:tab/>
            </w:r>
            <w:r>
              <w:rPr>
                <w:noProof/>
                <w:webHidden/>
              </w:rPr>
              <w:fldChar w:fldCharType="begin"/>
            </w:r>
            <w:r>
              <w:rPr>
                <w:noProof/>
                <w:webHidden/>
              </w:rPr>
              <w:instrText xml:space="preserve"> PAGEREF _Toc495677878 \h </w:instrText>
            </w:r>
            <w:r>
              <w:rPr>
                <w:noProof/>
                <w:webHidden/>
              </w:rPr>
            </w:r>
            <w:r>
              <w:rPr>
                <w:noProof/>
                <w:webHidden/>
              </w:rPr>
              <w:fldChar w:fldCharType="separate"/>
            </w:r>
            <w:r>
              <w:rPr>
                <w:noProof/>
                <w:webHidden/>
              </w:rPr>
              <w:t>27</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879" w:history="1">
            <w:r w:rsidRPr="00C93E44">
              <w:rPr>
                <w:rStyle w:val="Hyperlink"/>
                <w:noProof/>
              </w:rPr>
              <w:t>3. Vrij verkeer van diensten en vrijheid van vestiging</w:t>
            </w:r>
            <w:r>
              <w:rPr>
                <w:noProof/>
                <w:webHidden/>
              </w:rPr>
              <w:tab/>
            </w:r>
            <w:r>
              <w:rPr>
                <w:noProof/>
                <w:webHidden/>
              </w:rPr>
              <w:fldChar w:fldCharType="begin"/>
            </w:r>
            <w:r>
              <w:rPr>
                <w:noProof/>
                <w:webHidden/>
              </w:rPr>
              <w:instrText xml:space="preserve"> PAGEREF _Toc495677879 \h </w:instrText>
            </w:r>
            <w:r>
              <w:rPr>
                <w:noProof/>
                <w:webHidden/>
              </w:rPr>
            </w:r>
            <w:r>
              <w:rPr>
                <w:noProof/>
                <w:webHidden/>
              </w:rPr>
              <w:fldChar w:fldCharType="separate"/>
            </w:r>
            <w:r>
              <w:rPr>
                <w:noProof/>
                <w:webHidden/>
              </w:rPr>
              <w:t>28</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0" w:history="1">
            <w:r w:rsidRPr="00C93E44">
              <w:rPr>
                <w:rStyle w:val="Hyperlink"/>
                <w:rFonts w:eastAsia="Times New Roman"/>
                <w:noProof/>
              </w:rPr>
              <w:t>F. Staatssteun</w:t>
            </w:r>
            <w:r>
              <w:rPr>
                <w:noProof/>
                <w:webHidden/>
              </w:rPr>
              <w:tab/>
            </w:r>
            <w:r>
              <w:rPr>
                <w:noProof/>
                <w:webHidden/>
              </w:rPr>
              <w:fldChar w:fldCharType="begin"/>
            </w:r>
            <w:r>
              <w:rPr>
                <w:noProof/>
                <w:webHidden/>
              </w:rPr>
              <w:instrText xml:space="preserve"> PAGEREF _Toc495677880 \h </w:instrText>
            </w:r>
            <w:r>
              <w:rPr>
                <w:noProof/>
                <w:webHidden/>
              </w:rPr>
            </w:r>
            <w:r>
              <w:rPr>
                <w:noProof/>
                <w:webHidden/>
              </w:rPr>
              <w:fldChar w:fldCharType="separate"/>
            </w:r>
            <w:r>
              <w:rPr>
                <w:noProof/>
                <w:webHidden/>
              </w:rPr>
              <w:t>31</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1" w:history="1">
            <w:r w:rsidRPr="00C93E44">
              <w:rPr>
                <w:rStyle w:val="Hyperlink"/>
                <w:noProof/>
              </w:rPr>
              <w:t>G. Handvest van de Grondrechten van de Europese Unie</w:t>
            </w:r>
            <w:r>
              <w:rPr>
                <w:noProof/>
                <w:webHidden/>
              </w:rPr>
              <w:tab/>
            </w:r>
            <w:r>
              <w:rPr>
                <w:noProof/>
                <w:webHidden/>
              </w:rPr>
              <w:fldChar w:fldCharType="begin"/>
            </w:r>
            <w:r>
              <w:rPr>
                <w:noProof/>
                <w:webHidden/>
              </w:rPr>
              <w:instrText xml:space="preserve"> PAGEREF _Toc495677881 \h </w:instrText>
            </w:r>
            <w:r>
              <w:rPr>
                <w:noProof/>
                <w:webHidden/>
              </w:rPr>
            </w:r>
            <w:r>
              <w:rPr>
                <w:noProof/>
                <w:webHidden/>
              </w:rPr>
              <w:fldChar w:fldCharType="separate"/>
            </w:r>
            <w:r>
              <w:rPr>
                <w:noProof/>
                <w:webHidden/>
              </w:rPr>
              <w:t>37</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82" w:history="1">
            <w:r w:rsidRPr="00C93E44">
              <w:rPr>
                <w:rStyle w:val="Hyperlink"/>
                <w:noProof/>
              </w:rPr>
              <w:t>VI. Samenwerking in de federale staatsstructuur</w:t>
            </w:r>
            <w:r>
              <w:rPr>
                <w:noProof/>
                <w:webHidden/>
              </w:rPr>
              <w:tab/>
            </w:r>
            <w:r>
              <w:rPr>
                <w:noProof/>
                <w:webHidden/>
              </w:rPr>
              <w:fldChar w:fldCharType="begin"/>
            </w:r>
            <w:r>
              <w:rPr>
                <w:noProof/>
                <w:webHidden/>
              </w:rPr>
              <w:instrText xml:space="preserve"> PAGEREF _Toc495677882 \h </w:instrText>
            </w:r>
            <w:r>
              <w:rPr>
                <w:noProof/>
                <w:webHidden/>
              </w:rPr>
            </w:r>
            <w:r>
              <w:rPr>
                <w:noProof/>
                <w:webHidden/>
              </w:rPr>
              <w:fldChar w:fldCharType="separate"/>
            </w:r>
            <w:r>
              <w:rPr>
                <w:noProof/>
                <w:webHidden/>
              </w:rPr>
              <w:t>39</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3" w:history="1">
            <w:r w:rsidRPr="00C93E44">
              <w:rPr>
                <w:rStyle w:val="Hyperlink"/>
                <w:noProof/>
              </w:rPr>
              <w:t>A. Federale loyauteit</w:t>
            </w:r>
            <w:r>
              <w:rPr>
                <w:noProof/>
                <w:webHidden/>
              </w:rPr>
              <w:tab/>
            </w:r>
            <w:r>
              <w:rPr>
                <w:noProof/>
                <w:webHidden/>
              </w:rPr>
              <w:fldChar w:fldCharType="begin"/>
            </w:r>
            <w:r>
              <w:rPr>
                <w:noProof/>
                <w:webHidden/>
              </w:rPr>
              <w:instrText xml:space="preserve"> PAGEREF _Toc495677883 \h </w:instrText>
            </w:r>
            <w:r>
              <w:rPr>
                <w:noProof/>
                <w:webHidden/>
              </w:rPr>
            </w:r>
            <w:r>
              <w:rPr>
                <w:noProof/>
                <w:webHidden/>
              </w:rPr>
              <w:fldChar w:fldCharType="separate"/>
            </w:r>
            <w:r>
              <w:rPr>
                <w:noProof/>
                <w:webHidden/>
              </w:rPr>
              <w:t>39</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4" w:history="1">
            <w:r w:rsidRPr="00C93E44">
              <w:rPr>
                <w:rStyle w:val="Hyperlink"/>
                <w:noProof/>
              </w:rPr>
              <w:t>B. Eenzijdige opzegging van een samenwerkingsakkoord</w:t>
            </w:r>
            <w:r>
              <w:rPr>
                <w:noProof/>
                <w:webHidden/>
              </w:rPr>
              <w:tab/>
            </w:r>
            <w:r>
              <w:rPr>
                <w:noProof/>
                <w:webHidden/>
              </w:rPr>
              <w:fldChar w:fldCharType="begin"/>
            </w:r>
            <w:r>
              <w:rPr>
                <w:noProof/>
                <w:webHidden/>
              </w:rPr>
              <w:instrText xml:space="preserve"> PAGEREF _Toc495677884 \h </w:instrText>
            </w:r>
            <w:r>
              <w:rPr>
                <w:noProof/>
                <w:webHidden/>
              </w:rPr>
            </w:r>
            <w:r>
              <w:rPr>
                <w:noProof/>
                <w:webHidden/>
              </w:rPr>
              <w:fldChar w:fldCharType="separate"/>
            </w:r>
            <w:r>
              <w:rPr>
                <w:noProof/>
                <w:webHidden/>
              </w:rPr>
              <w:t>40</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5" w:history="1">
            <w:r w:rsidRPr="00C93E44">
              <w:rPr>
                <w:rStyle w:val="Hyperlink"/>
                <w:noProof/>
              </w:rPr>
              <w:t>C. Parlementaire instemming voor opzeggen samenwerkingsakkoord</w:t>
            </w:r>
            <w:r>
              <w:rPr>
                <w:noProof/>
                <w:webHidden/>
              </w:rPr>
              <w:tab/>
            </w:r>
            <w:r>
              <w:rPr>
                <w:noProof/>
                <w:webHidden/>
              </w:rPr>
              <w:fldChar w:fldCharType="begin"/>
            </w:r>
            <w:r>
              <w:rPr>
                <w:noProof/>
                <w:webHidden/>
              </w:rPr>
              <w:instrText xml:space="preserve"> PAGEREF _Toc495677885 \h </w:instrText>
            </w:r>
            <w:r>
              <w:rPr>
                <w:noProof/>
                <w:webHidden/>
              </w:rPr>
            </w:r>
            <w:r>
              <w:rPr>
                <w:noProof/>
                <w:webHidden/>
              </w:rPr>
              <w:fldChar w:fldCharType="separate"/>
            </w:r>
            <w:r>
              <w:rPr>
                <w:noProof/>
                <w:webHidden/>
              </w:rPr>
              <w:t>41</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6" w:history="1">
            <w:r w:rsidRPr="00C93E44">
              <w:rPr>
                <w:rStyle w:val="Hyperlink"/>
                <w:noProof/>
              </w:rPr>
              <w:t>D. Asymmetrische samenwerkingsvormen</w:t>
            </w:r>
            <w:r>
              <w:rPr>
                <w:noProof/>
                <w:webHidden/>
              </w:rPr>
              <w:tab/>
            </w:r>
            <w:r>
              <w:rPr>
                <w:noProof/>
                <w:webHidden/>
              </w:rPr>
              <w:fldChar w:fldCharType="begin"/>
            </w:r>
            <w:r>
              <w:rPr>
                <w:noProof/>
                <w:webHidden/>
              </w:rPr>
              <w:instrText xml:space="preserve"> PAGEREF _Toc495677886 \h </w:instrText>
            </w:r>
            <w:r>
              <w:rPr>
                <w:noProof/>
                <w:webHidden/>
              </w:rPr>
            </w:r>
            <w:r>
              <w:rPr>
                <w:noProof/>
                <w:webHidden/>
              </w:rPr>
              <w:fldChar w:fldCharType="separate"/>
            </w:r>
            <w:r>
              <w:rPr>
                <w:noProof/>
                <w:webHidden/>
              </w:rPr>
              <w:t>42</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7" w:history="1">
            <w:r w:rsidRPr="00C93E44">
              <w:rPr>
                <w:rStyle w:val="Hyperlink"/>
                <w:noProof/>
              </w:rPr>
              <w:t>E. Opleggen van verplichtingen aan een andere overheid</w:t>
            </w:r>
            <w:r>
              <w:rPr>
                <w:noProof/>
                <w:webHidden/>
              </w:rPr>
              <w:tab/>
            </w:r>
            <w:r>
              <w:rPr>
                <w:noProof/>
                <w:webHidden/>
              </w:rPr>
              <w:fldChar w:fldCharType="begin"/>
            </w:r>
            <w:r>
              <w:rPr>
                <w:noProof/>
                <w:webHidden/>
              </w:rPr>
              <w:instrText xml:space="preserve"> PAGEREF _Toc495677887 \h </w:instrText>
            </w:r>
            <w:r>
              <w:rPr>
                <w:noProof/>
                <w:webHidden/>
              </w:rPr>
            </w:r>
            <w:r>
              <w:rPr>
                <w:noProof/>
                <w:webHidden/>
              </w:rPr>
              <w:fldChar w:fldCharType="separate"/>
            </w:r>
            <w:r>
              <w:rPr>
                <w:noProof/>
                <w:webHidden/>
              </w:rPr>
              <w:t>43</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88" w:history="1">
            <w:r w:rsidRPr="00C93E44">
              <w:rPr>
                <w:rStyle w:val="Hyperlink"/>
                <w:noProof/>
              </w:rPr>
              <w:t>VII. Rechtsgrond</w:t>
            </w:r>
            <w:r>
              <w:rPr>
                <w:noProof/>
                <w:webHidden/>
              </w:rPr>
              <w:tab/>
            </w:r>
            <w:r>
              <w:rPr>
                <w:noProof/>
                <w:webHidden/>
              </w:rPr>
              <w:fldChar w:fldCharType="begin"/>
            </w:r>
            <w:r>
              <w:rPr>
                <w:noProof/>
                <w:webHidden/>
              </w:rPr>
              <w:instrText xml:space="preserve"> PAGEREF _Toc495677888 \h </w:instrText>
            </w:r>
            <w:r>
              <w:rPr>
                <w:noProof/>
                <w:webHidden/>
              </w:rPr>
            </w:r>
            <w:r>
              <w:rPr>
                <w:noProof/>
                <w:webHidden/>
              </w:rPr>
              <w:fldChar w:fldCharType="separate"/>
            </w:r>
            <w:r>
              <w:rPr>
                <w:noProof/>
                <w:webHidden/>
              </w:rPr>
              <w:t>43</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89" w:history="1">
            <w:r w:rsidRPr="00C93E44">
              <w:rPr>
                <w:rStyle w:val="Hyperlink"/>
                <w:noProof/>
              </w:rPr>
              <w:t>A. Noodzaak van een uitdrukkelijke rechtsgrond</w:t>
            </w:r>
            <w:r>
              <w:rPr>
                <w:noProof/>
                <w:webHidden/>
              </w:rPr>
              <w:tab/>
            </w:r>
            <w:r>
              <w:rPr>
                <w:noProof/>
                <w:webHidden/>
              </w:rPr>
              <w:fldChar w:fldCharType="begin"/>
            </w:r>
            <w:r>
              <w:rPr>
                <w:noProof/>
                <w:webHidden/>
              </w:rPr>
              <w:instrText xml:space="preserve"> PAGEREF _Toc495677889 \h </w:instrText>
            </w:r>
            <w:r>
              <w:rPr>
                <w:noProof/>
                <w:webHidden/>
              </w:rPr>
            </w:r>
            <w:r>
              <w:rPr>
                <w:noProof/>
                <w:webHidden/>
              </w:rPr>
              <w:fldChar w:fldCharType="separate"/>
            </w:r>
            <w:r>
              <w:rPr>
                <w:noProof/>
                <w:webHidden/>
              </w:rPr>
              <w:t>44</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0" w:history="1">
            <w:r w:rsidRPr="00C93E44">
              <w:rPr>
                <w:rStyle w:val="Hyperlink"/>
                <w:noProof/>
              </w:rPr>
              <w:t>B. Algemene uitvoeringsbevoegdheid</w:t>
            </w:r>
            <w:r>
              <w:rPr>
                <w:noProof/>
                <w:webHidden/>
              </w:rPr>
              <w:tab/>
            </w:r>
            <w:r>
              <w:rPr>
                <w:noProof/>
                <w:webHidden/>
              </w:rPr>
              <w:fldChar w:fldCharType="begin"/>
            </w:r>
            <w:r>
              <w:rPr>
                <w:noProof/>
                <w:webHidden/>
              </w:rPr>
              <w:instrText xml:space="preserve"> PAGEREF _Toc495677890 \h </w:instrText>
            </w:r>
            <w:r>
              <w:rPr>
                <w:noProof/>
                <w:webHidden/>
              </w:rPr>
            </w:r>
            <w:r>
              <w:rPr>
                <w:noProof/>
                <w:webHidden/>
              </w:rPr>
              <w:fldChar w:fldCharType="separate"/>
            </w:r>
            <w:r>
              <w:rPr>
                <w:noProof/>
                <w:webHidden/>
              </w:rPr>
              <w:t>44</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91" w:history="1">
            <w:r w:rsidRPr="00C93E44">
              <w:rPr>
                <w:rStyle w:val="Hyperlink"/>
                <w:noProof/>
              </w:rPr>
              <w:t>VIII. Delegatie van regelgevende bevoegdheid en bekrachtiging</w:t>
            </w:r>
            <w:r>
              <w:rPr>
                <w:noProof/>
                <w:webHidden/>
              </w:rPr>
              <w:tab/>
            </w:r>
            <w:r>
              <w:rPr>
                <w:noProof/>
                <w:webHidden/>
              </w:rPr>
              <w:fldChar w:fldCharType="begin"/>
            </w:r>
            <w:r>
              <w:rPr>
                <w:noProof/>
                <w:webHidden/>
              </w:rPr>
              <w:instrText xml:space="preserve"> PAGEREF _Toc495677891 \h </w:instrText>
            </w:r>
            <w:r>
              <w:rPr>
                <w:noProof/>
                <w:webHidden/>
              </w:rPr>
            </w:r>
            <w:r>
              <w:rPr>
                <w:noProof/>
                <w:webHidden/>
              </w:rPr>
              <w:fldChar w:fldCharType="separate"/>
            </w:r>
            <w:r>
              <w:rPr>
                <w:noProof/>
                <w:webHidden/>
              </w:rPr>
              <w:t>46</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2" w:history="1">
            <w:r w:rsidRPr="00C93E44">
              <w:rPr>
                <w:rStyle w:val="Hyperlink"/>
                <w:noProof/>
              </w:rPr>
              <w:t>A. Voorbehouden aangelegenheden</w:t>
            </w:r>
            <w:r>
              <w:rPr>
                <w:noProof/>
                <w:webHidden/>
              </w:rPr>
              <w:tab/>
            </w:r>
            <w:r>
              <w:rPr>
                <w:noProof/>
                <w:webHidden/>
              </w:rPr>
              <w:fldChar w:fldCharType="begin"/>
            </w:r>
            <w:r>
              <w:rPr>
                <w:noProof/>
                <w:webHidden/>
              </w:rPr>
              <w:instrText xml:space="preserve"> PAGEREF _Toc495677892 \h </w:instrText>
            </w:r>
            <w:r>
              <w:rPr>
                <w:noProof/>
                <w:webHidden/>
              </w:rPr>
            </w:r>
            <w:r>
              <w:rPr>
                <w:noProof/>
                <w:webHidden/>
              </w:rPr>
              <w:fldChar w:fldCharType="separate"/>
            </w:r>
            <w:r>
              <w:rPr>
                <w:noProof/>
                <w:webHidden/>
              </w:rPr>
              <w:t>46</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3" w:history="1">
            <w:r w:rsidRPr="00C93E44">
              <w:rPr>
                <w:rStyle w:val="Hyperlink"/>
                <w:noProof/>
              </w:rPr>
              <w:t>B. Niet-voorbehouden aangelegenheden</w:t>
            </w:r>
            <w:r>
              <w:rPr>
                <w:noProof/>
                <w:webHidden/>
              </w:rPr>
              <w:tab/>
            </w:r>
            <w:r>
              <w:rPr>
                <w:noProof/>
                <w:webHidden/>
              </w:rPr>
              <w:fldChar w:fldCharType="begin"/>
            </w:r>
            <w:r>
              <w:rPr>
                <w:noProof/>
                <w:webHidden/>
              </w:rPr>
              <w:instrText xml:space="preserve"> PAGEREF _Toc495677893 \h </w:instrText>
            </w:r>
            <w:r>
              <w:rPr>
                <w:noProof/>
                <w:webHidden/>
              </w:rPr>
            </w:r>
            <w:r>
              <w:rPr>
                <w:noProof/>
                <w:webHidden/>
              </w:rPr>
              <w:fldChar w:fldCharType="separate"/>
            </w:r>
            <w:r>
              <w:rPr>
                <w:noProof/>
                <w:webHidden/>
              </w:rPr>
              <w:t>49</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4" w:history="1">
            <w:r w:rsidRPr="00C93E44">
              <w:rPr>
                <w:rStyle w:val="Hyperlink"/>
                <w:noProof/>
              </w:rPr>
              <w:t>C. Delegatie aan ministers</w:t>
            </w:r>
            <w:r>
              <w:rPr>
                <w:noProof/>
                <w:webHidden/>
              </w:rPr>
              <w:tab/>
            </w:r>
            <w:r>
              <w:rPr>
                <w:noProof/>
                <w:webHidden/>
              </w:rPr>
              <w:fldChar w:fldCharType="begin"/>
            </w:r>
            <w:r>
              <w:rPr>
                <w:noProof/>
                <w:webHidden/>
              </w:rPr>
              <w:instrText xml:space="preserve"> PAGEREF _Toc495677894 \h </w:instrText>
            </w:r>
            <w:r>
              <w:rPr>
                <w:noProof/>
                <w:webHidden/>
              </w:rPr>
            </w:r>
            <w:r>
              <w:rPr>
                <w:noProof/>
                <w:webHidden/>
              </w:rPr>
              <w:fldChar w:fldCharType="separate"/>
            </w:r>
            <w:r>
              <w:rPr>
                <w:noProof/>
                <w:webHidden/>
              </w:rPr>
              <w:t>50</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5" w:history="1">
            <w:r w:rsidRPr="00C93E44">
              <w:rPr>
                <w:rStyle w:val="Hyperlink"/>
                <w:noProof/>
              </w:rPr>
              <w:t>D. Delegatie aan openbare instellingen</w:t>
            </w:r>
            <w:r>
              <w:rPr>
                <w:noProof/>
                <w:webHidden/>
              </w:rPr>
              <w:tab/>
            </w:r>
            <w:r>
              <w:rPr>
                <w:noProof/>
                <w:webHidden/>
              </w:rPr>
              <w:fldChar w:fldCharType="begin"/>
            </w:r>
            <w:r>
              <w:rPr>
                <w:noProof/>
                <w:webHidden/>
              </w:rPr>
              <w:instrText xml:space="preserve"> PAGEREF _Toc495677895 \h </w:instrText>
            </w:r>
            <w:r>
              <w:rPr>
                <w:noProof/>
                <w:webHidden/>
              </w:rPr>
            </w:r>
            <w:r>
              <w:rPr>
                <w:noProof/>
                <w:webHidden/>
              </w:rPr>
              <w:fldChar w:fldCharType="separate"/>
            </w:r>
            <w:r>
              <w:rPr>
                <w:noProof/>
                <w:webHidden/>
              </w:rPr>
              <w:t>50</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6" w:history="1">
            <w:r w:rsidRPr="00C93E44">
              <w:rPr>
                <w:rStyle w:val="Hyperlink"/>
                <w:noProof/>
              </w:rPr>
              <w:t>E. Bekrachtiging en wetgevende validatie</w:t>
            </w:r>
            <w:r>
              <w:rPr>
                <w:noProof/>
                <w:webHidden/>
              </w:rPr>
              <w:tab/>
            </w:r>
            <w:r>
              <w:rPr>
                <w:noProof/>
                <w:webHidden/>
              </w:rPr>
              <w:fldChar w:fldCharType="begin"/>
            </w:r>
            <w:r>
              <w:rPr>
                <w:noProof/>
                <w:webHidden/>
              </w:rPr>
              <w:instrText xml:space="preserve"> PAGEREF _Toc495677896 \h </w:instrText>
            </w:r>
            <w:r>
              <w:rPr>
                <w:noProof/>
                <w:webHidden/>
              </w:rPr>
            </w:r>
            <w:r>
              <w:rPr>
                <w:noProof/>
                <w:webHidden/>
              </w:rPr>
              <w:fldChar w:fldCharType="separate"/>
            </w:r>
            <w:r>
              <w:rPr>
                <w:noProof/>
                <w:webHidden/>
              </w:rPr>
              <w:t>51</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897" w:history="1">
            <w:r w:rsidRPr="00C93E44">
              <w:rPr>
                <w:rStyle w:val="Hyperlink"/>
                <w:noProof/>
              </w:rPr>
              <w:t>IX. Naleving en handhaving</w:t>
            </w:r>
            <w:r>
              <w:rPr>
                <w:noProof/>
                <w:webHidden/>
              </w:rPr>
              <w:tab/>
            </w:r>
            <w:r>
              <w:rPr>
                <w:noProof/>
                <w:webHidden/>
              </w:rPr>
              <w:fldChar w:fldCharType="begin"/>
            </w:r>
            <w:r>
              <w:rPr>
                <w:noProof/>
                <w:webHidden/>
              </w:rPr>
              <w:instrText xml:space="preserve"> PAGEREF _Toc495677897 \h </w:instrText>
            </w:r>
            <w:r>
              <w:rPr>
                <w:noProof/>
                <w:webHidden/>
              </w:rPr>
            </w:r>
            <w:r>
              <w:rPr>
                <w:noProof/>
                <w:webHidden/>
              </w:rPr>
              <w:fldChar w:fldCharType="separate"/>
            </w:r>
            <w:r>
              <w:rPr>
                <w:noProof/>
                <w:webHidden/>
              </w:rPr>
              <w:t>52</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8" w:history="1">
            <w:r w:rsidRPr="00C93E44">
              <w:rPr>
                <w:rStyle w:val="Hyperlink"/>
                <w:noProof/>
              </w:rPr>
              <w:t>A. Materieel legaliteitsbeginsel in strafzaken</w:t>
            </w:r>
            <w:r>
              <w:rPr>
                <w:noProof/>
                <w:webHidden/>
              </w:rPr>
              <w:tab/>
            </w:r>
            <w:r>
              <w:rPr>
                <w:noProof/>
                <w:webHidden/>
              </w:rPr>
              <w:fldChar w:fldCharType="begin"/>
            </w:r>
            <w:r>
              <w:rPr>
                <w:noProof/>
                <w:webHidden/>
              </w:rPr>
              <w:instrText xml:space="preserve"> PAGEREF _Toc495677898 \h </w:instrText>
            </w:r>
            <w:r>
              <w:rPr>
                <w:noProof/>
                <w:webHidden/>
              </w:rPr>
            </w:r>
            <w:r>
              <w:rPr>
                <w:noProof/>
                <w:webHidden/>
              </w:rPr>
              <w:fldChar w:fldCharType="separate"/>
            </w:r>
            <w:r>
              <w:rPr>
                <w:noProof/>
                <w:webHidden/>
              </w:rPr>
              <w:t>52</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899" w:history="1">
            <w:r w:rsidRPr="00C93E44">
              <w:rPr>
                <w:rStyle w:val="Hyperlink"/>
                <w:noProof/>
              </w:rPr>
              <w:t>B. Formeel legaliteitsbeginsel in strafzaken</w:t>
            </w:r>
            <w:r>
              <w:rPr>
                <w:noProof/>
                <w:webHidden/>
              </w:rPr>
              <w:tab/>
            </w:r>
            <w:r>
              <w:rPr>
                <w:noProof/>
                <w:webHidden/>
              </w:rPr>
              <w:fldChar w:fldCharType="begin"/>
            </w:r>
            <w:r>
              <w:rPr>
                <w:noProof/>
                <w:webHidden/>
              </w:rPr>
              <w:instrText xml:space="preserve"> PAGEREF _Toc495677899 \h </w:instrText>
            </w:r>
            <w:r>
              <w:rPr>
                <w:noProof/>
                <w:webHidden/>
              </w:rPr>
            </w:r>
            <w:r>
              <w:rPr>
                <w:noProof/>
                <w:webHidden/>
              </w:rPr>
              <w:fldChar w:fldCharType="separate"/>
            </w:r>
            <w:r>
              <w:rPr>
                <w:noProof/>
                <w:webHidden/>
              </w:rPr>
              <w:t>54</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00" w:history="1">
            <w:r w:rsidRPr="00C93E44">
              <w:rPr>
                <w:rStyle w:val="Hyperlink"/>
                <w:noProof/>
              </w:rPr>
              <w:t>C. Evenredigheidsbeginsel in strafzaken</w:t>
            </w:r>
            <w:r>
              <w:rPr>
                <w:noProof/>
                <w:webHidden/>
              </w:rPr>
              <w:tab/>
            </w:r>
            <w:r>
              <w:rPr>
                <w:noProof/>
                <w:webHidden/>
              </w:rPr>
              <w:fldChar w:fldCharType="begin"/>
            </w:r>
            <w:r>
              <w:rPr>
                <w:noProof/>
                <w:webHidden/>
              </w:rPr>
              <w:instrText xml:space="preserve"> PAGEREF _Toc495677900 \h </w:instrText>
            </w:r>
            <w:r>
              <w:rPr>
                <w:noProof/>
                <w:webHidden/>
              </w:rPr>
            </w:r>
            <w:r>
              <w:rPr>
                <w:noProof/>
                <w:webHidden/>
              </w:rPr>
              <w:fldChar w:fldCharType="separate"/>
            </w:r>
            <w:r>
              <w:rPr>
                <w:noProof/>
                <w:webHidden/>
              </w:rPr>
              <w:t>55</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01" w:history="1">
            <w:r w:rsidRPr="00C93E44">
              <w:rPr>
                <w:rStyle w:val="Hyperlink"/>
                <w:noProof/>
              </w:rPr>
              <w:t>D. Handhaving en rechtsbescherming</w:t>
            </w:r>
            <w:r>
              <w:rPr>
                <w:noProof/>
                <w:webHidden/>
              </w:rPr>
              <w:tab/>
            </w:r>
            <w:r>
              <w:rPr>
                <w:noProof/>
                <w:webHidden/>
              </w:rPr>
              <w:fldChar w:fldCharType="begin"/>
            </w:r>
            <w:r>
              <w:rPr>
                <w:noProof/>
                <w:webHidden/>
              </w:rPr>
              <w:instrText xml:space="preserve"> PAGEREF _Toc495677901 \h </w:instrText>
            </w:r>
            <w:r>
              <w:rPr>
                <w:noProof/>
                <w:webHidden/>
              </w:rPr>
            </w:r>
            <w:r>
              <w:rPr>
                <w:noProof/>
                <w:webHidden/>
              </w:rPr>
              <w:fldChar w:fldCharType="separate"/>
            </w:r>
            <w:r>
              <w:rPr>
                <w:noProof/>
                <w:webHidden/>
              </w:rPr>
              <w:t>55</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02" w:history="1">
            <w:r w:rsidRPr="00C93E44">
              <w:rPr>
                <w:rStyle w:val="Hyperlink"/>
                <w:noProof/>
              </w:rPr>
              <w:t>1. Te volgen procedure voor administratieve sancties</w:t>
            </w:r>
            <w:r>
              <w:rPr>
                <w:noProof/>
                <w:webHidden/>
              </w:rPr>
              <w:tab/>
            </w:r>
            <w:r>
              <w:rPr>
                <w:noProof/>
                <w:webHidden/>
              </w:rPr>
              <w:fldChar w:fldCharType="begin"/>
            </w:r>
            <w:r>
              <w:rPr>
                <w:noProof/>
                <w:webHidden/>
              </w:rPr>
              <w:instrText xml:space="preserve"> PAGEREF _Toc495677902 \h </w:instrText>
            </w:r>
            <w:r>
              <w:rPr>
                <w:noProof/>
                <w:webHidden/>
              </w:rPr>
            </w:r>
            <w:r>
              <w:rPr>
                <w:noProof/>
                <w:webHidden/>
              </w:rPr>
              <w:fldChar w:fldCharType="separate"/>
            </w:r>
            <w:r>
              <w:rPr>
                <w:noProof/>
                <w:webHidden/>
              </w:rPr>
              <w:t>55</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03" w:history="1">
            <w:r w:rsidRPr="00C93E44">
              <w:rPr>
                <w:rStyle w:val="Hyperlink"/>
                <w:noProof/>
              </w:rPr>
              <w:t>2. Rechtsbescherming tegen administratieve sancties</w:t>
            </w:r>
            <w:r>
              <w:rPr>
                <w:noProof/>
                <w:webHidden/>
              </w:rPr>
              <w:tab/>
            </w:r>
            <w:r>
              <w:rPr>
                <w:noProof/>
                <w:webHidden/>
              </w:rPr>
              <w:fldChar w:fldCharType="begin"/>
            </w:r>
            <w:r>
              <w:rPr>
                <w:noProof/>
                <w:webHidden/>
              </w:rPr>
              <w:instrText xml:space="preserve"> PAGEREF _Toc495677903 \h </w:instrText>
            </w:r>
            <w:r>
              <w:rPr>
                <w:noProof/>
                <w:webHidden/>
              </w:rPr>
            </w:r>
            <w:r>
              <w:rPr>
                <w:noProof/>
                <w:webHidden/>
              </w:rPr>
              <w:fldChar w:fldCharType="separate"/>
            </w:r>
            <w:r>
              <w:rPr>
                <w:noProof/>
                <w:webHidden/>
              </w:rPr>
              <w:t>56</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04" w:history="1">
            <w:r w:rsidRPr="00C93E44">
              <w:rPr>
                <w:rStyle w:val="Hyperlink"/>
                <w:noProof/>
              </w:rPr>
              <w:t>3. Toezichtsregeling</w:t>
            </w:r>
            <w:r>
              <w:rPr>
                <w:noProof/>
                <w:webHidden/>
              </w:rPr>
              <w:tab/>
            </w:r>
            <w:r>
              <w:rPr>
                <w:noProof/>
                <w:webHidden/>
              </w:rPr>
              <w:fldChar w:fldCharType="begin"/>
            </w:r>
            <w:r>
              <w:rPr>
                <w:noProof/>
                <w:webHidden/>
              </w:rPr>
              <w:instrText xml:space="preserve"> PAGEREF _Toc495677904 \h </w:instrText>
            </w:r>
            <w:r>
              <w:rPr>
                <w:noProof/>
                <w:webHidden/>
              </w:rPr>
            </w:r>
            <w:r>
              <w:rPr>
                <w:noProof/>
                <w:webHidden/>
              </w:rPr>
              <w:fldChar w:fldCharType="separate"/>
            </w:r>
            <w:r>
              <w:rPr>
                <w:noProof/>
                <w:webHidden/>
              </w:rPr>
              <w:t>57</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905" w:history="1">
            <w:r w:rsidRPr="00C93E44">
              <w:rPr>
                <w:rStyle w:val="Hyperlink"/>
                <w:noProof/>
              </w:rPr>
              <w:t>X. Bekendmaking van rechtsregels</w:t>
            </w:r>
            <w:r>
              <w:rPr>
                <w:noProof/>
                <w:webHidden/>
              </w:rPr>
              <w:tab/>
            </w:r>
            <w:r>
              <w:rPr>
                <w:noProof/>
                <w:webHidden/>
              </w:rPr>
              <w:fldChar w:fldCharType="begin"/>
            </w:r>
            <w:r>
              <w:rPr>
                <w:noProof/>
                <w:webHidden/>
              </w:rPr>
              <w:instrText xml:space="preserve"> PAGEREF _Toc495677905 \h </w:instrText>
            </w:r>
            <w:r>
              <w:rPr>
                <w:noProof/>
                <w:webHidden/>
              </w:rPr>
            </w:r>
            <w:r>
              <w:rPr>
                <w:noProof/>
                <w:webHidden/>
              </w:rPr>
              <w:fldChar w:fldCharType="separate"/>
            </w:r>
            <w:r>
              <w:rPr>
                <w:noProof/>
                <w:webHidden/>
              </w:rPr>
              <w:t>57</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06" w:history="1">
            <w:r w:rsidRPr="00C93E44">
              <w:rPr>
                <w:rStyle w:val="Hyperlink"/>
                <w:noProof/>
              </w:rPr>
              <w:t>A. Vereiste van bekendmaking</w:t>
            </w:r>
            <w:r>
              <w:rPr>
                <w:noProof/>
                <w:webHidden/>
              </w:rPr>
              <w:tab/>
            </w:r>
            <w:r>
              <w:rPr>
                <w:noProof/>
                <w:webHidden/>
              </w:rPr>
              <w:fldChar w:fldCharType="begin"/>
            </w:r>
            <w:r>
              <w:rPr>
                <w:noProof/>
                <w:webHidden/>
              </w:rPr>
              <w:instrText xml:space="preserve"> PAGEREF _Toc495677906 \h </w:instrText>
            </w:r>
            <w:r>
              <w:rPr>
                <w:noProof/>
                <w:webHidden/>
              </w:rPr>
            </w:r>
            <w:r>
              <w:rPr>
                <w:noProof/>
                <w:webHidden/>
              </w:rPr>
              <w:fldChar w:fldCharType="separate"/>
            </w:r>
            <w:r>
              <w:rPr>
                <w:noProof/>
                <w:webHidden/>
              </w:rPr>
              <w:t>58</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07" w:history="1">
            <w:r w:rsidRPr="00C93E44">
              <w:rPr>
                <w:rStyle w:val="Hyperlink"/>
                <w:noProof/>
              </w:rPr>
              <w:t>B. Wijze van bekendmaking</w:t>
            </w:r>
            <w:r>
              <w:rPr>
                <w:noProof/>
                <w:webHidden/>
              </w:rPr>
              <w:tab/>
            </w:r>
            <w:r>
              <w:rPr>
                <w:noProof/>
                <w:webHidden/>
              </w:rPr>
              <w:fldChar w:fldCharType="begin"/>
            </w:r>
            <w:r>
              <w:rPr>
                <w:noProof/>
                <w:webHidden/>
              </w:rPr>
              <w:instrText xml:space="preserve"> PAGEREF _Toc495677907 \h </w:instrText>
            </w:r>
            <w:r>
              <w:rPr>
                <w:noProof/>
                <w:webHidden/>
              </w:rPr>
            </w:r>
            <w:r>
              <w:rPr>
                <w:noProof/>
                <w:webHidden/>
              </w:rPr>
              <w:fldChar w:fldCharType="separate"/>
            </w:r>
            <w:r>
              <w:rPr>
                <w:noProof/>
                <w:webHidden/>
              </w:rPr>
              <w:t>59</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908" w:history="1">
            <w:r w:rsidRPr="00C93E44">
              <w:rPr>
                <w:rStyle w:val="Hyperlink"/>
                <w:noProof/>
              </w:rPr>
              <w:t>XI. Inwerkingtreding en terugwerkende kracht</w:t>
            </w:r>
            <w:r>
              <w:rPr>
                <w:noProof/>
                <w:webHidden/>
              </w:rPr>
              <w:tab/>
            </w:r>
            <w:r>
              <w:rPr>
                <w:noProof/>
                <w:webHidden/>
              </w:rPr>
              <w:fldChar w:fldCharType="begin"/>
            </w:r>
            <w:r>
              <w:rPr>
                <w:noProof/>
                <w:webHidden/>
              </w:rPr>
              <w:instrText xml:space="preserve"> PAGEREF _Toc495677908 \h </w:instrText>
            </w:r>
            <w:r>
              <w:rPr>
                <w:noProof/>
                <w:webHidden/>
              </w:rPr>
            </w:r>
            <w:r>
              <w:rPr>
                <w:noProof/>
                <w:webHidden/>
              </w:rPr>
              <w:fldChar w:fldCharType="separate"/>
            </w:r>
            <w:r>
              <w:rPr>
                <w:noProof/>
                <w:webHidden/>
              </w:rPr>
              <w:t>60</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09" w:history="1">
            <w:r w:rsidRPr="00C93E44">
              <w:rPr>
                <w:rStyle w:val="Hyperlink"/>
                <w:noProof/>
              </w:rPr>
              <w:t>A. Inwerkingtreding</w:t>
            </w:r>
            <w:r>
              <w:rPr>
                <w:noProof/>
                <w:webHidden/>
              </w:rPr>
              <w:tab/>
            </w:r>
            <w:r>
              <w:rPr>
                <w:noProof/>
                <w:webHidden/>
              </w:rPr>
              <w:fldChar w:fldCharType="begin"/>
            </w:r>
            <w:r>
              <w:rPr>
                <w:noProof/>
                <w:webHidden/>
              </w:rPr>
              <w:instrText xml:space="preserve"> PAGEREF _Toc495677909 \h </w:instrText>
            </w:r>
            <w:r>
              <w:rPr>
                <w:noProof/>
                <w:webHidden/>
              </w:rPr>
            </w:r>
            <w:r>
              <w:rPr>
                <w:noProof/>
                <w:webHidden/>
              </w:rPr>
              <w:fldChar w:fldCharType="separate"/>
            </w:r>
            <w:r>
              <w:rPr>
                <w:noProof/>
                <w:webHidden/>
              </w:rPr>
              <w:t>60</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0" w:history="1">
            <w:r w:rsidRPr="00C93E44">
              <w:rPr>
                <w:rStyle w:val="Hyperlink"/>
                <w:noProof/>
              </w:rPr>
              <w:t>1. Redelijke termijn</w:t>
            </w:r>
            <w:r>
              <w:rPr>
                <w:noProof/>
                <w:webHidden/>
              </w:rPr>
              <w:tab/>
            </w:r>
            <w:r>
              <w:rPr>
                <w:noProof/>
                <w:webHidden/>
              </w:rPr>
              <w:fldChar w:fldCharType="begin"/>
            </w:r>
            <w:r>
              <w:rPr>
                <w:noProof/>
                <w:webHidden/>
              </w:rPr>
              <w:instrText xml:space="preserve"> PAGEREF _Toc495677910 \h </w:instrText>
            </w:r>
            <w:r>
              <w:rPr>
                <w:noProof/>
                <w:webHidden/>
              </w:rPr>
            </w:r>
            <w:r>
              <w:rPr>
                <w:noProof/>
                <w:webHidden/>
              </w:rPr>
              <w:fldChar w:fldCharType="separate"/>
            </w:r>
            <w:r>
              <w:rPr>
                <w:noProof/>
                <w:webHidden/>
              </w:rPr>
              <w:t>60</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1" w:history="1">
            <w:r w:rsidRPr="00C93E44">
              <w:rPr>
                <w:rStyle w:val="Hyperlink"/>
                <w:noProof/>
              </w:rPr>
              <w:t>2. Tijdstip inwerkingtreding moet kenbaar zijn</w:t>
            </w:r>
            <w:r>
              <w:rPr>
                <w:noProof/>
                <w:webHidden/>
              </w:rPr>
              <w:tab/>
            </w:r>
            <w:r>
              <w:rPr>
                <w:noProof/>
                <w:webHidden/>
              </w:rPr>
              <w:fldChar w:fldCharType="begin"/>
            </w:r>
            <w:r>
              <w:rPr>
                <w:noProof/>
                <w:webHidden/>
              </w:rPr>
              <w:instrText xml:space="preserve"> PAGEREF _Toc495677911 \h </w:instrText>
            </w:r>
            <w:r>
              <w:rPr>
                <w:noProof/>
                <w:webHidden/>
              </w:rPr>
            </w:r>
            <w:r>
              <w:rPr>
                <w:noProof/>
                <w:webHidden/>
              </w:rPr>
              <w:fldChar w:fldCharType="separate"/>
            </w:r>
            <w:r>
              <w:rPr>
                <w:noProof/>
                <w:webHidden/>
              </w:rPr>
              <w:t>60</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2" w:history="1">
            <w:r w:rsidRPr="00C93E44">
              <w:rPr>
                <w:rStyle w:val="Hyperlink"/>
                <w:noProof/>
              </w:rPr>
              <w:t>3. Belang van een overgangsregeling</w:t>
            </w:r>
            <w:r>
              <w:rPr>
                <w:noProof/>
                <w:webHidden/>
              </w:rPr>
              <w:tab/>
            </w:r>
            <w:r>
              <w:rPr>
                <w:noProof/>
                <w:webHidden/>
              </w:rPr>
              <w:fldChar w:fldCharType="begin"/>
            </w:r>
            <w:r>
              <w:rPr>
                <w:noProof/>
                <w:webHidden/>
              </w:rPr>
              <w:instrText xml:space="preserve"> PAGEREF _Toc495677912 \h </w:instrText>
            </w:r>
            <w:r>
              <w:rPr>
                <w:noProof/>
                <w:webHidden/>
              </w:rPr>
            </w:r>
            <w:r>
              <w:rPr>
                <w:noProof/>
                <w:webHidden/>
              </w:rPr>
              <w:fldChar w:fldCharType="separate"/>
            </w:r>
            <w:r>
              <w:rPr>
                <w:noProof/>
                <w:webHidden/>
              </w:rPr>
              <w:t>61</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13" w:history="1">
            <w:r w:rsidRPr="00C93E44">
              <w:rPr>
                <w:rStyle w:val="Hyperlink"/>
                <w:noProof/>
              </w:rPr>
              <w:t>B. Terugwerkende kracht</w:t>
            </w:r>
            <w:r>
              <w:rPr>
                <w:noProof/>
                <w:webHidden/>
              </w:rPr>
              <w:tab/>
            </w:r>
            <w:r>
              <w:rPr>
                <w:noProof/>
                <w:webHidden/>
              </w:rPr>
              <w:fldChar w:fldCharType="begin"/>
            </w:r>
            <w:r>
              <w:rPr>
                <w:noProof/>
                <w:webHidden/>
              </w:rPr>
              <w:instrText xml:space="preserve"> PAGEREF _Toc495677913 \h </w:instrText>
            </w:r>
            <w:r>
              <w:rPr>
                <w:noProof/>
                <w:webHidden/>
              </w:rPr>
            </w:r>
            <w:r>
              <w:rPr>
                <w:noProof/>
                <w:webHidden/>
              </w:rPr>
              <w:fldChar w:fldCharType="separate"/>
            </w:r>
            <w:r>
              <w:rPr>
                <w:noProof/>
                <w:webHidden/>
              </w:rPr>
              <w:t>61</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4" w:history="1">
            <w:r w:rsidRPr="00C93E44">
              <w:rPr>
                <w:rStyle w:val="Hyperlink"/>
                <w:noProof/>
              </w:rPr>
              <w:t>1. Algemeen</w:t>
            </w:r>
            <w:r>
              <w:rPr>
                <w:noProof/>
                <w:webHidden/>
              </w:rPr>
              <w:tab/>
            </w:r>
            <w:r>
              <w:rPr>
                <w:noProof/>
                <w:webHidden/>
              </w:rPr>
              <w:fldChar w:fldCharType="begin"/>
            </w:r>
            <w:r>
              <w:rPr>
                <w:noProof/>
                <w:webHidden/>
              </w:rPr>
              <w:instrText xml:space="preserve"> PAGEREF _Toc495677914 \h </w:instrText>
            </w:r>
            <w:r>
              <w:rPr>
                <w:noProof/>
                <w:webHidden/>
              </w:rPr>
            </w:r>
            <w:r>
              <w:rPr>
                <w:noProof/>
                <w:webHidden/>
              </w:rPr>
              <w:fldChar w:fldCharType="separate"/>
            </w:r>
            <w:r>
              <w:rPr>
                <w:noProof/>
                <w:webHidden/>
              </w:rPr>
              <w:t>61</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5" w:history="1">
            <w:r w:rsidRPr="00C93E44">
              <w:rPr>
                <w:rStyle w:val="Hyperlink"/>
                <w:noProof/>
              </w:rPr>
              <w:t>2. Toezichtrecht door de overheid</w:t>
            </w:r>
            <w:r>
              <w:rPr>
                <w:noProof/>
                <w:webHidden/>
              </w:rPr>
              <w:tab/>
            </w:r>
            <w:r>
              <w:rPr>
                <w:noProof/>
                <w:webHidden/>
              </w:rPr>
              <w:fldChar w:fldCharType="begin"/>
            </w:r>
            <w:r>
              <w:rPr>
                <w:noProof/>
                <w:webHidden/>
              </w:rPr>
              <w:instrText xml:space="preserve"> PAGEREF _Toc495677915 \h </w:instrText>
            </w:r>
            <w:r>
              <w:rPr>
                <w:noProof/>
                <w:webHidden/>
              </w:rPr>
            </w:r>
            <w:r>
              <w:rPr>
                <w:noProof/>
                <w:webHidden/>
              </w:rPr>
              <w:fldChar w:fldCharType="separate"/>
            </w:r>
            <w:r>
              <w:rPr>
                <w:noProof/>
                <w:webHidden/>
              </w:rPr>
              <w:t>62</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6" w:history="1">
            <w:r w:rsidRPr="00C93E44">
              <w:rPr>
                <w:rStyle w:val="Hyperlink"/>
                <w:noProof/>
              </w:rPr>
              <w:t>3. Belastingen</w:t>
            </w:r>
            <w:r>
              <w:rPr>
                <w:noProof/>
                <w:webHidden/>
              </w:rPr>
              <w:tab/>
            </w:r>
            <w:r>
              <w:rPr>
                <w:noProof/>
                <w:webHidden/>
              </w:rPr>
              <w:fldChar w:fldCharType="begin"/>
            </w:r>
            <w:r>
              <w:rPr>
                <w:noProof/>
                <w:webHidden/>
              </w:rPr>
              <w:instrText xml:space="preserve"> PAGEREF _Toc495677916 \h </w:instrText>
            </w:r>
            <w:r>
              <w:rPr>
                <w:noProof/>
                <w:webHidden/>
              </w:rPr>
            </w:r>
            <w:r>
              <w:rPr>
                <w:noProof/>
                <w:webHidden/>
              </w:rPr>
              <w:fldChar w:fldCharType="separate"/>
            </w:r>
            <w:r>
              <w:rPr>
                <w:noProof/>
                <w:webHidden/>
              </w:rPr>
              <w:t>62</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7" w:history="1">
            <w:r w:rsidRPr="00C93E44">
              <w:rPr>
                <w:rStyle w:val="Hyperlink"/>
                <w:noProof/>
              </w:rPr>
              <w:t>4. Strafrechtelijke en administratieve sancties</w:t>
            </w:r>
            <w:r>
              <w:rPr>
                <w:noProof/>
                <w:webHidden/>
              </w:rPr>
              <w:tab/>
            </w:r>
            <w:r>
              <w:rPr>
                <w:noProof/>
                <w:webHidden/>
              </w:rPr>
              <w:fldChar w:fldCharType="begin"/>
            </w:r>
            <w:r>
              <w:rPr>
                <w:noProof/>
                <w:webHidden/>
              </w:rPr>
              <w:instrText xml:space="preserve"> PAGEREF _Toc495677917 \h </w:instrText>
            </w:r>
            <w:r>
              <w:rPr>
                <w:noProof/>
                <w:webHidden/>
              </w:rPr>
            </w:r>
            <w:r>
              <w:rPr>
                <w:noProof/>
                <w:webHidden/>
              </w:rPr>
              <w:fldChar w:fldCharType="separate"/>
            </w:r>
            <w:r>
              <w:rPr>
                <w:noProof/>
                <w:webHidden/>
              </w:rPr>
              <w:t>63</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8" w:history="1">
            <w:r w:rsidRPr="00C93E44">
              <w:rPr>
                <w:rStyle w:val="Hyperlink"/>
                <w:noProof/>
              </w:rPr>
              <w:t>5. Feitelijke terugwerkende kracht</w:t>
            </w:r>
            <w:r>
              <w:rPr>
                <w:noProof/>
                <w:webHidden/>
              </w:rPr>
              <w:tab/>
            </w:r>
            <w:r>
              <w:rPr>
                <w:noProof/>
                <w:webHidden/>
              </w:rPr>
              <w:fldChar w:fldCharType="begin"/>
            </w:r>
            <w:r>
              <w:rPr>
                <w:noProof/>
                <w:webHidden/>
              </w:rPr>
              <w:instrText xml:space="preserve"> PAGEREF _Toc495677918 \h </w:instrText>
            </w:r>
            <w:r>
              <w:rPr>
                <w:noProof/>
                <w:webHidden/>
              </w:rPr>
            </w:r>
            <w:r>
              <w:rPr>
                <w:noProof/>
                <w:webHidden/>
              </w:rPr>
              <w:fldChar w:fldCharType="separate"/>
            </w:r>
            <w:r>
              <w:rPr>
                <w:noProof/>
                <w:webHidden/>
              </w:rPr>
              <w:t>64</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19" w:history="1">
            <w:r w:rsidRPr="00C93E44">
              <w:rPr>
                <w:rStyle w:val="Hyperlink"/>
                <w:noProof/>
              </w:rPr>
              <w:t>6. Niet voor procedurebepalingen</w:t>
            </w:r>
            <w:r>
              <w:rPr>
                <w:noProof/>
                <w:webHidden/>
              </w:rPr>
              <w:tab/>
            </w:r>
            <w:r>
              <w:rPr>
                <w:noProof/>
                <w:webHidden/>
              </w:rPr>
              <w:fldChar w:fldCharType="begin"/>
            </w:r>
            <w:r>
              <w:rPr>
                <w:noProof/>
                <w:webHidden/>
              </w:rPr>
              <w:instrText xml:space="preserve"> PAGEREF _Toc495677919 \h </w:instrText>
            </w:r>
            <w:r>
              <w:rPr>
                <w:noProof/>
                <w:webHidden/>
              </w:rPr>
            </w:r>
            <w:r>
              <w:rPr>
                <w:noProof/>
                <w:webHidden/>
              </w:rPr>
              <w:fldChar w:fldCharType="separate"/>
            </w:r>
            <w:r>
              <w:rPr>
                <w:noProof/>
                <w:webHidden/>
              </w:rPr>
              <w:t>64</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20" w:history="1">
            <w:r w:rsidRPr="00C93E44">
              <w:rPr>
                <w:rStyle w:val="Hyperlink"/>
                <w:noProof/>
              </w:rPr>
              <w:t>7. Overgangsregeling als remedie</w:t>
            </w:r>
            <w:r>
              <w:rPr>
                <w:noProof/>
                <w:webHidden/>
              </w:rPr>
              <w:tab/>
            </w:r>
            <w:r>
              <w:rPr>
                <w:noProof/>
                <w:webHidden/>
              </w:rPr>
              <w:fldChar w:fldCharType="begin"/>
            </w:r>
            <w:r>
              <w:rPr>
                <w:noProof/>
                <w:webHidden/>
              </w:rPr>
              <w:instrText xml:space="preserve"> PAGEREF _Toc495677920 \h </w:instrText>
            </w:r>
            <w:r>
              <w:rPr>
                <w:noProof/>
                <w:webHidden/>
              </w:rPr>
            </w:r>
            <w:r>
              <w:rPr>
                <w:noProof/>
                <w:webHidden/>
              </w:rPr>
              <w:fldChar w:fldCharType="separate"/>
            </w:r>
            <w:r>
              <w:rPr>
                <w:noProof/>
                <w:webHidden/>
              </w:rPr>
              <w:t>64</w:t>
            </w:r>
            <w:r>
              <w:rPr>
                <w:noProof/>
                <w:webHidden/>
              </w:rPr>
              <w:fldChar w:fldCharType="end"/>
            </w:r>
          </w:hyperlink>
        </w:p>
        <w:p w:rsidR="00113337" w:rsidRDefault="00113337">
          <w:pPr>
            <w:pStyle w:val="Inhopg3"/>
            <w:tabs>
              <w:tab w:val="right" w:leader="dot" w:pos="9062"/>
            </w:tabs>
            <w:rPr>
              <w:rFonts w:asciiTheme="minorHAnsi" w:eastAsiaTheme="minorEastAsia" w:hAnsiTheme="minorHAnsi"/>
              <w:noProof/>
              <w:sz w:val="22"/>
              <w:lang w:eastAsia="nl-BE"/>
            </w:rPr>
          </w:pPr>
          <w:hyperlink w:anchor="_Toc495677921" w:history="1">
            <w:r w:rsidRPr="00C93E44">
              <w:rPr>
                <w:rStyle w:val="Hyperlink"/>
                <w:noProof/>
              </w:rPr>
              <w:t>8. Eerdere communicatie als verantwoording?</w:t>
            </w:r>
            <w:r>
              <w:rPr>
                <w:noProof/>
                <w:webHidden/>
              </w:rPr>
              <w:tab/>
            </w:r>
            <w:r>
              <w:rPr>
                <w:noProof/>
                <w:webHidden/>
              </w:rPr>
              <w:fldChar w:fldCharType="begin"/>
            </w:r>
            <w:r>
              <w:rPr>
                <w:noProof/>
                <w:webHidden/>
              </w:rPr>
              <w:instrText xml:space="preserve"> PAGEREF _Toc495677921 \h </w:instrText>
            </w:r>
            <w:r>
              <w:rPr>
                <w:noProof/>
                <w:webHidden/>
              </w:rPr>
            </w:r>
            <w:r>
              <w:rPr>
                <w:noProof/>
                <w:webHidden/>
              </w:rPr>
              <w:fldChar w:fldCharType="separate"/>
            </w:r>
            <w:r>
              <w:rPr>
                <w:noProof/>
                <w:webHidden/>
              </w:rPr>
              <w:t>64</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922" w:history="1">
            <w:r w:rsidRPr="00C93E44">
              <w:rPr>
                <w:rStyle w:val="Hyperlink"/>
                <w:noProof/>
              </w:rPr>
              <w:t>XII. Rechtszekerheids- en vertrouwensbeginsel</w:t>
            </w:r>
            <w:r>
              <w:rPr>
                <w:noProof/>
                <w:webHidden/>
              </w:rPr>
              <w:tab/>
            </w:r>
            <w:r>
              <w:rPr>
                <w:noProof/>
                <w:webHidden/>
              </w:rPr>
              <w:fldChar w:fldCharType="begin"/>
            </w:r>
            <w:r>
              <w:rPr>
                <w:noProof/>
                <w:webHidden/>
              </w:rPr>
              <w:instrText xml:space="preserve"> PAGEREF _Toc495677922 \h </w:instrText>
            </w:r>
            <w:r>
              <w:rPr>
                <w:noProof/>
                <w:webHidden/>
              </w:rPr>
            </w:r>
            <w:r>
              <w:rPr>
                <w:noProof/>
                <w:webHidden/>
              </w:rPr>
              <w:fldChar w:fldCharType="separate"/>
            </w:r>
            <w:r>
              <w:rPr>
                <w:noProof/>
                <w:webHidden/>
              </w:rPr>
              <w:t>65</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923" w:history="1">
            <w:r w:rsidRPr="00C93E44">
              <w:rPr>
                <w:rStyle w:val="Hyperlink"/>
                <w:noProof/>
              </w:rPr>
              <w:t>XIII. Zorgvuldigheids- en evenredigheidsbeginsel</w:t>
            </w:r>
            <w:r>
              <w:rPr>
                <w:noProof/>
                <w:webHidden/>
              </w:rPr>
              <w:tab/>
            </w:r>
            <w:r>
              <w:rPr>
                <w:noProof/>
                <w:webHidden/>
              </w:rPr>
              <w:fldChar w:fldCharType="begin"/>
            </w:r>
            <w:r>
              <w:rPr>
                <w:noProof/>
                <w:webHidden/>
              </w:rPr>
              <w:instrText xml:space="preserve"> PAGEREF _Toc495677923 \h </w:instrText>
            </w:r>
            <w:r>
              <w:rPr>
                <w:noProof/>
                <w:webHidden/>
              </w:rPr>
            </w:r>
            <w:r>
              <w:rPr>
                <w:noProof/>
                <w:webHidden/>
              </w:rPr>
              <w:fldChar w:fldCharType="separate"/>
            </w:r>
            <w:r>
              <w:rPr>
                <w:noProof/>
                <w:webHidden/>
              </w:rPr>
              <w:t>66</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24" w:history="1">
            <w:r w:rsidRPr="00C93E44">
              <w:rPr>
                <w:rStyle w:val="Hyperlink"/>
                <w:noProof/>
              </w:rPr>
              <w:t>A. Heroverwegen en motiveren</w:t>
            </w:r>
            <w:r>
              <w:rPr>
                <w:noProof/>
                <w:webHidden/>
              </w:rPr>
              <w:tab/>
            </w:r>
            <w:r>
              <w:rPr>
                <w:noProof/>
                <w:webHidden/>
              </w:rPr>
              <w:fldChar w:fldCharType="begin"/>
            </w:r>
            <w:r>
              <w:rPr>
                <w:noProof/>
                <w:webHidden/>
              </w:rPr>
              <w:instrText xml:space="preserve"> PAGEREF _Toc495677924 \h </w:instrText>
            </w:r>
            <w:r>
              <w:rPr>
                <w:noProof/>
                <w:webHidden/>
              </w:rPr>
            </w:r>
            <w:r>
              <w:rPr>
                <w:noProof/>
                <w:webHidden/>
              </w:rPr>
              <w:fldChar w:fldCharType="separate"/>
            </w:r>
            <w:r>
              <w:rPr>
                <w:noProof/>
                <w:webHidden/>
              </w:rPr>
              <w:t>67</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25" w:history="1">
            <w:r w:rsidRPr="00C93E44">
              <w:rPr>
                <w:rStyle w:val="Hyperlink"/>
                <w:noProof/>
              </w:rPr>
              <w:t>B. Experimenten en regelluwte</w:t>
            </w:r>
            <w:r>
              <w:rPr>
                <w:noProof/>
                <w:webHidden/>
              </w:rPr>
              <w:tab/>
            </w:r>
            <w:r>
              <w:rPr>
                <w:noProof/>
                <w:webHidden/>
              </w:rPr>
              <w:fldChar w:fldCharType="begin"/>
            </w:r>
            <w:r>
              <w:rPr>
                <w:noProof/>
                <w:webHidden/>
              </w:rPr>
              <w:instrText xml:space="preserve"> PAGEREF _Toc495677925 \h </w:instrText>
            </w:r>
            <w:r>
              <w:rPr>
                <w:noProof/>
                <w:webHidden/>
              </w:rPr>
            </w:r>
            <w:r>
              <w:rPr>
                <w:noProof/>
                <w:webHidden/>
              </w:rPr>
              <w:fldChar w:fldCharType="separate"/>
            </w:r>
            <w:r>
              <w:rPr>
                <w:noProof/>
                <w:webHidden/>
              </w:rPr>
              <w:t>68</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26" w:history="1">
            <w:r w:rsidRPr="00C93E44">
              <w:rPr>
                <w:rStyle w:val="Hyperlink"/>
                <w:noProof/>
              </w:rPr>
              <w:t>C. Belang van consultatie en overleg</w:t>
            </w:r>
            <w:r>
              <w:rPr>
                <w:noProof/>
                <w:webHidden/>
              </w:rPr>
              <w:tab/>
            </w:r>
            <w:r>
              <w:rPr>
                <w:noProof/>
                <w:webHidden/>
              </w:rPr>
              <w:fldChar w:fldCharType="begin"/>
            </w:r>
            <w:r>
              <w:rPr>
                <w:noProof/>
                <w:webHidden/>
              </w:rPr>
              <w:instrText xml:space="preserve"> PAGEREF _Toc495677926 \h </w:instrText>
            </w:r>
            <w:r>
              <w:rPr>
                <w:noProof/>
                <w:webHidden/>
              </w:rPr>
            </w:r>
            <w:r>
              <w:rPr>
                <w:noProof/>
                <w:webHidden/>
              </w:rPr>
              <w:fldChar w:fldCharType="separate"/>
            </w:r>
            <w:r>
              <w:rPr>
                <w:noProof/>
                <w:webHidden/>
              </w:rPr>
              <w:t>68</w:t>
            </w:r>
            <w:r>
              <w:rPr>
                <w:noProof/>
                <w:webHidden/>
              </w:rPr>
              <w:fldChar w:fldCharType="end"/>
            </w:r>
          </w:hyperlink>
        </w:p>
        <w:p w:rsidR="00113337" w:rsidRDefault="00113337">
          <w:pPr>
            <w:pStyle w:val="Inhopg1"/>
            <w:tabs>
              <w:tab w:val="right" w:leader="dot" w:pos="9062"/>
            </w:tabs>
            <w:rPr>
              <w:rFonts w:asciiTheme="minorHAnsi" w:eastAsiaTheme="minorEastAsia" w:hAnsiTheme="minorHAnsi"/>
              <w:noProof/>
              <w:sz w:val="22"/>
              <w:lang w:eastAsia="nl-BE"/>
            </w:rPr>
          </w:pPr>
          <w:hyperlink w:anchor="_Toc495677927" w:history="1">
            <w:r w:rsidRPr="00C93E44">
              <w:rPr>
                <w:rStyle w:val="Hyperlink"/>
                <w:noProof/>
              </w:rPr>
              <w:t>XIV. Wetgevingstechniek</w:t>
            </w:r>
            <w:r>
              <w:rPr>
                <w:noProof/>
                <w:webHidden/>
              </w:rPr>
              <w:tab/>
            </w:r>
            <w:r>
              <w:rPr>
                <w:noProof/>
                <w:webHidden/>
              </w:rPr>
              <w:fldChar w:fldCharType="begin"/>
            </w:r>
            <w:r>
              <w:rPr>
                <w:noProof/>
                <w:webHidden/>
              </w:rPr>
              <w:instrText xml:space="preserve"> PAGEREF _Toc495677927 \h </w:instrText>
            </w:r>
            <w:r>
              <w:rPr>
                <w:noProof/>
                <w:webHidden/>
              </w:rPr>
            </w:r>
            <w:r>
              <w:rPr>
                <w:noProof/>
                <w:webHidden/>
              </w:rPr>
              <w:fldChar w:fldCharType="separate"/>
            </w:r>
            <w:r>
              <w:rPr>
                <w:noProof/>
                <w:webHidden/>
              </w:rPr>
              <w:t>69</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28" w:history="1">
            <w:r w:rsidRPr="00C93E44">
              <w:rPr>
                <w:rStyle w:val="Hyperlink"/>
                <w:noProof/>
              </w:rPr>
              <w:t>A. Een ondergeschikt thema in adviezen</w:t>
            </w:r>
            <w:r>
              <w:rPr>
                <w:noProof/>
                <w:webHidden/>
              </w:rPr>
              <w:tab/>
            </w:r>
            <w:r>
              <w:rPr>
                <w:noProof/>
                <w:webHidden/>
              </w:rPr>
              <w:fldChar w:fldCharType="begin"/>
            </w:r>
            <w:r>
              <w:rPr>
                <w:noProof/>
                <w:webHidden/>
              </w:rPr>
              <w:instrText xml:space="preserve"> PAGEREF _Toc495677928 \h </w:instrText>
            </w:r>
            <w:r>
              <w:rPr>
                <w:noProof/>
                <w:webHidden/>
              </w:rPr>
            </w:r>
            <w:r>
              <w:rPr>
                <w:noProof/>
                <w:webHidden/>
              </w:rPr>
              <w:fldChar w:fldCharType="separate"/>
            </w:r>
            <w:r>
              <w:rPr>
                <w:noProof/>
                <w:webHidden/>
              </w:rPr>
              <w:t>69</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29" w:history="1">
            <w:r w:rsidRPr="00C93E44">
              <w:rPr>
                <w:rStyle w:val="Hyperlink"/>
                <w:noProof/>
              </w:rPr>
              <w:t>B. Coördinaties en bekrachtiging door de wetgever</w:t>
            </w:r>
            <w:r>
              <w:rPr>
                <w:noProof/>
                <w:webHidden/>
              </w:rPr>
              <w:tab/>
            </w:r>
            <w:r>
              <w:rPr>
                <w:noProof/>
                <w:webHidden/>
              </w:rPr>
              <w:fldChar w:fldCharType="begin"/>
            </w:r>
            <w:r>
              <w:rPr>
                <w:noProof/>
                <w:webHidden/>
              </w:rPr>
              <w:instrText xml:space="preserve"> PAGEREF _Toc495677929 \h </w:instrText>
            </w:r>
            <w:r>
              <w:rPr>
                <w:noProof/>
                <w:webHidden/>
              </w:rPr>
            </w:r>
            <w:r>
              <w:rPr>
                <w:noProof/>
                <w:webHidden/>
              </w:rPr>
              <w:fldChar w:fldCharType="separate"/>
            </w:r>
            <w:r>
              <w:rPr>
                <w:noProof/>
                <w:webHidden/>
              </w:rPr>
              <w:t>70</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30" w:history="1">
            <w:r w:rsidRPr="00C93E44">
              <w:rPr>
                <w:rStyle w:val="Hyperlink"/>
                <w:noProof/>
              </w:rPr>
              <w:t>C. Coördinaties en bevoegdheidsverdeling</w:t>
            </w:r>
            <w:r>
              <w:rPr>
                <w:noProof/>
                <w:webHidden/>
              </w:rPr>
              <w:tab/>
            </w:r>
            <w:r>
              <w:rPr>
                <w:noProof/>
                <w:webHidden/>
              </w:rPr>
              <w:fldChar w:fldCharType="begin"/>
            </w:r>
            <w:r>
              <w:rPr>
                <w:noProof/>
                <w:webHidden/>
              </w:rPr>
              <w:instrText xml:space="preserve"> PAGEREF _Toc495677930 \h </w:instrText>
            </w:r>
            <w:r>
              <w:rPr>
                <w:noProof/>
                <w:webHidden/>
              </w:rPr>
            </w:r>
            <w:r>
              <w:rPr>
                <w:noProof/>
                <w:webHidden/>
              </w:rPr>
              <w:fldChar w:fldCharType="separate"/>
            </w:r>
            <w:r>
              <w:rPr>
                <w:noProof/>
                <w:webHidden/>
              </w:rPr>
              <w:t>71</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31" w:history="1">
            <w:r w:rsidRPr="00C93E44">
              <w:rPr>
                <w:rStyle w:val="Hyperlink"/>
                <w:noProof/>
              </w:rPr>
              <w:t>D. Codificatie vs. coördinatie</w:t>
            </w:r>
            <w:r>
              <w:rPr>
                <w:noProof/>
                <w:webHidden/>
              </w:rPr>
              <w:tab/>
            </w:r>
            <w:r>
              <w:rPr>
                <w:noProof/>
                <w:webHidden/>
              </w:rPr>
              <w:fldChar w:fldCharType="begin"/>
            </w:r>
            <w:r>
              <w:rPr>
                <w:noProof/>
                <w:webHidden/>
              </w:rPr>
              <w:instrText xml:space="preserve"> PAGEREF _Toc495677931 \h </w:instrText>
            </w:r>
            <w:r>
              <w:rPr>
                <w:noProof/>
                <w:webHidden/>
              </w:rPr>
            </w:r>
            <w:r>
              <w:rPr>
                <w:noProof/>
                <w:webHidden/>
              </w:rPr>
              <w:fldChar w:fldCharType="separate"/>
            </w:r>
            <w:r>
              <w:rPr>
                <w:noProof/>
                <w:webHidden/>
              </w:rPr>
              <w:t>72</w:t>
            </w:r>
            <w:r>
              <w:rPr>
                <w:noProof/>
                <w:webHidden/>
              </w:rPr>
              <w:fldChar w:fldCharType="end"/>
            </w:r>
          </w:hyperlink>
        </w:p>
        <w:p w:rsidR="00113337" w:rsidRDefault="00113337">
          <w:pPr>
            <w:pStyle w:val="Inhopg2"/>
            <w:tabs>
              <w:tab w:val="right" w:leader="dot" w:pos="9062"/>
            </w:tabs>
            <w:rPr>
              <w:rFonts w:asciiTheme="minorHAnsi" w:eastAsiaTheme="minorEastAsia" w:hAnsiTheme="minorHAnsi"/>
              <w:noProof/>
              <w:sz w:val="22"/>
              <w:lang w:eastAsia="nl-BE"/>
            </w:rPr>
          </w:pPr>
          <w:hyperlink w:anchor="_Toc495677932" w:history="1">
            <w:r w:rsidRPr="00C93E44">
              <w:rPr>
                <w:rStyle w:val="Hyperlink"/>
                <w:noProof/>
              </w:rPr>
              <w:t>E. Een coördinatie of codificatie kijkt enkel naar de toekomst</w:t>
            </w:r>
            <w:r>
              <w:rPr>
                <w:noProof/>
                <w:webHidden/>
              </w:rPr>
              <w:tab/>
            </w:r>
            <w:r>
              <w:rPr>
                <w:noProof/>
                <w:webHidden/>
              </w:rPr>
              <w:fldChar w:fldCharType="begin"/>
            </w:r>
            <w:r>
              <w:rPr>
                <w:noProof/>
                <w:webHidden/>
              </w:rPr>
              <w:instrText xml:space="preserve"> PAGEREF _Toc495677932 \h </w:instrText>
            </w:r>
            <w:r>
              <w:rPr>
                <w:noProof/>
                <w:webHidden/>
              </w:rPr>
            </w:r>
            <w:r>
              <w:rPr>
                <w:noProof/>
                <w:webHidden/>
              </w:rPr>
              <w:fldChar w:fldCharType="separate"/>
            </w:r>
            <w:r>
              <w:rPr>
                <w:noProof/>
                <w:webHidden/>
              </w:rPr>
              <w:t>73</w:t>
            </w:r>
            <w:r>
              <w:rPr>
                <w:noProof/>
                <w:webHidden/>
              </w:rPr>
              <w:fldChar w:fldCharType="end"/>
            </w:r>
          </w:hyperlink>
        </w:p>
        <w:p w:rsidR="007A7C50" w:rsidRDefault="002A7EE6">
          <w:r>
            <w:rPr>
              <w:b/>
              <w:bCs/>
              <w:lang w:val="nl-NL"/>
            </w:rPr>
            <w:fldChar w:fldCharType="end"/>
          </w:r>
        </w:p>
      </w:sdtContent>
    </w:sdt>
    <w:p w:rsidR="00EB6DBE" w:rsidRPr="00DF632C" w:rsidRDefault="00315140" w:rsidP="00315140">
      <w:pPr>
        <w:pStyle w:val="Kop1"/>
      </w:pPr>
      <w:bookmarkStart w:id="0" w:name="_Toc495677856"/>
      <w:r w:rsidRPr="00DF632C">
        <w:t xml:space="preserve">I. </w:t>
      </w:r>
      <w:r w:rsidR="00EB6DBE" w:rsidRPr="00DF632C">
        <w:t>Inleiding</w:t>
      </w:r>
      <w:bookmarkEnd w:id="0"/>
    </w:p>
    <w:p w:rsidR="001D12B7" w:rsidRPr="00DF632C" w:rsidRDefault="001D12B7" w:rsidP="001B6036">
      <w:pPr>
        <w:rPr>
          <w:szCs w:val="24"/>
        </w:rPr>
      </w:pPr>
    </w:p>
    <w:p w:rsidR="00EB6DBE" w:rsidRPr="00DF632C" w:rsidRDefault="001D12B7" w:rsidP="00392C2D">
      <w:pPr>
        <w:rPr>
          <w:szCs w:val="24"/>
        </w:rPr>
      </w:pPr>
      <w:r>
        <w:t>1.</w:t>
      </w:r>
      <w:r w:rsidR="00EB6DBE" w:rsidRPr="00DF632C">
        <w:tab/>
        <w:t xml:space="preserve">Deze bijdrage bevat een selectie van adviezen die de afdeling wetgeving van de Raad van State in 2015 en 2016 heeft gegeven en waarin verschillende problemen in verband met behoorlijke regelgeving ter sprake kwamen. </w:t>
      </w:r>
      <w:r w:rsidR="0046054A">
        <w:t xml:space="preserve">Zelfs een erg strenge selectie van adviezen leverde een groot aantal interessante rechtsvragen op. Om die reden werden sommige </w:t>
      </w:r>
      <w:r w:rsidR="00EB6DBE" w:rsidRPr="00DF632C">
        <w:t>klassieke thema</w:t>
      </w:r>
      <w:r w:rsidR="0049301E" w:rsidRPr="00DF632C">
        <w:t>’</w:t>
      </w:r>
      <w:r w:rsidR="00EB6DBE" w:rsidRPr="00DF632C">
        <w:t xml:space="preserve">s zoals normenhiërarchie, normatieve kracht, uitwerking in de tijd en delegatie van regelgevende bevoegdheid </w:t>
      </w:r>
      <w:r w:rsidR="0046054A">
        <w:t>niet zo uitgebreid uitgewerkt als de frequentie waarmee ze in de</w:t>
      </w:r>
      <w:r w:rsidR="008718C9">
        <w:t xml:space="preserve"> </w:t>
      </w:r>
      <w:r w:rsidR="0046054A">
        <w:t>adviespraktijk aan bod komen en werd meer aandacht besteed aan nieuwe thema’s of aan belangrijke nieuwe precedenten binnen klassieke thema’s.</w:t>
      </w:r>
      <w:r w:rsidR="00EB6DBE" w:rsidRPr="00DF632C">
        <w:rPr>
          <w:rStyle w:val="Voetnootmarkering"/>
          <w:szCs w:val="24"/>
        </w:rPr>
        <w:footnoteReference w:id="1"/>
      </w:r>
      <w:r w:rsidR="00E50FB7">
        <w:t xml:space="preserve"> In deze kroniek wordt bijzondere aandacht besteed aan de vele vragen die rijzen bij het opstellen van wet- en regelgeving in het kader van het EU-recht</w:t>
      </w:r>
      <w:r w:rsidR="005C3B27">
        <w:t xml:space="preserve"> (nrs. 29 e.v.)</w:t>
      </w:r>
      <w:r w:rsidR="00E50FB7">
        <w:t xml:space="preserve">, wat een weerspiegeling is </w:t>
      </w:r>
      <w:r w:rsidR="00F17EDB">
        <w:t xml:space="preserve">van </w:t>
      </w:r>
      <w:r w:rsidR="00E50FB7">
        <w:t xml:space="preserve">het </w:t>
      </w:r>
      <w:r w:rsidR="00701A1B">
        <w:t xml:space="preserve">belang </w:t>
      </w:r>
      <w:r w:rsidR="00F17EDB">
        <w:t>van dit thema in de adviespraktijk van de laatste jaren.</w:t>
      </w:r>
    </w:p>
    <w:p w:rsidR="00EB6DBE" w:rsidRPr="00DF632C" w:rsidRDefault="00EB6DBE" w:rsidP="00392C2D">
      <w:pPr>
        <w:rPr>
          <w:szCs w:val="24"/>
        </w:rPr>
      </w:pPr>
      <w:r w:rsidRPr="00DF632C">
        <w:rPr>
          <w:szCs w:val="24"/>
        </w:rPr>
        <w:t>Omwille van de beperking van de omvang van deze kroniek wordt naar adviezen enkel nog verwezen met het nummer</w:t>
      </w:r>
      <w:r w:rsidR="003D7F70" w:rsidRPr="00DF632C">
        <w:rPr>
          <w:rStyle w:val="Voetnootmarkering"/>
          <w:szCs w:val="24"/>
        </w:rPr>
        <w:footnoteReference w:id="2"/>
      </w:r>
      <w:r w:rsidRPr="00DF632C">
        <w:rPr>
          <w:szCs w:val="24"/>
        </w:rPr>
        <w:t xml:space="preserve"> en de datum en niet langer met het opschrift van de tekst waarop het advies betrekking heeft. </w:t>
      </w:r>
      <w:r w:rsidR="003D7F70" w:rsidRPr="00DF632C">
        <w:rPr>
          <w:szCs w:val="24"/>
        </w:rPr>
        <w:t xml:space="preserve">Via de zoekmogelijkheid op adviesnummer in de databank Reflex </w:t>
      </w:r>
      <w:r w:rsidR="003D7F70" w:rsidRPr="00DF632C">
        <w:rPr>
          <w:szCs w:val="24"/>
        </w:rPr>
        <w:lastRenderedPageBreak/>
        <w:t>kan de belangstellende lezer zelf die tekst terugvinden, tenminste als die tekst uiteindelijk ook doorgang heeft gevonden. Het advies zal nog niet onmiddellijk raadpleegbaar zijn, maar b</w:t>
      </w:r>
      <w:r w:rsidRPr="00DF632C">
        <w:rPr>
          <w:szCs w:val="24"/>
        </w:rPr>
        <w:t>innen afzienbare tijd en uiterlijk op 1 januari 2019 zullen</w:t>
      </w:r>
      <w:r w:rsidR="00C35458" w:rsidRPr="00DF632C">
        <w:rPr>
          <w:szCs w:val="24"/>
        </w:rPr>
        <w:t>, ingevolge de nieuwe openbaarheidsregeling,</w:t>
      </w:r>
      <w:r w:rsidRPr="00DF632C">
        <w:rPr>
          <w:szCs w:val="24"/>
        </w:rPr>
        <w:t xml:space="preserve"> </w:t>
      </w:r>
      <w:r w:rsidR="003D7F70" w:rsidRPr="00DF632C">
        <w:rPr>
          <w:szCs w:val="24"/>
        </w:rPr>
        <w:t xml:space="preserve">ook </w:t>
      </w:r>
      <w:r w:rsidRPr="00DF632C">
        <w:rPr>
          <w:szCs w:val="24"/>
        </w:rPr>
        <w:t xml:space="preserve">alle adviezen </w:t>
      </w:r>
      <w:r w:rsidR="003D7F70" w:rsidRPr="00DF632C">
        <w:rPr>
          <w:szCs w:val="24"/>
        </w:rPr>
        <w:t>beschikbaar zijn</w:t>
      </w:r>
      <w:r w:rsidR="00C35458" w:rsidRPr="00DF632C">
        <w:rPr>
          <w:szCs w:val="24"/>
        </w:rPr>
        <w:t xml:space="preserve"> waarnaar in deze kroniek wordt verwezen</w:t>
      </w:r>
      <w:r w:rsidR="003D7F70" w:rsidRPr="00DF632C">
        <w:rPr>
          <w:szCs w:val="24"/>
        </w:rPr>
        <w:t>.</w:t>
      </w:r>
      <w:r w:rsidR="003D7F70" w:rsidRPr="00DF632C">
        <w:rPr>
          <w:rStyle w:val="Voetnootmarkering"/>
          <w:szCs w:val="24"/>
        </w:rPr>
        <w:footnoteReference w:id="3"/>
      </w:r>
    </w:p>
    <w:p w:rsidR="00EB6DBE" w:rsidRPr="00DF632C" w:rsidRDefault="00EB6DBE" w:rsidP="00392C2D">
      <w:pPr>
        <w:rPr>
          <w:szCs w:val="24"/>
        </w:rPr>
      </w:pPr>
    </w:p>
    <w:p w:rsidR="003D7F70" w:rsidRPr="00DF632C" w:rsidRDefault="001D12B7" w:rsidP="00392C2D">
      <w:pPr>
        <w:rPr>
          <w:szCs w:val="24"/>
        </w:rPr>
      </w:pPr>
      <w:r w:rsidRPr="00113337">
        <w:rPr>
          <w:b/>
          <w:szCs w:val="24"/>
        </w:rPr>
        <w:t>2.</w:t>
      </w:r>
      <w:r w:rsidR="003D7F70" w:rsidRPr="00DF632C">
        <w:rPr>
          <w:szCs w:val="24"/>
        </w:rPr>
        <w:tab/>
      </w:r>
      <w:r w:rsidR="000E07A2" w:rsidRPr="00DF632C">
        <w:rPr>
          <w:szCs w:val="24"/>
        </w:rPr>
        <w:t>Na de verkiezingen van 2014 was er zoals gebruikelijk een zekere terugval in het aantal adviesaanvragen, maar zeker sinds 2016 draait de adviesmolen weer op volle toeren</w:t>
      </w:r>
      <w:r w:rsidR="00D05FEE" w:rsidRPr="00DF632C">
        <w:rPr>
          <w:szCs w:val="24"/>
        </w:rPr>
        <w:t xml:space="preserve"> en is de kritische drempel van 2.000 adviesaanvragen per jaar </w:t>
      </w:r>
      <w:r w:rsidR="00726BC0">
        <w:rPr>
          <w:szCs w:val="24"/>
        </w:rPr>
        <w:t>weer zo goed als bereikt</w:t>
      </w:r>
      <w:r w:rsidR="000E07A2" w:rsidRPr="00DF632C">
        <w:rPr>
          <w:szCs w:val="24"/>
        </w:rPr>
        <w:t>, zoals blijkt uit het volgende overzicht:</w:t>
      </w:r>
    </w:p>
    <w:p w:rsidR="000E07A2" w:rsidRPr="00DF632C" w:rsidRDefault="000E07A2" w:rsidP="00392C2D">
      <w:pPr>
        <w:rPr>
          <w:szCs w:val="24"/>
        </w:rPr>
      </w:pPr>
    </w:p>
    <w:tbl>
      <w:tblPr>
        <w:tblW w:w="88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1740"/>
        <w:gridCol w:w="1710"/>
        <w:gridCol w:w="1510"/>
        <w:gridCol w:w="1183"/>
        <w:gridCol w:w="1701"/>
      </w:tblGrid>
      <w:tr w:rsidR="00EC418B" w:rsidRPr="00DF632C" w:rsidTr="00F24D29">
        <w:trPr>
          <w:trHeight w:val="300"/>
        </w:trPr>
        <w:tc>
          <w:tcPr>
            <w:tcW w:w="960" w:type="dxa"/>
            <w:shd w:val="clear" w:color="auto" w:fill="auto"/>
            <w:noWrap/>
            <w:vAlign w:val="bottom"/>
            <w:hideMark/>
          </w:tcPr>
          <w:p w:rsidR="00EC418B" w:rsidRPr="00DF632C" w:rsidRDefault="00D05FEE"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jaar</w:t>
            </w:r>
          </w:p>
        </w:tc>
        <w:tc>
          <w:tcPr>
            <w:tcW w:w="174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adviesaanvragen</w:t>
            </w:r>
          </w:p>
        </w:tc>
        <w:tc>
          <w:tcPr>
            <w:tcW w:w="171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zonder termijn</w:t>
            </w:r>
          </w:p>
        </w:tc>
        <w:tc>
          <w:tcPr>
            <w:tcW w:w="151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60 dagen</w:t>
            </w:r>
          </w:p>
        </w:tc>
        <w:tc>
          <w:tcPr>
            <w:tcW w:w="1183"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30 dagen</w:t>
            </w:r>
          </w:p>
        </w:tc>
        <w:tc>
          <w:tcPr>
            <w:tcW w:w="1701"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5 werkdagen</w:t>
            </w:r>
          </w:p>
        </w:tc>
      </w:tr>
      <w:tr w:rsidR="00EC418B" w:rsidRPr="00DF632C" w:rsidTr="00F24D29">
        <w:trPr>
          <w:trHeight w:val="300"/>
        </w:trPr>
        <w:tc>
          <w:tcPr>
            <w:tcW w:w="96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2015</w:t>
            </w:r>
          </w:p>
        </w:tc>
        <w:tc>
          <w:tcPr>
            <w:tcW w:w="174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1809</w:t>
            </w:r>
          </w:p>
        </w:tc>
        <w:tc>
          <w:tcPr>
            <w:tcW w:w="171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8</w:t>
            </w:r>
            <w:r w:rsidR="00552C85" w:rsidRPr="00DF632C">
              <w:rPr>
                <w:rFonts w:eastAsia="Times New Roman" w:cs="Times New Roman"/>
                <w:color w:val="000000"/>
                <w:sz w:val="20"/>
                <w:szCs w:val="20"/>
                <w:lang w:eastAsia="nl-BE"/>
              </w:rPr>
              <w:t xml:space="preserve"> (0,4%)</w:t>
            </w:r>
          </w:p>
        </w:tc>
        <w:tc>
          <w:tcPr>
            <w:tcW w:w="151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49</w:t>
            </w:r>
            <w:r w:rsidR="00552C85" w:rsidRPr="00DF632C">
              <w:rPr>
                <w:rFonts w:eastAsia="Times New Roman" w:cs="Times New Roman"/>
                <w:color w:val="000000"/>
                <w:sz w:val="20"/>
                <w:szCs w:val="20"/>
                <w:lang w:eastAsia="nl-BE"/>
              </w:rPr>
              <w:t xml:space="preserve"> (2,7%)</w:t>
            </w:r>
          </w:p>
        </w:tc>
        <w:tc>
          <w:tcPr>
            <w:tcW w:w="1183"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1574</w:t>
            </w:r>
            <w:r w:rsidR="00552C85" w:rsidRPr="00DF632C">
              <w:rPr>
                <w:rFonts w:eastAsia="Times New Roman" w:cs="Times New Roman"/>
                <w:color w:val="000000"/>
                <w:sz w:val="20"/>
                <w:szCs w:val="20"/>
                <w:lang w:eastAsia="nl-BE"/>
              </w:rPr>
              <w:t xml:space="preserve"> (87%) </w:t>
            </w:r>
          </w:p>
        </w:tc>
        <w:tc>
          <w:tcPr>
            <w:tcW w:w="1701"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178</w:t>
            </w:r>
            <w:r w:rsidR="00552C85" w:rsidRPr="00DF632C">
              <w:rPr>
                <w:rFonts w:eastAsia="Times New Roman" w:cs="Times New Roman"/>
                <w:color w:val="000000"/>
                <w:sz w:val="20"/>
                <w:szCs w:val="20"/>
                <w:lang w:eastAsia="nl-BE"/>
              </w:rPr>
              <w:t xml:space="preserve"> (9,8%)</w:t>
            </w:r>
          </w:p>
        </w:tc>
      </w:tr>
      <w:tr w:rsidR="00EC418B" w:rsidRPr="00DF632C" w:rsidTr="00F24D29">
        <w:trPr>
          <w:trHeight w:val="300"/>
        </w:trPr>
        <w:tc>
          <w:tcPr>
            <w:tcW w:w="96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2016</w:t>
            </w:r>
          </w:p>
        </w:tc>
        <w:tc>
          <w:tcPr>
            <w:tcW w:w="174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1998</w:t>
            </w:r>
          </w:p>
        </w:tc>
        <w:tc>
          <w:tcPr>
            <w:tcW w:w="171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10</w:t>
            </w:r>
            <w:r w:rsidR="00552C85" w:rsidRPr="00DF632C">
              <w:rPr>
                <w:rFonts w:eastAsia="Times New Roman" w:cs="Times New Roman"/>
                <w:color w:val="000000"/>
                <w:sz w:val="20"/>
                <w:szCs w:val="20"/>
                <w:lang w:eastAsia="nl-BE"/>
              </w:rPr>
              <w:t xml:space="preserve"> (0,5%)</w:t>
            </w:r>
          </w:p>
        </w:tc>
        <w:tc>
          <w:tcPr>
            <w:tcW w:w="1510"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66</w:t>
            </w:r>
            <w:r w:rsidR="00552C85" w:rsidRPr="00DF632C">
              <w:rPr>
                <w:rFonts w:eastAsia="Times New Roman" w:cs="Times New Roman"/>
                <w:color w:val="000000"/>
                <w:sz w:val="20"/>
                <w:szCs w:val="20"/>
                <w:lang w:eastAsia="nl-BE"/>
              </w:rPr>
              <w:t xml:space="preserve"> (3,3%)</w:t>
            </w:r>
          </w:p>
        </w:tc>
        <w:tc>
          <w:tcPr>
            <w:tcW w:w="1183"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1797</w:t>
            </w:r>
            <w:r w:rsidR="00552C85" w:rsidRPr="00DF632C">
              <w:rPr>
                <w:rFonts w:eastAsia="Times New Roman" w:cs="Times New Roman"/>
                <w:color w:val="000000"/>
                <w:sz w:val="20"/>
                <w:szCs w:val="20"/>
                <w:lang w:eastAsia="nl-BE"/>
              </w:rPr>
              <w:t xml:space="preserve"> (90%)</w:t>
            </w:r>
          </w:p>
        </w:tc>
        <w:tc>
          <w:tcPr>
            <w:tcW w:w="1701" w:type="dxa"/>
            <w:shd w:val="clear" w:color="auto" w:fill="auto"/>
            <w:noWrap/>
            <w:vAlign w:val="bottom"/>
            <w:hideMark/>
          </w:tcPr>
          <w:p w:rsidR="00EC418B" w:rsidRPr="00DF632C" w:rsidRDefault="00EC418B" w:rsidP="00392C2D">
            <w:pPr>
              <w:rPr>
                <w:rFonts w:eastAsia="Times New Roman" w:cs="Times New Roman"/>
                <w:color w:val="000000"/>
                <w:sz w:val="20"/>
                <w:szCs w:val="20"/>
                <w:lang w:eastAsia="nl-BE"/>
              </w:rPr>
            </w:pPr>
            <w:r w:rsidRPr="00DF632C">
              <w:rPr>
                <w:rFonts w:eastAsia="Times New Roman" w:cs="Times New Roman"/>
                <w:color w:val="000000"/>
                <w:sz w:val="20"/>
                <w:szCs w:val="20"/>
                <w:lang w:eastAsia="nl-BE"/>
              </w:rPr>
              <w:t>125</w:t>
            </w:r>
            <w:r w:rsidR="00552C85" w:rsidRPr="00DF632C">
              <w:rPr>
                <w:rFonts w:eastAsia="Times New Roman" w:cs="Times New Roman"/>
                <w:color w:val="000000"/>
                <w:sz w:val="20"/>
                <w:szCs w:val="20"/>
                <w:lang w:eastAsia="nl-BE"/>
              </w:rPr>
              <w:t xml:space="preserve"> (6,3%)</w:t>
            </w:r>
          </w:p>
        </w:tc>
      </w:tr>
    </w:tbl>
    <w:p w:rsidR="000E07A2" w:rsidRPr="00DF632C" w:rsidRDefault="000E07A2" w:rsidP="00392C2D">
      <w:pPr>
        <w:rPr>
          <w:szCs w:val="24"/>
        </w:rPr>
      </w:pPr>
    </w:p>
    <w:p w:rsidR="00EB6DBE" w:rsidRPr="00DF632C" w:rsidRDefault="002E4C11" w:rsidP="00392C2D">
      <w:pPr>
        <w:rPr>
          <w:szCs w:val="24"/>
        </w:rPr>
      </w:pPr>
      <w:r w:rsidRPr="00DF632C">
        <w:rPr>
          <w:szCs w:val="24"/>
        </w:rPr>
        <w:t xml:space="preserve">Bij de huidige wettelijke personeelsbezetting van de afdeling wetgeving (24 auditeurs en 12 staatsraden) </w:t>
      </w:r>
      <w:r w:rsidR="008C1356">
        <w:rPr>
          <w:szCs w:val="24"/>
        </w:rPr>
        <w:t>lijkt</w:t>
      </w:r>
      <w:r w:rsidRPr="00DF632C">
        <w:rPr>
          <w:szCs w:val="24"/>
        </w:rPr>
        <w:t xml:space="preserve"> een zaaklast van meer dan 2</w:t>
      </w:r>
      <w:r w:rsidR="00D05FEE" w:rsidRPr="00DF632C">
        <w:rPr>
          <w:szCs w:val="24"/>
        </w:rPr>
        <w:t>.</w:t>
      </w:r>
      <w:r w:rsidRPr="00DF632C">
        <w:rPr>
          <w:szCs w:val="24"/>
        </w:rPr>
        <w:t xml:space="preserve">000 dossiers structureel problematisch voor het geven van tijdige en kwalitatief voldoende adviezen. </w:t>
      </w:r>
      <w:r w:rsidR="00294FB9">
        <w:rPr>
          <w:szCs w:val="24"/>
        </w:rPr>
        <w:t xml:space="preserve">In toenemende mate moet een beroep worden gedaan op de mogelijkheid die de wet biedt om bij adviesaanvragen over besluiten de adviestermijn te laten verstrijken zonder dat een advies wordt gegeven. </w:t>
      </w:r>
      <w:r w:rsidR="000A2574" w:rsidRPr="00DF632C">
        <w:rPr>
          <w:szCs w:val="24"/>
        </w:rPr>
        <w:t xml:space="preserve">De afdeling wetgeving bevindt zich daarmee meer dan ooit voor een </w:t>
      </w:r>
      <w:r w:rsidR="00294FB9">
        <w:rPr>
          <w:szCs w:val="24"/>
        </w:rPr>
        <w:t>kritiek moment</w:t>
      </w:r>
      <w:r w:rsidR="00294FB9" w:rsidRPr="00DF632C">
        <w:rPr>
          <w:szCs w:val="24"/>
        </w:rPr>
        <w:t xml:space="preserve"> </w:t>
      </w:r>
      <w:r w:rsidR="000A2574" w:rsidRPr="00DF632C">
        <w:rPr>
          <w:szCs w:val="24"/>
        </w:rPr>
        <w:t>in haar adviserende taak ten behoeve van de regeringen en de parlementen.</w:t>
      </w:r>
      <w:r w:rsidR="00ED561E" w:rsidRPr="00DF632C">
        <w:rPr>
          <w:szCs w:val="24"/>
        </w:rPr>
        <w:t xml:space="preserve"> Een hervorming van de afdeling wetgeving die hetzij de zaaklast vermindert (met nadelige gevolgen voor de voorafgaande </w:t>
      </w:r>
      <w:r w:rsidR="00294FB9">
        <w:rPr>
          <w:szCs w:val="24"/>
        </w:rPr>
        <w:t xml:space="preserve">juridische </w:t>
      </w:r>
      <w:r w:rsidR="00ED561E" w:rsidRPr="00DF632C">
        <w:rPr>
          <w:szCs w:val="24"/>
        </w:rPr>
        <w:t xml:space="preserve">controle van regelgeving), hetzij de personeelsbezetting verhoogt (met </w:t>
      </w:r>
      <w:r w:rsidR="00D05FEE" w:rsidRPr="00DF632C">
        <w:rPr>
          <w:szCs w:val="24"/>
        </w:rPr>
        <w:t xml:space="preserve">de </w:t>
      </w:r>
      <w:r w:rsidR="00ED561E" w:rsidRPr="00DF632C">
        <w:rPr>
          <w:szCs w:val="24"/>
        </w:rPr>
        <w:t>budgettaire gevolgen</w:t>
      </w:r>
      <w:r w:rsidR="00D05FEE" w:rsidRPr="00DF632C">
        <w:rPr>
          <w:szCs w:val="24"/>
        </w:rPr>
        <w:t xml:space="preserve"> van dien</w:t>
      </w:r>
      <w:r w:rsidR="00ED561E" w:rsidRPr="00DF632C">
        <w:rPr>
          <w:szCs w:val="24"/>
        </w:rPr>
        <w:t>) is stilaan onafwendbaar aan het worden.</w:t>
      </w:r>
    </w:p>
    <w:p w:rsidR="00EB6DBE" w:rsidRPr="00DF632C" w:rsidRDefault="00EB6DBE" w:rsidP="00392C2D">
      <w:pPr>
        <w:rPr>
          <w:szCs w:val="24"/>
        </w:rPr>
      </w:pPr>
    </w:p>
    <w:p w:rsidR="00EB6DBE" w:rsidRPr="00DF632C" w:rsidRDefault="004F15A2" w:rsidP="00392C2D">
      <w:pPr>
        <w:rPr>
          <w:szCs w:val="24"/>
        </w:rPr>
      </w:pPr>
      <w:r w:rsidRPr="00DF632C">
        <w:rPr>
          <w:szCs w:val="24"/>
        </w:rPr>
        <w:t xml:space="preserve">De lezer moet er zich in elk geval rekenschap van geven dat veel potentiële problemen met betrekking tot behoorlijke regelgeving in de geschetste omstandigheden niet eens aan bod komen in de adviezen van de afdeling wetgeving. Vaak vallen die problemen immers buiten de zogenaamde </w:t>
      </w:r>
      <w:r w:rsidR="0049301E" w:rsidRPr="00DF632C">
        <w:rPr>
          <w:szCs w:val="24"/>
        </w:rPr>
        <w:t>“</w:t>
      </w:r>
      <w:r w:rsidRPr="00DF632C">
        <w:rPr>
          <w:szCs w:val="24"/>
        </w:rPr>
        <w:t>drie punten</w:t>
      </w:r>
      <w:r w:rsidR="0049301E" w:rsidRPr="00DF632C">
        <w:rPr>
          <w:szCs w:val="24"/>
        </w:rPr>
        <w:t>”</w:t>
      </w:r>
      <w:r w:rsidRPr="00DF632C">
        <w:rPr>
          <w:szCs w:val="24"/>
        </w:rPr>
        <w:t>,</w:t>
      </w:r>
      <w:r w:rsidRPr="00DF632C">
        <w:rPr>
          <w:rStyle w:val="Voetnootmarkering"/>
          <w:szCs w:val="24"/>
        </w:rPr>
        <w:footnoteReference w:id="4"/>
      </w:r>
      <w:r w:rsidRPr="00DF632C">
        <w:rPr>
          <w:szCs w:val="24"/>
        </w:rPr>
        <w:t xml:space="preserve"> wat betekent dat ze in een advies op vijf werkdagen van rechtswege niet aan bod kunnen komen en dat ze in een advies op dertig dagen wegens tijdsgebrek niet of nauwelijks ter sprake komen.</w:t>
      </w:r>
    </w:p>
    <w:p w:rsidR="00315140" w:rsidRPr="00DF632C" w:rsidRDefault="00315140" w:rsidP="00315140">
      <w:pPr>
        <w:pStyle w:val="Kop1"/>
      </w:pPr>
      <w:bookmarkStart w:id="1" w:name="_Toc495677857"/>
      <w:r w:rsidRPr="00DF632C">
        <w:t>II. Normenhiërarchie</w:t>
      </w:r>
      <w:bookmarkEnd w:id="1"/>
    </w:p>
    <w:p w:rsidR="00315140" w:rsidRPr="00DF632C" w:rsidRDefault="00315140" w:rsidP="001B6036">
      <w:pPr>
        <w:rPr>
          <w:szCs w:val="24"/>
        </w:rPr>
      </w:pPr>
    </w:p>
    <w:p w:rsidR="00315140" w:rsidRPr="00DF632C" w:rsidRDefault="001D12B7" w:rsidP="005E1247">
      <w:pPr>
        <w:rPr>
          <w:sz w:val="22"/>
          <w:lang w:eastAsia="nl-BE"/>
        </w:rPr>
      </w:pPr>
      <w:r>
        <w:rPr>
          <w:b/>
        </w:rPr>
        <w:t>3.</w:t>
      </w:r>
      <w:r w:rsidR="00315140" w:rsidRPr="00DF632C">
        <w:rPr>
          <w:lang w:eastAsia="nl-BE"/>
        </w:rPr>
        <w:tab/>
      </w:r>
      <w:r w:rsidR="005E1247">
        <w:rPr>
          <w:lang w:eastAsia="nl-BE"/>
        </w:rPr>
        <w:t>In een</w:t>
      </w:r>
      <w:r w:rsidR="00315140" w:rsidRPr="00DF632C">
        <w:rPr>
          <w:lang w:eastAsia="nl-BE"/>
        </w:rPr>
        <w:t xml:space="preserve"> advies </w:t>
      </w:r>
      <w:r w:rsidR="005E1247">
        <w:rPr>
          <w:lang w:eastAsia="nl-BE"/>
        </w:rPr>
        <w:t xml:space="preserve">kwam </w:t>
      </w:r>
      <w:r w:rsidR="00315140" w:rsidRPr="00DF632C">
        <w:rPr>
          <w:lang w:eastAsia="nl-BE"/>
        </w:rPr>
        <w:t>de hiërarchie der normen in het Belgisch arbeidsrecht</w:t>
      </w:r>
      <w:r w:rsidR="005E1247">
        <w:rPr>
          <w:lang w:eastAsia="nl-BE"/>
        </w:rPr>
        <w:t xml:space="preserve"> aan bod</w:t>
      </w:r>
      <w:r w:rsidR="00315140" w:rsidRPr="00DF632C">
        <w:rPr>
          <w:szCs w:val="24"/>
          <w:lang w:eastAsia="nl-BE"/>
        </w:rPr>
        <w:t xml:space="preserve">. </w:t>
      </w:r>
      <w:r w:rsidR="00315140" w:rsidRPr="00DF632C">
        <w:rPr>
          <w:szCs w:val="24"/>
        </w:rPr>
        <w:t xml:space="preserve">In het voorgelegde ontwerp </w:t>
      </w:r>
      <w:r w:rsidR="005E1247">
        <w:rPr>
          <w:szCs w:val="24"/>
        </w:rPr>
        <w:t xml:space="preserve">werd </w:t>
      </w:r>
      <w:r w:rsidR="00315140" w:rsidRPr="00DF632C">
        <w:rPr>
          <w:szCs w:val="24"/>
        </w:rPr>
        <w:t xml:space="preserve">gebruik gemaakt van de rechtsfiguren van de collectieve arbeidsovereenkomst gesloten op ondernemingsvlak en van het arbeidsreglement voor het uitwerken van de concrete toepassingen. Bij ontstentenis van een collectieve arbeidsovereenkomst </w:t>
      </w:r>
      <w:r w:rsidR="005E1247">
        <w:rPr>
          <w:szCs w:val="24"/>
        </w:rPr>
        <w:t xml:space="preserve">zou </w:t>
      </w:r>
      <w:r w:rsidR="00315140" w:rsidRPr="00DF632C">
        <w:rPr>
          <w:szCs w:val="24"/>
        </w:rPr>
        <w:t xml:space="preserve">de betreffende regeling in </w:t>
      </w:r>
      <w:r w:rsidR="005E1247">
        <w:rPr>
          <w:szCs w:val="24"/>
        </w:rPr>
        <w:t>een</w:t>
      </w:r>
      <w:r w:rsidR="00315140" w:rsidRPr="00DF632C">
        <w:rPr>
          <w:szCs w:val="24"/>
        </w:rPr>
        <w:t xml:space="preserve"> arbeidsreglement word</w:t>
      </w:r>
      <w:r w:rsidR="005E1247">
        <w:rPr>
          <w:szCs w:val="24"/>
        </w:rPr>
        <w:t>en</w:t>
      </w:r>
      <w:r w:rsidR="00315140" w:rsidRPr="00DF632C">
        <w:rPr>
          <w:szCs w:val="24"/>
        </w:rPr>
        <w:t xml:space="preserve"> uitgewerkt. De Raad van State </w:t>
      </w:r>
      <w:r w:rsidR="005E1247">
        <w:rPr>
          <w:szCs w:val="24"/>
        </w:rPr>
        <w:t xml:space="preserve">wees er echter op </w:t>
      </w:r>
      <w:r w:rsidR="00315140" w:rsidRPr="00DF632C">
        <w:rPr>
          <w:szCs w:val="24"/>
        </w:rPr>
        <w:t xml:space="preserve">dat die twee rechtsbronnen niet dezelfde rechtswaarde bezitten. Terwijl de collectieve arbeidsovereenkomst buiten een paritair orgaan gesloten, in de hiërarchie van rechtsbronnen, vervat in artikel 51 van de wet van 5 december 1968 </w:t>
      </w:r>
      <w:r w:rsidR="00315140" w:rsidRPr="00DF632C">
        <w:rPr>
          <w:szCs w:val="24"/>
        </w:rPr>
        <w:lastRenderedPageBreak/>
        <w:t>betreffende de collectieve arbeidsovereenkomsten en de paritaire comités voorrang heeft op de geschreven individuele arbeidsovereenkomst, is het arbeidsreglement daaraan ondergeschikt. Dit houdt in dat in beginsel de bepalingen van de geschreven individuele arbeidsovereenkomst primeren op deze van het arbeidsreglement. De stellers van het ontwerp moeten bijgevolg verduidelijken of het arbeidsreglement in de door het ontwerp uitgewerkte regelingen al dan niet zijn gebruikelijke rechtswaarde behoudt</w:t>
      </w:r>
      <w:r w:rsidR="005E1247">
        <w:rPr>
          <w:szCs w:val="24"/>
        </w:rPr>
        <w:t>.</w:t>
      </w:r>
      <w:r w:rsidR="00315140" w:rsidRPr="00DF632C">
        <w:rPr>
          <w:rStyle w:val="Voetnootmarkering"/>
          <w:sz w:val="23"/>
          <w:szCs w:val="23"/>
        </w:rPr>
        <w:footnoteReference w:id="5"/>
      </w:r>
    </w:p>
    <w:p w:rsidR="00315140" w:rsidRPr="00DF632C" w:rsidRDefault="00315140" w:rsidP="00315140">
      <w:pPr>
        <w:pStyle w:val="Kop1"/>
      </w:pPr>
      <w:bookmarkStart w:id="2" w:name="_Toc495677858"/>
      <w:r w:rsidRPr="00DF632C">
        <w:t>III. Normatieve kracht</w:t>
      </w:r>
      <w:bookmarkEnd w:id="2"/>
    </w:p>
    <w:p w:rsidR="00315140" w:rsidRDefault="00315140" w:rsidP="00050E20"/>
    <w:p w:rsidR="00842967" w:rsidRPr="00262AA8" w:rsidRDefault="00705BE8" w:rsidP="00CD53C6">
      <w:pPr>
        <w:pStyle w:val="Kop2"/>
        <w:rPr>
          <w:lang w:val="nl-BE"/>
        </w:rPr>
      </w:pPr>
      <w:bookmarkStart w:id="3" w:name="_Toc495677859"/>
      <w:r w:rsidRPr="00CD53C6">
        <w:rPr>
          <w:lang w:val="nl-BE"/>
        </w:rPr>
        <w:t>A. Alternatieve instrumenten voor regelgeving</w:t>
      </w:r>
      <w:bookmarkEnd w:id="3"/>
    </w:p>
    <w:p w:rsidR="00705BE8" w:rsidRPr="00DF632C" w:rsidRDefault="00705BE8" w:rsidP="00050E20"/>
    <w:p w:rsidR="00315140" w:rsidRPr="00DF632C" w:rsidRDefault="00A4336F" w:rsidP="00050E20">
      <w:r w:rsidRPr="00CD53C6">
        <w:rPr>
          <w:b/>
        </w:rPr>
        <w:t>4.</w:t>
      </w:r>
      <w:r w:rsidR="00050E20" w:rsidRPr="00DF632C">
        <w:tab/>
      </w:r>
      <w:r w:rsidR="00315140" w:rsidRPr="00DF632C">
        <w:t xml:space="preserve">Regelgeving moet worden veruitwendigd in formele rechtsinstrumenten, in het bijzonder </w:t>
      </w:r>
      <w:r w:rsidR="005E1247">
        <w:t xml:space="preserve">in </w:t>
      </w:r>
      <w:r w:rsidR="00315140" w:rsidRPr="00DF632C">
        <w:t xml:space="preserve">wetten, decreten, ordonnanties en besluiten. Toch </w:t>
      </w:r>
      <w:r w:rsidR="00763AE9">
        <w:t>poogt de overheid soms</w:t>
      </w:r>
      <w:r w:rsidR="00315140" w:rsidRPr="00DF632C">
        <w:t xml:space="preserve"> met alternatieve instrumenten normatief op te treden. Die pogingen k</w:t>
      </w:r>
      <w:r w:rsidR="00050E20" w:rsidRPr="00DF632C">
        <w:t xml:space="preserve">unnen zelden op bijval </w:t>
      </w:r>
      <w:r w:rsidR="00763AE9">
        <w:t xml:space="preserve">van de Raad van State </w:t>
      </w:r>
      <w:r w:rsidR="00050E20" w:rsidRPr="00DF632C">
        <w:t>rekenen.</w:t>
      </w:r>
    </w:p>
    <w:p w:rsidR="00050E20" w:rsidRPr="00DF632C" w:rsidRDefault="00050E20" w:rsidP="00050E20"/>
    <w:p w:rsidR="00315140" w:rsidRPr="00DF632C" w:rsidRDefault="00315140" w:rsidP="00050E20">
      <w:r w:rsidRPr="00DF632C">
        <w:t xml:space="preserve">Zo heeft de Raad zich </w:t>
      </w:r>
      <w:r w:rsidR="00763AE9">
        <w:t>kritisch uitgelaten over</w:t>
      </w:r>
      <w:r w:rsidRPr="00DF632C">
        <w:t xml:space="preserve"> het opnemen van normatieve bepalingen in een overeenkomst tussen de </w:t>
      </w:r>
      <w:r w:rsidR="00ED377F">
        <w:t xml:space="preserve">overheid </w:t>
      </w:r>
      <w:r w:rsidRPr="00DF632C">
        <w:t xml:space="preserve">en de uitbaters van de kerncentrales. Daarin werden niet enkel concrete afspraken gemaakt tussen de overheid en de ondernemingen in kwestie, maar werden ook nadere bepalingen </w:t>
      </w:r>
      <w:r w:rsidR="00E41A9A">
        <w:t xml:space="preserve">in </w:t>
      </w:r>
      <w:r w:rsidRPr="00DF632C">
        <w:t xml:space="preserve">opgenomen </w:t>
      </w:r>
      <w:r w:rsidR="00ED377F">
        <w:t xml:space="preserve">over </w:t>
      </w:r>
      <w:r w:rsidRPr="00DF632C">
        <w:t xml:space="preserve">de heffing die de uitbaters zouden betalen om hun centrales langer in bedrijf te houden en </w:t>
      </w:r>
      <w:r w:rsidR="00E41A9A">
        <w:t xml:space="preserve">over </w:t>
      </w:r>
      <w:r w:rsidRPr="00DF632C">
        <w:t xml:space="preserve">de daar tegenover staande vergoedingen indien de centrales alsnog vervroegd zouden moeten sluiten. </w:t>
      </w:r>
      <w:r w:rsidR="00E41A9A">
        <w:t xml:space="preserve">Meer </w:t>
      </w:r>
      <w:r w:rsidRPr="00DF632C">
        <w:t xml:space="preserve">nog, </w:t>
      </w:r>
      <w:r w:rsidR="00E41A9A">
        <w:t>als</w:t>
      </w:r>
      <w:r w:rsidRPr="00DF632C">
        <w:t xml:space="preserve"> bijlage bij het akkoord </w:t>
      </w:r>
      <w:r w:rsidR="00E41A9A">
        <w:t xml:space="preserve">was </w:t>
      </w:r>
      <w:r w:rsidRPr="00DF632C">
        <w:t>ontwerpwetgeving</w:t>
      </w:r>
      <w:r w:rsidR="00E41A9A">
        <w:t xml:space="preserve"> opgenomen</w:t>
      </w:r>
      <w:r w:rsidRPr="00DF632C">
        <w:t xml:space="preserve"> waarbij de </w:t>
      </w:r>
      <w:r w:rsidR="00E41A9A">
        <w:t xml:space="preserve">overheid </w:t>
      </w:r>
      <w:r w:rsidRPr="00DF632C">
        <w:t xml:space="preserve">zich </w:t>
      </w:r>
      <w:r w:rsidR="00E41A9A">
        <w:t>er</w:t>
      </w:r>
      <w:r w:rsidRPr="00DF632C">
        <w:t xml:space="preserve">toe verbond om die wetgeving letterlijk door het parlement te laten aannemen. De Raad stelde principieel </w:t>
      </w:r>
      <w:r w:rsidR="0049301E" w:rsidRPr="00DF632C">
        <w:t>“</w:t>
      </w:r>
      <w:r w:rsidRPr="00DF632C">
        <w:t>dat de normatieve functie niet door middel van overeenkomsten met de betrokkenen kan worden uitgeoefend. Dat zou strijdig zijn met de Grondwet. In zoverre het de bedoeling zou zijn om normen tot stand te brengen, kan dit derhalve niet door middel van een overeenkomst gebeuren.</w:t>
      </w:r>
      <w:r w:rsidR="0049301E" w:rsidRPr="00DF632C">
        <w:t>”</w:t>
      </w:r>
      <w:r w:rsidRPr="00DF632C">
        <w:rPr>
          <w:vertAlign w:val="superscript"/>
        </w:rPr>
        <w:footnoteReference w:id="6"/>
      </w:r>
      <w:r w:rsidRPr="00DF632C">
        <w:t xml:space="preserve"> Ook </w:t>
      </w:r>
      <w:r w:rsidR="00E41A9A">
        <w:t xml:space="preserve">een </w:t>
      </w:r>
      <w:r w:rsidRPr="00DF632C">
        <w:t xml:space="preserve">bekrachtiging achteraf werd </w:t>
      </w:r>
      <w:r w:rsidR="00E41A9A">
        <w:t xml:space="preserve">door de Raad </w:t>
      </w:r>
      <w:r w:rsidRPr="00DF632C">
        <w:t>verworpen. Dat geldt, gelet op het fiscale legaliteitsbeginsel</w:t>
      </w:r>
      <w:r w:rsidR="00E41A9A">
        <w:t>,</w:t>
      </w:r>
      <w:r w:rsidRPr="00DF632C">
        <w:t xml:space="preserve"> </w:t>
      </w:r>
      <w:r w:rsidR="00A4336F" w:rsidRPr="00CD53C6">
        <w:rPr>
          <w:i/>
        </w:rPr>
        <w:t>a fortiori</w:t>
      </w:r>
      <w:r w:rsidRPr="00DF632C">
        <w:t xml:space="preserve"> voor de bepalingen die betrekking hebben op de heffing. In een latere versie van het </w:t>
      </w:r>
      <w:r w:rsidR="00E41A9A">
        <w:t>wets</w:t>
      </w:r>
      <w:r w:rsidRPr="00DF632C">
        <w:t>ontwerp is de wetgever aan die kritiek tegemoet gekomen en werd bepaald dat de overeenkomst enkel betrekking zou hebben op de betalingswijze van de heffing.</w:t>
      </w:r>
      <w:r w:rsidRPr="00DF632C">
        <w:rPr>
          <w:vertAlign w:val="superscript"/>
        </w:rPr>
        <w:footnoteReference w:id="7"/>
      </w:r>
      <w:r w:rsidRPr="00DF632C">
        <w:t xml:space="preserve"> In de praktijk is de overeenkomst echter niet gewijzigd</w:t>
      </w:r>
      <w:r w:rsidR="00E41A9A">
        <w:t>, ook al spreekt het vanzelf</w:t>
      </w:r>
      <w:r w:rsidRPr="00DF632C">
        <w:t xml:space="preserve"> dat de overeenkomst niet tegen de wet kan worden ingeroepen.</w:t>
      </w:r>
    </w:p>
    <w:p w:rsidR="00050E20" w:rsidRPr="00DF632C" w:rsidRDefault="00050E20" w:rsidP="00050E20"/>
    <w:p w:rsidR="00315140" w:rsidRPr="00DF632C" w:rsidRDefault="00315140" w:rsidP="00050E20">
      <w:r w:rsidRPr="00DF632C">
        <w:t xml:space="preserve">Ook andere informele instrumenten </w:t>
      </w:r>
      <w:r w:rsidR="00187B15">
        <w:t xml:space="preserve">als alternatief voor regelgeving </w:t>
      </w:r>
      <w:r w:rsidRPr="00DF632C">
        <w:t xml:space="preserve">zijn de revue gepasseerd. In </w:t>
      </w:r>
      <w:r w:rsidR="00187B15">
        <w:t xml:space="preserve">een </w:t>
      </w:r>
      <w:r w:rsidRPr="00DF632C">
        <w:t xml:space="preserve">advies verzette de Raad zich tegen het uitwerken van een regeling </w:t>
      </w:r>
      <w:r w:rsidR="00A41FED">
        <w:t>in de vorm van een</w:t>
      </w:r>
      <w:r w:rsidR="00A41FED" w:rsidRPr="00DF632C">
        <w:t xml:space="preserve"> omzendbrief van het College van Procureurs-generaal </w:t>
      </w:r>
      <w:r w:rsidR="00A41FED">
        <w:t>met betrekking tot</w:t>
      </w:r>
      <w:r w:rsidR="00A41FED" w:rsidRPr="00DF632C">
        <w:t xml:space="preserve"> </w:t>
      </w:r>
      <w:r w:rsidRPr="00DF632C">
        <w:t xml:space="preserve">de vertaling van bepaalde stukken uit het strafdossier. Die aanpak botste immers zowel op het legaliteitsbeginsel in taalzaken (artikel 30 </w:t>
      </w:r>
      <w:r w:rsidR="00701A1B">
        <w:t>Gw.</w:t>
      </w:r>
      <w:r w:rsidRPr="00DF632C">
        <w:t xml:space="preserve">) en ook </w:t>
      </w:r>
      <w:r w:rsidR="00A41FED">
        <w:t xml:space="preserve">met </w:t>
      </w:r>
      <w:r w:rsidRPr="00DF632C">
        <w:t xml:space="preserve">de eisen </w:t>
      </w:r>
      <w:r w:rsidR="00A41FED">
        <w:t xml:space="preserve">inzake de </w:t>
      </w:r>
      <w:r w:rsidRPr="00DF632C">
        <w:t>correcte omzetting van richtlijnen.</w:t>
      </w:r>
      <w:r w:rsidRPr="00DF632C">
        <w:rPr>
          <w:vertAlign w:val="superscript"/>
        </w:rPr>
        <w:footnoteReference w:id="8"/>
      </w:r>
      <w:r w:rsidRPr="00DF632C">
        <w:t xml:space="preserve"> In het ontworpen artikel 420, § 3, 1°, eerste lid, a), en 2°, eerste lid, a), van de programmawet van 27 december 2004 werd dan weer melding gemaakt van </w:t>
      </w:r>
      <w:r w:rsidR="0049301E" w:rsidRPr="00DF632C">
        <w:t>“</w:t>
      </w:r>
      <w:r w:rsidRPr="00DF632C">
        <w:t xml:space="preserve">het communicatie- en publicatieprotocol zoals vastgesteld (vastgelegd) in gemeenschappelijk </w:t>
      </w:r>
      <w:r w:rsidRPr="00DF632C">
        <w:lastRenderedPageBreak/>
        <w:t>overleg tussen de minister bevoegd voor Financiën, de minister bevoegd voor Justitie, de minister bevoegd voor Economie en de minister bevoegd voor Energie</w:t>
      </w:r>
      <w:r w:rsidR="0049301E" w:rsidRPr="00DF632C">
        <w:t>”</w:t>
      </w:r>
      <w:r w:rsidRPr="00DF632C">
        <w:t xml:space="preserve">. Uit de toelichting bleek dat in het bewuste protocol enkel praktische afspraken tussen de betrokken besturen zullen worden opgenomen. Hier zag de Raad een ander bezwaar: </w:t>
      </w:r>
      <w:r w:rsidR="0049301E" w:rsidRPr="00DF632C">
        <w:t>“</w:t>
      </w:r>
      <w:r w:rsidRPr="00DF632C">
        <w:t>Vermits de bedoelde afspraken louter betrekking hebben op de interne werking van de uitvoerende macht, is het onnodig er in de wet naar te verwijzen en kan het bindende karakter ervan niet bij wet worden opgelegd. Dat zou er immers op neerkomen dat de wetgever zich inlaat met de organisatie en de werking van de bestuursdiensten, hetgeen op grond van artikel 37 van de Grondwet een zaak van de Koning is.</w:t>
      </w:r>
      <w:r w:rsidR="0049301E" w:rsidRPr="00DF632C">
        <w:t>”</w:t>
      </w:r>
      <w:r w:rsidRPr="00DF632C">
        <w:rPr>
          <w:vertAlign w:val="superscript"/>
        </w:rPr>
        <w:footnoteReference w:id="9"/>
      </w:r>
    </w:p>
    <w:p w:rsidR="00315140" w:rsidRDefault="00315140" w:rsidP="00050E20"/>
    <w:p w:rsidR="00705BE8" w:rsidRPr="00CD53C6" w:rsidRDefault="00705BE8" w:rsidP="00705BE8">
      <w:pPr>
        <w:pStyle w:val="Kop2"/>
        <w:rPr>
          <w:lang w:val="nl-BE"/>
        </w:rPr>
      </w:pPr>
      <w:bookmarkStart w:id="4" w:name="_Toc495677860"/>
      <w:r w:rsidRPr="00CD53C6">
        <w:rPr>
          <w:lang w:val="nl-BE"/>
        </w:rPr>
        <w:t>B. Programmatorische bepalingen</w:t>
      </w:r>
      <w:bookmarkEnd w:id="4"/>
    </w:p>
    <w:p w:rsidR="00705BE8" w:rsidRPr="00DF632C" w:rsidRDefault="00705BE8" w:rsidP="00050E20"/>
    <w:p w:rsidR="00315140" w:rsidRPr="00DF632C" w:rsidRDefault="00705BE8" w:rsidP="00050E20">
      <w:r>
        <w:rPr>
          <w:b/>
        </w:rPr>
        <w:t>5.</w:t>
      </w:r>
      <w:r>
        <w:tab/>
      </w:r>
      <w:r w:rsidR="00315140" w:rsidRPr="00DF632C">
        <w:t xml:space="preserve">Ten slotte kan ook worden gewezen op de opmars van programmatorische inleidende bepalingen, waarin in algemene termen het doel van de wetgeving wordt uiteengezet. Hoewel die aanpak spoort met heel wat internationale rechtsinstrumenten, blijft in België </w:t>
      </w:r>
      <w:r w:rsidR="005175A1">
        <w:t>nog steeds het uitgangspunt</w:t>
      </w:r>
      <w:r w:rsidR="00315140" w:rsidRPr="00DF632C">
        <w:t xml:space="preserve"> dat dergelijke informatie enkel in de toelichting mag worden opgenomen</w:t>
      </w:r>
      <w:r w:rsidR="00315140" w:rsidRPr="00DF632C">
        <w:rPr>
          <w:vertAlign w:val="superscript"/>
        </w:rPr>
        <w:footnoteReference w:id="10"/>
      </w:r>
      <w:r w:rsidR="00315140" w:rsidRPr="00DF632C">
        <w:t>, al lijk</w:t>
      </w:r>
      <w:r w:rsidR="005175A1">
        <w:t>en verschillende overheden dit uitgangspun</w:t>
      </w:r>
      <w:r w:rsidR="00315140" w:rsidRPr="00DF632C">
        <w:t xml:space="preserve">t </w:t>
      </w:r>
      <w:r w:rsidR="005175A1">
        <w:t xml:space="preserve">ondertussen </w:t>
      </w:r>
      <w:r w:rsidR="00315140" w:rsidRPr="00DF632C">
        <w:t>te hebben opgegeven.</w:t>
      </w:r>
      <w:r w:rsidR="00315140" w:rsidRPr="00DF632C">
        <w:rPr>
          <w:vertAlign w:val="superscript"/>
        </w:rPr>
        <w:footnoteReference w:id="11"/>
      </w:r>
      <w:r w:rsidR="005175A1">
        <w:t xml:space="preserve"> </w:t>
      </w:r>
      <w:r w:rsidR="00F44C09">
        <w:t xml:space="preserve">Ook al </w:t>
      </w:r>
      <w:r w:rsidR="005175A1">
        <w:t xml:space="preserve">valt </w:t>
      </w:r>
      <w:r w:rsidR="00F44C09">
        <w:t xml:space="preserve">er </w:t>
      </w:r>
      <w:r w:rsidR="005175A1">
        <w:t xml:space="preserve">iets voor te zeggen om op een beknopte manier de doelstelling van een regeling in het dispositief </w:t>
      </w:r>
      <w:r w:rsidR="00F44C09">
        <w:t>te schetsen ten behoeve van de lezer, zodat hij weet in welk licht hij de betrokken regeling moet lezen, toch weegt dit niet op tegen de onzekerheid over de precieze rechtskracht van programmatorische bepalingen.</w:t>
      </w:r>
    </w:p>
    <w:p w:rsidR="00315140" w:rsidRPr="00DF632C" w:rsidRDefault="00315140" w:rsidP="00315140">
      <w:pPr>
        <w:pStyle w:val="Kop1"/>
      </w:pPr>
      <w:bookmarkStart w:id="5" w:name="_Toc495677861"/>
      <w:r w:rsidRPr="00DF632C">
        <w:t xml:space="preserve">IV. </w:t>
      </w:r>
      <w:r w:rsidR="00D236EC">
        <w:t>Internationaal recht</w:t>
      </w:r>
      <w:bookmarkEnd w:id="5"/>
    </w:p>
    <w:p w:rsidR="00315140" w:rsidRPr="00DF632C" w:rsidRDefault="00315140" w:rsidP="00315140"/>
    <w:p w:rsidR="00315140" w:rsidRPr="00CD53C6" w:rsidRDefault="00A4336F" w:rsidP="00315140">
      <w:pPr>
        <w:pStyle w:val="Kop2"/>
        <w:rPr>
          <w:lang w:val="nl-BE"/>
        </w:rPr>
      </w:pPr>
      <w:bookmarkStart w:id="6" w:name="_Toc495677862"/>
      <w:r w:rsidRPr="00CD53C6">
        <w:rPr>
          <w:lang w:val="nl-BE"/>
        </w:rPr>
        <w:t xml:space="preserve">A. Toetsing </w:t>
      </w:r>
      <w:r w:rsidR="00AC6A3A">
        <w:rPr>
          <w:lang w:val="nl-BE"/>
        </w:rPr>
        <w:t xml:space="preserve">van de </w:t>
      </w:r>
      <w:r w:rsidRPr="00CD53C6">
        <w:rPr>
          <w:lang w:val="nl-BE"/>
        </w:rPr>
        <w:t>ontwerptekst aan internationaal recht</w:t>
      </w:r>
      <w:bookmarkEnd w:id="6"/>
    </w:p>
    <w:p w:rsidR="00315140" w:rsidRPr="00DF632C" w:rsidRDefault="00315140" w:rsidP="00315140">
      <w:pPr>
        <w:rPr>
          <w:rFonts w:cs="Times New Roman"/>
        </w:rPr>
      </w:pPr>
    </w:p>
    <w:p w:rsidR="00315140" w:rsidRPr="00DF632C" w:rsidRDefault="00A4336F" w:rsidP="00050E20">
      <w:r w:rsidRPr="00CD53C6">
        <w:rPr>
          <w:b/>
        </w:rPr>
        <w:t>6.</w:t>
      </w:r>
      <w:r w:rsidR="00A23885">
        <w:t xml:space="preserve"> </w:t>
      </w:r>
      <w:r w:rsidR="00A23885">
        <w:tab/>
        <w:t xml:space="preserve">In essentie toetst de Raad van State de overeenstemming van de aan hem voorgelegde ontwerptekst op zijn overeenstemming met de hogere rechtsnormen en op zijn inpasbaarheid in het bestaande rechtskader. </w:t>
      </w:r>
      <w:r w:rsidR="00DC04F4">
        <w:t xml:space="preserve">Dit betreft ook </w:t>
      </w:r>
      <w:r w:rsidR="00A23885">
        <w:t xml:space="preserve">de overeenstemming van de ontwerpteksten </w:t>
      </w:r>
      <w:r w:rsidR="00DC04F4">
        <w:t>met</w:t>
      </w:r>
      <w:r w:rsidR="00A23885">
        <w:t xml:space="preserve"> diverse internationale rechtsnormen. De Raad van State beperkt zich hierbij niet tot de overeenstemming met b</w:t>
      </w:r>
      <w:r w:rsidR="00DC04F4">
        <w:t>ijvoorbeeld</w:t>
      </w:r>
      <w:r w:rsidR="00A23885">
        <w:t xml:space="preserve"> mensenrechtenverdragen</w:t>
      </w:r>
      <w:r w:rsidR="00315140" w:rsidRPr="00DF632C">
        <w:rPr>
          <w:rStyle w:val="Voetnootmarkering"/>
          <w:rFonts w:cs="Times New Roman"/>
        </w:rPr>
        <w:footnoteReference w:id="12"/>
      </w:r>
      <w:r w:rsidR="00315140" w:rsidRPr="00DF632C">
        <w:t xml:space="preserve"> </w:t>
      </w:r>
      <w:r w:rsidR="00DC04F4">
        <w:t>en</w:t>
      </w:r>
      <w:r w:rsidR="00315140" w:rsidRPr="00DF632C">
        <w:t xml:space="preserve"> gaat ook de </w:t>
      </w:r>
      <w:r w:rsidR="00315140" w:rsidRPr="00DF632C">
        <w:lastRenderedPageBreak/>
        <w:t>overeenstemming na met andere verdragen,</w:t>
      </w:r>
      <w:r w:rsidR="00315140" w:rsidRPr="00DF632C">
        <w:rPr>
          <w:rStyle w:val="Voetnootmarkering"/>
          <w:rFonts w:cs="Times New Roman"/>
        </w:rPr>
        <w:footnoteReference w:id="13"/>
      </w:r>
      <w:r w:rsidR="00315140" w:rsidRPr="00DF632C">
        <w:t xml:space="preserve"> met regels van afgeleid recht</w:t>
      </w:r>
      <w:r w:rsidR="00315140" w:rsidRPr="00DF632C">
        <w:rPr>
          <w:rStyle w:val="Voetnootmarkering"/>
          <w:rFonts w:cs="Times New Roman"/>
        </w:rPr>
        <w:footnoteReference w:id="14"/>
      </w:r>
      <w:r w:rsidR="00315140" w:rsidRPr="00DF632C">
        <w:t xml:space="preserve"> en met regels van internationaal gewoonterecht.</w:t>
      </w:r>
      <w:r w:rsidR="00315140" w:rsidRPr="00DF632C">
        <w:rPr>
          <w:rStyle w:val="Voetnootmarkering"/>
          <w:rFonts w:cs="Times New Roman"/>
        </w:rPr>
        <w:footnoteReference w:id="15"/>
      </w:r>
    </w:p>
    <w:p w:rsidR="00315140" w:rsidRPr="00DF632C" w:rsidRDefault="00315140" w:rsidP="00050E20">
      <w:pPr>
        <w:rPr>
          <w:rFonts w:cs="Times New Roman"/>
        </w:rPr>
      </w:pPr>
    </w:p>
    <w:p w:rsidR="00315140" w:rsidRPr="00DF632C" w:rsidRDefault="00A4336F" w:rsidP="00050E20">
      <w:r w:rsidRPr="00CD53C6">
        <w:rPr>
          <w:b/>
        </w:rPr>
        <w:t>7.</w:t>
      </w:r>
      <w:r w:rsidR="00A23885">
        <w:tab/>
        <w:t xml:space="preserve">Het nagaan van de overeenstemming van de hem voorgelegde ontwerpteksten met het </w:t>
      </w:r>
      <w:r w:rsidR="00B72A89">
        <w:t>EU-</w:t>
      </w:r>
      <w:r w:rsidR="00A23885">
        <w:t xml:space="preserve">recht neemt een bijzondere plaats in. </w:t>
      </w:r>
      <w:r w:rsidR="00233F56">
        <w:t>Bij de toetsing aan</w:t>
      </w:r>
      <w:r w:rsidR="00A23885">
        <w:t xml:space="preserve"> </w:t>
      </w:r>
      <w:r w:rsidR="00B72A89">
        <w:t>EU-</w:t>
      </w:r>
      <w:r w:rsidR="00A23885">
        <w:t xml:space="preserve">recht </w:t>
      </w:r>
      <w:r w:rsidR="00233F56">
        <w:t xml:space="preserve">zal de Raad van State </w:t>
      </w:r>
      <w:r w:rsidR="00A23885">
        <w:t xml:space="preserve">de adviesaanvrager in geval van twijfel </w:t>
      </w:r>
      <w:r w:rsidR="006C304C">
        <w:t xml:space="preserve">vaak </w:t>
      </w:r>
      <w:r w:rsidR="00A23885">
        <w:t xml:space="preserve">aanraden om hieromtrent contact op te nemen met de Europese Commissie </w:t>
      </w:r>
      <w:r w:rsidR="006C304C">
        <w:t xml:space="preserve">om haar standpunt ter zake te vernemen </w:t>
      </w:r>
      <w:r w:rsidR="00A23885">
        <w:t>(nr</w:t>
      </w:r>
      <w:r w:rsidR="008150E3">
        <w:t>s</w:t>
      </w:r>
      <w:r w:rsidR="00A23885">
        <w:t xml:space="preserve">. </w:t>
      </w:r>
      <w:r w:rsidRPr="00700204">
        <w:rPr>
          <w:highlight w:val="yellow"/>
        </w:rPr>
        <w:t xml:space="preserve">29, 44, </w:t>
      </w:r>
      <w:r w:rsidR="000B3A65" w:rsidRPr="00262AA8">
        <w:rPr>
          <w:highlight w:val="yellow"/>
        </w:rPr>
        <w:t>51 en 55</w:t>
      </w:r>
      <w:r w:rsidR="00A23885">
        <w:t>).</w:t>
      </w:r>
      <w:r w:rsidR="00315140" w:rsidRPr="00DF632C">
        <w:rPr>
          <w:rStyle w:val="Voetnootmarkering"/>
          <w:rFonts w:cs="Times New Roman"/>
        </w:rPr>
        <w:footnoteReference w:id="16"/>
      </w:r>
      <w:r w:rsidR="00315140" w:rsidRPr="00EA54DB">
        <w:t xml:space="preserve"> </w:t>
      </w:r>
      <w:r w:rsidR="000F5514">
        <w:t xml:space="preserve">De toetsing aan </w:t>
      </w:r>
      <w:r w:rsidR="00B72A89">
        <w:t>EU-</w:t>
      </w:r>
      <w:r w:rsidR="000F5514">
        <w:t xml:space="preserve">recht kan overigens ook worden gedaan </w:t>
      </w:r>
      <w:r w:rsidR="00701A1B">
        <w:t xml:space="preserve">voor rechtsregels die niet uitgaan </w:t>
      </w:r>
      <w:r w:rsidR="004D2C3C">
        <w:t>van Belgische overheden</w:t>
      </w:r>
      <w:r w:rsidR="00315140" w:rsidRPr="00DF632C">
        <w:t>. Zo zal de Raad nagaan of een door België gesloten verdrag niet tot de exclusieve bevoegdheid van de EU behoort</w:t>
      </w:r>
      <w:r w:rsidR="00315140" w:rsidRPr="00DF632C">
        <w:rPr>
          <w:rStyle w:val="Voetnootmarkering"/>
          <w:rFonts w:cs="Times New Roman"/>
        </w:rPr>
        <w:footnoteReference w:id="17"/>
      </w:r>
      <w:r w:rsidR="00315140" w:rsidRPr="00DF632C">
        <w:t xml:space="preserve"> en of de verdragsregels geen </w:t>
      </w:r>
      <w:r w:rsidR="0094614F" w:rsidRPr="00DF632C">
        <w:t>aan</w:t>
      </w:r>
      <w:r w:rsidR="0094614F">
        <w:t>leiding</w:t>
      </w:r>
      <w:r w:rsidR="0094614F" w:rsidRPr="00DF632C">
        <w:t xml:space="preserve"> </w:t>
      </w:r>
      <w:r w:rsidR="00315140" w:rsidRPr="00DF632C">
        <w:t>geven tot een schending van het EU-recht.</w:t>
      </w:r>
      <w:r w:rsidR="00315140" w:rsidRPr="00DF632C">
        <w:rPr>
          <w:rStyle w:val="Voetnootmarkering"/>
          <w:rFonts w:cs="Times New Roman"/>
        </w:rPr>
        <w:footnoteReference w:id="18"/>
      </w:r>
    </w:p>
    <w:p w:rsidR="00315140" w:rsidRPr="00CD53C6" w:rsidRDefault="00A4336F" w:rsidP="00315140">
      <w:pPr>
        <w:pStyle w:val="Kop2"/>
        <w:rPr>
          <w:lang w:val="nl-BE"/>
        </w:rPr>
      </w:pPr>
      <w:bookmarkStart w:id="7" w:name="_Toc495677863"/>
      <w:r w:rsidRPr="00CD53C6">
        <w:rPr>
          <w:lang w:val="nl-BE"/>
        </w:rPr>
        <w:t xml:space="preserve">B. Toetsing van afgeleid internationaal recht </w:t>
      </w:r>
      <w:r w:rsidR="00AC6A3A">
        <w:rPr>
          <w:lang w:val="nl-BE"/>
        </w:rPr>
        <w:t>aan</w:t>
      </w:r>
      <w:r w:rsidRPr="00CD53C6">
        <w:rPr>
          <w:lang w:val="nl-BE"/>
        </w:rPr>
        <w:t xml:space="preserve"> grondrechten</w:t>
      </w:r>
      <w:bookmarkEnd w:id="7"/>
    </w:p>
    <w:p w:rsidR="00315140" w:rsidRPr="00DF632C" w:rsidRDefault="00315140" w:rsidP="00050E20"/>
    <w:p w:rsidR="00315140" w:rsidRPr="00DF632C" w:rsidRDefault="00A4336F" w:rsidP="00050E20">
      <w:r w:rsidRPr="00CD53C6">
        <w:rPr>
          <w:b/>
        </w:rPr>
        <w:t>8.</w:t>
      </w:r>
      <w:r w:rsidR="00A23885">
        <w:t xml:space="preserve"> </w:t>
      </w:r>
      <w:r w:rsidR="00A23885">
        <w:tab/>
        <w:t xml:space="preserve">In eerdere </w:t>
      </w:r>
      <w:r w:rsidR="000F5514">
        <w:t>k</w:t>
      </w:r>
      <w:r w:rsidR="00A23885">
        <w:t xml:space="preserve">ronieken </w:t>
      </w:r>
      <w:r w:rsidR="007373BF">
        <w:t>werd er</w:t>
      </w:r>
      <w:r w:rsidR="00A23885">
        <w:t xml:space="preserve"> al op gewezen dat wanneer een ontwerp van instemming</w:t>
      </w:r>
      <w:r w:rsidR="007373BF">
        <w:t>s</w:t>
      </w:r>
      <w:r w:rsidR="00A23885">
        <w:t>akte met een verdrag aan de Raad van State wordt voorgelegd, hij nagaa</w:t>
      </w:r>
      <w:r w:rsidR="007373BF">
        <w:t>t</w:t>
      </w:r>
      <w:r w:rsidR="00A23885">
        <w:t xml:space="preserve"> of de verdragsbepalingen wel verenigbaar zijn met de Grondwet. Zo niet, zullen beide normen eerst met elkaar in overeenstemming moeten worden gebracht (bv. door het formuleren van een voorbehoud bij een multilateraal verdrag of door een wijziging van de Grondwet) vooraleer met het verdrag instemming kan worden verleend.</w:t>
      </w:r>
      <w:r w:rsidR="00315140" w:rsidRPr="00DF632C">
        <w:rPr>
          <w:rStyle w:val="Voetnootmarkering"/>
          <w:rFonts w:cs="Times New Roman"/>
        </w:rPr>
        <w:footnoteReference w:id="19"/>
      </w:r>
      <w:r w:rsidR="00315140" w:rsidRPr="00DF632C">
        <w:t xml:space="preserve"> De Raad van State vervult hiermee zijn taak van preventieve rechtmatigheidstoetsing door de inpasbaarheid na te gaan van de nieuwe</w:t>
      </w:r>
      <w:r w:rsidR="00A23885">
        <w:t xml:space="preserve"> norm in het bestaande rechtskader.</w:t>
      </w:r>
    </w:p>
    <w:p w:rsidR="00315140" w:rsidRPr="00DF632C" w:rsidRDefault="00315140" w:rsidP="00050E20"/>
    <w:p w:rsidR="00315140" w:rsidRPr="00DF632C" w:rsidRDefault="00A23885" w:rsidP="00050E20">
      <w:r>
        <w:t>Voor de regels van afgeleid internationaal recht hanteert de Raad van State een andere toetsingskader. Op het ogenblik van de overdracht van bevoegdheden aan een internationale organisatie, zal de Raad nagaan of deze overdracht in overeenstemming is met artikel 34 van de Grondwet (</w:t>
      </w:r>
      <w:r w:rsidR="007373BF">
        <w:t>namelijk of</w:t>
      </w:r>
      <w:r>
        <w:t xml:space="preserve"> de bevoegdheden voldoende </w:t>
      </w:r>
      <w:r w:rsidR="007373BF">
        <w:t xml:space="preserve">zijn </w:t>
      </w:r>
      <w:r>
        <w:t xml:space="preserve">bepaald), en met de andere </w:t>
      </w:r>
      <w:r w:rsidR="004475FD">
        <w:t>grondwets</w:t>
      </w:r>
      <w:r>
        <w:t>bepalingen die betrekking hebben op de uitoefening van bevoegdheden (</w:t>
      </w:r>
      <w:r w:rsidR="003A5140">
        <w:t xml:space="preserve">aangezien de uitoefening van de betrokken bevoegdheid </w:t>
      </w:r>
      <w:r>
        <w:t xml:space="preserve">voortaan </w:t>
      </w:r>
      <w:r w:rsidR="003A5140">
        <w:t xml:space="preserve">zal </w:t>
      </w:r>
      <w:r>
        <w:t xml:space="preserve">worden geregeld door het basisverdrag waarbij de </w:t>
      </w:r>
      <w:r w:rsidR="003A5140">
        <w:t xml:space="preserve">betrokken </w:t>
      </w:r>
      <w:r>
        <w:t xml:space="preserve">internationale organisatie werd opgericht). </w:t>
      </w:r>
      <w:r w:rsidR="003A5140">
        <w:t xml:space="preserve">Wanneer de adviesaanvraag </w:t>
      </w:r>
      <w:r w:rsidR="00983C4E">
        <w:t xml:space="preserve">evenwel </w:t>
      </w:r>
      <w:r w:rsidR="003A5140">
        <w:t>betrekking heeft op</w:t>
      </w:r>
      <w:r>
        <w:t xml:space="preserve"> een op basis hiervan aangenomen regel van afgeleid recht, dan zal de Raad opmerken dat de Belgische Grondwet niet kan worden </w:t>
      </w:r>
      <w:r>
        <w:lastRenderedPageBreak/>
        <w:t xml:space="preserve">tegengeworpen aan de internationale organisatie. Al voegt de Raad van State hier traditioneel </w:t>
      </w:r>
      <w:r w:rsidR="00C43E5F">
        <w:t>–</w:t>
      </w:r>
      <w:r>
        <w:t xml:space="preserve"> maar nogal enigmatisch </w:t>
      </w:r>
      <w:r w:rsidR="00C43E5F">
        <w:t>–</w:t>
      </w:r>
      <w:r>
        <w:t xml:space="preserve"> aan toe: “in beginsel althans”.</w:t>
      </w:r>
      <w:r w:rsidR="00315140" w:rsidRPr="00DF632C">
        <w:rPr>
          <w:rStyle w:val="Voetnootmarkering"/>
          <w:rFonts w:cs="Times New Roman"/>
        </w:rPr>
        <w:footnoteReference w:id="20"/>
      </w:r>
    </w:p>
    <w:p w:rsidR="00315140" w:rsidRPr="00DF632C" w:rsidRDefault="00315140" w:rsidP="00050E20"/>
    <w:p w:rsidR="00315140" w:rsidRPr="00DF632C" w:rsidRDefault="00A23885" w:rsidP="00050E20">
      <w:r>
        <w:t>In de besproken periode heeft de Raad van State verdere duiding gegeven over de draagwijdte van dit</w:t>
      </w:r>
      <w:r w:rsidR="00331231">
        <w:t xml:space="preserve"> laatste</w:t>
      </w:r>
      <w:r>
        <w:t xml:space="preserve"> voorbehoud. Het liet zich hiervoor in belangrijke mate inspireren door Europese rechtspraak</w:t>
      </w:r>
      <w:r w:rsidR="00AC6A3A">
        <w:t>, zoals blijkt uit wat volgt</w:t>
      </w:r>
      <w:r>
        <w:t>.</w:t>
      </w:r>
    </w:p>
    <w:p w:rsidR="00315140" w:rsidRPr="00DF632C" w:rsidRDefault="00315140" w:rsidP="00050E20"/>
    <w:p w:rsidR="00315140" w:rsidRPr="00DF632C" w:rsidRDefault="00A4336F" w:rsidP="00050E20">
      <w:r w:rsidRPr="00CD53C6">
        <w:rPr>
          <w:b/>
        </w:rPr>
        <w:t>9.</w:t>
      </w:r>
      <w:r w:rsidR="00A23885">
        <w:t xml:space="preserve"> </w:t>
      </w:r>
      <w:r w:rsidR="00A23885">
        <w:tab/>
        <w:t>In een advies over een voorontwerp van instemmingswet met het Protocol tot wijziging van het Verdrag van 31 maart 1965 betreffende de instellingen en het statuut van het Benelux-Gerechtshof, gedaan te Luxemburg op 15 oktober 2012</w:t>
      </w:r>
      <w:r w:rsidR="005F4DF3">
        <w:t>,</w:t>
      </w:r>
      <w:r w:rsidR="00A23885">
        <w:t xml:space="preserve"> stelde de Raad van State </w:t>
      </w:r>
      <w:r w:rsidR="00EA55C4">
        <w:t xml:space="preserve">enerzijds </w:t>
      </w:r>
      <w:r w:rsidR="00A23885">
        <w:t xml:space="preserve">vast dat verschillende essentiële elementen, waaronder de rechtspleging voor het Benelux-Gerechtshof niet in het verdrag worden geregeld, maar dat de regeling ervan wordt overgelaten aan het reglement op de procesvoering of het reglement van orde van het Benelux-Gerechtshof. Anderzijds merkte </w:t>
      </w:r>
      <w:r w:rsidR="00EA55C4">
        <w:t xml:space="preserve">de Raad </w:t>
      </w:r>
      <w:r w:rsidR="00A23885">
        <w:t xml:space="preserve">op dat sommige bepalingen van het protocol vragen doen rijzen naar hun overeenstemming met het recht op behoorlijke rechtsbedeling, maar dat bij gebrek aan kennis over de volledige regeling hierover geen uitsluitsel kan worden gegeven. </w:t>
      </w:r>
    </w:p>
    <w:p w:rsidR="00315140" w:rsidRPr="00DF632C" w:rsidRDefault="00315140" w:rsidP="00050E20"/>
    <w:p w:rsidR="00315140" w:rsidRPr="00DF632C" w:rsidRDefault="00A23885" w:rsidP="00F3557F">
      <w:r>
        <w:t xml:space="preserve">De Raad oordeelde dat “de delegatie die hieruit voortvloeit, </w:t>
      </w:r>
      <w:r w:rsidR="004E1E35">
        <w:t>[…]</w:t>
      </w:r>
      <w:r>
        <w:t xml:space="preserve"> aanvaardbaar </w:t>
      </w:r>
      <w:r w:rsidR="004E1E35">
        <w:t xml:space="preserve">[is] </w:t>
      </w:r>
      <w:r>
        <w:t xml:space="preserve">in het licht van artikel 34 van de Grondwet indien er bij het opstellen van de regels van afgeleid recht op wordt toegezien dat deze beantwoorden aan de Europese rechtswaarborgen”, </w:t>
      </w:r>
      <w:r w:rsidR="004E1E35">
        <w:t xml:space="preserve">met verwijzing </w:t>
      </w:r>
      <w:r>
        <w:t xml:space="preserve">naar het </w:t>
      </w:r>
      <w:r>
        <w:rPr>
          <w:i/>
        </w:rPr>
        <w:t>Liivimaa Lihaveis</w:t>
      </w:r>
      <w:r>
        <w:t>-</w:t>
      </w:r>
      <w:r w:rsidR="004E1E35">
        <w:t xml:space="preserve"> </w:t>
      </w:r>
      <w:r>
        <w:t xml:space="preserve">en </w:t>
      </w:r>
      <w:r w:rsidR="004E1E35">
        <w:t xml:space="preserve">het </w:t>
      </w:r>
      <w:r>
        <w:rPr>
          <w:i/>
        </w:rPr>
        <w:t>Kadi</w:t>
      </w:r>
      <w:r>
        <w:t xml:space="preserve">-arrest van het Hof van Justitie en het </w:t>
      </w:r>
      <w:r>
        <w:rPr>
          <w:i/>
        </w:rPr>
        <w:t>Bosphorus</w:t>
      </w:r>
      <w:r>
        <w:t>-arrest van het Europees Hof voor de Rechten van de Mens.</w:t>
      </w:r>
      <w:r w:rsidR="00315140" w:rsidRPr="00DF632C">
        <w:rPr>
          <w:rStyle w:val="Voetnootmarkering"/>
          <w:rFonts w:cs="Times New Roman"/>
        </w:rPr>
        <w:footnoteReference w:id="21"/>
      </w:r>
      <w:r w:rsidR="00315140" w:rsidRPr="00DF632C">
        <w:rPr>
          <w:vertAlign w:val="superscript"/>
        </w:rPr>
        <w:t>-</w:t>
      </w:r>
      <w:r w:rsidR="00315140" w:rsidRPr="00DF632C">
        <w:rPr>
          <w:rStyle w:val="Voetnootmarkering"/>
          <w:rFonts w:cs="Times New Roman"/>
        </w:rPr>
        <w:footnoteReference w:id="22"/>
      </w:r>
      <w:r w:rsidR="00315140" w:rsidRPr="00DF632C">
        <w:t xml:space="preserve"> In deze arresten wordt enerzijds het belang van de internationale samenwerking erkend, maar wordt anderzijds erop gewezen dat dit niet zonder meer vrijstelling verleent </w:t>
      </w:r>
      <w:r w:rsidR="005F4DF3">
        <w:t xml:space="preserve">van de verplichting </w:t>
      </w:r>
      <w:r w:rsidR="00315140" w:rsidRPr="00DF632C">
        <w:t xml:space="preserve">om de </w:t>
      </w:r>
      <w:r>
        <w:t>overeenstemming na te gaan van (uitvoeringshandelingen van) afgeleid internationaal recht</w:t>
      </w:r>
      <w:r w:rsidR="00331231" w:rsidRPr="00331231">
        <w:t xml:space="preserve"> </w:t>
      </w:r>
      <w:r w:rsidR="00331231">
        <w:t>met de grondrechten</w:t>
      </w:r>
      <w:r>
        <w:t xml:space="preserve">. De Raad van State </w:t>
      </w:r>
      <w:r w:rsidR="00F3557F">
        <w:t xml:space="preserve">liet daarmee blijken </w:t>
      </w:r>
      <w:r>
        <w:t xml:space="preserve">dat </w:t>
      </w:r>
      <w:r w:rsidR="00F3557F">
        <w:t>hij</w:t>
      </w:r>
      <w:r>
        <w:t xml:space="preserve"> overeenkomstig deze Europese rechtspraak bereid is om de omzettingsmaatregelen van regels van afgeleid internationaal recht </w:t>
      </w:r>
      <w:r w:rsidR="00331231">
        <w:t xml:space="preserve">te </w:t>
      </w:r>
      <w:r>
        <w:t xml:space="preserve">toetsen aan Europese grondrechten. </w:t>
      </w:r>
      <w:r w:rsidR="00F3557F">
        <w:t xml:space="preserve">Na deze </w:t>
      </w:r>
      <w:r>
        <w:t xml:space="preserve">waarschuwing </w:t>
      </w:r>
      <w:r w:rsidR="00F3557F">
        <w:t xml:space="preserve">kon </w:t>
      </w:r>
      <w:r>
        <w:t xml:space="preserve">de Raad van State </w:t>
      </w:r>
      <w:r w:rsidR="00F3557F">
        <w:t xml:space="preserve">in het concrete geval vaststellen </w:t>
      </w:r>
      <w:r>
        <w:t>dat het opdragen van machten voldoende was bepaald om in overeenstemming te zijn met artikel 34 van de Grondwet.</w:t>
      </w:r>
      <w:r w:rsidR="00315140" w:rsidRPr="00DF632C">
        <w:rPr>
          <w:rStyle w:val="Voetnootmarkering"/>
          <w:rFonts w:cs="Times New Roman"/>
        </w:rPr>
        <w:footnoteReference w:id="23"/>
      </w:r>
    </w:p>
    <w:p w:rsidR="00315140" w:rsidRPr="00DF632C" w:rsidRDefault="00315140" w:rsidP="00050E20"/>
    <w:p w:rsidR="00315140" w:rsidRPr="00DF632C" w:rsidRDefault="001D12B7" w:rsidP="00050E20">
      <w:r w:rsidRPr="00CD53C6">
        <w:rPr>
          <w:b/>
        </w:rPr>
        <w:t>10</w:t>
      </w:r>
      <w:r w:rsidR="00A23885" w:rsidRPr="00CD53C6">
        <w:rPr>
          <w:b/>
        </w:rPr>
        <w:t>.</w:t>
      </w:r>
      <w:r w:rsidR="00A23885">
        <w:tab/>
        <w:t xml:space="preserve"> In een </w:t>
      </w:r>
      <w:r w:rsidR="00F3557F">
        <w:t xml:space="preserve">ander </w:t>
      </w:r>
      <w:r w:rsidR="00A23885">
        <w:t xml:space="preserve">advies ging de Raad van State op die ingeslagen weg verder. </w:t>
      </w:r>
      <w:r w:rsidR="00E85CCF">
        <w:t xml:space="preserve">Met </w:t>
      </w:r>
      <w:r w:rsidR="00A23885">
        <w:t xml:space="preserve">een voorontwerp van wet ‘tot versterking van de strijd tegen het terrorisme’ </w:t>
      </w:r>
      <w:r w:rsidR="00E85CCF">
        <w:t xml:space="preserve">werd beoogd </w:t>
      </w:r>
      <w:r w:rsidR="00A23885">
        <w:t xml:space="preserve">te voldoen aan de verplichtingen die VN-Veiligheidsraadresolutie 2178 (2014) aan België oplegt. De algemene vergadering </w:t>
      </w:r>
      <w:r w:rsidR="00E85CCF">
        <w:t xml:space="preserve">van de Raad van State </w:t>
      </w:r>
      <w:r w:rsidR="00A23885">
        <w:t>merkte evenwel</w:t>
      </w:r>
      <w:r w:rsidR="00E85CCF">
        <w:t xml:space="preserve"> met verwijzing naar de voormelde Europese rechtspraak (</w:t>
      </w:r>
      <w:r w:rsidR="00E85CCF" w:rsidRPr="00CD53C6">
        <w:rPr>
          <w:highlight w:val="yellow"/>
        </w:rPr>
        <w:t>nr. 9</w:t>
      </w:r>
      <w:r w:rsidR="00E85CCF">
        <w:t>)</w:t>
      </w:r>
      <w:r w:rsidR="00A23885">
        <w:t xml:space="preserve"> op dat </w:t>
      </w:r>
      <w:r w:rsidR="00E85CCF">
        <w:t xml:space="preserve">die verplichting tot uitvoering </w:t>
      </w:r>
      <w:r w:rsidR="00A23885">
        <w:t xml:space="preserve">de staten niet vrijstelt van de verplichting </w:t>
      </w:r>
      <w:r w:rsidR="00331231">
        <w:t xml:space="preserve">om </w:t>
      </w:r>
      <w:r w:rsidR="00A23885">
        <w:t xml:space="preserve">de verbintenissen na te leven die ze zijn aangegaan inzake de </w:t>
      </w:r>
      <w:r w:rsidR="00A23885">
        <w:lastRenderedPageBreak/>
        <w:t xml:space="preserve">bescherming van de fundamentele rechten. In </w:t>
      </w:r>
      <w:r w:rsidR="004B594C">
        <w:t xml:space="preserve">het </w:t>
      </w:r>
      <w:r w:rsidR="00A23885">
        <w:t xml:space="preserve">daaropvolgende </w:t>
      </w:r>
      <w:r w:rsidR="004B594C">
        <w:t>onderzoek</w:t>
      </w:r>
      <w:r w:rsidR="00A23885">
        <w:t xml:space="preserve"> van het wetsontwerp gaf de Raad van State een ruime invulling aan de term fundamentele rechten door zowel </w:t>
      </w:r>
      <w:r w:rsidR="004B594C">
        <w:t xml:space="preserve">aan </w:t>
      </w:r>
      <w:r w:rsidR="00A23885">
        <w:t>Europese mensenrechten als aan interne grondrechten en aan het grondwettelijk legaliteitsbeginsel</w:t>
      </w:r>
      <w:r w:rsidR="004B594C">
        <w:t xml:space="preserve"> te toetsen</w:t>
      </w:r>
      <w:r w:rsidR="00A23885">
        <w:t>.</w:t>
      </w:r>
      <w:r w:rsidR="00331231">
        <w:rPr>
          <w:rStyle w:val="Voetnootmarkering"/>
        </w:rPr>
        <w:footnoteReference w:id="24"/>
      </w:r>
      <w:r w:rsidR="00A23885">
        <w:t xml:space="preserve"> </w:t>
      </w:r>
    </w:p>
    <w:p w:rsidR="00315140" w:rsidRPr="00DF632C" w:rsidRDefault="00315140" w:rsidP="00050E20"/>
    <w:p w:rsidR="00315140" w:rsidRPr="00CD53C6" w:rsidRDefault="00A4336F" w:rsidP="00315140">
      <w:pPr>
        <w:pStyle w:val="Kop2"/>
        <w:rPr>
          <w:lang w:val="nl-BE"/>
        </w:rPr>
      </w:pPr>
      <w:bookmarkStart w:id="8" w:name="_Toc495677864"/>
      <w:r w:rsidRPr="00CD53C6">
        <w:rPr>
          <w:lang w:val="nl-BE"/>
        </w:rPr>
        <w:t>C. Grenzen</w:t>
      </w:r>
      <w:bookmarkEnd w:id="8"/>
    </w:p>
    <w:p w:rsidR="00315140" w:rsidRPr="00DF632C" w:rsidRDefault="00315140" w:rsidP="00050E20"/>
    <w:p w:rsidR="00315140" w:rsidRPr="00DF632C" w:rsidRDefault="001D12B7" w:rsidP="00050E20">
      <w:r w:rsidRPr="00CD53C6">
        <w:rPr>
          <w:b/>
        </w:rPr>
        <w:t>11</w:t>
      </w:r>
      <w:r w:rsidR="00A23885" w:rsidRPr="00CD53C6">
        <w:rPr>
          <w:b/>
        </w:rPr>
        <w:t>.</w:t>
      </w:r>
      <w:r w:rsidR="00A23885">
        <w:t xml:space="preserve"> </w:t>
      </w:r>
      <w:r w:rsidR="00A23885">
        <w:tab/>
        <w:t xml:space="preserve">Wie dacht dat het juridische kader voor de </w:t>
      </w:r>
      <w:r w:rsidR="00A23885" w:rsidRPr="00CD53C6">
        <w:t>grenzen</w:t>
      </w:r>
      <w:r w:rsidR="00A23885">
        <w:t xml:space="preserve"> van de Belgische Staat een aangelegenheid </w:t>
      </w:r>
      <w:r w:rsidR="00331231">
        <w:t>is</w:t>
      </w:r>
      <w:r w:rsidR="00A23885">
        <w:t xml:space="preserve"> met nog weinig actualiteitswaarde, kwam in de besproken periode bedrogen uit. De Raad van State </w:t>
      </w:r>
      <w:r w:rsidR="008670CF">
        <w:t xml:space="preserve">onderzocht </w:t>
      </w:r>
      <w:r w:rsidR="00A23885">
        <w:t>zowel het juridische kader voor de instemming met grensverdragen (</w:t>
      </w:r>
      <w:r w:rsidR="008670CF" w:rsidRPr="00CD53C6">
        <w:rPr>
          <w:highlight w:val="yellow"/>
        </w:rPr>
        <w:t>nr. 12</w:t>
      </w:r>
      <w:r w:rsidR="00A23885">
        <w:t>) als de zeewaartse afbakening van het grondgebied (</w:t>
      </w:r>
      <w:r w:rsidR="008670CF" w:rsidRPr="00CD53C6">
        <w:rPr>
          <w:highlight w:val="yellow"/>
        </w:rPr>
        <w:t>nr. 13</w:t>
      </w:r>
      <w:r w:rsidR="00A23885">
        <w:t>).</w:t>
      </w:r>
      <w:r w:rsidR="00315140" w:rsidRPr="00DF632C">
        <w:rPr>
          <w:rStyle w:val="Voetnootmarkering"/>
          <w:rFonts w:cs="Times New Roman"/>
        </w:rPr>
        <w:footnoteReference w:id="25"/>
      </w:r>
    </w:p>
    <w:p w:rsidR="00315140" w:rsidRPr="00DF632C" w:rsidRDefault="00315140" w:rsidP="00050E20"/>
    <w:p w:rsidR="00315140" w:rsidRPr="00DF632C" w:rsidRDefault="001D12B7" w:rsidP="00050E20">
      <w:r w:rsidRPr="00CD53C6">
        <w:rPr>
          <w:b/>
        </w:rPr>
        <w:t>12</w:t>
      </w:r>
      <w:r w:rsidR="00A23885" w:rsidRPr="00CD53C6">
        <w:rPr>
          <w:b/>
        </w:rPr>
        <w:t>.</w:t>
      </w:r>
      <w:r w:rsidR="00A23885">
        <w:t xml:space="preserve"> </w:t>
      </w:r>
      <w:r w:rsidR="00A23885">
        <w:tab/>
      </w:r>
      <w:r w:rsidR="0083082B">
        <w:t>Naar aanleiding van een adviesaanvraag</w:t>
      </w:r>
      <w:r w:rsidR="00A23885">
        <w:t xml:space="preserve"> over de instemming</w:t>
      </w:r>
      <w:r w:rsidR="0083082B">
        <w:t>sakte</w:t>
      </w:r>
      <w:r w:rsidR="00A23885">
        <w:t xml:space="preserve"> met een akkoord met het Verenigd Koninkrijk inzake de afbakening van de Exclusief Economische Zone (EEZ)</w:t>
      </w:r>
      <w:r w:rsidR="0083082B">
        <w:t xml:space="preserve"> boog d</w:t>
      </w:r>
      <w:r w:rsidR="00A23885">
        <w:t xml:space="preserve">e Raad van State </w:t>
      </w:r>
      <w:r w:rsidR="0083082B">
        <w:t xml:space="preserve">zich over </w:t>
      </w:r>
      <w:r w:rsidR="00A23885">
        <w:t>het juridisch kader inzake grensverdragen.</w:t>
      </w:r>
    </w:p>
    <w:p w:rsidR="00315140" w:rsidRPr="00DF632C" w:rsidRDefault="00315140" w:rsidP="00050E20"/>
    <w:p w:rsidR="00315140" w:rsidRPr="00DF632C" w:rsidRDefault="004B66ED" w:rsidP="00050E20">
      <w:r>
        <w:t>A</w:t>
      </w:r>
      <w:r w:rsidR="00A23885">
        <w:t xml:space="preserve">rtikel 167, § 1, lid 3, </w:t>
      </w:r>
      <w:r w:rsidR="00701A1B">
        <w:t>Gw.</w:t>
      </w:r>
      <w:r w:rsidR="00A23885">
        <w:t xml:space="preserve"> </w:t>
      </w:r>
      <w:r>
        <w:t xml:space="preserve">schrijft ter zake voor </w:t>
      </w:r>
      <w:r w:rsidR="00A23885">
        <w:t>dat “</w:t>
      </w:r>
      <w:r w:rsidR="00A23885">
        <w:rPr>
          <w:i/>
          <w:iCs/>
        </w:rPr>
        <w:t>geen afstand, geen ruil, geen toevoeging van grondgebied kan plaatshebben dan krachtens een wet</w:t>
      </w:r>
      <w:r w:rsidR="00A23885">
        <w:t xml:space="preserve">”, </w:t>
      </w:r>
      <w:r>
        <w:t xml:space="preserve">hetgeen </w:t>
      </w:r>
      <w:r w:rsidR="00A23885">
        <w:t xml:space="preserve">in feite niet meer </w:t>
      </w:r>
      <w:r>
        <w:t xml:space="preserve">is </w:t>
      </w:r>
      <w:r w:rsidR="00A23885">
        <w:t>dan een herhaling van artikel 7 luidens hetwelk “</w:t>
      </w:r>
      <w:r w:rsidR="00A23885">
        <w:rPr>
          <w:i/>
          <w:iCs/>
        </w:rPr>
        <w:t>[de] grenzen van de Staat, van de provincies en van de gemeenten [niet kunnen] worden gewijzigd of gecorrigeerd dan krachtens een wet”</w:t>
      </w:r>
      <w:r w:rsidR="00A23885">
        <w:t xml:space="preserve">. </w:t>
      </w:r>
      <w:r w:rsidR="00827B22">
        <w:t xml:space="preserve">Ook na </w:t>
      </w:r>
      <w:r w:rsidR="00A23885">
        <w:t xml:space="preserve">de veralgemening van de </w:t>
      </w:r>
      <w:r w:rsidR="00827B22">
        <w:t xml:space="preserve">verplichte </w:t>
      </w:r>
      <w:r w:rsidR="00A23885">
        <w:t xml:space="preserve">parlementaire instemming met </w:t>
      </w:r>
      <w:r w:rsidR="00A23885" w:rsidRPr="00CD53C6">
        <w:rPr>
          <w:iCs/>
        </w:rPr>
        <w:t>alle</w:t>
      </w:r>
      <w:r w:rsidR="00A23885">
        <w:rPr>
          <w:i/>
          <w:iCs/>
        </w:rPr>
        <w:t xml:space="preserve"> </w:t>
      </w:r>
      <w:r w:rsidR="00A23885">
        <w:t>verdragen in 1993</w:t>
      </w:r>
      <w:r w:rsidR="00827B22">
        <w:t xml:space="preserve"> impliceren deze grondwetsbepalingen</w:t>
      </w:r>
      <w:r w:rsidR="00A23885">
        <w:t xml:space="preserve"> nog steeds een versterking van de parlementaire controle: het </w:t>
      </w:r>
      <w:r w:rsidR="00A4336F" w:rsidRPr="00CD53C6">
        <w:rPr>
          <w:i/>
        </w:rPr>
        <w:t>sluiten</w:t>
      </w:r>
      <w:r w:rsidR="00A23885">
        <w:t xml:space="preserve"> van een grensverdrag vereist een </w:t>
      </w:r>
      <w:r w:rsidR="00A23885">
        <w:rPr>
          <w:i/>
          <w:iCs/>
        </w:rPr>
        <w:t xml:space="preserve">voorafgaande </w:t>
      </w:r>
      <w:r w:rsidR="00A23885">
        <w:t>machtiging van de wetgever</w:t>
      </w:r>
      <w:r w:rsidR="00331231">
        <w:t xml:space="preserve"> (zie ook </w:t>
      </w:r>
      <w:r w:rsidR="00A4336F" w:rsidRPr="00CD53C6">
        <w:rPr>
          <w:highlight w:val="yellow"/>
        </w:rPr>
        <w:t>nr. 14</w:t>
      </w:r>
      <w:r w:rsidR="00331231">
        <w:t>)</w:t>
      </w:r>
      <w:r w:rsidR="00A23885">
        <w:t>,</w:t>
      </w:r>
      <w:r w:rsidR="00315140" w:rsidRPr="00DF632C">
        <w:rPr>
          <w:rStyle w:val="Voetnootmarkering"/>
          <w:rFonts w:cs="Times New Roman"/>
        </w:rPr>
        <w:footnoteReference w:id="26"/>
      </w:r>
      <w:r w:rsidR="00315140" w:rsidRPr="00DF632C">
        <w:t xml:space="preserve"> </w:t>
      </w:r>
      <w:r w:rsidR="00E279CE">
        <w:t xml:space="preserve">zodat </w:t>
      </w:r>
      <w:r w:rsidR="00315140" w:rsidRPr="00DF632C">
        <w:t>grensverdragen nie</w:t>
      </w:r>
      <w:r w:rsidR="00A23885">
        <w:t xml:space="preserve">t het voorwerp </w:t>
      </w:r>
      <w:r w:rsidR="00E279CE">
        <w:t xml:space="preserve">kunnen </w:t>
      </w:r>
      <w:r w:rsidR="00A23885">
        <w:t xml:space="preserve">uitmaken van een </w:t>
      </w:r>
      <w:r w:rsidR="00331231">
        <w:t>anticipatieve</w:t>
      </w:r>
      <w:r w:rsidR="00A23885">
        <w:t xml:space="preserve"> parlementaire instemming</w:t>
      </w:r>
      <w:r w:rsidR="00315140" w:rsidRPr="00DF632C">
        <w:t xml:space="preserve">. </w:t>
      </w:r>
    </w:p>
    <w:p w:rsidR="00315140" w:rsidRPr="00DF632C" w:rsidRDefault="00315140" w:rsidP="00050E20"/>
    <w:p w:rsidR="00315140" w:rsidRPr="00DF632C" w:rsidRDefault="00A23885" w:rsidP="00050E20">
      <w:r>
        <w:t>De Raad van State verduidelijkt</w:t>
      </w:r>
      <w:r w:rsidR="00E279CE">
        <w:t>e</w:t>
      </w:r>
      <w:r>
        <w:t xml:space="preserve"> dat artikel 7 </w:t>
      </w:r>
      <w:r w:rsidR="00701A1B">
        <w:t>Gw.</w:t>
      </w:r>
      <w:r>
        <w:t xml:space="preserve"> van toepassing is op elke verrichting tot afbakening van de ruimte waarvoor de prerogatieven van het gezag van de Belgische Staat gelden, ongeacht of het een gebied te land, in de lucht of ter zee </w:t>
      </w:r>
      <w:r w:rsidR="00E17E84">
        <w:t>is</w:t>
      </w:r>
      <w:r>
        <w:t xml:space="preserve">, en zowel voor de ruimte waarover de Belgische Staat al die prerogatieven uitoefent als voor de ruimten waarvoor hij slechts een aantal van die prerogatieven uitoefent, zoals </w:t>
      </w:r>
      <w:r w:rsidR="007137C3">
        <w:t xml:space="preserve">bijvoorbeeld </w:t>
      </w:r>
      <w:r>
        <w:t>het continentaal plat en de exclusieve economische zone</w:t>
      </w:r>
      <w:r w:rsidR="003C0959">
        <w:t xml:space="preserve"> (EEZ)</w:t>
      </w:r>
      <w:r>
        <w:t>.</w:t>
      </w:r>
    </w:p>
    <w:p w:rsidR="00315140" w:rsidRPr="00DF632C" w:rsidRDefault="00315140" w:rsidP="00050E20"/>
    <w:p w:rsidR="00315140" w:rsidRPr="00DF632C" w:rsidRDefault="00A23885" w:rsidP="00050E20">
      <w:r>
        <w:t xml:space="preserve">Aangezien artikel 7 </w:t>
      </w:r>
      <w:r w:rsidR="00701A1B">
        <w:t>Gw.</w:t>
      </w:r>
      <w:r>
        <w:t xml:space="preserve"> van 1831 dateert, bevat het op zich enkel een legaliteitsbeginsel (een wetgever) en geen bevoegdheidsverdelend criterium (de federale wetgever). De wetten waarbij instemming wordt verleend met verdragen die ertoe strekken het Belgisch continentale plat of de Belgische exclusieve economische zone in de Noordzee af te bakenen vallen volgens de Raad van State niettemin onder de bevoegdheid van de federale overheid aangezien geen enkele </w:t>
      </w:r>
      <w:r w:rsidR="003538FB">
        <w:t>grondwet- of bijzonderewets</w:t>
      </w:r>
      <w:r>
        <w:t xml:space="preserve">bepaling aan de gewesten of de gemeenschappen de bevoegdheid heeft verleend om over te gaan tot of mee te werken aan </w:t>
      </w:r>
      <w:r>
        <w:lastRenderedPageBreak/>
        <w:t>verrichtingen houdende externe afbakening (anders dan bepaalde prerogatieven inzake interne afbakening zoals “het wijzigen of corrigeren van de grenzen van de provincies, van de bovengemeentelijke besturen en van de gemeenten”).</w:t>
      </w:r>
      <w:r w:rsidR="00E17E84">
        <w:rPr>
          <w:rStyle w:val="Voetnootmarkering"/>
        </w:rPr>
        <w:footnoteReference w:id="27"/>
      </w:r>
      <w:r>
        <w:t xml:space="preserve"> Een dergelijke wet moet </w:t>
      </w:r>
      <w:r w:rsidR="003538FB">
        <w:t xml:space="preserve">overeenkomstig </w:t>
      </w:r>
      <w:r>
        <w:t xml:space="preserve">artikel 78, § 1, eerste lid, 2°, </w:t>
      </w:r>
      <w:r w:rsidR="00701A1B">
        <w:t>Gw.</w:t>
      </w:r>
      <w:r>
        <w:t xml:space="preserve"> wel volgens de optioneel bicamerale procedure tot stand komen. </w:t>
      </w:r>
      <w:r w:rsidR="001849C6">
        <w:t>Een</w:t>
      </w:r>
      <w:r>
        <w:t xml:space="preserve"> voorontwerp van wet tot instemming moet </w:t>
      </w:r>
      <w:r w:rsidR="001849C6">
        <w:t xml:space="preserve">bijgevolg </w:t>
      </w:r>
      <w:r>
        <w:t>worden ingediend in de Kamer</w:t>
      </w:r>
      <w:r w:rsidR="003538FB">
        <w:t xml:space="preserve"> van volksvertegenwoordigers</w:t>
      </w:r>
      <w:r>
        <w:t>,</w:t>
      </w:r>
      <w:r w:rsidR="000C4982">
        <w:t xml:space="preserve"> en</w:t>
      </w:r>
      <w:r>
        <w:t xml:space="preserve"> vervolgens worden overgezonden naar de Senaat, die kan beslissen het wetsontwerp aan een nader onderzoek te onderwerpen.</w:t>
      </w:r>
      <w:r w:rsidR="00315140" w:rsidRPr="00DF632C">
        <w:rPr>
          <w:rStyle w:val="Voetnootmarkering"/>
          <w:rFonts w:cs="Times New Roman"/>
        </w:rPr>
        <w:footnoteReference w:id="28"/>
      </w:r>
      <w:r w:rsidR="00315140" w:rsidRPr="00DF632C">
        <w:t xml:space="preserve"> Dit lijkt een detail, maar </w:t>
      </w:r>
      <w:r w:rsidR="003C0959">
        <w:t xml:space="preserve">het </w:t>
      </w:r>
      <w:r w:rsidR="00315140" w:rsidRPr="00DF632C">
        <w:t>is niet zonder belang. De afbakening van de grens heeft immers een directe impact op de omvang en de draagwijdte van de bevoegdheden van de deelstaten.</w:t>
      </w:r>
      <w:r w:rsidR="00315140" w:rsidRPr="00DF632C">
        <w:rPr>
          <w:rStyle w:val="Voetnootmarkering"/>
          <w:rFonts w:cs="Times New Roman"/>
        </w:rPr>
        <w:footnoteReference w:id="29"/>
      </w:r>
      <w:r w:rsidR="00315140" w:rsidRPr="00DF632C">
        <w:t xml:space="preserve"> De Senaat beschikt dan ook over de mogelijkheid om tussen </w:t>
      </w:r>
      <w:r w:rsidR="001849C6">
        <w:t xml:space="preserve">te komen </w:t>
      </w:r>
      <w:r w:rsidR="00315140" w:rsidRPr="00DF632C">
        <w:t xml:space="preserve">in zijn hoedanigheid van deelstatenkamer. </w:t>
      </w:r>
    </w:p>
    <w:p w:rsidR="00315140" w:rsidRPr="00DF632C" w:rsidRDefault="00315140" w:rsidP="00050E20"/>
    <w:p w:rsidR="00315140" w:rsidRPr="00DF632C" w:rsidRDefault="001D12B7" w:rsidP="00050E20">
      <w:r w:rsidRPr="00CD53C6">
        <w:rPr>
          <w:b/>
        </w:rPr>
        <w:t>13</w:t>
      </w:r>
      <w:r w:rsidR="00A23885" w:rsidRPr="00CD53C6">
        <w:rPr>
          <w:b/>
        </w:rPr>
        <w:t>.</w:t>
      </w:r>
      <w:r w:rsidR="00A23885">
        <w:tab/>
        <w:t>De vraag rijst overigens of bij het opstellen van het Akkoord wel rekening werd gehouden met het feit dat de basislijn — die het vertrekpunt vormt voor het bepalen van de EEZ</w:t>
      </w:r>
      <w:r w:rsidR="001849C6">
        <w:rPr>
          <w:rStyle w:val="Voetnootmarkering"/>
        </w:rPr>
        <w:footnoteReference w:id="30"/>
      </w:r>
      <w:r w:rsidR="00A23885">
        <w:t xml:space="preserve"> — sedert de vorige overeenkomst met het VK een wijziging heeft ondergaan, en hierbij zeewaarts verschoven is. </w:t>
      </w:r>
    </w:p>
    <w:p w:rsidR="00315140" w:rsidRPr="00DF632C" w:rsidRDefault="00315140" w:rsidP="00050E20"/>
    <w:p w:rsidR="00315140" w:rsidRPr="00DF632C" w:rsidRDefault="00A23885" w:rsidP="00050E20">
      <w:r>
        <w:t xml:space="preserve">Naar aanleiding van een definitie van het begrip “Vlaamse strandzone” in een ontwerp van besluit van de Vlaamse Regering houdende een verbod op het gebruik van warrelnetten en kieuwnetten in de Vlaamse strandzone ter bescherming van zeezoogdieren, verduidelijkte de Raad van State wat moet worden begrepen onder de </w:t>
      </w:r>
      <w:r w:rsidR="00F632ED">
        <w:t xml:space="preserve">term </w:t>
      </w:r>
      <w:r>
        <w:t>“basislijn”. Overeenkomstig artikel 5 van het Verdrag van de Verenigde Naties inzake het recht van de Zee, opgemaakt te Montego Bay op 10 december 1992, is de normale basislijn “de laagwaterlijn langs de kust, zoals die is aangegeven op officieel door de kuststaat erkende, op grote schaal uitgevoerde zeekaarten”. Dit is geen voor eens en altijd vastgestelde lijn. Het opstellen van de officiële zeekaarten gebeurt sedert de Derde Staatshervorming door de Vlaamse Hydrografie</w:t>
      </w:r>
      <w:r w:rsidR="00F632ED">
        <w:t>, die</w:t>
      </w:r>
      <w:r>
        <w:t xml:space="preserve"> voor het bepalen van het referentievlak </w:t>
      </w:r>
      <w:r w:rsidR="00F632ED">
        <w:t xml:space="preserve">is </w:t>
      </w:r>
      <w:r>
        <w:t>overgegaan van het “gemiddeld laag</w:t>
      </w:r>
      <w:r>
        <w:noBreakHyphen/>
        <w:t>laagwater bij springtij” (GLLWS) naar een astronomisch getij, namelijk het “Lowest Astronomical Tide” (LAT).</w:t>
      </w:r>
    </w:p>
    <w:p w:rsidR="00315140" w:rsidRPr="00DF632C" w:rsidRDefault="00315140" w:rsidP="00050E20"/>
    <w:p w:rsidR="00315140" w:rsidRPr="00DF632C" w:rsidRDefault="00A23885" w:rsidP="00050E20">
      <w:r>
        <w:t xml:space="preserve">Ondanks zijn technisch </w:t>
      </w:r>
      <w:r w:rsidR="001849C6">
        <w:t>definit</w:t>
      </w:r>
      <w:r w:rsidR="00F632ED">
        <w:t>i</w:t>
      </w:r>
      <w:r w:rsidR="001849C6">
        <w:t>e</w:t>
      </w:r>
      <w:r>
        <w:t xml:space="preserve"> heeft deze basislijn een belangrijke impact: </w:t>
      </w:r>
      <w:r w:rsidR="00145EDB">
        <w:t xml:space="preserve">hij </w:t>
      </w:r>
      <w:r>
        <w:t>vormt immers niet alleen het vertrekpunt voor de afbakening van de internationale maritieme gebieden en van de binnenwateren</w:t>
      </w:r>
      <w:r w:rsidR="00145EDB">
        <w:t>,</w:t>
      </w:r>
      <w:r w:rsidR="00315140" w:rsidRPr="00DF632C">
        <w:rPr>
          <w:rStyle w:val="Voetnootmarkering"/>
          <w:rFonts w:cs="Times New Roman"/>
        </w:rPr>
        <w:footnoteReference w:id="31"/>
      </w:r>
      <w:r w:rsidR="00315140" w:rsidRPr="00DF632C">
        <w:t xml:space="preserve"> maar </w:t>
      </w:r>
      <w:r w:rsidR="00145EDB">
        <w:t>hij</w:t>
      </w:r>
      <w:r w:rsidR="00315140" w:rsidRPr="00DF632C">
        <w:t xml:space="preserve"> bakent tevens het grondgebied van het Vlaamse Gewest af, en dus ook het territoriale toepassingsgebied van de door haar ontworpen regelingen</w:t>
      </w:r>
      <w:r w:rsidR="00145EDB">
        <w:t>:</w:t>
      </w:r>
      <w:r w:rsidR="00315140" w:rsidRPr="00DF632C">
        <w:rPr>
          <w:rStyle w:val="Voetnootmarkering"/>
          <w:rFonts w:cs="Times New Roman"/>
        </w:rPr>
        <w:footnoteReference w:id="32"/>
      </w:r>
      <w:r w:rsidR="00315140" w:rsidRPr="00DF632C">
        <w:t xml:space="preserve"> </w:t>
      </w:r>
      <w:r w:rsidR="001849C6">
        <w:t>e</w:t>
      </w:r>
      <w:r w:rsidR="00315140" w:rsidRPr="00DF632C">
        <w:t xml:space="preserve">en regeling van het Vlaamse Gewest vindt in beginsel </w:t>
      </w:r>
      <w:r w:rsidR="00145EDB">
        <w:t xml:space="preserve">immers </w:t>
      </w:r>
      <w:r w:rsidR="00315140" w:rsidRPr="00DF632C">
        <w:t>geen toepassing buiten het grondgebied van het Vlaamse Gewest.</w:t>
      </w:r>
      <w:r w:rsidR="00315140" w:rsidRPr="00DF632C">
        <w:rPr>
          <w:rStyle w:val="Voetnootmarkering"/>
          <w:rFonts w:cs="Times New Roman"/>
        </w:rPr>
        <w:footnoteReference w:id="33"/>
      </w:r>
      <w:r w:rsidR="00315140" w:rsidRPr="00DF632C">
        <w:t xml:space="preserve"> </w:t>
      </w:r>
    </w:p>
    <w:p w:rsidR="00315140" w:rsidRPr="00DF632C" w:rsidRDefault="00315140" w:rsidP="00050E20"/>
    <w:p w:rsidR="00315140" w:rsidRPr="00480F3E" w:rsidRDefault="00A4336F" w:rsidP="00315140">
      <w:pPr>
        <w:pStyle w:val="Kop2"/>
        <w:rPr>
          <w:lang w:val="nl-BE"/>
        </w:rPr>
      </w:pPr>
      <w:bookmarkStart w:id="9" w:name="_Toc495677865"/>
      <w:r w:rsidRPr="00480F3E">
        <w:rPr>
          <w:lang w:val="nl-BE"/>
        </w:rPr>
        <w:t xml:space="preserve">D. Opzegging </w:t>
      </w:r>
      <w:r w:rsidR="00A06A7F">
        <w:rPr>
          <w:lang w:val="nl-BE"/>
        </w:rPr>
        <w:t xml:space="preserve">van </w:t>
      </w:r>
      <w:r w:rsidRPr="00480F3E">
        <w:rPr>
          <w:lang w:val="nl-BE"/>
        </w:rPr>
        <w:t>verdrag</w:t>
      </w:r>
      <w:r w:rsidR="00A06A7F">
        <w:rPr>
          <w:lang w:val="nl-BE"/>
        </w:rPr>
        <w:t>en door</w:t>
      </w:r>
      <w:r w:rsidRPr="00480F3E">
        <w:rPr>
          <w:lang w:val="nl-BE"/>
        </w:rPr>
        <w:t xml:space="preserve"> </w:t>
      </w:r>
      <w:r w:rsidR="00A06A7F">
        <w:rPr>
          <w:lang w:val="nl-BE"/>
        </w:rPr>
        <w:t>de uitvoerende macht</w:t>
      </w:r>
      <w:bookmarkEnd w:id="9"/>
    </w:p>
    <w:p w:rsidR="00315140" w:rsidRPr="00DF632C" w:rsidRDefault="00315140" w:rsidP="00315140"/>
    <w:p w:rsidR="00315140" w:rsidRPr="00DF632C" w:rsidRDefault="001D12B7" w:rsidP="00315140">
      <w:pPr>
        <w:rPr>
          <w:rFonts w:asciiTheme="minorHAnsi" w:hAnsiTheme="minorHAnsi"/>
        </w:rPr>
      </w:pPr>
      <w:r w:rsidRPr="00480F3E">
        <w:rPr>
          <w:b/>
        </w:rPr>
        <w:t>14</w:t>
      </w:r>
      <w:r w:rsidR="00A4336F" w:rsidRPr="00CD53C6">
        <w:rPr>
          <w:b/>
        </w:rPr>
        <w:t>.</w:t>
      </w:r>
      <w:r w:rsidR="00A4336F" w:rsidRPr="00CD53C6">
        <w:t xml:space="preserve"> </w:t>
      </w:r>
      <w:r w:rsidR="00A4336F" w:rsidRPr="00CD53C6">
        <w:tab/>
        <w:t xml:space="preserve">Daar waar het parlement een </w:t>
      </w:r>
      <w:r w:rsidR="00227FCC">
        <w:t xml:space="preserve">bijzondere </w:t>
      </w:r>
      <w:r w:rsidR="00A4336F" w:rsidRPr="00CD53C6">
        <w:t>rol toebedeeld krijgt in de verdragssluitingsprocedure voor grensverdragen (zijn tussenkomst is immers een voorwaarde opdat een dergelijk verdrag zou kunnen worden gesloten</w:t>
      </w:r>
      <w:r w:rsidR="000C4982">
        <w:t>; zie nr. 12</w:t>
      </w:r>
      <w:r w:rsidR="00A4336F" w:rsidRPr="00CD53C6">
        <w:t xml:space="preserve">), is dit niet het geval voor andere verdragen. </w:t>
      </w:r>
      <w:r w:rsidR="00227FCC">
        <w:t>A</w:t>
      </w:r>
      <w:r w:rsidR="00A4336F" w:rsidRPr="00CD53C6">
        <w:t xml:space="preserve">rtikel 167 </w:t>
      </w:r>
      <w:r w:rsidR="00701A1B">
        <w:t>Gw.</w:t>
      </w:r>
      <w:r w:rsidR="00A4336F" w:rsidRPr="00CD53C6">
        <w:t xml:space="preserve"> is </w:t>
      </w:r>
      <w:r w:rsidR="00227FCC">
        <w:t xml:space="preserve">ter zake </w:t>
      </w:r>
      <w:r w:rsidR="00A4336F" w:rsidRPr="00CD53C6">
        <w:t xml:space="preserve">tweeledig: het parlement </w:t>
      </w:r>
      <w:r w:rsidR="00227FCC">
        <w:t>moet</w:t>
      </w:r>
      <w:r w:rsidR="00227FCC" w:rsidRPr="00CD53C6">
        <w:t xml:space="preserve"> </w:t>
      </w:r>
      <w:r w:rsidR="00A4336F" w:rsidRPr="00CD53C6">
        <w:t xml:space="preserve">weliswaar zijn instemming verlenen met een verdrag, zonder dewelke het verdrag geen werking kan hebben in de interne rechtsorde, maar het sluiten van een verdrag behoort </w:t>
      </w:r>
      <w:r w:rsidR="00EF13D7">
        <w:t xml:space="preserve">dan weer </w:t>
      </w:r>
      <w:r w:rsidR="00A4336F" w:rsidRPr="00CD53C6">
        <w:t>tot de exclusieve bevoegdheid van de Koning/de regering. Het sluiten van een verdrag betreft de verschillende stadia in de internationaalrechtelijke totstandkoming van verdragen, zoals de onderhandeling, parafering, ondertekening, bekrachtiging of toetreding en eventueel de opschorting of de opzegging.</w:t>
      </w:r>
      <w:r w:rsidR="00315140" w:rsidRPr="00DF632C">
        <w:rPr>
          <w:rStyle w:val="Voetnootmarkering"/>
          <w:rFonts w:cs="Times New Roman"/>
        </w:rPr>
        <w:footnoteReference w:id="34"/>
      </w:r>
    </w:p>
    <w:p w:rsidR="008B1EA4" w:rsidRPr="00DF632C" w:rsidRDefault="008B1EA4" w:rsidP="00315140"/>
    <w:p w:rsidR="00315140" w:rsidRPr="00DF632C" w:rsidRDefault="001D12B7" w:rsidP="00315140">
      <w:pPr>
        <w:rPr>
          <w:rFonts w:asciiTheme="minorHAnsi" w:hAnsiTheme="minorHAnsi"/>
        </w:rPr>
      </w:pPr>
      <w:r w:rsidRPr="00CD53C6">
        <w:rPr>
          <w:b/>
        </w:rPr>
        <w:t>15</w:t>
      </w:r>
      <w:r w:rsidR="00A4336F" w:rsidRPr="00CD53C6">
        <w:rPr>
          <w:b/>
        </w:rPr>
        <w:t>.</w:t>
      </w:r>
      <w:r w:rsidR="00A4336F" w:rsidRPr="00CD53C6">
        <w:tab/>
        <w:t xml:space="preserve">In een wetsvoorstel was </w:t>
      </w:r>
      <w:r w:rsidR="00EF13D7">
        <w:t>bepaald</w:t>
      </w:r>
      <w:r w:rsidR="00EF13D7" w:rsidRPr="00CD53C6">
        <w:t xml:space="preserve"> </w:t>
      </w:r>
      <w:r w:rsidR="00A4336F" w:rsidRPr="00CD53C6">
        <w:t xml:space="preserve">dat de verdragen die met de bepalingen van de voorgestelde wet niet in overeenstemming zijn, door “de regering” zo vlug mogelijk worden opgezegd. Zodra de opzegging uitwerking </w:t>
      </w:r>
      <w:r w:rsidR="005C6007">
        <w:t>had</w:t>
      </w:r>
      <w:r w:rsidR="00A4336F" w:rsidRPr="00CD53C6">
        <w:t>, diende de regering er zorg voor te dragen dat België</w:t>
      </w:r>
      <w:r w:rsidR="001D2C83">
        <w:t xml:space="preserve"> (opnieuw)</w:t>
      </w:r>
      <w:r w:rsidR="00A4336F" w:rsidRPr="00CD53C6">
        <w:t xml:space="preserve"> tot deze verdragen toetreedt, onder het voorbehoud dat deze verdragen geen afbreuk kunnen doen aan de bepalingen van de voorgestelde wetten. Voor de toetreding zou de instemming van de Kamer van volksvertegenwoordigers niet vereist zijn.</w:t>
      </w:r>
      <w:r w:rsidR="000C4982">
        <w:t xml:space="preserve"> </w:t>
      </w:r>
      <w:r w:rsidR="00A4336F" w:rsidRPr="00CD53C6">
        <w:t>De Raad van State formuleerde enkele initiële bedenkingen over de overeenstemming van deze bepalingen met het internationaal verdragsrecht en met de bevoegdheidsverdelende regels, maar veegde de bepaling zonder meer van tafel omdat het op grond van artikel 167, §</w:t>
      </w:r>
      <w:r w:rsidR="001D2C83">
        <w:t> </w:t>
      </w:r>
      <w:r w:rsidR="00A4336F" w:rsidRPr="00CD53C6">
        <w:t xml:space="preserve">2, </w:t>
      </w:r>
      <w:r w:rsidR="00701A1B">
        <w:t>Gw.</w:t>
      </w:r>
      <w:r w:rsidR="00A4336F" w:rsidRPr="00CD53C6">
        <w:t xml:space="preserve"> aan de Koning toekomt om verdragen te sluiten en op te zeggen: “Het komt niet aan de wetgever toe ter zake instructies te geven aan de Koning. Alleen in het kader van de politieke controle op de regering zou het parlement ter zake zijn verzuchtingen kunnen uiten”.</w:t>
      </w:r>
      <w:r w:rsidR="00315140" w:rsidRPr="00DF632C">
        <w:rPr>
          <w:rStyle w:val="Voetnootmarkering"/>
          <w:rFonts w:cs="Times New Roman"/>
        </w:rPr>
        <w:footnoteReference w:id="35"/>
      </w:r>
      <w:r w:rsidR="000C4982">
        <w:t xml:space="preserve"> </w:t>
      </w:r>
      <w:r w:rsidR="00A4336F" w:rsidRPr="00CD53C6">
        <w:t xml:space="preserve">Opmerkelijk is dat de Raad van State vervolgens wel </w:t>
      </w:r>
      <w:r w:rsidR="00F05178">
        <w:t xml:space="preserve">lijkt te </w:t>
      </w:r>
      <w:r w:rsidR="00A4336F" w:rsidRPr="00CD53C6">
        <w:t>aanvaarde</w:t>
      </w:r>
      <w:r w:rsidR="00F05178">
        <w:t>n</w:t>
      </w:r>
      <w:r w:rsidR="00A4336F" w:rsidRPr="00CD53C6">
        <w:t xml:space="preserve"> dat het parlement in het dispositief van </w:t>
      </w:r>
      <w:r w:rsidR="001D2C83">
        <w:t>de</w:t>
      </w:r>
      <w:r w:rsidR="001D2C83" w:rsidRPr="00CD53C6">
        <w:t xml:space="preserve"> </w:t>
      </w:r>
      <w:r w:rsidR="00A4336F" w:rsidRPr="00CD53C6">
        <w:t>instemmingswet als voorwaarde</w:t>
      </w:r>
      <w:r w:rsidR="00F05178">
        <w:t xml:space="preserve"> voor de instemming</w:t>
      </w:r>
      <w:r w:rsidR="00A4336F" w:rsidRPr="00CD53C6">
        <w:t xml:space="preserve"> zou kunnen </w:t>
      </w:r>
      <w:r w:rsidR="001D2C83">
        <w:t xml:space="preserve">opnemen </w:t>
      </w:r>
      <w:r w:rsidR="00A4336F" w:rsidRPr="00CD53C6">
        <w:t xml:space="preserve">dat een voorbehoud wordt gemaakt bij de </w:t>
      </w:r>
      <w:r w:rsidR="00F05178">
        <w:t>bekrachtiging</w:t>
      </w:r>
      <w:r w:rsidR="00A4336F" w:rsidRPr="00CD53C6">
        <w:t xml:space="preserve"> van een verdrag.</w:t>
      </w:r>
      <w:r w:rsidR="00F05178">
        <w:rPr>
          <w:rStyle w:val="Voetnootmarkering"/>
        </w:rPr>
        <w:footnoteReference w:id="36"/>
      </w:r>
      <w:r w:rsidR="00A4336F" w:rsidRPr="00CD53C6">
        <w:t xml:space="preserve"> </w:t>
      </w:r>
      <w:r w:rsidR="001D2C83">
        <w:t>Op die manier sloot de Raad de deur</w:t>
      </w:r>
      <w:r w:rsidR="00A4336F" w:rsidRPr="00CD53C6">
        <w:t xml:space="preserve">, </w:t>
      </w:r>
      <w:r w:rsidR="001D2C83">
        <w:t xml:space="preserve">maar </w:t>
      </w:r>
      <w:r w:rsidR="00A4336F" w:rsidRPr="00CD53C6">
        <w:t xml:space="preserve">zette </w:t>
      </w:r>
      <w:r w:rsidR="001D2C83">
        <w:t>hij</w:t>
      </w:r>
      <w:r w:rsidR="001D2C83" w:rsidRPr="00CD53C6">
        <w:t xml:space="preserve"> </w:t>
      </w:r>
      <w:r w:rsidR="00A4336F" w:rsidRPr="00CD53C6">
        <w:t xml:space="preserve">vervolgens wel een raam open voor het parlement om alsnog tussen te komen in de </w:t>
      </w:r>
      <w:r w:rsidR="003A1E62">
        <w:t xml:space="preserve">eigenlijke </w:t>
      </w:r>
      <w:r w:rsidR="00A4336F" w:rsidRPr="00CD53C6">
        <w:t xml:space="preserve">verdragssluitingsprocedure. </w:t>
      </w:r>
    </w:p>
    <w:p w:rsidR="00315140" w:rsidRPr="00CD53C6" w:rsidRDefault="00A4336F" w:rsidP="00315140">
      <w:pPr>
        <w:pStyle w:val="Kop2"/>
        <w:rPr>
          <w:lang w:val="nl-BE"/>
        </w:rPr>
      </w:pPr>
      <w:bookmarkStart w:id="10" w:name="_Toc495677866"/>
      <w:r w:rsidRPr="00CD53C6">
        <w:rPr>
          <w:lang w:val="nl-BE"/>
        </w:rPr>
        <w:t xml:space="preserve">E. </w:t>
      </w:r>
      <w:r w:rsidR="00491910">
        <w:rPr>
          <w:lang w:val="nl-BE"/>
        </w:rPr>
        <w:t>I</w:t>
      </w:r>
      <w:r w:rsidRPr="00CD53C6">
        <w:rPr>
          <w:lang w:val="nl-BE"/>
        </w:rPr>
        <w:t>ntern overleg en samenwerking</w:t>
      </w:r>
      <w:bookmarkEnd w:id="10"/>
    </w:p>
    <w:p w:rsidR="00315140" w:rsidRPr="00DF632C" w:rsidRDefault="00315140" w:rsidP="00782AC6"/>
    <w:p w:rsidR="00315140" w:rsidRPr="00DF632C" w:rsidRDefault="001D12B7" w:rsidP="00782AC6">
      <w:r w:rsidRPr="00CD53C6">
        <w:rPr>
          <w:b/>
        </w:rPr>
        <w:t>16</w:t>
      </w:r>
      <w:r w:rsidR="00A4336F" w:rsidRPr="00CD53C6">
        <w:rPr>
          <w:b/>
        </w:rPr>
        <w:t>.</w:t>
      </w:r>
      <w:r w:rsidR="00A4336F" w:rsidRPr="00CD53C6">
        <w:tab/>
        <w:t xml:space="preserve">Zoals </w:t>
      </w:r>
      <w:r w:rsidR="00491910">
        <w:t xml:space="preserve">al </w:t>
      </w:r>
      <w:r w:rsidR="00A4336F" w:rsidRPr="00CD53C6">
        <w:t xml:space="preserve">in vorige kronieken </w:t>
      </w:r>
      <w:r w:rsidR="00491910">
        <w:t>werd uiteengezet</w:t>
      </w:r>
      <w:r w:rsidR="00A4336F" w:rsidRPr="00CD53C6">
        <w:t>,</w:t>
      </w:r>
      <w:r w:rsidR="00315140" w:rsidRPr="00DF632C">
        <w:rPr>
          <w:rStyle w:val="Voetnootmarkering"/>
          <w:rFonts w:cs="Times New Roman"/>
        </w:rPr>
        <w:footnoteReference w:id="37"/>
      </w:r>
      <w:r w:rsidR="00315140" w:rsidRPr="00DF632C">
        <w:t xml:space="preserve"> vereist de internationale samenwerking in het federale België uit zijn aard een ruime, grondige en continue informatie-uitwisseling, coördinatie, over</w:t>
      </w:r>
      <w:r w:rsidR="00A4336F" w:rsidRPr="00CD53C6">
        <w:t xml:space="preserve">leg en samenwerking tussen de verschillende overheden. Het niet naleven van dit uitgangspunt geeft in de praktijk regelmatig aanleiding tot problemen. </w:t>
      </w:r>
    </w:p>
    <w:p w:rsidR="00315140" w:rsidRPr="00DF632C" w:rsidRDefault="00315140" w:rsidP="00782AC6"/>
    <w:p w:rsidR="00315140" w:rsidRPr="00DF632C" w:rsidRDefault="001D12B7" w:rsidP="00782AC6">
      <w:r w:rsidRPr="00CD53C6">
        <w:rPr>
          <w:b/>
        </w:rPr>
        <w:t>17</w:t>
      </w:r>
      <w:r w:rsidR="00A4336F" w:rsidRPr="00CD53C6">
        <w:rPr>
          <w:b/>
        </w:rPr>
        <w:t>.</w:t>
      </w:r>
      <w:r w:rsidR="00A4336F" w:rsidRPr="00CD53C6">
        <w:tab/>
        <w:t xml:space="preserve">Dit bleek in de besproken periode opnieuw in het kader van adviesaanvragen over een aantal voorontwerpen van instemmingswet met een verdrag. </w:t>
      </w:r>
      <w:r w:rsidR="002B54D3">
        <w:t>D</w:t>
      </w:r>
      <w:r w:rsidR="00A4336F" w:rsidRPr="00CD53C6">
        <w:t xml:space="preserve">e Raad van State </w:t>
      </w:r>
      <w:r w:rsidR="002B54D3">
        <w:t xml:space="preserve">gaat </w:t>
      </w:r>
      <w:r w:rsidR="00A4336F" w:rsidRPr="00CD53C6">
        <w:t xml:space="preserve">steeds na </w:t>
      </w:r>
      <w:r w:rsidR="00A4336F" w:rsidRPr="00CD53C6">
        <w:lastRenderedPageBreak/>
        <w:t xml:space="preserve">of de voorafgaande vormvereisten vervuld zijn. Zo wordt bij instemmingsakten met verdragen </w:t>
      </w:r>
      <w:r w:rsidR="002B54D3">
        <w:t>onder meer</w:t>
      </w:r>
      <w:r w:rsidR="00A4336F" w:rsidRPr="00CD53C6">
        <w:t xml:space="preserve"> </w:t>
      </w:r>
      <w:r w:rsidR="002B54D3">
        <w:t>gecontroleerd</w:t>
      </w:r>
      <w:r w:rsidR="00A4336F" w:rsidRPr="00CD53C6">
        <w:t xml:space="preserve"> of de Werkgroep Gemengde Verdragen (WGV) en de Interministeriële Conferentie voor het Buitenlands Beleid (ICBB) – administratie</w:t>
      </w:r>
      <w:r w:rsidR="003A1E62">
        <w:t xml:space="preserve">f, respectievelijk </w:t>
      </w:r>
      <w:r w:rsidR="00A4336F" w:rsidRPr="00CD53C6">
        <w:t>politiek overlegorga</w:t>
      </w:r>
      <w:r w:rsidR="003A1E62">
        <w:t>a</w:t>
      </w:r>
      <w:r w:rsidR="00A4336F" w:rsidRPr="00CD53C6">
        <w:t>n tussen de federale overheid, de gewesten en de gemeenschappen – het al dan niet gemengd karakter van het verdrag hebben vastgesteld</w:t>
      </w:r>
      <w:r w:rsidR="007852D7">
        <w:rPr>
          <w:rStyle w:val="Voetnootmarkering"/>
        </w:rPr>
        <w:footnoteReference w:id="38"/>
      </w:r>
      <w:r w:rsidR="00A4336F" w:rsidRPr="00CD53C6">
        <w:t xml:space="preserve"> overeenkomstig de artikelen 3 en 4 van het samenwerkingsakkoord gemengde verdragen.</w:t>
      </w:r>
      <w:r w:rsidR="00315140" w:rsidRPr="00DF632C">
        <w:rPr>
          <w:rStyle w:val="Voetnootmarkering"/>
          <w:rFonts w:cs="Times New Roman"/>
        </w:rPr>
        <w:footnoteReference w:id="39"/>
      </w:r>
    </w:p>
    <w:p w:rsidR="00315140" w:rsidRPr="00DF632C" w:rsidRDefault="00315140" w:rsidP="00782AC6"/>
    <w:p w:rsidR="00315140" w:rsidRPr="00DF632C" w:rsidRDefault="00A4336F" w:rsidP="00782AC6">
      <w:r w:rsidRPr="00CD53C6">
        <w:t xml:space="preserve">In een aantal dossiers bleek dat het verdrag niet was overgelegd aan de WGV en de ICBB omdat de betrokken federale administratie zelf meende te mogen oordelen dat het een exclusief federaal verdrag betrof. De Raad van State </w:t>
      </w:r>
      <w:r w:rsidR="00480F3E">
        <w:t xml:space="preserve">stelde </w:t>
      </w:r>
      <w:r w:rsidRPr="00CD53C6">
        <w:t xml:space="preserve">dat een dergelijke werkwijze een omzeiling of uitholling betekent van de </w:t>
      </w:r>
      <w:r w:rsidR="00480F3E" w:rsidRPr="0030261E">
        <w:t>overleg- en samenwerkingsmechanismen</w:t>
      </w:r>
      <w:r w:rsidR="00480F3E" w:rsidRPr="00480F3E">
        <w:t xml:space="preserve"> </w:t>
      </w:r>
      <w:r w:rsidR="00480F3E">
        <w:t xml:space="preserve">vervat </w:t>
      </w:r>
      <w:r w:rsidRPr="00CD53C6">
        <w:t xml:space="preserve">in het samenwerkingsakkoord </w:t>
      </w:r>
      <w:r w:rsidR="00480F3E">
        <w:t>gemengde verdragen</w:t>
      </w:r>
      <w:r w:rsidRPr="00CD53C6">
        <w:t xml:space="preserve">. </w:t>
      </w:r>
      <w:r w:rsidR="00480F3E">
        <w:t>D</w:t>
      </w:r>
      <w:r w:rsidRPr="00CD53C6">
        <w:t xml:space="preserve">eze werkwijze </w:t>
      </w:r>
      <w:r w:rsidR="00480F3E">
        <w:t>st</w:t>
      </w:r>
      <w:r w:rsidR="003A1E62">
        <w:t>aat</w:t>
      </w:r>
      <w:r w:rsidR="00480F3E">
        <w:t xml:space="preserve"> volgens de Raad bovendien</w:t>
      </w:r>
      <w:r w:rsidRPr="00CD53C6">
        <w:t xml:space="preserve"> op gespannen voet met de basisbeginselen betreffende de organisatie van het beleid inzake de buitenlandse betrekkingen, </w:t>
      </w:r>
      <w:r w:rsidR="00582F4D">
        <w:t xml:space="preserve">doet </w:t>
      </w:r>
      <w:r w:rsidRPr="00CD53C6">
        <w:t xml:space="preserve">afbreuk aan de bevoegdheden van de gemeenschappen en de gewesten op het internationale vlak en </w:t>
      </w:r>
      <w:r w:rsidR="00582F4D">
        <w:t xml:space="preserve">kan </w:t>
      </w:r>
      <w:r w:rsidRPr="00CD53C6">
        <w:t>een negatieve weerslag hebben op de coherentie van het buitenlands beleid.</w:t>
      </w:r>
      <w:r w:rsidR="00315140" w:rsidRPr="00DF632C">
        <w:rPr>
          <w:rStyle w:val="Voetnootmarkering"/>
          <w:rFonts w:cs="Times New Roman"/>
        </w:rPr>
        <w:footnoteReference w:id="40"/>
      </w:r>
    </w:p>
    <w:p w:rsidR="00315140" w:rsidRPr="00DF632C" w:rsidRDefault="00315140" w:rsidP="00782AC6"/>
    <w:p w:rsidR="00315140" w:rsidRPr="00DF632C" w:rsidRDefault="00582F4D" w:rsidP="00782AC6">
      <w:r>
        <w:t>Hieruit blijkt duidelijk dat voorafgaand overleg noodzakelijk is om dergelijke problemen achteraf te vermijden.</w:t>
      </w:r>
      <w:r w:rsidR="00A4336F" w:rsidRPr="00CD53C6">
        <w:t xml:space="preserve"> In elk van deze dossiers kwam de Raad van State op basis van een bevoegdheidsrechtelijke analyse immers tot de vaststelling dat het vooralsnog een gemengd </w:t>
      </w:r>
      <w:r w:rsidR="007852D7">
        <w:t>verdrag</w:t>
      </w:r>
      <w:r w:rsidR="00A4336F" w:rsidRPr="00CD53C6">
        <w:t xml:space="preserve"> betrof. Zonder de tussenkomst van alle bevoegde overheden kan het verdrag niet worden </w:t>
      </w:r>
      <w:r w:rsidR="003A1E62">
        <w:t>bekrachtigd</w:t>
      </w:r>
      <w:r w:rsidR="00A4336F" w:rsidRPr="00CD53C6">
        <w:t xml:space="preserve">, kan het </w:t>
      </w:r>
      <w:r>
        <w:t>geen uitwerking hebben</w:t>
      </w:r>
      <w:r w:rsidR="00A4336F" w:rsidRPr="00CD53C6">
        <w:t xml:space="preserve"> in de Belgische rechtsorde en kan het in beginsel evenmin worden uitgevoerd</w:t>
      </w:r>
      <w:r>
        <w:t>, met alle mogelijke complicaties op het internationaalrechtelijke vlak die daarbij kunnen horen</w:t>
      </w:r>
      <w:r w:rsidR="00A4336F" w:rsidRPr="00CD53C6">
        <w:t xml:space="preserve">. De Raad van State kwam dan ook tot het besluit dat in de </w:t>
      </w:r>
      <w:r>
        <w:t xml:space="preserve">gegeven </w:t>
      </w:r>
      <w:r w:rsidR="00A4336F" w:rsidRPr="00CD53C6">
        <w:t xml:space="preserve">omstandigheden en zolang de deelstaten niet hebben </w:t>
      </w:r>
      <w:r>
        <w:t>laten blijken dat</w:t>
      </w:r>
      <w:r w:rsidR="00A4336F" w:rsidRPr="00CD53C6">
        <w:t xml:space="preserve"> ze het verdrag </w:t>
      </w:r>
      <w:r>
        <w:t xml:space="preserve">alsnog </w:t>
      </w:r>
      <w:r w:rsidR="00A4336F" w:rsidRPr="00CD53C6">
        <w:t>kunnen steunen, het geen zin heeft om het verdrag ter instemming voor te leggen aan de Kamer van volksvertegenwoordigers.</w:t>
      </w:r>
      <w:r w:rsidR="00315140" w:rsidRPr="00DF632C">
        <w:rPr>
          <w:rStyle w:val="Voetnootmarkering"/>
          <w:rFonts w:cs="Times New Roman"/>
        </w:rPr>
        <w:footnoteReference w:id="41"/>
      </w:r>
      <w:r w:rsidR="00315140" w:rsidRPr="00DF632C">
        <w:t xml:space="preserve"> </w:t>
      </w:r>
    </w:p>
    <w:p w:rsidR="00315140" w:rsidRPr="00DF632C" w:rsidRDefault="00315140" w:rsidP="00782AC6"/>
    <w:p w:rsidR="00315140" w:rsidRPr="00DF632C" w:rsidRDefault="001D12B7" w:rsidP="00782AC6">
      <w:r w:rsidRPr="00CD53C6">
        <w:rPr>
          <w:b/>
        </w:rPr>
        <w:t>18</w:t>
      </w:r>
      <w:r w:rsidR="00A4336F" w:rsidRPr="00CD53C6">
        <w:rPr>
          <w:b/>
        </w:rPr>
        <w:t>.</w:t>
      </w:r>
      <w:r w:rsidR="00A4336F" w:rsidRPr="00CD53C6">
        <w:tab/>
        <w:t xml:space="preserve">Hierbij moet wel nog </w:t>
      </w:r>
      <w:r w:rsidR="00582F4D">
        <w:t>worden aangestipt</w:t>
      </w:r>
      <w:r w:rsidR="00A4336F" w:rsidRPr="00CD53C6">
        <w:t xml:space="preserve"> dat hoewel de Raad van State een groot belang hecht aan het overleg en de samenwerking in het kader van de WGV en de ICBB, </w:t>
      </w:r>
      <w:r w:rsidR="00582F4D">
        <w:t xml:space="preserve">hij </w:t>
      </w:r>
      <w:r w:rsidR="00A4336F" w:rsidRPr="00CD53C6">
        <w:t xml:space="preserve">door </w:t>
      </w:r>
      <w:r w:rsidR="00582F4D">
        <w:t>hun</w:t>
      </w:r>
      <w:r w:rsidR="00A4336F" w:rsidRPr="00CD53C6">
        <w:t xml:space="preserve"> </w:t>
      </w:r>
      <w:r w:rsidR="00582F4D">
        <w:t>bevoegdheids</w:t>
      </w:r>
      <w:r w:rsidR="00A4336F" w:rsidRPr="00CD53C6">
        <w:t xml:space="preserve">analyse niet gebonden </w:t>
      </w:r>
      <w:r w:rsidR="00582F4D">
        <w:t xml:space="preserve">is </w:t>
      </w:r>
      <w:r w:rsidR="00A4336F" w:rsidRPr="00CD53C6">
        <w:t>en deze niet altijd volgt.</w:t>
      </w:r>
      <w:r w:rsidR="00315140" w:rsidRPr="00DF632C">
        <w:rPr>
          <w:rStyle w:val="Voetnootmarkering"/>
          <w:rFonts w:cs="Times New Roman"/>
        </w:rPr>
        <w:footnoteReference w:id="42"/>
      </w:r>
    </w:p>
    <w:p w:rsidR="00315140" w:rsidRPr="00DF632C" w:rsidRDefault="00315140" w:rsidP="00782AC6"/>
    <w:p w:rsidR="00315140" w:rsidRPr="00DF632C" w:rsidRDefault="001D12B7" w:rsidP="00782AC6">
      <w:r w:rsidRPr="00CD53C6">
        <w:rPr>
          <w:b/>
        </w:rPr>
        <w:t>19</w:t>
      </w:r>
      <w:r w:rsidR="00A4336F" w:rsidRPr="00CD53C6">
        <w:rPr>
          <w:b/>
        </w:rPr>
        <w:t>.</w:t>
      </w:r>
      <w:r w:rsidR="00A4336F" w:rsidRPr="00CD53C6">
        <w:tab/>
        <w:t xml:space="preserve">De Raad van State beperkt het belang van het overleg inzake internationale samenwerking evenwel niet tot het interfederale overleg tussen de federale overheid, de </w:t>
      </w:r>
      <w:r w:rsidR="00A4336F" w:rsidRPr="00CD53C6">
        <w:lastRenderedPageBreak/>
        <w:t xml:space="preserve">gewesten en de gemeenschappen. </w:t>
      </w:r>
      <w:r w:rsidR="00BD16D6">
        <w:t>Ook</w:t>
      </w:r>
      <w:r w:rsidR="00A4336F" w:rsidRPr="00CD53C6">
        <w:t xml:space="preserve"> andere, interne overlegverplichtingen</w:t>
      </w:r>
      <w:r w:rsidR="00BD16D6">
        <w:t xml:space="preserve"> zijn in deze context relevant</w:t>
      </w:r>
      <w:r w:rsidR="00A4336F" w:rsidRPr="00CD53C6">
        <w:t xml:space="preserve">. </w:t>
      </w:r>
    </w:p>
    <w:p w:rsidR="00315140" w:rsidRPr="00DF632C" w:rsidRDefault="00315140" w:rsidP="00782AC6"/>
    <w:p w:rsidR="00315140" w:rsidRPr="00DF632C" w:rsidRDefault="00A4336F" w:rsidP="00782AC6">
      <w:r w:rsidRPr="00CD53C6">
        <w:t xml:space="preserve">Zo zijn de vormvereisten die moeten worden nageleefd </w:t>
      </w:r>
      <w:r w:rsidR="00BD16D6">
        <w:t>bij</w:t>
      </w:r>
      <w:r w:rsidR="00BD16D6" w:rsidRPr="00CD53C6">
        <w:t xml:space="preserve"> </w:t>
      </w:r>
      <w:r w:rsidRPr="00CD53C6">
        <w:t>de totstandkoming van interne wetgeving in beginsel ook van toepassing op het sluiten van en de instemming met een verdrag.</w:t>
      </w:r>
      <w:r w:rsidR="00315140" w:rsidRPr="00DF632C">
        <w:rPr>
          <w:rStyle w:val="Voetnootmarkering"/>
          <w:rFonts w:cs="Times New Roman"/>
        </w:rPr>
        <w:footnoteReference w:id="43"/>
      </w:r>
      <w:r w:rsidR="00315140" w:rsidRPr="00DF632C">
        <w:t xml:space="preserve"> </w:t>
      </w:r>
    </w:p>
    <w:p w:rsidR="00315140" w:rsidRPr="00DF632C" w:rsidRDefault="00315140" w:rsidP="00782AC6"/>
    <w:p w:rsidR="00315140" w:rsidRPr="00DF632C" w:rsidRDefault="00BD16D6" w:rsidP="00782AC6">
      <w:r>
        <w:t xml:space="preserve">Deze kwestie kwam ook aan bod </w:t>
      </w:r>
      <w:r w:rsidR="00A24C10">
        <w:t>naar aanleiding van</w:t>
      </w:r>
      <w:r w:rsidR="00A4336F" w:rsidRPr="00CD53C6">
        <w:t xml:space="preserve"> de afschaffing van de </w:t>
      </w:r>
      <w:r>
        <w:t xml:space="preserve">Vlaamse </w:t>
      </w:r>
      <w:r w:rsidR="00A4336F" w:rsidRPr="00CD53C6">
        <w:t>Strategisch</w:t>
      </w:r>
      <w:r>
        <w:t>e</w:t>
      </w:r>
      <w:r w:rsidR="00A4336F" w:rsidRPr="00CD53C6">
        <w:t xml:space="preserve"> adviesraad Internationaal Vlaanderen (SARiV). </w:t>
      </w:r>
      <w:r w:rsidR="00A24C10">
        <w:t xml:space="preserve">Zo werd </w:t>
      </w:r>
      <w:r w:rsidR="00A4336F" w:rsidRPr="00CD53C6">
        <w:t xml:space="preserve">een voorontwerp van instemmingsdecreet </w:t>
      </w:r>
      <w:r w:rsidR="00A24C10">
        <w:t>met een samenwerkingsverdrag tussen de EU en haar lidstaten en Cuba door</w:t>
      </w:r>
      <w:r w:rsidR="00A4336F" w:rsidRPr="00CD53C6">
        <w:t xml:space="preserve"> de adviesaanvrager niet aan een strategisch adviesraad voorgelegd in het licht van de praktijk dat teksten die destijds werden voorgelegd aan de SARiV doorgaans niet meer werden voorgelegd aan andere </w:t>
      </w:r>
      <w:r w:rsidR="00A24C10">
        <w:t>s</w:t>
      </w:r>
      <w:r w:rsidR="00A4336F" w:rsidRPr="00CD53C6">
        <w:t xml:space="preserve">trategische adviesraden. De Raad van State was het hier niet mee eens en oordeelde dat </w:t>
      </w:r>
      <w:r w:rsidR="00A24C10">
        <w:t xml:space="preserve">juist door </w:t>
      </w:r>
      <w:r w:rsidR="00A4336F" w:rsidRPr="00CD53C6">
        <w:t xml:space="preserve">de afschaffing van de SARiV de tekst aan alle materieel bevoegde </w:t>
      </w:r>
      <w:r w:rsidR="00A24C10">
        <w:t xml:space="preserve">strategische </w:t>
      </w:r>
      <w:r w:rsidR="00A4336F" w:rsidRPr="00CD53C6">
        <w:t>adviesraden moest worden voorgelegd. Aangezien om instemming werd gevraagd met een verdrag dat een kader</w:t>
      </w:r>
      <w:r w:rsidR="00A24C10">
        <w:t xml:space="preserve"> bevatte</w:t>
      </w:r>
      <w:r w:rsidR="00A4336F" w:rsidRPr="00CD53C6">
        <w:t xml:space="preserve"> voor samenwerking in een uitgebreid aantal domeinen identificeerde de Raad van State op zijn minst vijf strategische adviesraden aan wie de tekst alsnog moest worden voorgelegd.</w:t>
      </w:r>
      <w:r w:rsidR="00315140" w:rsidRPr="00DF632C">
        <w:rPr>
          <w:rStyle w:val="Voetnootmarkering"/>
          <w:rFonts w:cs="Times New Roman"/>
        </w:rPr>
        <w:footnoteReference w:id="44"/>
      </w:r>
    </w:p>
    <w:p w:rsidR="00315140" w:rsidRPr="00CD53C6" w:rsidRDefault="00A4336F" w:rsidP="00782AC6">
      <w:pPr>
        <w:pStyle w:val="Kop2"/>
        <w:rPr>
          <w:lang w:val="nl-BE"/>
        </w:rPr>
      </w:pPr>
      <w:bookmarkStart w:id="11" w:name="_Toc495677867"/>
      <w:r w:rsidRPr="00CD53C6">
        <w:rPr>
          <w:lang w:val="nl-BE"/>
        </w:rPr>
        <w:t xml:space="preserve">F. </w:t>
      </w:r>
      <w:r w:rsidR="00114353">
        <w:rPr>
          <w:lang w:val="nl-BE"/>
        </w:rPr>
        <w:t>Mandateren van ministers of ambtenaren</w:t>
      </w:r>
      <w:r w:rsidR="00114353" w:rsidRPr="00CD53C6">
        <w:rPr>
          <w:lang w:val="nl-BE"/>
        </w:rPr>
        <w:t xml:space="preserve"> </w:t>
      </w:r>
      <w:r w:rsidRPr="00CD53C6">
        <w:rPr>
          <w:lang w:val="nl-BE"/>
        </w:rPr>
        <w:t>voor internationale samenwerking</w:t>
      </w:r>
      <w:bookmarkEnd w:id="11"/>
    </w:p>
    <w:p w:rsidR="00315140" w:rsidRPr="00DF632C" w:rsidRDefault="00315140" w:rsidP="00782AC6"/>
    <w:p w:rsidR="00315140" w:rsidRPr="00DF632C" w:rsidRDefault="001D12B7" w:rsidP="00782AC6">
      <w:r w:rsidRPr="00CD53C6">
        <w:rPr>
          <w:b/>
        </w:rPr>
        <w:t>20</w:t>
      </w:r>
      <w:r w:rsidR="00A4336F" w:rsidRPr="00CD53C6">
        <w:rPr>
          <w:b/>
        </w:rPr>
        <w:t>.</w:t>
      </w:r>
      <w:r w:rsidR="00A4336F" w:rsidRPr="00CD53C6">
        <w:tab/>
        <w:t xml:space="preserve">In een </w:t>
      </w:r>
      <w:r w:rsidR="00114353">
        <w:t xml:space="preserve">ander </w:t>
      </w:r>
      <w:r w:rsidR="00A4336F" w:rsidRPr="00CD53C6">
        <w:t xml:space="preserve">advies over een </w:t>
      </w:r>
      <w:r w:rsidR="00114353">
        <w:t>ontwerp</w:t>
      </w:r>
      <w:r w:rsidR="00A4336F" w:rsidRPr="00CD53C6">
        <w:t xml:space="preserve">besluit van de Vlaamse Regering </w:t>
      </w:r>
      <w:r w:rsidR="00114353">
        <w:t>inzake jachtopeningstijden</w:t>
      </w:r>
      <w:r w:rsidR="00A4336F" w:rsidRPr="00CD53C6">
        <w:t xml:space="preserve"> verduidelijkte de Raad van State het mandaatsysteem op basis waarvan internationale samenwerking kan plaatsvinden. Overeenkomstig artikel 2 van het Benelux-Overeenkomst van 10 juni 1970 op het gebied van de jacht en de vogelbescherming moest </w:t>
      </w:r>
      <w:r w:rsidR="00114353">
        <w:t xml:space="preserve">over </w:t>
      </w:r>
      <w:r w:rsidR="00A4336F" w:rsidRPr="00CD53C6">
        <w:t xml:space="preserve">de ontworpen regeling </w:t>
      </w:r>
      <w:r w:rsidR="00114353">
        <w:t xml:space="preserve">immers </w:t>
      </w:r>
      <w:r w:rsidR="00A4336F" w:rsidRPr="00CD53C6">
        <w:t xml:space="preserve">overleg </w:t>
      </w:r>
      <w:r w:rsidR="00114353">
        <w:t xml:space="preserve">worden gepleegd </w:t>
      </w:r>
      <w:r w:rsidR="00A4336F" w:rsidRPr="00CD53C6">
        <w:t xml:space="preserve">tussen de Benelux-regeringen. </w:t>
      </w:r>
      <w:r w:rsidR="00114353">
        <w:t xml:space="preserve">Er werd voorgehouden dat </w:t>
      </w:r>
      <w:r w:rsidR="00A4336F" w:rsidRPr="00CD53C6">
        <w:t xml:space="preserve">aan deze overlegverplichting </w:t>
      </w:r>
      <w:r w:rsidR="00114353">
        <w:t xml:space="preserve">was </w:t>
      </w:r>
      <w:r w:rsidR="00A4336F" w:rsidRPr="00CD53C6">
        <w:t xml:space="preserve">voldaan doordat er een schriftelijke overlegprocedure tussen ambtenaren van de betrokken regeringen in de Benelux Werkgroep Jacht en Vogels had plaatsgevonden. De Raad van State </w:t>
      </w:r>
      <w:r w:rsidR="00114353">
        <w:t>stelde</w:t>
      </w:r>
      <w:r w:rsidR="00114353" w:rsidRPr="00CD53C6">
        <w:t xml:space="preserve"> </w:t>
      </w:r>
      <w:r w:rsidR="00A4336F" w:rsidRPr="00CD53C6">
        <w:t xml:space="preserve">dat het overleg plaats </w:t>
      </w:r>
      <w:r w:rsidR="00114353">
        <w:t>moet vinden</w:t>
      </w:r>
      <w:r w:rsidR="00A4336F" w:rsidRPr="00CD53C6">
        <w:t xml:space="preserve"> op het niveau van de regeringen</w:t>
      </w:r>
      <w:r w:rsidR="00114353">
        <w:t>, hetgeen inhoudt dat het ofwel</w:t>
      </w:r>
      <w:r w:rsidR="00A4336F" w:rsidRPr="00CD53C6">
        <w:t xml:space="preserve"> tussen de betrokken regeringen of, na delegatie, door de bevoegde ministers </w:t>
      </w:r>
      <w:r w:rsidR="00114353">
        <w:t>moet</w:t>
      </w:r>
      <w:r w:rsidR="00A4336F" w:rsidRPr="00CD53C6">
        <w:t xml:space="preserve"> worden gevoerd, ofwel dat de betrokken ambtenaren voldoende zijn gemandateerd door hun respectievelijke regeringen en</w:t>
      </w:r>
      <w:r w:rsidR="00A4336F" w:rsidRPr="00CD53C6">
        <w:rPr>
          <w:b/>
        </w:rPr>
        <w:t xml:space="preserve"> </w:t>
      </w:r>
      <w:r w:rsidR="00114353" w:rsidRPr="00CD53C6">
        <w:t xml:space="preserve">dat </w:t>
      </w:r>
      <w:r w:rsidR="00A4336F" w:rsidRPr="00CD53C6">
        <w:t>het resultaat van het overleg tussen de betrokken ambtenaren nadien wordt bevestigd op regeringsniveau.</w:t>
      </w:r>
      <w:r w:rsidR="00315140" w:rsidRPr="00DF632C">
        <w:rPr>
          <w:rStyle w:val="Voetnootmarkering"/>
          <w:rFonts w:cs="Times New Roman"/>
        </w:rPr>
        <w:footnoteReference w:id="45"/>
      </w:r>
    </w:p>
    <w:p w:rsidR="00315140" w:rsidRPr="00CD53C6" w:rsidRDefault="00A4336F" w:rsidP="00782AC6">
      <w:pPr>
        <w:pStyle w:val="Kop2"/>
        <w:rPr>
          <w:lang w:val="nl-BE"/>
        </w:rPr>
      </w:pPr>
      <w:bookmarkStart w:id="12" w:name="_Toc495677868"/>
      <w:r w:rsidRPr="00CD53C6">
        <w:rPr>
          <w:lang w:val="nl-BE"/>
        </w:rPr>
        <w:t>G. Akkoorden in vereenvoudigde vorm</w:t>
      </w:r>
      <w:bookmarkEnd w:id="12"/>
    </w:p>
    <w:p w:rsidR="00315140" w:rsidRPr="00DF632C" w:rsidRDefault="00315140" w:rsidP="00782AC6"/>
    <w:p w:rsidR="00315140" w:rsidRPr="00DF632C" w:rsidRDefault="001D12B7" w:rsidP="00782AC6">
      <w:r w:rsidRPr="00113337">
        <w:rPr>
          <w:b/>
        </w:rPr>
        <w:t>21</w:t>
      </w:r>
      <w:r w:rsidR="00315140" w:rsidRPr="00113337">
        <w:rPr>
          <w:b/>
        </w:rPr>
        <w:t>.</w:t>
      </w:r>
      <w:r w:rsidR="00315140" w:rsidRPr="00DF632C">
        <w:tab/>
      </w:r>
      <w:r w:rsidR="002D72FE">
        <w:t>D</w:t>
      </w:r>
      <w:r w:rsidR="00315140" w:rsidRPr="00DF632C">
        <w:t xml:space="preserve">e Raad van State </w:t>
      </w:r>
      <w:r w:rsidR="002D72FE">
        <w:t xml:space="preserve">wordt </w:t>
      </w:r>
      <w:r w:rsidR="00315140" w:rsidRPr="00DF632C">
        <w:t xml:space="preserve">herhaaldelijk geconfronteerd met verdragen waarin </w:t>
      </w:r>
      <w:r w:rsidR="002D72FE">
        <w:t>wordt bepaald</w:t>
      </w:r>
      <w:r w:rsidR="00315140" w:rsidRPr="00DF632C">
        <w:t xml:space="preserve"> dat nadere uitvoeringsbepalingen of zelfs verdragswijzi</w:t>
      </w:r>
      <w:r w:rsidR="00A4336F" w:rsidRPr="00CD53C6">
        <w:t>gingen k</w:t>
      </w:r>
      <w:r w:rsidR="006709F5">
        <w:t>unn</w:t>
      </w:r>
      <w:r w:rsidR="00A4336F" w:rsidRPr="00CD53C6">
        <w:t xml:space="preserve">en worden vastgesteld in overeenstemming tussen bepaalde functioneel bevoegde ministers, ambtenaren of gespecialiseerde besturen van de beide partijen. Men spreekt van zogenaamde ‘akkoorden </w:t>
      </w:r>
      <w:r w:rsidR="00A4336F" w:rsidRPr="00CD53C6">
        <w:lastRenderedPageBreak/>
        <w:t>in vereenvoudigde vorm’, omdat ze niet worden gesloten door een overheid met verdragsluitende bevoegdheid.</w:t>
      </w:r>
    </w:p>
    <w:p w:rsidR="00315140" w:rsidRPr="00DF632C" w:rsidRDefault="00315140" w:rsidP="00782AC6"/>
    <w:p w:rsidR="00315140" w:rsidRPr="00DF632C" w:rsidRDefault="00A4336F" w:rsidP="00782AC6">
      <w:r w:rsidRPr="00CD53C6">
        <w:t xml:space="preserve">Dergelijke regelingen staan potentieel op gespannen voet met artikel 167 </w:t>
      </w:r>
      <w:r w:rsidR="00701A1B">
        <w:t>Gw.</w:t>
      </w:r>
      <w:r w:rsidR="005F4DF3">
        <w:t>,</w:t>
      </w:r>
      <w:r w:rsidRPr="00CD53C6">
        <w:t xml:space="preserve"> d</w:t>
      </w:r>
      <w:r w:rsidR="006709F5">
        <w:t>at</w:t>
      </w:r>
      <w:r w:rsidRPr="00CD53C6">
        <w:t xml:space="preserve"> de verdragsluitende bevoegdheid toekent aan de </w:t>
      </w:r>
      <w:r w:rsidR="006709F5">
        <w:t>uitvoerende macht</w:t>
      </w:r>
      <w:r w:rsidR="003A1E62">
        <w:t xml:space="preserve"> (nrs. 14 en 15)</w:t>
      </w:r>
      <w:r w:rsidR="006709F5">
        <w:t>, alsook</w:t>
      </w:r>
      <w:r w:rsidRPr="00CD53C6">
        <w:t xml:space="preserve"> met de regels inzake delegatie van bevoegdheid</w:t>
      </w:r>
      <w:r w:rsidR="00F842BB">
        <w:t xml:space="preserve"> (</w:t>
      </w:r>
      <w:r w:rsidRPr="00CD53C6">
        <w:rPr>
          <w:highlight w:val="yellow"/>
        </w:rPr>
        <w:t>nr. 23</w:t>
      </w:r>
      <w:r w:rsidR="00F842BB">
        <w:t>)</w:t>
      </w:r>
      <w:r w:rsidRPr="00CD53C6">
        <w:t xml:space="preserve">. </w:t>
      </w:r>
    </w:p>
    <w:p w:rsidR="00315140" w:rsidRPr="00DF632C" w:rsidRDefault="00315140" w:rsidP="00782AC6"/>
    <w:p w:rsidR="003A1E62" w:rsidRDefault="00A4336F" w:rsidP="00782AC6">
      <w:r w:rsidRPr="00CD53C6">
        <w:t xml:space="preserve">Indien het de bedoeling is om ook af te zien van </w:t>
      </w:r>
      <w:r w:rsidR="007D06D0">
        <w:t>de</w:t>
      </w:r>
      <w:r w:rsidRPr="00CD53C6">
        <w:t xml:space="preserve"> parlementaire instemming dan </w:t>
      </w:r>
      <w:r w:rsidR="007D06D0">
        <w:t xml:space="preserve">rijst bovendien de vraag </w:t>
      </w:r>
      <w:r w:rsidRPr="00CD53C6">
        <w:t xml:space="preserve">of </w:t>
      </w:r>
      <w:r w:rsidR="007D06D0">
        <w:t xml:space="preserve">dit </w:t>
      </w:r>
      <w:r w:rsidRPr="00CD53C6">
        <w:t xml:space="preserve">niet op gespannen voet staat met de </w:t>
      </w:r>
      <w:r w:rsidR="005F3523">
        <w:t xml:space="preserve">eveneens in artikel 167 </w:t>
      </w:r>
      <w:r w:rsidR="00701A1B">
        <w:t>Gw.</w:t>
      </w:r>
      <w:r w:rsidR="005F3523">
        <w:t xml:space="preserve"> vervatte </w:t>
      </w:r>
      <w:r w:rsidRPr="00CD53C6">
        <w:t xml:space="preserve">regel dat alle verdragen ter instemming moeten worden voorgelegd </w:t>
      </w:r>
      <w:r w:rsidR="005F3523">
        <w:t>a</w:t>
      </w:r>
      <w:r w:rsidRPr="00CD53C6">
        <w:t xml:space="preserve">an het parlement </w:t>
      </w:r>
      <w:r w:rsidR="00F842BB">
        <w:t>(</w:t>
      </w:r>
      <w:r w:rsidRPr="00CD53C6">
        <w:rPr>
          <w:highlight w:val="yellow"/>
        </w:rPr>
        <w:t>nr. 22</w:t>
      </w:r>
      <w:r w:rsidR="00F842BB">
        <w:t>)</w:t>
      </w:r>
      <w:r w:rsidRPr="00CD53C6">
        <w:t>.</w:t>
      </w:r>
      <w:r w:rsidR="003A1E62">
        <w:t xml:space="preserve"> </w:t>
      </w:r>
    </w:p>
    <w:p w:rsidR="003A1E62" w:rsidRDefault="003A1E62" w:rsidP="00782AC6"/>
    <w:p w:rsidR="00315140" w:rsidRPr="00DF632C" w:rsidRDefault="003A1E62" w:rsidP="00782AC6">
      <w:r>
        <w:t>Als het gaat over akten met normatieve draagwijdte zullen ze in elk geval moeten worden bekendgemaakt in het Belgisch Staatsblad (</w:t>
      </w:r>
      <w:r w:rsidRPr="00D955AC">
        <w:rPr>
          <w:highlight w:val="yellow"/>
        </w:rPr>
        <w:t>nr. 25</w:t>
      </w:r>
      <w:r w:rsidR="00F842BB">
        <w:t>)</w:t>
      </w:r>
      <w:r w:rsidR="00A4336F" w:rsidRPr="00CD53C6">
        <w:t>.</w:t>
      </w:r>
    </w:p>
    <w:p w:rsidR="00315140" w:rsidRPr="00DF632C" w:rsidRDefault="00315140" w:rsidP="00782AC6"/>
    <w:p w:rsidR="00315140" w:rsidRPr="00DF632C" w:rsidRDefault="005F3523" w:rsidP="00782AC6">
      <w:r>
        <w:t xml:space="preserve">Hieruit volgt dat </w:t>
      </w:r>
      <w:r w:rsidR="00A4336F" w:rsidRPr="00CD53C6">
        <w:t>de marge voor het sluiten van dergelijke akkoorden in vereenvoudigde vorm beperkt</w:t>
      </w:r>
      <w:r>
        <w:t xml:space="preserve"> is</w:t>
      </w:r>
      <w:r w:rsidR="00A4336F" w:rsidRPr="00CD53C6">
        <w:t xml:space="preserve">, maar ook weer niet onbestaande. </w:t>
      </w:r>
      <w:r>
        <w:t xml:space="preserve">In elk geval moet er </w:t>
      </w:r>
      <w:r w:rsidR="00A4336F" w:rsidRPr="00CD53C6">
        <w:t xml:space="preserve">omzichtig </w:t>
      </w:r>
      <w:r>
        <w:t xml:space="preserve">mee worden </w:t>
      </w:r>
      <w:r w:rsidR="00A4336F" w:rsidRPr="00CD53C6">
        <w:t>omgesprongen, want de sanctie op het overschrijden van die marge is</w:t>
      </w:r>
      <w:r>
        <w:t xml:space="preserve"> verregaand</w:t>
      </w:r>
      <w:r w:rsidR="00A4336F" w:rsidRPr="00CD53C6">
        <w:t>.</w:t>
      </w:r>
      <w:r w:rsidR="00315140" w:rsidRPr="00DF632C">
        <w:rPr>
          <w:rStyle w:val="Voetnootmarkering"/>
          <w:rFonts w:cs="Times New Roman"/>
        </w:rPr>
        <w:footnoteReference w:id="46"/>
      </w:r>
      <w:r w:rsidR="00315140" w:rsidRPr="00DF632C">
        <w:t xml:space="preserve"> </w:t>
      </w:r>
    </w:p>
    <w:p w:rsidR="00315140" w:rsidRPr="00DF632C" w:rsidRDefault="00315140" w:rsidP="00782AC6"/>
    <w:p w:rsidR="00315140" w:rsidRPr="00DF632C" w:rsidRDefault="001D12B7" w:rsidP="00782AC6">
      <w:r w:rsidRPr="00CD53C6">
        <w:rPr>
          <w:b/>
        </w:rPr>
        <w:t>22</w:t>
      </w:r>
      <w:r w:rsidR="00A4336F" w:rsidRPr="00CD53C6">
        <w:rPr>
          <w:b/>
        </w:rPr>
        <w:t>.</w:t>
      </w:r>
      <w:r w:rsidR="00A4336F" w:rsidRPr="00CD53C6">
        <w:tab/>
        <w:t xml:space="preserve">Voor zover akkoorden </w:t>
      </w:r>
      <w:r w:rsidR="005F3523">
        <w:t xml:space="preserve">in vereenvoudigde vorm </w:t>
      </w:r>
      <w:r w:rsidR="00A4336F" w:rsidRPr="00CD53C6">
        <w:t xml:space="preserve">alleen voorzien in de administratieve en technische uitvoering van een verdrag en ermee slechts beoogd wordt de rechten en verplichtingen die in het verdrag zelf reeds zijn opgenomen uitvoerbaar te maken, zijn deze akkoorden geen nieuwe verdragen, </w:t>
      </w:r>
      <w:r w:rsidR="005F3523">
        <w:t xml:space="preserve">maar </w:t>
      </w:r>
      <w:r w:rsidR="00A4336F" w:rsidRPr="00CD53C6">
        <w:t>louter ‘uitvoeringsakkoorden’ (‘</w:t>
      </w:r>
      <w:r w:rsidR="00A4336F" w:rsidRPr="00CD53C6">
        <w:rPr>
          <w:i/>
        </w:rPr>
        <w:t>executive agreements</w:t>
      </w:r>
      <w:r w:rsidR="00A4336F" w:rsidRPr="00CD53C6">
        <w:t xml:space="preserve">’). Volgens de vaste adviespraktijk van de Raad van State </w:t>
      </w:r>
      <w:r w:rsidR="005F3523">
        <w:t>moeten</w:t>
      </w:r>
      <w:r w:rsidR="005F3523" w:rsidRPr="00CD53C6">
        <w:t xml:space="preserve"> </w:t>
      </w:r>
      <w:r w:rsidR="00A4336F" w:rsidRPr="00CD53C6">
        <w:t xml:space="preserve">ze </w:t>
      </w:r>
      <w:r w:rsidR="005F3523">
        <w:t xml:space="preserve">in dat geval </w:t>
      </w:r>
      <w:r w:rsidR="00A4336F" w:rsidRPr="00CD53C6">
        <w:t xml:space="preserve">ook niet door de </w:t>
      </w:r>
      <w:r w:rsidR="005F3523">
        <w:t>uitvoerende macht</w:t>
      </w:r>
      <w:r w:rsidR="00A4336F" w:rsidRPr="00CD53C6">
        <w:t xml:space="preserve"> worden gesloten. Het parlement hoeft er dan ook zijn instemming niet aan te verlenen.</w:t>
      </w:r>
    </w:p>
    <w:p w:rsidR="00315140" w:rsidRPr="00DF632C" w:rsidRDefault="00315140" w:rsidP="00782AC6"/>
    <w:p w:rsidR="00315140" w:rsidRPr="00DF632C" w:rsidRDefault="00A4336F" w:rsidP="00782AC6">
      <w:r w:rsidRPr="00CD53C6">
        <w:t xml:space="preserve">De Raad van State waarschuwt er evenwel voor dat uit de praktijk blijkt dat sommige van dergelijke akkoorden alsnog autonome regelingen inhouden, die nieuwe rechten en verplichtingen met zich brengen voor overheden of voor burgers. In dat geval </w:t>
      </w:r>
      <w:r w:rsidR="005F3523">
        <w:t>moeten</w:t>
      </w:r>
      <w:r w:rsidR="005F3523" w:rsidRPr="00CD53C6">
        <w:t xml:space="preserve"> </w:t>
      </w:r>
      <w:r w:rsidRPr="00CD53C6">
        <w:t xml:space="preserve">deze akkoorden </w:t>
      </w:r>
      <w:r w:rsidR="005F3523">
        <w:t xml:space="preserve">toch </w:t>
      </w:r>
      <w:r w:rsidRPr="00CD53C6">
        <w:t xml:space="preserve">als verdragen worden beschouwd. Is dat het geval, dan </w:t>
      </w:r>
      <w:r w:rsidR="005F3523">
        <w:t xml:space="preserve">moet </w:t>
      </w:r>
      <w:r w:rsidRPr="00CD53C6">
        <w:t xml:space="preserve">de geëigende procedure voor het sluiten ervan worden gevolgd en kan de regeling geen gevolg hebben dan nadat </w:t>
      </w:r>
      <w:r w:rsidR="005F3523">
        <w:t xml:space="preserve">ze </w:t>
      </w:r>
      <w:r w:rsidRPr="00CD53C6">
        <w:t>de instemming van de bevoegde parlementaire vergaderingen heeft gekregen.</w:t>
      </w:r>
      <w:r w:rsidR="00315140" w:rsidRPr="00DF632C">
        <w:rPr>
          <w:rStyle w:val="Voetnootmarkering"/>
          <w:rFonts w:cs="Times New Roman"/>
        </w:rPr>
        <w:footnoteReference w:id="47"/>
      </w:r>
      <w:r w:rsidR="00315140" w:rsidRPr="00DF632C">
        <w:rPr>
          <w:vertAlign w:val="superscript"/>
        </w:rPr>
        <w:t>-</w:t>
      </w:r>
      <w:r w:rsidR="00315140" w:rsidRPr="00DF632C">
        <w:rPr>
          <w:rStyle w:val="Voetnootmarkering"/>
          <w:rFonts w:cs="Times New Roman"/>
        </w:rPr>
        <w:footnoteReference w:id="48"/>
      </w:r>
      <w:r w:rsidR="00315140" w:rsidRPr="00DF632C">
        <w:t xml:space="preserve"> </w:t>
      </w:r>
    </w:p>
    <w:p w:rsidR="00315140" w:rsidRPr="00DF632C" w:rsidRDefault="00315140" w:rsidP="00782AC6"/>
    <w:p w:rsidR="00315140" w:rsidRPr="00DF632C" w:rsidRDefault="001D12B7" w:rsidP="00782AC6">
      <w:r w:rsidRPr="00CD53C6">
        <w:rPr>
          <w:b/>
        </w:rPr>
        <w:t>23</w:t>
      </w:r>
      <w:r w:rsidR="00A4336F" w:rsidRPr="00CD53C6">
        <w:rPr>
          <w:b/>
        </w:rPr>
        <w:t>.</w:t>
      </w:r>
      <w:r w:rsidR="00A4336F" w:rsidRPr="00CD53C6">
        <w:tab/>
        <w:t>De Raad van State verduidelijkte dat akkoorden in vereenvoudigde vorm tevens in overeenstemming moeten zijn met de regels inzake de delegatie van bevoegdheid (</w:t>
      </w:r>
      <w:r w:rsidR="00F842BB">
        <w:rPr>
          <w:highlight w:val="yellow"/>
        </w:rPr>
        <w:t>nrs. 7</w:t>
      </w:r>
      <w:r w:rsidR="00860A7A">
        <w:rPr>
          <w:highlight w:val="yellow"/>
        </w:rPr>
        <w:t>6</w:t>
      </w:r>
      <w:r w:rsidR="00F842BB">
        <w:rPr>
          <w:highlight w:val="yellow"/>
        </w:rPr>
        <w:t xml:space="preserve"> e.v.</w:t>
      </w:r>
      <w:r w:rsidR="00A4336F" w:rsidRPr="00CD53C6">
        <w:rPr>
          <w:highlight w:val="yellow"/>
        </w:rPr>
        <w:t>)</w:t>
      </w:r>
      <w:r w:rsidR="00A4336F" w:rsidRPr="00CD53C6">
        <w:t xml:space="preserve">. In een akkoord met de Caymaneilanden inzake de uitwisseling van inlichtingen met betrekking tot belastingaangelegenheden was </w:t>
      </w:r>
      <w:r w:rsidR="0084196E">
        <w:t>bepaald</w:t>
      </w:r>
      <w:r w:rsidR="0084196E" w:rsidRPr="00CD53C6">
        <w:t xml:space="preserve"> </w:t>
      </w:r>
      <w:r w:rsidR="00A4336F" w:rsidRPr="00CD53C6">
        <w:t>dat de bevoegde autoriteiten onderlinge overeenstemmingen (“</w:t>
      </w:r>
      <w:r w:rsidR="00A4336F" w:rsidRPr="00CD53C6">
        <w:rPr>
          <w:i/>
          <w:iCs/>
        </w:rPr>
        <w:t>mutual agreements</w:t>
      </w:r>
      <w:r w:rsidR="00A4336F" w:rsidRPr="00CD53C6">
        <w:t xml:space="preserve">”) sluiten die niet alleen betrekking kunnen hebben op concrete toepassingsgevallen of interpretatieproblemen in een concreet geval, maar ook op regelingen met een algemene draagwijdte. Opdat er geen bezwaar zou rijzen in het licht van artikel 167 </w:t>
      </w:r>
      <w:r w:rsidR="00701A1B">
        <w:t>Gw.</w:t>
      </w:r>
      <w:r w:rsidR="00A4336F" w:rsidRPr="00CD53C6">
        <w:t xml:space="preserve"> was </w:t>
      </w:r>
      <w:r w:rsidR="00A8163F">
        <w:t xml:space="preserve">volgens de Raad van State </w:t>
      </w:r>
      <w:r w:rsidR="00A4336F" w:rsidRPr="00CD53C6">
        <w:t xml:space="preserve">niet alleen vereist dat deze overeenkomsten </w:t>
      </w:r>
      <w:r w:rsidR="00A8163F">
        <w:t xml:space="preserve">beperkt zijn tot </w:t>
      </w:r>
      <w:r w:rsidR="00A4336F" w:rsidRPr="00CD53C6">
        <w:t xml:space="preserve">de administratieve en technische uitvoering van het akkoord en </w:t>
      </w:r>
      <w:r w:rsidR="00A8163F">
        <w:t xml:space="preserve">dat </w:t>
      </w:r>
      <w:r w:rsidR="00A4336F" w:rsidRPr="00CD53C6">
        <w:t xml:space="preserve">ermee slechts beoogd wordt de rechten en de verplichtingen die in het akkoord zelf al zijn </w:t>
      </w:r>
      <w:r w:rsidR="00A4336F" w:rsidRPr="00CD53C6">
        <w:lastRenderedPageBreak/>
        <w:t>opgenomen uitvoerbaar te maken, maar was ook vereist dat “de in het akkoord bepaalde mogelijkheid om overeenkomsten te sluiten aldus op een grondwetsconforme wijze wordt geïnterpreteerd”. De Raad verduidelijkte dit laatste als volgt: “Het op een grondwetsconforme wijze interpreteren van het akkoord houdt ook in dat waar in het akkoord melding wordt gemaakt van de bevoegde autoriteiten (</w:t>
      </w:r>
      <w:r w:rsidR="00A8163F">
        <w:t>…</w:t>
      </w:r>
      <w:r w:rsidR="00A4336F" w:rsidRPr="00CD53C6">
        <w:t>), het alleen om verordenende bevoegdheid van de Minister van Financiën (niet van een ambtenaar) kan gaan en dan nog voor zover die bevoegdheid betrekking heeft op regels van bijkomstige aard of van beperkt belang”.</w:t>
      </w:r>
      <w:r w:rsidR="00315140" w:rsidRPr="00DF632C">
        <w:rPr>
          <w:rStyle w:val="Voetnootmarkering"/>
          <w:rFonts w:cs="Times New Roman"/>
        </w:rPr>
        <w:footnoteReference w:id="49"/>
      </w:r>
    </w:p>
    <w:p w:rsidR="00315140" w:rsidRPr="00DF632C" w:rsidRDefault="00315140" w:rsidP="00782AC6"/>
    <w:p w:rsidR="00315140" w:rsidRPr="00DF632C" w:rsidRDefault="001D12B7" w:rsidP="00782AC6">
      <w:r w:rsidRPr="00CD53C6">
        <w:rPr>
          <w:b/>
        </w:rPr>
        <w:t>24</w:t>
      </w:r>
      <w:r w:rsidR="00A4336F" w:rsidRPr="00CD53C6">
        <w:rPr>
          <w:b/>
        </w:rPr>
        <w:t>.</w:t>
      </w:r>
      <w:r w:rsidR="00A4336F" w:rsidRPr="00CD53C6">
        <w:tab/>
        <w:t xml:space="preserve">De Raad van State toetste verschillende dergelijke regelingen waarbij het kader werd gecreëerd voor het sluiten van akkoorden in vereenvoudigde vorm aan het bovenstaande rechtskader. </w:t>
      </w:r>
    </w:p>
    <w:p w:rsidR="00315140" w:rsidRPr="00DF632C" w:rsidRDefault="00315140" w:rsidP="00782AC6"/>
    <w:p w:rsidR="00315140" w:rsidRPr="00DF632C" w:rsidRDefault="00A4336F" w:rsidP="00782AC6">
      <w:r w:rsidRPr="00CD53C6">
        <w:t>Het Benelux-verdrag betreffende grensoverschrijdende samenwerking inzake wegvervoerinspectie, gedaan te Luik op 3 oktober 2014</w:t>
      </w:r>
      <w:r w:rsidR="005F4DF3">
        <w:t>,</w:t>
      </w:r>
      <w:r w:rsidRPr="00CD53C6">
        <w:t xml:space="preserve"> voorziet in de mogelijkheid </w:t>
      </w:r>
      <w:r w:rsidR="00A8163F">
        <w:t>van uitvoeringsafspraken tussen</w:t>
      </w:r>
      <w:r w:rsidRPr="00CD53C6">
        <w:t xml:space="preserve"> de bevoegde autoriteiten die de aard hadden van louter praktische afspraken en uitvoeringsmodaliteiten, zoals b</w:t>
      </w:r>
      <w:r w:rsidR="00FD0733">
        <w:t>ijvoorbeeld</w:t>
      </w:r>
      <w:r w:rsidRPr="00CD53C6">
        <w:t xml:space="preserve"> over het tijdstip waarop acties zullen worden uitgevoerd, over de uitrusting die hierbij zal worden gebruikt en op welke wijze de communicatie over de geplande acties zal verlopen. De Raad van State oordeelde dat deze </w:t>
      </w:r>
      <w:r w:rsidR="00FD0733">
        <w:t xml:space="preserve">afspraken </w:t>
      </w:r>
      <w:r w:rsidRPr="00CD53C6">
        <w:t>inderdaad niet als een verdrag moesten worden gekwalificeerd, maar raadde wel aan om een aantal verduidelijkingen op te nemen in de memorie van toelichting, zodat hierover geen twijfel zou kunnen ontstaan.</w:t>
      </w:r>
      <w:r w:rsidR="00315140" w:rsidRPr="00DF632C">
        <w:rPr>
          <w:rStyle w:val="Voetnootmarkering"/>
          <w:rFonts w:cs="Times New Roman"/>
        </w:rPr>
        <w:footnoteReference w:id="50"/>
      </w:r>
    </w:p>
    <w:p w:rsidR="00315140" w:rsidRPr="00DF632C" w:rsidRDefault="00315140" w:rsidP="00782AC6"/>
    <w:p w:rsidR="00315140" w:rsidRPr="00DF632C" w:rsidRDefault="00A4336F" w:rsidP="00782AC6">
      <w:r w:rsidRPr="00CD53C6">
        <w:t xml:space="preserve">Artikel 1, lid 2, van een samenwerkingsverdrag tussen de Regering van het Koninkrijk België en de Regering van het Koninkrijk Marokko inzake de bestrijding van de georganiseerde criminaliteit en het terrorisme, opgemaakt te Brussel op 18 februari 2014, bepaalde de lijst van misdrijven waarvan de voorkoming, de vervolging en de bestrijding de doelstelling van het verdrag en van de daarin vervatte samenwerking </w:t>
      </w:r>
      <w:r w:rsidR="005F4DF3" w:rsidRPr="00CD53C6">
        <w:t>vorm</w:t>
      </w:r>
      <w:r w:rsidR="005F4DF3">
        <w:t>de</w:t>
      </w:r>
      <w:r w:rsidRPr="00CD53C6">
        <w:t xml:space="preserve">. Volgens artikel 1, lid 3, van het verdrag kon deze lijst met misdrijven worden gewijzigd “door middel van overeenkomsten tussen de bevoegde Ministers van de Verdragsluitende Partijen”. De memorie van toelichting verduidelijkte dat hiermee “administratieve overeenkomsten” worden bedoeld. Volgens de Raad van State </w:t>
      </w:r>
      <w:r w:rsidR="00C24875">
        <w:t>stuitte</w:t>
      </w:r>
      <w:r w:rsidR="00C24875" w:rsidRPr="00CD53C6">
        <w:t xml:space="preserve"> </w:t>
      </w:r>
      <w:r w:rsidRPr="00CD53C6">
        <w:t xml:space="preserve">deze werkwijze op constitutionele bezwaren. </w:t>
      </w:r>
      <w:r w:rsidR="00C24875">
        <w:t>Het ging immers niet om een</w:t>
      </w:r>
      <w:r w:rsidRPr="00CD53C6">
        <w:t xml:space="preserve"> administratief-technische regeling, maar </w:t>
      </w:r>
      <w:r w:rsidR="00C24875">
        <w:t xml:space="preserve">om </w:t>
      </w:r>
      <w:r w:rsidRPr="00CD53C6">
        <w:t>een machtiging aan de bevoegde ministers om zonder enige beperking het toepassingsgebied van het verdrag uit te breiden of te beperken. D</w:t>
      </w:r>
      <w:r w:rsidR="00C24875">
        <w:t>i</w:t>
      </w:r>
      <w:r w:rsidRPr="00CD53C6">
        <w:t>e machtiging was dan ook niet in overeenstemming met artikel 167 van de Grondwet. De Raad besloot: “Onder die omstandigheden kan artikel 1, lid 3, van het verdrag in beginsel geen doorgang vinden. Het zou slechts anders zijn indien de overeenkomsten die krachtens artikel 1, lid 3, zouden worden gesloten, door de Koning eigen zullen worden gemaakt en dus met toepassing van artikel 167, § 2, van de Grondwet ter instemming aan de Kamer van volksvertegenwoordigers zullen worden voorgelegd. Tot op het ogenblik dat die instemming werd verkregen, kunnen de voornoemde overeenkomsten ter wijziging van artikel 1, lid 2, van het verdrag geen uitwerking hebben in de Belgische rechtsorde”.</w:t>
      </w:r>
      <w:r w:rsidR="00315140" w:rsidRPr="00DF632C">
        <w:rPr>
          <w:rStyle w:val="Voetnootmarkering"/>
          <w:rFonts w:cs="Times New Roman"/>
        </w:rPr>
        <w:footnoteReference w:id="51"/>
      </w:r>
    </w:p>
    <w:p w:rsidR="00315140" w:rsidRPr="00DF632C" w:rsidRDefault="00315140" w:rsidP="00782AC6"/>
    <w:p w:rsidR="00315140" w:rsidRPr="00DF632C" w:rsidRDefault="00A4336F" w:rsidP="00782AC6">
      <w:r w:rsidRPr="00CD53C6">
        <w:t xml:space="preserve">Ook over akkoorden in vereenvoudigde vorm die voorrechten zouden toekennen aan leden van een agentschap, een subsidiair orgaan van de NAVO of een verbindingsorgaan ervan, was de Raad van State vrij categoriek: “Vermits die akkoorden evenwel noodzakelijkerwijs een </w:t>
      </w:r>
      <w:r w:rsidRPr="00CD53C6">
        <w:lastRenderedPageBreak/>
        <w:t>autonome regeling zullen inhouden, die nieuwe rechten en verplichtingen met zich meebrengt voor de overheden of de burgers, dienen deze akkoord als een verdrag te worden beschouwd”.</w:t>
      </w:r>
      <w:r w:rsidR="00315140" w:rsidRPr="00DF632C">
        <w:rPr>
          <w:rStyle w:val="Voetnootmarkering"/>
          <w:rFonts w:cs="Times New Roman"/>
        </w:rPr>
        <w:footnoteReference w:id="52"/>
      </w:r>
    </w:p>
    <w:p w:rsidR="00315140" w:rsidRPr="00DF632C" w:rsidRDefault="00315140" w:rsidP="00782AC6"/>
    <w:p w:rsidR="00315140" w:rsidRPr="00DF632C" w:rsidRDefault="00A4336F" w:rsidP="00782AC6">
      <w:r w:rsidRPr="00CD53C6">
        <w:t xml:space="preserve">De Raad van State </w:t>
      </w:r>
      <w:r w:rsidR="000779FC">
        <w:t xml:space="preserve">boog zich </w:t>
      </w:r>
      <w:r w:rsidRPr="00CD53C6">
        <w:t xml:space="preserve">tevens </w:t>
      </w:r>
      <w:r w:rsidR="000779FC">
        <w:t xml:space="preserve">over </w:t>
      </w:r>
      <w:r w:rsidRPr="00CD53C6">
        <w:t xml:space="preserve">een </w:t>
      </w:r>
      <w:r w:rsidRPr="00CD53C6">
        <w:rPr>
          <w:i/>
        </w:rPr>
        <w:t>Memorandum of Understanding</w:t>
      </w:r>
      <w:r w:rsidRPr="00CD53C6">
        <w:t xml:space="preserve"> dat zou worden gesloten door luchtvaartautoriteiten en waarin de operationele voorwaarden zouden worden bepaald voor de uitvoering van een bilateraal luchtvaartverdrag. Hierin zouden o</w:t>
      </w:r>
      <w:r w:rsidR="000779FC">
        <w:t xml:space="preserve">nder </w:t>
      </w:r>
      <w:r w:rsidRPr="00CD53C6">
        <w:t>m</w:t>
      </w:r>
      <w:r w:rsidR="000779FC">
        <w:t>eer</w:t>
      </w:r>
      <w:r w:rsidRPr="00CD53C6">
        <w:t xml:space="preserve"> de vliegroutes worden bepaald en bijgevolg de rechten van luchtvaartoperatoren. Voor de Raad ging het zonder enige twijfel om een verdrag, maar wegens het duidelijk begrensd voorwerp ervan kon de wetgever er wel voorafgaandelijk mee instemmen.</w:t>
      </w:r>
      <w:r w:rsidR="00315140" w:rsidRPr="00DF632C">
        <w:rPr>
          <w:rStyle w:val="Voetnootmarkering"/>
          <w:rFonts w:cs="Times New Roman"/>
        </w:rPr>
        <w:footnoteReference w:id="53"/>
      </w:r>
    </w:p>
    <w:p w:rsidR="00315140" w:rsidRPr="00DF632C" w:rsidRDefault="00315140" w:rsidP="00782AC6"/>
    <w:p w:rsidR="00315140" w:rsidRPr="00DF632C" w:rsidRDefault="00A4336F" w:rsidP="00782AC6">
      <w:r w:rsidRPr="00CD53C6">
        <w:t xml:space="preserve">In een </w:t>
      </w:r>
      <w:r w:rsidR="000779FC">
        <w:t>v</w:t>
      </w:r>
      <w:r w:rsidRPr="00CD53C6">
        <w:t>erdrag tussen het Vlaamse Gewest en het Koninkrijk der Nederlanden betreffende de aanleg van de Nieuwe Sluis Terneuzen, ondertekend in Terneuzen op 5 februari 2015 werd niet alleen voorzien in een regeling van vereenvoudigde verdragswijziging van bijlagen bij het verdrag (waarmee een voorafgaande instemming werd verleend), maar ook in de mogelijkheid voor de partijen om afspraken te maken over nadere regelingen ter uitvoering van het Verdrag. Deze regelingen waren evenwel heel divers van aard</w:t>
      </w:r>
      <w:r w:rsidR="000779FC">
        <w:t>: ze gingen</w:t>
      </w:r>
      <w:r w:rsidRPr="00CD53C6">
        <w:t xml:space="preserve"> van </w:t>
      </w:r>
      <w:r w:rsidR="000779FC">
        <w:t xml:space="preserve">de </w:t>
      </w:r>
      <w:r w:rsidRPr="00CD53C6">
        <w:t xml:space="preserve">administratieve afhandeling van een regeling in een bijlage bij het verdrag, over </w:t>
      </w:r>
      <w:r w:rsidR="000779FC">
        <w:t>de</w:t>
      </w:r>
      <w:r w:rsidRPr="00CD53C6">
        <w:t xml:space="preserve"> verdeling van de kosten bij functieverbetering of bij functieherstel tot afspraken over een kanaalaanpassing. </w:t>
      </w:r>
      <w:r w:rsidR="000779FC">
        <w:t>A</w:t>
      </w:r>
      <w:r w:rsidRPr="00CD53C6">
        <w:t xml:space="preserve">fhankelijk van de concrete omstandigheden </w:t>
      </w:r>
      <w:r w:rsidR="000779FC">
        <w:t xml:space="preserve">bleken </w:t>
      </w:r>
      <w:r w:rsidRPr="00CD53C6">
        <w:t xml:space="preserve">de afspraken over een kanaalaanpassing de vorm </w:t>
      </w:r>
      <w:r w:rsidR="000779FC">
        <w:t xml:space="preserve">te </w:t>
      </w:r>
      <w:r w:rsidRPr="00CD53C6">
        <w:t xml:space="preserve">kunnen aannemen van een nieuw verdrag, van een besluit van het politieke college van de Vlaamse-Nederlandse Scheldecommissie of van een administratieve afspraak van grensoverschrijdende of interterritoriale samenwerking. </w:t>
      </w:r>
      <w:r w:rsidR="000779FC">
        <w:t>D</w:t>
      </w:r>
      <w:r w:rsidRPr="00CD53C6">
        <w:t xml:space="preserve">e Raad van State </w:t>
      </w:r>
      <w:r w:rsidR="000779FC">
        <w:t xml:space="preserve">concludeerde </w:t>
      </w:r>
      <w:r w:rsidRPr="00CD53C6">
        <w:t xml:space="preserve">dan ook dat “telkens een (nadere) regeling wordt gesloten, zal </w:t>
      </w:r>
      <w:r w:rsidR="00792140">
        <w:t>(…)</w:t>
      </w:r>
      <w:r w:rsidR="00792140" w:rsidRPr="00CD53C6">
        <w:t xml:space="preserve"> </w:t>
      </w:r>
      <w:r w:rsidRPr="00CD53C6">
        <w:t>moeten worden nagegaan of het niet om een verdrag gaat. Is dat het geval, dan dient de geëigende procedure voor het sluiten ervan te worden gevolgd en kan de regeling geen gevolg hebben dan nadat het de instemming van het Vlaams Parlement heeft gekregen”.</w:t>
      </w:r>
      <w:r w:rsidR="00315140" w:rsidRPr="00DF632C">
        <w:rPr>
          <w:rStyle w:val="Voetnootmarkering"/>
          <w:rFonts w:cs="Times New Roman"/>
        </w:rPr>
        <w:footnoteReference w:id="54"/>
      </w:r>
    </w:p>
    <w:p w:rsidR="00315140" w:rsidRPr="00DF632C" w:rsidRDefault="00315140" w:rsidP="00782AC6"/>
    <w:p w:rsidR="00315140" w:rsidRPr="00DF632C" w:rsidRDefault="00A4336F" w:rsidP="00782AC6">
      <w:r w:rsidRPr="00CD53C6">
        <w:t xml:space="preserve">De Raad van State </w:t>
      </w:r>
      <w:r w:rsidR="00792140">
        <w:t>formuleert</w:t>
      </w:r>
      <w:r w:rsidRPr="00CD53C6">
        <w:t xml:space="preserve"> in </w:t>
      </w:r>
      <w:r w:rsidR="00792140">
        <w:t>zijn</w:t>
      </w:r>
      <w:r w:rsidRPr="00CD53C6">
        <w:t xml:space="preserve"> adviespraktijk regelmatig het voorbehoud dat op het ogenblik van het sluiten van een akkoorden in vereenvoudigde vorm zal moeten worden nagegaan of het al dan niet om een verdrag gaat,</w:t>
      </w:r>
      <w:r w:rsidR="00315140" w:rsidRPr="00DF632C">
        <w:rPr>
          <w:rStyle w:val="Voetnootmarkering"/>
          <w:rFonts w:cs="Times New Roman"/>
        </w:rPr>
        <w:footnoteReference w:id="55"/>
      </w:r>
      <w:r w:rsidR="00315140" w:rsidRPr="00DF632C">
        <w:t xml:space="preserve"> waarbij </w:t>
      </w:r>
      <w:r w:rsidR="00792140">
        <w:t xml:space="preserve">hij </w:t>
      </w:r>
      <w:r w:rsidR="00315140" w:rsidRPr="00DF632C">
        <w:t xml:space="preserve">soms al een eerste </w:t>
      </w:r>
      <w:r w:rsidRPr="00CD53C6">
        <w:t xml:space="preserve">indicatie voor de beoordeling ervan </w:t>
      </w:r>
      <w:r w:rsidR="00792140">
        <w:t>geeft</w:t>
      </w:r>
      <w:r w:rsidRPr="00CD53C6">
        <w:t>. Om advies gevraagd over een instemmingswet met het verdrag tussen de Regering van het Koninkrijk België en de Regering van het Groothertogdom Luxemburg betreffende de informatie-uitwisselingen in geval van incidenten of ongevallen die radiologische gevolgen kunnen hebben, gedaan te Eischen op 28 april 2004, erken</w:t>
      </w:r>
      <w:r w:rsidR="0098518F">
        <w:t>de</w:t>
      </w:r>
      <w:r w:rsidRPr="00CD53C6">
        <w:t xml:space="preserve"> de Raad dat </w:t>
      </w:r>
      <w:r w:rsidR="0098518F">
        <w:t xml:space="preserve">door middel van briefwisseling te bepalen </w:t>
      </w:r>
      <w:r w:rsidR="00792140">
        <w:t>nadere regels</w:t>
      </w:r>
      <w:r w:rsidRPr="00CD53C6">
        <w:t xml:space="preserve"> voor het oprichten van transmissienetwerken, het bepalen van de precieze aard van de uit te wisselen inlichtingen en het bepalen van het precieze mandaat van de contactpersoon alsook van de praktische modaliteiten van zijn zending op het eerste zicht een louter administratieve en technische uitvoering van het verdrag lijk</w:t>
      </w:r>
      <w:r w:rsidR="0098518F">
        <w:t>en</w:t>
      </w:r>
      <w:r w:rsidRPr="00CD53C6">
        <w:t xml:space="preserve"> te </w:t>
      </w:r>
      <w:r w:rsidR="00792140">
        <w:t>betreffen</w:t>
      </w:r>
      <w:r w:rsidRPr="00CD53C6">
        <w:t>. De Raad waarschuwde er</w:t>
      </w:r>
      <w:r w:rsidR="00792140">
        <w:t xml:space="preserve"> echter </w:t>
      </w:r>
      <w:r w:rsidRPr="00CD53C6">
        <w:t>voor dat indien d</w:t>
      </w:r>
      <w:r w:rsidR="0098518F">
        <w:t>i</w:t>
      </w:r>
      <w:r w:rsidRPr="00CD53C6">
        <w:t xml:space="preserve">e briefwisseling tot gevolg zou hebben dat het toepassingsgebied van de </w:t>
      </w:r>
      <w:r w:rsidRPr="00CD53C6">
        <w:lastRenderedPageBreak/>
        <w:t>regeling zou worden uitgebreid of indien de bepalingen ervan gevolgen zouden hebben voor de rechten en de plichten van de rechtzoekenden (b</w:t>
      </w:r>
      <w:r w:rsidR="00510D21">
        <w:t>ij</w:t>
      </w:r>
      <w:r w:rsidRPr="00CD53C6">
        <w:t>v</w:t>
      </w:r>
      <w:r w:rsidR="00510D21">
        <w:t>oorbeeld</w:t>
      </w:r>
      <w:r w:rsidRPr="00CD53C6">
        <w:t xml:space="preserve"> door </w:t>
      </w:r>
      <w:r w:rsidR="00510D21">
        <w:t xml:space="preserve">te </w:t>
      </w:r>
      <w:r w:rsidRPr="00CD53C6">
        <w:t xml:space="preserve">voorzien in een regeling van vertrouwelijkheid, waardoor wordt afgeweken van de </w:t>
      </w:r>
      <w:r w:rsidR="0098518F">
        <w:t xml:space="preserve">grondwetsbepaling inzake de </w:t>
      </w:r>
      <w:r w:rsidRPr="00CD53C6">
        <w:t>openbaarheid van bestuursdocumenten), de briefwisseling niet zal kunnen worden beschouwd als een akkoord in vereenvoudigde vorm en ter instemming zal moeten worden voorgelegd aan het parlement.</w:t>
      </w:r>
      <w:r w:rsidR="00315140" w:rsidRPr="00DF632C">
        <w:rPr>
          <w:rStyle w:val="Voetnootmarkering"/>
          <w:rFonts w:cs="Times New Roman"/>
        </w:rPr>
        <w:footnoteReference w:id="56"/>
      </w:r>
    </w:p>
    <w:p w:rsidR="00315140" w:rsidRPr="00DF632C" w:rsidRDefault="00315140" w:rsidP="00782AC6"/>
    <w:p w:rsidR="00315140" w:rsidRPr="00DF632C" w:rsidRDefault="001D12B7" w:rsidP="00782AC6">
      <w:r w:rsidRPr="00CD53C6">
        <w:rPr>
          <w:b/>
        </w:rPr>
        <w:t>25</w:t>
      </w:r>
      <w:r w:rsidR="00A4336F" w:rsidRPr="00CD53C6">
        <w:rPr>
          <w:b/>
        </w:rPr>
        <w:t>.</w:t>
      </w:r>
      <w:r w:rsidR="00A4336F" w:rsidRPr="00CD53C6">
        <w:tab/>
      </w:r>
      <w:r w:rsidR="0059575C">
        <w:t>O</w:t>
      </w:r>
      <w:r w:rsidR="00A4336F" w:rsidRPr="00CD53C6">
        <w:t>m verbindend te zijn, moet</w:t>
      </w:r>
      <w:r w:rsidR="0059575C">
        <w:t xml:space="preserve"> een akkoord in vereenvoudigde vorm</w:t>
      </w:r>
      <w:r w:rsidR="00A4336F" w:rsidRPr="00CD53C6">
        <w:t xml:space="preserve"> worden bekendgemaakt in het Belgisch Staatsblad.</w:t>
      </w:r>
      <w:r w:rsidR="00315140" w:rsidRPr="00DF632C">
        <w:rPr>
          <w:rStyle w:val="Voetnootmarkering"/>
          <w:rFonts w:cs="Times New Roman"/>
        </w:rPr>
        <w:footnoteReference w:id="57"/>
      </w:r>
      <w:r w:rsidR="00315140" w:rsidRPr="00DF632C">
        <w:t xml:space="preserve"> De Raad van State blijft wat op de vlakte over de precieze draagwijdte van deze verplichting. Deze verplichting geldt in elk geval voor akkoorden die als een verdrag moeten worden gekwalificeerd, maar tevens voor elk ander akkoord met een normatieve draagwijdte of </w:t>
      </w:r>
      <w:r w:rsidR="0059575C">
        <w:t xml:space="preserve">dat </w:t>
      </w:r>
      <w:r w:rsidR="00315140" w:rsidRPr="00DF632C">
        <w:t>van aard is om de rechtspositie van burgers te raken.</w:t>
      </w:r>
      <w:r w:rsidR="00315140" w:rsidRPr="00DF632C">
        <w:rPr>
          <w:rStyle w:val="Voetnootmarkering"/>
          <w:rFonts w:cs="Times New Roman"/>
        </w:rPr>
        <w:footnoteReference w:id="58"/>
      </w:r>
      <w:r w:rsidR="00315140" w:rsidRPr="00DF632C">
        <w:t xml:space="preserve"> Bij gebreke hiervan zal het akkoord niet tegenwerpbaar zijn aan particulieren (</w:t>
      </w:r>
      <w:r w:rsidR="00A4336F" w:rsidRPr="00CD53C6">
        <w:t xml:space="preserve">nr. </w:t>
      </w:r>
      <w:r w:rsidR="00F842BB">
        <w:rPr>
          <w:highlight w:val="yellow"/>
        </w:rPr>
        <w:t>9</w:t>
      </w:r>
      <w:r w:rsidR="00A01319">
        <w:rPr>
          <w:highlight w:val="yellow"/>
        </w:rPr>
        <w:t>7</w:t>
      </w:r>
      <w:r w:rsidR="00A4336F" w:rsidRPr="00CD53C6">
        <w:t>).</w:t>
      </w:r>
    </w:p>
    <w:p w:rsidR="00315140" w:rsidRPr="00CD53C6" w:rsidRDefault="00A4336F" w:rsidP="00782AC6">
      <w:pPr>
        <w:pStyle w:val="Kop2"/>
        <w:rPr>
          <w:lang w:val="nl-BE"/>
        </w:rPr>
      </w:pPr>
      <w:bookmarkStart w:id="13" w:name="_Toc495677869"/>
      <w:r w:rsidRPr="00CD53C6">
        <w:rPr>
          <w:lang w:val="nl-BE"/>
        </w:rPr>
        <w:t>H. Clausule van meest begunstigde natie</w:t>
      </w:r>
      <w:bookmarkEnd w:id="13"/>
    </w:p>
    <w:p w:rsidR="00315140" w:rsidRPr="00DF632C" w:rsidRDefault="00315140" w:rsidP="00782AC6"/>
    <w:p w:rsidR="00315140" w:rsidRPr="00DF632C" w:rsidRDefault="001D12B7" w:rsidP="00782AC6">
      <w:r w:rsidRPr="00CD53C6">
        <w:rPr>
          <w:b/>
        </w:rPr>
        <w:t>26</w:t>
      </w:r>
      <w:r w:rsidR="00A4336F" w:rsidRPr="00CD53C6">
        <w:rPr>
          <w:b/>
        </w:rPr>
        <w:t>.</w:t>
      </w:r>
      <w:r w:rsidR="00A4336F" w:rsidRPr="00CD53C6">
        <w:tab/>
        <w:t xml:space="preserve">In </w:t>
      </w:r>
      <w:r w:rsidR="0059575C">
        <w:t>een</w:t>
      </w:r>
      <w:r w:rsidR="0059575C" w:rsidRPr="00CD53C6">
        <w:t xml:space="preserve"> </w:t>
      </w:r>
      <w:r w:rsidR="00A4336F" w:rsidRPr="00CD53C6">
        <w:t xml:space="preserve">vorige kroniek </w:t>
      </w:r>
      <w:r w:rsidR="0059575C">
        <w:t xml:space="preserve">werd al uiteengezet </w:t>
      </w:r>
      <w:r w:rsidR="00A4336F" w:rsidRPr="00CD53C6">
        <w:t xml:space="preserve">dat het parlement zijn instemming </w:t>
      </w:r>
      <w:r w:rsidR="0059575C">
        <w:t>met een verdrag moet</w:t>
      </w:r>
      <w:r w:rsidR="00A4336F" w:rsidRPr="00CD53C6">
        <w:t xml:space="preserve"> verlenen met kennis van zaken. Het parlement moet bijgevolg zo volledig mogelijk worden geïnformeerd over de draagwijdte van het verdrag waarmee instemming wordt gevraagd.</w:t>
      </w:r>
      <w:r w:rsidR="00315140" w:rsidRPr="00DF632C">
        <w:rPr>
          <w:rStyle w:val="Voetnootmarkering"/>
          <w:rFonts w:cs="Times New Roman"/>
        </w:rPr>
        <w:footnoteReference w:id="59"/>
      </w:r>
      <w:r w:rsidR="00315140" w:rsidRPr="00DF632C">
        <w:t xml:space="preserve"> De precieze draagwijdte van een</w:t>
      </w:r>
      <w:r w:rsidR="00A4336F" w:rsidRPr="0098518F">
        <w:t xml:space="preserve"> verdrag zal op het ogenblik dat </w:t>
      </w:r>
      <w:r w:rsidR="0059575C">
        <w:t xml:space="preserve">de </w:t>
      </w:r>
      <w:r w:rsidR="00A4336F" w:rsidRPr="0098518F">
        <w:t>instemming wordt gevraagd niet altijd zo duidelijk zijn, b</w:t>
      </w:r>
      <w:r w:rsidR="0059575C">
        <w:t>ij</w:t>
      </w:r>
      <w:r w:rsidR="00A4336F" w:rsidRPr="0098518F">
        <w:t>v</w:t>
      </w:r>
      <w:r w:rsidR="0059575C">
        <w:t>oorbeeld</w:t>
      </w:r>
      <w:r w:rsidR="00A4336F" w:rsidRPr="0098518F">
        <w:t xml:space="preserve"> omdat in verdrag</w:t>
      </w:r>
      <w:r w:rsidR="0059575C">
        <w:t>sbepaling</w:t>
      </w:r>
      <w:r w:rsidR="00A4336F" w:rsidRPr="0098518F">
        <w:t>en vaak processen worden opgezet waarbinnen internationale regels nog vorm moeten krijgen</w:t>
      </w:r>
      <w:r w:rsidR="003A1E62">
        <w:t xml:space="preserve"> (bv. regels van afgeleid internationaal recht)</w:t>
      </w:r>
      <w:r w:rsidR="00A4336F" w:rsidRPr="0098518F">
        <w:t xml:space="preserve">. De Raad van State brengt dergelijke verdragsbepalingen onder de aandacht van het parlement en zal erop wijzen </w:t>
      </w:r>
      <w:r w:rsidR="0059575C">
        <w:t xml:space="preserve">dat </w:t>
      </w:r>
      <w:r w:rsidR="00A4336F" w:rsidRPr="0098518F">
        <w:t xml:space="preserve">particulieren op de hoogte zullen moeten worden gebracht van de totstandkoming van een dergelijke regel. Zo bevatte </w:t>
      </w:r>
      <w:r w:rsidR="0059575C">
        <w:t>een protocol tot wijziging van een dubbelbelastingverdrag tussen België en Mexico</w:t>
      </w:r>
      <w:r w:rsidR="00A4336F" w:rsidRPr="0098518F">
        <w:t xml:space="preserve"> een clausule van meest begunstigde natie waardoor een vrijwillige arbitrageprocedure automatisch van toepassing zal zijn tussen België en Mexico indien Mexico met een derde staat een verdrag sluit dat voorziet in een dergelijke vrijwillige arbitrageprocedure. </w:t>
      </w:r>
      <w:r w:rsidR="0059575C">
        <w:t>D</w:t>
      </w:r>
      <w:r w:rsidR="00A4336F" w:rsidRPr="0098518F">
        <w:t xml:space="preserve">e Raad van State </w:t>
      </w:r>
      <w:r w:rsidR="0059575C">
        <w:t xml:space="preserve">merkte op </w:t>
      </w:r>
      <w:r w:rsidR="00A4336F" w:rsidRPr="0098518F">
        <w:t xml:space="preserve">“dat hierdoor een procedure van toepassing zal zijn die zonder tussenkomst van België werd bepaald en op de toepassing waarvan de Kamer bijgevolg slechts een beperkt toezicht zal kunnen uitoefenen”. </w:t>
      </w:r>
      <w:r w:rsidR="0059575C">
        <w:t>D</w:t>
      </w:r>
      <w:r w:rsidR="00A4336F" w:rsidRPr="0098518F">
        <w:t xml:space="preserve">e Minister van </w:t>
      </w:r>
      <w:r w:rsidR="0059575C">
        <w:t>F</w:t>
      </w:r>
      <w:r w:rsidR="00A4336F" w:rsidRPr="0098518F">
        <w:t xml:space="preserve">inanciën </w:t>
      </w:r>
      <w:r w:rsidR="0059575C">
        <w:t>verklaarde dat</w:t>
      </w:r>
      <w:r w:rsidR="00A4336F" w:rsidRPr="0098518F">
        <w:t xml:space="preserve"> “indien het geval zich voordoet </w:t>
      </w:r>
      <w:r w:rsidR="0059575C">
        <w:t xml:space="preserve">[…] </w:t>
      </w:r>
      <w:r w:rsidR="00A4336F" w:rsidRPr="0098518F">
        <w:t xml:space="preserve">de belastingadministratie een omzendbrief </w:t>
      </w:r>
      <w:r w:rsidR="0059575C">
        <w:t xml:space="preserve">[zal] </w:t>
      </w:r>
      <w:r w:rsidR="00A4336F" w:rsidRPr="0098518F">
        <w:t xml:space="preserve">publiceren die de inwerkingtreding en datum van toepassing van de bepaling toelicht, </w:t>
      </w:r>
      <w:r w:rsidR="0059575C">
        <w:t>s</w:t>
      </w:r>
      <w:r w:rsidR="00A4336F" w:rsidRPr="0098518F">
        <w:t>amen met een beknopt bericht op de portaalsite van de FOD Financiën”.</w:t>
      </w:r>
      <w:r w:rsidR="00315140" w:rsidRPr="00DF632C">
        <w:rPr>
          <w:rStyle w:val="Voetnootmarkering"/>
          <w:rFonts w:cs="Times New Roman"/>
        </w:rPr>
        <w:footnoteReference w:id="60"/>
      </w:r>
      <w:r w:rsidR="00315140" w:rsidRPr="00DF632C">
        <w:t xml:space="preserve"> </w:t>
      </w:r>
    </w:p>
    <w:p w:rsidR="00315140" w:rsidRPr="00DF632C" w:rsidRDefault="00315140" w:rsidP="00782AC6"/>
    <w:p w:rsidR="00315140" w:rsidRPr="00CD53C6" w:rsidRDefault="00A4336F" w:rsidP="00782AC6">
      <w:pPr>
        <w:pStyle w:val="Kop2"/>
        <w:rPr>
          <w:lang w:val="nl-BE"/>
        </w:rPr>
      </w:pPr>
      <w:bookmarkStart w:id="14" w:name="_Toc495677870"/>
      <w:r w:rsidRPr="00CD53C6">
        <w:rPr>
          <w:lang w:val="nl-BE"/>
        </w:rPr>
        <w:lastRenderedPageBreak/>
        <w:t>I. Redactie van verdragen</w:t>
      </w:r>
      <w:bookmarkEnd w:id="14"/>
    </w:p>
    <w:p w:rsidR="00315140" w:rsidRPr="00DF632C" w:rsidRDefault="00315140" w:rsidP="00782AC6"/>
    <w:p w:rsidR="00315140" w:rsidRPr="00DF632C" w:rsidRDefault="001D12B7" w:rsidP="00782AC6">
      <w:r w:rsidRPr="00CD53C6">
        <w:rPr>
          <w:b/>
        </w:rPr>
        <w:t>27</w:t>
      </w:r>
      <w:r w:rsidR="00A4336F" w:rsidRPr="00CD53C6">
        <w:rPr>
          <w:b/>
        </w:rPr>
        <w:t>.</w:t>
      </w:r>
      <w:r w:rsidR="00A4336F" w:rsidRPr="00CD53C6">
        <w:tab/>
        <w:t xml:space="preserve">Hoewel verdragen doorgaans met het nodige protocol en decorum worden gesloten en hoewel ze een bijzondere positie innemen in onze rechtsorde (direct werkende bepalingen ervan hebben voorrang op regels van intern recht), is de redactie van sommige verdragen </w:t>
      </w:r>
      <w:r w:rsidR="003B28C2">
        <w:t>vreemd</w:t>
      </w:r>
      <w:r w:rsidR="00EA1774">
        <w:t xml:space="preserve"> genoeg </w:t>
      </w:r>
      <w:r w:rsidR="00A4336F" w:rsidRPr="00CD53C6">
        <w:t>van een bedroevend slechte kwaliteit. Aangezien een verdragstekst niet eenzijdig kan worden gewijzigd, zal de Raad van State doorgaans een zekere terughoudendheid aan de dag leg</w:t>
      </w:r>
      <w:r w:rsidR="003B28C2">
        <w:t>gen</w:t>
      </w:r>
      <w:r w:rsidR="00A4336F" w:rsidRPr="00CD53C6">
        <w:t xml:space="preserve"> bij het formuleren van opmerkingen over een verdragstekst. Niettemin blijkt uit sommige adviezen duidelijk dat de tekst beter zou worden verbeterd</w:t>
      </w:r>
      <w:r w:rsidR="00315140" w:rsidRPr="00DF632C">
        <w:rPr>
          <w:rStyle w:val="Voetnootmarkering"/>
          <w:rFonts w:cs="Times New Roman"/>
        </w:rPr>
        <w:footnoteReference w:id="61"/>
      </w:r>
      <w:r w:rsidR="00315140" w:rsidRPr="00DF632C">
        <w:t xml:space="preserve"> of zelf heronderhandeld.</w:t>
      </w:r>
      <w:r w:rsidR="00315140" w:rsidRPr="00DF632C">
        <w:rPr>
          <w:rStyle w:val="Voetnootmarkering"/>
          <w:rFonts w:cs="Times New Roman"/>
        </w:rPr>
        <w:footnoteReference w:id="62"/>
      </w:r>
    </w:p>
    <w:p w:rsidR="00315140" w:rsidRPr="00DF632C" w:rsidRDefault="00315140" w:rsidP="00782AC6"/>
    <w:p w:rsidR="00315140" w:rsidRPr="00DF632C" w:rsidRDefault="001D12B7" w:rsidP="00D262C8">
      <w:r w:rsidRPr="00CD53C6">
        <w:rPr>
          <w:b/>
        </w:rPr>
        <w:t>28</w:t>
      </w:r>
      <w:r w:rsidR="00A4336F" w:rsidRPr="00CD53C6">
        <w:rPr>
          <w:b/>
        </w:rPr>
        <w:t>.</w:t>
      </w:r>
      <w:r w:rsidR="00A4336F" w:rsidRPr="00CD53C6">
        <w:tab/>
      </w:r>
      <w:r w:rsidR="003F45F4">
        <w:t>Zelfs</w:t>
      </w:r>
      <w:r w:rsidR="00A4336F" w:rsidRPr="00CD53C6">
        <w:t xml:space="preserve"> basisterminologie </w:t>
      </w:r>
      <w:r w:rsidR="003F45F4">
        <w:t xml:space="preserve">geeft </w:t>
      </w:r>
      <w:r w:rsidR="00A4336F" w:rsidRPr="00CD53C6">
        <w:t xml:space="preserve">soms nog </w:t>
      </w:r>
      <w:r w:rsidR="003F45F4">
        <w:t xml:space="preserve">aanleiding </w:t>
      </w:r>
      <w:r w:rsidR="00A4336F" w:rsidRPr="00CD53C6">
        <w:t xml:space="preserve">tot problemen. Zo worden verdragen gesloten namens het “Koninkrijk België” en </w:t>
      </w:r>
      <w:r w:rsidR="00A4336F" w:rsidRPr="00CD53C6">
        <w:rPr>
          <w:i/>
        </w:rPr>
        <w:t>niet</w:t>
      </w:r>
      <w:r w:rsidR="00A4336F" w:rsidRPr="00CD53C6">
        <w:t xml:space="preserve"> namens “de Belgische regering”. Het is immers het Koninkrijk België dat over internationale rechtspersoonlijkheid beschikt,</w:t>
      </w:r>
      <w:r w:rsidR="00315140" w:rsidRPr="00DF632C">
        <w:rPr>
          <w:rStyle w:val="Voetnootmarkering"/>
          <w:rFonts w:cs="Times New Roman"/>
        </w:rPr>
        <w:footnoteReference w:id="63"/>
      </w:r>
      <w:r w:rsidR="00315140" w:rsidRPr="00DF632C">
        <w:t xml:space="preserve"> en in wiens naam verdragen worden afgesloten.</w:t>
      </w:r>
      <w:r w:rsidR="00315140" w:rsidRPr="00DF632C">
        <w:rPr>
          <w:rStyle w:val="Voetnootmarkering"/>
          <w:rFonts w:cs="Times New Roman"/>
        </w:rPr>
        <w:footnoteReference w:id="64"/>
      </w:r>
      <w:r w:rsidR="00315140" w:rsidRPr="00DF632C">
        <w:rPr>
          <w:vertAlign w:val="superscript"/>
        </w:rPr>
        <w:t>-</w:t>
      </w:r>
      <w:r w:rsidR="00315140" w:rsidRPr="00DF632C">
        <w:rPr>
          <w:rStyle w:val="Voetnootmarkering"/>
          <w:rFonts w:cs="Times New Roman"/>
        </w:rPr>
        <w:footnoteReference w:id="65"/>
      </w:r>
      <w:r w:rsidR="00315140" w:rsidRPr="00DF632C">
        <w:t xml:space="preserve"> De Raad van State heeft zich overigens al afgevraagd wie die </w:t>
      </w:r>
      <w:r w:rsidR="00A4336F" w:rsidRPr="00CD53C6">
        <w:t xml:space="preserve">“Belgische regering” wel zou kunnen zijn, rekening houdend met het </w:t>
      </w:r>
      <w:r w:rsidR="003F45F4">
        <w:t>gegeven</w:t>
      </w:r>
      <w:r w:rsidR="003F45F4" w:rsidRPr="00CD53C6">
        <w:t xml:space="preserve"> </w:t>
      </w:r>
      <w:r w:rsidR="00A4336F" w:rsidRPr="00CD53C6">
        <w:t>dat België een federale staat is waar zowel de federale overheid, de gewesten en de gemeenschappen bevoegd zijn voor de internationale samenwerking.</w:t>
      </w:r>
      <w:r w:rsidR="00315140" w:rsidRPr="00DF632C">
        <w:rPr>
          <w:rStyle w:val="Voetnootmarkering"/>
          <w:rFonts w:cs="Times New Roman"/>
        </w:rPr>
        <w:footnoteReference w:id="66"/>
      </w:r>
      <w:r w:rsidR="00315140" w:rsidRPr="00DF632C">
        <w:t xml:space="preserve"> </w:t>
      </w:r>
      <w:r w:rsidR="005F2BCD">
        <w:t>Desondanks</w:t>
      </w:r>
      <w:r w:rsidR="00A4336F" w:rsidRPr="00CD53C6">
        <w:t xml:space="preserve"> blijkt de federale overheid zich soms </w:t>
      </w:r>
      <w:r w:rsidR="005F2BCD">
        <w:t>nog steeds</w:t>
      </w:r>
      <w:r w:rsidR="00A4336F" w:rsidRPr="00CD53C6">
        <w:t xml:space="preserve"> ten onrechte </w:t>
      </w:r>
      <w:r w:rsidR="005F2BCD">
        <w:t xml:space="preserve">te </w:t>
      </w:r>
      <w:r w:rsidR="00A4336F" w:rsidRPr="00CD53C6">
        <w:t>vereenzelvig</w:t>
      </w:r>
      <w:r w:rsidR="005F2BCD">
        <w:t>en</w:t>
      </w:r>
      <w:r w:rsidR="00A4336F" w:rsidRPr="00CD53C6">
        <w:t xml:space="preserve">met het </w:t>
      </w:r>
      <w:r w:rsidR="00F842BB">
        <w:t>‘</w:t>
      </w:r>
      <w:r w:rsidR="00A4336F" w:rsidRPr="00CD53C6">
        <w:t>Koninkrijk België</w:t>
      </w:r>
      <w:r w:rsidR="00F842BB">
        <w:t>’</w:t>
      </w:r>
      <w:r w:rsidR="00A4336F" w:rsidRPr="00CD53C6">
        <w:t xml:space="preserve">. De Raad van State merkte dan ook op: “In de toekomst moet er bij het sluiten van verdragen zorg voor worden gedragen om de termen </w:t>
      </w:r>
      <w:r w:rsidR="005F2BCD">
        <w:t>‘</w:t>
      </w:r>
      <w:r w:rsidR="00A4336F" w:rsidRPr="00CD53C6">
        <w:t>federale overheid</w:t>
      </w:r>
      <w:r w:rsidR="005F2BCD">
        <w:t>’</w:t>
      </w:r>
      <w:r w:rsidR="00A4336F" w:rsidRPr="00CD53C6">
        <w:t xml:space="preserve"> en </w:t>
      </w:r>
      <w:r w:rsidR="005F2BCD">
        <w:t>‘</w:t>
      </w:r>
      <w:r w:rsidR="00A4336F" w:rsidRPr="00CD53C6">
        <w:t>Koninkrijk België</w:t>
      </w:r>
      <w:r w:rsidR="005F2BCD">
        <w:t>’</w:t>
      </w:r>
      <w:r w:rsidR="00A4336F" w:rsidRPr="00CD53C6">
        <w:t xml:space="preserve"> niet door elkaar te halen. Internationaalrechtelijk heeft het </w:t>
      </w:r>
      <w:r w:rsidR="005F2BCD">
        <w:t>‘</w:t>
      </w:r>
      <w:r w:rsidR="00A4336F" w:rsidRPr="00CD53C6">
        <w:t>Koninkrijk België</w:t>
      </w:r>
      <w:r w:rsidR="005F2BCD">
        <w:t>’</w:t>
      </w:r>
      <w:r w:rsidR="00A4336F" w:rsidRPr="00CD53C6">
        <w:t xml:space="preserve"> immers verschillende organen waarvan de “federale overheid” er slechts één is, naast onder meer het Vlaamse Gewest, het Waalse Gewest en het Brusselse Hoofdstedelijke Gewest. Als het de bedoeling is om in een verdrag specifieke rechten of plichten toe te kennen aan de </w:t>
      </w:r>
      <w:r w:rsidR="005F2BCD">
        <w:t>‘</w:t>
      </w:r>
      <w:r w:rsidR="00A4336F" w:rsidRPr="00CD53C6">
        <w:t>federale overheid</w:t>
      </w:r>
      <w:r w:rsidR="005F2BCD">
        <w:t>’</w:t>
      </w:r>
      <w:r w:rsidR="00A4336F" w:rsidRPr="00CD53C6">
        <w:t xml:space="preserve"> dan dient deze ook als dusdanig te worden aangewezen”.</w:t>
      </w:r>
      <w:r w:rsidR="00315140" w:rsidRPr="00DF632C">
        <w:rPr>
          <w:rStyle w:val="Voetnootmarkering"/>
          <w:rFonts w:cs="Times New Roman"/>
        </w:rPr>
        <w:footnoteReference w:id="67"/>
      </w:r>
    </w:p>
    <w:p w:rsidR="00315140" w:rsidRPr="00DF632C" w:rsidRDefault="00A4336F" w:rsidP="00782AC6">
      <w:pPr>
        <w:pStyle w:val="Kop1"/>
      </w:pPr>
      <w:bookmarkStart w:id="15" w:name="_Toc495677871"/>
      <w:r w:rsidRPr="00CD53C6">
        <w:t xml:space="preserve">V. Implementatie van </w:t>
      </w:r>
      <w:r w:rsidR="00B72A89">
        <w:t>EU-</w:t>
      </w:r>
      <w:r w:rsidRPr="00CD53C6">
        <w:t>recht</w:t>
      </w:r>
      <w:bookmarkEnd w:id="15"/>
    </w:p>
    <w:p w:rsidR="00551AE8" w:rsidRPr="00DF632C" w:rsidRDefault="00551AE8" w:rsidP="00782AC6">
      <w:pPr>
        <w:rPr>
          <w:szCs w:val="24"/>
        </w:rPr>
      </w:pPr>
    </w:p>
    <w:p w:rsidR="00782AC6" w:rsidRPr="00DF632C" w:rsidRDefault="001D12B7" w:rsidP="00782AC6">
      <w:r w:rsidRPr="00CD53C6">
        <w:rPr>
          <w:b/>
        </w:rPr>
        <w:lastRenderedPageBreak/>
        <w:t>29</w:t>
      </w:r>
      <w:r w:rsidR="00A4336F" w:rsidRPr="00CD53C6">
        <w:rPr>
          <w:b/>
        </w:rPr>
        <w:t>.</w:t>
      </w:r>
      <w:r w:rsidR="00A4336F" w:rsidRPr="00CD53C6">
        <w:tab/>
        <w:t xml:space="preserve">De toenemende </w:t>
      </w:r>
      <w:r w:rsidR="005F4DF3">
        <w:t>e</w:t>
      </w:r>
      <w:r w:rsidR="005F4DF3" w:rsidRPr="00CD53C6">
        <w:t xml:space="preserve">uropeanisering </w:t>
      </w:r>
      <w:r w:rsidR="00A4336F" w:rsidRPr="00CD53C6">
        <w:t xml:space="preserve">van het recht laat zijn sporen na </w:t>
      </w:r>
      <w:r w:rsidR="00B72A89">
        <w:t>in</w:t>
      </w:r>
      <w:r w:rsidR="00B72A89" w:rsidRPr="00CD53C6">
        <w:t xml:space="preserve"> </w:t>
      </w:r>
      <w:r w:rsidR="00A4336F" w:rsidRPr="00CD53C6">
        <w:t>de adviespraktijk van de Raad van State. De Raad van State ziet</w:t>
      </w:r>
      <w:r w:rsidR="00B72A89">
        <w:t xml:space="preserve"> immers</w:t>
      </w:r>
      <w:r w:rsidR="00A4336F" w:rsidRPr="00CD53C6">
        <w:t xml:space="preserve"> toe op de correcte omzetting van het EU</w:t>
      </w:r>
      <w:r w:rsidR="00B72A89">
        <w:t>-</w:t>
      </w:r>
      <w:r w:rsidR="00A4336F" w:rsidRPr="00CD53C6">
        <w:t xml:space="preserve">recht door België, een taak die door de </w:t>
      </w:r>
      <w:r w:rsidR="00F842BB">
        <w:t xml:space="preserve">complexe Belgische </w:t>
      </w:r>
      <w:r w:rsidR="00A4336F" w:rsidRPr="00CD53C6">
        <w:t xml:space="preserve">interne bevoegdheidsverdeling vaak niet evident is. Bovendien worden steeds </w:t>
      </w:r>
      <w:r w:rsidR="00C079BE">
        <w:t>meer</w:t>
      </w:r>
      <w:r w:rsidR="00C079BE" w:rsidRPr="00CD53C6">
        <w:t xml:space="preserve"> </w:t>
      </w:r>
      <w:r w:rsidR="00A4336F" w:rsidRPr="00CD53C6">
        <w:t>ook inhoudelijke opmerkingen gemaakt over de draagwijdte van het EU</w:t>
      </w:r>
      <w:r w:rsidR="00B72A89">
        <w:t>-</w:t>
      </w:r>
      <w:r w:rsidR="00A4336F" w:rsidRPr="00CD53C6">
        <w:t>recht. De Raad van State bevindt zich daarbij in de ongemakkelijke positie dat hij geen prejudiciële vragen aan het Hof van Justitie kan stellen, dat nochtans ultiem bevoegd is om het EU</w:t>
      </w:r>
      <w:r w:rsidR="00B72A89">
        <w:t>-</w:t>
      </w:r>
      <w:r w:rsidR="00A4336F" w:rsidRPr="00CD53C6">
        <w:t>recht uit te leggen en als enige bevoegd is om de geldigheid ervan te beoordelen. Bijgevolg moet de Raad van State bij de omzetting van nieuwe uniewetgeving vaak stelling innemen over de betekenis van EU</w:t>
      </w:r>
      <w:r w:rsidR="00B72A89">
        <w:t>-</w:t>
      </w:r>
      <w:r w:rsidR="00A4336F" w:rsidRPr="00CD53C6">
        <w:t>normen waar</w:t>
      </w:r>
      <w:r w:rsidR="00B72A89">
        <w:t>over</w:t>
      </w:r>
      <w:r w:rsidR="00A4336F" w:rsidRPr="00CD53C6">
        <w:t xml:space="preserve"> het Hof van Justitie zich nog niet heeft uitgesproken. Daarbij moet de Raad soms zelf een oplossing suggereren voor inconsistenties.</w:t>
      </w:r>
      <w:r w:rsidR="00782AC6" w:rsidRPr="00DF632C">
        <w:rPr>
          <w:rStyle w:val="Voetnootmarkering"/>
        </w:rPr>
        <w:footnoteReference w:id="68"/>
      </w:r>
      <w:r w:rsidR="00782AC6" w:rsidRPr="00DF632C">
        <w:t xml:space="preserve"> Niet zelden adviseert de Raad daarom om voorzichtigheidshalve de aanpak vooraf te toetsen bij de Europese Commissie.</w:t>
      </w:r>
      <w:r w:rsidR="00782AC6" w:rsidRPr="00DF632C">
        <w:rPr>
          <w:rStyle w:val="Voetnootmarkering"/>
        </w:rPr>
        <w:footnoteReference w:id="69"/>
      </w:r>
      <w:r w:rsidR="00782AC6" w:rsidRPr="00DF632C">
        <w:t xml:space="preserve"> Die consultatie van de Europese Commissie is soms verplicht. Dat is, gelet op artik</w:t>
      </w:r>
      <w:r w:rsidR="00A4336F" w:rsidRPr="00CD53C6">
        <w:t>el 108, lid 3, VWEU in het bijzonder het geval met betrekking tot voorgenomen staatssteunregelingen. De staatssteuncontrole wordt een steeds belangrijker deel van de activiteiten van de Raad. Maar ook op vrijwel alle andere domeinen van het primaire en afgeleide EU</w:t>
      </w:r>
      <w:r w:rsidR="00787F55">
        <w:t>-</w:t>
      </w:r>
      <w:r w:rsidR="00A4336F" w:rsidRPr="00CD53C6">
        <w:t xml:space="preserve">recht is de Raad actief, met als zwaartepunten het vrij verkeer, de externe betrekkingen en het Handvest van de grondrechten. </w:t>
      </w:r>
    </w:p>
    <w:p w:rsidR="00782AC6" w:rsidRPr="00CD53C6" w:rsidRDefault="00A4336F" w:rsidP="009E5783">
      <w:pPr>
        <w:pStyle w:val="Kop2"/>
        <w:rPr>
          <w:lang w:val="nl-BE"/>
        </w:rPr>
      </w:pPr>
      <w:bookmarkStart w:id="16" w:name="_Toc495677872"/>
      <w:r w:rsidRPr="00CD53C6">
        <w:rPr>
          <w:lang w:val="nl-BE"/>
        </w:rPr>
        <w:t>A. Omzetting van EU-recht</w:t>
      </w:r>
      <w:bookmarkEnd w:id="16"/>
    </w:p>
    <w:p w:rsidR="00782AC6" w:rsidRPr="00DF632C" w:rsidRDefault="00782AC6" w:rsidP="00782AC6"/>
    <w:p w:rsidR="00782AC6" w:rsidRPr="00DF632C" w:rsidRDefault="001D12B7" w:rsidP="00782AC6">
      <w:r w:rsidRPr="00CD53C6">
        <w:rPr>
          <w:b/>
        </w:rPr>
        <w:t>30</w:t>
      </w:r>
      <w:r w:rsidR="00A4336F" w:rsidRPr="00CD53C6">
        <w:rPr>
          <w:b/>
        </w:rPr>
        <w:t>.</w:t>
      </w:r>
      <w:r w:rsidR="00A4336F" w:rsidRPr="00CD53C6">
        <w:tab/>
        <w:t xml:space="preserve">Overeenkomstig artikel 4, lid 3 VEU moeten de lidstaten alle algemene en bijzondere maatregelen treffen die geschikt zijn om de nakoming van de uit de </w:t>
      </w:r>
      <w:r w:rsidR="00D41DF6">
        <w:t>v</w:t>
      </w:r>
      <w:r w:rsidR="00A4336F" w:rsidRPr="00CD53C6">
        <w:t xml:space="preserve">erdragen of uit de handelingen van de instellingen van de Unie voortvloeiende verplichtingen te verzekeren. Vooral, maar zeker niet </w:t>
      </w:r>
      <w:r w:rsidR="001A2CA1">
        <w:t>uitsluitend</w:t>
      </w:r>
      <w:r w:rsidR="00A4336F" w:rsidRPr="00CD53C6">
        <w:t>,</w:t>
      </w:r>
      <w:r w:rsidR="00782AC6" w:rsidRPr="00DF632C">
        <w:rPr>
          <w:rStyle w:val="Voetnootmarkering"/>
        </w:rPr>
        <w:footnoteReference w:id="70"/>
      </w:r>
      <w:r w:rsidR="00782AC6" w:rsidRPr="00DF632C">
        <w:t xml:space="preserve"> bij de omzetting van richtlijnen geeft dit aanleiding tot praktische problemen.</w:t>
      </w:r>
    </w:p>
    <w:p w:rsidR="009E5783" w:rsidRPr="00DF632C" w:rsidRDefault="009E5783" w:rsidP="00782AC6"/>
    <w:p w:rsidR="00782AC6" w:rsidRPr="00DF632C" w:rsidRDefault="001D12B7" w:rsidP="00782AC6">
      <w:r w:rsidRPr="00CD53C6">
        <w:rPr>
          <w:b/>
        </w:rPr>
        <w:t>31</w:t>
      </w:r>
      <w:r w:rsidR="00A4336F" w:rsidRPr="00CD53C6">
        <w:rPr>
          <w:b/>
        </w:rPr>
        <w:t>.</w:t>
      </w:r>
      <w:r w:rsidR="00A4336F" w:rsidRPr="00CD53C6">
        <w:tab/>
        <w:t>Vooreerst moet de wetgever zelf aange</w:t>
      </w:r>
      <w:r w:rsidR="00701BC5">
        <w:t>v</w:t>
      </w:r>
      <w:r w:rsidR="00A4336F" w:rsidRPr="00CD53C6">
        <w:t>e</w:t>
      </w:r>
      <w:r w:rsidR="00701BC5">
        <w:t>n</w:t>
      </w:r>
      <w:r w:rsidR="00A4336F" w:rsidRPr="00CD53C6">
        <w:t xml:space="preserve"> dat de wetgeving in kwestie strekt tot gedeeltelijke of volledige omzetting van een bepaald</w:t>
      </w:r>
      <w:r w:rsidR="00033694">
        <w:t>e</w:t>
      </w:r>
      <w:r w:rsidR="00A4336F" w:rsidRPr="00CD53C6">
        <w:t xml:space="preserve"> </w:t>
      </w:r>
      <w:r w:rsidR="00033694">
        <w:t>richtlijn</w:t>
      </w:r>
      <w:r w:rsidR="00A4336F" w:rsidRPr="00CD53C6">
        <w:t>. Die identificatie moet voldoende duidelijk gebeuren en</w:t>
      </w:r>
      <w:r w:rsidR="00033694">
        <w:t xml:space="preserve"> in het geval van</w:t>
      </w:r>
      <w:r w:rsidR="00A4336F" w:rsidRPr="00CD53C6">
        <w:t xml:space="preserve"> wijzigende teksten </w:t>
      </w:r>
      <w:r w:rsidR="00C079BE">
        <w:t xml:space="preserve">in beginsel </w:t>
      </w:r>
      <w:r w:rsidR="00A4336F" w:rsidRPr="00CD53C6">
        <w:t>in het te wijzigen besluit.</w:t>
      </w:r>
      <w:r w:rsidR="00782AC6" w:rsidRPr="00DF632C">
        <w:rPr>
          <w:rStyle w:val="Voetnootmarkering"/>
        </w:rPr>
        <w:footnoteReference w:id="71"/>
      </w:r>
      <w:r w:rsidR="00782AC6" w:rsidRPr="00DF632C">
        <w:t xml:space="preserve"> Vervolgens moet gewaakt worden over de volledigheid van de omzetting. Daartoe dringt de Raad van State steeds vaker aan om bij de omzettingswetgeving concordantietabellen toe te v</w:t>
      </w:r>
      <w:r w:rsidR="00A4336F" w:rsidRPr="00CD53C6">
        <w:t>oegen, waarbij niet enkel de equivalente bepalingen tussen het ontwerp en de EU</w:t>
      </w:r>
      <w:r w:rsidR="00033694">
        <w:t>-</w:t>
      </w:r>
      <w:r w:rsidR="00A4336F" w:rsidRPr="00CD53C6">
        <w:t>normen worden aangegeven</w:t>
      </w:r>
      <w:r w:rsidR="00782AC6" w:rsidRPr="00DF632C">
        <w:rPr>
          <w:rStyle w:val="Voetnootmarkering"/>
        </w:rPr>
        <w:footnoteReference w:id="72"/>
      </w:r>
      <w:r w:rsidR="00782AC6" w:rsidRPr="00DF632C">
        <w:t xml:space="preserve">, maar – in het bijzonder bij gedeeltelijke omzettingen – ook wordt geïdentificeerd waar de niet-omgezette bepalingen dan wel worden </w:t>
      </w:r>
      <w:r w:rsidR="00C079BE">
        <w:lastRenderedPageBreak/>
        <w:t xml:space="preserve">(of reeds zijn) </w:t>
      </w:r>
      <w:r w:rsidR="00782AC6" w:rsidRPr="00DF632C">
        <w:t>omgezet.</w:t>
      </w:r>
      <w:r w:rsidR="00782AC6" w:rsidRPr="00DF632C">
        <w:rPr>
          <w:rStyle w:val="Voetnootmarkering"/>
        </w:rPr>
        <w:footnoteReference w:id="73"/>
      </w:r>
      <w:r w:rsidR="00782AC6" w:rsidRPr="00DF632C">
        <w:t xml:space="preserve"> Steeds vaker </w:t>
      </w:r>
      <w:r w:rsidR="00033694">
        <w:t>moeten</w:t>
      </w:r>
      <w:r w:rsidR="00033694" w:rsidRPr="00DF632C">
        <w:t xml:space="preserve"> </w:t>
      </w:r>
      <w:r w:rsidR="00782AC6" w:rsidRPr="00DF632C">
        <w:t>bepalingen worden omgezet door verschillende overheden,</w:t>
      </w:r>
      <w:r w:rsidR="00782AC6" w:rsidRPr="00DF632C">
        <w:rPr>
          <w:rStyle w:val="Voetnootmarkering"/>
        </w:rPr>
        <w:footnoteReference w:id="74"/>
      </w:r>
      <w:r w:rsidR="00782AC6" w:rsidRPr="00DF632C">
        <w:t xml:space="preserve"> wat het opstellen van die tabellen </w:t>
      </w:r>
      <w:r w:rsidR="00033694">
        <w:t>des te belangrijker, maar ook minder eenvoudig</w:t>
      </w:r>
      <w:r w:rsidR="00782AC6" w:rsidRPr="00DF632C">
        <w:t xml:space="preserve"> maakt.</w:t>
      </w:r>
    </w:p>
    <w:p w:rsidR="009E5783" w:rsidRPr="00DF632C" w:rsidRDefault="009E5783" w:rsidP="00782AC6"/>
    <w:p w:rsidR="004A7C60" w:rsidRDefault="001D12B7" w:rsidP="00782AC6">
      <w:r w:rsidRPr="00CD53C6">
        <w:rPr>
          <w:b/>
        </w:rPr>
        <w:t>32</w:t>
      </w:r>
      <w:r w:rsidR="00A4336F" w:rsidRPr="00CD53C6">
        <w:rPr>
          <w:b/>
        </w:rPr>
        <w:t>.</w:t>
      </w:r>
      <w:r w:rsidR="00A4336F" w:rsidRPr="00CD53C6">
        <w:tab/>
      </w:r>
      <w:r w:rsidR="00033694">
        <w:t>Een c</w:t>
      </w:r>
      <w:r w:rsidR="00A4336F" w:rsidRPr="00CD53C6">
        <w:t xml:space="preserve">orrecte omzetting vereist in de eerste plaats het aannemen van een adequaat regelgevend kader. Omzetting bij </w:t>
      </w:r>
      <w:r w:rsidR="00033694">
        <w:t xml:space="preserve">een </w:t>
      </w:r>
      <w:r w:rsidR="00A4336F" w:rsidRPr="00CD53C6">
        <w:t>administratieve praktijk</w:t>
      </w:r>
      <w:r w:rsidR="00782AC6" w:rsidRPr="00DF632C">
        <w:rPr>
          <w:rStyle w:val="Voetnootmarkering"/>
        </w:rPr>
        <w:footnoteReference w:id="75"/>
      </w:r>
      <w:r w:rsidR="00033694">
        <w:t>,</w:t>
      </w:r>
      <w:r w:rsidR="00782AC6" w:rsidRPr="00DF632C">
        <w:t xml:space="preserve"> </w:t>
      </w:r>
      <w:r w:rsidR="00033694">
        <w:t>een</w:t>
      </w:r>
      <w:r w:rsidR="00782AC6" w:rsidRPr="00DF632C">
        <w:t xml:space="preserve"> omzendbrief</w:t>
      </w:r>
      <w:r w:rsidR="00782AC6" w:rsidRPr="00DF632C">
        <w:rPr>
          <w:rStyle w:val="Voetnootmarkering"/>
        </w:rPr>
        <w:footnoteReference w:id="76"/>
      </w:r>
      <w:r w:rsidR="00782AC6" w:rsidRPr="00DF632C">
        <w:t xml:space="preserve"> of rechtspraak</w:t>
      </w:r>
      <w:r w:rsidR="00782AC6" w:rsidRPr="00DF632C">
        <w:rPr>
          <w:rStyle w:val="Voetnootmarkering"/>
        </w:rPr>
        <w:footnoteReference w:id="77"/>
      </w:r>
      <w:r w:rsidR="00782AC6" w:rsidRPr="00DF632C">
        <w:t xml:space="preserve"> kan niet worden aanvaard. Het vooruitzicht dat de Koning zal weigeren om met de richtlijn strijdige </w:t>
      </w:r>
      <w:r w:rsidR="00A0210E">
        <w:t>cao</w:t>
      </w:r>
      <w:r w:rsidR="00A0210E" w:rsidRPr="00CD53C6">
        <w:t xml:space="preserve">’s </w:t>
      </w:r>
      <w:r w:rsidR="00A4336F" w:rsidRPr="00CD53C6">
        <w:t>algemeen verbindend te verklaren werd door de Raad evenmin als voldoende aangemerkt om de naleving te waarborgen.</w:t>
      </w:r>
      <w:r w:rsidR="00782AC6" w:rsidRPr="00DF632C">
        <w:rPr>
          <w:rStyle w:val="Voetnootmarkering"/>
        </w:rPr>
        <w:footnoteReference w:id="78"/>
      </w:r>
      <w:r w:rsidR="00782AC6" w:rsidRPr="00DF632C">
        <w:t xml:space="preserve"> Ook omzetting bij verwijzing naar de richtlijn wordt nog steeds, in beginsel, afgekeurd.</w:t>
      </w:r>
      <w:r w:rsidR="00782AC6" w:rsidRPr="00DF632C">
        <w:rPr>
          <w:rStyle w:val="Voetnootmarkering"/>
        </w:rPr>
        <w:footnoteReference w:id="79"/>
      </w:r>
      <w:r w:rsidR="00782AC6" w:rsidRPr="00DF632C">
        <w:t xml:space="preserve"> Toch is hier een kentering in de adviespraktijk merkbaar, die in belangrijke mate samenhangt met de introductie van gedelegeerde handelingen en uit</w:t>
      </w:r>
      <w:r w:rsidR="00A4336F" w:rsidRPr="00CD53C6">
        <w:t>voeringshandelingen op het niveau van de Unie. Soms blijkt de Unie immers zelf niet tijdig klaar met het nemen van uitvoeringsmaatregelen</w:t>
      </w:r>
      <w:r w:rsidR="00782AC6" w:rsidRPr="00DF632C">
        <w:rPr>
          <w:rStyle w:val="Voetnootmarkering"/>
        </w:rPr>
        <w:footnoteReference w:id="80"/>
      </w:r>
      <w:r w:rsidR="00782AC6" w:rsidRPr="00DF632C">
        <w:t xml:space="preserve"> of kan de Commissie die maatregelen onaangekondigd wijzigen,</w:t>
      </w:r>
      <w:r w:rsidR="00782AC6" w:rsidRPr="00DF632C">
        <w:rPr>
          <w:rStyle w:val="Voetnootmarkering"/>
        </w:rPr>
        <w:footnoteReference w:id="81"/>
      </w:r>
      <w:r w:rsidR="00782AC6" w:rsidRPr="00DF632C">
        <w:t xml:space="preserve"> zodat er niets anders opzit om te verwijzen naar de </w:t>
      </w:r>
      <w:r w:rsidR="00A4336F" w:rsidRPr="00CD53C6">
        <w:t xml:space="preserve">maatregel die de Commissie op basis van een bepaalde rechtsgrond in </w:t>
      </w:r>
      <w:r w:rsidR="00FA72AF">
        <w:t>de</w:t>
      </w:r>
      <w:r w:rsidR="00FA72AF" w:rsidRPr="00CD53C6">
        <w:t xml:space="preserve"> </w:t>
      </w:r>
      <w:r w:rsidR="00A4336F" w:rsidRPr="00CD53C6">
        <w:t xml:space="preserve">om te zetten </w:t>
      </w:r>
      <w:r w:rsidR="00FA72AF">
        <w:t>EU-regel</w:t>
      </w:r>
      <w:r w:rsidR="00A4336F" w:rsidRPr="00CD53C6">
        <w:t xml:space="preserve"> zal nemen.</w:t>
      </w:r>
    </w:p>
    <w:p w:rsidR="004A7C60" w:rsidRDefault="004A7C60" w:rsidP="00782AC6"/>
    <w:p w:rsidR="00782AC6" w:rsidRPr="00DF632C" w:rsidRDefault="00A4336F" w:rsidP="00782AC6">
      <w:r w:rsidRPr="00CD53C6">
        <w:t>Een bijzonder probleem in dat verband zijn gevallen waarin de bijlage bij een richtlijn gewijzigd kunnen worden bij gedelegeerde verordening. Normaal zou de oorspronkelijke bijlage (</w:t>
      </w:r>
      <w:r w:rsidRPr="00CD53C6">
        <w:rPr>
          <w:i/>
        </w:rPr>
        <w:t>verbatim</w:t>
      </w:r>
      <w:r w:rsidRPr="00CD53C6">
        <w:t>) moeten zijn omgezet in de nationale rechtsorde, wat ook essentieel voor de tegenstelbaarheid aan particulieren onder</w:t>
      </w:r>
      <w:r w:rsidR="00D41DF6">
        <w:t xml:space="preserve"> de leer van het arrest</w:t>
      </w:r>
      <w:r w:rsidRPr="00CD53C6">
        <w:t xml:space="preserve"> </w:t>
      </w:r>
      <w:r w:rsidRPr="00CD53C6">
        <w:rPr>
          <w:i/>
        </w:rPr>
        <w:t>Faccini Dori</w:t>
      </w:r>
      <w:r w:rsidRPr="00CD53C6">
        <w:t>.</w:t>
      </w:r>
      <w:r w:rsidR="00782AC6" w:rsidRPr="00DF632C">
        <w:rPr>
          <w:rStyle w:val="Voetnootmarkering"/>
        </w:rPr>
        <w:footnoteReference w:id="82"/>
      </w:r>
      <w:r w:rsidR="00782AC6" w:rsidRPr="00DF632C">
        <w:t xml:space="preserve"> Een verordening daarentegen is onmiddellijk toepasbaar in de nationale rechtsorde. Zelfs als men aanneemt dat die verordening rechtstreekse werking heeft</w:t>
      </w:r>
      <w:r w:rsidR="00782AC6" w:rsidRPr="00DF632C">
        <w:rPr>
          <w:rStyle w:val="Voetnootmarkering"/>
        </w:rPr>
        <w:footnoteReference w:id="83"/>
      </w:r>
      <w:r w:rsidR="00782AC6" w:rsidRPr="00DF632C">
        <w:t xml:space="preserve"> en voorrang heeft over de oude tekst van de bijlage, blijft er niettemin een verplichting voor de li</w:t>
      </w:r>
      <w:r w:rsidRPr="00CD53C6">
        <w:t xml:space="preserve">dstaten om tegenstrijdige bepalingen op te heffen. Het interne wetgevingsproces kan het tempo van de Europese besluitvorming </w:t>
      </w:r>
      <w:r w:rsidR="00FA72AF">
        <w:t>echter lang niet altijd</w:t>
      </w:r>
      <w:r w:rsidRPr="00CD53C6">
        <w:t xml:space="preserve"> volgen. Onder die omstandigheden lijkt het soms beter om bepaalde technische bijlagen niet meer over te nemen in de interne wetgeving, en </w:t>
      </w:r>
      <w:r w:rsidR="00FA72AF">
        <w:t xml:space="preserve">zonder </w:t>
      </w:r>
      <w:r w:rsidR="00FA72AF">
        <w:lastRenderedPageBreak/>
        <w:t>meer</w:t>
      </w:r>
      <w:r w:rsidR="00FA72AF" w:rsidRPr="00CD53C6">
        <w:t xml:space="preserve"> </w:t>
      </w:r>
      <w:r w:rsidRPr="00CD53C6">
        <w:t xml:space="preserve">te verwijzen naar de bijlage in kwestie “zoals in voorkomende geval gewijzigd overeenkomstig [de bepaling van de richtlijn waarin de delegatie wordt gegeven om de betrokken bijlage bij gedelegeerde handeling te wijzigen]”. </w:t>
      </w:r>
      <w:r w:rsidR="00FA72AF">
        <w:t>D</w:t>
      </w:r>
      <w:r w:rsidRPr="00CD53C6">
        <w:t xml:space="preserve">e Raad </w:t>
      </w:r>
      <w:r w:rsidR="00FA72AF">
        <w:t xml:space="preserve">van State laat </w:t>
      </w:r>
      <w:r w:rsidRPr="00CD53C6">
        <w:t xml:space="preserve">in </w:t>
      </w:r>
      <w:r w:rsidR="00FA72AF">
        <w:t xml:space="preserve">dergelijke </w:t>
      </w:r>
      <w:r w:rsidRPr="00CD53C6">
        <w:t xml:space="preserve">uitzonderlijke gevallen toch </w:t>
      </w:r>
      <w:r w:rsidR="00FA72AF">
        <w:t xml:space="preserve">de </w:t>
      </w:r>
      <w:r w:rsidRPr="00CD53C6">
        <w:t>omzetting door verwijzing toe.</w:t>
      </w:r>
      <w:r w:rsidR="00782AC6" w:rsidRPr="00DF632C">
        <w:rPr>
          <w:rStyle w:val="Voetnootmarkering"/>
        </w:rPr>
        <w:footnoteReference w:id="84"/>
      </w:r>
      <w:r w:rsidR="00782AC6" w:rsidRPr="00DF632C">
        <w:t xml:space="preserve"> Indien de bijlage in kwestie echter ook gebruikt wordt om het toepassingsgebied van een puur interne regeling af te bakenen, zal de bijlage toch moeten worden </w:t>
      </w:r>
      <w:r w:rsidR="00FA72AF">
        <w:t>omgezet</w:t>
      </w:r>
      <w:r w:rsidRPr="00CD53C6">
        <w:t>, omdat niet kan worden vermoed dat de draagwijdte van een interne regeling zou afhangen van beslissingen van een andere overheid.</w:t>
      </w:r>
      <w:r w:rsidR="00782AC6" w:rsidRPr="00DF632C">
        <w:rPr>
          <w:rStyle w:val="Voetnootmarkering"/>
        </w:rPr>
        <w:footnoteReference w:id="85"/>
      </w:r>
      <w:r w:rsidR="00782AC6" w:rsidRPr="00DF632C">
        <w:t xml:space="preserve"> Een andere situatie waar omzetting door verwijzing door de Raad is aanvaard betreft de omzetting van de beroepskwalificat</w:t>
      </w:r>
      <w:r w:rsidRPr="00CD53C6">
        <w:t>ierichtlijn, een richtlijn met zowel algemene als sectorspecifieke bepalingen. In afwachting van een horizontale omzetting van de algemene bepalingen, heeft de Raad aanvaard dat</w:t>
      </w:r>
      <w:r w:rsidR="00FA72AF">
        <w:t xml:space="preserve"> voor</w:t>
      </w:r>
      <w:r w:rsidRPr="00CD53C6">
        <w:t xml:space="preserve"> de sectorale toepassing ervan k</w:t>
      </w:r>
      <w:r w:rsidR="00FA72AF">
        <w:t>a</w:t>
      </w:r>
      <w:r w:rsidRPr="00CD53C6">
        <w:t xml:space="preserve">n </w:t>
      </w:r>
      <w:r w:rsidR="00FA72AF">
        <w:t xml:space="preserve">worden </w:t>
      </w:r>
      <w:r w:rsidRPr="00CD53C6">
        <w:t xml:space="preserve">volstaan met een verwijzing naar de richtlijn. Het zou immers onwerkbaar zijn om te vereisen dat in het kader van een ministerieel besluit met erkenningsvoorwaarden en </w:t>
      </w:r>
      <w:r w:rsidR="00FA72AF">
        <w:t>-</w:t>
      </w:r>
      <w:r w:rsidRPr="00CD53C6">
        <w:t>procedures voor organisatoren van kinderopvang de volledige richtlijn, voor zover van toepassing op de kinderopvang, zou moeten worden omgezet.</w:t>
      </w:r>
      <w:r w:rsidR="00782AC6" w:rsidRPr="00DF632C">
        <w:rPr>
          <w:rStyle w:val="Voetnootmarkering"/>
        </w:rPr>
        <w:footnoteReference w:id="86"/>
      </w:r>
    </w:p>
    <w:p w:rsidR="009E5783" w:rsidRPr="00DF632C" w:rsidRDefault="009E5783" w:rsidP="00782AC6"/>
    <w:p w:rsidR="00782AC6" w:rsidRPr="00DF632C" w:rsidRDefault="001D12B7" w:rsidP="00782AC6">
      <w:r w:rsidRPr="00CD53C6">
        <w:rPr>
          <w:b/>
        </w:rPr>
        <w:t>33</w:t>
      </w:r>
      <w:r w:rsidR="00A4336F" w:rsidRPr="00CD53C6">
        <w:rPr>
          <w:b/>
        </w:rPr>
        <w:t>.</w:t>
      </w:r>
      <w:r w:rsidR="00A4336F" w:rsidRPr="00CD53C6">
        <w:tab/>
        <w:t xml:space="preserve">Indien de richtlijn zelf verwijst naar andere </w:t>
      </w:r>
      <w:r w:rsidR="00E30D04">
        <w:t>EU-regels</w:t>
      </w:r>
      <w:r w:rsidR="00A4336F" w:rsidRPr="00CD53C6">
        <w:t xml:space="preserve">, moet er bij de omzetting over worden gewaakt dat waar toepasselijk verwezen wordt naar de interne omzettingsmaatregelen van die andere uniewetgeving, en – tenzij het rechtstreeks werkende bepalingen betreft – niet naar die </w:t>
      </w:r>
      <w:r w:rsidR="00E30D04">
        <w:t>EU-regels</w:t>
      </w:r>
      <w:r w:rsidR="00E30D04" w:rsidRPr="00CD53C6">
        <w:t xml:space="preserve"> </w:t>
      </w:r>
      <w:r w:rsidR="00A4336F" w:rsidRPr="00CD53C6">
        <w:t>zelf.</w:t>
      </w:r>
      <w:r w:rsidR="00782AC6" w:rsidRPr="00DF632C">
        <w:rPr>
          <w:rStyle w:val="Voetnootmarkering"/>
        </w:rPr>
        <w:footnoteReference w:id="87"/>
      </w:r>
    </w:p>
    <w:p w:rsidR="000A13D1" w:rsidRPr="00DF632C" w:rsidRDefault="000A13D1" w:rsidP="00782AC6"/>
    <w:p w:rsidR="00782AC6" w:rsidRPr="00DF632C" w:rsidRDefault="001D12B7" w:rsidP="00782AC6">
      <w:r w:rsidRPr="00CD53C6">
        <w:rPr>
          <w:b/>
        </w:rPr>
        <w:t>34</w:t>
      </w:r>
      <w:r w:rsidR="00A4336F" w:rsidRPr="00CD53C6">
        <w:rPr>
          <w:b/>
        </w:rPr>
        <w:t>.</w:t>
      </w:r>
      <w:r w:rsidR="00A4336F" w:rsidRPr="00CD53C6">
        <w:tab/>
        <w:t>Een ander frequent probleem is de juistheid van de omzetting. Vooral het gebruik van de correcte terminologie blijft een groot probleem,</w:t>
      </w:r>
      <w:r w:rsidR="00782AC6" w:rsidRPr="00DF632C">
        <w:rPr>
          <w:rStyle w:val="Voetnootmarkering"/>
        </w:rPr>
        <w:footnoteReference w:id="88"/>
      </w:r>
      <w:r w:rsidR="00782AC6" w:rsidRPr="00DF632C">
        <w:t xml:space="preserve"> zeker bij tweetalige ontwerpen die in een bron</w:t>
      </w:r>
      <w:r w:rsidR="00A4336F" w:rsidRPr="00CD53C6">
        <w:t>taal werden opgesteld en dan vertaald, zonder acht te slaan op de corresponderende taalversie van de richtlijn. Toch kan ook het omgekeerde probleem zich voordoen. Soms vereist een correcte omzetting van een richtlijndefinitie juist een zekere mate van concretisering in de nationale rechtsorde. Zo heeft het weinig zin om te blijven verwijzen naar “de bevoegde nationale instanties”, indien daarmee niet de buitenlandse instantie</w:t>
      </w:r>
      <w:r w:rsidR="00154958">
        <w:t>s</w:t>
      </w:r>
      <w:r w:rsidR="00A4336F" w:rsidRPr="00CD53C6">
        <w:t xml:space="preserve"> – die </w:t>
      </w:r>
      <w:r w:rsidR="00D41DF6">
        <w:t xml:space="preserve">immers </w:t>
      </w:r>
      <w:r w:rsidR="00A4336F" w:rsidRPr="00CD53C6">
        <w:t>moeilijk k</w:t>
      </w:r>
      <w:r w:rsidR="00D41DF6">
        <w:t>u</w:t>
      </w:r>
      <w:r w:rsidR="00A4336F" w:rsidRPr="00CD53C6">
        <w:t>n</w:t>
      </w:r>
      <w:r w:rsidR="00D41DF6">
        <w:t>nen</w:t>
      </w:r>
      <w:r w:rsidR="00A4336F" w:rsidRPr="00CD53C6">
        <w:t xml:space="preserve"> worden geïdentificeerd in de Belgische regelgeving – maar een welbepaalde eigen overheidsinstantie wordt bedoeld, die ter omzetting van de richtlijn met een bepaalde taak werd belast.</w:t>
      </w:r>
      <w:r w:rsidR="00782AC6" w:rsidRPr="00DF632C">
        <w:rPr>
          <w:rStyle w:val="Voetnootmarkering"/>
        </w:rPr>
        <w:footnoteReference w:id="89"/>
      </w:r>
    </w:p>
    <w:p w:rsidR="009E5783" w:rsidRPr="00DF632C" w:rsidRDefault="009E5783" w:rsidP="00782AC6"/>
    <w:p w:rsidR="00782AC6" w:rsidRPr="00DF632C" w:rsidRDefault="001D12B7" w:rsidP="00782AC6">
      <w:r w:rsidRPr="00CD53C6">
        <w:rPr>
          <w:b/>
        </w:rPr>
        <w:lastRenderedPageBreak/>
        <w:t>35</w:t>
      </w:r>
      <w:r w:rsidR="00A4336F" w:rsidRPr="00CD53C6">
        <w:rPr>
          <w:b/>
        </w:rPr>
        <w:t>.</w:t>
      </w:r>
      <w:r w:rsidR="00A4336F" w:rsidRPr="00CD53C6">
        <w:tab/>
        <w:t xml:space="preserve">Omgekeerd moeten sommige bepalingen </w:t>
      </w:r>
      <w:r w:rsidR="00154958">
        <w:t>juist</w:t>
      </w:r>
      <w:r w:rsidR="00154958" w:rsidRPr="00CD53C6">
        <w:t xml:space="preserve"> </w:t>
      </w:r>
      <w:r w:rsidR="00A4336F" w:rsidRPr="00CD53C6">
        <w:t>niet worden omgezet, met name indien d</w:t>
      </w:r>
      <w:r w:rsidR="00154958">
        <w:t>i</w:t>
      </w:r>
      <w:r w:rsidR="00A4336F" w:rsidRPr="00CD53C6">
        <w:t xml:space="preserve">e bepalingen enkel administratieve verplichtingen opleggen aan de overheid. Toch moet daarbij vaak </w:t>
      </w:r>
      <w:r w:rsidR="00154958">
        <w:t xml:space="preserve">een </w:t>
      </w:r>
      <w:r w:rsidR="00A4336F" w:rsidRPr="00CD53C6">
        <w:t xml:space="preserve">voorbehoud worden gemaakt. Indien de overheid die verplichtingen slechts kan nakomen mits medewerking van particulieren – zoals </w:t>
      </w:r>
      <w:r w:rsidR="00154958">
        <w:t xml:space="preserve">bijvoorbeeld </w:t>
      </w:r>
      <w:r w:rsidR="00A4336F" w:rsidRPr="00CD53C6">
        <w:t>bij het terugroepen van onveilige toestellen</w:t>
      </w:r>
      <w:r w:rsidR="00782AC6" w:rsidRPr="00DF632C">
        <w:rPr>
          <w:rStyle w:val="Voetnootmarkering"/>
        </w:rPr>
        <w:footnoteReference w:id="90"/>
      </w:r>
      <w:r w:rsidR="00782AC6" w:rsidRPr="00DF632C">
        <w:t xml:space="preserve"> – dan moet die verplichting wel degelijk worden omgezet. Hetzelfde geldt voor gevallen waarbij in het kader van een procedure van wederzijdse erkenning bepaalde sancties of andere restrictieve maatregelen ten uitvoer worden gelegd, waarbij in voldoende rechtsbescherming moet worden voorzie</w:t>
      </w:r>
      <w:r w:rsidR="00A4336F" w:rsidRPr="00CD53C6">
        <w:t>n.</w:t>
      </w:r>
      <w:r w:rsidR="00782AC6" w:rsidRPr="00DF632C">
        <w:rPr>
          <w:rStyle w:val="Voetnootmarkering"/>
        </w:rPr>
        <w:footnoteReference w:id="91"/>
      </w:r>
    </w:p>
    <w:p w:rsidR="009E5783" w:rsidRPr="00DF632C" w:rsidRDefault="009E5783" w:rsidP="00782AC6"/>
    <w:p w:rsidR="00782AC6" w:rsidRPr="00DF632C" w:rsidRDefault="001D12B7" w:rsidP="00782AC6">
      <w:r w:rsidRPr="00CD53C6">
        <w:rPr>
          <w:b/>
        </w:rPr>
        <w:t>36</w:t>
      </w:r>
      <w:r w:rsidR="00A4336F" w:rsidRPr="00CD53C6">
        <w:rPr>
          <w:b/>
        </w:rPr>
        <w:t>.</w:t>
      </w:r>
      <w:r w:rsidR="00A4336F" w:rsidRPr="00CD53C6">
        <w:tab/>
        <w:t xml:space="preserve">Ten slotte moet ook worden gewezen op het probleem van </w:t>
      </w:r>
      <w:r w:rsidR="00A4336F" w:rsidRPr="00CD53C6">
        <w:rPr>
          <w:i/>
        </w:rPr>
        <w:t>goldplating</w:t>
      </w:r>
      <w:r w:rsidR="00A4336F" w:rsidRPr="00CD53C6">
        <w:t>, waarbij een lidstaat bij de omzetting verder probeert te gaan dan wat is voorgeschreven door het EU</w:t>
      </w:r>
      <w:r w:rsidR="00154958">
        <w:t>-</w:t>
      </w:r>
      <w:r w:rsidR="00A4336F" w:rsidRPr="00CD53C6">
        <w:t>recht. In de eerste plaats moet worden nagegaan of dit wel is toegestaan door het EU</w:t>
      </w:r>
      <w:r w:rsidR="00154958">
        <w:t>-</w:t>
      </w:r>
      <w:r w:rsidR="00A4336F" w:rsidRPr="00CD53C6">
        <w:t xml:space="preserve">recht, en onder welke voorwaarden. </w:t>
      </w:r>
      <w:r w:rsidR="00154958">
        <w:t>D</w:t>
      </w:r>
      <w:r w:rsidR="00A4336F" w:rsidRPr="00CD53C6">
        <w:t xml:space="preserve">e rechtsgrond van de richtlijn </w:t>
      </w:r>
      <w:r w:rsidR="00B831A5">
        <w:t xml:space="preserve">kan </w:t>
      </w:r>
      <w:r w:rsidR="00D41DF6">
        <w:t xml:space="preserve">hiervoor </w:t>
      </w:r>
      <w:r w:rsidR="00A4336F" w:rsidRPr="00CD53C6">
        <w:t>zelf belangrijke aanwijzingen bevat</w:t>
      </w:r>
      <w:r w:rsidR="00B831A5">
        <w:t>ten</w:t>
      </w:r>
      <w:r w:rsidR="00A4336F" w:rsidRPr="00CD53C6">
        <w:t>. Van richtlijnen die hun rechtsgrond vinden in artikel 114 VWEU (harmonisatie voor de interne markt) kan immers slechts worden afgeweken mits toelating door de Europese Commissie, die slechts op heel restrictieve gronden kan worden verkregen (artikel 114, leden 4 tot 6</w:t>
      </w:r>
      <w:r w:rsidR="00D41DF6">
        <w:t>, VWEU</w:t>
      </w:r>
      <w:r w:rsidR="00A4336F" w:rsidRPr="00CD53C6">
        <w:t xml:space="preserve">). </w:t>
      </w:r>
      <w:r w:rsidR="00B831A5">
        <w:t>Om die reden</w:t>
      </w:r>
      <w:r w:rsidR="00A4336F" w:rsidRPr="00CD53C6">
        <w:t xml:space="preserve"> heeft de Raad </w:t>
      </w:r>
      <w:r w:rsidR="00B831A5">
        <w:t xml:space="preserve">van State een </w:t>
      </w:r>
      <w:r w:rsidR="00A4336F" w:rsidRPr="00CD53C6">
        <w:t>voorbehoud gemaakt bij een regeling ter uitvoering van een verordening inzake het op de markt brengen van gevaarlijke mengsels, waarvan de toepassing werd uitgebreid tot bepaalde andere stoffen.</w:t>
      </w:r>
      <w:r w:rsidR="00782AC6" w:rsidRPr="00DF632C">
        <w:rPr>
          <w:rStyle w:val="Voetnootmarkering"/>
        </w:rPr>
        <w:footnoteReference w:id="92"/>
      </w:r>
      <w:r w:rsidR="00782AC6" w:rsidRPr="00DF632C">
        <w:t xml:space="preserve"> Onder meer de rechtsgronden voor milieu en volksgezondheid laten daarentegen uitdrukkelijk wel verdergaande nationale</w:t>
      </w:r>
      <w:r w:rsidR="00A4336F" w:rsidRPr="00CD53C6">
        <w:t xml:space="preserve"> maatregelen toe, zij het dat die maatregelen verenigbaar moeten zijn met het hogere EU-recht, in het bijzonder het vrij verkeer.</w:t>
      </w:r>
      <w:r w:rsidR="00782AC6" w:rsidRPr="00DF632C">
        <w:rPr>
          <w:rStyle w:val="Voetnootmarkering"/>
        </w:rPr>
        <w:footnoteReference w:id="93"/>
      </w:r>
      <w:r w:rsidR="00782AC6" w:rsidRPr="00DF632C">
        <w:t xml:space="preserve"> Op andere domeinen moet uit de context blijken of </w:t>
      </w:r>
      <w:r w:rsidR="00B831A5">
        <w:t>een</w:t>
      </w:r>
      <w:r w:rsidR="00782AC6" w:rsidRPr="00DF632C">
        <w:t xml:space="preserve"> volledige harmonisatie </w:t>
      </w:r>
      <w:r w:rsidR="00B831A5">
        <w:t xml:space="preserve">werd </w:t>
      </w:r>
      <w:r w:rsidR="00782AC6" w:rsidRPr="00DF632C">
        <w:t xml:space="preserve">beoogd. </w:t>
      </w:r>
      <w:r w:rsidR="00B831A5">
        <w:t xml:space="preserve">Overigens </w:t>
      </w:r>
      <w:r w:rsidR="00782AC6" w:rsidRPr="00DF632C">
        <w:t xml:space="preserve">moet er voor </w:t>
      </w:r>
      <w:r w:rsidR="00A4336F" w:rsidRPr="00CD53C6">
        <w:rPr>
          <w:i/>
        </w:rPr>
        <w:t>goldplating</w:t>
      </w:r>
      <w:r w:rsidR="00782AC6" w:rsidRPr="00DF632C">
        <w:t xml:space="preserve"> ook internrechtelijk een voldoende rechtsgrond </w:t>
      </w:r>
      <w:r w:rsidR="00B831A5">
        <w:t>voorhanden zijn</w:t>
      </w:r>
      <w:r w:rsidR="00782AC6" w:rsidRPr="00DF632C">
        <w:t>. Een delegatie om bepaalde richtlijnbepalingen om te zetten, volstaat niet als rechtsgrond om verdergaande maatregelen te nemen.</w:t>
      </w:r>
      <w:r w:rsidR="00782AC6" w:rsidRPr="00DF632C">
        <w:rPr>
          <w:rStyle w:val="Voetnootmarkering"/>
        </w:rPr>
        <w:footnoteReference w:id="94"/>
      </w:r>
    </w:p>
    <w:p w:rsidR="00782AC6" w:rsidRPr="00CD53C6" w:rsidRDefault="00A4336F" w:rsidP="009E5783">
      <w:pPr>
        <w:pStyle w:val="Kop2"/>
        <w:rPr>
          <w:lang w:val="nl-BE"/>
        </w:rPr>
      </w:pPr>
      <w:bookmarkStart w:id="17" w:name="_Toc495677873"/>
      <w:r w:rsidRPr="00CD53C6">
        <w:rPr>
          <w:lang w:val="nl-BE"/>
        </w:rPr>
        <w:t xml:space="preserve">B. </w:t>
      </w:r>
      <w:r w:rsidR="00F007CD">
        <w:rPr>
          <w:lang w:val="nl-BE"/>
        </w:rPr>
        <w:t>Coherente</w:t>
      </w:r>
      <w:r w:rsidR="00F007CD" w:rsidRPr="00CD53C6">
        <w:rPr>
          <w:lang w:val="nl-BE"/>
        </w:rPr>
        <w:t xml:space="preserve"> </w:t>
      </w:r>
      <w:r w:rsidRPr="00CD53C6">
        <w:rPr>
          <w:lang w:val="nl-BE"/>
        </w:rPr>
        <w:t>omzetting in het federale België</w:t>
      </w:r>
      <w:bookmarkEnd w:id="17"/>
    </w:p>
    <w:p w:rsidR="00782AC6" w:rsidRPr="00DF632C" w:rsidRDefault="00782AC6" w:rsidP="00782AC6"/>
    <w:p w:rsidR="00782AC6" w:rsidRPr="00DF632C" w:rsidRDefault="001D12B7" w:rsidP="00782AC6">
      <w:r w:rsidRPr="00CD53C6">
        <w:rPr>
          <w:b/>
        </w:rPr>
        <w:t>37</w:t>
      </w:r>
      <w:r w:rsidR="00601553" w:rsidRPr="00CD53C6">
        <w:rPr>
          <w:b/>
        </w:rPr>
        <w:t>.</w:t>
      </w:r>
      <w:r w:rsidR="00A4336F" w:rsidRPr="00CD53C6">
        <w:tab/>
        <w:t xml:space="preserve">De omzetting van </w:t>
      </w:r>
      <w:r w:rsidR="00B72A89">
        <w:t>EU-</w:t>
      </w:r>
      <w:r w:rsidR="00A4336F" w:rsidRPr="00CD53C6">
        <w:t xml:space="preserve">recht in België wordt ongetwijfeld bemoeilijkt door de federale staatsstructuur. </w:t>
      </w:r>
      <w:r w:rsidR="00B831A5">
        <w:t>G</w:t>
      </w:r>
      <w:r w:rsidR="00A4336F" w:rsidRPr="00CD53C6">
        <w:t>elet op artikel 4, lid 2</w:t>
      </w:r>
      <w:r w:rsidR="00B831A5">
        <w:t>,</w:t>
      </w:r>
      <w:r w:rsidR="00A4336F" w:rsidRPr="00CD53C6">
        <w:t xml:space="preserve"> VEU verzet het </w:t>
      </w:r>
      <w:r w:rsidR="00B72A89">
        <w:t>EU-</w:t>
      </w:r>
      <w:r w:rsidR="00A4336F" w:rsidRPr="00CD53C6">
        <w:t xml:space="preserve">recht zich allerminst tegen federale </w:t>
      </w:r>
      <w:r w:rsidR="00D41DF6">
        <w:t>staatsindelingen</w:t>
      </w:r>
      <w:r w:rsidR="00A4336F" w:rsidRPr="00CD53C6">
        <w:t xml:space="preserve">. In de zaak </w:t>
      </w:r>
      <w:r w:rsidR="00A4336F" w:rsidRPr="00CD53C6">
        <w:rPr>
          <w:i/>
        </w:rPr>
        <w:t>Horvath</w:t>
      </w:r>
      <w:r w:rsidR="00782AC6" w:rsidRPr="00DF632C">
        <w:rPr>
          <w:rStyle w:val="Voetnootmarkering"/>
        </w:rPr>
        <w:footnoteReference w:id="95"/>
      </w:r>
      <w:r w:rsidR="00782AC6" w:rsidRPr="00DF632C">
        <w:t xml:space="preserve"> heeft het Hof ook aanvaard dat de manier waarop het EU</w:t>
      </w:r>
      <w:r w:rsidR="00B831A5">
        <w:t>-</w:t>
      </w:r>
      <w:r w:rsidR="00782AC6" w:rsidRPr="00DF632C">
        <w:t>recht wordt geïmplementeerd binnen een federale staat kan verschillen, net zoals die omzetting kan verschillen tussen lidstaten. Wel is essentieel da</w:t>
      </w:r>
      <w:r w:rsidR="00A4336F" w:rsidRPr="00CD53C6">
        <w:t>t de lidstaat als een geheel de doelstellingen van het EU</w:t>
      </w:r>
      <w:r w:rsidR="00B831A5">
        <w:t>-</w:t>
      </w:r>
      <w:r w:rsidR="00A4336F" w:rsidRPr="00CD53C6">
        <w:t xml:space="preserve">recht op </w:t>
      </w:r>
      <w:r w:rsidR="00F007CD">
        <w:t>coherente</w:t>
      </w:r>
      <w:r w:rsidR="00F007CD" w:rsidRPr="00CD53C6">
        <w:t xml:space="preserve"> </w:t>
      </w:r>
      <w:r w:rsidR="00A4336F" w:rsidRPr="00CD53C6">
        <w:t>wijze kan behalen.</w:t>
      </w:r>
      <w:r w:rsidR="00782AC6" w:rsidRPr="00DF632C">
        <w:rPr>
          <w:rStyle w:val="Voetnootmarkering"/>
        </w:rPr>
        <w:footnoteReference w:id="96"/>
      </w:r>
      <w:r w:rsidR="00782AC6" w:rsidRPr="00DF632C">
        <w:t xml:space="preserve"> Concreet betekent dit dat </w:t>
      </w:r>
      <w:r w:rsidR="00F007CD">
        <w:t>de EU-regel</w:t>
      </w:r>
      <w:r w:rsidR="00782AC6" w:rsidRPr="00DF632C">
        <w:t xml:space="preserve"> volledig moet worden omgezet, </w:t>
      </w:r>
      <w:r w:rsidR="00F007CD">
        <w:t>voor</w:t>
      </w:r>
      <w:r w:rsidR="00782AC6" w:rsidRPr="00DF632C">
        <w:t xml:space="preserve"> het gehele grondgebied </w:t>
      </w:r>
      <w:r w:rsidR="00D41DF6">
        <w:t xml:space="preserve">moet </w:t>
      </w:r>
      <w:r w:rsidR="00782AC6" w:rsidRPr="00DF632C">
        <w:t>gelden, en dat als er een uniforme regeling wordt vo</w:t>
      </w:r>
      <w:r w:rsidR="00A4336F" w:rsidRPr="00CD53C6">
        <w:t>orgeschreven of een</w:t>
      </w:r>
      <w:r w:rsidR="008718C9">
        <w:t xml:space="preserve"> </w:t>
      </w:r>
      <w:r w:rsidR="00F007CD">
        <w:t xml:space="preserve">enkel </w:t>
      </w:r>
      <w:r w:rsidR="00A4336F" w:rsidRPr="00CD53C6">
        <w:t xml:space="preserve">loket, die </w:t>
      </w:r>
      <w:r w:rsidR="00A4336F" w:rsidRPr="00CD53C6">
        <w:lastRenderedPageBreak/>
        <w:t xml:space="preserve">ook werkelijk op uniforme wijze geldt voor het gehele grondgebied. De adviespraktijk toont aan dat dit niet </w:t>
      </w:r>
      <w:r w:rsidR="00D41DF6">
        <w:t xml:space="preserve">steeds </w:t>
      </w:r>
      <w:r w:rsidR="00A4336F" w:rsidRPr="00CD53C6">
        <w:t xml:space="preserve">evident is. </w:t>
      </w:r>
    </w:p>
    <w:p w:rsidR="009E5783" w:rsidRPr="00DF632C" w:rsidRDefault="009E5783" w:rsidP="00782AC6"/>
    <w:p w:rsidR="00782AC6" w:rsidRPr="00DF632C" w:rsidRDefault="001D12B7" w:rsidP="00782AC6">
      <w:r w:rsidRPr="00CD53C6">
        <w:rPr>
          <w:b/>
        </w:rPr>
        <w:t>38</w:t>
      </w:r>
      <w:r w:rsidR="00A4336F" w:rsidRPr="00CD53C6">
        <w:rPr>
          <w:b/>
        </w:rPr>
        <w:t>.</w:t>
      </w:r>
      <w:r w:rsidR="00A4336F" w:rsidRPr="00CD53C6">
        <w:tab/>
        <w:t>De versnippering van de bevoegdheden laat zich vooral voelen bij aangelegenheden die vanuit Europees perspectief net als een geheel worden gezien, met het oog op een sterke interconnectiviteit, zoals energie en transport. Als het EU</w:t>
      </w:r>
      <w:r w:rsidR="00640AA2">
        <w:t>-</w:t>
      </w:r>
      <w:r w:rsidR="00A4336F" w:rsidRPr="00CD53C6">
        <w:t xml:space="preserve">recht voorschrijft dat de systeembeheerders bepaalde maatregelen moeten nemen ter bevordering van groene energie en rationeel energiebeheer stelt dat meteen grote uitdagingen. Niet enkel </w:t>
      </w:r>
      <w:r w:rsidR="00640AA2">
        <w:t xml:space="preserve">is de bevoegdheidsverdeling inzake het systeembeheer </w:t>
      </w:r>
      <w:r w:rsidR="00A4336F" w:rsidRPr="00CD53C6">
        <w:t>tussen de gewesten en de federale overheid</w:t>
      </w:r>
      <w:r w:rsidR="00640AA2">
        <w:t xml:space="preserve"> nogal ongelukkig uitgewerkt</w:t>
      </w:r>
      <w:r w:rsidR="00A4336F" w:rsidRPr="00CD53C6">
        <w:t>,</w:t>
      </w:r>
      <w:r w:rsidR="00782AC6" w:rsidRPr="00DF632C">
        <w:rPr>
          <w:rStyle w:val="Voetnootmarkering"/>
        </w:rPr>
        <w:footnoteReference w:id="97"/>
      </w:r>
      <w:r w:rsidR="00782AC6" w:rsidRPr="00DF632C">
        <w:t xml:space="preserve"> </w:t>
      </w:r>
      <w:r w:rsidR="00640AA2">
        <w:t xml:space="preserve">maar </w:t>
      </w:r>
      <w:r w:rsidR="00782AC6" w:rsidRPr="00DF632C">
        <w:t>bovendien zijn de gewesten ook bevoegd voor rationeel energiebeheer en hernieuwbare energie. Niettemin heeft de Raad van State een bevoegdheidsconforme lezing gevonden teneinde toch een zekere groene invulling te geven aan de feder</w:t>
      </w:r>
      <w:r w:rsidR="00A4336F" w:rsidRPr="00CD53C6">
        <w:t>ale transmissietarieven.</w:t>
      </w:r>
      <w:r w:rsidR="00782AC6" w:rsidRPr="00DF632C">
        <w:rPr>
          <w:rStyle w:val="Voetnootmarkering"/>
        </w:rPr>
        <w:footnoteReference w:id="98"/>
      </w:r>
      <w:r w:rsidR="00782AC6" w:rsidRPr="00DF632C">
        <w:t xml:space="preserve"> Vaak is de Raad echter minder begripsvol en wordt van de overheden geëist dat ze de omzetting precies laten overeenstemmen met de omvang van hun bevoegdheden, niet minder</w:t>
      </w:r>
      <w:r w:rsidR="00F313FB">
        <w:t>,</w:t>
      </w:r>
      <w:r w:rsidR="00782AC6" w:rsidRPr="00DF632C">
        <w:rPr>
          <w:rStyle w:val="Voetnootmarkering"/>
        </w:rPr>
        <w:footnoteReference w:id="99"/>
      </w:r>
      <w:r w:rsidR="00782AC6" w:rsidRPr="00DF632C">
        <w:t xml:space="preserve"> maar </w:t>
      </w:r>
      <w:r w:rsidR="00C079BE">
        <w:t>zeker</w:t>
      </w:r>
      <w:r w:rsidR="00C079BE" w:rsidRPr="00DF632C">
        <w:t xml:space="preserve"> </w:t>
      </w:r>
      <w:r w:rsidR="00782AC6" w:rsidRPr="00DF632C">
        <w:t>ook niet meer. Vooral dat laatste is een probleem. Hoewel enkel het Vlaams</w:t>
      </w:r>
      <w:r w:rsidR="00224E00">
        <w:t>e</w:t>
      </w:r>
      <w:r w:rsidR="00782AC6" w:rsidRPr="00DF632C">
        <w:t xml:space="preserve"> Gewest grenst aan de kust en dus mee instaat voor het veilig scheepvaartverkeer op de Noordzee en naar de Belgische havens, </w:t>
      </w:r>
      <w:r w:rsidR="009C18F1">
        <w:t xml:space="preserve">hebben ook </w:t>
      </w:r>
      <w:r w:rsidR="00782AC6" w:rsidRPr="00DF632C">
        <w:t>Brussel en Luik zeehavens, zodat de radiobege</w:t>
      </w:r>
      <w:r w:rsidR="00A4336F" w:rsidRPr="00CD53C6">
        <w:t xml:space="preserve">leiding van schepen naar die havens niet enkel een technisch kluwen, maar </w:t>
      </w:r>
      <w:r w:rsidR="009C18F1">
        <w:t xml:space="preserve">zelfs </w:t>
      </w:r>
      <w:r w:rsidR="00A4336F" w:rsidRPr="00CD53C6">
        <w:t xml:space="preserve">een bevoegdheidsrechtelijke gordiaanse knoop oplevert, terwijl de richtlijn maar ruimte laat voor </w:t>
      </w:r>
      <w:r w:rsidR="00D41DF6">
        <w:t>éé</w:t>
      </w:r>
      <w:r w:rsidR="00A4336F" w:rsidRPr="00CD53C6">
        <w:t>n nationaal contactpunt.</w:t>
      </w:r>
      <w:r w:rsidR="00782AC6" w:rsidRPr="00DF632C">
        <w:rPr>
          <w:rStyle w:val="Voetnootmarkering"/>
        </w:rPr>
        <w:footnoteReference w:id="100"/>
      </w:r>
      <w:r w:rsidR="00782AC6" w:rsidRPr="00DF632C">
        <w:t xml:space="preserve"> Ook </w:t>
      </w:r>
      <w:r w:rsidR="009C18F1">
        <w:t>EU-regels</w:t>
      </w:r>
      <w:r w:rsidR="009C18F1" w:rsidRPr="00DF632C">
        <w:t xml:space="preserve"> </w:t>
      </w:r>
      <w:r w:rsidR="00782AC6" w:rsidRPr="00DF632C">
        <w:t xml:space="preserve">die </w:t>
      </w:r>
      <w:r w:rsidR="00C079BE">
        <w:t>voorzien</w:t>
      </w:r>
      <w:r w:rsidR="00C079BE" w:rsidRPr="00DF632C">
        <w:t xml:space="preserve"> </w:t>
      </w:r>
      <w:r w:rsidR="00782AC6" w:rsidRPr="00DF632C">
        <w:t>in uniforme in-</w:t>
      </w:r>
      <w:r w:rsidR="00D41DF6">
        <w:t>,</w:t>
      </w:r>
      <w:r w:rsidR="00782AC6" w:rsidRPr="00DF632C">
        <w:t xml:space="preserve"> uit- en doorvoerregelingen</w:t>
      </w:r>
      <w:r w:rsidR="00C079BE">
        <w:t xml:space="preserve"> vormen</w:t>
      </w:r>
      <w:r w:rsidR="00782AC6" w:rsidRPr="00DF632C">
        <w:t xml:space="preserve"> gelet op</w:t>
      </w:r>
      <w:r w:rsidR="00A4336F" w:rsidRPr="00CD53C6">
        <w:t xml:space="preserve"> de bevoegdheidsverdeling </w:t>
      </w:r>
      <w:r w:rsidR="00A4336F" w:rsidRPr="00CD53C6">
        <w:rPr>
          <w:i/>
        </w:rPr>
        <w:t>ratione loci</w:t>
      </w:r>
      <w:r w:rsidR="00782AC6" w:rsidRPr="00DF632C">
        <w:rPr>
          <w:rStyle w:val="Voetnootmarkering"/>
          <w:i/>
        </w:rPr>
        <w:footnoteReference w:id="101"/>
      </w:r>
      <w:r w:rsidR="00782AC6" w:rsidRPr="00DF632C">
        <w:rPr>
          <w:i/>
        </w:rPr>
        <w:t xml:space="preserve"> </w:t>
      </w:r>
      <w:r w:rsidR="00782AC6" w:rsidRPr="00DF632C">
        <w:t xml:space="preserve">belangrijke uitdagingen, zoals in geval van de </w:t>
      </w:r>
      <w:r w:rsidR="00A4336F" w:rsidRPr="00CD53C6">
        <w:t>vergunningen voor de invoer-, uitvoer- of doorvoervergunning betreffende voor de Europese Unie zorgwekkende invasieve uitheemse soorten.</w:t>
      </w:r>
      <w:r w:rsidR="00782AC6" w:rsidRPr="00DF632C">
        <w:rPr>
          <w:rStyle w:val="Voetnootmarkering"/>
        </w:rPr>
        <w:footnoteReference w:id="102"/>
      </w:r>
      <w:r w:rsidR="00782AC6" w:rsidRPr="00DF632C">
        <w:t xml:space="preserve"> Een ander voorbeeld is de omzetting van de ADR-richtlijn</w:t>
      </w:r>
      <w:r w:rsidR="00782AC6" w:rsidRPr="00DF632C">
        <w:rPr>
          <w:rStyle w:val="Voetnootmarkering"/>
        </w:rPr>
        <w:footnoteReference w:id="103"/>
      </w:r>
      <w:r w:rsidR="00782AC6" w:rsidRPr="00DF632C">
        <w:t xml:space="preserve"> over het vervoer van gevaarlijke stoffen. De federale overheid had d</w:t>
      </w:r>
      <w:r w:rsidR="00F67B75">
        <w:t>i</w:t>
      </w:r>
      <w:r w:rsidR="00782AC6" w:rsidRPr="00DF632C">
        <w:t>e richtlijn, weinig koosjer, maar erg pragmatisch</w:t>
      </w:r>
      <w:r w:rsidR="00C079BE">
        <w:t>,</w:t>
      </w:r>
      <w:r w:rsidR="00782AC6" w:rsidRPr="00DF632C">
        <w:t xml:space="preserve"> omgezet via </w:t>
      </w:r>
      <w:r w:rsidR="00F67B75">
        <w:t xml:space="preserve">een </w:t>
      </w:r>
      <w:r w:rsidR="00782AC6" w:rsidRPr="00DF632C">
        <w:t>verwijzing naar d</w:t>
      </w:r>
      <w:r w:rsidR="00F67B75">
        <w:t>i</w:t>
      </w:r>
      <w:r w:rsidR="00782AC6" w:rsidRPr="00DF632C">
        <w:t>e richtlijn (die ov</w:t>
      </w:r>
      <w:r w:rsidR="00A4336F" w:rsidRPr="00CD53C6">
        <w:t xml:space="preserve">erigens zelf een afspiegeling </w:t>
      </w:r>
      <w:r w:rsidR="00D41DF6">
        <w:t xml:space="preserve">is </w:t>
      </w:r>
      <w:r w:rsidR="00A4336F" w:rsidRPr="00CD53C6">
        <w:t>van een internationaal verdrag). Na de Zesde Staatshervorming is het Vlaams</w:t>
      </w:r>
      <w:r w:rsidR="00D262C8">
        <w:t>e</w:t>
      </w:r>
      <w:r w:rsidR="00A4336F" w:rsidRPr="00CD53C6">
        <w:t xml:space="preserve"> Gewest grotendeels </w:t>
      </w:r>
      <w:r w:rsidR="00224E00">
        <w:t>–</w:t>
      </w:r>
      <w:r w:rsidR="00A4336F" w:rsidRPr="00CD53C6">
        <w:t xml:space="preserve"> maar niet volledig </w:t>
      </w:r>
      <w:r w:rsidR="00224E00">
        <w:t>–</w:t>
      </w:r>
      <w:r w:rsidR="00A4336F" w:rsidRPr="00CD53C6">
        <w:t xml:space="preserve"> bevoegd geworden voor dat transport. Toen de </w:t>
      </w:r>
      <w:r w:rsidR="00A4336F" w:rsidRPr="00CD53C6">
        <w:lastRenderedPageBreak/>
        <w:t xml:space="preserve">Vlaamse Regering de nieuwe ADR-richtlijn wou omzetten door simpelweg de verwijzing in het oude koninklijk besluit naar de oude richtlijn te vervangen door een verwijzing naar de </w:t>
      </w:r>
      <w:r w:rsidR="00F67B75">
        <w:t>inmiddels gewijzigde</w:t>
      </w:r>
      <w:r w:rsidR="00F67B75" w:rsidRPr="00CD53C6">
        <w:t xml:space="preserve"> </w:t>
      </w:r>
      <w:r w:rsidR="00A4336F" w:rsidRPr="00CD53C6">
        <w:t>richtlijn,</w:t>
      </w:r>
      <w:r w:rsidR="00782AC6" w:rsidRPr="00DF632C">
        <w:t xml:space="preserve"> lag de Raad van State echter dwars. Niet alleen verzette de Raad zich tegen omzetting door verwijzing</w:t>
      </w:r>
      <w:r w:rsidR="00F67B75">
        <w:t xml:space="preserve"> (zie daarover </w:t>
      </w:r>
      <w:r w:rsidR="00F67B75" w:rsidRPr="001724EE">
        <w:rPr>
          <w:highlight w:val="yellow"/>
        </w:rPr>
        <w:t>nr. 32</w:t>
      </w:r>
      <w:r w:rsidR="00F67B75">
        <w:t>)</w:t>
      </w:r>
      <w:r w:rsidR="00782AC6" w:rsidRPr="00DF632C">
        <w:t xml:space="preserve">, </w:t>
      </w:r>
      <w:r w:rsidR="00F67B75">
        <w:t>hij</w:t>
      </w:r>
      <w:r w:rsidR="00782AC6" w:rsidRPr="00DF632C">
        <w:t xml:space="preserve"> was van o</w:t>
      </w:r>
      <w:r w:rsidR="00A4336F" w:rsidRPr="00CD53C6">
        <w:t xml:space="preserve">ordeel dat </w:t>
      </w:r>
      <w:r w:rsidR="00F67B75">
        <w:t xml:space="preserve">met die werkwijze </w:t>
      </w:r>
      <w:r w:rsidR="00A4336F" w:rsidRPr="00CD53C6">
        <w:t xml:space="preserve">ook niet duidelijk was voor welke onderdelen van de ADR-richtlijn het Vlaamse Gewest zich bevoegd acht. Bijgevolg kreeg de adviesaanvrager de </w:t>
      </w:r>
      <w:r w:rsidR="00F67B75">
        <w:t>lastige</w:t>
      </w:r>
      <w:r w:rsidR="00F67B75" w:rsidRPr="00CD53C6">
        <w:t xml:space="preserve"> </w:t>
      </w:r>
      <w:r w:rsidR="00A4336F" w:rsidRPr="00CD53C6">
        <w:t xml:space="preserve">opdracht om </w:t>
      </w:r>
      <w:r w:rsidR="00F67B75">
        <w:t>–</w:t>
      </w:r>
      <w:r w:rsidR="00A4336F" w:rsidRPr="00CD53C6">
        <w:t xml:space="preserve"> bij </w:t>
      </w:r>
      <w:r w:rsidR="00F67B75">
        <w:t xml:space="preserve">voorkeur </w:t>
      </w:r>
      <w:r w:rsidR="00A4336F" w:rsidRPr="00CD53C6">
        <w:t xml:space="preserve">in overleg met de andere gewesten, en bij voorkeur ook </w:t>
      </w:r>
      <w:r w:rsidR="00C079BE">
        <w:t xml:space="preserve">met </w:t>
      </w:r>
      <w:r w:rsidR="00A4336F" w:rsidRPr="00CD53C6">
        <w:t xml:space="preserve">de federale overheid, die immers ook nog </w:t>
      </w:r>
      <w:r w:rsidR="00E26853">
        <w:t xml:space="preserve">deels </w:t>
      </w:r>
      <w:r w:rsidR="00A4336F" w:rsidRPr="00CD53C6">
        <w:t xml:space="preserve">bevoegd is gebleven </w:t>
      </w:r>
      <w:r w:rsidR="00E26853">
        <w:t>–</w:t>
      </w:r>
      <w:r w:rsidR="00A4336F" w:rsidRPr="00CD53C6">
        <w:t xml:space="preserve"> </w:t>
      </w:r>
      <w:r w:rsidR="00F67B75">
        <w:t>de richtlijn</w:t>
      </w:r>
      <w:r w:rsidR="00A4336F" w:rsidRPr="00CD53C6">
        <w:t xml:space="preserve"> bevoegdheidsrechtelijk te ontleden en </w:t>
      </w:r>
      <w:r w:rsidR="004A16BF">
        <w:t>(enkel) de onderdelen waarvoor hij bevoegd is,</w:t>
      </w:r>
      <w:r w:rsidR="004A16BF" w:rsidRPr="00CD53C6">
        <w:t xml:space="preserve"> </w:t>
      </w:r>
      <w:r w:rsidR="00A4336F" w:rsidRPr="00CD53C6">
        <w:t>om te zetten.</w:t>
      </w:r>
      <w:r w:rsidR="00782AC6" w:rsidRPr="00DF632C">
        <w:rPr>
          <w:rStyle w:val="Voetnootmarkering"/>
        </w:rPr>
        <w:footnoteReference w:id="104"/>
      </w:r>
      <w:r w:rsidR="00782AC6" w:rsidRPr="00DF632C">
        <w:t xml:space="preserve"> </w:t>
      </w:r>
    </w:p>
    <w:p w:rsidR="009E5783" w:rsidRPr="00DF632C" w:rsidRDefault="009E5783" w:rsidP="00782AC6"/>
    <w:p w:rsidR="00782AC6" w:rsidRPr="00DF632C" w:rsidRDefault="001D12B7" w:rsidP="00782AC6">
      <w:r w:rsidRPr="00CD53C6">
        <w:rPr>
          <w:b/>
        </w:rPr>
        <w:t>39</w:t>
      </w:r>
      <w:r w:rsidR="00A4336F" w:rsidRPr="00CD53C6">
        <w:rPr>
          <w:b/>
        </w:rPr>
        <w:t>.</w:t>
      </w:r>
      <w:r w:rsidR="00A4336F" w:rsidRPr="00CD53C6">
        <w:tab/>
        <w:t xml:space="preserve">De </w:t>
      </w:r>
      <w:r w:rsidR="004A16BF">
        <w:t xml:space="preserve">meest aangewezen </w:t>
      </w:r>
      <w:r w:rsidR="00A4336F" w:rsidRPr="00CD53C6">
        <w:t>uitweg in de</w:t>
      </w:r>
      <w:r w:rsidR="004A16BF">
        <w:t>rgelijke</w:t>
      </w:r>
      <w:r w:rsidR="00A4336F" w:rsidRPr="00CD53C6">
        <w:t xml:space="preserve"> gevallen is </w:t>
      </w:r>
      <w:r w:rsidR="004A16BF">
        <w:t xml:space="preserve">doorgaans </w:t>
      </w:r>
      <w:r w:rsidR="00A4336F" w:rsidRPr="00CD53C6">
        <w:t>het sluiten van een samenwerkingsakkoord, wat de Raad dan ook soms zelf als oplossing naar voor</w:t>
      </w:r>
      <w:r w:rsidR="004A16BF">
        <w:t xml:space="preserve"> </w:t>
      </w:r>
      <w:r w:rsidR="00A4336F" w:rsidRPr="00CD53C6">
        <w:t xml:space="preserve">schuift: soms </w:t>
      </w:r>
      <w:r w:rsidR="004A16BF">
        <w:t>op dwingende wijze,</w:t>
      </w:r>
      <w:r w:rsidR="00782AC6" w:rsidRPr="00DF632C">
        <w:rPr>
          <w:rStyle w:val="Voetnootmarkering"/>
        </w:rPr>
        <w:footnoteReference w:id="105"/>
      </w:r>
      <w:r w:rsidR="00782AC6" w:rsidRPr="00DF632C">
        <w:t xml:space="preserve"> soms als een sterke aanbeveling.</w:t>
      </w:r>
      <w:r w:rsidR="00782AC6" w:rsidRPr="00DF632C">
        <w:rPr>
          <w:rStyle w:val="Voetnootmarkering"/>
        </w:rPr>
        <w:footnoteReference w:id="106"/>
      </w:r>
      <w:r w:rsidR="00782AC6" w:rsidRPr="00DF632C">
        <w:t xml:space="preserve"> Ook dan zijn echter niet alle zorgen van de baan. Het is immers vaak onduidelijk welke aspecten van de omzetting gezamenlijk moeten gebeuren en welke aspecten niettemin door elke betrokken overheid afzonderlijk mogen worden georganiseerd.</w:t>
      </w:r>
      <w:r w:rsidR="00782AC6" w:rsidRPr="00DF632C">
        <w:rPr>
          <w:rStyle w:val="Voetnootmarkering"/>
        </w:rPr>
        <w:footnoteReference w:id="107"/>
      </w:r>
      <w:r w:rsidR="00782AC6" w:rsidRPr="00DF632C">
        <w:t xml:space="preserve"> Bovendien kan er ook na het sluiten van een samenwerkingsakkoord nog </w:t>
      </w:r>
      <w:r w:rsidR="00E26853">
        <w:t xml:space="preserve">steeds </w:t>
      </w:r>
      <w:r w:rsidR="00782AC6" w:rsidRPr="00DF632C">
        <w:t>onduidelijkheid zijn over de draagwijdte van de respectieve bevoegdheden met betrekking tot de aspecten van de omzetting die niet in het samenwerkingsakkoord werden geregeld.</w:t>
      </w:r>
      <w:r w:rsidR="00782AC6" w:rsidRPr="00DF632C">
        <w:rPr>
          <w:rStyle w:val="Voetnootmarkering"/>
        </w:rPr>
        <w:footnoteReference w:id="108"/>
      </w:r>
    </w:p>
    <w:p w:rsidR="00782AC6" w:rsidRPr="00CD53C6" w:rsidRDefault="00A4336F" w:rsidP="009E5783">
      <w:pPr>
        <w:pStyle w:val="Kop2"/>
        <w:rPr>
          <w:lang w:val="nl-BE"/>
        </w:rPr>
      </w:pPr>
      <w:bookmarkStart w:id="18" w:name="_Toc495677874"/>
      <w:r w:rsidRPr="00CD53C6">
        <w:rPr>
          <w:lang w:val="nl-BE"/>
        </w:rPr>
        <w:t>C. Bevoegdheid</w:t>
      </w:r>
      <w:r w:rsidR="00E26853">
        <w:rPr>
          <w:lang w:val="nl-BE"/>
        </w:rPr>
        <w:t xml:space="preserve">sverdeling tussen de EU en </w:t>
      </w:r>
      <w:r w:rsidR="004A16BF">
        <w:rPr>
          <w:lang w:val="nl-BE"/>
        </w:rPr>
        <w:t>de</w:t>
      </w:r>
      <w:r w:rsidR="00E26853">
        <w:rPr>
          <w:lang w:val="nl-BE"/>
        </w:rPr>
        <w:t xml:space="preserve"> lidstaten</w:t>
      </w:r>
      <w:bookmarkEnd w:id="18"/>
    </w:p>
    <w:p w:rsidR="00782AC6" w:rsidRPr="00DF632C" w:rsidRDefault="00782AC6" w:rsidP="00782AC6"/>
    <w:p w:rsidR="00782AC6" w:rsidRPr="00DF632C" w:rsidRDefault="001D12B7" w:rsidP="00782AC6">
      <w:r w:rsidRPr="00CD53C6">
        <w:rPr>
          <w:b/>
        </w:rPr>
        <w:t>40</w:t>
      </w:r>
      <w:r w:rsidR="009E5783" w:rsidRPr="00CD53C6">
        <w:rPr>
          <w:b/>
        </w:rPr>
        <w:t>.</w:t>
      </w:r>
      <w:r w:rsidR="009E5783" w:rsidRPr="00DF632C">
        <w:tab/>
      </w:r>
      <w:r w:rsidR="00782AC6" w:rsidRPr="00DF632C">
        <w:t xml:space="preserve">Alsof de Belgische bevoegdheidsverdelende regels nog niet complex genoeg zijn, moet de Raad </w:t>
      </w:r>
      <w:r w:rsidR="00C079BE">
        <w:t xml:space="preserve">ook </w:t>
      </w:r>
      <w:r w:rsidR="00782AC6" w:rsidRPr="00DF632C">
        <w:t xml:space="preserve">steeds vaker wijzen op de noodzaak om ook de bevoegdheidsverdeling tussen de EU en </w:t>
      </w:r>
      <w:r w:rsidR="00D262C8">
        <w:t>de</w:t>
      </w:r>
      <w:r w:rsidR="00D262C8" w:rsidRPr="00CD53C6">
        <w:t xml:space="preserve"> </w:t>
      </w:r>
      <w:r w:rsidR="00A4336F" w:rsidRPr="00CD53C6">
        <w:t xml:space="preserve">lidstaten te respecteren. Hierboven </w:t>
      </w:r>
      <w:r w:rsidR="00D262C8">
        <w:t>(</w:t>
      </w:r>
      <w:r w:rsidR="00D262C8" w:rsidRPr="00CD53C6">
        <w:rPr>
          <w:highlight w:val="yellow"/>
        </w:rPr>
        <w:t>nr. 36</w:t>
      </w:r>
      <w:r w:rsidR="00D262C8">
        <w:t xml:space="preserve">) </w:t>
      </w:r>
      <w:r w:rsidR="00A4336F" w:rsidRPr="00CD53C6">
        <w:t xml:space="preserve">werd al gewezen op het probleem van ongeoorloofde </w:t>
      </w:r>
      <w:r w:rsidR="00A4336F" w:rsidRPr="00CD53C6">
        <w:rPr>
          <w:i/>
        </w:rPr>
        <w:t>goldplating</w:t>
      </w:r>
      <w:r w:rsidR="00A4336F" w:rsidRPr="00CD53C6">
        <w:t>, wat vanuit het standpunt van het EU</w:t>
      </w:r>
      <w:r w:rsidR="00D262C8">
        <w:t>-</w:t>
      </w:r>
      <w:r w:rsidR="00A4336F" w:rsidRPr="00CD53C6">
        <w:t xml:space="preserve">recht ook een bevoegdheidsprobleem is, </w:t>
      </w:r>
      <w:r w:rsidR="00D262C8">
        <w:t xml:space="preserve">omdat het </w:t>
      </w:r>
      <w:r w:rsidR="00A4336F" w:rsidRPr="00CD53C6">
        <w:t xml:space="preserve">neerkomt op de miskenning van de </w:t>
      </w:r>
      <w:r w:rsidR="00D262C8">
        <w:t>voorrang</w:t>
      </w:r>
      <w:r w:rsidR="00A4336F" w:rsidRPr="00CD53C6">
        <w:t xml:space="preserve"> van het </w:t>
      </w:r>
      <w:r w:rsidR="00D262C8">
        <w:t>EU-recht</w:t>
      </w:r>
      <w:r w:rsidR="00A4336F" w:rsidRPr="00CD53C6">
        <w:t>.</w:t>
      </w:r>
      <w:r w:rsidR="00E26853">
        <w:rPr>
          <w:rStyle w:val="Voetnootmarkering"/>
        </w:rPr>
        <w:footnoteReference w:id="109"/>
      </w:r>
    </w:p>
    <w:p w:rsidR="009E5783" w:rsidRPr="00DF632C" w:rsidRDefault="009E5783" w:rsidP="00782AC6"/>
    <w:p w:rsidR="00782AC6" w:rsidRPr="00CD53C6" w:rsidRDefault="001D12B7" w:rsidP="00782AC6">
      <w:r w:rsidRPr="00CD53C6">
        <w:rPr>
          <w:b/>
        </w:rPr>
        <w:t>41</w:t>
      </w:r>
      <w:r w:rsidR="00A4336F" w:rsidRPr="00CD53C6">
        <w:rPr>
          <w:b/>
        </w:rPr>
        <w:t>.</w:t>
      </w:r>
      <w:r w:rsidR="00A4336F" w:rsidRPr="00CD53C6">
        <w:tab/>
        <w:t xml:space="preserve">De meeste voorbeelden hebben betrekking op voorgenomen internationale akkoorden. Zo stelde de Raad vast dat een voorgenomen bilateraal investeringsverdrag met Oman slechts doorgang kon vinden in de mate dat daarvoor door de </w:t>
      </w:r>
      <w:r w:rsidR="00CA25BF">
        <w:t>EU</w:t>
      </w:r>
      <w:r w:rsidR="00CA25BF" w:rsidRPr="00CD53C6">
        <w:t xml:space="preserve"> </w:t>
      </w:r>
      <w:r w:rsidR="00A4336F" w:rsidRPr="00CD53C6">
        <w:t>toelating was gegeven overeenkomstig de artikelen 2 en 3 van verordening nr. 1219/2012 van het Europees Parlement en de Raad van 12 december 2012 tot vaststelling van overgangsregelingen voor bilaterale investeringsbeschermingsovereenkomsten tussen lidstaten en derde landen.</w:t>
      </w:r>
      <w:r w:rsidR="00782AC6" w:rsidRPr="00DF632C">
        <w:rPr>
          <w:rStyle w:val="Voetnootmarkering"/>
        </w:rPr>
        <w:footnoteReference w:id="110"/>
      </w:r>
      <w:r w:rsidR="00782AC6" w:rsidRPr="00DF632C">
        <w:t xml:space="preserve"> Ook voor luchtvaartovereenkomsten moet rekening worden gehouden met de exclusieve bevoegdheid van de </w:t>
      </w:r>
      <w:r w:rsidR="00CA25BF">
        <w:t>EU</w:t>
      </w:r>
      <w:r w:rsidR="00CA25BF" w:rsidRPr="00DF632C">
        <w:t xml:space="preserve"> </w:t>
      </w:r>
      <w:r w:rsidR="00782AC6" w:rsidRPr="00DF632C">
        <w:t xml:space="preserve">voor OpenSky-overeenkomsten, zodat slechts met dergelijke overeenkomsten kan worden ingestemd nadat eerst de procedures van </w:t>
      </w:r>
      <w:r w:rsidR="00A4336F" w:rsidRPr="00CD53C6">
        <w:t>verordening (EG) nr. 847/2004 van het Europees Parlement en de Raad van 29 april 2004 inzake onderhandelingen over en de uitvoering van overeenkomsten inzake luchtdiensten tussen lidstaten en derde landen werden nageleefd.</w:t>
      </w:r>
    </w:p>
    <w:p w:rsidR="009E5783" w:rsidRPr="00CD53C6" w:rsidRDefault="009E5783" w:rsidP="00782AC6"/>
    <w:p w:rsidR="00782AC6" w:rsidRPr="00CD53C6" w:rsidRDefault="001D12B7" w:rsidP="00782AC6">
      <w:r w:rsidRPr="00CD53C6">
        <w:rPr>
          <w:b/>
        </w:rPr>
        <w:t>42</w:t>
      </w:r>
      <w:r w:rsidR="00A4336F" w:rsidRPr="00CD53C6">
        <w:rPr>
          <w:b/>
        </w:rPr>
        <w:t>.</w:t>
      </w:r>
      <w:r w:rsidR="00A4336F" w:rsidRPr="00CD53C6">
        <w:tab/>
        <w:t>Niettemin botst af en toe ook voorgenomen interne regelgeving op die exclusieve bevoegdheden</w:t>
      </w:r>
      <w:r w:rsidR="00CA25BF">
        <w:t xml:space="preserve"> van de EU</w:t>
      </w:r>
      <w:r w:rsidR="00A4336F" w:rsidRPr="00CD53C6">
        <w:t xml:space="preserve">. Zo stelde de Raad van State zich, gelet op de exclusieve bevoegdheden van de </w:t>
      </w:r>
      <w:r w:rsidR="00CA25BF">
        <w:t>EU</w:t>
      </w:r>
      <w:r w:rsidR="00CA25BF" w:rsidRPr="00CD53C6">
        <w:t xml:space="preserve"> </w:t>
      </w:r>
      <w:r w:rsidR="00A4336F" w:rsidRPr="00CD53C6">
        <w:t xml:space="preserve">inzake externe handel, vragen bij een ontwerp van koninklijk besluit over de samenstelling van mayonaise, dat weliswaar producenten uit andere EU-lidstaten (en Turkije en de EER) van het toepassingsgebied uitsloot, maar </w:t>
      </w:r>
      <w:r w:rsidR="00CA25BF">
        <w:t xml:space="preserve">dat </w:t>
      </w:r>
      <w:r w:rsidR="00A4336F" w:rsidRPr="00CD53C6">
        <w:t>wel zou gelden voor mayonaise die wordt ingevoerd uit derde landen.</w:t>
      </w:r>
      <w:r w:rsidR="00A4336F" w:rsidRPr="00CD53C6">
        <w:rPr>
          <w:rStyle w:val="Voetnootmarkering"/>
        </w:rPr>
        <w:footnoteReference w:id="111"/>
      </w:r>
    </w:p>
    <w:p w:rsidR="00782AC6" w:rsidRPr="00CD53C6" w:rsidRDefault="00A4336F" w:rsidP="009E5783">
      <w:pPr>
        <w:pStyle w:val="Kop2"/>
        <w:rPr>
          <w:lang w:val="nl-BE"/>
        </w:rPr>
      </w:pPr>
      <w:bookmarkStart w:id="19" w:name="_Toc495677875"/>
      <w:r w:rsidRPr="00CD53C6">
        <w:rPr>
          <w:lang w:val="nl-BE"/>
        </w:rPr>
        <w:t>D. Externe betrekkingen</w:t>
      </w:r>
      <w:bookmarkEnd w:id="19"/>
    </w:p>
    <w:p w:rsidR="00782AC6" w:rsidRPr="00DF632C" w:rsidRDefault="00782AC6" w:rsidP="00782AC6"/>
    <w:p w:rsidR="00782AC6" w:rsidRPr="00DF632C" w:rsidRDefault="001D12B7" w:rsidP="00782AC6">
      <w:r w:rsidRPr="00CD53C6">
        <w:rPr>
          <w:b/>
        </w:rPr>
        <w:t>43</w:t>
      </w:r>
      <w:r w:rsidR="00A4336F" w:rsidRPr="00CD53C6">
        <w:rPr>
          <w:b/>
        </w:rPr>
        <w:t>.</w:t>
      </w:r>
      <w:r w:rsidR="00A4336F" w:rsidRPr="00CD53C6">
        <w:tab/>
        <w:t xml:space="preserve">De </w:t>
      </w:r>
      <w:r w:rsidR="00B835D0">
        <w:t>zo-even (</w:t>
      </w:r>
      <w:r w:rsidR="00B835D0" w:rsidRPr="00CD53C6">
        <w:rPr>
          <w:highlight w:val="yellow"/>
        </w:rPr>
        <w:t>nr. 42</w:t>
      </w:r>
      <w:r w:rsidR="00B835D0">
        <w:t xml:space="preserve">) geschetste </w:t>
      </w:r>
      <w:r w:rsidR="00A4336F" w:rsidRPr="00CD53C6">
        <w:t xml:space="preserve">uitzondering voor niet enkel EU-lidstaten, maar ook voor Turkije en de EER landen, hoeft niet te verbazen. Het complexe web van associatie- en handelsakkoorden van de Unie betekent dat de Raad van State voortdurend de adviesaanvragers alert moet houden voor het </w:t>
      </w:r>
      <w:r w:rsidR="008D1F27">
        <w:t>gegeven</w:t>
      </w:r>
      <w:r w:rsidR="008D1F27" w:rsidRPr="00CD53C6">
        <w:t xml:space="preserve"> </w:t>
      </w:r>
      <w:r w:rsidR="00A4336F" w:rsidRPr="00CD53C6">
        <w:t>dat EU</w:t>
      </w:r>
      <w:r w:rsidR="009B186C">
        <w:t>-</w:t>
      </w:r>
      <w:r w:rsidR="00A4336F" w:rsidRPr="00CD53C6">
        <w:t xml:space="preserve">recht </w:t>
      </w:r>
      <w:r w:rsidR="008D1F27">
        <w:t xml:space="preserve">door deze akkoorden </w:t>
      </w:r>
      <w:r w:rsidR="00A4336F" w:rsidRPr="00CD53C6">
        <w:t>vaak werd geëxporteerd naar derde landen zodat heel wat voordelen niet enkel ook moeten worden toegekend aan onderdanen van andere EU-lidstaten, maar ook aan een wisselend gezelschap van derde landen. Bovendien zijn er ook een hele reeks derdelanders die op basis van EU</w:t>
      </w:r>
      <w:r w:rsidR="008D1F27">
        <w:t>-rechtsregels</w:t>
      </w:r>
      <w:r w:rsidR="00A4336F" w:rsidRPr="00CD53C6">
        <w:t xml:space="preserve"> met EU-onderdanen moeten worden gelijkgesteld, wat het toepassingsgebied vaak nog gecompliceerder maakt.</w:t>
      </w:r>
    </w:p>
    <w:p w:rsidR="009E5783" w:rsidRPr="00DF632C" w:rsidRDefault="009E5783" w:rsidP="00782AC6"/>
    <w:p w:rsidR="00782AC6" w:rsidRPr="00DF632C" w:rsidRDefault="001D12B7" w:rsidP="00782AC6">
      <w:r w:rsidRPr="00CD53C6">
        <w:rPr>
          <w:b/>
        </w:rPr>
        <w:t>44</w:t>
      </w:r>
      <w:r w:rsidR="00A4336F" w:rsidRPr="00CD53C6">
        <w:rPr>
          <w:b/>
        </w:rPr>
        <w:t>.</w:t>
      </w:r>
      <w:r w:rsidR="00A4336F" w:rsidRPr="00CD53C6">
        <w:tab/>
        <w:t xml:space="preserve">In </w:t>
      </w:r>
      <w:r w:rsidR="008D1F27">
        <w:t xml:space="preserve">een </w:t>
      </w:r>
      <w:r w:rsidR="00A4336F" w:rsidRPr="00CD53C6">
        <w:t xml:space="preserve">advies moest de Raad bijgevolg niet enkel </w:t>
      </w:r>
      <w:r w:rsidR="008D1F27">
        <w:t xml:space="preserve">erop </w:t>
      </w:r>
      <w:r w:rsidR="00A4336F" w:rsidRPr="00CD53C6">
        <w:t xml:space="preserve">wijzen dat de beroepskwalificatierichtlijn ook van toepassing is op EER-landen </w:t>
      </w:r>
      <w:r w:rsidR="008D1F27">
        <w:t>–</w:t>
      </w:r>
      <w:r w:rsidR="00A4336F" w:rsidRPr="00CD53C6">
        <w:t xml:space="preserve"> zij het dat de exacte draagwijdte daarvan niet geheel duidelijk is </w:t>
      </w:r>
      <w:r w:rsidR="008D1F27">
        <w:t>–</w:t>
      </w:r>
      <w:r w:rsidR="00A4336F" w:rsidRPr="00CD53C6">
        <w:t xml:space="preserve"> maar ook dat gelet op richtlijnen 2004/38/EG en 2003/109/EG ook bepaalde derdelanders zich </w:t>
      </w:r>
      <w:r w:rsidR="00E26853" w:rsidRPr="009A45E4">
        <w:t xml:space="preserve">mogelijks </w:t>
      </w:r>
      <w:r w:rsidR="00A4336F" w:rsidRPr="00CD53C6">
        <w:t>op die beroepskwalificatierichtlijn kunnen beroepen. De Raad raadde dan ook aan om hierover met de Europese Commissie contact op te nemen.</w:t>
      </w:r>
      <w:r w:rsidR="00782AC6" w:rsidRPr="00DF632C">
        <w:rPr>
          <w:rStyle w:val="Voetnootmarkering"/>
        </w:rPr>
        <w:footnoteReference w:id="112"/>
      </w:r>
      <w:r w:rsidR="00782AC6" w:rsidRPr="00DF632C">
        <w:t xml:space="preserve"> Die uitbreiding </w:t>
      </w:r>
      <w:r w:rsidR="008D1F27">
        <w:t>leidt</w:t>
      </w:r>
      <w:r w:rsidR="008D1F27" w:rsidRPr="00DF632C">
        <w:t xml:space="preserve"> </w:t>
      </w:r>
      <w:r w:rsidR="008D1F27">
        <w:t xml:space="preserve">soms </w:t>
      </w:r>
      <w:r w:rsidR="00782AC6" w:rsidRPr="00DF632C">
        <w:t xml:space="preserve">echter </w:t>
      </w:r>
      <w:r w:rsidR="00E26853">
        <w:t xml:space="preserve">ook </w:t>
      </w:r>
      <w:r w:rsidR="008D1F27">
        <w:t xml:space="preserve">tot </w:t>
      </w:r>
      <w:r w:rsidR="00782AC6" w:rsidRPr="00DF632C">
        <w:t>intern</w:t>
      </w:r>
      <w:r w:rsidR="008D1F27">
        <w:t>e</w:t>
      </w:r>
      <w:r w:rsidR="00782AC6" w:rsidRPr="00DF632C">
        <w:t xml:space="preserve"> rechtsgrondproblemen.</w:t>
      </w:r>
      <w:r w:rsidR="00782AC6" w:rsidRPr="00DF632C">
        <w:rPr>
          <w:rStyle w:val="Voetnootmarkering"/>
        </w:rPr>
        <w:footnoteReference w:id="113"/>
      </w:r>
      <w:r w:rsidR="00782AC6" w:rsidRPr="00DF632C">
        <w:t xml:space="preserve"> Soms doet de Raad zelf voorstellen voor </w:t>
      </w:r>
      <w:r w:rsidR="00CF3316">
        <w:t xml:space="preserve">een voldoende ruime </w:t>
      </w:r>
      <w:r w:rsidR="00782AC6" w:rsidRPr="00DF632C">
        <w:t xml:space="preserve">formulering van het toepassingsgebied van de regeling. Zo werd een ontworpen </w:t>
      </w:r>
      <w:r w:rsidR="00A4336F" w:rsidRPr="00CD53C6">
        <w:t>regeling die het verwerken van privacygevoelige informatie enkel toestond binnen de EU op voorstel van de Raad uitgebreid tot “een lidstaat van de Europese Unie of in een derde staat waarnaar het vrij verkeer van diensten is uitgebreid en die zich er in het kader van een internationaal akkoord met de Europese Unie toe heeft verbonden om de uniale regelgeving betreffende de verwerking van persoonsgegevens te respecteren”.</w:t>
      </w:r>
      <w:r w:rsidR="00782AC6" w:rsidRPr="00DF632C">
        <w:rPr>
          <w:rStyle w:val="Voetnootmarkering"/>
        </w:rPr>
        <w:footnoteReference w:id="114"/>
      </w:r>
    </w:p>
    <w:p w:rsidR="009E5783" w:rsidRPr="00DF632C" w:rsidRDefault="009E5783" w:rsidP="00782AC6"/>
    <w:p w:rsidR="00782AC6" w:rsidRPr="00DF632C" w:rsidRDefault="001D12B7" w:rsidP="00782AC6">
      <w:r w:rsidRPr="00CD53C6">
        <w:rPr>
          <w:b/>
        </w:rPr>
        <w:t>45</w:t>
      </w:r>
      <w:r w:rsidR="00A4336F" w:rsidRPr="00CD53C6">
        <w:rPr>
          <w:b/>
        </w:rPr>
        <w:t>.</w:t>
      </w:r>
      <w:r w:rsidR="00A4336F" w:rsidRPr="00CD53C6">
        <w:tab/>
        <w:t xml:space="preserve">Zoals </w:t>
      </w:r>
      <w:r w:rsidR="00CF3316">
        <w:t>zo-even al is uiteengezet</w:t>
      </w:r>
      <w:r w:rsidR="00E26853">
        <w:t>,</w:t>
      </w:r>
      <w:r w:rsidR="00A4336F" w:rsidRPr="00CD53C6">
        <w:t xml:space="preserve"> kan het bepalen welke derdelanden allemaal in aanmerking komen een erg complexe oefening zijn. Zo zijn de richtlijnen van het derde energiepakket weliswaar bedoeld om ook door de EER-lidstaten te worden toegepast, maar zoals de Raad van State moest vaststellen is die uitbreiding tot de EER nog niet juridisch geformaliseerd. Dat neemt niet weg dat ook nu al België en Noorwegen niet volledig vrij zijn in de manier waarop ze een gezamenlijke onderzeese gasleiding beheren.</w:t>
      </w:r>
      <w:r w:rsidR="00782AC6" w:rsidRPr="00DF632C">
        <w:rPr>
          <w:rStyle w:val="Voetnootmarkering"/>
        </w:rPr>
        <w:footnoteReference w:id="115"/>
      </w:r>
      <w:r w:rsidR="00782AC6" w:rsidRPr="00DF632C">
        <w:t xml:space="preserve"> In </w:t>
      </w:r>
      <w:r w:rsidR="00600824">
        <w:t>een ander geval</w:t>
      </w:r>
      <w:r w:rsidR="00782AC6" w:rsidRPr="00DF632C">
        <w:t xml:space="preserve"> moest de Raad dan weer wijzen op de verschillen tussen het regime dat geldt voor Noorwegen en de, weliswaar verwante, regels die gelden voor Zwitserland.</w:t>
      </w:r>
      <w:r w:rsidR="00782AC6" w:rsidRPr="00DF632C">
        <w:rPr>
          <w:rStyle w:val="Voetnootmarkering"/>
        </w:rPr>
        <w:footnoteReference w:id="116"/>
      </w:r>
    </w:p>
    <w:p w:rsidR="009E5783" w:rsidRPr="00DF632C" w:rsidRDefault="009E5783" w:rsidP="00782AC6"/>
    <w:p w:rsidR="00782AC6" w:rsidRPr="00DF632C" w:rsidRDefault="001D12B7" w:rsidP="00782AC6">
      <w:r w:rsidRPr="00CD53C6">
        <w:rPr>
          <w:b/>
        </w:rPr>
        <w:t>46</w:t>
      </w:r>
      <w:r w:rsidR="00A4336F" w:rsidRPr="00CD53C6">
        <w:rPr>
          <w:b/>
        </w:rPr>
        <w:t>.</w:t>
      </w:r>
      <w:r w:rsidR="00A4336F" w:rsidRPr="00CD53C6">
        <w:tab/>
        <w:t xml:space="preserve">De verschillende </w:t>
      </w:r>
      <w:r w:rsidR="00DF632C" w:rsidRPr="00DF632C">
        <w:t>associatie-</w:t>
      </w:r>
      <w:r w:rsidR="00DF632C">
        <w:t xml:space="preserve"> </w:t>
      </w:r>
      <w:r w:rsidR="00DF632C" w:rsidRPr="00DF632C">
        <w:t>en</w:t>
      </w:r>
      <w:r w:rsidR="00A4336F" w:rsidRPr="00CD53C6">
        <w:t xml:space="preserve"> handelsakkoorden zullen steeds belangrijker worden voor de interne rechtsorde. Bij de beoordeling van de instemmingsinstrumenten bij de overeenkomst tussen de EU en Kazachstan wees de Raad er al op dat die overeenkomst onder meer nieuwe transparantievereisten invoert met betrekking tot overheidsopdrachten</w:t>
      </w:r>
      <w:r w:rsidR="00782AC6" w:rsidRPr="00DF632C">
        <w:rPr>
          <w:rStyle w:val="Voetnootmarkering"/>
        </w:rPr>
        <w:footnoteReference w:id="117"/>
      </w:r>
      <w:r w:rsidR="00782AC6" w:rsidRPr="00DF632C">
        <w:t xml:space="preserve"> en </w:t>
      </w:r>
      <w:r w:rsidR="00B462B8">
        <w:t xml:space="preserve">dat </w:t>
      </w:r>
      <w:r w:rsidR="00782AC6" w:rsidRPr="00DF632C">
        <w:t>de vereiste dat voorgenomen</w:t>
      </w:r>
      <w:r w:rsidR="00A4336F" w:rsidRPr="00CD53C6">
        <w:t xml:space="preserve"> wet- en regelgeving “die verband houden met of van invloed zijn” </w:t>
      </w:r>
      <w:r w:rsidR="00C079BE">
        <w:t>op</w:t>
      </w:r>
      <w:r w:rsidR="00C079BE" w:rsidRPr="00CD53C6">
        <w:t xml:space="preserve"> </w:t>
      </w:r>
      <w:r w:rsidR="00A4336F" w:rsidRPr="00CD53C6">
        <w:t xml:space="preserve">de aangelegenheden van Titel III van dat verdrag, wat zowat alle economische regelgeving is, voortaan vooraf het voorwerp uitmaken van </w:t>
      </w:r>
      <w:r w:rsidR="00A4336F" w:rsidRPr="00CD53C6">
        <w:rPr>
          <w:i/>
        </w:rPr>
        <w:t>notice and comment</w:t>
      </w:r>
      <w:r w:rsidR="00A4336F" w:rsidRPr="00CD53C6">
        <w:t xml:space="preserve"> procedures.</w:t>
      </w:r>
      <w:r w:rsidR="00782AC6" w:rsidRPr="00DF632C">
        <w:rPr>
          <w:rStyle w:val="Voetnootmarkering"/>
        </w:rPr>
        <w:footnoteReference w:id="118"/>
      </w:r>
      <w:r w:rsidR="00782AC6" w:rsidRPr="00DF632C">
        <w:t xml:space="preserve"> De overeenkomst met Oekraïne introduceert dan weer de verplichting om ook bij alle reglementaire besluiten in een uitdrukkelijke inhoudelijke motivering te voorzien, iets wat tot nog toe slechts uitzonderlijk gebeurt in een verslag aan de Koning of aan de Regering.</w:t>
      </w:r>
      <w:r w:rsidR="00782AC6" w:rsidRPr="00DF632C">
        <w:rPr>
          <w:rStyle w:val="Voetnootmarkering"/>
        </w:rPr>
        <w:footnoteReference w:id="119"/>
      </w:r>
      <w:r w:rsidR="00782AC6" w:rsidRPr="00DF632C">
        <w:t xml:space="preserve"> Aangezien vooraf niet kan worden voorzien of wetgeving al dan niet zal moeten worden toegepast op situaties met een link met die landen, komen die voorschriften neer op algemene normen, die de manier waarop regelgeving tot stand komt ingrijpend zullen veranderen.</w:t>
      </w:r>
    </w:p>
    <w:p w:rsidR="00782AC6" w:rsidRPr="00CD53C6" w:rsidRDefault="00A4336F" w:rsidP="00782AC6">
      <w:pPr>
        <w:pStyle w:val="Kop2"/>
        <w:rPr>
          <w:lang w:val="nl-BE"/>
        </w:rPr>
      </w:pPr>
      <w:bookmarkStart w:id="20" w:name="_Toc495677876"/>
      <w:r w:rsidRPr="00CD53C6">
        <w:rPr>
          <w:lang w:val="nl-BE"/>
        </w:rPr>
        <w:t>E. Vrij verkeer</w:t>
      </w:r>
      <w:bookmarkEnd w:id="20"/>
    </w:p>
    <w:p w:rsidR="009E5783" w:rsidRPr="00DF632C" w:rsidRDefault="009E5783" w:rsidP="00782AC6"/>
    <w:p w:rsidR="00782AC6" w:rsidRPr="00DF632C" w:rsidRDefault="001D12B7" w:rsidP="00782AC6">
      <w:r w:rsidRPr="00CD53C6">
        <w:rPr>
          <w:b/>
        </w:rPr>
        <w:t>47</w:t>
      </w:r>
      <w:r w:rsidR="00A4336F" w:rsidRPr="00CD53C6">
        <w:rPr>
          <w:b/>
        </w:rPr>
        <w:t>.</w:t>
      </w:r>
      <w:r w:rsidR="00A4336F" w:rsidRPr="00CD53C6">
        <w:tab/>
        <w:t xml:space="preserve">De vier vrijheden stellen in essentie grenzen aan de uitoefening van de regelgevende bevoegdheden van de lidstaten. Het hoeft dan ook niet te verbazen dat de Raad geregeld moet wijzen op dreigende beperkingen aan het vrij verkeer </w:t>
      </w:r>
      <w:r w:rsidR="00C079BE" w:rsidRPr="00CD53C6">
        <w:t xml:space="preserve">in </w:t>
      </w:r>
      <w:r w:rsidR="00A4336F" w:rsidRPr="00CD53C6">
        <w:t xml:space="preserve">zowel klassieke als minder klassieke sectoren. </w:t>
      </w:r>
    </w:p>
    <w:p w:rsidR="009E5783" w:rsidRDefault="009E5783" w:rsidP="00782AC6"/>
    <w:p w:rsidR="00B462B8" w:rsidRDefault="00B462B8" w:rsidP="00CD53C6">
      <w:pPr>
        <w:pStyle w:val="Kop3"/>
      </w:pPr>
      <w:bookmarkStart w:id="21" w:name="_Toc495677877"/>
      <w:r>
        <w:t>1. Vrij verkeer van goederen</w:t>
      </w:r>
      <w:bookmarkEnd w:id="21"/>
    </w:p>
    <w:p w:rsidR="00B462B8" w:rsidRPr="00DF632C" w:rsidRDefault="00B462B8" w:rsidP="00782AC6"/>
    <w:p w:rsidR="00782AC6" w:rsidRPr="00DF632C" w:rsidRDefault="001D12B7" w:rsidP="00782AC6">
      <w:r w:rsidRPr="00CD53C6">
        <w:rPr>
          <w:b/>
        </w:rPr>
        <w:t>48</w:t>
      </w:r>
      <w:r w:rsidR="00A4336F" w:rsidRPr="00CD53C6">
        <w:rPr>
          <w:b/>
        </w:rPr>
        <w:t>.</w:t>
      </w:r>
      <w:r w:rsidR="00A4336F" w:rsidRPr="00CD53C6">
        <w:tab/>
        <w:t xml:space="preserve">Wat het vrij verkeer van goederen betreft kan vooreerst worden gewezen op een aantal toepassingen in de medische sfeer. Zo heeft de Raad van State weliswaar aanvaard dat de zelfvoorzienigheid van de </w:t>
      </w:r>
      <w:r w:rsidR="00A4336F" w:rsidRPr="00CD53C6">
        <w:rPr>
          <w:i/>
        </w:rPr>
        <w:t>Unie</w:t>
      </w:r>
      <w:r w:rsidR="00A4336F" w:rsidRPr="00CD53C6">
        <w:t xml:space="preserve"> op het vlak van plasmaderivaten zoals opgelegd door </w:t>
      </w:r>
      <w:r w:rsidR="00A4336F" w:rsidRPr="00CD53C6">
        <w:rPr>
          <w:rFonts w:eastAsia="Arial Unicode MS" w:cs="Tahoma"/>
          <w:kern w:val="1"/>
          <w:lang w:eastAsia="nl-BE"/>
        </w:rPr>
        <w:t>artikel 110 van richtlijn 2001/83/EG</w:t>
      </w:r>
      <w:r w:rsidR="00A4336F" w:rsidRPr="00CD53C6">
        <w:rPr>
          <w:rFonts w:eastAsia="Times New Roman" w:cs="Times New Roman"/>
          <w:bCs/>
          <w:kern w:val="1"/>
          <w:vertAlign w:val="superscript"/>
          <w:lang w:eastAsia="nl-BE"/>
        </w:rPr>
        <w:footnoteReference w:id="120"/>
      </w:r>
      <w:r w:rsidR="00782AC6" w:rsidRPr="00DF632C">
        <w:t xml:space="preserve"> een reden kon zij</w:t>
      </w:r>
      <w:r w:rsidR="00E56CED">
        <w:t>n</w:t>
      </w:r>
      <w:r w:rsidR="004B4815" w:rsidRPr="00DF632C">
        <w:t xml:space="preserve"> </w:t>
      </w:r>
      <w:r w:rsidR="00782AC6" w:rsidRPr="00DF632C">
        <w:t>voor het beperken van het vrij verkeer, maar maakte de Raad niettemin voor</w:t>
      </w:r>
      <w:r w:rsidR="00A4336F" w:rsidRPr="00CD53C6">
        <w:t xml:space="preserve">behoud in </w:t>
      </w:r>
      <w:r w:rsidR="002451BF">
        <w:t>zoverre</w:t>
      </w:r>
      <w:r w:rsidR="00A4336F" w:rsidRPr="00CD53C6">
        <w:t xml:space="preserve"> de Belgische regeling beoogde om </w:t>
      </w:r>
      <w:r w:rsidR="00A4336F" w:rsidRPr="00CD53C6">
        <w:rPr>
          <w:i/>
        </w:rPr>
        <w:t>België</w:t>
      </w:r>
      <w:r w:rsidR="00A4336F" w:rsidRPr="00CD53C6">
        <w:t xml:space="preserve"> zelfvoorzienend te maken.</w:t>
      </w:r>
      <w:r w:rsidR="00782AC6" w:rsidRPr="00DF632C">
        <w:rPr>
          <w:rStyle w:val="Voetnootmarkering"/>
        </w:rPr>
        <w:footnoteReference w:id="121"/>
      </w:r>
      <w:r w:rsidR="00782AC6" w:rsidRPr="00DF632C">
        <w:t xml:space="preserve"> Een voorgenomen regeling die vereiste dat de verkoop van medische hulpmiddelen enkel was toegelaten indien de hulpmiddelen vergezeld gingen van een installatiegids die vooraf door de Belgische autoriteiten werd goedgekeurd, werd dan weer als disproportion</w:t>
      </w:r>
      <w:r w:rsidR="00A4336F" w:rsidRPr="00CD53C6">
        <w:t>eel aangemerkt, nu de gemachtigde toegaf dat een systeem van wederzijdse erkenning met betrekking tot hulpmiddelen die elders in de Unie op de markt waren gebracht goed denkbaar was.</w:t>
      </w:r>
      <w:r w:rsidR="00782AC6" w:rsidRPr="00DF632C">
        <w:rPr>
          <w:rStyle w:val="Voetnootmarkering"/>
        </w:rPr>
        <w:footnoteReference w:id="122"/>
      </w:r>
      <w:r w:rsidR="00782AC6" w:rsidRPr="00DF632C">
        <w:t xml:space="preserve"> Buiten de medische sfeer kan worden gewezen op een reeks adviezen met be</w:t>
      </w:r>
      <w:r w:rsidR="00A4336F" w:rsidRPr="00CD53C6">
        <w:t xml:space="preserve">trekking tot de groenestroomcertificaten. Hoewel het Hof van Justitie een eerdere </w:t>
      </w:r>
      <w:r w:rsidR="002451BF">
        <w:t>versie</w:t>
      </w:r>
      <w:r w:rsidR="002451BF" w:rsidRPr="00CD53C6">
        <w:t xml:space="preserve"> </w:t>
      </w:r>
      <w:r w:rsidR="00A4336F" w:rsidRPr="00CD53C6">
        <w:t xml:space="preserve">van het Vlaamse systeem van groenestroomcertificaten </w:t>
      </w:r>
      <w:r w:rsidR="00A4336F" w:rsidRPr="00CD53C6">
        <w:rPr>
          <w:i/>
        </w:rPr>
        <w:t>prima facie</w:t>
      </w:r>
      <w:r w:rsidR="00A4336F" w:rsidRPr="00CD53C6">
        <w:t xml:space="preserve"> verenigbaar heeft </w:t>
      </w:r>
      <w:r w:rsidR="00E26853">
        <w:t xml:space="preserve">verklaard </w:t>
      </w:r>
      <w:r w:rsidR="00A4336F" w:rsidRPr="00CD53C6">
        <w:t>met het vrij verkeer van goederen,</w:t>
      </w:r>
      <w:r w:rsidR="00782AC6" w:rsidRPr="00DF632C">
        <w:rPr>
          <w:rStyle w:val="Voetnootmarkering"/>
        </w:rPr>
        <w:footnoteReference w:id="123"/>
      </w:r>
      <w:r w:rsidR="00782AC6" w:rsidRPr="00DF632C">
        <w:t xml:space="preserve"> blijft de Raad uiterst kritisch </w:t>
      </w:r>
      <w:r w:rsidR="00782AC6" w:rsidRPr="00DF632C">
        <w:lastRenderedPageBreak/>
        <w:t>voor allerhand</w:t>
      </w:r>
      <w:r w:rsidR="00A4336F" w:rsidRPr="00CD53C6">
        <w:t xml:space="preserve">e ingrepen op de certificatenmarkt die </w:t>
      </w:r>
      <w:r w:rsidR="002451BF">
        <w:t xml:space="preserve">op gespannen voet staan met </w:t>
      </w:r>
      <w:r w:rsidR="00A4336F" w:rsidRPr="00CD53C6">
        <w:t>het door het Hof van Justitie vereiste bestaan van een goed functionerende certificatenmarkt.</w:t>
      </w:r>
      <w:r w:rsidR="00782AC6" w:rsidRPr="00DF632C">
        <w:rPr>
          <w:rStyle w:val="Voetnootmarkering"/>
        </w:rPr>
        <w:footnoteReference w:id="124"/>
      </w:r>
      <w:r w:rsidR="00782AC6" w:rsidRPr="00DF632C">
        <w:t xml:space="preserve"> In een recent advies over Vlaamse duurzaamheidscriteria voor biomassa gaf de Raad dan weer</w:t>
      </w:r>
      <w:r w:rsidR="00A4336F" w:rsidRPr="00CD53C6">
        <w:t xml:space="preserve"> aan dat de redelijkheid van de voorgenomen beperkingen aan het vrij verkeer van goederen onder meer kon blijken uit het </w:t>
      </w:r>
      <w:r w:rsidR="002451BF">
        <w:t>gegeven</w:t>
      </w:r>
      <w:r w:rsidR="002451BF" w:rsidRPr="00CD53C6">
        <w:t xml:space="preserve"> </w:t>
      </w:r>
      <w:r w:rsidR="00A4336F" w:rsidRPr="00CD53C6">
        <w:t>dat aansluiting werd gezocht bij internationale standaarden die ook in de buurlanden gelden.</w:t>
      </w:r>
      <w:r w:rsidR="00782AC6" w:rsidRPr="00DF632C">
        <w:rPr>
          <w:rStyle w:val="Voetnootmarkering"/>
        </w:rPr>
        <w:footnoteReference w:id="125"/>
      </w:r>
      <w:r w:rsidR="00782AC6" w:rsidRPr="00DF632C">
        <w:t xml:space="preserve"> Verder kan ook worden gewezen op een advies over een Waalse regeling voor de verkoop van dieren op de openbare weg. Het verrassende in dat advies</w:t>
      </w:r>
      <w:r w:rsidR="00782AC6" w:rsidRPr="00DF632C">
        <w:rPr>
          <w:rStyle w:val="Voetnootmarkering"/>
        </w:rPr>
        <w:footnoteReference w:id="126"/>
      </w:r>
      <w:r w:rsidR="00782AC6" w:rsidRPr="00DF632C">
        <w:t xml:space="preserve"> is niet zozeer dat de Raad dierenwelzijn als een afdoende rechtvaardigingsgrond aanzag, maar dat de beperking aan het vrij verkeer van</w:t>
      </w:r>
      <w:r w:rsidR="00A4336F" w:rsidRPr="00CD53C6">
        <w:t xml:space="preserve"> goederen zonder meer </w:t>
      </w:r>
      <w:r w:rsidR="00464737">
        <w:t>werd gebillijkt</w:t>
      </w:r>
      <w:r w:rsidR="00A4336F" w:rsidRPr="00CD53C6">
        <w:t xml:space="preserve">, ook al </w:t>
      </w:r>
      <w:r w:rsidR="00464737">
        <w:t xml:space="preserve">ging </w:t>
      </w:r>
      <w:r w:rsidR="00A4336F" w:rsidRPr="00CD53C6">
        <w:t>het om een verkoopsmodaliteit in de zin van het arrest-</w:t>
      </w:r>
      <w:r w:rsidR="00A4336F" w:rsidRPr="00CD53C6">
        <w:rPr>
          <w:i/>
        </w:rPr>
        <w:t>Keck</w:t>
      </w:r>
      <w:r w:rsidR="00A4336F" w:rsidRPr="00CD53C6">
        <w:t>.</w:t>
      </w:r>
      <w:r w:rsidR="00782AC6" w:rsidRPr="00DF632C">
        <w:rPr>
          <w:rStyle w:val="Voetnootmarkering"/>
        </w:rPr>
        <w:footnoteReference w:id="127"/>
      </w:r>
      <w:r w:rsidR="00782AC6" w:rsidRPr="00DF632C">
        <w:t xml:space="preserve"> Gelet op de </w:t>
      </w:r>
      <w:r w:rsidR="00EF24CC">
        <w:t xml:space="preserve">gerechtvaardigde </w:t>
      </w:r>
      <w:r w:rsidR="00782AC6" w:rsidRPr="00DF632C">
        <w:t xml:space="preserve">samenhangende beperkingen aan de vrijheid van vestiging die de Raad zag, was die beoordeling niettemin wellicht terecht. </w:t>
      </w:r>
      <w:r w:rsidR="00A4336F" w:rsidRPr="00CD53C6">
        <w:t xml:space="preserve">De Raad </w:t>
      </w:r>
      <w:r w:rsidR="00464737">
        <w:t>paste</w:t>
      </w:r>
      <w:r w:rsidR="00A4336F" w:rsidRPr="00CD53C6">
        <w:t xml:space="preserve"> de </w:t>
      </w:r>
      <w:r w:rsidR="00A4336F" w:rsidRPr="00CD53C6">
        <w:rPr>
          <w:i/>
        </w:rPr>
        <w:t>Keck</w:t>
      </w:r>
      <w:r w:rsidR="00AF66A7" w:rsidRPr="00DF632C">
        <w:t>-rechtspraak</w:t>
      </w:r>
      <w:r w:rsidR="00464737">
        <w:t xml:space="preserve"> ook toe</w:t>
      </w:r>
      <w:r w:rsidR="00AF66A7" w:rsidRPr="00DF632C">
        <w:t xml:space="preserve"> bij de beoordeling van de </w:t>
      </w:r>
      <w:r w:rsidR="00A4336F" w:rsidRPr="00CD53C6">
        <w:t>verenigbaarheid van de vaste boekenprijs met het vrij verkeer van goederen.</w:t>
      </w:r>
      <w:r w:rsidR="00AF66A7" w:rsidRPr="00DF632C">
        <w:rPr>
          <w:rStyle w:val="Voetnootmarkering"/>
        </w:rPr>
        <w:footnoteReference w:id="128"/>
      </w:r>
      <w:r w:rsidR="008718C9">
        <w:t xml:space="preserve"> </w:t>
      </w:r>
      <w:r w:rsidR="00782AC6" w:rsidRPr="00DF632C">
        <w:t xml:space="preserve">Ten slotte kan ook worden gewezen op een advies in </w:t>
      </w:r>
      <w:r w:rsidR="00464737">
        <w:t>de</w:t>
      </w:r>
      <w:r w:rsidR="00464737" w:rsidRPr="00DF632C">
        <w:t xml:space="preserve"> </w:t>
      </w:r>
      <w:r w:rsidR="00782AC6" w:rsidRPr="00DF632C">
        <w:t>niet-economische con</w:t>
      </w:r>
      <w:r w:rsidR="00A4336F" w:rsidRPr="00CD53C6">
        <w:t xml:space="preserve">text, met name een voorgenomen verbod op “jihadistische symbolen”, waar de beperking van het vrij verkeer </w:t>
      </w:r>
      <w:r w:rsidR="00464737">
        <w:t xml:space="preserve">(verbod van </w:t>
      </w:r>
      <w:r w:rsidR="00A4336F" w:rsidRPr="00CD53C6">
        <w:t>de handel in bepaalde vlaggen, boeken, insignes e.d.</w:t>
      </w:r>
      <w:r w:rsidR="00464737">
        <w:t>)</w:t>
      </w:r>
      <w:r w:rsidR="00A4336F" w:rsidRPr="00CD53C6">
        <w:t xml:space="preserve"> meteen ook belangrijke vragen opr</w:t>
      </w:r>
      <w:r w:rsidR="00464737">
        <w:t>ie</w:t>
      </w:r>
      <w:r w:rsidR="00A4336F" w:rsidRPr="00CD53C6">
        <w:t>p met betrekking tot de vrijheid van meningsuiting.</w:t>
      </w:r>
      <w:r w:rsidR="00782AC6" w:rsidRPr="00DF632C">
        <w:rPr>
          <w:rStyle w:val="Voetnootmarkering"/>
        </w:rPr>
        <w:footnoteReference w:id="129"/>
      </w:r>
    </w:p>
    <w:p w:rsidR="009E5783" w:rsidRDefault="009E5783" w:rsidP="00782AC6"/>
    <w:p w:rsidR="00464737" w:rsidRDefault="00464737" w:rsidP="00464737">
      <w:pPr>
        <w:pStyle w:val="Kop3"/>
      </w:pPr>
      <w:bookmarkStart w:id="22" w:name="_Toc495677878"/>
      <w:r>
        <w:t>2. Vrij verkeer van personen</w:t>
      </w:r>
      <w:bookmarkEnd w:id="22"/>
    </w:p>
    <w:p w:rsidR="00464737" w:rsidRDefault="00464737" w:rsidP="00782AC6"/>
    <w:p w:rsidR="00464737" w:rsidRPr="00DF632C" w:rsidRDefault="00464737" w:rsidP="00782AC6"/>
    <w:p w:rsidR="00782AC6" w:rsidRPr="00DF632C" w:rsidRDefault="001D12B7" w:rsidP="00782AC6">
      <w:r w:rsidRPr="00CD53C6">
        <w:rPr>
          <w:b/>
        </w:rPr>
        <w:t>49</w:t>
      </w:r>
      <w:r w:rsidR="00A4336F" w:rsidRPr="00CD53C6">
        <w:rPr>
          <w:b/>
        </w:rPr>
        <w:t>.</w:t>
      </w:r>
      <w:r w:rsidR="00A4336F" w:rsidRPr="00CD53C6">
        <w:tab/>
        <w:t xml:space="preserve">Wat het vrij verkeer van personen betreft kan worden gewezen op </w:t>
      </w:r>
      <w:r w:rsidR="00464737">
        <w:t xml:space="preserve">een </w:t>
      </w:r>
      <w:r w:rsidR="00A4336F" w:rsidRPr="00CD53C6">
        <w:t xml:space="preserve">advies </w:t>
      </w:r>
      <w:r w:rsidR="0036232F">
        <w:t>over</w:t>
      </w:r>
      <w:r w:rsidR="00A4336F" w:rsidRPr="00CD53C6">
        <w:t xml:space="preserve"> een vrij vergaande maatregel t.a.v. personen die OCMW-steun ontvangen. Die personen zouden immers slechts het land mogen verlaten na voorafgaande toestemming van het OCMW </w:t>
      </w:r>
      <w:r w:rsidR="0036232F">
        <w:t>–</w:t>
      </w:r>
      <w:r w:rsidR="00A4336F" w:rsidRPr="00CD53C6">
        <w:t xml:space="preserve"> ongeacht de duur van het verblijf </w:t>
      </w:r>
      <w:r w:rsidR="0036232F">
        <w:t>–</w:t>
      </w:r>
      <w:r w:rsidR="00A4336F" w:rsidRPr="00CD53C6">
        <w:t xml:space="preserve"> en bovendien slechts een heel beperkt aantal dagen per jaar werkelijk in het buitenland mogen verblijven, op straffe van verlies van het leefloon. In dat advies combineerde de Raad het Europees burgerschap met de grondwettelijke bescherming van de persoonlijke vrijheid om de proportionaliteit van die maatregel te bekritiseren, niettegenstaande de principiële niet-exporteerbaarheid van het leefloon.</w:t>
      </w:r>
      <w:r w:rsidR="00782AC6" w:rsidRPr="00DF632C">
        <w:rPr>
          <w:rStyle w:val="Voetnootmarkering"/>
        </w:rPr>
        <w:footnoteReference w:id="130"/>
      </w:r>
      <w:r w:rsidR="00782AC6" w:rsidRPr="00DF632C">
        <w:t xml:space="preserve"> In </w:t>
      </w:r>
      <w:r w:rsidR="00412133">
        <w:t xml:space="preserve">een ander </w:t>
      </w:r>
      <w:r w:rsidR="00782AC6" w:rsidRPr="00DF632C">
        <w:t>advies ga</w:t>
      </w:r>
      <w:r w:rsidR="00DF632C">
        <w:t>f</w:t>
      </w:r>
      <w:r w:rsidR="00782AC6" w:rsidRPr="00DF632C">
        <w:t xml:space="preserve"> de Raad dan weer kritiek op de restrictieve toekenning van schooltoelagen aan de kinderen van buitenlandse werknemers, die immers niet alleen moet worden beoordeeld in het licht van artikel 10 van verordening (EU) 492/2011 (dat enkel geldt voor de </w:t>
      </w:r>
      <w:r w:rsidR="00A4336F" w:rsidRPr="00CD53C6">
        <w:t>in de lidstaat zelf verblijvende minderjarige kinderen), maar ook als een sociaal voordeel in de zin van artikel 7, lid 2 van die verordening en artikel 45 VWEU, dat een veel ruimer toepassingsgebied heeft.</w:t>
      </w:r>
      <w:r w:rsidR="00782AC6" w:rsidRPr="00DF632C">
        <w:rPr>
          <w:rStyle w:val="Voetnootmarkering"/>
        </w:rPr>
        <w:footnoteReference w:id="131"/>
      </w:r>
      <w:r w:rsidR="00782AC6" w:rsidRPr="00DF632C">
        <w:t xml:space="preserve"> </w:t>
      </w:r>
    </w:p>
    <w:p w:rsidR="009E5783" w:rsidRPr="00DF632C" w:rsidRDefault="009E5783" w:rsidP="00782AC6"/>
    <w:p w:rsidR="00EF24CC" w:rsidRDefault="00A4336F" w:rsidP="00782AC6">
      <w:r w:rsidRPr="00CD53C6">
        <w:lastRenderedPageBreak/>
        <w:t>Een advies waar het vrij verkeer van personen dan weer enigszins verrassend onbesproken is gebleven is het advies over de hervorming van het koninklijk besluit op de havenarbeid.</w:t>
      </w:r>
      <w:r w:rsidR="00782AC6" w:rsidRPr="00DF632C">
        <w:rPr>
          <w:rStyle w:val="Voetnootmarkering"/>
        </w:rPr>
        <w:footnoteReference w:id="132"/>
      </w:r>
      <w:r w:rsidR="00782AC6" w:rsidRPr="00DF632C">
        <w:t xml:space="preserve"> Ook zonder die invalshoek had de Raad echter al voldoende munitie om ernstige vragen bij het ontwerp te stellen op basis </w:t>
      </w:r>
      <w:r w:rsidRPr="00CD53C6">
        <w:t xml:space="preserve">van de vrijheid van vestiging en het vrij verkeer van diensten, waarbij de Raad niet enkel rekening hield met de opmerkingen van de Europese Commissie </w:t>
      </w:r>
      <w:r w:rsidR="00C079BE">
        <w:t xml:space="preserve">(in het kader van een inbreukprocedure) </w:t>
      </w:r>
      <w:r w:rsidRPr="00CD53C6">
        <w:t>en de rechtspraak van het Hof van Justitie,</w:t>
      </w:r>
      <w:r w:rsidR="00782AC6" w:rsidRPr="00DF632C">
        <w:rPr>
          <w:rStyle w:val="Voetnootmarkering"/>
        </w:rPr>
        <w:footnoteReference w:id="133"/>
      </w:r>
      <w:r w:rsidR="00782AC6" w:rsidRPr="00DF632C">
        <w:t xml:space="preserve"> maar ook met een arrest van het EVA-Hof</w:t>
      </w:r>
      <w:r w:rsidR="00782AC6" w:rsidRPr="00DF632C">
        <w:rPr>
          <w:rStyle w:val="Voetnootmarkering"/>
        </w:rPr>
        <w:footnoteReference w:id="134"/>
      </w:r>
      <w:r w:rsidR="00782AC6" w:rsidRPr="00DF632C">
        <w:t xml:space="preserve"> met betrekking tot een gelijkaardige (maar minder vergaande) Noorse regeling.</w:t>
      </w:r>
      <w:r w:rsidR="00782AC6" w:rsidRPr="00DF632C">
        <w:rPr>
          <w:rStyle w:val="Voetnootmarkering"/>
        </w:rPr>
        <w:footnoteReference w:id="135"/>
      </w:r>
    </w:p>
    <w:p w:rsidR="00EF24CC" w:rsidRDefault="00EF24CC" w:rsidP="00782AC6"/>
    <w:p w:rsidR="00EF24CC" w:rsidRDefault="00EF24CC" w:rsidP="00EF24CC">
      <w:pPr>
        <w:pStyle w:val="Kop3"/>
      </w:pPr>
      <w:bookmarkStart w:id="23" w:name="_Toc495677879"/>
      <w:r>
        <w:t>3. V</w:t>
      </w:r>
      <w:r w:rsidRPr="001724EE">
        <w:t>rij verkeer van diensten en vrijheid van vestiging</w:t>
      </w:r>
      <w:bookmarkEnd w:id="23"/>
    </w:p>
    <w:p w:rsidR="00EF24CC" w:rsidRDefault="00EF24CC" w:rsidP="00782AC6"/>
    <w:p w:rsidR="00782AC6" w:rsidRPr="00DF632C" w:rsidRDefault="00EF24CC" w:rsidP="00782AC6">
      <w:r w:rsidRPr="00CD53C6">
        <w:rPr>
          <w:b/>
        </w:rPr>
        <w:t>50.</w:t>
      </w:r>
      <w:r w:rsidRPr="00CD53C6">
        <w:tab/>
      </w:r>
      <w:r>
        <w:t>O</w:t>
      </w:r>
      <w:r w:rsidR="00782AC6" w:rsidRPr="00DF632C">
        <w:t>pmerkelijke adviezen met betrekking tot het vrij verkeer van vestiging en het vrij verkeer van diensten betroffen onder meer het verbod op het kweken van pelsdieren,</w:t>
      </w:r>
      <w:r w:rsidR="00782AC6" w:rsidRPr="00DF632C">
        <w:rPr>
          <w:rStyle w:val="Voetnootmarkering"/>
        </w:rPr>
        <w:footnoteReference w:id="136"/>
      </w:r>
      <w:r w:rsidR="00782AC6" w:rsidRPr="00DF632C">
        <w:t xml:space="preserve"> de invoering van een exit-heffing (die ook vanuit het vrij verkeer van kapitaal werd geanalyseerd)</w:t>
      </w:r>
      <w:r w:rsidR="00EC011C">
        <w:t>,</w:t>
      </w:r>
      <w:r w:rsidR="00782AC6" w:rsidRPr="00DF632C">
        <w:rPr>
          <w:rStyle w:val="Voetnootmarkering"/>
        </w:rPr>
        <w:footnoteReference w:id="137"/>
      </w:r>
      <w:r w:rsidR="00782AC6" w:rsidRPr="00DF632C">
        <w:t xml:space="preserve"> een aantal maatregelen ter controle en afdwinging van de naleving van de detacheringsrichtlijn</w:t>
      </w:r>
      <w:r w:rsidR="00782AC6" w:rsidRPr="00DF632C">
        <w:rPr>
          <w:rStyle w:val="Voetnootmarkering"/>
        </w:rPr>
        <w:footnoteReference w:id="138"/>
      </w:r>
      <w:r w:rsidR="00782AC6" w:rsidRPr="00DF632C">
        <w:t xml:space="preserve"> en een vergunningsregeling voor de sluit</w:t>
      </w:r>
      <w:r w:rsidR="00C079BE">
        <w:t>ing</w:t>
      </w:r>
      <w:r w:rsidR="00782AC6" w:rsidRPr="00DF632C">
        <w:t xml:space="preserve"> van elektriciteitscentrales, waarbij </w:t>
      </w:r>
      <w:r w:rsidR="00A4336F" w:rsidRPr="00CD53C6">
        <w:t>de rechtvaardiging van de beperking aan de vrijheid van vestiging bovendien werd getoetst aan de door de artikelen 16 en 17 van het Handvest gewaarborgde vrijheid van ondernemen en</w:t>
      </w:r>
      <w:r w:rsidR="00EC011C">
        <w:t xml:space="preserve"> aan</w:t>
      </w:r>
      <w:r w:rsidR="00A4336F" w:rsidRPr="00CD53C6">
        <w:t xml:space="preserve"> het eigendomsrecht.</w:t>
      </w:r>
      <w:r w:rsidR="00782AC6" w:rsidRPr="00DF632C">
        <w:rPr>
          <w:rStyle w:val="Voetnootmarkering"/>
        </w:rPr>
        <w:footnoteReference w:id="139"/>
      </w:r>
    </w:p>
    <w:p w:rsidR="009E5783" w:rsidRDefault="009E5783" w:rsidP="00782AC6"/>
    <w:p w:rsidR="00004722" w:rsidRPr="00DF632C" w:rsidRDefault="00004722" w:rsidP="00782AC6"/>
    <w:p w:rsidR="00782AC6" w:rsidRPr="00DF632C" w:rsidRDefault="00A4336F" w:rsidP="00782AC6">
      <w:r w:rsidRPr="00CD53C6">
        <w:t xml:space="preserve">Een beroep op de door het VWEU gewaarborgde vrijheden is echter slechts nodig in de afwezigheid van </w:t>
      </w:r>
      <w:r w:rsidR="006D7229">
        <w:t>EU-regels</w:t>
      </w:r>
      <w:r w:rsidRPr="00CD53C6">
        <w:t xml:space="preserve">. </w:t>
      </w:r>
      <w:r w:rsidR="00436667">
        <w:t>Zo wordt h</w:t>
      </w:r>
      <w:r w:rsidRPr="00CD53C6">
        <w:t xml:space="preserve">et grootste deel van de beperkingen aan het vrij verkeer van diensten en de vrijheid van vestiging door de Raad geëvalueerd </w:t>
      </w:r>
      <w:r w:rsidR="00436667">
        <w:t>aan de hand</w:t>
      </w:r>
      <w:r w:rsidRPr="00CD53C6">
        <w:t xml:space="preserve"> van de dienstenrichtlijn,</w:t>
      </w:r>
      <w:r w:rsidR="00782AC6" w:rsidRPr="00DF632C">
        <w:rPr>
          <w:rStyle w:val="Voetnootmarkering"/>
        </w:rPr>
        <w:footnoteReference w:id="140"/>
      </w:r>
      <w:r w:rsidR="00782AC6" w:rsidRPr="00DF632C">
        <w:t xml:space="preserve"> </w:t>
      </w:r>
      <w:r w:rsidR="009E2B71">
        <w:t xml:space="preserve">die internrechtelijk tot een </w:t>
      </w:r>
      <w:r w:rsidR="00782AC6" w:rsidRPr="00DF632C">
        <w:t xml:space="preserve">stilzwijgende revolutie heeft </w:t>
      </w:r>
      <w:r w:rsidR="009E2B71">
        <w:t>geleid</w:t>
      </w:r>
      <w:r w:rsidR="00782AC6" w:rsidRPr="00DF632C">
        <w:t>. Vergunningsstelsels zijn immers het instrument bij uitstek waarmee overheden grip proberen te krijgen op (gevoelige) economische sectoren, en net die stelsels worden door de</w:t>
      </w:r>
      <w:r w:rsidRPr="00CD53C6">
        <w:t xml:space="preserve"> dienstenrichtlijn aan strenge voorwaarden onderworpen. Al te vaak nog lijken overheden het brede toepassingsgebied van de </w:t>
      </w:r>
      <w:r w:rsidR="009E2B71">
        <w:t>diensten</w:t>
      </w:r>
      <w:r w:rsidRPr="00CD53C6">
        <w:t xml:space="preserve">richtlijn uit het oog te verliezen. De lijst </w:t>
      </w:r>
      <w:r w:rsidR="009E2B71">
        <w:t>van</w:t>
      </w:r>
      <w:r w:rsidRPr="00CD53C6">
        <w:t xml:space="preserve"> </w:t>
      </w:r>
      <w:r w:rsidR="009E2B71">
        <w:t>relevante</w:t>
      </w:r>
      <w:r w:rsidRPr="00CD53C6">
        <w:t xml:space="preserve"> domeinen is schier eindeloos: controleorganen,</w:t>
      </w:r>
      <w:r w:rsidR="00782AC6" w:rsidRPr="00DF632C">
        <w:rPr>
          <w:rStyle w:val="Voetnootmarkering"/>
        </w:rPr>
        <w:footnoteReference w:id="141"/>
      </w:r>
      <w:r w:rsidR="00782AC6" w:rsidRPr="00DF632C">
        <w:t xml:space="preserve"> kinderopvang,</w:t>
      </w:r>
      <w:r w:rsidR="00782AC6" w:rsidRPr="00DF632C">
        <w:rPr>
          <w:rStyle w:val="Voetnootmarkering"/>
        </w:rPr>
        <w:footnoteReference w:id="142"/>
      </w:r>
      <w:r w:rsidR="00782AC6" w:rsidRPr="00DF632C">
        <w:t xml:space="preserve"> </w:t>
      </w:r>
      <w:r w:rsidR="00782AC6" w:rsidRPr="00DF632C">
        <w:lastRenderedPageBreak/>
        <w:t>adoptiediensten,</w:t>
      </w:r>
      <w:r w:rsidR="00782AC6" w:rsidRPr="00DF632C">
        <w:rPr>
          <w:rStyle w:val="Voetnootmarkering"/>
        </w:rPr>
        <w:footnoteReference w:id="143"/>
      </w:r>
      <w:r w:rsidR="00782AC6" w:rsidRPr="00DF632C">
        <w:t xml:space="preserve"> consultants inzake gewasbescherming,</w:t>
      </w:r>
      <w:r w:rsidR="00782AC6" w:rsidRPr="00DF632C">
        <w:rPr>
          <w:rStyle w:val="Voetnootmarkering"/>
        </w:rPr>
        <w:footnoteReference w:id="144"/>
      </w:r>
      <w:r w:rsidR="00782AC6" w:rsidRPr="00DF632C">
        <w:t xml:space="preserve"> diensten voor ouderenzorg</w:t>
      </w:r>
      <w:r w:rsidR="00782AC6" w:rsidRPr="00DF632C">
        <w:rPr>
          <w:rStyle w:val="Voetnootmarkering"/>
        </w:rPr>
        <w:footnoteReference w:id="145"/>
      </w:r>
      <w:r w:rsidR="00782AC6" w:rsidRPr="00DF632C">
        <w:t>, handelsvestigingen</w:t>
      </w:r>
      <w:r w:rsidR="00782AC6" w:rsidRPr="00DF632C">
        <w:rPr>
          <w:rStyle w:val="Voetnootmarkering"/>
        </w:rPr>
        <w:footnoteReference w:id="146"/>
      </w:r>
      <w:r w:rsidR="00782AC6" w:rsidRPr="00DF632C">
        <w:t>, gerechtelijke vertalers en tolken</w:t>
      </w:r>
      <w:r w:rsidR="00782AC6" w:rsidRPr="00DF632C">
        <w:rPr>
          <w:rStyle w:val="Voetnootmarkering"/>
        </w:rPr>
        <w:footnoteReference w:id="147"/>
      </w:r>
      <w:r w:rsidR="00782AC6" w:rsidRPr="00DF632C">
        <w:t>, pedagogische ondersteunende diensten</w:t>
      </w:r>
      <w:r w:rsidR="00782AC6" w:rsidRPr="00DF632C">
        <w:rPr>
          <w:rStyle w:val="Voetnootmarkering"/>
        </w:rPr>
        <w:footnoteReference w:id="148"/>
      </w:r>
      <w:r w:rsidR="00782AC6" w:rsidRPr="00DF632C">
        <w:t>, woonzorgvoorzieningen</w:t>
      </w:r>
      <w:r w:rsidR="00782AC6" w:rsidRPr="00DF632C">
        <w:rPr>
          <w:rStyle w:val="Voetnootmarkering"/>
        </w:rPr>
        <w:footnoteReference w:id="149"/>
      </w:r>
      <w:r w:rsidR="00782AC6" w:rsidRPr="00DF632C">
        <w:t>, douanevertegenwoordigers</w:t>
      </w:r>
      <w:r w:rsidR="00782AC6" w:rsidRPr="00DF632C">
        <w:rPr>
          <w:rStyle w:val="Voetnootmarkering"/>
        </w:rPr>
        <w:footnoteReference w:id="150"/>
      </w:r>
      <w:r w:rsidR="00782AC6" w:rsidRPr="00DF632C">
        <w:t>, koeltechnici</w:t>
      </w:r>
      <w:r w:rsidR="00782AC6" w:rsidRPr="00DF632C">
        <w:rPr>
          <w:rStyle w:val="Voetnootmarkering"/>
        </w:rPr>
        <w:footnoteReference w:id="151"/>
      </w:r>
      <w:r w:rsidR="00782AC6" w:rsidRPr="00DF632C">
        <w:t>, dierentuinen</w:t>
      </w:r>
      <w:r w:rsidR="00782AC6" w:rsidRPr="00DF632C">
        <w:rPr>
          <w:rStyle w:val="Voetnootmarkering"/>
        </w:rPr>
        <w:footnoteReference w:id="152"/>
      </w:r>
      <w:r w:rsidR="00782AC6" w:rsidRPr="00DF632C">
        <w:t>, bodemverontreinigingsdeskundigen en de bodemsaneringsaannemers</w:t>
      </w:r>
      <w:r w:rsidR="00782AC6" w:rsidRPr="00DF632C">
        <w:rPr>
          <w:rStyle w:val="Voetnootmarkering"/>
        </w:rPr>
        <w:footnoteReference w:id="153"/>
      </w:r>
      <w:r w:rsidR="00782AC6" w:rsidRPr="00DF632C">
        <w:t>, architecten</w:t>
      </w:r>
      <w:r w:rsidR="00782AC6" w:rsidRPr="00DF632C">
        <w:rPr>
          <w:rStyle w:val="Voetnootmarkering"/>
        </w:rPr>
        <w:footnoteReference w:id="154"/>
      </w:r>
      <w:r w:rsidR="00782AC6" w:rsidRPr="00DF632C">
        <w:t>, elektronische archiveringsdiensten</w:t>
      </w:r>
      <w:r w:rsidR="00782AC6" w:rsidRPr="00DF632C">
        <w:rPr>
          <w:rStyle w:val="Voetnootmarkering"/>
        </w:rPr>
        <w:footnoteReference w:id="155"/>
      </w:r>
      <w:r w:rsidR="00782AC6" w:rsidRPr="00DF632C">
        <w:t>, erkende onderzoeksinstellingen (contractonderzoek voor KMO</w:t>
      </w:r>
      <w:r w:rsidR="0049301E" w:rsidRPr="00DF632C">
        <w:t>’</w:t>
      </w:r>
      <w:r w:rsidRPr="00CD53C6">
        <w:t>s)</w:t>
      </w:r>
      <w:r w:rsidR="00782AC6" w:rsidRPr="00DF632C">
        <w:rPr>
          <w:rStyle w:val="Voetnootmarkering"/>
        </w:rPr>
        <w:footnoteReference w:id="156"/>
      </w:r>
      <w:r w:rsidR="00782AC6" w:rsidRPr="00DF632C">
        <w:t xml:space="preserve"> en erkende tariferingsdiensten voor apothekers</w:t>
      </w:r>
      <w:r w:rsidR="00782AC6" w:rsidRPr="00DF632C">
        <w:rPr>
          <w:rStyle w:val="Voetnootmarkering"/>
        </w:rPr>
        <w:footnoteReference w:id="157"/>
      </w:r>
      <w:r w:rsidR="00782AC6" w:rsidRPr="00DF632C">
        <w:t>.</w:t>
      </w:r>
    </w:p>
    <w:p w:rsidR="009E5783" w:rsidRPr="00DF632C" w:rsidRDefault="009E5783" w:rsidP="00782AC6"/>
    <w:p w:rsidR="00782AC6" w:rsidRPr="00DF632C" w:rsidRDefault="00A4336F" w:rsidP="00782AC6">
      <w:r w:rsidRPr="00CD53C6">
        <w:t>Enkele voorbeelden kunnen illustreren welke verstrekkende gevolgen de toepasselijkheid van de dienstenrichtlijn met zich meebrengt.</w:t>
      </w:r>
    </w:p>
    <w:p w:rsidR="009E5783" w:rsidRPr="00DF632C" w:rsidRDefault="009E5783" w:rsidP="00782AC6"/>
    <w:p w:rsidR="00842967" w:rsidRDefault="00A4336F" w:rsidP="00CD53C6">
      <w:pPr>
        <w:rPr>
          <w:rFonts w:eastAsia="Times New Roman" w:cs="Times New Roman"/>
        </w:rPr>
      </w:pPr>
      <w:r w:rsidRPr="00CD53C6">
        <w:t xml:space="preserve">Geïnspireerd door de Nederlandse Raad van State, die op dit punt prejudiciële vragen </w:t>
      </w:r>
      <w:r w:rsidR="00E1491A">
        <w:t>had</w:t>
      </w:r>
      <w:r w:rsidR="00E1491A" w:rsidRPr="00CD53C6">
        <w:t xml:space="preserve"> </w:t>
      </w:r>
      <w:r w:rsidRPr="00CD53C6">
        <w:t>gesteld aan het Hof van Justitie,</w:t>
      </w:r>
      <w:r w:rsidR="00782AC6" w:rsidRPr="00DF632C">
        <w:rPr>
          <w:rStyle w:val="Voetnootmarkering"/>
        </w:rPr>
        <w:footnoteReference w:id="158"/>
      </w:r>
      <w:r w:rsidR="00782AC6" w:rsidRPr="00DF632C">
        <w:t xml:space="preserve"> heeft de Belgische Raad van State de voorgenomen hervorming van de wetgeving op de handelsvestigingen getoetst aan de dienstenrichtlijn. De Raad </w:t>
      </w:r>
      <w:r w:rsidR="00A806A7">
        <w:t xml:space="preserve">plaatste vraagtekens bij de verenigbaarheid </w:t>
      </w:r>
      <w:r w:rsidR="004F631F">
        <w:t>van het gebruik van economische criteria en planningsdoelstellingen bij de beoordeling van een aanvraag om een grote handelszaak in te planten met de verboden en te evalueren criteria uit de dienstenrichtlijn</w:t>
      </w:r>
      <w:r w:rsidR="00A806A7">
        <w:t>.</w:t>
      </w:r>
      <w:r w:rsidR="00782AC6" w:rsidRPr="00DF632C">
        <w:rPr>
          <w:rStyle w:val="Voetnootmarkering"/>
        </w:rPr>
        <w:footnoteReference w:id="159"/>
      </w:r>
      <w:r w:rsidR="00782AC6" w:rsidRPr="00DF632C">
        <w:t xml:space="preserve">Die verboden en aan evaluatie onderworpen criteria waren ook aan de orde in een advies over de erkenning van </w:t>
      </w:r>
      <w:r w:rsidRPr="00CD53C6">
        <w:t xml:space="preserve">“organismen belast met het toezicht op de proeven, controles en beproevingen betreffende de veiligheidsmaatregelen die genomen moeten worden bij het ontwerp, de oprichting, de </w:t>
      </w:r>
      <w:r w:rsidRPr="00CD53C6">
        <w:lastRenderedPageBreak/>
        <w:t xml:space="preserve">verandering, de herstelling en de exploitatie van installaties voor het vervoer van gasachtige producten en andere door leidingen”. De Raad van State </w:t>
      </w:r>
      <w:r w:rsidR="004F631F">
        <w:t>ging</w:t>
      </w:r>
      <w:r w:rsidRPr="00CD53C6">
        <w:t xml:space="preserve"> met een fijne kam door het ontwerp, zodat het advies een schat vormt aan toepassingen van de dienstenrichtlijn. Eerst geeft de Raad een overzicht van allerhande keuringsactiviteiten die onder de dienstenrichtlijn vallen.</w:t>
      </w:r>
      <w:r w:rsidR="00D32EFC" w:rsidRPr="00DF632C">
        <w:rPr>
          <w:rStyle w:val="Voetnootmarkering"/>
          <w:rFonts w:eastAsia="Times New Roman" w:cs="Times New Roman"/>
        </w:rPr>
        <w:footnoteReference w:id="160"/>
      </w:r>
      <w:r w:rsidR="00D32EFC" w:rsidRPr="00DF632C">
        <w:t xml:space="preserve"> Ve</w:t>
      </w:r>
      <w:r w:rsidRPr="00CD53C6">
        <w:t xml:space="preserve">rvolgens stelt de Raad grenzen </w:t>
      </w:r>
      <w:r w:rsidRPr="00CD53C6">
        <w:rPr>
          <w:rFonts w:eastAsia="Times New Roman" w:cs="Times New Roman"/>
        </w:rPr>
        <w:t>aan de mogelijkheid van de minister om het aantal erkenningen te beperken “in functie van de behoeften van de markt en van de noodzaak te beschikken over organismen die voldoende activiteiten ontplooien waardoor zij op optimale wijze de verworven ervaring kunnen opbouwen</w:t>
      </w:r>
      <w:r w:rsidR="00A806A7">
        <w:rPr>
          <w:rFonts w:eastAsia="Times New Roman" w:cs="Times New Roman"/>
        </w:rPr>
        <w:t>”</w:t>
      </w:r>
      <w:r w:rsidRPr="00CD53C6">
        <w:rPr>
          <w:rFonts w:eastAsia="Times New Roman" w:cs="Times New Roman"/>
        </w:rPr>
        <w:t xml:space="preserve"> </w:t>
      </w:r>
      <w:r w:rsidR="00BB3CAE">
        <w:rPr>
          <w:rFonts w:eastAsia="Times New Roman" w:cs="Times New Roman"/>
        </w:rPr>
        <w:t>m</w:t>
      </w:r>
      <w:r w:rsidR="00942801">
        <w:rPr>
          <w:rFonts w:eastAsia="Times New Roman" w:cs="Times New Roman"/>
        </w:rPr>
        <w:t xml:space="preserve">et </w:t>
      </w:r>
      <w:r w:rsidR="00BB3CAE">
        <w:rPr>
          <w:rFonts w:eastAsia="Times New Roman" w:cs="Times New Roman"/>
        </w:rPr>
        <w:t>n</w:t>
      </w:r>
      <w:r w:rsidR="00942801">
        <w:rPr>
          <w:rFonts w:eastAsia="Times New Roman" w:cs="Times New Roman"/>
        </w:rPr>
        <w:t>ame</w:t>
      </w:r>
      <w:r w:rsidR="00BB3CAE">
        <w:rPr>
          <w:rFonts w:eastAsia="Times New Roman" w:cs="Times New Roman"/>
        </w:rPr>
        <w:t xml:space="preserve"> </w:t>
      </w:r>
      <w:r w:rsidRPr="00CD53C6">
        <w:rPr>
          <w:rFonts w:eastAsia="Times New Roman" w:cs="Times New Roman"/>
        </w:rPr>
        <w:t>wegens de vereisten van niet-discriminatie, objectiviteit, voorafgaande openbare bekendmaking, transparantie en toegankelijkheid, vermeld in artikel 10, lid 2, a), e), f) en g), van de richtlijn</w:t>
      </w:r>
      <w:r w:rsidR="00CE0302">
        <w:rPr>
          <w:rFonts w:eastAsia="Times New Roman" w:cs="Times New Roman"/>
        </w:rPr>
        <w:t>.</w:t>
      </w:r>
      <w:r w:rsidR="00D32EFC" w:rsidRPr="00DF632C">
        <w:rPr>
          <w:rStyle w:val="Voetnootmarkering"/>
          <w:rFonts w:eastAsia="Times New Roman" w:cs="Times New Roman"/>
        </w:rPr>
        <w:footnoteReference w:id="161"/>
      </w:r>
      <w:r w:rsidR="00D32EFC" w:rsidRPr="00DF632C">
        <w:rPr>
          <w:rFonts w:eastAsia="Times New Roman" w:cs="Times New Roman"/>
        </w:rPr>
        <w:t xml:space="preserve"> Hoewel vergunningen in beginsel van o</w:t>
      </w:r>
      <w:r w:rsidRPr="00CD53C6">
        <w:rPr>
          <w:rFonts w:eastAsia="Times New Roman" w:cs="Times New Roman"/>
        </w:rPr>
        <w:t>nbeperkte duur moeten zijn, ziet de Raad twee redenen om hiervan af te wijken.</w:t>
      </w:r>
      <w:r w:rsidR="00B46C7F" w:rsidRPr="00DF632C">
        <w:rPr>
          <w:rStyle w:val="Voetnootmarkering"/>
          <w:rFonts w:eastAsia="Times New Roman" w:cs="Times New Roman"/>
        </w:rPr>
        <w:footnoteReference w:id="162"/>
      </w:r>
      <w:r w:rsidR="00D32EFC" w:rsidRPr="00DF632C">
        <w:rPr>
          <w:rFonts w:eastAsia="Times New Roman" w:cs="Times New Roman"/>
        </w:rPr>
        <w:t xml:space="preserve"> Er kan vooreerst worden aangenomen dat het aantal beschikbare erkenningen beperkt is door een dwingende reden van algemeen belang, overeenkomstig artikel 11, lid 1, b), van de </w:t>
      </w:r>
      <w:r w:rsidRPr="00CD53C6">
        <w:rPr>
          <w:rFonts w:eastAsia="Times New Roman" w:cs="Times New Roman"/>
        </w:rPr>
        <w:t>richtlijn. Uit recente rechtspraak van het Hof van Justitie</w:t>
      </w:r>
      <w:r w:rsidR="00D32EFC" w:rsidRPr="00DF632C">
        <w:rPr>
          <w:rFonts w:eastAsia="Times New Roman" w:cs="Times New Roman"/>
          <w:vertAlign w:val="superscript"/>
        </w:rPr>
        <w:footnoteReference w:id="163"/>
      </w:r>
      <w:r w:rsidR="00D32EFC" w:rsidRPr="00DF632C">
        <w:rPr>
          <w:rFonts w:eastAsia="Times New Roman" w:cs="Times New Roman"/>
        </w:rPr>
        <w:t xml:space="preserve"> kan immers worden opgemaakt dat in een dergelijk geval een lidstaat niet enkel gemachtigd is om de vergunningsduur te beperken, maar daar in bepaalde omstandigheden zelfs toe verplicht kan zijn, </w:t>
      </w:r>
      <w:r w:rsidRPr="00CD53C6">
        <w:rPr>
          <w:rFonts w:eastAsia="Times New Roman" w:cs="Times New Roman"/>
        </w:rPr>
        <w:t xml:space="preserve">omdat anders de toegang tot de markt voor nieuwe marktdeelnemers voor onbepaalde tijd zou zijn afgesloten, hetgeen strijdig zou zijn met het doel dat met artikel 11 van de dienstenrichtlijn wordt nagestreefd. Bovendien kan de beperkte duur van de erkenningen ook verantwoord worden doordat de overheid moet kunnen nagaan of het erkende organisme nog daadwerkelijk een voldoende hoog kwaliteitsniveau kan garanderen, hetgeen doorslaggevend is voor de veiligheid van het vervoer van gasachtige producten, en dus kan worden aangemerkt als een dwingende reden van algemeen belang in de zin van artikel 11, lid 1, c), van de richtlijn. </w:t>
      </w:r>
      <w:r w:rsidR="00BB3CAE">
        <w:rPr>
          <w:rFonts w:eastAsia="Times New Roman" w:cs="Times New Roman"/>
        </w:rPr>
        <w:t>D</w:t>
      </w:r>
      <w:r w:rsidRPr="00CD53C6">
        <w:rPr>
          <w:rFonts w:eastAsia="Times New Roman" w:cs="Times New Roman"/>
        </w:rPr>
        <w:t xml:space="preserve">e Raad </w:t>
      </w:r>
      <w:r w:rsidR="00BB3CAE">
        <w:rPr>
          <w:rFonts w:eastAsia="Times New Roman" w:cs="Times New Roman"/>
        </w:rPr>
        <w:t xml:space="preserve">zag </w:t>
      </w:r>
      <w:r w:rsidRPr="00CD53C6">
        <w:rPr>
          <w:rFonts w:eastAsia="Times New Roman" w:cs="Times New Roman"/>
        </w:rPr>
        <w:t>problemen met betrekking tot de wijze van selectie tussen de gegadigden voor een vergunning, overeenkomstig  artikel 12 van de dienstenrichtlijn</w:t>
      </w:r>
      <w:r w:rsidR="00B46C7F" w:rsidRPr="00DF632C">
        <w:rPr>
          <w:rStyle w:val="Voetnootmarkering"/>
          <w:rFonts w:eastAsia="Times New Roman" w:cs="Times New Roman"/>
        </w:rPr>
        <w:footnoteReference w:id="164"/>
      </w:r>
      <w:r w:rsidR="00033DF0">
        <w:rPr>
          <w:rFonts w:eastAsia="Times New Roman" w:cs="Times New Roman"/>
        </w:rPr>
        <w:t>,</w:t>
      </w:r>
      <w:r w:rsidR="00B46C7F" w:rsidRPr="00DF632C">
        <w:rPr>
          <w:rFonts w:eastAsia="Times New Roman" w:cs="Times New Roman"/>
        </w:rPr>
        <w:t xml:space="preserve"> en het ontbreken van ontvangstbevestiging</w:t>
      </w:r>
      <w:r w:rsidRPr="00CD53C6">
        <w:rPr>
          <w:rFonts w:eastAsia="Times New Roman" w:cs="Times New Roman"/>
        </w:rPr>
        <w:t xml:space="preserve"> van de vergunningsaanvraag in het licht van artikel 14 van de dienstenrichtlijn.</w:t>
      </w:r>
      <w:r w:rsidR="00B46C7F" w:rsidRPr="00DF632C">
        <w:rPr>
          <w:rStyle w:val="Voetnootmarkering"/>
          <w:rFonts w:eastAsia="Times New Roman" w:cs="Times New Roman"/>
        </w:rPr>
        <w:footnoteReference w:id="165"/>
      </w:r>
      <w:r w:rsidR="00B46C7F" w:rsidRPr="00DF632C">
        <w:rPr>
          <w:rFonts w:eastAsia="Times New Roman" w:cs="Times New Roman"/>
        </w:rPr>
        <w:t xml:space="preserve"> Het ontwerp bleek bovendien twee verboden eisen te bevatten. Enerzijds </w:t>
      </w:r>
      <w:r w:rsidRPr="00CD53C6">
        <w:rPr>
          <w:rFonts w:eastAsia="Times New Roman" w:cs="Times New Roman"/>
        </w:rPr>
        <w:t xml:space="preserve">bepaalt het ontwerp dat het erkende organisme wordt opgericht “krachtens het Belgisch recht (…) in de vorm van een vereniging zonder winstoogmerk”. Het opleggen van een specifieke rechtsvorm is een vereiste dat overeenkomstig artikel 15, lid 2, b), van de dienstenrichtlijn moet worden onderzocht op de verenigbaarheid ervan met de voorwaarden vermeld in artikel 15, lid 3, van de richtlijn. Het opleggen van de rechtsvorm van een vereniging zonder winstoogmerk </w:t>
      </w:r>
      <w:r w:rsidRPr="00CD53C6">
        <w:rPr>
          <w:rFonts w:eastAsia="Times New Roman" w:cs="Times New Roman"/>
          <w:i/>
        </w:rPr>
        <w:t>naar Belgisch recht</w:t>
      </w:r>
      <w:r w:rsidRPr="00CD53C6">
        <w:rPr>
          <w:rFonts w:eastAsia="Times New Roman" w:cs="Times New Roman"/>
        </w:rPr>
        <w:t xml:space="preserve"> komt in de feiten neer op een bij artikel 14, 1), a) en b), van de richtlijn verboden zetelvereiste of nationaliteitsvereiste.</w:t>
      </w:r>
      <w:r w:rsidR="00B46C7F" w:rsidRPr="00DF632C">
        <w:rPr>
          <w:rStyle w:val="Voetnootmarkering"/>
          <w:rFonts w:eastAsia="Times New Roman" w:cs="Times New Roman"/>
        </w:rPr>
        <w:footnoteReference w:id="166"/>
      </w:r>
      <w:r w:rsidR="00B46C7F" w:rsidRPr="00DF632C">
        <w:rPr>
          <w:rFonts w:eastAsia="Times New Roman" w:cs="Times New Roman"/>
        </w:rPr>
        <w:t xml:space="preserve"> </w:t>
      </w:r>
      <w:r w:rsidRPr="00CD53C6">
        <w:rPr>
          <w:rFonts w:eastAsia="Times New Roman" w:cs="Times New Roman"/>
        </w:rPr>
        <w:t xml:space="preserve">Anderzijds is ook de mogelijkheid voor de minister om het aantal erkenningen te beperken “in functie van de behoeften van de markt en van de noodzaak te beschikken over organismen die voldoende activiteiten ontplooien waardoor zij op optimale wijze de verworven ervaring kunnen opbouwen” een verboden eis. Een beperking van het aantal erkenningen volgens de “behoeften van de markt” leunt immers zeer nauw aan bij “de toepassing per geval van economische criteria, waarbij de verlening van de vergunning </w:t>
      </w:r>
      <w:r w:rsidRPr="00CD53C6">
        <w:rPr>
          <w:rFonts w:eastAsia="Times New Roman" w:cs="Times New Roman"/>
        </w:rPr>
        <w:lastRenderedPageBreak/>
        <w:t>afhankelijk wordt gesteld van het bewijs dat er een economische behoefte of marktvraag bestaat, van een beoordeling van de mogelijke of actuele economische gevolgen van de activiteit of van een beoordeling van de geschiktheid van de activiteit in relatie tot de door de bevoegde instantie vastgestelde doelen van economische planning”, hetgeen een bij artikel 14, 5), van de dienstenrichtlijn verboden eis is.</w:t>
      </w:r>
      <w:r w:rsidR="00B46C7F" w:rsidRPr="00DF632C">
        <w:rPr>
          <w:rStyle w:val="Voetnootmarkering"/>
          <w:rFonts w:eastAsia="Times New Roman" w:cs="Times New Roman"/>
        </w:rPr>
        <w:footnoteReference w:id="167"/>
      </w:r>
      <w:r w:rsidR="002D7F28" w:rsidRPr="00DF632C">
        <w:rPr>
          <w:rFonts w:eastAsia="Times New Roman" w:cs="Times New Roman"/>
        </w:rPr>
        <w:t xml:space="preserve"> De Raad analyseer</w:t>
      </w:r>
      <w:r w:rsidR="00EF24CC">
        <w:rPr>
          <w:rFonts w:eastAsia="Times New Roman" w:cs="Times New Roman"/>
        </w:rPr>
        <w:t>de</w:t>
      </w:r>
      <w:r w:rsidR="002D7F28" w:rsidRPr="00DF632C">
        <w:rPr>
          <w:rFonts w:eastAsia="Times New Roman" w:cs="Times New Roman"/>
        </w:rPr>
        <w:t xml:space="preserve"> </w:t>
      </w:r>
      <w:r w:rsidR="00BB3CAE">
        <w:rPr>
          <w:rFonts w:eastAsia="Times New Roman" w:cs="Times New Roman"/>
        </w:rPr>
        <w:t xml:space="preserve">in het advies vervolgens </w:t>
      </w:r>
      <w:r w:rsidR="002D7F28" w:rsidRPr="00DF632C">
        <w:rPr>
          <w:rFonts w:eastAsia="Times New Roman" w:cs="Times New Roman"/>
        </w:rPr>
        <w:t>ook een aantal aan evaluatie onde</w:t>
      </w:r>
      <w:r w:rsidRPr="00CD53C6">
        <w:rPr>
          <w:rFonts w:eastAsia="Times New Roman" w:cs="Times New Roman"/>
        </w:rPr>
        <w:t>rworpen eisen. Naast de al aangehaalde verplichte rechtsvorm</w:t>
      </w:r>
      <w:r w:rsidR="002D7F28" w:rsidRPr="00DF632C">
        <w:rPr>
          <w:rStyle w:val="Voetnootmarkering"/>
          <w:rFonts w:eastAsia="Times New Roman" w:cs="Times New Roman"/>
        </w:rPr>
        <w:footnoteReference w:id="168"/>
      </w:r>
      <w:r w:rsidR="002D7F28" w:rsidRPr="00DF632C">
        <w:rPr>
          <w:rFonts w:eastAsia="Times New Roman" w:cs="Times New Roman"/>
        </w:rPr>
        <w:t xml:space="preserve">, beoordeelt de Raad ook het </w:t>
      </w:r>
      <w:r w:rsidRPr="00CD53C6">
        <w:rPr>
          <w:rFonts w:eastAsia="Times New Roman" w:cs="Times New Roman"/>
        </w:rPr>
        <w:t>minimumaantal werknemers in het licht van artikel 15, lid 2, f), van de dienstenrichtlijn.</w:t>
      </w:r>
      <w:r w:rsidR="002D7F28" w:rsidRPr="00DF632C">
        <w:rPr>
          <w:rStyle w:val="Voetnootmarkering"/>
          <w:rFonts w:eastAsia="Times New Roman" w:cs="Times New Roman"/>
        </w:rPr>
        <w:footnoteReference w:id="169"/>
      </w:r>
      <w:r w:rsidR="002D7F28" w:rsidRPr="00DF632C">
        <w:rPr>
          <w:rFonts w:eastAsia="Times New Roman" w:cs="Times New Roman"/>
        </w:rPr>
        <w:t xml:space="preserve"> Ten slotte vroeg de Raad zich ook af op de competentie-eisen voor het personeel verder gaan dan wat vereist is door de beroepskwalificatierichtlijn.</w:t>
      </w:r>
      <w:r w:rsidR="002D7F28" w:rsidRPr="00DF632C">
        <w:rPr>
          <w:rStyle w:val="Voetnootmarkering"/>
          <w:rFonts w:eastAsia="Times New Roman" w:cs="Times New Roman"/>
        </w:rPr>
        <w:footnoteReference w:id="170"/>
      </w:r>
    </w:p>
    <w:p w:rsidR="00942801" w:rsidRDefault="00942801" w:rsidP="00782AC6">
      <w:pPr>
        <w:rPr>
          <w:rFonts w:eastAsia="Times New Roman" w:cs="Times New Roman"/>
        </w:rPr>
      </w:pPr>
    </w:p>
    <w:p w:rsidR="00782AC6" w:rsidRPr="00CD53C6" w:rsidRDefault="00A4336F" w:rsidP="007D1381">
      <w:pPr>
        <w:pStyle w:val="Kop2"/>
        <w:rPr>
          <w:rFonts w:eastAsia="Times New Roman"/>
          <w:lang w:val="nl-BE"/>
        </w:rPr>
      </w:pPr>
      <w:bookmarkStart w:id="24" w:name="_Toc495677880"/>
      <w:r w:rsidRPr="00CD53C6">
        <w:rPr>
          <w:rFonts w:eastAsia="Times New Roman"/>
          <w:lang w:val="nl-BE"/>
        </w:rPr>
        <w:t>F. Staatssteun</w:t>
      </w:r>
      <w:bookmarkEnd w:id="24"/>
    </w:p>
    <w:p w:rsidR="00782AC6" w:rsidRPr="00DF632C" w:rsidRDefault="00782AC6" w:rsidP="00782AC6"/>
    <w:p w:rsidR="00782AC6" w:rsidRPr="00DF632C" w:rsidRDefault="001D12B7" w:rsidP="00782AC6">
      <w:pPr>
        <w:rPr>
          <w:rFonts w:eastAsia="Times New Roman" w:cs="Times New Roman"/>
        </w:rPr>
      </w:pPr>
      <w:r w:rsidRPr="00CD53C6">
        <w:rPr>
          <w:b/>
        </w:rPr>
        <w:t>5</w:t>
      </w:r>
      <w:r w:rsidR="006846AC" w:rsidRPr="00CD53C6">
        <w:rPr>
          <w:b/>
        </w:rPr>
        <w:t>1</w:t>
      </w:r>
      <w:r w:rsidR="00A4336F" w:rsidRPr="00CD53C6">
        <w:rPr>
          <w:b/>
        </w:rPr>
        <w:t>.</w:t>
      </w:r>
      <w:r w:rsidR="00A4336F" w:rsidRPr="00CD53C6">
        <w:tab/>
        <w:t>Een ander domein van het EU</w:t>
      </w:r>
      <w:r w:rsidR="006846AC">
        <w:t>-</w:t>
      </w:r>
      <w:r w:rsidR="00A4336F" w:rsidRPr="00CD53C6">
        <w:t xml:space="preserve">recht dat </w:t>
      </w:r>
      <w:r w:rsidR="006846AC">
        <w:t xml:space="preserve">de voorbije jaren </w:t>
      </w:r>
      <w:r w:rsidR="00BB3CAE">
        <w:t xml:space="preserve">in de adviespraktijk van de Raad van State </w:t>
      </w:r>
      <w:r w:rsidR="00A4336F" w:rsidRPr="00CD53C6">
        <w:t>aan belang heeft gewonnen is het staatssteunrecht. Een van de uitgangspunten van de modernisering van het staatssteunrecht is precies dat de overheden zich zoveel mogelijk richten naar de vrijstellingsregelingen, onder controle van nationale toezichthouders en slechts uitzonderlijk nog staatssteunregelingen moeten aanmelden bij de Europese Commissie. De rol van nationale toezichthouder wordt in België steeds vaker opgenomen door de Raad van State, die de voorgenomen staatssteunregelingen op hun verenigbaarheid met de vrijstellingsregelingen onderzoekt. Uit wat volgt blijkt paradoxaal genoeg dat de Raad zich vaak gedwongen ziet om te adviseren dat een regeling toch wordt aangemeld bij de Europese Commissie overeenkomstig artikel 108, lid 3</w:t>
      </w:r>
      <w:r w:rsidR="006846AC">
        <w:t>,</w:t>
      </w:r>
      <w:r w:rsidR="00A4336F" w:rsidRPr="00CD53C6">
        <w:t xml:space="preserve"> VWEU. Dat wijst er op dat vele overheden de voorwaarden van de verschillende vrijstellingsregelingen nog allerminst in de vingers hebben. Indien ze dan toch wensen door te zetten met een ontwerp, zonder </w:t>
      </w:r>
      <w:r w:rsidR="006846AC">
        <w:t>het</w:t>
      </w:r>
      <w:r w:rsidR="006846AC" w:rsidRPr="00CD53C6">
        <w:t xml:space="preserve"> </w:t>
      </w:r>
      <w:r w:rsidR="00A4336F" w:rsidRPr="00CD53C6">
        <w:t xml:space="preserve">aan die voorwaarden aan te passen, kan de Raad slechts wijzen op de verplichting om alsnog het ontwerp aan te melden bij de Europese Commissie. De Raad heeft daarvoor een duidelijke </w:t>
      </w:r>
      <w:r w:rsidR="006846AC">
        <w:t>en</w:t>
      </w:r>
      <w:r w:rsidR="006846AC" w:rsidRPr="00CD53C6">
        <w:t xml:space="preserve"> </w:t>
      </w:r>
      <w:r w:rsidR="00A4336F" w:rsidRPr="00CD53C6">
        <w:t>omineuze standaardwaarschuwing: “</w:t>
      </w:r>
      <w:r w:rsidR="00A4336F" w:rsidRPr="00CD53C6">
        <w:rPr>
          <w:rFonts w:eastAsia="Times New Roman" w:cs="Times New Roman"/>
        </w:rPr>
        <w:t>Bij een onterechte niet-aanmelding, dreigt immers een draconische sanctie. Niet</w:t>
      </w:r>
      <w:r w:rsidR="00A4336F" w:rsidRPr="00CD53C6">
        <w:rPr>
          <w:rFonts w:eastAsia="Times New Roman" w:cs="Times New Roman"/>
        </w:rPr>
        <w:noBreakHyphen/>
        <w:t xml:space="preserve">aangemelde staatssteun is immers </w:t>
      </w:r>
      <w:r w:rsidR="00A4336F" w:rsidRPr="00CD53C6">
        <w:rPr>
          <w:rFonts w:eastAsia="Times New Roman" w:cs="Times New Roman"/>
          <w:i/>
        </w:rPr>
        <w:t>per se</w:t>
      </w:r>
      <w:r w:rsidR="00A4336F" w:rsidRPr="00CD53C6">
        <w:rPr>
          <w:rFonts w:eastAsia="Times New Roman" w:cs="Times New Roman"/>
        </w:rPr>
        <w:t xml:space="preserve"> onwettig (zelfs indien ze verenigbaar verklaard zou kunnen worden indien ze correct werd aangemeld),</w:t>
      </w:r>
      <w:r w:rsidR="00A4336F" w:rsidRPr="00CD53C6">
        <w:rPr>
          <w:rFonts w:eastAsia="Times New Roman" w:cs="Times New Roman"/>
          <w:vertAlign w:val="superscript"/>
        </w:rPr>
        <w:footnoteReference w:id="171"/>
      </w:r>
      <w:r w:rsidR="00782AC6" w:rsidRPr="00DF632C">
        <w:rPr>
          <w:rFonts w:eastAsia="Times New Roman" w:cs="Times New Roman"/>
        </w:rPr>
        <w:t xml:space="preserve"> en die onwettigheid moet door elke rechter, desnoods ambtshalve, worden opgeworpen,</w:t>
      </w:r>
      <w:r w:rsidR="00A4336F" w:rsidRPr="00CD53C6">
        <w:rPr>
          <w:rFonts w:eastAsia="Times New Roman" w:cs="Times New Roman"/>
          <w:vertAlign w:val="superscript"/>
        </w:rPr>
        <w:footnoteReference w:id="172"/>
      </w:r>
      <w:r w:rsidR="00782AC6" w:rsidRPr="00DF632C">
        <w:rPr>
          <w:rFonts w:eastAsia="Times New Roman" w:cs="Times New Roman"/>
        </w:rPr>
        <w:t xml:space="preserve"> zonder dat de begunstigden van de steunregeling zich op een gewekt v</w:t>
      </w:r>
      <w:r w:rsidR="00A4336F" w:rsidRPr="00CD53C6">
        <w:rPr>
          <w:rFonts w:eastAsia="Times New Roman" w:cs="Times New Roman"/>
        </w:rPr>
        <w:t>ertrouwen kunnen beroepen om zich tegen de terugbetaling van de steun (met interest) te verzetten.</w:t>
      </w:r>
      <w:r w:rsidR="00A4336F" w:rsidRPr="00CD53C6">
        <w:rPr>
          <w:rFonts w:eastAsia="Times New Roman" w:cs="Times New Roman"/>
          <w:vertAlign w:val="superscript"/>
        </w:rPr>
        <w:footnoteReference w:id="173"/>
      </w:r>
      <w:r w:rsidR="00782AC6" w:rsidRPr="00DF632C">
        <w:rPr>
          <w:rFonts w:eastAsia="Times New Roman" w:cs="Times New Roman"/>
        </w:rPr>
        <w:t xml:space="preserve"> De nationale rechter – in België ook het Grondwettelijk Hof –</w:t>
      </w:r>
      <w:r w:rsidR="00A4336F" w:rsidRPr="00CD53C6">
        <w:rPr>
          <w:rFonts w:eastAsia="Times New Roman" w:cs="Times New Roman"/>
          <w:vertAlign w:val="superscript"/>
        </w:rPr>
        <w:footnoteReference w:id="174"/>
      </w:r>
      <w:r w:rsidR="00782AC6" w:rsidRPr="00DF632C">
        <w:rPr>
          <w:rFonts w:eastAsia="Times New Roman" w:cs="Times New Roman"/>
        </w:rPr>
        <w:t xml:space="preserve"> is bevoegd om vast te stellen of een maatregel als </w:t>
      </w:r>
      <w:r w:rsidR="00782AC6" w:rsidRPr="00DF632C">
        <w:rPr>
          <w:rFonts w:eastAsia="Times New Roman" w:cs="Times New Roman"/>
        </w:rPr>
        <w:lastRenderedPageBreak/>
        <w:t xml:space="preserve">nieuwe staatssteun moet worden aangemerkt </w:t>
      </w:r>
      <w:r w:rsidR="00A4336F" w:rsidRPr="00CD53C6">
        <w:rPr>
          <w:rFonts w:eastAsia="Times New Roman" w:cs="Times New Roman"/>
        </w:rPr>
        <w:t xml:space="preserve">en of die maatregel bij de Commissie moest worden aangemeld alvorens </w:t>
      </w:r>
      <w:r w:rsidR="00BB3CAE">
        <w:rPr>
          <w:rFonts w:eastAsia="Times New Roman" w:cs="Times New Roman"/>
        </w:rPr>
        <w:t xml:space="preserve">die </w:t>
      </w:r>
      <w:r w:rsidR="00A4336F" w:rsidRPr="00CD53C6">
        <w:rPr>
          <w:rFonts w:eastAsia="Times New Roman" w:cs="Times New Roman"/>
        </w:rPr>
        <w:t xml:space="preserve">tot uitvoering </w:t>
      </w:r>
      <w:r w:rsidR="00BB3CAE">
        <w:rPr>
          <w:rFonts w:eastAsia="Times New Roman" w:cs="Times New Roman"/>
        </w:rPr>
        <w:t>kon</w:t>
      </w:r>
      <w:r w:rsidR="00A4336F" w:rsidRPr="00CD53C6">
        <w:rPr>
          <w:rFonts w:eastAsia="Times New Roman" w:cs="Times New Roman"/>
        </w:rPr>
        <w:t xml:space="preserve"> worden gebracht.</w:t>
      </w:r>
      <w:r w:rsidR="00A4336F" w:rsidRPr="00CD53C6">
        <w:rPr>
          <w:rFonts w:eastAsia="Times New Roman" w:cs="Times New Roman"/>
          <w:vertAlign w:val="superscript"/>
        </w:rPr>
        <w:footnoteReference w:id="175"/>
      </w:r>
      <w:r w:rsidR="00EF24CC" w:rsidRPr="00262AA8">
        <w:rPr>
          <w:rFonts w:eastAsia="Times New Roman" w:cs="Times New Roman"/>
          <w:vertAlign w:val="superscript"/>
        </w:rPr>
        <w:t>-</w:t>
      </w:r>
      <w:r w:rsidR="00782AC6" w:rsidRPr="00DF632C">
        <w:rPr>
          <w:rStyle w:val="Voetnootmarkering"/>
          <w:rFonts w:eastAsia="Times New Roman" w:cs="Times New Roman"/>
        </w:rPr>
        <w:footnoteReference w:id="176"/>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6846AC">
        <w:rPr>
          <w:rFonts w:eastAsia="Times New Roman" w:cs="Times New Roman"/>
          <w:b/>
        </w:rPr>
        <w:t>2</w:t>
      </w:r>
      <w:r w:rsidR="00A4336F" w:rsidRPr="00CD53C6">
        <w:rPr>
          <w:rFonts w:eastAsia="Times New Roman" w:cs="Times New Roman"/>
          <w:b/>
        </w:rPr>
        <w:t>.</w:t>
      </w:r>
      <w:r w:rsidR="00A4336F" w:rsidRPr="00CD53C6">
        <w:rPr>
          <w:rFonts w:eastAsia="Times New Roman" w:cs="Times New Roman"/>
        </w:rPr>
        <w:tab/>
        <w:t xml:space="preserve">In het eenvoudigste geval geeft de regelgever zich vooraf rekenschap van het staatssteunkarakter van de regeling en heeft hij zelf de relevante vrijstellingsgrond geïdentificeerd. Bij erg beperkte steun is dat meestal de </w:t>
      </w:r>
      <w:r w:rsidR="00A4336F" w:rsidRPr="00CD53C6">
        <w:rPr>
          <w:rFonts w:eastAsia="Times New Roman" w:cs="Times New Roman"/>
          <w:i/>
        </w:rPr>
        <w:t>de minimis</w:t>
      </w:r>
      <w:r w:rsidR="00A4336F" w:rsidRPr="00CD53C6">
        <w:rPr>
          <w:rFonts w:eastAsia="Times New Roman" w:cs="Times New Roman"/>
        </w:rPr>
        <w:t>-verordening.</w:t>
      </w:r>
      <w:r w:rsidR="00782AC6" w:rsidRPr="00DF632C">
        <w:rPr>
          <w:rStyle w:val="Voetnootmarkering"/>
          <w:rFonts w:eastAsia="Times New Roman" w:cs="Times New Roman"/>
        </w:rPr>
        <w:footnoteReference w:id="177"/>
      </w:r>
      <w:r w:rsidR="00782AC6" w:rsidRPr="00DF632C">
        <w:rPr>
          <w:rFonts w:eastAsia="Times New Roman" w:cs="Times New Roman"/>
        </w:rPr>
        <w:t xml:space="preserve"> Ook dan blijven er echter een reeks praktische problemen over inzake monitoring en cumul, want de </w:t>
      </w:r>
      <w:r w:rsidR="006846AC">
        <w:rPr>
          <w:rFonts w:eastAsia="Times New Roman" w:cs="Times New Roman"/>
        </w:rPr>
        <w:t xml:space="preserve">grens van </w:t>
      </w:r>
      <w:r w:rsidR="00782AC6" w:rsidRPr="00DF632C">
        <w:rPr>
          <w:rFonts w:eastAsia="Times New Roman" w:cs="Times New Roman"/>
        </w:rPr>
        <w:t>200</w:t>
      </w:r>
      <w:r w:rsidR="006846AC">
        <w:rPr>
          <w:rFonts w:eastAsia="Times New Roman" w:cs="Times New Roman"/>
        </w:rPr>
        <w:t>.</w:t>
      </w:r>
      <w:r w:rsidR="00782AC6" w:rsidRPr="00DF632C">
        <w:rPr>
          <w:rFonts w:eastAsia="Times New Roman" w:cs="Times New Roman"/>
        </w:rPr>
        <w:t>000 euro geldt voor drie jaar en mag niet met andere steun worden gecombineerd.</w:t>
      </w:r>
      <w:r w:rsidR="00782AC6" w:rsidRPr="00DF632C">
        <w:rPr>
          <w:rStyle w:val="Voetnootmarkering"/>
          <w:rFonts w:eastAsia="Times New Roman" w:cs="Times New Roman"/>
        </w:rPr>
        <w:footnoteReference w:id="178"/>
      </w:r>
      <w:r w:rsidR="00782AC6" w:rsidRPr="00DF632C">
        <w:rPr>
          <w:rFonts w:eastAsia="Times New Roman" w:cs="Times New Roman"/>
        </w:rPr>
        <w:t xml:space="preserve"> Hoewel een verordening onmiddellijk toepasbaar is in de nationale rechtsorde, volstaat het overigens niet om er simpelweg naar te verwijzen. De verordening houdt immers slechts een plafond in en geen ve</w:t>
      </w:r>
      <w:r w:rsidR="00A4336F" w:rsidRPr="00CD53C6">
        <w:rPr>
          <w:rFonts w:eastAsia="Times New Roman" w:cs="Times New Roman"/>
        </w:rPr>
        <w:t xml:space="preserve">rplichting. Overheden moeten bijgevolg nog steeds duidelijk zelf identificeren aan wie ze steun willen geven, waarom en hoeveel, nu dat bedrag lager kan zijn dan de </w:t>
      </w:r>
      <w:r w:rsidR="00A4336F" w:rsidRPr="00CD53C6">
        <w:rPr>
          <w:rFonts w:eastAsia="Times New Roman" w:cs="Times New Roman"/>
          <w:i/>
        </w:rPr>
        <w:t>de minimis</w:t>
      </w:r>
      <w:r w:rsidR="00A4336F" w:rsidRPr="00CD53C6">
        <w:rPr>
          <w:rFonts w:eastAsia="Times New Roman" w:cs="Times New Roman"/>
        </w:rPr>
        <w:t>grens.</w:t>
      </w:r>
      <w:r w:rsidR="00782AC6" w:rsidRPr="00DF632C">
        <w:rPr>
          <w:rStyle w:val="Voetnootmarkering"/>
          <w:rFonts w:eastAsia="Times New Roman" w:cs="Times New Roman"/>
        </w:rPr>
        <w:footnoteReference w:id="179"/>
      </w:r>
      <w:r w:rsidR="00782AC6" w:rsidRPr="00DF632C">
        <w:rPr>
          <w:rFonts w:eastAsia="Times New Roman" w:cs="Times New Roman"/>
        </w:rPr>
        <w:t xml:space="preserve"> Die problemen gelden uiteraard ook voor de sectorale </w:t>
      </w:r>
      <w:r w:rsidR="00A4336F" w:rsidRPr="00CD53C6">
        <w:rPr>
          <w:rFonts w:eastAsia="Times New Roman" w:cs="Times New Roman"/>
          <w:i/>
        </w:rPr>
        <w:t>de minimis</w:t>
      </w:r>
      <w:r w:rsidR="00BB3CAE">
        <w:rPr>
          <w:rFonts w:eastAsia="Times New Roman" w:cs="Times New Roman"/>
          <w:i/>
        </w:rPr>
        <w:t>-</w:t>
      </w:r>
      <w:r w:rsidR="00782AC6" w:rsidRPr="00DF632C">
        <w:rPr>
          <w:rFonts w:eastAsia="Times New Roman" w:cs="Times New Roman"/>
        </w:rPr>
        <w:t>verordeningen inzake landbouw,</w:t>
      </w:r>
      <w:r w:rsidR="00782AC6" w:rsidRPr="00DF632C">
        <w:rPr>
          <w:rStyle w:val="Voetnootmarkering"/>
          <w:rFonts w:eastAsia="Times New Roman" w:cs="Times New Roman"/>
        </w:rPr>
        <w:footnoteReference w:id="180"/>
      </w:r>
      <w:r w:rsidR="00782AC6" w:rsidRPr="00DF632C">
        <w:rPr>
          <w:rFonts w:eastAsia="Times New Roman" w:cs="Times New Roman"/>
        </w:rPr>
        <w:t xml:space="preserve"> visserij</w:t>
      </w:r>
      <w:r w:rsidR="00782AC6" w:rsidRPr="00DF632C">
        <w:rPr>
          <w:rStyle w:val="Voetnootmarkering"/>
          <w:rFonts w:eastAsia="Times New Roman" w:cs="Times New Roman"/>
        </w:rPr>
        <w:footnoteReference w:id="181"/>
      </w:r>
      <w:r w:rsidR="00782AC6" w:rsidRPr="00DF632C">
        <w:rPr>
          <w:rFonts w:eastAsia="Times New Roman" w:cs="Times New Roman"/>
        </w:rPr>
        <w:t xml:space="preserve"> en diensten van algemeen economisch belang.</w:t>
      </w:r>
      <w:r w:rsidR="00782AC6" w:rsidRPr="00DF632C">
        <w:rPr>
          <w:rStyle w:val="Voetnootmarkering"/>
          <w:rFonts w:eastAsia="Times New Roman" w:cs="Times New Roman"/>
        </w:rPr>
        <w:footnoteReference w:id="182"/>
      </w:r>
      <w:r w:rsidR="00782AC6" w:rsidRPr="00DF632C">
        <w:rPr>
          <w:rFonts w:eastAsia="Times New Roman" w:cs="Times New Roman"/>
        </w:rPr>
        <w:t xml:space="preserve"> Die worden overigens wel eens door elkaar gehaspeld, zoals bij de steun aan de fruittelers na de Rusland-boycot.</w:t>
      </w:r>
      <w:r w:rsidR="00782AC6" w:rsidRPr="00DF632C">
        <w:rPr>
          <w:rStyle w:val="Voetnootmarkering"/>
          <w:rFonts w:eastAsia="Times New Roman" w:cs="Times New Roman"/>
        </w:rPr>
        <w:footnoteReference w:id="183"/>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13654D">
        <w:rPr>
          <w:rFonts w:eastAsia="Times New Roman" w:cs="Times New Roman"/>
          <w:b/>
        </w:rPr>
        <w:t>3</w:t>
      </w:r>
      <w:r w:rsidR="00A4336F" w:rsidRPr="00CD53C6">
        <w:rPr>
          <w:rFonts w:eastAsia="Times New Roman" w:cs="Times New Roman"/>
          <w:b/>
        </w:rPr>
        <w:t>.</w:t>
      </w:r>
      <w:r w:rsidR="00A4336F" w:rsidRPr="00CD53C6">
        <w:rPr>
          <w:rFonts w:eastAsia="Times New Roman" w:cs="Times New Roman"/>
        </w:rPr>
        <w:tab/>
        <w:t xml:space="preserve">Gelijkaardige problemen </w:t>
      </w:r>
      <w:r w:rsidR="0013654D">
        <w:rPr>
          <w:rFonts w:eastAsia="Times New Roman" w:cs="Times New Roman"/>
        </w:rPr>
        <w:t>rijzen</w:t>
      </w:r>
      <w:r w:rsidR="00A4336F" w:rsidRPr="00CD53C6">
        <w:rPr>
          <w:rFonts w:eastAsia="Times New Roman" w:cs="Times New Roman"/>
        </w:rPr>
        <w:t xml:space="preserve"> bij de groepsvrijstellingsverordening. Daarin worden een aantal algemene voorwaarden geformuleerd waaronder steun kan worden verleend en worden per type project relatieve steunpercentages vastgesteld. De algemene voorwaarden moeten dus worden gecombineerd met sectorspecifieke voorschriften.</w:t>
      </w:r>
      <w:r w:rsidR="00782AC6" w:rsidRPr="00DF632C">
        <w:rPr>
          <w:rStyle w:val="Voetnootmarkering"/>
          <w:rFonts w:eastAsia="Times New Roman" w:cs="Times New Roman"/>
        </w:rPr>
        <w:footnoteReference w:id="184"/>
      </w:r>
      <w:r w:rsidR="00782AC6" w:rsidRPr="00DF632C">
        <w:rPr>
          <w:rFonts w:eastAsia="Times New Roman" w:cs="Times New Roman"/>
        </w:rPr>
        <w:t xml:space="preserve"> De maximale steunbedragen kunnen dus veel groter worden dan bij </w:t>
      </w:r>
      <w:r w:rsidR="00A4336F" w:rsidRPr="00CD53C6">
        <w:rPr>
          <w:rFonts w:eastAsia="Times New Roman" w:cs="Times New Roman"/>
          <w:i/>
        </w:rPr>
        <w:t>de minimis</w:t>
      </w:r>
      <w:r w:rsidR="00BB3CAE">
        <w:rPr>
          <w:rFonts w:eastAsia="Times New Roman" w:cs="Times New Roman"/>
        </w:rPr>
        <w:t>-</w:t>
      </w:r>
      <w:r w:rsidR="00782AC6" w:rsidRPr="00DF632C">
        <w:rPr>
          <w:rFonts w:eastAsia="Times New Roman" w:cs="Times New Roman"/>
        </w:rPr>
        <w:t>steun, maar</w:t>
      </w:r>
      <w:r w:rsidR="00033DF0">
        <w:rPr>
          <w:rFonts w:eastAsia="Times New Roman" w:cs="Times New Roman"/>
        </w:rPr>
        <w:t xml:space="preserve"> wanneer het bijvoorbeeld om investeringen gaat</w:t>
      </w:r>
      <w:r w:rsidR="00782AC6" w:rsidRPr="00DF632C">
        <w:rPr>
          <w:rFonts w:eastAsia="Times New Roman" w:cs="Times New Roman"/>
        </w:rPr>
        <w:t xml:space="preserve"> mogen </w:t>
      </w:r>
      <w:r w:rsidR="00033DF0">
        <w:rPr>
          <w:rFonts w:eastAsia="Times New Roman" w:cs="Times New Roman"/>
        </w:rPr>
        <w:t xml:space="preserve">ze </w:t>
      </w:r>
      <w:r w:rsidR="00782AC6" w:rsidRPr="00DF632C">
        <w:rPr>
          <w:rFonts w:eastAsia="Times New Roman" w:cs="Times New Roman"/>
        </w:rPr>
        <w:t xml:space="preserve">meestal slechts een gedeelte van de investering dekken en </w:t>
      </w:r>
      <w:r w:rsidR="00033DF0">
        <w:rPr>
          <w:rFonts w:eastAsia="Times New Roman" w:cs="Times New Roman"/>
        </w:rPr>
        <w:t>gelden ze</w:t>
      </w:r>
      <w:r w:rsidR="00033DF0" w:rsidRPr="00DF632C">
        <w:rPr>
          <w:rFonts w:eastAsia="Times New Roman" w:cs="Times New Roman"/>
        </w:rPr>
        <w:t xml:space="preserve"> </w:t>
      </w:r>
      <w:r w:rsidR="00782AC6" w:rsidRPr="00DF632C">
        <w:rPr>
          <w:rFonts w:eastAsia="Times New Roman" w:cs="Times New Roman"/>
        </w:rPr>
        <w:t xml:space="preserve">ook enkel voor een investering in vernieuwende technologie en niet voor </w:t>
      </w:r>
      <w:r w:rsidR="00782AC6" w:rsidRPr="00DF632C">
        <w:rPr>
          <w:rFonts w:eastAsia="Times New Roman" w:cs="Times New Roman"/>
        </w:rPr>
        <w:lastRenderedPageBreak/>
        <w:t>het</w:t>
      </w:r>
      <w:r w:rsidR="00A4336F" w:rsidRPr="00CD53C6">
        <w:rPr>
          <w:rFonts w:eastAsia="Times New Roman" w:cs="Times New Roman"/>
        </w:rPr>
        <w:t xml:space="preserve"> behalen van de vigerende normen, of voor exploitatiesteun. Ook hier blijft het zaak voor de steunverlenende overheid om zelf zorgvuldig aan te geven aan wie ze steun wil geven, waarom en voor welk bedrag.</w:t>
      </w:r>
      <w:r w:rsidR="00782AC6" w:rsidRPr="00DF632C">
        <w:rPr>
          <w:rStyle w:val="Voetnootmarkering"/>
          <w:rFonts w:eastAsia="Times New Roman" w:cs="Times New Roman"/>
        </w:rPr>
        <w:footnoteReference w:id="185"/>
      </w:r>
      <w:r w:rsidR="00782AC6" w:rsidRPr="00DF632C">
        <w:rPr>
          <w:rFonts w:eastAsia="Times New Roman" w:cs="Times New Roman"/>
        </w:rPr>
        <w:t xml:space="preserve"> Indien de voorwaarden te buiten word</w:t>
      </w:r>
      <w:r w:rsidR="00BB3CAE">
        <w:rPr>
          <w:rFonts w:eastAsia="Times New Roman" w:cs="Times New Roman"/>
        </w:rPr>
        <w:t>t</w:t>
      </w:r>
      <w:r w:rsidR="00782AC6" w:rsidRPr="00DF632C">
        <w:rPr>
          <w:rFonts w:eastAsia="Times New Roman" w:cs="Times New Roman"/>
        </w:rPr>
        <w:t xml:space="preserve"> gegaan, ook al is het voor het goede doel, moet niettemin worden aangemeld.</w:t>
      </w:r>
      <w:r w:rsidR="00782AC6" w:rsidRPr="00DF632C">
        <w:rPr>
          <w:rStyle w:val="Voetnootmarkering"/>
          <w:rFonts w:eastAsia="Times New Roman" w:cs="Times New Roman"/>
        </w:rPr>
        <w:footnoteReference w:id="186"/>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13654D">
        <w:rPr>
          <w:rFonts w:eastAsia="Times New Roman" w:cs="Times New Roman"/>
          <w:b/>
        </w:rPr>
        <w:t>4</w:t>
      </w:r>
      <w:r w:rsidR="00A4336F" w:rsidRPr="00CD53C6">
        <w:rPr>
          <w:rFonts w:eastAsia="Times New Roman" w:cs="Times New Roman"/>
          <w:b/>
        </w:rPr>
        <w:t>.</w:t>
      </w:r>
      <w:r w:rsidR="00A4336F" w:rsidRPr="00CD53C6">
        <w:rPr>
          <w:rFonts w:eastAsia="Times New Roman" w:cs="Times New Roman"/>
        </w:rPr>
        <w:tab/>
        <w:t>De belangrijkste ontwikkeling van de voorbije twee jaar is echter de explosie in het aantal dossiers dat betrekking heeft op diensten van algemeen economisch belang</w:t>
      </w:r>
      <w:r w:rsidR="00432C70">
        <w:rPr>
          <w:rFonts w:eastAsia="Times New Roman" w:cs="Times New Roman"/>
        </w:rPr>
        <w:t xml:space="preserve"> (DAEB)</w:t>
      </w:r>
      <w:r w:rsidR="00A4336F" w:rsidRPr="00CD53C6">
        <w:rPr>
          <w:rFonts w:eastAsia="Times New Roman" w:cs="Times New Roman"/>
        </w:rPr>
        <w:t>,</w:t>
      </w:r>
      <w:r w:rsidR="00782AC6" w:rsidRPr="00DF632C">
        <w:rPr>
          <w:rStyle w:val="Voetnootmarkering"/>
          <w:rFonts w:eastAsia="Times New Roman" w:cs="Times New Roman"/>
        </w:rPr>
        <w:footnoteReference w:id="187"/>
      </w:r>
      <w:r w:rsidR="00782AC6" w:rsidRPr="00DF632C">
        <w:rPr>
          <w:rFonts w:eastAsia="Times New Roman" w:cs="Times New Roman"/>
        </w:rPr>
        <w:t xml:space="preserve"> zoals steun voor (sociale) huisvesting,</w:t>
      </w:r>
      <w:r w:rsidR="00782AC6" w:rsidRPr="00DF632C">
        <w:rPr>
          <w:rStyle w:val="Voetnootmarkering"/>
          <w:rFonts w:eastAsia="Times New Roman" w:cs="Times New Roman"/>
        </w:rPr>
        <w:footnoteReference w:id="188"/>
      </w:r>
      <w:r w:rsidR="00782AC6" w:rsidRPr="00DF632C">
        <w:rPr>
          <w:rFonts w:eastAsia="Times New Roman" w:cs="Times New Roman"/>
        </w:rPr>
        <w:t xml:space="preserve"> kinderopvang,</w:t>
      </w:r>
      <w:r w:rsidR="00782AC6" w:rsidRPr="00DF632C">
        <w:rPr>
          <w:rStyle w:val="Voetnootmarkering"/>
          <w:rFonts w:eastAsia="Times New Roman" w:cs="Times New Roman"/>
        </w:rPr>
        <w:footnoteReference w:id="189"/>
      </w:r>
      <w:r w:rsidR="00782AC6" w:rsidRPr="00DF632C">
        <w:rPr>
          <w:rFonts w:eastAsia="Times New Roman" w:cs="Times New Roman"/>
        </w:rPr>
        <w:t xml:space="preserve"> zorginstellingen,</w:t>
      </w:r>
      <w:r w:rsidR="00782AC6" w:rsidRPr="00DF632C">
        <w:rPr>
          <w:rStyle w:val="Voetnootmarkering"/>
          <w:rFonts w:eastAsia="Times New Roman" w:cs="Times New Roman"/>
        </w:rPr>
        <w:footnoteReference w:id="190"/>
      </w:r>
      <w:r w:rsidR="00782AC6" w:rsidRPr="00DF632C">
        <w:rPr>
          <w:rFonts w:eastAsia="Times New Roman" w:cs="Times New Roman"/>
        </w:rPr>
        <w:t xml:space="preserve"> huisartsenkringen</w:t>
      </w:r>
      <w:r w:rsidR="00782AC6" w:rsidRPr="00DF632C">
        <w:rPr>
          <w:rStyle w:val="Voetnootmarkering"/>
          <w:rFonts w:eastAsia="Times New Roman" w:cs="Times New Roman"/>
        </w:rPr>
        <w:footnoteReference w:id="191"/>
      </w:r>
      <w:r w:rsidR="00782AC6" w:rsidRPr="00DF632C">
        <w:rPr>
          <w:rFonts w:eastAsia="Times New Roman" w:cs="Times New Roman"/>
        </w:rPr>
        <w:t xml:space="preserve"> of terreinen voor woonwagenbewoners.</w:t>
      </w:r>
      <w:r w:rsidR="00782AC6" w:rsidRPr="00DF632C">
        <w:rPr>
          <w:rStyle w:val="Voetnootmarkering"/>
          <w:rFonts w:eastAsia="Times New Roman" w:cs="Times New Roman"/>
        </w:rPr>
        <w:footnoteReference w:id="192"/>
      </w:r>
      <w:r w:rsidR="00782AC6" w:rsidRPr="00DF632C">
        <w:rPr>
          <w:rFonts w:eastAsia="Times New Roman" w:cs="Times New Roman"/>
        </w:rPr>
        <w:t xml:space="preserve"> Ook </w:t>
      </w:r>
      <w:r w:rsidR="00432C70">
        <w:rPr>
          <w:rFonts w:eastAsia="Times New Roman" w:cs="Times New Roman"/>
        </w:rPr>
        <w:t xml:space="preserve">voor </w:t>
      </w:r>
      <w:r w:rsidR="00782AC6" w:rsidRPr="00DF632C">
        <w:rPr>
          <w:rFonts w:eastAsia="Times New Roman" w:cs="Times New Roman"/>
        </w:rPr>
        <w:t>minder evidente taken die de overheid al</w:t>
      </w:r>
      <w:r w:rsidR="00BB3CAE">
        <w:rPr>
          <w:rFonts w:eastAsia="Times New Roman" w:cs="Times New Roman"/>
        </w:rPr>
        <w:t>s</w:t>
      </w:r>
      <w:r w:rsidR="00782AC6" w:rsidRPr="00DF632C">
        <w:rPr>
          <w:rFonts w:eastAsia="Times New Roman" w:cs="Times New Roman"/>
        </w:rPr>
        <w:t xml:space="preserve"> openbaredienstverplichtingen oplegt, zoals het beheer van het overschot aan groenestroomcertificaten door de netbeheerder</w:t>
      </w:r>
      <w:r w:rsidR="00782AC6" w:rsidRPr="00DF632C">
        <w:rPr>
          <w:rStyle w:val="Voetnootmarkering"/>
          <w:rFonts w:eastAsia="Times New Roman" w:cs="Times New Roman"/>
        </w:rPr>
        <w:footnoteReference w:id="193"/>
      </w:r>
      <w:r w:rsidR="00782AC6" w:rsidRPr="00DF632C">
        <w:rPr>
          <w:rFonts w:eastAsia="Times New Roman" w:cs="Times New Roman"/>
        </w:rPr>
        <w:t xml:space="preserve"> </w:t>
      </w:r>
      <w:r w:rsidR="00432C70">
        <w:rPr>
          <w:rFonts w:eastAsia="Times New Roman" w:cs="Times New Roman"/>
        </w:rPr>
        <w:t>wordt wel vaker beroep gedaan op het DAEB-vrijstellingsbesluit</w:t>
      </w:r>
      <w:r w:rsidR="00782AC6" w:rsidRPr="00DF632C">
        <w:rPr>
          <w:rStyle w:val="Voetnootmarkering"/>
          <w:rFonts w:eastAsia="Times New Roman" w:cs="Times New Roman"/>
        </w:rPr>
        <w:footnoteReference w:id="194"/>
      </w:r>
      <w:r w:rsidR="00782AC6" w:rsidRPr="00DF632C">
        <w:rPr>
          <w:rFonts w:eastAsia="Times New Roman" w:cs="Times New Roman"/>
        </w:rPr>
        <w:t>. Hoewel de voorwaarden mooi opgelijst staan in dat besluit</w:t>
      </w:r>
      <w:r w:rsidR="00782AC6" w:rsidRPr="00DF632C">
        <w:rPr>
          <w:rStyle w:val="Voetnootmarkering"/>
          <w:rFonts w:eastAsia="Times New Roman" w:cs="Times New Roman"/>
        </w:rPr>
        <w:footnoteReference w:id="195"/>
      </w:r>
      <w:r w:rsidR="00782AC6" w:rsidRPr="00DF632C">
        <w:rPr>
          <w:rFonts w:eastAsia="Times New Roman" w:cs="Times New Roman"/>
        </w:rPr>
        <w:t xml:space="preserve"> blijkt de toepassing ervan toch uitdagend. Overheden moeten immers precies omschrijven welke </w:t>
      </w:r>
      <w:r w:rsidR="00A4336F" w:rsidRPr="00CD53C6">
        <w:rPr>
          <w:rFonts w:eastAsia="Times New Roman" w:cs="Times New Roman"/>
        </w:rPr>
        <w:t xml:space="preserve">taken ze precies willen opleggen die de markt </w:t>
      </w:r>
      <w:r w:rsidR="00033DF0">
        <w:rPr>
          <w:rFonts w:eastAsia="Times New Roman" w:cs="Times New Roman"/>
        </w:rPr>
        <w:t>ook niet zonder het ontbreken van een</w:t>
      </w:r>
      <w:r w:rsidR="00A4336F" w:rsidRPr="00CD53C6">
        <w:rPr>
          <w:rFonts w:eastAsia="Times New Roman" w:cs="Times New Roman"/>
        </w:rPr>
        <w:t xml:space="preserve"> subsidie zou </w:t>
      </w:r>
      <w:r w:rsidR="00BB3CAE">
        <w:rPr>
          <w:rFonts w:eastAsia="Times New Roman" w:cs="Times New Roman"/>
        </w:rPr>
        <w:t>vervullen</w:t>
      </w:r>
      <w:r w:rsidR="00A4336F" w:rsidRPr="00CD53C6">
        <w:rPr>
          <w:rFonts w:eastAsia="Times New Roman" w:cs="Times New Roman"/>
        </w:rPr>
        <w:t xml:space="preserve"> en </w:t>
      </w:r>
      <w:r w:rsidR="003E36B3">
        <w:rPr>
          <w:rFonts w:eastAsia="Times New Roman" w:cs="Times New Roman"/>
        </w:rPr>
        <w:t xml:space="preserve">moeten </w:t>
      </w:r>
      <w:r w:rsidR="00A4336F" w:rsidRPr="00CD53C6">
        <w:rPr>
          <w:rFonts w:eastAsia="Times New Roman" w:cs="Times New Roman"/>
        </w:rPr>
        <w:t>vervolgens op transparante wijze de parameters van het financieringsmechanisme uiteenzetten, zodat kan worden vermeden dat de steunontvangers overcompensatie krijgen</w:t>
      </w:r>
      <w:r w:rsidR="00BB3CAE">
        <w:rPr>
          <w:rFonts w:eastAsia="Times New Roman" w:cs="Times New Roman"/>
        </w:rPr>
        <w:t>.</w:t>
      </w:r>
      <w:r w:rsidR="00A4336F" w:rsidRPr="00CD53C6">
        <w:rPr>
          <w:rFonts w:eastAsia="Times New Roman" w:cs="Times New Roman"/>
        </w:rPr>
        <w:t xml:space="preserve"> Simpelweg een </w:t>
      </w:r>
      <w:r w:rsidR="003E36B3">
        <w:rPr>
          <w:rFonts w:eastAsia="Times New Roman" w:cs="Times New Roman"/>
        </w:rPr>
        <w:t>hoop</w:t>
      </w:r>
      <w:r w:rsidR="003E36B3" w:rsidRPr="00CD53C6">
        <w:rPr>
          <w:rFonts w:eastAsia="Times New Roman" w:cs="Times New Roman"/>
        </w:rPr>
        <w:t xml:space="preserve"> </w:t>
      </w:r>
      <w:r w:rsidR="00A4336F" w:rsidRPr="00CD53C6">
        <w:rPr>
          <w:rFonts w:eastAsia="Times New Roman" w:cs="Times New Roman"/>
        </w:rPr>
        <w:t>geld verdelen over</w:t>
      </w:r>
      <w:r w:rsidR="00BB3CAE">
        <w:rPr>
          <w:rFonts w:eastAsia="Times New Roman" w:cs="Times New Roman"/>
        </w:rPr>
        <w:t xml:space="preserve"> </w:t>
      </w:r>
      <w:r w:rsidR="00A4336F" w:rsidRPr="00CD53C6">
        <w:rPr>
          <w:rFonts w:eastAsia="Times New Roman" w:cs="Times New Roman"/>
        </w:rPr>
        <w:t xml:space="preserve">een groep </w:t>
      </w:r>
      <w:r w:rsidR="00A4336F" w:rsidRPr="00CD53C6">
        <w:rPr>
          <w:rFonts w:eastAsia="Times New Roman" w:cs="Times New Roman"/>
        </w:rPr>
        <w:lastRenderedPageBreak/>
        <w:t>instellingen kan dus niet langer. Bovendien zijn bepaalde vormen van steun, zoals overheidswaarborgen, erg moeilijk in te passen in het opzet van dat besluit.</w:t>
      </w:r>
      <w:r w:rsidR="00782AC6" w:rsidRPr="00DF632C">
        <w:rPr>
          <w:rStyle w:val="Voetnootmarkering"/>
          <w:rFonts w:eastAsia="Times New Roman" w:cs="Times New Roman"/>
        </w:rPr>
        <w:footnoteReference w:id="196"/>
      </w:r>
      <w:r w:rsidR="00782AC6" w:rsidRPr="00DF632C">
        <w:rPr>
          <w:rFonts w:eastAsia="Times New Roman" w:cs="Times New Roman"/>
        </w:rPr>
        <w:t xml:space="preserve"> Het inpassen van een steunregeling in de </w:t>
      </w:r>
      <w:r w:rsidR="003E36B3">
        <w:rPr>
          <w:rFonts w:eastAsia="Times New Roman" w:cs="Times New Roman"/>
        </w:rPr>
        <w:t>vrijstellings</w:t>
      </w:r>
      <w:r w:rsidR="00782AC6" w:rsidRPr="00DF632C">
        <w:rPr>
          <w:rFonts w:eastAsia="Times New Roman" w:cs="Times New Roman"/>
        </w:rPr>
        <w:t>voorwaarden wordt pas echt een probleem indien men zich pas na het opstellen van het ontwerp rekenschap geeft van de staatssteunconsequenties van een subsidieregeling. In een recent advies</w:t>
      </w:r>
      <w:r w:rsidR="00782AC6" w:rsidRPr="00DF632C">
        <w:rPr>
          <w:rStyle w:val="Voetnootmarkering"/>
          <w:rFonts w:eastAsia="Times New Roman" w:cs="Times New Roman"/>
        </w:rPr>
        <w:footnoteReference w:id="197"/>
      </w:r>
      <w:r w:rsidR="00782AC6" w:rsidRPr="00DF632C">
        <w:rPr>
          <w:rFonts w:eastAsia="Times New Roman" w:cs="Times New Roman"/>
        </w:rPr>
        <w:t xml:space="preserve"> heeft de Raad van State </w:t>
      </w:r>
      <w:r w:rsidR="003E36B3">
        <w:rPr>
          <w:rFonts w:eastAsia="Times New Roman" w:cs="Times New Roman"/>
        </w:rPr>
        <w:t>bijvoorbeeld</w:t>
      </w:r>
      <w:r w:rsidR="003E36B3" w:rsidRPr="00DF632C">
        <w:rPr>
          <w:rFonts w:eastAsia="Times New Roman" w:cs="Times New Roman"/>
        </w:rPr>
        <w:t xml:space="preserve"> </w:t>
      </w:r>
      <w:r w:rsidR="00782AC6" w:rsidRPr="00DF632C">
        <w:rPr>
          <w:rFonts w:eastAsia="Times New Roman" w:cs="Times New Roman"/>
        </w:rPr>
        <w:t xml:space="preserve">een </w:t>
      </w:r>
      <w:r w:rsidR="003E36B3">
        <w:rPr>
          <w:rFonts w:eastAsia="Times New Roman" w:cs="Times New Roman"/>
        </w:rPr>
        <w:t>reeks</w:t>
      </w:r>
      <w:r w:rsidR="00782AC6" w:rsidRPr="00DF632C">
        <w:rPr>
          <w:rFonts w:eastAsia="Times New Roman" w:cs="Times New Roman"/>
        </w:rPr>
        <w:t xml:space="preserve"> inconsistenties </w:t>
      </w:r>
      <w:r w:rsidR="003E36B3">
        <w:rPr>
          <w:rFonts w:eastAsia="Times New Roman" w:cs="Times New Roman"/>
        </w:rPr>
        <w:t>aangewezen</w:t>
      </w:r>
      <w:r w:rsidR="00782AC6" w:rsidRPr="00DF632C">
        <w:rPr>
          <w:rFonts w:eastAsia="Times New Roman" w:cs="Times New Roman"/>
        </w:rPr>
        <w:t xml:space="preserve"> in </w:t>
      </w:r>
      <w:r w:rsidR="003E36B3">
        <w:rPr>
          <w:rFonts w:eastAsia="Times New Roman" w:cs="Times New Roman"/>
        </w:rPr>
        <w:t>een</w:t>
      </w:r>
      <w:r w:rsidR="00782AC6" w:rsidRPr="00DF632C">
        <w:rPr>
          <w:rFonts w:eastAsia="Times New Roman" w:cs="Times New Roman"/>
        </w:rPr>
        <w:t xml:space="preserve"> voorgenomen nieuwe Vlaamse financieringsregeling voor ziekenhuisinfrastructuur, waarbij in een poging om die subsidies maximaal buiten de begroting te houden omwille van de Euro</w:t>
      </w:r>
      <w:r w:rsidR="00A4336F" w:rsidRPr="00CD53C6">
        <w:rPr>
          <w:rFonts w:eastAsia="Times New Roman" w:cs="Times New Roman"/>
        </w:rPr>
        <w:t xml:space="preserve">pese begrotingsregels, de staatssteunregels </w:t>
      </w:r>
      <w:r w:rsidR="003E36B3">
        <w:rPr>
          <w:rFonts w:eastAsia="Times New Roman" w:cs="Times New Roman"/>
        </w:rPr>
        <w:t>blijkbaar werden veronachtzaamd</w:t>
      </w:r>
      <w:r w:rsidR="00A4336F" w:rsidRPr="00CD53C6">
        <w:rPr>
          <w:rFonts w:eastAsia="Times New Roman" w:cs="Times New Roman"/>
        </w:rPr>
        <w:t>. In een dergelijk geval zijn er in essentie slechts twee opties: herbeginnen of aanmelden.</w:t>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13654D">
        <w:rPr>
          <w:rFonts w:eastAsia="Times New Roman" w:cs="Times New Roman"/>
          <w:b/>
        </w:rPr>
        <w:t>5</w:t>
      </w:r>
      <w:r w:rsidR="00A4336F" w:rsidRPr="00CD53C6">
        <w:rPr>
          <w:rFonts w:eastAsia="Times New Roman" w:cs="Times New Roman"/>
          <w:b/>
        </w:rPr>
        <w:t>.</w:t>
      </w:r>
      <w:r w:rsidR="00A4336F" w:rsidRPr="00CD53C6">
        <w:rPr>
          <w:rFonts w:eastAsia="Times New Roman" w:cs="Times New Roman"/>
        </w:rPr>
        <w:tab/>
        <w:t xml:space="preserve">Het </w:t>
      </w:r>
      <w:r w:rsidR="00065096">
        <w:rPr>
          <w:rFonts w:eastAsia="Times New Roman" w:cs="Times New Roman"/>
        </w:rPr>
        <w:t>komt wel voor dat de adviesaanvragende overheid betwist dat een bepaalde regeling staatssteun zou inhouden</w:t>
      </w:r>
      <w:r w:rsidR="00A4336F" w:rsidRPr="00CD53C6">
        <w:rPr>
          <w:rFonts w:eastAsia="Times New Roman" w:cs="Times New Roman"/>
        </w:rPr>
        <w:t xml:space="preserve">. In die gevallen </w:t>
      </w:r>
      <w:r w:rsidR="007B2B28">
        <w:rPr>
          <w:rFonts w:eastAsia="Times New Roman" w:cs="Times New Roman"/>
        </w:rPr>
        <w:t>zal</w:t>
      </w:r>
      <w:r w:rsidR="007B2B28" w:rsidRPr="00CD53C6">
        <w:rPr>
          <w:rFonts w:eastAsia="Times New Roman" w:cs="Times New Roman"/>
        </w:rPr>
        <w:t xml:space="preserve"> </w:t>
      </w:r>
      <w:r w:rsidR="00A4336F" w:rsidRPr="00CD53C6">
        <w:rPr>
          <w:rFonts w:eastAsia="Times New Roman" w:cs="Times New Roman"/>
        </w:rPr>
        <w:t xml:space="preserve">de Raad </w:t>
      </w:r>
      <w:r w:rsidR="007B2B28">
        <w:rPr>
          <w:rFonts w:eastAsia="Times New Roman" w:cs="Times New Roman"/>
        </w:rPr>
        <w:t xml:space="preserve">van State </w:t>
      </w:r>
      <w:r w:rsidR="00A4336F" w:rsidRPr="00CD53C6">
        <w:rPr>
          <w:rFonts w:eastAsia="Times New Roman" w:cs="Times New Roman"/>
        </w:rPr>
        <w:t>zelf een eerste beoordeling maken en de adviesaanvrager desgevallend de weg naar de Europese Commissie wijzen. Gelet op de hoger aangehaalde draconische gevolgen bij niet-aanmelding</w:t>
      </w:r>
      <w:r w:rsidR="00782AC6" w:rsidRPr="00DF632C">
        <w:rPr>
          <w:rStyle w:val="Voetnootmarkering"/>
          <w:rFonts w:eastAsia="Times New Roman" w:cs="Times New Roman"/>
        </w:rPr>
        <w:footnoteReference w:id="198"/>
      </w:r>
      <w:r w:rsidR="00782AC6" w:rsidRPr="00DF632C">
        <w:rPr>
          <w:rFonts w:eastAsia="Times New Roman" w:cs="Times New Roman"/>
        </w:rPr>
        <w:t xml:space="preserve"> is de Raad erg voorzichtig bij de beoordeling van de voorwaarden,</w:t>
      </w:r>
      <w:r w:rsidR="00782AC6" w:rsidRPr="00DF632C">
        <w:rPr>
          <w:rStyle w:val="Voetnootmarkering"/>
          <w:rFonts w:eastAsia="Times New Roman" w:cs="Times New Roman"/>
        </w:rPr>
        <w:footnoteReference w:id="199"/>
      </w:r>
      <w:r w:rsidR="00782AC6" w:rsidRPr="00DF632C">
        <w:rPr>
          <w:rFonts w:eastAsia="Times New Roman" w:cs="Times New Roman"/>
        </w:rPr>
        <w:t xml:space="preserve"> </w:t>
      </w:r>
      <w:r w:rsidR="000E6FD7">
        <w:rPr>
          <w:rFonts w:eastAsia="Times New Roman" w:cs="Times New Roman"/>
        </w:rPr>
        <w:t xml:space="preserve">aangezien </w:t>
      </w:r>
      <w:r w:rsidR="00782AC6" w:rsidRPr="00DF632C">
        <w:rPr>
          <w:rFonts w:eastAsia="Times New Roman" w:cs="Times New Roman"/>
        </w:rPr>
        <w:t>de Europese Commissie (of ultiem het Hof va</w:t>
      </w:r>
      <w:r w:rsidR="00A4336F" w:rsidRPr="00CD53C6">
        <w:rPr>
          <w:rFonts w:eastAsia="Times New Roman" w:cs="Times New Roman"/>
        </w:rPr>
        <w:t>n Justitie) alsnog tot een andere kwalificatie k</w:t>
      </w:r>
      <w:r w:rsidR="00004C80">
        <w:rPr>
          <w:rFonts w:eastAsia="Times New Roman" w:cs="Times New Roman"/>
        </w:rPr>
        <w:t>a</w:t>
      </w:r>
      <w:r w:rsidR="00A4336F" w:rsidRPr="00CD53C6">
        <w:rPr>
          <w:rFonts w:eastAsia="Times New Roman" w:cs="Times New Roman"/>
        </w:rPr>
        <w:t xml:space="preserve">n komen, of de steun verenigbaar </w:t>
      </w:r>
      <w:r w:rsidR="00004C80">
        <w:rPr>
          <w:rFonts w:eastAsia="Times New Roman" w:cs="Times New Roman"/>
        </w:rPr>
        <w:t xml:space="preserve">kan </w:t>
      </w:r>
      <w:r w:rsidR="00A4336F" w:rsidRPr="00CD53C6">
        <w:rPr>
          <w:rFonts w:eastAsia="Times New Roman" w:cs="Times New Roman"/>
        </w:rPr>
        <w:t>verklaren met de interne markt</w:t>
      </w:r>
      <w:r w:rsidR="00782AC6" w:rsidRPr="00DF632C">
        <w:rPr>
          <w:rStyle w:val="Voetnootmarkering"/>
          <w:rFonts w:eastAsia="Times New Roman" w:cs="Times New Roman"/>
        </w:rPr>
        <w:footnoteReference w:id="200"/>
      </w:r>
      <w:r w:rsidR="000E6FD7">
        <w:rPr>
          <w:rFonts w:eastAsia="Times New Roman" w:cs="Times New Roman"/>
        </w:rPr>
        <w:t>.</w:t>
      </w:r>
      <w:r w:rsidR="00782AC6" w:rsidRPr="00DF632C">
        <w:rPr>
          <w:rFonts w:eastAsia="Times New Roman" w:cs="Times New Roman"/>
        </w:rPr>
        <w:t xml:space="preserve"> </w:t>
      </w:r>
      <w:r w:rsidR="000E6FD7">
        <w:rPr>
          <w:rFonts w:eastAsia="Times New Roman" w:cs="Times New Roman"/>
        </w:rPr>
        <w:t>D</w:t>
      </w:r>
      <w:r w:rsidR="00782AC6" w:rsidRPr="00DF632C">
        <w:rPr>
          <w:rFonts w:eastAsia="Times New Roman" w:cs="Times New Roman"/>
        </w:rPr>
        <w:t xml:space="preserve">e Raad </w:t>
      </w:r>
      <w:r w:rsidR="000E6FD7">
        <w:rPr>
          <w:rFonts w:eastAsia="Times New Roman" w:cs="Times New Roman"/>
        </w:rPr>
        <w:t xml:space="preserve">van State kan overigens </w:t>
      </w:r>
      <w:r w:rsidR="00782AC6" w:rsidRPr="00DF632C">
        <w:rPr>
          <w:rFonts w:eastAsia="Times New Roman" w:cs="Times New Roman"/>
        </w:rPr>
        <w:t xml:space="preserve">vaak slechts een </w:t>
      </w:r>
      <w:r w:rsidR="00782AC6" w:rsidRPr="00DF632C">
        <w:rPr>
          <w:rFonts w:eastAsia="Times New Roman" w:cs="Times New Roman"/>
          <w:i/>
        </w:rPr>
        <w:t xml:space="preserve">prima facie </w:t>
      </w:r>
      <w:r w:rsidR="00A4336F" w:rsidRPr="00CD53C6">
        <w:rPr>
          <w:rFonts w:eastAsia="Times New Roman" w:cs="Times New Roman"/>
        </w:rPr>
        <w:t>oordeel vellen omdat zij noch over de tijd</w:t>
      </w:r>
      <w:r w:rsidR="00782AC6" w:rsidRPr="00DF632C">
        <w:rPr>
          <w:rStyle w:val="Voetnootmarkering"/>
          <w:rFonts w:eastAsia="Times New Roman" w:cs="Times New Roman"/>
        </w:rPr>
        <w:footnoteReference w:id="201"/>
      </w:r>
      <w:r w:rsidR="00782AC6" w:rsidRPr="00DF632C">
        <w:rPr>
          <w:rFonts w:eastAsia="Times New Roman" w:cs="Times New Roman"/>
        </w:rPr>
        <w:t xml:space="preserve"> noch over de middelen beschikt om een </w:t>
      </w:r>
      <w:r w:rsidR="00782AC6" w:rsidRPr="00DF632C">
        <w:rPr>
          <w:color w:val="000000" w:themeColor="text1"/>
        </w:rPr>
        <w:t>do</w:t>
      </w:r>
      <w:r w:rsidR="00A4336F" w:rsidRPr="00CD53C6">
        <w:rPr>
          <w:color w:val="000000" w:themeColor="text1"/>
        </w:rPr>
        <w:t>orgedreven juridische en economische analyse uit te voeren.</w:t>
      </w:r>
      <w:r w:rsidR="00782AC6" w:rsidRPr="00DF632C">
        <w:rPr>
          <w:rStyle w:val="Voetnootmarkering"/>
          <w:color w:val="000000" w:themeColor="text1"/>
        </w:rPr>
        <w:footnoteReference w:id="202"/>
      </w:r>
      <w:r w:rsidR="00782AC6" w:rsidRPr="00DF632C">
        <w:rPr>
          <w:color w:val="000000" w:themeColor="text1"/>
        </w:rPr>
        <w:t xml:space="preserve"> </w:t>
      </w:r>
      <w:r w:rsidR="00782AC6" w:rsidRPr="00DF632C">
        <w:rPr>
          <w:rFonts w:eastAsia="Times New Roman" w:cs="Times New Roman"/>
        </w:rPr>
        <w:t xml:space="preserve">Dat laatste is pas mogelijk </w:t>
      </w:r>
      <w:r w:rsidR="003F2559">
        <w:rPr>
          <w:rFonts w:eastAsia="Times New Roman" w:cs="Times New Roman"/>
        </w:rPr>
        <w:t>wanneer</w:t>
      </w:r>
      <w:r w:rsidR="00782AC6" w:rsidRPr="00DF632C">
        <w:rPr>
          <w:rFonts w:eastAsia="Times New Roman" w:cs="Times New Roman"/>
        </w:rPr>
        <w:t xml:space="preserve"> de steun eerst is aangemeld</w:t>
      </w:r>
      <w:r w:rsidR="003F2559">
        <w:rPr>
          <w:rFonts w:eastAsia="Times New Roman" w:cs="Times New Roman"/>
        </w:rPr>
        <w:t>.</w:t>
      </w:r>
      <w:r w:rsidR="00782AC6" w:rsidRPr="00DF632C">
        <w:rPr>
          <w:rFonts w:eastAsia="Times New Roman" w:cs="Times New Roman"/>
        </w:rPr>
        <w:t xml:space="preserve"> </w:t>
      </w:r>
      <w:r w:rsidR="003F2559">
        <w:rPr>
          <w:rFonts w:eastAsia="Times New Roman" w:cs="Times New Roman"/>
        </w:rPr>
        <w:t>E</w:t>
      </w:r>
      <w:r w:rsidR="00782AC6" w:rsidRPr="00DF632C">
        <w:rPr>
          <w:rFonts w:eastAsia="Times New Roman" w:cs="Times New Roman"/>
        </w:rPr>
        <w:t>en beslissing van de</w:t>
      </w:r>
      <w:r w:rsidR="003F2559">
        <w:rPr>
          <w:rFonts w:eastAsia="Times New Roman" w:cs="Times New Roman"/>
        </w:rPr>
        <w:t xml:space="preserve"> (</w:t>
      </w:r>
      <w:r w:rsidR="003F2559" w:rsidRPr="00DF632C">
        <w:rPr>
          <w:rFonts w:eastAsia="Times New Roman" w:cs="Times New Roman"/>
        </w:rPr>
        <w:t>daartoe exclusief bevoegd</w:t>
      </w:r>
      <w:r w:rsidR="003F2559">
        <w:rPr>
          <w:rFonts w:eastAsia="Times New Roman" w:cs="Times New Roman"/>
        </w:rPr>
        <w:t>e)</w:t>
      </w:r>
      <w:r w:rsidR="00782AC6" w:rsidRPr="00DF632C">
        <w:rPr>
          <w:rFonts w:eastAsia="Times New Roman" w:cs="Times New Roman"/>
        </w:rPr>
        <w:t xml:space="preserve"> Commissie om steun verenigbaar te verklaren met de intern</w:t>
      </w:r>
      <w:r w:rsidR="00A4336F" w:rsidRPr="00CD53C6">
        <w:rPr>
          <w:rFonts w:eastAsia="Times New Roman" w:cs="Times New Roman"/>
        </w:rPr>
        <w:t xml:space="preserve">e markt </w:t>
      </w:r>
      <w:r w:rsidR="003F2559">
        <w:rPr>
          <w:rFonts w:eastAsia="Times New Roman" w:cs="Times New Roman"/>
        </w:rPr>
        <w:t>–</w:t>
      </w:r>
      <w:r w:rsidR="00A4336F" w:rsidRPr="00CD53C6">
        <w:rPr>
          <w:rFonts w:eastAsia="Times New Roman" w:cs="Times New Roman"/>
        </w:rPr>
        <w:t xml:space="preserve"> vaak onder voorwaarden </w:t>
      </w:r>
      <w:r w:rsidR="003F2559">
        <w:rPr>
          <w:rFonts w:eastAsia="Times New Roman" w:cs="Times New Roman"/>
        </w:rPr>
        <w:t>–</w:t>
      </w:r>
      <w:r w:rsidR="00A4336F" w:rsidRPr="00CD53C6">
        <w:rPr>
          <w:rFonts w:eastAsia="Times New Roman" w:cs="Times New Roman"/>
        </w:rPr>
        <w:t xml:space="preserve"> </w:t>
      </w:r>
      <w:r w:rsidR="003F2559">
        <w:rPr>
          <w:rFonts w:eastAsia="Times New Roman" w:cs="Times New Roman"/>
        </w:rPr>
        <w:t xml:space="preserve">kan dan ook niet </w:t>
      </w:r>
      <w:r w:rsidR="00A4336F" w:rsidRPr="00CD53C6">
        <w:rPr>
          <w:rFonts w:eastAsia="Times New Roman" w:cs="Times New Roman"/>
        </w:rPr>
        <w:t xml:space="preserve">als een desavouering van de </w:t>
      </w:r>
      <w:r w:rsidR="003F2559">
        <w:rPr>
          <w:rFonts w:eastAsia="Times New Roman" w:cs="Times New Roman"/>
        </w:rPr>
        <w:t xml:space="preserve">zienswijze van de </w:t>
      </w:r>
      <w:r w:rsidR="00A4336F" w:rsidRPr="00CD53C6">
        <w:rPr>
          <w:rFonts w:eastAsia="Times New Roman" w:cs="Times New Roman"/>
        </w:rPr>
        <w:t xml:space="preserve">Raad </w:t>
      </w:r>
      <w:r w:rsidR="003F2559">
        <w:rPr>
          <w:rFonts w:eastAsia="Times New Roman" w:cs="Times New Roman"/>
        </w:rPr>
        <w:t xml:space="preserve">van State </w:t>
      </w:r>
      <w:r w:rsidR="00A4336F" w:rsidRPr="00CD53C6">
        <w:rPr>
          <w:rFonts w:eastAsia="Times New Roman" w:cs="Times New Roman"/>
        </w:rPr>
        <w:t>worden beschouwd.</w:t>
      </w:r>
      <w:r w:rsidR="00782AC6" w:rsidRPr="00DF632C">
        <w:rPr>
          <w:rStyle w:val="Voetnootmarkering"/>
          <w:rFonts w:eastAsia="Times New Roman" w:cs="Times New Roman"/>
        </w:rPr>
        <w:footnoteReference w:id="203"/>
      </w:r>
      <w:r w:rsidR="003F2559">
        <w:rPr>
          <w:rFonts w:eastAsia="Times New Roman" w:cs="Times New Roman"/>
        </w:rPr>
        <w:t xml:space="preserve"> Uiteindelijk is de </w:t>
      </w:r>
      <w:r w:rsidR="0045475F">
        <w:rPr>
          <w:rFonts w:eastAsia="Times New Roman" w:cs="Times New Roman"/>
        </w:rPr>
        <w:t xml:space="preserve">enige bedoeling van de Raad </w:t>
      </w:r>
      <w:r w:rsidR="0045475F">
        <w:rPr>
          <w:rFonts w:eastAsia="Times New Roman" w:cs="Times New Roman"/>
        </w:rPr>
        <w:lastRenderedPageBreak/>
        <w:t>van State het behoeden van de adviesaanvragers en de steunontvangers voor de eerder geschetste draconische sancties.</w:t>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13654D">
        <w:rPr>
          <w:rFonts w:eastAsia="Times New Roman" w:cs="Times New Roman"/>
          <w:b/>
        </w:rPr>
        <w:t>6</w:t>
      </w:r>
      <w:r w:rsidR="00A4336F" w:rsidRPr="00CD53C6">
        <w:rPr>
          <w:rFonts w:eastAsia="Times New Roman" w:cs="Times New Roman"/>
          <w:b/>
        </w:rPr>
        <w:t>.</w:t>
      </w:r>
      <w:r w:rsidR="00A4336F" w:rsidRPr="00CD53C6">
        <w:rPr>
          <w:rFonts w:eastAsia="Times New Roman" w:cs="Times New Roman"/>
        </w:rPr>
        <w:tab/>
        <w:t>Een belangrijk aantal voorbeelden komt uit de fiscale sfeer. Zo heeft de Raad</w:t>
      </w:r>
      <w:r w:rsidR="0045475F">
        <w:rPr>
          <w:rFonts w:eastAsia="Times New Roman" w:cs="Times New Roman"/>
        </w:rPr>
        <w:t xml:space="preserve"> van State</w:t>
      </w:r>
      <w:r w:rsidR="00A4336F" w:rsidRPr="00CD53C6">
        <w:rPr>
          <w:rFonts w:eastAsia="Times New Roman" w:cs="Times New Roman"/>
        </w:rPr>
        <w:t xml:space="preserve"> gewezen op de noodzaak om de intercommunales niet langer vrij te stellen van de vennootschapsbelasting</w:t>
      </w:r>
      <w:r w:rsidR="00782AC6" w:rsidRPr="00DF632C">
        <w:rPr>
          <w:rStyle w:val="Voetnootmarkering"/>
          <w:rFonts w:eastAsia="Times New Roman" w:cs="Times New Roman"/>
        </w:rPr>
        <w:footnoteReference w:id="204"/>
      </w:r>
      <w:r w:rsidR="00782AC6" w:rsidRPr="00DF632C">
        <w:rPr>
          <w:rFonts w:eastAsia="Times New Roman" w:cs="Times New Roman"/>
        </w:rPr>
        <w:t xml:space="preserve"> en gewezen op de steunaspecten van het zogenaamde Diamant Stelsel.</w:t>
      </w:r>
      <w:r w:rsidR="00782AC6" w:rsidRPr="00DF632C">
        <w:rPr>
          <w:rStyle w:val="Voetnootmarkering"/>
          <w:rFonts w:eastAsia="Times New Roman" w:cs="Times New Roman"/>
        </w:rPr>
        <w:footnoteReference w:id="205"/>
      </w:r>
      <w:r w:rsidR="00782AC6" w:rsidRPr="00DF632C">
        <w:rPr>
          <w:rFonts w:eastAsia="Times New Roman" w:cs="Times New Roman"/>
        </w:rPr>
        <w:t xml:space="preserve"> Sleutelvraag is telkens wat de basislijn is waarmee vergeleken moet worden en of het voordeel inherent is </w:t>
      </w:r>
      <w:r w:rsidR="00004C80">
        <w:rPr>
          <w:rFonts w:eastAsia="Times New Roman" w:cs="Times New Roman"/>
        </w:rPr>
        <w:t>a</w:t>
      </w:r>
      <w:r w:rsidR="00782AC6" w:rsidRPr="00DF632C">
        <w:rPr>
          <w:rFonts w:eastAsia="Times New Roman" w:cs="Times New Roman"/>
        </w:rPr>
        <w:t>an het fiscale systeem dan wel bed</w:t>
      </w:r>
      <w:r w:rsidR="00A4336F" w:rsidRPr="00CD53C6">
        <w:rPr>
          <w:rFonts w:eastAsia="Times New Roman" w:cs="Times New Roman"/>
        </w:rPr>
        <w:t>oeld is om selectief specifieke groepen te bevoordelen.</w:t>
      </w:r>
      <w:r w:rsidR="00782AC6" w:rsidRPr="00DF632C">
        <w:rPr>
          <w:rStyle w:val="Voetnootmarkering"/>
          <w:rFonts w:eastAsia="Times New Roman" w:cs="Times New Roman"/>
        </w:rPr>
        <w:footnoteReference w:id="206"/>
      </w:r>
      <w:r w:rsidR="00782AC6" w:rsidRPr="00DF632C">
        <w:rPr>
          <w:rFonts w:eastAsia="Times New Roman" w:cs="Times New Roman"/>
        </w:rPr>
        <w:t xml:space="preserve"> Op die basis werden ook enkele milieuheffingen in vraag gesteld.</w:t>
      </w:r>
      <w:r w:rsidR="00782AC6" w:rsidRPr="00DF632C">
        <w:rPr>
          <w:rStyle w:val="Voetnootmarkering"/>
          <w:rFonts w:eastAsia="Times New Roman" w:cs="Times New Roman"/>
        </w:rPr>
        <w:footnoteReference w:id="207"/>
      </w:r>
      <w:r w:rsidR="00782AC6" w:rsidRPr="00DF632C">
        <w:rPr>
          <w:rFonts w:eastAsia="Times New Roman" w:cs="Times New Roman"/>
        </w:rPr>
        <w:t xml:space="preserve"> </w:t>
      </w:r>
      <w:r w:rsidR="00614327">
        <w:rPr>
          <w:rFonts w:eastAsia="Times New Roman" w:cs="Times New Roman"/>
        </w:rPr>
        <w:t>Er</w:t>
      </w:r>
      <w:r w:rsidR="00782AC6" w:rsidRPr="00DF632C">
        <w:rPr>
          <w:rFonts w:eastAsia="Times New Roman" w:cs="Times New Roman"/>
        </w:rPr>
        <w:t xml:space="preserve"> werd zelfs een afspraak in een dubbelbelastingverdrag met Noorwegen </w:t>
      </w:r>
      <w:r w:rsidR="00614327">
        <w:rPr>
          <w:rFonts w:eastAsia="Times New Roman" w:cs="Times New Roman"/>
        </w:rPr>
        <w:t>op de korrel genomen</w:t>
      </w:r>
      <w:r w:rsidR="00782AC6" w:rsidRPr="00DF632C">
        <w:rPr>
          <w:rFonts w:eastAsia="Times New Roman" w:cs="Times New Roman"/>
        </w:rPr>
        <w:t>, op basis waarvan onder meer een va</w:t>
      </w:r>
      <w:r w:rsidR="00A4336F" w:rsidRPr="00CD53C6">
        <w:rPr>
          <w:rFonts w:eastAsia="Times New Roman" w:cs="Times New Roman"/>
        </w:rPr>
        <w:t>n de grootste investeringsfondsen ter wereld aan bronheffing zou ontsnappen.</w:t>
      </w:r>
      <w:r w:rsidR="00782AC6" w:rsidRPr="00DF632C">
        <w:rPr>
          <w:rStyle w:val="Voetnootmarkering"/>
          <w:rFonts w:eastAsia="Times New Roman" w:cs="Times New Roman"/>
        </w:rPr>
        <w:footnoteReference w:id="208"/>
      </w:r>
      <w:r w:rsidR="00782AC6" w:rsidRPr="00DF632C">
        <w:rPr>
          <w:rFonts w:eastAsia="Times New Roman" w:cs="Times New Roman"/>
        </w:rPr>
        <w:t xml:space="preserve"> De meest uitgebreide analyse kwam er echter met betrekking tot de vrijstelling van de zogenaamde repartitiebijdrage</w:t>
      </w:r>
      <w:r w:rsidR="00614327">
        <w:rPr>
          <w:rFonts w:eastAsia="Times New Roman" w:cs="Times New Roman"/>
        </w:rPr>
        <w:t xml:space="preserve"> – als</w:t>
      </w:r>
      <w:r w:rsidR="00782AC6" w:rsidRPr="00DF632C">
        <w:rPr>
          <w:rFonts w:eastAsia="Times New Roman" w:cs="Times New Roman"/>
        </w:rPr>
        <w:t xml:space="preserve"> vergoeding voor het openhouden van afgeschreven kerncentr</w:t>
      </w:r>
      <w:r w:rsidR="00A4336F" w:rsidRPr="00CD53C6">
        <w:rPr>
          <w:rFonts w:eastAsia="Times New Roman" w:cs="Times New Roman"/>
        </w:rPr>
        <w:t>ales</w:t>
      </w:r>
      <w:r w:rsidR="00614327">
        <w:rPr>
          <w:rFonts w:eastAsia="Times New Roman" w:cs="Times New Roman"/>
        </w:rPr>
        <w:t xml:space="preserve"> –</w:t>
      </w:r>
      <w:r w:rsidR="00A4336F" w:rsidRPr="00CD53C6">
        <w:rPr>
          <w:rFonts w:eastAsia="Times New Roman" w:cs="Times New Roman"/>
        </w:rPr>
        <w:t xml:space="preserve"> voor de centrales Tihange 1</w:t>
      </w:r>
      <w:r w:rsidR="00614327">
        <w:rPr>
          <w:rFonts w:eastAsia="Times New Roman" w:cs="Times New Roman"/>
        </w:rPr>
        <w:t>,</w:t>
      </w:r>
      <w:r w:rsidR="00A4336F" w:rsidRPr="00CD53C6">
        <w:rPr>
          <w:rFonts w:eastAsia="Times New Roman" w:cs="Times New Roman"/>
        </w:rPr>
        <w:t xml:space="preserve"> Doel 1 en Doel 2, waarvan de levensduur w</w:t>
      </w:r>
      <w:r w:rsidR="00614327">
        <w:rPr>
          <w:rFonts w:eastAsia="Times New Roman" w:cs="Times New Roman"/>
        </w:rPr>
        <w:t>e</w:t>
      </w:r>
      <w:r w:rsidR="00A4336F" w:rsidRPr="00CD53C6">
        <w:rPr>
          <w:rFonts w:eastAsia="Times New Roman" w:cs="Times New Roman"/>
        </w:rPr>
        <w:t>rd verlengd, waar de Raad elk voorwaarde uitvoerig analyseerde om te besluiten dat er voldoende redenen waren om het hervormde systeem van de nucleaire heffing aan te melden.</w:t>
      </w:r>
      <w:r w:rsidR="00782AC6" w:rsidRPr="00DF632C">
        <w:rPr>
          <w:rStyle w:val="Voetnootmarkering"/>
          <w:rFonts w:eastAsia="Times New Roman" w:cs="Times New Roman"/>
        </w:rPr>
        <w:footnoteReference w:id="209"/>
      </w:r>
      <w:r w:rsidR="00782AC6" w:rsidRPr="00DF632C">
        <w:rPr>
          <w:rFonts w:eastAsia="Times New Roman" w:cs="Times New Roman"/>
        </w:rPr>
        <w:t xml:space="preserve"> </w:t>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13654D">
        <w:rPr>
          <w:rFonts w:eastAsia="Times New Roman" w:cs="Times New Roman"/>
          <w:b/>
        </w:rPr>
        <w:t>7</w:t>
      </w:r>
      <w:r w:rsidR="00A4336F" w:rsidRPr="00CD53C6">
        <w:rPr>
          <w:rFonts w:eastAsia="Times New Roman" w:cs="Times New Roman"/>
          <w:b/>
        </w:rPr>
        <w:t>.</w:t>
      </w:r>
      <w:r w:rsidR="00A4336F" w:rsidRPr="00CD53C6">
        <w:rPr>
          <w:rFonts w:eastAsia="Times New Roman" w:cs="Times New Roman"/>
        </w:rPr>
        <w:tab/>
        <w:t xml:space="preserve">Een bijzonder probleem </w:t>
      </w:r>
      <w:r w:rsidR="00614327">
        <w:rPr>
          <w:rFonts w:eastAsia="Times New Roman" w:cs="Times New Roman"/>
        </w:rPr>
        <w:t>rees voor een federale ontwerpregeling</w:t>
      </w:r>
      <w:r w:rsidR="00782AC6" w:rsidRPr="00DF632C">
        <w:rPr>
          <w:rStyle w:val="Voetnootmarkering"/>
        </w:rPr>
        <w:footnoteReference w:id="210"/>
      </w:r>
      <w:r w:rsidR="00782AC6" w:rsidRPr="00DF632C">
        <w:t xml:space="preserve"> waar</w:t>
      </w:r>
      <w:r w:rsidR="00614327">
        <w:t>in werd voorzien</w:t>
      </w:r>
      <w:r w:rsidR="00782AC6" w:rsidRPr="00DF632C">
        <w:t xml:space="preserve"> in een bepaalde belastingvermindering voor energie-intensieve bedrijven, op voorwaarde dat ze met </w:t>
      </w:r>
      <w:r w:rsidR="00614327">
        <w:t>het betrokken</w:t>
      </w:r>
      <w:r w:rsidR="00782AC6" w:rsidRPr="00DF632C">
        <w:t xml:space="preserve"> gewest een energiebeleidsovereenkomst hebben gesloten, wat in Brussel niet mogelijk bleek.</w:t>
      </w:r>
      <w:r w:rsidR="00004C80">
        <w:rPr>
          <w:rStyle w:val="Voetnootmarkering"/>
        </w:rPr>
        <w:footnoteReference w:id="211"/>
      </w:r>
      <w:r w:rsidR="00782AC6" w:rsidRPr="00DF632C">
        <w:t xml:space="preserve"> Nochtans moeten steunmaatregelen in beginsel van toepassing zijn op het hele grondgebied om niet als selectief te worden aangemerkt. Daarop bestaan volgens de re</w:t>
      </w:r>
      <w:r w:rsidR="00A4336F" w:rsidRPr="00CD53C6">
        <w:t>chtspraak van het Hof van Justitie weliswaar uitzonderingen voor steun verleend door regionale overheden met constitutionele autonomie,</w:t>
      </w:r>
      <w:r w:rsidR="00782AC6" w:rsidRPr="00DF632C">
        <w:rPr>
          <w:rStyle w:val="Voetnootmarkering"/>
        </w:rPr>
        <w:footnoteReference w:id="212"/>
      </w:r>
      <w:r w:rsidR="00782AC6" w:rsidRPr="00DF632C">
        <w:t xml:space="preserve"> maar aangezien de maatregel in kwestie door de federale overheid werd ingevoerd</w:t>
      </w:r>
      <w:r w:rsidR="008E0F6A">
        <w:t>,</w:t>
      </w:r>
      <w:r w:rsidR="00782AC6" w:rsidRPr="00DF632C">
        <w:t xml:space="preserve"> was allerminst duidelijk of die uitzondering wel kon worden ingeroepen.</w:t>
      </w:r>
      <w:r w:rsidR="00782AC6" w:rsidRPr="00DF632C">
        <w:rPr>
          <w:rStyle w:val="Voetnootmarkering"/>
        </w:rPr>
        <w:footnoteReference w:id="213"/>
      </w:r>
    </w:p>
    <w:p w:rsidR="007D1381" w:rsidRPr="00DF632C" w:rsidRDefault="007D1381" w:rsidP="00782AC6">
      <w:pPr>
        <w:rPr>
          <w:rFonts w:eastAsia="Times New Roman" w:cs="Times New Roman"/>
        </w:rPr>
      </w:pPr>
    </w:p>
    <w:p w:rsidR="00782AC6" w:rsidRPr="00DF632C" w:rsidRDefault="001D12B7" w:rsidP="00782AC6">
      <w:pPr>
        <w:rPr>
          <w:rFonts w:eastAsia="Times New Roman" w:cs="Times New Roman"/>
        </w:rPr>
      </w:pPr>
      <w:r w:rsidRPr="00CD53C6">
        <w:rPr>
          <w:rFonts w:eastAsia="Times New Roman" w:cs="Times New Roman"/>
          <w:b/>
        </w:rPr>
        <w:t>5</w:t>
      </w:r>
      <w:r w:rsidR="0013654D">
        <w:rPr>
          <w:rFonts w:eastAsia="Times New Roman" w:cs="Times New Roman"/>
          <w:b/>
        </w:rPr>
        <w:t>8</w:t>
      </w:r>
      <w:r w:rsidR="00A4336F" w:rsidRPr="00CD53C6">
        <w:rPr>
          <w:rFonts w:eastAsia="Times New Roman" w:cs="Times New Roman"/>
          <w:b/>
        </w:rPr>
        <w:t>.</w:t>
      </w:r>
      <w:r w:rsidR="00A4336F" w:rsidRPr="00CD53C6">
        <w:rPr>
          <w:rFonts w:eastAsia="Times New Roman" w:cs="Times New Roman"/>
        </w:rPr>
        <w:tab/>
        <w:t xml:space="preserve">Steun kan verrassende vormen aannemen. Zo </w:t>
      </w:r>
      <w:r w:rsidR="007E7693">
        <w:rPr>
          <w:rFonts w:eastAsia="Times New Roman" w:cs="Times New Roman"/>
        </w:rPr>
        <w:t>maakte</w:t>
      </w:r>
      <w:r w:rsidR="007E7693" w:rsidRPr="00CD53C6">
        <w:rPr>
          <w:rFonts w:eastAsia="Times New Roman" w:cs="Times New Roman"/>
        </w:rPr>
        <w:t xml:space="preserve"> </w:t>
      </w:r>
      <w:r w:rsidR="00A4336F" w:rsidRPr="00CD53C6">
        <w:rPr>
          <w:rFonts w:eastAsia="Times New Roman" w:cs="Times New Roman"/>
        </w:rPr>
        <w:t>de Raad</w:t>
      </w:r>
      <w:r w:rsidR="007E7693">
        <w:rPr>
          <w:rFonts w:eastAsia="Times New Roman" w:cs="Times New Roman"/>
        </w:rPr>
        <w:t xml:space="preserve"> van State</w:t>
      </w:r>
      <w:r w:rsidR="00A4336F" w:rsidRPr="00CD53C6">
        <w:rPr>
          <w:rFonts w:eastAsia="Times New Roman" w:cs="Times New Roman"/>
        </w:rPr>
        <w:t xml:space="preserve"> </w:t>
      </w:r>
      <w:r w:rsidR="007E7693">
        <w:rPr>
          <w:rFonts w:eastAsia="Times New Roman" w:cs="Times New Roman"/>
        </w:rPr>
        <w:t xml:space="preserve">een </w:t>
      </w:r>
      <w:r w:rsidR="00A4336F" w:rsidRPr="00CD53C6">
        <w:rPr>
          <w:rFonts w:eastAsia="Times New Roman" w:cs="Times New Roman"/>
        </w:rPr>
        <w:t xml:space="preserve">voorbehoud bij de oprichting van de zogenaamde ‘De Werkvennootschap nv’, een privaatrechtelijk </w:t>
      </w:r>
      <w:r w:rsidR="007E7693" w:rsidRPr="00CD53C6">
        <w:rPr>
          <w:rFonts w:eastAsia="Times New Roman" w:cs="Times New Roman"/>
        </w:rPr>
        <w:t>overheids</w:t>
      </w:r>
      <w:r w:rsidR="007E7693">
        <w:rPr>
          <w:rFonts w:eastAsia="Times New Roman" w:cs="Times New Roman"/>
        </w:rPr>
        <w:t>instrument</w:t>
      </w:r>
      <w:r w:rsidR="007E7693" w:rsidRPr="00CD53C6">
        <w:rPr>
          <w:rFonts w:eastAsia="Times New Roman" w:cs="Times New Roman"/>
        </w:rPr>
        <w:t xml:space="preserve"> </w:t>
      </w:r>
      <w:r w:rsidR="00A4336F" w:rsidRPr="00CD53C6">
        <w:rPr>
          <w:rFonts w:eastAsia="Times New Roman" w:cs="Times New Roman"/>
        </w:rPr>
        <w:t>voor werken i.v.m. de Brusselse Ring, niet enkel omwille van de potentiële fiscale voorkeursbehandeling, maar ook omwille van de bescherming tegen</w:t>
      </w:r>
      <w:r w:rsidR="007E7693">
        <w:rPr>
          <w:rFonts w:eastAsia="Times New Roman" w:cs="Times New Roman"/>
        </w:rPr>
        <w:t xml:space="preserve"> een</w:t>
      </w:r>
      <w:r w:rsidR="00A4336F" w:rsidRPr="00CD53C6">
        <w:rPr>
          <w:rFonts w:eastAsia="Times New Roman" w:cs="Times New Roman"/>
        </w:rPr>
        <w:t xml:space="preserve"> faillissement.</w:t>
      </w:r>
      <w:r w:rsidR="00782AC6" w:rsidRPr="00DF632C">
        <w:rPr>
          <w:rStyle w:val="Voetnootmarkering"/>
          <w:rFonts w:eastAsia="Times New Roman" w:cs="Times New Roman"/>
        </w:rPr>
        <w:footnoteReference w:id="214"/>
      </w:r>
      <w:r w:rsidR="00782AC6" w:rsidRPr="00DF632C">
        <w:rPr>
          <w:rFonts w:eastAsia="Times New Roman" w:cs="Times New Roman"/>
        </w:rPr>
        <w:t xml:space="preserve"> De Raad zag ook potentiële staatssteun in de compensatie die de uitbaters van kerncentrales kunnen ontvangen indien de verlengde kerncentrales vervroegd zouden sluiten,</w:t>
      </w:r>
      <w:r w:rsidR="00782AC6" w:rsidRPr="00DF632C">
        <w:rPr>
          <w:rStyle w:val="Voetnootmarkering"/>
          <w:rFonts w:eastAsia="Times New Roman" w:cs="Times New Roman"/>
        </w:rPr>
        <w:footnoteReference w:id="215"/>
      </w:r>
      <w:r w:rsidR="00782AC6" w:rsidRPr="00DF632C">
        <w:rPr>
          <w:rFonts w:eastAsia="Times New Roman" w:cs="Times New Roman"/>
        </w:rPr>
        <w:t xml:space="preserve"> de compensatie die de overheid zou betalen aan de windmolenexploitanten indien de transmissienetbeheerder niet tijdig een </w:t>
      </w:r>
      <w:r w:rsidR="00A4336F" w:rsidRPr="00CD53C6">
        <w:rPr>
          <w:rFonts w:eastAsia="Times New Roman" w:cs="Times New Roman"/>
          <w:i/>
        </w:rPr>
        <w:t>modular offshore grid</w:t>
      </w:r>
      <w:r w:rsidR="00782AC6" w:rsidRPr="00DF632C">
        <w:rPr>
          <w:rFonts w:eastAsia="Times New Roman" w:cs="Times New Roman"/>
        </w:rPr>
        <w:t xml:space="preserve"> zou bouwen,</w:t>
      </w:r>
      <w:r w:rsidR="00782AC6" w:rsidRPr="00DF632C">
        <w:rPr>
          <w:rStyle w:val="Voetnootmarkering"/>
          <w:rFonts w:eastAsia="Times New Roman" w:cs="Times New Roman"/>
        </w:rPr>
        <w:footnoteReference w:id="216"/>
      </w:r>
      <w:r w:rsidR="00782AC6" w:rsidRPr="00DF632C">
        <w:rPr>
          <w:rFonts w:eastAsia="Times New Roman" w:cs="Times New Roman"/>
        </w:rPr>
        <w:t xml:space="preserve"> </w:t>
      </w:r>
      <w:r w:rsidR="007E7693">
        <w:rPr>
          <w:rFonts w:eastAsia="Times New Roman" w:cs="Times New Roman"/>
        </w:rPr>
        <w:t>en</w:t>
      </w:r>
      <w:r w:rsidR="00782AC6" w:rsidRPr="00DF632C">
        <w:rPr>
          <w:rFonts w:eastAsia="Times New Roman" w:cs="Times New Roman"/>
        </w:rPr>
        <w:t xml:space="preserve"> de kosteloze staatswaarborg die de overheid </w:t>
      </w:r>
      <w:r w:rsidR="007E7693">
        <w:rPr>
          <w:rFonts w:eastAsia="Times New Roman" w:cs="Times New Roman"/>
        </w:rPr>
        <w:t>zou</w:t>
      </w:r>
      <w:r w:rsidR="00A4336F" w:rsidRPr="00CD53C6">
        <w:rPr>
          <w:rFonts w:eastAsia="Times New Roman" w:cs="Times New Roman"/>
        </w:rPr>
        <w:t xml:space="preserve"> bieden in afwachting dat de uitbaters van kerncentrales zich </w:t>
      </w:r>
      <w:r w:rsidR="007715D5">
        <w:rPr>
          <w:rFonts w:eastAsia="Times New Roman" w:cs="Times New Roman"/>
        </w:rPr>
        <w:t>zouden</w:t>
      </w:r>
      <w:r w:rsidR="00A4336F" w:rsidRPr="00CD53C6">
        <w:rPr>
          <w:rFonts w:eastAsia="Times New Roman" w:cs="Times New Roman"/>
        </w:rPr>
        <w:t xml:space="preserve"> verzekeren op de private markt.</w:t>
      </w:r>
      <w:r w:rsidR="00782AC6" w:rsidRPr="00DF632C">
        <w:rPr>
          <w:rStyle w:val="Voetnootmarkering"/>
          <w:rFonts w:eastAsia="Times New Roman" w:cs="Times New Roman"/>
        </w:rPr>
        <w:footnoteReference w:id="217"/>
      </w:r>
      <w:r w:rsidR="00782AC6" w:rsidRPr="00DF632C">
        <w:rPr>
          <w:rFonts w:eastAsia="Times New Roman" w:cs="Times New Roman"/>
        </w:rPr>
        <w:t xml:space="preserve"> Misschien wel de minst voor de hand liggende maatregel was een selectieve aanpassing van de certificatenplicht voor bepaalde energie-intensieve g</w:t>
      </w:r>
      <w:r w:rsidR="00A4336F" w:rsidRPr="00CD53C6">
        <w:rPr>
          <w:rFonts w:eastAsia="Times New Roman" w:cs="Times New Roman"/>
        </w:rPr>
        <w:t xml:space="preserve">rootverbruikers. Hoewel die certificaten in beginsel worden aangekocht op de private groenestroomcertificatenmarkt was de Raad </w:t>
      </w:r>
      <w:r w:rsidR="006B1B76">
        <w:rPr>
          <w:rFonts w:eastAsia="Times New Roman" w:cs="Times New Roman"/>
        </w:rPr>
        <w:t xml:space="preserve">van State </w:t>
      </w:r>
      <w:r w:rsidR="00A4336F" w:rsidRPr="00CD53C6">
        <w:rPr>
          <w:rFonts w:eastAsia="Times New Roman" w:cs="Times New Roman"/>
        </w:rPr>
        <w:t>van mening dat een verlichting van die inleververplichting een voordeel vormt dat uit staatsmiddelen wordt bekostigd, omdat de financiering van de minimumsteun niet langer louter via de nettarieven gebeur</w:t>
      </w:r>
      <w:r w:rsidR="00033DF0">
        <w:rPr>
          <w:rFonts w:eastAsia="Times New Roman" w:cs="Times New Roman"/>
        </w:rPr>
        <w:t>t</w:t>
      </w:r>
      <w:r w:rsidR="00A4336F" w:rsidRPr="00CD53C6">
        <w:rPr>
          <w:rFonts w:eastAsia="Times New Roman" w:cs="Times New Roman"/>
        </w:rPr>
        <w:t>, maar ook een injectie van overheidsmiddelen inhoudt, die door de uitholling van de inleververplichting overigens nog zou kunnen toenemen.</w:t>
      </w:r>
      <w:r w:rsidR="00782AC6" w:rsidRPr="00DF632C">
        <w:rPr>
          <w:rStyle w:val="Voetnootmarkering"/>
          <w:rFonts w:eastAsia="Times New Roman" w:cs="Times New Roman"/>
        </w:rPr>
        <w:footnoteReference w:id="218"/>
      </w:r>
    </w:p>
    <w:p w:rsidR="007D1381" w:rsidRPr="00DF632C" w:rsidRDefault="007D1381" w:rsidP="00782AC6">
      <w:pPr>
        <w:rPr>
          <w:rFonts w:eastAsia="Times New Roman" w:cs="Times New Roman"/>
        </w:rPr>
      </w:pPr>
    </w:p>
    <w:p w:rsidR="00782AC6" w:rsidRPr="00DF632C" w:rsidRDefault="0013654D" w:rsidP="00782AC6">
      <w:pPr>
        <w:rPr>
          <w:rFonts w:eastAsia="Times New Roman" w:cs="Times New Roman"/>
        </w:rPr>
      </w:pPr>
      <w:r>
        <w:rPr>
          <w:rFonts w:eastAsia="Times New Roman" w:cs="Times New Roman"/>
          <w:b/>
        </w:rPr>
        <w:t>59</w:t>
      </w:r>
      <w:r w:rsidR="00A4336F" w:rsidRPr="00CD53C6">
        <w:rPr>
          <w:rFonts w:eastAsia="Times New Roman" w:cs="Times New Roman"/>
          <w:b/>
        </w:rPr>
        <w:t>.</w:t>
      </w:r>
      <w:r w:rsidR="00A4336F" w:rsidRPr="00CD53C6">
        <w:rPr>
          <w:rFonts w:eastAsia="Times New Roman" w:cs="Times New Roman"/>
        </w:rPr>
        <w:tab/>
        <w:t xml:space="preserve">Indien het ondanks alle </w:t>
      </w:r>
      <w:r w:rsidR="00033DF0">
        <w:rPr>
          <w:rFonts w:eastAsia="Times New Roman" w:cs="Times New Roman"/>
        </w:rPr>
        <w:t xml:space="preserve">voorafgaande </w:t>
      </w:r>
      <w:r w:rsidR="00A4336F" w:rsidRPr="00CD53C6">
        <w:rPr>
          <w:rFonts w:eastAsia="Times New Roman" w:cs="Times New Roman"/>
        </w:rPr>
        <w:t xml:space="preserve">waarschuwingen alsnog misloopt moet </w:t>
      </w:r>
      <w:r w:rsidR="00033DF0">
        <w:rPr>
          <w:rFonts w:eastAsia="Times New Roman" w:cs="Times New Roman"/>
        </w:rPr>
        <w:t xml:space="preserve">de </w:t>
      </w:r>
      <w:r w:rsidR="00A4336F" w:rsidRPr="00CD53C6">
        <w:rPr>
          <w:rFonts w:eastAsia="Times New Roman" w:cs="Times New Roman"/>
        </w:rPr>
        <w:t>steun worden teruggevorderd. Ook dat kan een hele complexe onderneming worden. Indien verschillende overheden, bijvoorbeeld de federale overheid en het Vlaams</w:t>
      </w:r>
      <w:r w:rsidR="00F46FC9">
        <w:rPr>
          <w:rFonts w:eastAsia="Times New Roman" w:cs="Times New Roman"/>
        </w:rPr>
        <w:t>e</w:t>
      </w:r>
      <w:r w:rsidR="00A4336F" w:rsidRPr="00CD53C6">
        <w:rPr>
          <w:rFonts w:eastAsia="Times New Roman" w:cs="Times New Roman"/>
        </w:rPr>
        <w:t xml:space="preserve"> Gewest, steun hebben verleend, moet er bijvoorbeeld bij samenwerkingsakkoord worden geregeld wie </w:t>
      </w:r>
      <w:r w:rsidR="00004C80">
        <w:rPr>
          <w:rFonts w:eastAsia="Times New Roman" w:cs="Times New Roman"/>
        </w:rPr>
        <w:t>het</w:t>
      </w:r>
      <w:r w:rsidR="00A4336F" w:rsidRPr="00CD53C6">
        <w:rPr>
          <w:rFonts w:eastAsia="Times New Roman" w:cs="Times New Roman"/>
        </w:rPr>
        <w:t xml:space="preserve"> eventueel te veel </w:t>
      </w:r>
      <w:r w:rsidR="00004C80">
        <w:rPr>
          <w:rFonts w:eastAsia="Times New Roman" w:cs="Times New Roman"/>
        </w:rPr>
        <w:t xml:space="preserve">betaalde </w:t>
      </w:r>
      <w:r w:rsidR="00A4336F" w:rsidRPr="00CD53C6">
        <w:rPr>
          <w:rFonts w:eastAsia="Times New Roman" w:cs="Times New Roman"/>
        </w:rPr>
        <w:t xml:space="preserve">mag </w:t>
      </w:r>
      <w:r w:rsidR="00E252DA">
        <w:rPr>
          <w:rFonts w:eastAsia="Times New Roman" w:cs="Times New Roman"/>
        </w:rPr>
        <w:t>–</w:t>
      </w:r>
      <w:r w:rsidR="00A4336F" w:rsidRPr="00CD53C6">
        <w:rPr>
          <w:rFonts w:eastAsia="Times New Roman" w:cs="Times New Roman"/>
        </w:rPr>
        <w:t xml:space="preserve"> en moet </w:t>
      </w:r>
      <w:r w:rsidR="00E252DA">
        <w:rPr>
          <w:rFonts w:eastAsia="Times New Roman" w:cs="Times New Roman"/>
        </w:rPr>
        <w:t>–</w:t>
      </w:r>
      <w:r w:rsidR="00A4336F" w:rsidRPr="00CD53C6">
        <w:rPr>
          <w:rFonts w:eastAsia="Times New Roman" w:cs="Times New Roman"/>
        </w:rPr>
        <w:t xml:space="preserve"> terugvorderen.</w:t>
      </w:r>
      <w:r w:rsidR="00782AC6" w:rsidRPr="00DF632C">
        <w:rPr>
          <w:rStyle w:val="Voetnootmarkering"/>
          <w:rFonts w:eastAsia="Times New Roman" w:cs="Times New Roman"/>
        </w:rPr>
        <w:footnoteReference w:id="219"/>
      </w:r>
      <w:r w:rsidR="00782AC6" w:rsidRPr="00DF632C">
        <w:rPr>
          <w:rFonts w:eastAsia="Times New Roman" w:cs="Times New Roman"/>
        </w:rPr>
        <w:t xml:space="preserve"> Nog complexer wordt het als bedrijven jarenlang te weinig vennootschapsbelasting hebben betaald doordat ze ten onrechte konden genieten van een zogenaamde </w:t>
      </w:r>
      <w:r w:rsidR="00A4336F" w:rsidRPr="00CD53C6">
        <w:rPr>
          <w:rFonts w:eastAsia="Times New Roman" w:cs="Times New Roman"/>
          <w:i/>
        </w:rPr>
        <w:t>excess profit ruling</w:t>
      </w:r>
      <w:r w:rsidR="00A4336F" w:rsidRPr="00CD53C6">
        <w:rPr>
          <w:rFonts w:eastAsia="Times New Roman" w:cs="Times New Roman"/>
        </w:rPr>
        <w:t>, en de Europese Commissie eist dat de ontweken belasting alsnog wordt teruggevorderd,</w:t>
      </w:r>
      <w:r w:rsidR="00782AC6" w:rsidRPr="00DF632C">
        <w:rPr>
          <w:rStyle w:val="Voetnootmarkering"/>
          <w:rFonts w:eastAsia="Times New Roman" w:cs="Times New Roman"/>
        </w:rPr>
        <w:footnoteReference w:id="220"/>
      </w:r>
      <w:r w:rsidR="00782AC6" w:rsidRPr="00DF632C">
        <w:rPr>
          <w:rFonts w:eastAsia="Times New Roman" w:cs="Times New Roman"/>
        </w:rPr>
        <w:t xml:space="preserve"> wat neerkomt op het </w:t>
      </w:r>
      <w:r w:rsidR="006766A6">
        <w:rPr>
          <w:rFonts w:eastAsia="Times New Roman" w:cs="Times New Roman"/>
        </w:rPr>
        <w:t>her</w:t>
      </w:r>
      <w:r w:rsidR="00782AC6" w:rsidRPr="00DF632C">
        <w:rPr>
          <w:rFonts w:eastAsia="Times New Roman" w:cs="Times New Roman"/>
        </w:rPr>
        <w:t xml:space="preserve">berekenen van </w:t>
      </w:r>
      <w:r w:rsidR="00782AC6" w:rsidRPr="00DF632C">
        <w:rPr>
          <w:rFonts w:eastAsia="Times New Roman" w:cs="Times New Roman"/>
        </w:rPr>
        <w:lastRenderedPageBreak/>
        <w:t>de belasting die bedrijven in verschillende opeenvolgende jaren zouden hebben betaald indien ze geen beroep konden d</w:t>
      </w:r>
      <w:r w:rsidR="00A4336F" w:rsidRPr="00CD53C6">
        <w:rPr>
          <w:rFonts w:eastAsia="Times New Roman" w:cs="Times New Roman"/>
        </w:rPr>
        <w:t>oen op die rulings (maar mogelijk wel andere aftrekken konden inroepen die ze destijds niet nodig achten). Ook hier heeft de Raad zich op het kruispunt tussen het staatssteunrecht en het Belgische fiscale recht moeten plaatsen, om de wettelijke regeling die die terugvordering moest mogelijk te maken te toetsen op haar effectiviteit in het licht van het besluit van de Europese Commissie.</w:t>
      </w:r>
      <w:r w:rsidR="00782AC6" w:rsidRPr="00DF632C">
        <w:rPr>
          <w:rStyle w:val="Voetnootmarkering"/>
          <w:rFonts w:eastAsia="Times New Roman" w:cs="Times New Roman"/>
        </w:rPr>
        <w:footnoteReference w:id="221"/>
      </w:r>
      <w:r w:rsidR="00782AC6" w:rsidRPr="00DF632C">
        <w:rPr>
          <w:rFonts w:eastAsia="Times New Roman" w:cs="Times New Roman"/>
        </w:rPr>
        <w:t xml:space="preserve"> </w:t>
      </w:r>
    </w:p>
    <w:p w:rsidR="00782AC6" w:rsidRPr="00CD53C6" w:rsidRDefault="00A4336F" w:rsidP="007D1381">
      <w:pPr>
        <w:pStyle w:val="Kop2"/>
        <w:rPr>
          <w:lang w:val="nl-BE"/>
        </w:rPr>
      </w:pPr>
      <w:bookmarkStart w:id="25" w:name="_Toc495677881"/>
      <w:r w:rsidRPr="00CD53C6">
        <w:rPr>
          <w:lang w:val="nl-BE"/>
        </w:rPr>
        <w:t>G. Handvest van de Grondrechten van de Europese Unie</w:t>
      </w:r>
      <w:bookmarkEnd w:id="25"/>
    </w:p>
    <w:p w:rsidR="00782AC6" w:rsidRPr="00DF632C" w:rsidRDefault="00782AC6" w:rsidP="00782AC6"/>
    <w:p w:rsidR="00782AC6" w:rsidRPr="00DF632C" w:rsidRDefault="001D12B7" w:rsidP="00782AC6">
      <w:r w:rsidRPr="00CD53C6">
        <w:rPr>
          <w:b/>
        </w:rPr>
        <w:t>6</w:t>
      </w:r>
      <w:r w:rsidR="0013654D">
        <w:rPr>
          <w:b/>
        </w:rPr>
        <w:t>0</w:t>
      </w:r>
      <w:r w:rsidR="00A4336F" w:rsidRPr="00CD53C6">
        <w:rPr>
          <w:b/>
        </w:rPr>
        <w:t>.</w:t>
      </w:r>
      <w:r w:rsidR="00A4336F" w:rsidRPr="00CD53C6">
        <w:tab/>
        <w:t xml:space="preserve">De steeds grotere rol voor het </w:t>
      </w:r>
      <w:r w:rsidR="00497B03">
        <w:t>EU-recht</w:t>
      </w:r>
      <w:r w:rsidR="00497B03" w:rsidRPr="00CD53C6">
        <w:t xml:space="preserve"> </w:t>
      </w:r>
      <w:r w:rsidR="00A4336F" w:rsidRPr="00CD53C6">
        <w:t xml:space="preserve">impliceert ook een toenemend belang van het Handvest van de Grondrechten van de Europese Unie in de adviespraktijk van de Raad. Volgens artikel 51 van het Handvest is </w:t>
      </w:r>
      <w:r w:rsidR="00497B03">
        <w:t>het</w:t>
      </w:r>
      <w:r w:rsidR="00A4336F" w:rsidRPr="00CD53C6">
        <w:t xml:space="preserve"> immers niet enkel bindend voor de organen van de Unie, maar ook voor de lidstaten, wanneer ze het Unierecht ten uitvoer leggen. Die link met het </w:t>
      </w:r>
      <w:r w:rsidR="00497B03">
        <w:t>EU-recht</w:t>
      </w:r>
      <w:r w:rsidR="00497B03" w:rsidRPr="00CD53C6">
        <w:t xml:space="preserve"> </w:t>
      </w:r>
      <w:r w:rsidR="00A4336F" w:rsidRPr="00CD53C6">
        <w:t xml:space="preserve">– die relatief ruim wordt uitgelegd, in die zin dat niet enkel de werkelijke tenuitvoerlegging of omzetting van Unierecht, maar ook in </w:t>
      </w:r>
      <w:r w:rsidR="00033DF0">
        <w:t>de gevallen waarin</w:t>
      </w:r>
      <w:r w:rsidR="00A4336F" w:rsidRPr="00CD53C6">
        <w:t xml:space="preserve"> de </w:t>
      </w:r>
      <w:r w:rsidR="00497B03">
        <w:t>l</w:t>
      </w:r>
      <w:r w:rsidR="00A4336F" w:rsidRPr="00CD53C6">
        <w:t xml:space="preserve">idstaten optreden binnen het toepassingsgebied van het </w:t>
      </w:r>
      <w:r w:rsidR="00497B03">
        <w:t>EU-</w:t>
      </w:r>
      <w:r w:rsidR="00A4336F" w:rsidRPr="00CD53C6">
        <w:t>recht</w:t>
      </w:r>
      <w:r w:rsidR="00033DF0">
        <w:t xml:space="preserve"> in aanmerking moeten worden genomen</w:t>
      </w:r>
      <w:r w:rsidR="00A4336F" w:rsidRPr="00CD53C6">
        <w:t>, zodat bijvoorbeeld ook nationale maatregelen die een beperking inhouden van het vrij verkeer ook aan de grondrechten van het Handvest worden getoetst</w:t>
      </w:r>
      <w:r w:rsidR="00782AC6" w:rsidRPr="00DF632C">
        <w:rPr>
          <w:rStyle w:val="Voetnootmarkering"/>
        </w:rPr>
        <w:footnoteReference w:id="222"/>
      </w:r>
      <w:r w:rsidR="00782AC6" w:rsidRPr="00DF632C">
        <w:t xml:space="preserve"> – is meestal vrij duidelijk. Slechts een keer heeft de Raad </w:t>
      </w:r>
      <w:r w:rsidR="00497B03">
        <w:t>laten blijken</w:t>
      </w:r>
      <w:r w:rsidR="00497B03" w:rsidRPr="00CD53C6">
        <w:t xml:space="preserve"> </w:t>
      </w:r>
      <w:r w:rsidR="00A4336F" w:rsidRPr="00CD53C6">
        <w:t>dat er discussie mogelijk was, met name met betrekking tot het voorgenomen Vlaamse verbod op onverdoofd slachten.</w:t>
      </w:r>
      <w:r w:rsidR="00782AC6" w:rsidRPr="00DF632C">
        <w:rPr>
          <w:rStyle w:val="Voetnootmarkering"/>
        </w:rPr>
        <w:footnoteReference w:id="223"/>
      </w:r>
      <w:r w:rsidR="00782AC6" w:rsidRPr="00DF632C">
        <w:t xml:space="preserve"> </w:t>
      </w:r>
      <w:r w:rsidR="003F302B">
        <w:t>V</w:t>
      </w:r>
      <w:r w:rsidR="003F302B" w:rsidRPr="003F302B">
        <w:t xml:space="preserve">erordening (EG) nr. 1099/2009 </w:t>
      </w:r>
      <w:r w:rsidR="00782AC6" w:rsidRPr="00DF632C">
        <w:t>laat immers onverdoofd slachten om religieuze redenen toe, maar staat tegelijk de lidstaten toe om verdergaande maatregelen t</w:t>
      </w:r>
      <w:r w:rsidR="00A4336F" w:rsidRPr="00CD53C6">
        <w:t xml:space="preserve">e nemen met betrekking tot dierenwelzijn. </w:t>
      </w:r>
      <w:r w:rsidR="00D91A4D">
        <w:t>De Raad van State liet in het midden of in die omstandigheid artikel 10, lid 1, van het Handvest van effectief van toepassing was</w:t>
      </w:r>
      <w:r w:rsidR="00A4336F" w:rsidRPr="00CD53C6">
        <w:t xml:space="preserve">, omdat </w:t>
      </w:r>
      <w:r w:rsidR="00D91A4D">
        <w:t xml:space="preserve">hij </w:t>
      </w:r>
      <w:r w:rsidR="00A4336F" w:rsidRPr="00CD53C6">
        <w:t xml:space="preserve">via </w:t>
      </w:r>
      <w:r w:rsidR="00D91A4D">
        <w:t>artikel 9</w:t>
      </w:r>
      <w:r w:rsidR="00A4336F" w:rsidRPr="00CD53C6">
        <w:t xml:space="preserve"> EVRM ook tot een duidelijk antwoord kwam.</w:t>
      </w:r>
      <w:r w:rsidR="00782AC6" w:rsidRPr="00DF632C">
        <w:rPr>
          <w:rStyle w:val="Voetnootmarkering"/>
        </w:rPr>
        <w:footnoteReference w:id="224"/>
      </w:r>
      <w:r w:rsidR="00782AC6" w:rsidRPr="00DF632C">
        <w:t xml:space="preserve"> In een </w:t>
      </w:r>
      <w:r w:rsidR="00D91A4D">
        <w:t xml:space="preserve">ander advies </w:t>
      </w:r>
      <w:r w:rsidR="00782AC6" w:rsidRPr="00DF632C">
        <w:t xml:space="preserve">lijkt de Raad het Handvest niettemin te hebben toegepast buiten de werkingssfeer ervan, met name bij het </w:t>
      </w:r>
      <w:r w:rsidR="00A4336F" w:rsidRPr="00CD53C6">
        <w:t>formuleren van het beginsel van geïnformeerde toestemming van de donor bij weefselverwijdering</w:t>
      </w:r>
      <w:r w:rsidR="00D91A4D">
        <w:t>.</w:t>
      </w:r>
      <w:r w:rsidR="00A4336F" w:rsidRPr="00CD53C6">
        <w:t xml:space="preserve"> </w:t>
      </w:r>
      <w:r w:rsidR="00D91A4D">
        <w:t>V</w:t>
      </w:r>
      <w:r w:rsidR="00A4336F" w:rsidRPr="00CD53C6">
        <w:t>olgens de Raad kan dit recht ook “worden geïnterpreteerd in het licht van artikel 3, lid 2, a), van het Handvest van de grondrechten van de Europese Unie, dat de vrije en geïnformeerde toestemming vereist voor inmengingen in het recht op lichamelijke integriteit, ook indien de ontworpen regeling niet onmiddellijk als een implementatie van Europese rechtsregels kan worden beschouwd”.</w:t>
      </w:r>
      <w:r w:rsidR="00782AC6" w:rsidRPr="00DF632C">
        <w:rPr>
          <w:rStyle w:val="Voetnootmarkering"/>
        </w:rPr>
        <w:footnoteReference w:id="225"/>
      </w:r>
      <w:r w:rsidR="00782AC6" w:rsidRPr="00DF632C">
        <w:t xml:space="preserve"> </w:t>
      </w:r>
    </w:p>
    <w:p w:rsidR="007D1381" w:rsidRPr="00DF632C" w:rsidRDefault="007D1381" w:rsidP="00782AC6"/>
    <w:p w:rsidR="00782AC6" w:rsidRPr="00DF632C" w:rsidRDefault="001D12B7" w:rsidP="00782AC6">
      <w:r w:rsidRPr="00CD53C6">
        <w:rPr>
          <w:b/>
        </w:rPr>
        <w:lastRenderedPageBreak/>
        <w:t>6</w:t>
      </w:r>
      <w:r w:rsidR="0013654D">
        <w:rPr>
          <w:b/>
        </w:rPr>
        <w:t>1</w:t>
      </w:r>
      <w:r w:rsidR="00A4336F" w:rsidRPr="00CD53C6">
        <w:rPr>
          <w:b/>
        </w:rPr>
        <w:t>.</w:t>
      </w:r>
      <w:r w:rsidR="00A4336F" w:rsidRPr="00CD53C6">
        <w:tab/>
        <w:t xml:space="preserve">Inhoudelijk valt de grote verscheidenheid aan grondrechten op waaraan de Raad ook bij de tenuitvoerlegging van het Unierecht moet toetsen. Zo heeft de Raad onder meer </w:t>
      </w:r>
      <w:r w:rsidR="00D91A4D">
        <w:t>toepassing gemaakt van</w:t>
      </w:r>
      <w:r w:rsidR="00A4336F" w:rsidRPr="00CD53C6">
        <w:t xml:space="preserve"> het recht op menselijke integriteit,</w:t>
      </w:r>
      <w:r w:rsidR="00782AC6" w:rsidRPr="00DF632C">
        <w:rPr>
          <w:rStyle w:val="Voetnootmarkering"/>
        </w:rPr>
        <w:footnoteReference w:id="226"/>
      </w:r>
      <w:r w:rsidR="00782AC6" w:rsidRPr="00DF632C">
        <w:t xml:space="preserve"> het verbod op folteringen en van onmenselijke of vernederende behandelingen of bestraffingen,</w:t>
      </w:r>
      <w:r w:rsidR="00782AC6" w:rsidRPr="00DF632C">
        <w:rPr>
          <w:rStyle w:val="Voetnootmarkering"/>
        </w:rPr>
        <w:footnoteReference w:id="227"/>
      </w:r>
      <w:r w:rsidR="00782AC6" w:rsidRPr="00DF632C">
        <w:t xml:space="preserve"> de bescherming van de persoon</w:t>
      </w:r>
      <w:r w:rsidR="00A4336F" w:rsidRPr="00CD53C6">
        <w:t>sgegevens,</w:t>
      </w:r>
      <w:r w:rsidR="00782AC6" w:rsidRPr="00DF632C">
        <w:rPr>
          <w:rStyle w:val="Voetnootmarkering"/>
        </w:rPr>
        <w:footnoteReference w:id="228"/>
      </w:r>
      <w:r w:rsidR="00782AC6" w:rsidRPr="00DF632C">
        <w:t xml:space="preserve"> de vrijheid van godsdienst,</w:t>
      </w:r>
      <w:r w:rsidR="00782AC6" w:rsidRPr="00DF632C">
        <w:rPr>
          <w:rStyle w:val="Voetnootmarkering"/>
        </w:rPr>
        <w:footnoteReference w:id="229"/>
      </w:r>
      <w:r w:rsidR="00782AC6" w:rsidRPr="00DF632C">
        <w:t xml:space="preserve"> de vrijheid van ondernemen,</w:t>
      </w:r>
      <w:r w:rsidR="00782AC6" w:rsidRPr="00DF632C">
        <w:rPr>
          <w:rStyle w:val="Voetnootmarkering"/>
        </w:rPr>
        <w:footnoteReference w:id="230"/>
      </w:r>
      <w:r w:rsidR="00782AC6" w:rsidRPr="00DF632C">
        <w:t xml:space="preserve"> het recht op eigendom</w:t>
      </w:r>
      <w:r w:rsidR="00033DF0">
        <w:t>,</w:t>
      </w:r>
      <w:r w:rsidR="00782AC6" w:rsidRPr="00DF632C">
        <w:rPr>
          <w:rStyle w:val="Voetnootmarkering"/>
        </w:rPr>
        <w:footnoteReference w:id="231"/>
      </w:r>
      <w:r w:rsidR="00782AC6" w:rsidRPr="00DF632C">
        <w:t xml:space="preserve"> de vakbondsvrijheid en het stakingsrecht,</w:t>
      </w:r>
      <w:r w:rsidR="00782AC6" w:rsidRPr="00DF632C">
        <w:rPr>
          <w:rStyle w:val="Voetnootmarkering"/>
        </w:rPr>
        <w:footnoteReference w:id="232"/>
      </w:r>
      <w:r w:rsidR="00782AC6" w:rsidRPr="00DF632C">
        <w:t xml:space="preserve"> en het beginsel </w:t>
      </w:r>
      <w:r w:rsidR="00782AC6" w:rsidRPr="00DF632C">
        <w:rPr>
          <w:i/>
        </w:rPr>
        <w:t>ne bis in idem</w:t>
      </w:r>
      <w:r w:rsidR="00A4336F" w:rsidRPr="00CD53C6">
        <w:t xml:space="preserve"> in strafzaken.</w:t>
      </w:r>
      <w:r w:rsidR="00782AC6" w:rsidRPr="00DF632C">
        <w:rPr>
          <w:rStyle w:val="Voetnootmarkering"/>
        </w:rPr>
        <w:footnoteReference w:id="233"/>
      </w:r>
      <w:r w:rsidR="00782AC6" w:rsidRPr="00DF632C">
        <w:t xml:space="preserve"> </w:t>
      </w:r>
      <w:r w:rsidR="00033DF0" w:rsidRPr="00DF632C">
        <w:t>E</w:t>
      </w:r>
      <w:r w:rsidR="00033DF0">
        <w:t>é</w:t>
      </w:r>
      <w:r w:rsidR="00033DF0" w:rsidRPr="00DF632C">
        <w:t xml:space="preserve">n </w:t>
      </w:r>
      <w:r w:rsidR="00782AC6" w:rsidRPr="00DF632C">
        <w:t>recht steekt er echter bovenuit. In talloze adviezen moet de Raad waarschuwen voor een voldoende hoge effectieve rechtsbescherming,</w:t>
      </w:r>
      <w:r w:rsidR="00782AC6" w:rsidRPr="00DF632C">
        <w:rPr>
          <w:rStyle w:val="Voetnootmarkering"/>
        </w:rPr>
        <w:footnoteReference w:id="234"/>
      </w:r>
      <w:r w:rsidR="00782AC6" w:rsidRPr="00DF632C">
        <w:t xml:space="preserve"> zowel op het vlak van de toegang tot de rechter</w:t>
      </w:r>
      <w:r w:rsidR="00782AC6" w:rsidRPr="00DF632C">
        <w:rPr>
          <w:rStyle w:val="Voetnootmarkering"/>
        </w:rPr>
        <w:footnoteReference w:id="235"/>
      </w:r>
      <w:r w:rsidR="00782AC6" w:rsidRPr="00DF632C">
        <w:t xml:space="preserve"> als met betrekking tot de procedurele rechten tijdens procedures.</w:t>
      </w:r>
      <w:r w:rsidR="00782AC6" w:rsidRPr="00DF632C">
        <w:rPr>
          <w:rStyle w:val="Voetnootmarkering"/>
        </w:rPr>
        <w:footnoteReference w:id="236"/>
      </w:r>
      <w:r w:rsidR="00782AC6" w:rsidRPr="00DF632C">
        <w:t xml:space="preserve"> Vooral in het kader van wederzijdse erkenning in strafzaken</w:t>
      </w:r>
      <w:r w:rsidR="00782AC6" w:rsidRPr="00DF632C">
        <w:rPr>
          <w:rStyle w:val="Voetnootmarkering"/>
        </w:rPr>
        <w:footnoteReference w:id="237"/>
      </w:r>
      <w:r w:rsidR="00782AC6" w:rsidRPr="00DF632C">
        <w:t xml:space="preserve"> wordt om efficiëntieredenen</w:t>
      </w:r>
      <w:r w:rsidR="00A4336F" w:rsidRPr="00CD53C6">
        <w:t xml:space="preserve"> al eens beknibbeld op de mogelijkheden voor de betrokkenen om bijvoorbeeld een foute omzetting van een buitenlandse maatregel naar een equivalente Belgische maatregel aan te vechten.</w:t>
      </w:r>
    </w:p>
    <w:p w:rsidR="007D1381" w:rsidRPr="00DF632C" w:rsidRDefault="007D1381" w:rsidP="00782AC6"/>
    <w:p w:rsidR="00782AC6" w:rsidRPr="005127F0" w:rsidRDefault="001D12B7" w:rsidP="00782AC6">
      <w:pPr>
        <w:rPr>
          <w:lang w:eastAsia="ja-JP"/>
        </w:rPr>
      </w:pPr>
      <w:r w:rsidRPr="00CD53C6">
        <w:rPr>
          <w:b/>
        </w:rPr>
        <w:t>6</w:t>
      </w:r>
      <w:r w:rsidR="0013654D">
        <w:rPr>
          <w:b/>
        </w:rPr>
        <w:t>2</w:t>
      </w:r>
      <w:r w:rsidR="00A4336F" w:rsidRPr="00CD53C6">
        <w:rPr>
          <w:b/>
        </w:rPr>
        <w:t>.</w:t>
      </w:r>
      <w:r w:rsidR="00A4336F" w:rsidRPr="00CD53C6">
        <w:tab/>
        <w:t xml:space="preserve">Ten slotte moet ook worden gewezen op </w:t>
      </w:r>
      <w:r w:rsidR="00D91A4D">
        <w:t xml:space="preserve">een </w:t>
      </w:r>
      <w:r w:rsidR="00A4336F" w:rsidRPr="00CD53C6">
        <w:t xml:space="preserve">advies waarin de gevolgen </w:t>
      </w:r>
      <w:r w:rsidR="004A529A">
        <w:t xml:space="preserve">aan de orde waren </w:t>
      </w:r>
      <w:r w:rsidR="00A4336F" w:rsidRPr="00CD53C6">
        <w:t>van de vernietiging van de dataretentierichtlijn</w:t>
      </w:r>
      <w:r w:rsidR="00782AC6" w:rsidRPr="00DF632C">
        <w:rPr>
          <w:rStyle w:val="Voetnootmarkering"/>
        </w:rPr>
        <w:footnoteReference w:id="238"/>
      </w:r>
      <w:r w:rsidR="00782AC6" w:rsidRPr="00DF632C">
        <w:t xml:space="preserve"> door het Hof van Justitie wegens strijdigheid met het Handvest. De Raad van State probeer</w:t>
      </w:r>
      <w:r w:rsidR="004A529A">
        <w:t>de</w:t>
      </w:r>
      <w:r w:rsidR="00782AC6" w:rsidRPr="00DF632C">
        <w:t xml:space="preserve"> bij de beoordeling van de Belgische herstelwetgeving het strenge arrest van het Hof van Justitie</w:t>
      </w:r>
      <w:r w:rsidR="00782AC6" w:rsidRPr="00DF632C">
        <w:rPr>
          <w:rStyle w:val="Voetnootmarkering"/>
        </w:rPr>
        <w:footnoteReference w:id="239"/>
      </w:r>
      <w:r w:rsidR="00782AC6" w:rsidRPr="00DF632C">
        <w:t xml:space="preserve"> en de wat soepelere </w:t>
      </w:r>
      <w:r w:rsidR="00782AC6" w:rsidRPr="00DF632C">
        <w:lastRenderedPageBreak/>
        <w:t>rechtspraak van het Grondwettelijk Hof</w:t>
      </w:r>
      <w:r w:rsidR="00782AC6" w:rsidRPr="00DF632C">
        <w:rPr>
          <w:rStyle w:val="Voetnootmarkering"/>
        </w:rPr>
        <w:footnoteReference w:id="240"/>
      </w:r>
      <w:r w:rsidR="00782AC6" w:rsidRPr="00DF632C">
        <w:t xml:space="preserve"> te verzoenen: </w:t>
      </w:r>
      <w:r w:rsidR="0049301E" w:rsidRPr="00DF632C">
        <w:t>“</w:t>
      </w:r>
      <w:r w:rsidR="00A4336F" w:rsidRPr="00CD53C6">
        <w:rPr>
          <w:lang w:eastAsia="ja-JP"/>
        </w:rPr>
        <w:t>De afdeling Wetgeving stelt ten slotte dat tussen twee mogelijke interpretaties van de arresten van het Hof van Justitie en van het Grondwettelijk Hof in het licht van de rechtsregels die door beide hoven worden gehanteerd, gekozen moet worden voor de interpretatie waardoor de tegenstrijdige vereisten van het recht op eerbiediging van het privéleven van personen die gebruikmaken van elektronische communicatiemiddelen enerzijds en van de bescherming van personen die worden bedreigd door criminele praktijken van een ander anderzijds het best verzoend kunnen worden.”</w:t>
      </w:r>
      <w:r w:rsidR="00782AC6" w:rsidRPr="00DF632C">
        <w:rPr>
          <w:rStyle w:val="Voetnootmarkering"/>
        </w:rPr>
        <w:footnoteReference w:id="241"/>
      </w:r>
    </w:p>
    <w:p w:rsidR="00782AC6" w:rsidRPr="00DF632C" w:rsidRDefault="00A4336F" w:rsidP="00D32F50">
      <w:pPr>
        <w:pStyle w:val="Kop1"/>
      </w:pPr>
      <w:bookmarkStart w:id="26" w:name="_Toc495677882"/>
      <w:r w:rsidRPr="00CD53C6">
        <w:t>VI. Samenwerking in de federale staatsstructuur</w:t>
      </w:r>
      <w:bookmarkEnd w:id="26"/>
    </w:p>
    <w:p w:rsidR="00782AC6" w:rsidRPr="00DF632C" w:rsidRDefault="00782AC6" w:rsidP="00782AC6">
      <w:pPr>
        <w:rPr>
          <w:szCs w:val="24"/>
        </w:rPr>
      </w:pPr>
    </w:p>
    <w:p w:rsidR="00D32F50" w:rsidRPr="00CD53C6" w:rsidRDefault="00A4336F" w:rsidP="007D1381">
      <w:pPr>
        <w:pStyle w:val="Kop2"/>
        <w:rPr>
          <w:lang w:val="nl-BE"/>
        </w:rPr>
      </w:pPr>
      <w:bookmarkStart w:id="27" w:name="_Toc495677883"/>
      <w:r w:rsidRPr="00CD53C6">
        <w:rPr>
          <w:lang w:val="nl-BE"/>
        </w:rPr>
        <w:t xml:space="preserve">A. </w:t>
      </w:r>
      <w:r w:rsidR="00836FFF">
        <w:rPr>
          <w:lang w:val="nl-BE"/>
        </w:rPr>
        <w:t>F</w:t>
      </w:r>
      <w:r w:rsidRPr="00CD53C6">
        <w:rPr>
          <w:lang w:val="nl-BE"/>
        </w:rPr>
        <w:t>ederale loyauteit</w:t>
      </w:r>
      <w:bookmarkEnd w:id="27"/>
    </w:p>
    <w:p w:rsidR="00D32F50" w:rsidRPr="00DF632C" w:rsidRDefault="00D32F50" w:rsidP="00D32F50">
      <w:pPr>
        <w:rPr>
          <w:rFonts w:cs="Times New Roman"/>
          <w:szCs w:val="24"/>
        </w:rPr>
      </w:pPr>
    </w:p>
    <w:p w:rsidR="00D32F50" w:rsidRPr="00DF632C" w:rsidRDefault="001D12B7" w:rsidP="00D32F50">
      <w:pPr>
        <w:autoSpaceDE w:val="0"/>
        <w:adjustRightInd w:val="0"/>
        <w:rPr>
          <w:rFonts w:cs="Times New Roman"/>
          <w:szCs w:val="24"/>
        </w:rPr>
      </w:pPr>
      <w:r w:rsidRPr="00CD53C6">
        <w:rPr>
          <w:rFonts w:cs="Times New Roman"/>
          <w:b/>
          <w:szCs w:val="24"/>
        </w:rPr>
        <w:t>6</w:t>
      </w:r>
      <w:r w:rsidR="004A529A">
        <w:rPr>
          <w:rFonts w:cs="Times New Roman"/>
          <w:b/>
          <w:szCs w:val="24"/>
        </w:rPr>
        <w:t>3</w:t>
      </w:r>
      <w:r w:rsidR="00A4336F" w:rsidRPr="00CD53C6">
        <w:rPr>
          <w:rFonts w:cs="Times New Roman"/>
          <w:b/>
          <w:szCs w:val="24"/>
        </w:rPr>
        <w:t xml:space="preserve">. </w:t>
      </w:r>
      <w:r w:rsidR="00A4336F" w:rsidRPr="00CD53C6">
        <w:rPr>
          <w:rFonts w:cs="Times New Roman"/>
          <w:szCs w:val="24"/>
        </w:rPr>
        <w:tab/>
        <w:t>Overeenkomstig artikel 142, §</w:t>
      </w:r>
      <w:r w:rsidR="00625BF5">
        <w:rPr>
          <w:rFonts w:cs="Times New Roman"/>
          <w:szCs w:val="24"/>
        </w:rPr>
        <w:t xml:space="preserve"> </w:t>
      </w:r>
      <w:r w:rsidR="00A4336F" w:rsidRPr="00CD53C6">
        <w:rPr>
          <w:rFonts w:cs="Times New Roman"/>
          <w:szCs w:val="24"/>
        </w:rPr>
        <w:t xml:space="preserve">1, </w:t>
      </w:r>
      <w:r w:rsidR="00701A1B">
        <w:rPr>
          <w:rFonts w:cs="Times New Roman"/>
          <w:szCs w:val="24"/>
        </w:rPr>
        <w:t>Gw.</w:t>
      </w:r>
      <w:r w:rsidR="00A4336F" w:rsidRPr="00CD53C6">
        <w:rPr>
          <w:rFonts w:cs="Times New Roman"/>
          <w:szCs w:val="24"/>
        </w:rPr>
        <w:t xml:space="preserve"> moeten de federale overheid, de gemeenschappen, de gewesten en de Gemeenschappelijke Gemeenschapscommissie in de uitoefening van hun bevoegdheden de federale loyauteit in acht nemen. Met de Zesde Staatshervorming werd de schending van de federale loyauteit een afzonderlijke grondslag voor het aanvechten van een wet, decreet of ordonnantie voor het Grondwettelijk Hof.</w:t>
      </w:r>
      <w:r w:rsidR="00D32F50" w:rsidRPr="00DF632C">
        <w:rPr>
          <w:rStyle w:val="Voetnootmarkering"/>
          <w:rFonts w:cs="Times New Roman"/>
          <w:szCs w:val="24"/>
        </w:rPr>
        <w:footnoteReference w:id="242"/>
      </w:r>
      <w:r w:rsidR="00D32F50" w:rsidRPr="00DF632C">
        <w:rPr>
          <w:rFonts w:cs="Times New Roman"/>
          <w:szCs w:val="24"/>
        </w:rPr>
        <w:t xml:space="preserve"> Het beginsel van de federale loyauteit is hiermee ee</w:t>
      </w:r>
      <w:r w:rsidR="00A4336F" w:rsidRPr="00CD53C6">
        <w:rPr>
          <w:rFonts w:cs="Times New Roman"/>
          <w:szCs w:val="24"/>
        </w:rPr>
        <w:t>n autonome vernietigingsgrond geworden, die ook kan worden ingeroepen indien de bevoegdheidsverdelende regels werden nageleefd. Het hoeft niet te verwonderen dat het ontbreken van (of een gebrekkig) overleg en samenwerking waar dit aangewezen is hiermee het eerst in het vizier komt.</w:t>
      </w:r>
      <w:r w:rsidR="00D32F50" w:rsidRPr="00DF632C">
        <w:rPr>
          <w:rStyle w:val="Voetnootmarkering"/>
          <w:rFonts w:cs="Times New Roman"/>
          <w:szCs w:val="24"/>
        </w:rPr>
        <w:footnoteReference w:id="243"/>
      </w:r>
      <w:r w:rsidR="00D32F50" w:rsidRPr="00DF632C">
        <w:rPr>
          <w:rFonts w:cs="Times New Roman"/>
          <w:szCs w:val="24"/>
        </w:rPr>
        <w:t xml:space="preserve"> Het is immers in de wijze dat de deelstaten en de federale overheid met elkaar samenwerken en overleggen bij de uitvoering van hun eigen beleid dat </w:t>
      </w:r>
      <w:r w:rsidR="005F16CC">
        <w:rPr>
          <w:rFonts w:cs="Times New Roman"/>
          <w:szCs w:val="24"/>
        </w:rPr>
        <w:t>kan blijken</w:t>
      </w:r>
      <w:r w:rsidR="00D32F50" w:rsidRPr="00DF632C">
        <w:rPr>
          <w:rFonts w:cs="Times New Roman"/>
          <w:szCs w:val="24"/>
        </w:rPr>
        <w:t xml:space="preserve"> of </w:t>
      </w:r>
      <w:r w:rsidR="00A4336F" w:rsidRPr="00CD53C6">
        <w:rPr>
          <w:rFonts w:cs="Times New Roman"/>
          <w:szCs w:val="24"/>
        </w:rPr>
        <w:t>de federale loyauteit w</w:t>
      </w:r>
      <w:r w:rsidR="00004C80">
        <w:rPr>
          <w:rFonts w:cs="Times New Roman"/>
          <w:szCs w:val="24"/>
        </w:rPr>
        <w:t>o</w:t>
      </w:r>
      <w:r w:rsidR="00A4336F" w:rsidRPr="00CD53C6">
        <w:rPr>
          <w:rFonts w:cs="Times New Roman"/>
          <w:szCs w:val="24"/>
        </w:rPr>
        <w:t>rd</w:t>
      </w:r>
      <w:r w:rsidR="00004C80">
        <w:rPr>
          <w:rFonts w:cs="Times New Roman"/>
          <w:szCs w:val="24"/>
        </w:rPr>
        <w:t>t</w:t>
      </w:r>
      <w:r w:rsidR="00A4336F" w:rsidRPr="00CD53C6">
        <w:rPr>
          <w:rFonts w:cs="Times New Roman"/>
          <w:szCs w:val="24"/>
        </w:rPr>
        <w:t xml:space="preserve"> gerespecteerd.</w:t>
      </w:r>
    </w:p>
    <w:p w:rsidR="00D32F50" w:rsidRPr="00DF632C" w:rsidRDefault="00D32F50" w:rsidP="00D32F50">
      <w:pPr>
        <w:autoSpaceDE w:val="0"/>
        <w:adjustRightInd w:val="0"/>
        <w:rPr>
          <w:rFonts w:cs="Times New Roman"/>
          <w:szCs w:val="24"/>
        </w:rPr>
      </w:pPr>
    </w:p>
    <w:p w:rsidR="00D32F50" w:rsidRPr="00DF632C" w:rsidRDefault="001D12B7" w:rsidP="00D32F50">
      <w:pPr>
        <w:autoSpaceDE w:val="0"/>
        <w:adjustRightInd w:val="0"/>
        <w:rPr>
          <w:rFonts w:cs="Times New Roman"/>
          <w:szCs w:val="24"/>
        </w:rPr>
      </w:pPr>
      <w:r w:rsidRPr="00CD53C6">
        <w:rPr>
          <w:rFonts w:cs="Times New Roman"/>
          <w:b/>
          <w:szCs w:val="24"/>
        </w:rPr>
        <w:t>6</w:t>
      </w:r>
      <w:r w:rsidR="005F16CC">
        <w:rPr>
          <w:rFonts w:cs="Times New Roman"/>
          <w:b/>
          <w:szCs w:val="24"/>
        </w:rPr>
        <w:t>4</w:t>
      </w:r>
      <w:r w:rsidR="00A4336F" w:rsidRPr="00CD53C6">
        <w:rPr>
          <w:rFonts w:cs="Times New Roman"/>
          <w:b/>
          <w:szCs w:val="24"/>
        </w:rPr>
        <w:t>.</w:t>
      </w:r>
      <w:r w:rsidR="00A4336F" w:rsidRPr="00CD53C6">
        <w:rPr>
          <w:rFonts w:cs="Times New Roman"/>
          <w:szCs w:val="24"/>
        </w:rPr>
        <w:tab/>
      </w:r>
      <w:r w:rsidR="00977CDC">
        <w:rPr>
          <w:rFonts w:cs="Times New Roman"/>
          <w:szCs w:val="24"/>
        </w:rPr>
        <w:t xml:space="preserve">Zo rees de vraag of de aanwijzing van een Natura 2000-gebied </w:t>
      </w:r>
      <w:r w:rsidR="00A4336F" w:rsidRPr="00CD53C6">
        <w:rPr>
          <w:rFonts w:cs="Times New Roman"/>
          <w:szCs w:val="24"/>
        </w:rPr>
        <w:t xml:space="preserve">betrekking </w:t>
      </w:r>
      <w:r w:rsidR="00977CDC">
        <w:rPr>
          <w:rFonts w:cs="Times New Roman"/>
          <w:szCs w:val="24"/>
        </w:rPr>
        <w:t xml:space="preserve">had </w:t>
      </w:r>
      <w:r w:rsidR="00A4336F" w:rsidRPr="00CD53C6">
        <w:rPr>
          <w:rFonts w:cs="Times New Roman"/>
          <w:szCs w:val="24"/>
        </w:rPr>
        <w:t xml:space="preserve">op een gewestgrensoverschrijdend bos, in welk geval het </w:t>
      </w:r>
      <w:r w:rsidR="00977CDC">
        <w:rPr>
          <w:rFonts w:cs="Times New Roman"/>
          <w:szCs w:val="24"/>
        </w:rPr>
        <w:t xml:space="preserve">betrokken </w:t>
      </w:r>
      <w:r w:rsidR="00A4336F" w:rsidRPr="00CD53C6">
        <w:rPr>
          <w:rFonts w:cs="Times New Roman"/>
          <w:szCs w:val="24"/>
        </w:rPr>
        <w:t>ontwerp het voorwerp moest uitmaken van een voorafgaand overleg tussen de betrokken gewestregeringen (art. 6, §</w:t>
      </w:r>
      <w:r w:rsidR="00977CDC">
        <w:rPr>
          <w:rFonts w:cs="Times New Roman"/>
          <w:szCs w:val="24"/>
        </w:rPr>
        <w:t xml:space="preserve"> </w:t>
      </w:r>
      <w:r w:rsidR="00A4336F" w:rsidRPr="00CD53C6">
        <w:rPr>
          <w:rFonts w:cs="Times New Roman"/>
          <w:szCs w:val="24"/>
        </w:rPr>
        <w:t>2, 1°, BWHI). De Raad van State meende uit een aantal elementen af te leiden dat dit het geval was, maar oordeelde dat zelf</w:t>
      </w:r>
      <w:r w:rsidR="00004C80">
        <w:rPr>
          <w:rFonts w:cs="Times New Roman"/>
          <w:szCs w:val="24"/>
        </w:rPr>
        <w:t>s</w:t>
      </w:r>
      <w:r w:rsidR="00A4336F" w:rsidRPr="00CD53C6">
        <w:rPr>
          <w:rFonts w:cs="Times New Roman"/>
          <w:szCs w:val="24"/>
        </w:rPr>
        <w:t xml:space="preserve"> indien dit niet het geval zou zijn het ontwerp alsnog het voorwerp moest uitmaken van een overleg met het Vlaamse Gewest maar dan op basis van het beginsel van de federale loyauteit.</w:t>
      </w:r>
      <w:r w:rsidR="00D32F50" w:rsidRPr="00DF632C">
        <w:rPr>
          <w:rStyle w:val="Voetnootmarkering"/>
          <w:rFonts w:cs="Times New Roman"/>
          <w:szCs w:val="24"/>
        </w:rPr>
        <w:footnoteReference w:id="244"/>
      </w:r>
    </w:p>
    <w:p w:rsidR="00D32F50" w:rsidRPr="00DF632C" w:rsidRDefault="00D32F50" w:rsidP="00D32F50">
      <w:pPr>
        <w:autoSpaceDE w:val="0"/>
        <w:adjustRightInd w:val="0"/>
        <w:rPr>
          <w:rFonts w:cs="Times New Roman"/>
          <w:szCs w:val="24"/>
        </w:rPr>
      </w:pPr>
    </w:p>
    <w:p w:rsidR="00D32F50" w:rsidRPr="00DF632C" w:rsidRDefault="001D12B7" w:rsidP="00D32F50">
      <w:pPr>
        <w:autoSpaceDE w:val="0"/>
        <w:adjustRightInd w:val="0"/>
        <w:rPr>
          <w:rFonts w:cs="Times New Roman"/>
          <w:szCs w:val="24"/>
        </w:rPr>
      </w:pPr>
      <w:r w:rsidRPr="00CD53C6">
        <w:rPr>
          <w:rFonts w:cs="Times New Roman"/>
          <w:b/>
          <w:szCs w:val="24"/>
        </w:rPr>
        <w:t>6</w:t>
      </w:r>
      <w:r w:rsidR="004E7AAB">
        <w:rPr>
          <w:rFonts w:cs="Times New Roman"/>
          <w:b/>
          <w:szCs w:val="24"/>
        </w:rPr>
        <w:t>5</w:t>
      </w:r>
      <w:r w:rsidR="00A4336F" w:rsidRPr="00CD53C6">
        <w:rPr>
          <w:rFonts w:cs="Times New Roman"/>
          <w:b/>
          <w:szCs w:val="24"/>
        </w:rPr>
        <w:t>.</w:t>
      </w:r>
      <w:r w:rsidR="00A4336F" w:rsidRPr="00CD53C6">
        <w:rPr>
          <w:rFonts w:cs="Times New Roman"/>
          <w:szCs w:val="24"/>
        </w:rPr>
        <w:tab/>
        <w:t>De Raad van State had eerder al geoordeeld dat het beginsel van federale loyauteit een positieve verplichting tot overleg en samenwerking inhoudt. Zo zal het opzeggen van samenwerkingsakkoord of een gemeenschappelijk decreet (en ordonnantie) – indien in die mogelijkheid is voorzien – in elk geval overleg vereisen tussen de partijen, waarbij de partij die wenst op te zeggen moet nagaan welke gevolgen de opheffing voor de andere partijen</w:t>
      </w:r>
      <w:r w:rsidR="00004C80" w:rsidRPr="009A45E4">
        <w:rPr>
          <w:rFonts w:cs="Times New Roman"/>
          <w:szCs w:val="24"/>
        </w:rPr>
        <w:t xml:space="preserve"> heeft</w:t>
      </w:r>
      <w:r w:rsidR="00A4336F" w:rsidRPr="00CD53C6">
        <w:rPr>
          <w:rFonts w:cs="Times New Roman"/>
          <w:szCs w:val="24"/>
        </w:rPr>
        <w:t>.</w:t>
      </w:r>
      <w:r w:rsidR="00D32F50" w:rsidRPr="00DF632C">
        <w:rPr>
          <w:rStyle w:val="Voetnootmarkering"/>
          <w:rFonts w:cs="Times New Roman"/>
          <w:szCs w:val="24"/>
        </w:rPr>
        <w:footnoteReference w:id="245"/>
      </w:r>
    </w:p>
    <w:p w:rsidR="00D32F50" w:rsidRPr="00DF632C" w:rsidRDefault="00D32F50" w:rsidP="00D32F50">
      <w:pPr>
        <w:autoSpaceDE w:val="0"/>
        <w:adjustRightInd w:val="0"/>
        <w:rPr>
          <w:rFonts w:cs="Times New Roman"/>
          <w:szCs w:val="24"/>
        </w:rPr>
      </w:pPr>
    </w:p>
    <w:p w:rsidR="00D32F50" w:rsidRPr="00CD53C6" w:rsidRDefault="00A4336F" w:rsidP="007D1381">
      <w:pPr>
        <w:pStyle w:val="Kop2"/>
        <w:rPr>
          <w:b w:val="0"/>
          <w:lang w:val="nl-BE"/>
        </w:rPr>
      </w:pPr>
      <w:bookmarkStart w:id="28" w:name="_Toc495677884"/>
      <w:r w:rsidRPr="00CD53C6">
        <w:rPr>
          <w:lang w:val="nl-BE"/>
        </w:rPr>
        <w:t>B. Eenzijdige opzegging van een samenwerkingsakkoord</w:t>
      </w:r>
      <w:bookmarkEnd w:id="28"/>
    </w:p>
    <w:p w:rsidR="00D32F50" w:rsidRPr="00DF632C" w:rsidRDefault="00D32F50" w:rsidP="00D32F50">
      <w:pPr>
        <w:autoSpaceDE w:val="0"/>
        <w:adjustRightInd w:val="0"/>
        <w:rPr>
          <w:rFonts w:cs="Times New Roman"/>
          <w:b/>
          <w:szCs w:val="24"/>
        </w:rPr>
      </w:pPr>
    </w:p>
    <w:p w:rsidR="00D32F50" w:rsidRPr="00DF632C" w:rsidRDefault="001D12B7" w:rsidP="00D32F50">
      <w:pPr>
        <w:autoSpaceDE w:val="0"/>
        <w:adjustRightInd w:val="0"/>
        <w:rPr>
          <w:rFonts w:cs="Times New Roman"/>
          <w:szCs w:val="24"/>
          <w:vertAlign w:val="superscript"/>
        </w:rPr>
      </w:pPr>
      <w:r w:rsidRPr="00CD53C6">
        <w:rPr>
          <w:rFonts w:cs="Times New Roman"/>
          <w:b/>
          <w:szCs w:val="24"/>
        </w:rPr>
        <w:t>6</w:t>
      </w:r>
      <w:r w:rsidR="00426838">
        <w:rPr>
          <w:rFonts w:cs="Times New Roman"/>
          <w:b/>
          <w:szCs w:val="24"/>
        </w:rPr>
        <w:t>6</w:t>
      </w:r>
      <w:r w:rsidR="00A4336F" w:rsidRPr="00CD53C6">
        <w:rPr>
          <w:rFonts w:cs="Times New Roman"/>
          <w:b/>
          <w:szCs w:val="24"/>
        </w:rPr>
        <w:t>.</w:t>
      </w:r>
      <w:r w:rsidR="00A4336F" w:rsidRPr="00CD53C6">
        <w:rPr>
          <w:rFonts w:cs="Times New Roman"/>
          <w:szCs w:val="24"/>
        </w:rPr>
        <w:tab/>
      </w:r>
      <w:r w:rsidR="00426838">
        <w:rPr>
          <w:rFonts w:cs="Times New Roman"/>
          <w:szCs w:val="24"/>
        </w:rPr>
        <w:t>D</w:t>
      </w:r>
      <w:r w:rsidR="00A4336F" w:rsidRPr="00CD53C6">
        <w:rPr>
          <w:rFonts w:cs="Times New Roman"/>
          <w:szCs w:val="24"/>
        </w:rPr>
        <w:t>e mogelijkheid om een samenwerkingsakkoord eenzijdig op te zeggen</w:t>
      </w:r>
      <w:r w:rsidR="00426838">
        <w:rPr>
          <w:rFonts w:cs="Times New Roman"/>
          <w:szCs w:val="24"/>
        </w:rPr>
        <w:t xml:space="preserve"> is een heikel thema</w:t>
      </w:r>
      <w:r w:rsidR="00A4336F" w:rsidRPr="00CD53C6">
        <w:rPr>
          <w:rFonts w:cs="Times New Roman"/>
          <w:szCs w:val="24"/>
        </w:rPr>
        <w:t>. Voor het instrument van het gezamenlijke decreten (en ordonnantie</w:t>
      </w:r>
      <w:r w:rsidR="004E1DCE">
        <w:rPr>
          <w:rFonts w:cs="Times New Roman"/>
          <w:szCs w:val="24"/>
        </w:rPr>
        <w:t>s</w:t>
      </w:r>
      <w:r w:rsidR="00A4336F" w:rsidRPr="00CD53C6">
        <w:rPr>
          <w:rFonts w:cs="Times New Roman"/>
          <w:szCs w:val="24"/>
        </w:rPr>
        <w:t xml:space="preserve">) is deze vraag </w:t>
      </w:r>
      <w:r w:rsidR="004E1DCE">
        <w:rPr>
          <w:rFonts w:cs="Times New Roman"/>
          <w:szCs w:val="24"/>
        </w:rPr>
        <w:t xml:space="preserve">uitdrukkelijk </w:t>
      </w:r>
      <w:r w:rsidR="00A4336F" w:rsidRPr="00CD53C6">
        <w:rPr>
          <w:rFonts w:cs="Times New Roman"/>
          <w:szCs w:val="24"/>
        </w:rPr>
        <w:t xml:space="preserve">door de bijzondere wet beantwoord: gezamenlijke decreten kunnen worden opgeheven door een gezamenlijk decreet dat door dezelfde parlementen wordt aangenomen of door een decreet dat door één van de betrokken parlementen </w:t>
      </w:r>
      <w:r w:rsidR="00004C80">
        <w:rPr>
          <w:rFonts w:cs="Times New Roman"/>
          <w:szCs w:val="24"/>
        </w:rPr>
        <w:t xml:space="preserve">– </w:t>
      </w:r>
      <w:r w:rsidR="00A4336F" w:rsidRPr="00CD53C6">
        <w:rPr>
          <w:rFonts w:cs="Times New Roman"/>
          <w:szCs w:val="24"/>
        </w:rPr>
        <w:t xml:space="preserve">na overleg </w:t>
      </w:r>
      <w:r w:rsidR="00004C80">
        <w:rPr>
          <w:rFonts w:cs="Times New Roman"/>
          <w:szCs w:val="24"/>
        </w:rPr>
        <w:t xml:space="preserve">– wordt aangenomen </w:t>
      </w:r>
      <w:r w:rsidR="00A4336F" w:rsidRPr="00CD53C6">
        <w:rPr>
          <w:rFonts w:cs="Times New Roman"/>
          <w:szCs w:val="24"/>
        </w:rPr>
        <w:t>(art. 92</w:t>
      </w:r>
      <w:r w:rsidR="00A4336F" w:rsidRPr="00CD53C6">
        <w:rPr>
          <w:rFonts w:cs="Times New Roman"/>
          <w:i/>
          <w:szCs w:val="24"/>
        </w:rPr>
        <w:t>bis</w:t>
      </w:r>
      <w:r w:rsidR="00A4336F" w:rsidRPr="00CD53C6">
        <w:rPr>
          <w:rFonts w:cs="Times New Roman"/>
          <w:szCs w:val="24"/>
        </w:rPr>
        <w:t>/1, §</w:t>
      </w:r>
      <w:r w:rsidR="004E1DCE">
        <w:rPr>
          <w:rFonts w:cs="Times New Roman"/>
          <w:szCs w:val="24"/>
        </w:rPr>
        <w:t xml:space="preserve"> </w:t>
      </w:r>
      <w:r w:rsidR="00A4336F" w:rsidRPr="00CD53C6">
        <w:rPr>
          <w:rFonts w:cs="Times New Roman"/>
          <w:szCs w:val="24"/>
        </w:rPr>
        <w:t xml:space="preserve">4, tweede lid, BWHI). De bijzondere wetgever ging hierbij van de veronderstelling uit dat hij hiermee </w:t>
      </w:r>
      <w:r w:rsidR="00004C80">
        <w:rPr>
          <w:rFonts w:cs="Times New Roman"/>
          <w:szCs w:val="24"/>
        </w:rPr>
        <w:t xml:space="preserve">de regels voor opzegging van samenwerkingsakkoorden </w:t>
      </w:r>
      <w:r w:rsidR="00A4336F" w:rsidRPr="00CD53C6">
        <w:rPr>
          <w:rFonts w:cs="Times New Roman"/>
          <w:szCs w:val="24"/>
        </w:rPr>
        <w:t>naar analogie toepas</w:t>
      </w:r>
      <w:r w:rsidR="00004C80">
        <w:rPr>
          <w:rFonts w:cs="Times New Roman"/>
          <w:szCs w:val="24"/>
        </w:rPr>
        <w:t>te.</w:t>
      </w:r>
      <w:r w:rsidR="00D32F50" w:rsidRPr="00DF632C">
        <w:rPr>
          <w:rStyle w:val="Voetnootmarkering"/>
          <w:rFonts w:cs="Times New Roman"/>
          <w:szCs w:val="24"/>
        </w:rPr>
        <w:footnoteReference w:id="246"/>
      </w:r>
      <w:r w:rsidR="00D32F50" w:rsidRPr="00DF632C">
        <w:rPr>
          <w:rFonts w:cs="Times New Roman"/>
          <w:szCs w:val="24"/>
        </w:rPr>
        <w:t xml:space="preserve"> </w:t>
      </w:r>
    </w:p>
    <w:p w:rsidR="00D32F50" w:rsidRPr="00DF632C" w:rsidRDefault="00D32F50" w:rsidP="00D32F50">
      <w:pPr>
        <w:autoSpaceDE w:val="0"/>
        <w:adjustRightInd w:val="0"/>
        <w:rPr>
          <w:rFonts w:cs="Times New Roman"/>
          <w:szCs w:val="24"/>
        </w:rPr>
      </w:pPr>
    </w:p>
    <w:p w:rsidR="00D32F50" w:rsidRPr="00DF632C" w:rsidRDefault="00A4336F" w:rsidP="00D32F50">
      <w:pPr>
        <w:autoSpaceDE w:val="0"/>
        <w:adjustRightInd w:val="0"/>
        <w:rPr>
          <w:rFonts w:cs="Times New Roman"/>
          <w:szCs w:val="24"/>
        </w:rPr>
      </w:pPr>
      <w:r w:rsidRPr="00CD53C6">
        <w:rPr>
          <w:rFonts w:cs="Times New Roman"/>
          <w:szCs w:val="24"/>
        </w:rPr>
        <w:t>De Raad van State heeft in zijn adviespraktijk evenwel nog geen duidelijk standpunt ingenomen over de vraag of samenwerkingsakkoorden eenzijdig kunnen worden opgezegd althans in geval daar niet uitdrukkelijk in is voorzien. In sommige adviezen neigt de Raad eerder naar een strikte handhaving van het</w:t>
      </w:r>
      <w:r w:rsidR="00004C80">
        <w:rPr>
          <w:rFonts w:cs="Times New Roman"/>
          <w:szCs w:val="24"/>
        </w:rPr>
        <w:t xml:space="preserve"> beginsel</w:t>
      </w:r>
      <w:r w:rsidRPr="00CD53C6">
        <w:rPr>
          <w:rFonts w:cs="Times New Roman"/>
          <w:szCs w:val="24"/>
        </w:rPr>
        <w:t xml:space="preserve"> </w:t>
      </w:r>
      <w:r w:rsidRPr="00CD53C6">
        <w:rPr>
          <w:rFonts w:cs="Times New Roman"/>
          <w:i/>
          <w:szCs w:val="24"/>
        </w:rPr>
        <w:t>pacta sunt servanda</w:t>
      </w:r>
      <w:r w:rsidRPr="00CD53C6">
        <w:rPr>
          <w:rFonts w:cs="Times New Roman"/>
          <w:szCs w:val="24"/>
        </w:rPr>
        <w:t xml:space="preserve">, in andere adviezen geeft hij gevolg aan een argument </w:t>
      </w:r>
      <w:r w:rsidR="00004C80">
        <w:rPr>
          <w:rFonts w:cs="Times New Roman"/>
          <w:szCs w:val="24"/>
        </w:rPr>
        <w:t xml:space="preserve">gebaseerd op het beginsel </w:t>
      </w:r>
      <w:r w:rsidRPr="00CD53C6">
        <w:rPr>
          <w:rFonts w:cs="Times New Roman"/>
          <w:i/>
          <w:szCs w:val="24"/>
        </w:rPr>
        <w:t xml:space="preserve">rebus sic stantibus </w:t>
      </w:r>
      <w:r w:rsidRPr="00CD53C6">
        <w:rPr>
          <w:rFonts w:cs="Times New Roman"/>
          <w:szCs w:val="24"/>
        </w:rPr>
        <w:t xml:space="preserve">en nog in andere adviezen lijkt de nadruk eerder te liggen bij het handhaven van de autonomie van de betrokken partijen. De krijtlijnen tussen elk van deze beginselen worden </w:t>
      </w:r>
      <w:r w:rsidR="00004C80">
        <w:rPr>
          <w:rFonts w:cs="Times New Roman"/>
          <w:szCs w:val="24"/>
        </w:rPr>
        <w:t xml:space="preserve">evenwel niet </w:t>
      </w:r>
      <w:r w:rsidRPr="00CD53C6">
        <w:rPr>
          <w:rFonts w:cs="Times New Roman"/>
          <w:szCs w:val="24"/>
        </w:rPr>
        <w:t>uiteengezet.</w:t>
      </w:r>
      <w:r w:rsidR="00D32F50" w:rsidRPr="00DF632C">
        <w:rPr>
          <w:rStyle w:val="Voetnootmarkering"/>
          <w:rFonts w:cs="Times New Roman"/>
          <w:szCs w:val="24"/>
        </w:rPr>
        <w:footnoteReference w:id="247"/>
      </w:r>
      <w:r w:rsidR="00D32F50" w:rsidRPr="00DF632C">
        <w:rPr>
          <w:rFonts w:cs="Times New Roman"/>
          <w:szCs w:val="24"/>
        </w:rPr>
        <w:t xml:space="preserve"> In het hierna </w:t>
      </w:r>
      <w:r w:rsidR="00CE1FBF">
        <w:rPr>
          <w:rFonts w:cs="Times New Roman"/>
          <w:szCs w:val="24"/>
        </w:rPr>
        <w:t xml:space="preserve">(nr. </w:t>
      </w:r>
      <w:r w:rsidR="00CE1FBF" w:rsidRPr="00CD53C6">
        <w:rPr>
          <w:rFonts w:cs="Times New Roman"/>
          <w:szCs w:val="24"/>
          <w:highlight w:val="yellow"/>
        </w:rPr>
        <w:t>67</w:t>
      </w:r>
      <w:r w:rsidR="00CE1FBF">
        <w:rPr>
          <w:rFonts w:cs="Times New Roman"/>
          <w:szCs w:val="24"/>
        </w:rPr>
        <w:t xml:space="preserve">) </w:t>
      </w:r>
      <w:r w:rsidR="00D32F50" w:rsidRPr="00DF632C">
        <w:rPr>
          <w:rFonts w:cs="Times New Roman"/>
          <w:szCs w:val="24"/>
        </w:rPr>
        <w:t xml:space="preserve">besproken advies heeft de algemene vergadering </w:t>
      </w:r>
      <w:r w:rsidR="00CE1FBF">
        <w:rPr>
          <w:rFonts w:cs="Times New Roman"/>
          <w:szCs w:val="24"/>
        </w:rPr>
        <w:t xml:space="preserve">zelfs </w:t>
      </w:r>
      <w:r w:rsidR="00D32F50" w:rsidRPr="00DF632C">
        <w:rPr>
          <w:rFonts w:cs="Times New Roman"/>
          <w:szCs w:val="24"/>
        </w:rPr>
        <w:t xml:space="preserve">uitdrukkelijk het voorbehoud geformuleerd dat </w:t>
      </w:r>
      <w:r w:rsidR="00CE1FBF">
        <w:rPr>
          <w:rFonts w:cs="Times New Roman"/>
          <w:szCs w:val="24"/>
        </w:rPr>
        <w:t>ze</w:t>
      </w:r>
      <w:r w:rsidR="00CE1FBF" w:rsidRPr="00DF632C">
        <w:rPr>
          <w:rFonts w:cs="Times New Roman"/>
          <w:szCs w:val="24"/>
        </w:rPr>
        <w:t xml:space="preserve"> </w:t>
      </w:r>
      <w:r w:rsidR="00D32F50" w:rsidRPr="00DF632C">
        <w:rPr>
          <w:rFonts w:cs="Times New Roman"/>
          <w:szCs w:val="24"/>
        </w:rPr>
        <w:t>zich niet uitsprak over de vraag naar de toel</w:t>
      </w:r>
      <w:r w:rsidRPr="00CD53C6">
        <w:rPr>
          <w:rFonts w:cs="Times New Roman"/>
          <w:szCs w:val="24"/>
        </w:rPr>
        <w:t>aatbaarheid van een eenzijdig opzegg</w:t>
      </w:r>
      <w:r w:rsidR="00004C80">
        <w:rPr>
          <w:rFonts w:cs="Times New Roman"/>
          <w:szCs w:val="24"/>
        </w:rPr>
        <w:t>i</w:t>
      </w:r>
      <w:r w:rsidRPr="00CD53C6">
        <w:rPr>
          <w:rFonts w:cs="Times New Roman"/>
          <w:szCs w:val="24"/>
        </w:rPr>
        <w:t>n</w:t>
      </w:r>
      <w:r w:rsidR="00004C80">
        <w:rPr>
          <w:rFonts w:cs="Times New Roman"/>
          <w:szCs w:val="24"/>
        </w:rPr>
        <w:t>g</w:t>
      </w:r>
      <w:r w:rsidRPr="00CD53C6">
        <w:rPr>
          <w:rFonts w:cs="Times New Roman"/>
          <w:szCs w:val="24"/>
        </w:rPr>
        <w:t xml:space="preserve"> indien het samenwerkingsakkoord daar niet in voorziet.</w:t>
      </w:r>
      <w:r w:rsidR="00D32F50" w:rsidRPr="00DF632C">
        <w:rPr>
          <w:rStyle w:val="Voetnootmarkering"/>
          <w:rFonts w:cs="Times New Roman"/>
          <w:szCs w:val="24"/>
        </w:rPr>
        <w:footnoteReference w:id="248"/>
      </w:r>
      <w:r w:rsidR="00D32F50" w:rsidRPr="00DF632C">
        <w:rPr>
          <w:rFonts w:cs="Times New Roman"/>
          <w:szCs w:val="24"/>
        </w:rPr>
        <w:t xml:space="preserve"> Daarmee staat het </w:t>
      </w:r>
      <w:r w:rsidR="00004C80">
        <w:rPr>
          <w:rFonts w:cs="Times New Roman"/>
          <w:szCs w:val="24"/>
        </w:rPr>
        <w:t xml:space="preserve">uitklaren van dit </w:t>
      </w:r>
      <w:r w:rsidR="00D32F50" w:rsidRPr="00DF632C">
        <w:rPr>
          <w:rFonts w:cs="Times New Roman"/>
          <w:szCs w:val="24"/>
        </w:rPr>
        <w:t>knelpunt natuurlijk wel op de agenda.</w:t>
      </w:r>
      <w:r w:rsidR="00D32F50" w:rsidRPr="00DF632C">
        <w:rPr>
          <w:rStyle w:val="Voetnootmarkering"/>
          <w:rFonts w:cs="Times New Roman"/>
          <w:szCs w:val="24"/>
        </w:rPr>
        <w:footnoteReference w:id="249"/>
      </w:r>
      <w:r w:rsidR="00D32F50" w:rsidRPr="00DF632C">
        <w:rPr>
          <w:rFonts w:cs="Times New Roman"/>
          <w:szCs w:val="24"/>
        </w:rPr>
        <w:t xml:space="preserve"> </w:t>
      </w:r>
    </w:p>
    <w:p w:rsidR="007D1381" w:rsidRPr="00DF632C" w:rsidRDefault="007D1381" w:rsidP="00D32F50">
      <w:pPr>
        <w:autoSpaceDE w:val="0"/>
        <w:adjustRightInd w:val="0"/>
        <w:rPr>
          <w:rFonts w:cs="Times New Roman"/>
          <w:szCs w:val="24"/>
        </w:rPr>
      </w:pPr>
    </w:p>
    <w:p w:rsidR="00D32F50" w:rsidRPr="00DF632C" w:rsidRDefault="00A4336F" w:rsidP="00D32F50">
      <w:pPr>
        <w:autoSpaceDE w:val="0"/>
        <w:adjustRightInd w:val="0"/>
        <w:rPr>
          <w:rFonts w:cs="Times New Roman"/>
          <w:szCs w:val="24"/>
        </w:rPr>
      </w:pPr>
      <w:r w:rsidRPr="00CD53C6">
        <w:rPr>
          <w:rFonts w:cs="Times New Roman"/>
          <w:szCs w:val="24"/>
        </w:rPr>
        <w:t xml:space="preserve">In afwachting dat hier duidelijkheid over wordt gecreëerd doen de partijen er goed aan om bij het sluiten van een samenwerkingsakkoord zelf uitdrukkelijk te </w:t>
      </w:r>
      <w:r w:rsidR="00BC4A0F">
        <w:rPr>
          <w:rFonts w:cs="Times New Roman"/>
          <w:szCs w:val="24"/>
        </w:rPr>
        <w:t>bepalen</w:t>
      </w:r>
      <w:r w:rsidR="00BC4A0F" w:rsidRPr="00CD53C6">
        <w:rPr>
          <w:rFonts w:cs="Times New Roman"/>
          <w:szCs w:val="24"/>
        </w:rPr>
        <w:t xml:space="preserve"> </w:t>
      </w:r>
      <w:r w:rsidRPr="00CD53C6">
        <w:rPr>
          <w:rFonts w:cs="Times New Roman"/>
          <w:szCs w:val="24"/>
        </w:rPr>
        <w:t xml:space="preserve">of het </w:t>
      </w:r>
      <w:r w:rsidRPr="00CD53C6">
        <w:rPr>
          <w:rFonts w:cs="Times New Roman"/>
          <w:szCs w:val="24"/>
        </w:rPr>
        <w:lastRenderedPageBreak/>
        <w:t xml:space="preserve">samenwerkingsakkoord eenzijdig kan worden opgezegd door </w:t>
      </w:r>
      <w:r w:rsidR="00A37119">
        <w:rPr>
          <w:rFonts w:cs="Times New Roman"/>
          <w:szCs w:val="24"/>
        </w:rPr>
        <w:t>éé</w:t>
      </w:r>
      <w:r w:rsidRPr="00CD53C6">
        <w:rPr>
          <w:rFonts w:cs="Times New Roman"/>
          <w:szCs w:val="24"/>
        </w:rPr>
        <w:t>n van de partijen, en zo ja, onder welke voorwaarden. De Raad van State stel</w:t>
      </w:r>
      <w:r w:rsidR="00BC4A0F">
        <w:rPr>
          <w:rFonts w:cs="Times New Roman"/>
          <w:szCs w:val="24"/>
        </w:rPr>
        <w:t>de</w:t>
      </w:r>
      <w:r w:rsidRPr="00CD53C6">
        <w:rPr>
          <w:rFonts w:cs="Times New Roman"/>
          <w:szCs w:val="24"/>
        </w:rPr>
        <w:t xml:space="preserve"> de</w:t>
      </w:r>
      <w:r w:rsidR="004B3198">
        <w:rPr>
          <w:rFonts w:cs="Times New Roman"/>
          <w:szCs w:val="24"/>
        </w:rPr>
        <w:t>rgelijke</w:t>
      </w:r>
      <w:r w:rsidRPr="00CD53C6">
        <w:rPr>
          <w:rFonts w:cs="Times New Roman"/>
          <w:szCs w:val="24"/>
        </w:rPr>
        <w:t xml:space="preserve"> afspraken tussen de partijen </w:t>
      </w:r>
      <w:r w:rsidR="00A37119">
        <w:rPr>
          <w:rFonts w:cs="Times New Roman"/>
          <w:szCs w:val="24"/>
        </w:rPr>
        <w:t>immers</w:t>
      </w:r>
      <w:r w:rsidRPr="00CD53C6">
        <w:rPr>
          <w:rFonts w:cs="Times New Roman"/>
          <w:szCs w:val="24"/>
        </w:rPr>
        <w:t xml:space="preserve"> </w:t>
      </w:r>
      <w:r w:rsidR="00BC4A0F">
        <w:rPr>
          <w:rFonts w:cs="Times New Roman"/>
          <w:szCs w:val="24"/>
        </w:rPr>
        <w:t>alvast</w:t>
      </w:r>
      <w:r w:rsidRPr="00CD53C6">
        <w:rPr>
          <w:rFonts w:cs="Times New Roman"/>
          <w:szCs w:val="24"/>
        </w:rPr>
        <w:t xml:space="preserve"> niet in vraag.</w:t>
      </w:r>
      <w:r w:rsidR="00D32F50" w:rsidRPr="00DF632C">
        <w:rPr>
          <w:rStyle w:val="Voetnootmarkering"/>
          <w:rFonts w:cs="Times New Roman"/>
          <w:szCs w:val="24"/>
        </w:rPr>
        <w:footnoteReference w:id="250"/>
      </w:r>
    </w:p>
    <w:p w:rsidR="00D32F50" w:rsidRPr="00DF632C" w:rsidRDefault="00D32F50" w:rsidP="00D32F50">
      <w:pPr>
        <w:autoSpaceDE w:val="0"/>
        <w:adjustRightInd w:val="0"/>
        <w:rPr>
          <w:rFonts w:cs="Times New Roman"/>
          <w:szCs w:val="24"/>
        </w:rPr>
      </w:pPr>
    </w:p>
    <w:p w:rsidR="00D32F50" w:rsidRPr="00CD53C6" w:rsidRDefault="00A4336F" w:rsidP="007D1381">
      <w:pPr>
        <w:pStyle w:val="Kop2"/>
        <w:rPr>
          <w:lang w:val="nl-BE"/>
        </w:rPr>
      </w:pPr>
      <w:bookmarkStart w:id="29" w:name="_Toc495677885"/>
      <w:r w:rsidRPr="00CD53C6">
        <w:rPr>
          <w:lang w:val="nl-BE"/>
        </w:rPr>
        <w:t>C. Parlementaire instemming voor opzeggen samenwerkingsakkoord</w:t>
      </w:r>
      <w:bookmarkEnd w:id="29"/>
    </w:p>
    <w:p w:rsidR="00D32F50" w:rsidRPr="00DF632C" w:rsidRDefault="00D32F50" w:rsidP="00D32F50">
      <w:pPr>
        <w:pStyle w:val="Normaalweb"/>
        <w:spacing w:before="2" w:after="2"/>
        <w:rPr>
          <w:rFonts w:ascii="Times New Roman" w:hAnsi="Times New Roman"/>
          <w:sz w:val="24"/>
          <w:szCs w:val="24"/>
          <w:lang w:val="nl-BE"/>
        </w:rPr>
      </w:pPr>
    </w:p>
    <w:p w:rsidR="00D32F50" w:rsidRPr="00262AA8" w:rsidRDefault="001D12B7" w:rsidP="00BC4A0F">
      <w:pPr>
        <w:pStyle w:val="Normaalweb"/>
        <w:spacing w:before="2" w:after="2"/>
        <w:rPr>
          <w:rFonts w:ascii="Times New Roman" w:hAnsi="Times New Roman"/>
          <w:sz w:val="24"/>
          <w:lang w:val="nl-BE"/>
        </w:rPr>
      </w:pPr>
      <w:r w:rsidRPr="00CD53C6">
        <w:rPr>
          <w:rFonts w:ascii="Times New Roman" w:hAnsi="Times New Roman"/>
          <w:b/>
          <w:sz w:val="24"/>
          <w:szCs w:val="24"/>
          <w:lang w:val="nl-BE"/>
        </w:rPr>
        <w:t>6</w:t>
      </w:r>
      <w:r w:rsidR="00CE1FBF">
        <w:rPr>
          <w:rFonts w:ascii="Times New Roman" w:hAnsi="Times New Roman"/>
          <w:b/>
          <w:sz w:val="24"/>
          <w:szCs w:val="24"/>
          <w:lang w:val="nl-BE"/>
        </w:rPr>
        <w:t>7.</w:t>
      </w:r>
      <w:r w:rsidR="00A4336F" w:rsidRPr="00CD53C6">
        <w:rPr>
          <w:rFonts w:ascii="Times New Roman" w:hAnsi="Times New Roman"/>
          <w:sz w:val="24"/>
          <w:szCs w:val="24"/>
          <w:lang w:val="nl-BE"/>
        </w:rPr>
        <w:tab/>
        <w:t xml:space="preserve">In </w:t>
      </w:r>
      <w:r w:rsidR="00BC4A0F">
        <w:rPr>
          <w:rFonts w:ascii="Times New Roman" w:hAnsi="Times New Roman"/>
          <w:sz w:val="24"/>
          <w:szCs w:val="24"/>
          <w:lang w:val="nl-BE"/>
        </w:rPr>
        <w:t xml:space="preserve">een </w:t>
      </w:r>
      <w:r w:rsidR="00A4336F" w:rsidRPr="00CD53C6">
        <w:rPr>
          <w:rFonts w:ascii="Times New Roman" w:hAnsi="Times New Roman"/>
          <w:sz w:val="24"/>
          <w:szCs w:val="24"/>
          <w:lang w:val="nl-BE"/>
        </w:rPr>
        <w:t xml:space="preserve">advies </w:t>
      </w:r>
      <w:r w:rsidR="00BC4A0F">
        <w:rPr>
          <w:rFonts w:ascii="Times New Roman" w:hAnsi="Times New Roman"/>
          <w:sz w:val="24"/>
          <w:szCs w:val="24"/>
          <w:lang w:val="nl-BE"/>
        </w:rPr>
        <w:t xml:space="preserve">over een ontwerpbesluit van de Waalse Regering tot opzegging van een samenwerkingsakkoord </w:t>
      </w:r>
      <w:r w:rsidR="00A4336F" w:rsidRPr="00CD53C6">
        <w:rPr>
          <w:rFonts w:ascii="Times New Roman" w:hAnsi="Times New Roman"/>
          <w:sz w:val="24"/>
          <w:szCs w:val="24"/>
          <w:lang w:val="nl-BE"/>
        </w:rPr>
        <w:t xml:space="preserve">rees de vraag </w:t>
      </w:r>
      <w:r w:rsidR="00BC4A0F">
        <w:rPr>
          <w:rFonts w:ascii="Times New Roman" w:hAnsi="Times New Roman"/>
          <w:sz w:val="24"/>
          <w:szCs w:val="24"/>
          <w:lang w:val="nl-BE"/>
        </w:rPr>
        <w:t>wie bevoegd is voor die opzegging en welke procedure daarvoor moet worden gevolgd, in het bijzonder wanneer het gaat om een samenwerkingsakkoord waarmee de betrokken parlementen hadden ingestemd</w:t>
      </w:r>
      <w:r w:rsidR="00A4336F" w:rsidRPr="00CD53C6">
        <w:rPr>
          <w:rFonts w:ascii="Times New Roman" w:hAnsi="Times New Roman"/>
          <w:sz w:val="24"/>
          <w:szCs w:val="24"/>
          <w:lang w:val="nl-BE"/>
        </w:rPr>
        <w:t xml:space="preserve">. Aangezien de bijzondere wet geen </w:t>
      </w:r>
      <w:r w:rsidR="00BC4A0F">
        <w:rPr>
          <w:rFonts w:ascii="Times New Roman" w:hAnsi="Times New Roman"/>
          <w:sz w:val="24"/>
          <w:szCs w:val="24"/>
          <w:lang w:val="nl-BE"/>
        </w:rPr>
        <w:t xml:space="preserve">uitdrukkelijk </w:t>
      </w:r>
      <w:r w:rsidR="00A4336F" w:rsidRPr="00CD53C6">
        <w:rPr>
          <w:rFonts w:ascii="Times New Roman" w:hAnsi="Times New Roman"/>
          <w:sz w:val="24"/>
          <w:szCs w:val="24"/>
          <w:lang w:val="nl-BE"/>
        </w:rPr>
        <w:t xml:space="preserve">antwoord geeft op deze vraag, was de algemene vergadering </w:t>
      </w:r>
      <w:r w:rsidR="00BC4A0F">
        <w:rPr>
          <w:rFonts w:ascii="Times New Roman" w:hAnsi="Times New Roman"/>
          <w:sz w:val="24"/>
          <w:szCs w:val="24"/>
          <w:lang w:val="nl-BE"/>
        </w:rPr>
        <w:t xml:space="preserve">van de Raad van State </w:t>
      </w:r>
      <w:r w:rsidR="00A4336F" w:rsidRPr="00CD53C6">
        <w:rPr>
          <w:rFonts w:ascii="Times New Roman" w:hAnsi="Times New Roman"/>
          <w:sz w:val="24"/>
          <w:szCs w:val="24"/>
          <w:lang w:val="nl-BE"/>
        </w:rPr>
        <w:t>genoodzaakt om dieper in te gaan op aard van het instrument van een samenwerkingsakkoord. De vraag rees immers of naar analogie met verdragen de opzegging van een samenwerkingsakkoord het prerogatief is van de uitvoerende macht.</w:t>
      </w:r>
      <w:r w:rsidR="00A23885">
        <w:rPr>
          <w:rStyle w:val="Voetnootmarkering"/>
          <w:sz w:val="24"/>
          <w:szCs w:val="24"/>
          <w:lang w:val="nl-BE"/>
        </w:rPr>
        <w:footnoteReference w:id="251"/>
      </w:r>
      <w:r w:rsidR="00A4336F" w:rsidRPr="00CD53C6">
        <w:rPr>
          <w:rFonts w:ascii="Times New Roman" w:hAnsi="Times New Roman"/>
          <w:sz w:val="24"/>
          <w:szCs w:val="24"/>
          <w:lang w:val="nl-BE"/>
        </w:rPr>
        <w:t xml:space="preserve"> De </w:t>
      </w:r>
      <w:r w:rsidR="00BC4A0F">
        <w:rPr>
          <w:rFonts w:ascii="Times New Roman" w:hAnsi="Times New Roman"/>
          <w:sz w:val="24"/>
          <w:szCs w:val="24"/>
          <w:lang w:val="nl-BE"/>
        </w:rPr>
        <w:t xml:space="preserve">Raad </w:t>
      </w:r>
      <w:r w:rsidR="00A4336F" w:rsidRPr="00CD53C6">
        <w:rPr>
          <w:rFonts w:ascii="Times New Roman" w:hAnsi="Times New Roman"/>
          <w:sz w:val="24"/>
          <w:szCs w:val="24"/>
          <w:lang w:val="nl-BE"/>
        </w:rPr>
        <w:t>oordeel</w:t>
      </w:r>
      <w:r w:rsidR="00BC4A0F">
        <w:rPr>
          <w:rFonts w:ascii="Times New Roman" w:hAnsi="Times New Roman"/>
          <w:sz w:val="24"/>
          <w:szCs w:val="24"/>
          <w:lang w:val="nl-BE"/>
        </w:rPr>
        <w:t>de</w:t>
      </w:r>
      <w:r w:rsidR="00A4336F" w:rsidRPr="00CD53C6">
        <w:rPr>
          <w:rFonts w:ascii="Times New Roman" w:hAnsi="Times New Roman"/>
          <w:sz w:val="24"/>
          <w:szCs w:val="24"/>
          <w:lang w:val="nl-BE"/>
        </w:rPr>
        <w:t xml:space="preserve"> van niet. In de eerste plaats wees ze hiervoor naar het beginsel van het parallellisme van de vormen: een eenzijdige opzegging dient in beginsel te gebeuren door </w:t>
      </w:r>
      <w:r w:rsidR="00EF0598">
        <w:rPr>
          <w:rFonts w:ascii="Times New Roman" w:hAnsi="Times New Roman"/>
          <w:sz w:val="24"/>
          <w:szCs w:val="24"/>
          <w:lang w:val="nl-BE"/>
        </w:rPr>
        <w:t>dezelfde overheden</w:t>
      </w:r>
      <w:r w:rsidR="00A4336F" w:rsidRPr="00CD53C6">
        <w:rPr>
          <w:rFonts w:ascii="Times New Roman" w:hAnsi="Times New Roman"/>
          <w:sz w:val="24"/>
          <w:szCs w:val="24"/>
          <w:lang w:val="nl-BE"/>
        </w:rPr>
        <w:t xml:space="preserve"> die het samenwerkingsakkoord hebben gesloten. In de tweede plaats, wees de algemene vergadering erop dat hoewel er tussen het sluiten van verdragen en samenwerkingsakkoorden verschillende analogieën kunnen worden getrokken</w:t>
      </w:r>
      <w:r w:rsidR="00B90ED0">
        <w:rPr>
          <w:rFonts w:ascii="Times New Roman" w:hAnsi="Times New Roman"/>
          <w:sz w:val="24"/>
          <w:szCs w:val="24"/>
          <w:lang w:val="nl-BE"/>
        </w:rPr>
        <w:t>,</w:t>
      </w:r>
      <w:r w:rsidR="00A4336F" w:rsidRPr="00CD53C6">
        <w:rPr>
          <w:rFonts w:ascii="Times New Roman" w:hAnsi="Times New Roman"/>
          <w:sz w:val="24"/>
          <w:szCs w:val="24"/>
          <w:lang w:val="nl-BE"/>
        </w:rPr>
        <w:t xml:space="preserve"> er niettemin ook belangrijke verschilpunten zijn.</w:t>
      </w:r>
      <w:r w:rsidR="00A4336F" w:rsidRPr="00CD53C6">
        <w:rPr>
          <w:rStyle w:val="Voetnootmarkering"/>
          <w:sz w:val="24"/>
          <w:szCs w:val="24"/>
          <w:lang w:val="nl-BE"/>
        </w:rPr>
        <w:footnoteReference w:id="252"/>
      </w:r>
      <w:r w:rsidR="00D32F50" w:rsidRPr="00DF632C">
        <w:rPr>
          <w:rFonts w:ascii="Times New Roman" w:hAnsi="Times New Roman"/>
          <w:sz w:val="24"/>
          <w:szCs w:val="24"/>
          <w:lang w:val="nl-BE"/>
        </w:rPr>
        <w:t xml:space="preserve"> Wat dit laatste betreft, </w:t>
      </w:r>
      <w:r w:rsidR="00F71740" w:rsidRPr="00DF632C">
        <w:rPr>
          <w:rFonts w:ascii="Times New Roman" w:hAnsi="Times New Roman"/>
          <w:sz w:val="24"/>
          <w:szCs w:val="24"/>
          <w:lang w:val="nl-BE"/>
        </w:rPr>
        <w:t>w</w:t>
      </w:r>
      <w:r w:rsidR="00F71740">
        <w:rPr>
          <w:rFonts w:ascii="Times New Roman" w:hAnsi="Times New Roman"/>
          <w:sz w:val="24"/>
          <w:szCs w:val="24"/>
          <w:lang w:val="nl-BE"/>
        </w:rPr>
        <w:t>ees</w:t>
      </w:r>
      <w:r w:rsidR="00F71740" w:rsidRPr="00DF632C">
        <w:rPr>
          <w:rFonts w:ascii="Times New Roman" w:hAnsi="Times New Roman"/>
          <w:sz w:val="24"/>
          <w:szCs w:val="24"/>
          <w:lang w:val="nl-BE"/>
        </w:rPr>
        <w:t xml:space="preserve"> </w:t>
      </w:r>
      <w:r w:rsidR="00D32F50" w:rsidRPr="00DF632C">
        <w:rPr>
          <w:rFonts w:ascii="Times New Roman" w:hAnsi="Times New Roman"/>
          <w:sz w:val="24"/>
          <w:szCs w:val="24"/>
          <w:lang w:val="nl-BE"/>
        </w:rPr>
        <w:t xml:space="preserve">de </w:t>
      </w:r>
      <w:r w:rsidR="00F71740">
        <w:rPr>
          <w:rFonts w:ascii="Times New Roman" w:hAnsi="Times New Roman"/>
          <w:sz w:val="24"/>
          <w:szCs w:val="24"/>
          <w:lang w:val="nl-BE"/>
        </w:rPr>
        <w:t>Raad</w:t>
      </w:r>
      <w:r w:rsidR="00D32F50" w:rsidRPr="00DF632C">
        <w:rPr>
          <w:rFonts w:ascii="Times New Roman" w:hAnsi="Times New Roman"/>
          <w:sz w:val="24"/>
          <w:szCs w:val="24"/>
          <w:lang w:val="nl-BE"/>
        </w:rPr>
        <w:t xml:space="preserve"> er </w:t>
      </w:r>
      <w:r w:rsidR="004B3198">
        <w:rPr>
          <w:rFonts w:ascii="Times New Roman" w:hAnsi="Times New Roman"/>
          <w:sz w:val="24"/>
          <w:szCs w:val="24"/>
          <w:lang w:val="nl-BE"/>
        </w:rPr>
        <w:t>voor</w:t>
      </w:r>
      <w:r w:rsidR="00D32F50" w:rsidRPr="00DF632C">
        <w:rPr>
          <w:rFonts w:ascii="Times New Roman" w:hAnsi="Times New Roman"/>
          <w:sz w:val="24"/>
          <w:szCs w:val="24"/>
          <w:lang w:val="nl-BE"/>
        </w:rPr>
        <w:t xml:space="preserve">eerst op dat verdragen </w:t>
      </w:r>
      <w:r w:rsidR="004B3198" w:rsidRPr="00DF632C">
        <w:rPr>
          <w:rFonts w:ascii="Times New Roman" w:hAnsi="Times New Roman"/>
          <w:sz w:val="24"/>
          <w:szCs w:val="24"/>
          <w:lang w:val="nl-BE"/>
        </w:rPr>
        <w:t xml:space="preserve">worden </w:t>
      </w:r>
      <w:r w:rsidR="00D32F50" w:rsidRPr="00DF632C">
        <w:rPr>
          <w:rFonts w:ascii="Times New Roman" w:hAnsi="Times New Roman"/>
          <w:sz w:val="24"/>
          <w:szCs w:val="24"/>
          <w:lang w:val="nl-BE"/>
        </w:rPr>
        <w:t xml:space="preserve">gesloten door </w:t>
      </w:r>
      <w:r w:rsidR="00A37119">
        <w:rPr>
          <w:rFonts w:ascii="Times New Roman" w:hAnsi="Times New Roman"/>
          <w:sz w:val="24"/>
          <w:szCs w:val="24"/>
          <w:lang w:val="nl-BE"/>
        </w:rPr>
        <w:t xml:space="preserve">de </w:t>
      </w:r>
      <w:r w:rsidR="00D32F50" w:rsidRPr="00DF632C">
        <w:rPr>
          <w:rFonts w:ascii="Times New Roman" w:hAnsi="Times New Roman"/>
          <w:sz w:val="24"/>
          <w:szCs w:val="24"/>
          <w:lang w:val="nl-BE"/>
        </w:rPr>
        <w:t>Koning of de regerin</w:t>
      </w:r>
      <w:r w:rsidR="00A4336F" w:rsidRPr="00CD53C6">
        <w:rPr>
          <w:rFonts w:ascii="Times New Roman" w:hAnsi="Times New Roman"/>
          <w:sz w:val="24"/>
          <w:szCs w:val="24"/>
          <w:lang w:val="nl-BE"/>
        </w:rPr>
        <w:t xml:space="preserve">g, terwijl samenwerkingsakkoorden </w:t>
      </w:r>
      <w:r w:rsidR="009C55AF">
        <w:rPr>
          <w:rFonts w:ascii="Times New Roman" w:hAnsi="Times New Roman"/>
          <w:sz w:val="24"/>
          <w:szCs w:val="24"/>
          <w:lang w:val="nl-BE"/>
        </w:rPr>
        <w:t xml:space="preserve">worden </w:t>
      </w:r>
      <w:r w:rsidR="00A4336F" w:rsidRPr="00CD53C6">
        <w:rPr>
          <w:rFonts w:ascii="Times New Roman" w:hAnsi="Times New Roman"/>
          <w:sz w:val="24"/>
          <w:szCs w:val="24"/>
          <w:lang w:val="nl-BE"/>
        </w:rPr>
        <w:t>gesloten door “de bevoegde overheid”, wat voor aangelegenheden die tot hun bevoegdheid behoren bv. ook de parlementen kunnen zijn.</w:t>
      </w:r>
      <w:r w:rsidR="00A4336F" w:rsidRPr="00CD53C6">
        <w:rPr>
          <w:rStyle w:val="Voetnootmarkering"/>
          <w:sz w:val="24"/>
          <w:szCs w:val="24"/>
          <w:lang w:val="nl-BE"/>
        </w:rPr>
        <w:footnoteReference w:id="253"/>
      </w:r>
      <w:r w:rsidR="00D32F50" w:rsidRPr="00DF632C">
        <w:rPr>
          <w:rFonts w:ascii="Times New Roman" w:hAnsi="Times New Roman"/>
          <w:sz w:val="24"/>
          <w:szCs w:val="24"/>
          <w:lang w:val="nl-BE"/>
        </w:rPr>
        <w:t xml:space="preserve"> </w:t>
      </w:r>
      <w:r w:rsidR="004B3198">
        <w:rPr>
          <w:rFonts w:ascii="Times New Roman" w:hAnsi="Times New Roman"/>
          <w:sz w:val="24"/>
          <w:szCs w:val="24"/>
          <w:lang w:val="nl-BE"/>
        </w:rPr>
        <w:t>Vervolgens</w:t>
      </w:r>
      <w:r w:rsidR="00D32F50" w:rsidRPr="00DF632C">
        <w:rPr>
          <w:rFonts w:ascii="Times New Roman" w:hAnsi="Times New Roman"/>
          <w:sz w:val="24"/>
          <w:szCs w:val="24"/>
          <w:lang w:val="nl-BE"/>
        </w:rPr>
        <w:t xml:space="preserve"> </w:t>
      </w:r>
      <w:r w:rsidR="00F71740">
        <w:rPr>
          <w:rFonts w:ascii="Times New Roman" w:hAnsi="Times New Roman"/>
          <w:sz w:val="24"/>
          <w:szCs w:val="24"/>
          <w:lang w:val="nl-BE"/>
        </w:rPr>
        <w:t xml:space="preserve">stipte </w:t>
      </w:r>
      <w:r w:rsidR="00D32F50" w:rsidRPr="00DF632C">
        <w:rPr>
          <w:rFonts w:ascii="Times New Roman" w:hAnsi="Times New Roman"/>
          <w:sz w:val="24"/>
          <w:szCs w:val="24"/>
          <w:lang w:val="nl-BE"/>
        </w:rPr>
        <w:t xml:space="preserve">de </w:t>
      </w:r>
      <w:r w:rsidR="00F71740">
        <w:rPr>
          <w:rFonts w:ascii="Times New Roman" w:hAnsi="Times New Roman"/>
          <w:sz w:val="24"/>
          <w:szCs w:val="24"/>
          <w:lang w:val="nl-BE"/>
        </w:rPr>
        <w:t>Raad aan</w:t>
      </w:r>
      <w:r w:rsidR="00D32F50" w:rsidRPr="00DF632C">
        <w:rPr>
          <w:rFonts w:ascii="Times New Roman" w:hAnsi="Times New Roman"/>
          <w:sz w:val="24"/>
          <w:szCs w:val="24"/>
          <w:lang w:val="nl-BE"/>
        </w:rPr>
        <w:t xml:space="preserve"> dat de gevolgen van het slui</w:t>
      </w:r>
      <w:r w:rsidR="00A4336F" w:rsidRPr="00CD53C6">
        <w:rPr>
          <w:rFonts w:ascii="Times New Roman" w:hAnsi="Times New Roman"/>
          <w:sz w:val="24"/>
          <w:szCs w:val="24"/>
          <w:lang w:val="nl-BE"/>
        </w:rPr>
        <w:t xml:space="preserve">ten van een verdrag en </w:t>
      </w:r>
      <w:r w:rsidR="00DF632C" w:rsidRPr="00DF632C">
        <w:rPr>
          <w:rFonts w:ascii="Times New Roman" w:hAnsi="Times New Roman"/>
          <w:sz w:val="24"/>
          <w:szCs w:val="24"/>
          <w:lang w:val="nl-BE"/>
        </w:rPr>
        <w:t>van</w:t>
      </w:r>
      <w:r w:rsidR="0051404B">
        <w:rPr>
          <w:rFonts w:ascii="Times New Roman" w:hAnsi="Times New Roman"/>
          <w:sz w:val="24"/>
          <w:szCs w:val="24"/>
          <w:lang w:val="nl-BE"/>
        </w:rPr>
        <w:t xml:space="preserve"> het sluiten van</w:t>
      </w:r>
      <w:r w:rsidR="00DF632C">
        <w:rPr>
          <w:rFonts w:ascii="Times New Roman" w:hAnsi="Times New Roman"/>
          <w:sz w:val="24"/>
          <w:szCs w:val="24"/>
          <w:lang w:val="nl-BE"/>
        </w:rPr>
        <w:t xml:space="preserve"> </w:t>
      </w:r>
      <w:r w:rsidR="00DF632C" w:rsidRPr="00DF632C">
        <w:rPr>
          <w:rFonts w:ascii="Times New Roman" w:hAnsi="Times New Roman"/>
          <w:sz w:val="24"/>
          <w:szCs w:val="24"/>
          <w:lang w:val="nl-BE"/>
        </w:rPr>
        <w:t>een</w:t>
      </w:r>
      <w:r w:rsidR="00D32F50" w:rsidRPr="00DF632C">
        <w:rPr>
          <w:rFonts w:ascii="Times New Roman" w:hAnsi="Times New Roman"/>
          <w:sz w:val="24"/>
          <w:szCs w:val="24"/>
          <w:lang w:val="nl-BE"/>
        </w:rPr>
        <w:t xml:space="preserve"> samenwerkingsakkoord grondig van elkaar verschillen. Wat verdragen betreft, kan de </w:t>
      </w:r>
      <w:r w:rsidR="004B3198">
        <w:rPr>
          <w:rFonts w:ascii="Times New Roman" w:hAnsi="Times New Roman"/>
          <w:sz w:val="24"/>
          <w:szCs w:val="24"/>
          <w:lang w:val="nl-BE"/>
        </w:rPr>
        <w:t>s</w:t>
      </w:r>
      <w:r w:rsidR="00D32F50" w:rsidRPr="00DF632C">
        <w:rPr>
          <w:rFonts w:ascii="Times New Roman" w:hAnsi="Times New Roman"/>
          <w:sz w:val="24"/>
          <w:szCs w:val="24"/>
          <w:lang w:val="nl-BE"/>
        </w:rPr>
        <w:t xml:space="preserve">taat internationaal gebonden zijn door een loutere handeling van de Koning of een deelstaatregering (bv. door </w:t>
      </w:r>
      <w:r w:rsidR="00A37119">
        <w:rPr>
          <w:rFonts w:ascii="Times New Roman" w:hAnsi="Times New Roman"/>
          <w:sz w:val="24"/>
          <w:szCs w:val="24"/>
          <w:lang w:val="nl-BE"/>
        </w:rPr>
        <w:t>middel van</w:t>
      </w:r>
      <w:r w:rsidR="00D32F50" w:rsidRPr="00DF632C">
        <w:rPr>
          <w:rFonts w:ascii="Times New Roman" w:hAnsi="Times New Roman"/>
          <w:sz w:val="24"/>
          <w:szCs w:val="24"/>
          <w:lang w:val="nl-BE"/>
        </w:rPr>
        <w:t xml:space="preserve"> een bekrachtiging), terwijl het</w:t>
      </w:r>
      <w:r w:rsidR="00A4336F" w:rsidRPr="00CD53C6">
        <w:rPr>
          <w:rFonts w:ascii="Times New Roman" w:hAnsi="Times New Roman"/>
          <w:sz w:val="24"/>
          <w:szCs w:val="24"/>
          <w:lang w:val="nl-BE"/>
        </w:rPr>
        <w:t xml:space="preserve"> gebrek aan de vereiste parlementaire instemming tot gevolg heeft dat het verdrag geen gevolgen heeft in de interne, Belgische rechtsorde. Voor een samenwerkingsakkoord </w:t>
      </w:r>
      <w:r w:rsidR="00641A4C" w:rsidRPr="00CD53C6">
        <w:rPr>
          <w:rFonts w:ascii="Times New Roman" w:hAnsi="Times New Roman"/>
          <w:sz w:val="24"/>
          <w:szCs w:val="24"/>
          <w:lang w:val="nl-BE"/>
        </w:rPr>
        <w:t xml:space="preserve">dat </w:t>
      </w:r>
      <w:r w:rsidR="00A4336F" w:rsidRPr="00CD53C6">
        <w:rPr>
          <w:rFonts w:ascii="Times New Roman" w:hAnsi="Times New Roman"/>
          <w:sz w:val="24"/>
          <w:szCs w:val="24"/>
          <w:lang w:val="nl-BE"/>
        </w:rPr>
        <w:t xml:space="preserve">de parlementaire instemming </w:t>
      </w:r>
      <w:r w:rsidR="00641A4C" w:rsidRPr="00CD53C6">
        <w:rPr>
          <w:rFonts w:ascii="Times New Roman" w:hAnsi="Times New Roman"/>
          <w:sz w:val="24"/>
          <w:szCs w:val="24"/>
          <w:lang w:val="nl-BE"/>
        </w:rPr>
        <w:t>behoeft</w:t>
      </w:r>
      <w:r w:rsidR="00A37119">
        <w:rPr>
          <w:rFonts w:ascii="Times New Roman" w:hAnsi="Times New Roman"/>
          <w:sz w:val="24"/>
          <w:szCs w:val="24"/>
          <w:lang w:val="nl-BE"/>
        </w:rPr>
        <w:t>,</w:t>
      </w:r>
      <w:r w:rsidR="00A4336F" w:rsidRPr="00CD53C6">
        <w:rPr>
          <w:rFonts w:ascii="Times New Roman" w:hAnsi="Times New Roman"/>
          <w:sz w:val="24"/>
          <w:szCs w:val="24"/>
          <w:lang w:val="nl-BE"/>
        </w:rPr>
        <w:t xml:space="preserve"> heeft het ontbreken van </w:t>
      </w:r>
      <w:r w:rsidR="00A37119">
        <w:rPr>
          <w:rFonts w:ascii="Times New Roman" w:hAnsi="Times New Roman"/>
          <w:sz w:val="24"/>
          <w:szCs w:val="24"/>
          <w:lang w:val="nl-BE"/>
        </w:rPr>
        <w:t>de parlementaire instemming</w:t>
      </w:r>
      <w:r w:rsidR="00A4336F" w:rsidRPr="00CD53C6">
        <w:rPr>
          <w:rFonts w:ascii="Times New Roman" w:hAnsi="Times New Roman"/>
          <w:sz w:val="24"/>
          <w:szCs w:val="24"/>
          <w:lang w:val="nl-BE"/>
        </w:rPr>
        <w:t xml:space="preserve"> </w:t>
      </w:r>
      <w:r w:rsidR="003C06E2">
        <w:rPr>
          <w:rFonts w:ascii="Times New Roman" w:hAnsi="Times New Roman"/>
          <w:sz w:val="24"/>
          <w:szCs w:val="24"/>
          <w:lang w:val="nl-BE"/>
        </w:rPr>
        <w:t>immers</w:t>
      </w:r>
      <w:r w:rsidR="003C06E2" w:rsidRPr="00CD53C6">
        <w:rPr>
          <w:rFonts w:ascii="Times New Roman" w:hAnsi="Times New Roman"/>
          <w:sz w:val="24"/>
          <w:szCs w:val="24"/>
          <w:lang w:val="nl-BE"/>
        </w:rPr>
        <w:t xml:space="preserve"> </w:t>
      </w:r>
      <w:r w:rsidR="00A4336F" w:rsidRPr="00CD53C6">
        <w:rPr>
          <w:rFonts w:ascii="Times New Roman" w:hAnsi="Times New Roman"/>
          <w:sz w:val="24"/>
          <w:szCs w:val="24"/>
          <w:lang w:val="nl-BE"/>
        </w:rPr>
        <w:t xml:space="preserve">tot gevolg dat het verdrag geen enkel </w:t>
      </w:r>
      <w:r w:rsidR="00641A4C" w:rsidRPr="00CD53C6">
        <w:rPr>
          <w:rFonts w:ascii="Times New Roman" w:hAnsi="Times New Roman"/>
          <w:sz w:val="24"/>
          <w:szCs w:val="24"/>
          <w:lang w:val="nl-BE"/>
        </w:rPr>
        <w:t>gevolg</w:t>
      </w:r>
      <w:r w:rsidR="00A4336F" w:rsidRPr="00CD53C6">
        <w:rPr>
          <w:rFonts w:ascii="Times New Roman" w:hAnsi="Times New Roman"/>
          <w:sz w:val="24"/>
          <w:szCs w:val="24"/>
          <w:lang w:val="nl-BE"/>
        </w:rPr>
        <w:t xml:space="preserve"> kan hebben en bijgevolg ook niet kan worden uitgevoerd</w:t>
      </w:r>
      <w:r w:rsidR="002A7EE6" w:rsidRPr="00262AA8">
        <w:rPr>
          <w:rFonts w:ascii="Times New Roman" w:hAnsi="Times New Roman"/>
          <w:sz w:val="24"/>
          <w:lang w:val="nl-BE"/>
        </w:rPr>
        <w:t>.</w:t>
      </w:r>
      <w:r w:rsidR="00A4336F" w:rsidRPr="00CD53C6">
        <w:rPr>
          <w:rStyle w:val="Voetnootmarkering"/>
          <w:sz w:val="24"/>
          <w:szCs w:val="24"/>
          <w:lang w:val="nl-BE"/>
        </w:rPr>
        <w:footnoteReference w:id="254"/>
      </w:r>
      <w:r w:rsidR="002A7EE6" w:rsidRPr="00262AA8">
        <w:rPr>
          <w:rFonts w:ascii="Times New Roman" w:hAnsi="Times New Roman"/>
          <w:sz w:val="24"/>
          <w:lang w:val="nl-BE"/>
        </w:rPr>
        <w:t xml:space="preserve"> </w:t>
      </w:r>
      <w:r w:rsidR="00C51622">
        <w:rPr>
          <w:rFonts w:ascii="Times New Roman" w:hAnsi="Times New Roman"/>
          <w:sz w:val="24"/>
          <w:szCs w:val="24"/>
          <w:lang w:val="nl-BE"/>
        </w:rPr>
        <w:t>E</w:t>
      </w:r>
      <w:r w:rsidR="00D32F50" w:rsidRPr="00DF632C">
        <w:rPr>
          <w:rFonts w:ascii="Times New Roman" w:hAnsi="Times New Roman"/>
          <w:sz w:val="24"/>
          <w:szCs w:val="24"/>
          <w:lang w:val="nl-BE"/>
        </w:rPr>
        <w:t>en samenwerkingsakkoord dat de parlementaire instem</w:t>
      </w:r>
      <w:r w:rsidR="00A4336F" w:rsidRPr="00CD53C6">
        <w:rPr>
          <w:rFonts w:ascii="Times New Roman" w:hAnsi="Times New Roman"/>
          <w:sz w:val="24"/>
          <w:szCs w:val="24"/>
          <w:lang w:val="nl-BE"/>
        </w:rPr>
        <w:t>ming heeft bekomen</w:t>
      </w:r>
      <w:r w:rsidR="00A37119">
        <w:rPr>
          <w:rFonts w:ascii="Times New Roman" w:hAnsi="Times New Roman"/>
          <w:sz w:val="24"/>
          <w:szCs w:val="24"/>
          <w:lang w:val="nl-BE"/>
        </w:rPr>
        <w:t>,</w:t>
      </w:r>
      <w:r w:rsidR="00C51622">
        <w:rPr>
          <w:rFonts w:ascii="Times New Roman" w:hAnsi="Times New Roman"/>
          <w:sz w:val="24"/>
          <w:szCs w:val="24"/>
          <w:lang w:val="nl-BE"/>
        </w:rPr>
        <w:t xml:space="preserve"> heeft </w:t>
      </w:r>
      <w:r w:rsidR="00A37119">
        <w:rPr>
          <w:rFonts w:ascii="Times New Roman" w:hAnsi="Times New Roman"/>
          <w:sz w:val="24"/>
          <w:szCs w:val="24"/>
          <w:lang w:val="nl-BE"/>
        </w:rPr>
        <w:t>uiteindelijk</w:t>
      </w:r>
      <w:r w:rsidR="00C51622">
        <w:rPr>
          <w:rFonts w:ascii="Times New Roman" w:hAnsi="Times New Roman"/>
          <w:sz w:val="24"/>
          <w:szCs w:val="24"/>
          <w:lang w:val="nl-BE"/>
        </w:rPr>
        <w:t xml:space="preserve"> </w:t>
      </w:r>
      <w:r w:rsidR="00A4336F" w:rsidRPr="00CD53C6">
        <w:rPr>
          <w:rFonts w:ascii="Times New Roman" w:hAnsi="Times New Roman"/>
          <w:sz w:val="24"/>
          <w:szCs w:val="24"/>
          <w:lang w:val="nl-BE"/>
        </w:rPr>
        <w:t>een duidelijke wettelijke draagwijdte, aangezien een dergelijk samenwerkingsakkoord een wet, decreet of ordonnantie kan wijzigen.</w:t>
      </w:r>
      <w:r w:rsidR="00A4336F" w:rsidRPr="00CD53C6">
        <w:rPr>
          <w:rStyle w:val="Voetnootmarkering"/>
          <w:sz w:val="24"/>
          <w:szCs w:val="24"/>
          <w:lang w:val="nl-BE"/>
        </w:rPr>
        <w:footnoteReference w:id="255"/>
      </w:r>
      <w:r w:rsidR="00D32F50" w:rsidRPr="00DF632C">
        <w:rPr>
          <w:rFonts w:ascii="Times New Roman" w:hAnsi="Times New Roman"/>
          <w:sz w:val="24"/>
          <w:szCs w:val="24"/>
          <w:lang w:val="nl-BE"/>
        </w:rPr>
        <w:t xml:space="preserve"> </w:t>
      </w:r>
      <w:r w:rsidR="00C51622">
        <w:rPr>
          <w:rFonts w:ascii="Times New Roman" w:hAnsi="Times New Roman"/>
          <w:sz w:val="24"/>
          <w:szCs w:val="24"/>
          <w:lang w:val="nl-BE"/>
        </w:rPr>
        <w:t>Er werd dan ook geconcludeerd</w:t>
      </w:r>
      <w:r w:rsidR="00D32F50" w:rsidRPr="00DF632C">
        <w:rPr>
          <w:rFonts w:ascii="Times New Roman" w:hAnsi="Times New Roman"/>
          <w:sz w:val="24"/>
          <w:szCs w:val="24"/>
          <w:lang w:val="nl-BE"/>
        </w:rPr>
        <w:t xml:space="preserve"> dat een eenzijdige opzegging van een samenwerking</w:t>
      </w:r>
      <w:r w:rsidR="00C51622">
        <w:rPr>
          <w:rFonts w:ascii="Times New Roman" w:hAnsi="Times New Roman"/>
          <w:sz w:val="24"/>
          <w:szCs w:val="24"/>
          <w:lang w:val="nl-BE"/>
        </w:rPr>
        <w:t>s</w:t>
      </w:r>
      <w:r w:rsidR="00D32F50" w:rsidRPr="00DF632C">
        <w:rPr>
          <w:rFonts w:ascii="Times New Roman" w:hAnsi="Times New Roman"/>
          <w:sz w:val="24"/>
          <w:szCs w:val="24"/>
          <w:lang w:val="nl-BE"/>
        </w:rPr>
        <w:t>ak</w:t>
      </w:r>
      <w:r w:rsidR="00A4336F" w:rsidRPr="00CD53C6">
        <w:rPr>
          <w:rFonts w:ascii="Times New Roman" w:hAnsi="Times New Roman"/>
          <w:sz w:val="24"/>
          <w:szCs w:val="24"/>
          <w:lang w:val="nl-BE"/>
        </w:rPr>
        <w:t xml:space="preserve">koord dat de instemming heeft bekomen van hun parlementen, geen effect heeft dan nadat de opzegging </w:t>
      </w:r>
      <w:r w:rsidR="00836FFF">
        <w:rPr>
          <w:rFonts w:ascii="Times New Roman" w:hAnsi="Times New Roman"/>
          <w:sz w:val="24"/>
          <w:szCs w:val="24"/>
          <w:lang w:val="nl-BE"/>
        </w:rPr>
        <w:t xml:space="preserve">door de regering </w:t>
      </w:r>
      <w:r w:rsidR="00A4336F" w:rsidRPr="00CD53C6">
        <w:rPr>
          <w:rFonts w:ascii="Times New Roman" w:hAnsi="Times New Roman"/>
          <w:sz w:val="24"/>
          <w:szCs w:val="24"/>
          <w:lang w:val="nl-BE"/>
        </w:rPr>
        <w:t xml:space="preserve">de instemming </w:t>
      </w:r>
      <w:r w:rsidR="00A4336F" w:rsidRPr="00CD53C6">
        <w:rPr>
          <w:rFonts w:ascii="Times New Roman" w:hAnsi="Times New Roman"/>
          <w:sz w:val="24"/>
          <w:szCs w:val="24"/>
          <w:lang w:val="nl-BE"/>
        </w:rPr>
        <w:lastRenderedPageBreak/>
        <w:t xml:space="preserve">heeft bekomen van </w:t>
      </w:r>
      <w:r w:rsidR="00D40F4D">
        <w:rPr>
          <w:rFonts w:ascii="Times New Roman" w:hAnsi="Times New Roman"/>
          <w:sz w:val="24"/>
          <w:szCs w:val="24"/>
          <w:lang w:val="nl-BE"/>
        </w:rPr>
        <w:t xml:space="preserve">zijn </w:t>
      </w:r>
      <w:r w:rsidR="00A4336F" w:rsidRPr="00CD53C6">
        <w:rPr>
          <w:rFonts w:ascii="Times New Roman" w:hAnsi="Times New Roman"/>
          <w:sz w:val="24"/>
          <w:szCs w:val="24"/>
          <w:lang w:val="nl-BE"/>
        </w:rPr>
        <w:t>parlement</w:t>
      </w:r>
      <w:r w:rsidR="00836FFF">
        <w:rPr>
          <w:rFonts w:ascii="Times New Roman" w:hAnsi="Times New Roman"/>
          <w:sz w:val="24"/>
          <w:szCs w:val="24"/>
          <w:lang w:val="nl-BE"/>
        </w:rPr>
        <w:t>. De Raad achtte het ook denkbaar dat de decreetgever de regering tot de opzegging zou machtigen</w:t>
      </w:r>
      <w:r w:rsidR="002A7EE6" w:rsidRPr="00262AA8">
        <w:rPr>
          <w:rFonts w:ascii="Times New Roman" w:hAnsi="Times New Roman"/>
          <w:sz w:val="24"/>
          <w:lang w:val="nl-BE"/>
        </w:rPr>
        <w:t>.</w:t>
      </w:r>
      <w:r w:rsidR="00A4336F" w:rsidRPr="00CD53C6">
        <w:rPr>
          <w:rStyle w:val="Voetnootmarkering"/>
          <w:sz w:val="24"/>
          <w:szCs w:val="24"/>
          <w:lang w:val="nl-BE"/>
        </w:rPr>
        <w:footnoteReference w:id="256"/>
      </w:r>
      <w:r w:rsidR="002A7EE6" w:rsidRPr="00262AA8">
        <w:rPr>
          <w:rFonts w:ascii="Times New Roman" w:hAnsi="Times New Roman"/>
          <w:sz w:val="24"/>
          <w:lang w:val="nl-BE"/>
        </w:rPr>
        <w:t xml:space="preserve"> </w:t>
      </w:r>
    </w:p>
    <w:p w:rsidR="00D32F50" w:rsidRPr="00262AA8" w:rsidRDefault="00D32F50" w:rsidP="00D32F50">
      <w:pPr>
        <w:pStyle w:val="Normaalweb"/>
        <w:spacing w:before="2" w:after="2"/>
        <w:rPr>
          <w:rFonts w:ascii="Times New Roman" w:hAnsi="Times New Roman"/>
          <w:sz w:val="24"/>
          <w:lang w:val="nl-BE"/>
        </w:rPr>
      </w:pPr>
    </w:p>
    <w:p w:rsidR="00D32F50" w:rsidRPr="00CD53C6" w:rsidRDefault="00A4336F" w:rsidP="007D1381">
      <w:pPr>
        <w:pStyle w:val="Kop2"/>
        <w:rPr>
          <w:b w:val="0"/>
          <w:lang w:val="nl-BE"/>
        </w:rPr>
      </w:pPr>
      <w:bookmarkStart w:id="30" w:name="_Toc495677886"/>
      <w:r w:rsidRPr="00CD53C6">
        <w:rPr>
          <w:lang w:val="nl-BE"/>
        </w:rPr>
        <w:t xml:space="preserve">D. </w:t>
      </w:r>
      <w:r w:rsidR="004B3198">
        <w:rPr>
          <w:lang w:val="nl-BE"/>
        </w:rPr>
        <w:t>Asymmetrische</w:t>
      </w:r>
      <w:r w:rsidRPr="00CD53C6">
        <w:rPr>
          <w:lang w:val="nl-BE"/>
        </w:rPr>
        <w:t xml:space="preserve"> </w:t>
      </w:r>
      <w:r w:rsidR="00836FFF">
        <w:rPr>
          <w:lang w:val="nl-BE"/>
        </w:rPr>
        <w:t>samenwerkingsvormen</w:t>
      </w:r>
      <w:bookmarkEnd w:id="30"/>
    </w:p>
    <w:p w:rsidR="00D32F50" w:rsidRPr="00DF632C" w:rsidRDefault="00D32F50" w:rsidP="00A03BFF">
      <w:pPr>
        <w:autoSpaceDE w:val="0"/>
        <w:adjustRightInd w:val="0"/>
        <w:jc w:val="center"/>
        <w:rPr>
          <w:rFonts w:cs="Times New Roman"/>
          <w:szCs w:val="24"/>
        </w:rPr>
      </w:pPr>
    </w:p>
    <w:p w:rsidR="00B12E6E" w:rsidRDefault="001D12B7" w:rsidP="00CE11CC">
      <w:pPr>
        <w:autoSpaceDE w:val="0"/>
        <w:adjustRightInd w:val="0"/>
        <w:rPr>
          <w:rFonts w:cs="Times New Roman"/>
          <w:szCs w:val="24"/>
        </w:rPr>
      </w:pPr>
      <w:r w:rsidRPr="00CD53C6">
        <w:rPr>
          <w:rFonts w:cs="Times New Roman"/>
          <w:b/>
          <w:szCs w:val="24"/>
        </w:rPr>
        <w:t>6</w:t>
      </w:r>
      <w:r w:rsidR="00836FFF">
        <w:rPr>
          <w:rFonts w:cs="Times New Roman"/>
          <w:b/>
          <w:szCs w:val="24"/>
        </w:rPr>
        <w:t>8</w:t>
      </w:r>
      <w:r w:rsidR="00A4336F" w:rsidRPr="00CD53C6">
        <w:rPr>
          <w:rFonts w:cs="Times New Roman"/>
          <w:b/>
          <w:szCs w:val="24"/>
        </w:rPr>
        <w:t>.</w:t>
      </w:r>
      <w:r w:rsidR="00A4336F" w:rsidRPr="00CD53C6">
        <w:rPr>
          <w:rFonts w:cs="Times New Roman"/>
          <w:szCs w:val="24"/>
        </w:rPr>
        <w:t xml:space="preserve"> </w:t>
      </w:r>
      <w:r w:rsidR="00A4336F" w:rsidRPr="00CD53C6">
        <w:rPr>
          <w:rFonts w:cs="Times New Roman"/>
          <w:szCs w:val="24"/>
        </w:rPr>
        <w:tab/>
        <w:t xml:space="preserve">De Raad van State bevestigde dat de samenwerking tussen verschillende overheden in het federale België aanleiding kan geven tot gedifferentieerde regelingen. Hoewel dit niet meer dan de logische consequentie is van </w:t>
      </w:r>
      <w:r w:rsidR="00836FFF">
        <w:rPr>
          <w:rFonts w:cs="Times New Roman"/>
          <w:szCs w:val="24"/>
        </w:rPr>
        <w:t>de</w:t>
      </w:r>
      <w:r w:rsidR="00836FFF" w:rsidRPr="00CD53C6">
        <w:rPr>
          <w:rFonts w:cs="Times New Roman"/>
          <w:szCs w:val="24"/>
        </w:rPr>
        <w:t xml:space="preserve"> </w:t>
      </w:r>
      <w:r w:rsidR="00A4336F" w:rsidRPr="00CD53C6">
        <w:rPr>
          <w:rFonts w:cs="Times New Roman"/>
          <w:szCs w:val="24"/>
        </w:rPr>
        <w:t xml:space="preserve">federale staatsstructuur, blijft dit geregeld vragen oproepen, al is het maar omdat we </w:t>
      </w:r>
      <w:r w:rsidR="00836FFF">
        <w:rPr>
          <w:rFonts w:cs="Times New Roman"/>
          <w:szCs w:val="24"/>
        </w:rPr>
        <w:t>eraan</w:t>
      </w:r>
      <w:r w:rsidR="00A4336F" w:rsidRPr="00CD53C6">
        <w:rPr>
          <w:rFonts w:cs="Times New Roman"/>
          <w:szCs w:val="24"/>
        </w:rPr>
        <w:t xml:space="preserve"> gewend zijn </w:t>
      </w:r>
      <w:r w:rsidR="00836FFF">
        <w:rPr>
          <w:rFonts w:cs="Times New Roman"/>
          <w:szCs w:val="24"/>
        </w:rPr>
        <w:t xml:space="preserve">dat samenwerking tussen de deelstaten leidt tot </w:t>
      </w:r>
      <w:r w:rsidR="004B3198">
        <w:rPr>
          <w:rFonts w:cs="Times New Roman"/>
          <w:szCs w:val="24"/>
        </w:rPr>
        <w:t>eenvormige</w:t>
      </w:r>
      <w:r w:rsidR="00A4336F" w:rsidRPr="00CD53C6">
        <w:rPr>
          <w:rFonts w:cs="Times New Roman"/>
          <w:szCs w:val="24"/>
        </w:rPr>
        <w:t xml:space="preserve"> regelingen. </w:t>
      </w:r>
      <w:r w:rsidR="00836FFF">
        <w:rPr>
          <w:rFonts w:cs="Times New Roman"/>
          <w:szCs w:val="24"/>
        </w:rPr>
        <w:t xml:space="preserve">In beginsel bestaat er echter geen bezwaar tegen een asymmetrische invulling van de samenwerkingsmechanismen. </w:t>
      </w:r>
      <w:r w:rsidR="00A4336F" w:rsidRPr="00CD53C6">
        <w:rPr>
          <w:rFonts w:cs="Times New Roman"/>
          <w:szCs w:val="24"/>
        </w:rPr>
        <w:t>Zo aanvaardde de Raad van State dat de Franse Gemeenschap, het Waals</w:t>
      </w:r>
      <w:r w:rsidR="00920132">
        <w:rPr>
          <w:rFonts w:cs="Times New Roman"/>
          <w:szCs w:val="24"/>
        </w:rPr>
        <w:t>e</w:t>
      </w:r>
      <w:r w:rsidR="00A4336F" w:rsidRPr="00CD53C6">
        <w:rPr>
          <w:rFonts w:cs="Times New Roman"/>
          <w:szCs w:val="24"/>
        </w:rPr>
        <w:t xml:space="preserve"> Gewest, het Brussels</w:t>
      </w:r>
      <w:r w:rsidR="00920132">
        <w:rPr>
          <w:rFonts w:cs="Times New Roman"/>
          <w:szCs w:val="24"/>
        </w:rPr>
        <w:t>e</w:t>
      </w:r>
      <w:r w:rsidR="00A4336F" w:rsidRPr="00CD53C6">
        <w:rPr>
          <w:rFonts w:cs="Times New Roman"/>
          <w:szCs w:val="24"/>
        </w:rPr>
        <w:t xml:space="preserve"> Hoofdstedelijk</w:t>
      </w:r>
      <w:r w:rsidR="00920132">
        <w:rPr>
          <w:rFonts w:cs="Times New Roman"/>
          <w:szCs w:val="24"/>
        </w:rPr>
        <w:t>e</w:t>
      </w:r>
      <w:r w:rsidR="00A4336F" w:rsidRPr="00CD53C6">
        <w:rPr>
          <w:rFonts w:cs="Times New Roman"/>
          <w:szCs w:val="24"/>
        </w:rPr>
        <w:t xml:space="preserve"> Gewest, de Gemeenschappelijke Gemeenschapscommissie en de Franse Gemeenschapscommissie een gemeenschappelijke algemene afgevaardigde voor de kinderrechten (“délégué général aux droits d’enfants”) instelden, waarbij de mogelijkheid werd opengelaten voor het Brussels</w:t>
      </w:r>
      <w:r w:rsidR="00920132">
        <w:rPr>
          <w:rFonts w:cs="Times New Roman"/>
          <w:szCs w:val="24"/>
        </w:rPr>
        <w:t>e</w:t>
      </w:r>
      <w:r w:rsidR="00A4336F" w:rsidRPr="00CD53C6">
        <w:rPr>
          <w:rFonts w:cs="Times New Roman"/>
          <w:szCs w:val="24"/>
        </w:rPr>
        <w:t xml:space="preserve"> Hoofdstedelijk</w:t>
      </w:r>
      <w:r w:rsidR="00920132">
        <w:rPr>
          <w:rFonts w:cs="Times New Roman"/>
          <w:szCs w:val="24"/>
        </w:rPr>
        <w:t>e</w:t>
      </w:r>
      <w:r w:rsidR="00A4336F" w:rsidRPr="00CD53C6">
        <w:rPr>
          <w:rFonts w:cs="Times New Roman"/>
          <w:szCs w:val="24"/>
        </w:rPr>
        <w:t xml:space="preserve"> Gewest en de Gemeenschappelijke Gemeenschapscommissie om tevens met de Vlaamse Gemeenschap een andere, gezamenlijke regeling te treffen voor samenwerking met de Vlaamse Kinderrechtencommissaris. De Raad van State </w:t>
      </w:r>
      <w:r w:rsidR="00431095">
        <w:rPr>
          <w:rFonts w:cs="Times New Roman"/>
          <w:szCs w:val="24"/>
        </w:rPr>
        <w:t xml:space="preserve">zag </w:t>
      </w:r>
      <w:r w:rsidR="00A4336F" w:rsidRPr="00CD53C6">
        <w:rPr>
          <w:rFonts w:cs="Times New Roman"/>
          <w:szCs w:val="24"/>
        </w:rPr>
        <w:t>hier geen graten in voor zover de taalwetgeving en het gelijkheidsbeginsel worden nageleefd.</w:t>
      </w:r>
      <w:r w:rsidR="00D32F50" w:rsidRPr="00DF632C">
        <w:rPr>
          <w:rStyle w:val="Voetnootmarkering"/>
          <w:rFonts w:cs="Times New Roman"/>
          <w:szCs w:val="24"/>
        </w:rPr>
        <w:footnoteReference w:id="257"/>
      </w:r>
      <w:r w:rsidR="00CE11CC">
        <w:rPr>
          <w:rFonts w:cs="Times New Roman"/>
          <w:szCs w:val="24"/>
        </w:rPr>
        <w:t xml:space="preserve"> </w:t>
      </w:r>
    </w:p>
    <w:p w:rsidR="00D40F4D" w:rsidRPr="00DF632C" w:rsidDel="00D40F4D" w:rsidRDefault="00D40F4D" w:rsidP="00D32F50">
      <w:pPr>
        <w:autoSpaceDE w:val="0"/>
        <w:adjustRightInd w:val="0"/>
        <w:rPr>
          <w:rFonts w:cs="Times New Roman"/>
          <w:szCs w:val="24"/>
        </w:rPr>
      </w:pPr>
    </w:p>
    <w:p w:rsidR="00D32F50" w:rsidRPr="00DF632C" w:rsidRDefault="00101EC6" w:rsidP="00D32F50">
      <w:pPr>
        <w:autoSpaceDE w:val="0"/>
        <w:autoSpaceDN w:val="0"/>
        <w:adjustRightInd w:val="0"/>
        <w:rPr>
          <w:rFonts w:cs="Times New Roman"/>
          <w:szCs w:val="24"/>
        </w:rPr>
      </w:pPr>
      <w:r>
        <w:rPr>
          <w:rFonts w:cs="Times New Roman"/>
          <w:b/>
          <w:szCs w:val="24"/>
        </w:rPr>
        <w:t>69</w:t>
      </w:r>
      <w:r w:rsidR="00A4336F" w:rsidRPr="00CD53C6">
        <w:rPr>
          <w:rFonts w:cs="Times New Roman"/>
          <w:b/>
          <w:szCs w:val="24"/>
        </w:rPr>
        <w:t>.</w:t>
      </w:r>
      <w:r w:rsidR="00A4336F" w:rsidRPr="00CD53C6">
        <w:rPr>
          <w:rFonts w:cs="Times New Roman"/>
          <w:szCs w:val="24"/>
        </w:rPr>
        <w:tab/>
        <w:t xml:space="preserve">Het gelijkheidsbeginsel vereist geenszins een uniforme regeling in het gehele land. Het kan </w:t>
      </w:r>
      <w:r w:rsidR="00610CCC">
        <w:rPr>
          <w:rFonts w:cs="Times New Roman"/>
          <w:szCs w:val="24"/>
        </w:rPr>
        <w:t xml:space="preserve">bijvoorbeeld </w:t>
      </w:r>
      <w:r w:rsidR="00A4336F" w:rsidRPr="00CD53C6">
        <w:rPr>
          <w:rFonts w:cs="Times New Roman"/>
          <w:szCs w:val="24"/>
        </w:rPr>
        <w:t xml:space="preserve">wel vereisen dat als de federale overheid een verlaagd tarief instelt voortbouwend op de regelgeving in twee gewesten, </w:t>
      </w:r>
      <w:r w:rsidR="00610CCC">
        <w:rPr>
          <w:rFonts w:cs="Times New Roman"/>
          <w:szCs w:val="24"/>
        </w:rPr>
        <w:t>ze</w:t>
      </w:r>
      <w:r w:rsidR="00A4336F" w:rsidRPr="00CD53C6">
        <w:rPr>
          <w:rFonts w:cs="Times New Roman"/>
          <w:szCs w:val="24"/>
        </w:rPr>
        <w:t xml:space="preserve"> de hypothese openlaat dat ook het derde gewest in een analoge regeling </w:t>
      </w:r>
      <w:r w:rsidR="0084692B">
        <w:rPr>
          <w:rFonts w:cs="Times New Roman"/>
          <w:szCs w:val="24"/>
        </w:rPr>
        <w:t>voorzie</w:t>
      </w:r>
      <w:r w:rsidR="00D40F4D">
        <w:rPr>
          <w:rFonts w:cs="Times New Roman"/>
          <w:szCs w:val="24"/>
        </w:rPr>
        <w:t>t</w:t>
      </w:r>
      <w:r w:rsidR="0084692B">
        <w:rPr>
          <w:rFonts w:cs="Times New Roman"/>
          <w:szCs w:val="24"/>
        </w:rPr>
        <w:t>.</w:t>
      </w:r>
      <w:r w:rsidR="00A4336F" w:rsidRPr="00CD53C6">
        <w:rPr>
          <w:rFonts w:cs="Times New Roman"/>
          <w:szCs w:val="24"/>
        </w:rPr>
        <w:t xml:space="preserve"> </w:t>
      </w:r>
      <w:r w:rsidR="00610CCC">
        <w:rPr>
          <w:rFonts w:cs="Times New Roman"/>
          <w:szCs w:val="24"/>
        </w:rPr>
        <w:t>Wanneer</w:t>
      </w:r>
      <w:r w:rsidR="00A4336F" w:rsidRPr="00CD53C6">
        <w:rPr>
          <w:rFonts w:cs="Times New Roman"/>
          <w:szCs w:val="24"/>
        </w:rPr>
        <w:t xml:space="preserve"> de federale overheid een verlaagd tarief instelde voor de bijdrage op energie voor aardgas, aangewend als verwarmingsbrandstof voor zakelijk gebruik, ten gunste van bedrijven die met het Vlaamse Gewest of het Waalse Gewest een “energiebeleidsovereenkomst” of “accord de branche” hadden gesloten, moest de regeling voldoende open worden geformuleerd om de hypothese open te laten dat het </w:t>
      </w:r>
      <w:r w:rsidR="00610CCC">
        <w:rPr>
          <w:rFonts w:cs="Times New Roman"/>
          <w:szCs w:val="24"/>
        </w:rPr>
        <w:t>Brusselse Hoofdstedelijke Gewest</w:t>
      </w:r>
      <w:r w:rsidR="00A4336F" w:rsidRPr="00CD53C6">
        <w:rPr>
          <w:rFonts w:cs="Times New Roman"/>
          <w:szCs w:val="24"/>
        </w:rPr>
        <w:t xml:space="preserve"> in een gelijkaardige regeling zou voorzien</w:t>
      </w:r>
      <w:r w:rsidR="0084692B">
        <w:rPr>
          <w:rFonts w:cs="Times New Roman"/>
          <w:szCs w:val="24"/>
        </w:rPr>
        <w:t xml:space="preserve"> waarop het verlaagde tarief </w:t>
      </w:r>
      <w:r w:rsidR="00363785">
        <w:rPr>
          <w:rFonts w:cs="Times New Roman"/>
          <w:szCs w:val="24"/>
        </w:rPr>
        <w:t xml:space="preserve">dan </w:t>
      </w:r>
      <w:r w:rsidR="0084692B">
        <w:rPr>
          <w:rFonts w:cs="Times New Roman"/>
          <w:szCs w:val="24"/>
        </w:rPr>
        <w:t xml:space="preserve">ook van toepassing zou </w:t>
      </w:r>
      <w:r w:rsidR="00363785">
        <w:rPr>
          <w:rFonts w:cs="Times New Roman"/>
          <w:szCs w:val="24"/>
        </w:rPr>
        <w:t xml:space="preserve">moeten </w:t>
      </w:r>
      <w:r w:rsidR="0084692B">
        <w:rPr>
          <w:rFonts w:cs="Times New Roman"/>
          <w:szCs w:val="24"/>
        </w:rPr>
        <w:t>zijn</w:t>
      </w:r>
      <w:r w:rsidR="00A4336F" w:rsidRPr="00CD53C6">
        <w:rPr>
          <w:rFonts w:cs="Times New Roman"/>
          <w:szCs w:val="24"/>
        </w:rPr>
        <w:t>.</w:t>
      </w:r>
      <w:r w:rsidR="00D32F50" w:rsidRPr="00DF632C">
        <w:rPr>
          <w:rStyle w:val="Voetnootmarkering"/>
          <w:rFonts w:cs="Times New Roman"/>
          <w:szCs w:val="24"/>
        </w:rPr>
        <w:footnoteReference w:id="258"/>
      </w:r>
      <w:r w:rsidR="00D32F50" w:rsidRPr="00DF632C">
        <w:rPr>
          <w:rFonts w:cs="Times New Roman"/>
          <w:szCs w:val="24"/>
        </w:rPr>
        <w:t xml:space="preserve"> </w:t>
      </w:r>
      <w:r w:rsidR="00A4336F" w:rsidRPr="00CD53C6">
        <w:rPr>
          <w:rFonts w:cs="Times New Roman"/>
          <w:szCs w:val="24"/>
        </w:rPr>
        <w:t xml:space="preserve">Het beginsel van de autonomie van de deelstaten en de federale overheid kan bijgevolg </w:t>
      </w:r>
      <w:r w:rsidR="00363785">
        <w:rPr>
          <w:rFonts w:cs="Times New Roman"/>
          <w:szCs w:val="24"/>
        </w:rPr>
        <w:t xml:space="preserve">weliswaar </w:t>
      </w:r>
      <w:r w:rsidR="00A4336F" w:rsidRPr="00CD53C6">
        <w:rPr>
          <w:rFonts w:cs="Times New Roman"/>
          <w:szCs w:val="24"/>
        </w:rPr>
        <w:t xml:space="preserve">aanleiding geven tot gedifferentieerde regelingen, </w:t>
      </w:r>
      <w:r w:rsidR="00363785">
        <w:rPr>
          <w:rFonts w:cs="Times New Roman"/>
          <w:szCs w:val="24"/>
        </w:rPr>
        <w:t xml:space="preserve">maar </w:t>
      </w:r>
      <w:r w:rsidR="00A4336F" w:rsidRPr="00CD53C6">
        <w:rPr>
          <w:rFonts w:cs="Times New Roman"/>
          <w:szCs w:val="24"/>
        </w:rPr>
        <w:t xml:space="preserve">deze overheden </w:t>
      </w:r>
      <w:r w:rsidR="00363785">
        <w:rPr>
          <w:rFonts w:cs="Times New Roman"/>
          <w:szCs w:val="24"/>
        </w:rPr>
        <w:t xml:space="preserve">moeten </w:t>
      </w:r>
      <w:r w:rsidR="00A4336F" w:rsidRPr="00CD53C6">
        <w:rPr>
          <w:rFonts w:cs="Times New Roman"/>
          <w:szCs w:val="24"/>
        </w:rPr>
        <w:t xml:space="preserve">inspanningen leveren om </w:t>
      </w:r>
      <w:r w:rsidR="00363785">
        <w:rPr>
          <w:rFonts w:cs="Times New Roman"/>
          <w:szCs w:val="24"/>
        </w:rPr>
        <w:t>door middel van onderlinge samenwerking discriminaties zoveel mogelijk te voorkomen of te beperken</w:t>
      </w:r>
      <w:r w:rsidR="00A4336F" w:rsidRPr="00CD53C6">
        <w:rPr>
          <w:rFonts w:cs="Times New Roman"/>
          <w:szCs w:val="24"/>
        </w:rPr>
        <w:t>.</w:t>
      </w:r>
      <w:r w:rsidR="00D32F50" w:rsidRPr="00DF632C">
        <w:rPr>
          <w:rStyle w:val="Voetnootmarkering"/>
          <w:rFonts w:cs="Times New Roman"/>
          <w:szCs w:val="24"/>
        </w:rPr>
        <w:footnoteReference w:id="259"/>
      </w:r>
      <w:r w:rsidR="00D32F50" w:rsidRPr="00DF632C">
        <w:rPr>
          <w:rFonts w:cs="Times New Roman"/>
          <w:szCs w:val="24"/>
        </w:rPr>
        <w:t xml:space="preserve"> </w:t>
      </w:r>
    </w:p>
    <w:p w:rsidR="00D32F50" w:rsidRPr="00DF632C" w:rsidRDefault="00D32F50" w:rsidP="00D32F50">
      <w:pPr>
        <w:autoSpaceDE w:val="0"/>
        <w:autoSpaceDN w:val="0"/>
        <w:adjustRightInd w:val="0"/>
        <w:rPr>
          <w:rFonts w:cs="Times New Roman"/>
          <w:szCs w:val="24"/>
        </w:rPr>
      </w:pPr>
    </w:p>
    <w:p w:rsidR="00271D31" w:rsidRPr="00DF632C" w:rsidRDefault="001D12B7" w:rsidP="00CD53C6">
      <w:pPr>
        <w:autoSpaceDE w:val="0"/>
        <w:autoSpaceDN w:val="0"/>
        <w:adjustRightInd w:val="0"/>
        <w:rPr>
          <w:rFonts w:cs="Times New Roman"/>
          <w:szCs w:val="24"/>
        </w:rPr>
      </w:pPr>
      <w:r w:rsidRPr="00CD53C6">
        <w:rPr>
          <w:rFonts w:cs="Times New Roman"/>
          <w:b/>
          <w:szCs w:val="24"/>
        </w:rPr>
        <w:t>7</w:t>
      </w:r>
      <w:r w:rsidR="00363785">
        <w:rPr>
          <w:rFonts w:cs="Times New Roman"/>
          <w:b/>
          <w:szCs w:val="24"/>
        </w:rPr>
        <w:t>0</w:t>
      </w:r>
      <w:r w:rsidR="00A4336F" w:rsidRPr="00CD53C6">
        <w:rPr>
          <w:rFonts w:cs="Times New Roman"/>
          <w:b/>
          <w:szCs w:val="24"/>
        </w:rPr>
        <w:t>.</w:t>
      </w:r>
      <w:r w:rsidR="00A4336F" w:rsidRPr="00CD53C6">
        <w:rPr>
          <w:rFonts w:cs="Times New Roman"/>
          <w:szCs w:val="24"/>
        </w:rPr>
        <w:tab/>
        <w:t>Geconfronteerd met twee verschillende samenwerkingsakkoorden die de federale overheid inzake fiscale regularisatie had gesloten, het ene met het Vlaamse Gewest, het andere met het Waalse Gewest en het Brussels</w:t>
      </w:r>
      <w:r w:rsidR="002E4E73">
        <w:rPr>
          <w:rFonts w:cs="Times New Roman"/>
          <w:szCs w:val="24"/>
        </w:rPr>
        <w:t>e</w:t>
      </w:r>
      <w:r w:rsidR="00A4336F" w:rsidRPr="00CD53C6">
        <w:rPr>
          <w:rFonts w:cs="Times New Roman"/>
          <w:szCs w:val="24"/>
        </w:rPr>
        <w:t xml:space="preserve"> Hoofdstedelijk</w:t>
      </w:r>
      <w:r w:rsidR="002E4E73">
        <w:rPr>
          <w:rFonts w:cs="Times New Roman"/>
          <w:szCs w:val="24"/>
        </w:rPr>
        <w:t>e</w:t>
      </w:r>
      <w:r w:rsidR="00A4336F" w:rsidRPr="00CD53C6">
        <w:rPr>
          <w:rFonts w:cs="Times New Roman"/>
          <w:szCs w:val="24"/>
        </w:rPr>
        <w:t xml:space="preserve"> Gewest, oordeelde de Raad van State dat er in beginsel geen bezwaar is tegen het sluiten van asymmetrische samenwerkingsakkoorden, voor zover deze samenwerkingsakkoorden inhoudelijk niet onderling onverenigbaar zijn. Dit vloeit voort uit het feit dat er voor het sluiten van een samenwerkingsakkoord minstens twee partijen nodig zijn en uit het beginsel van de autonomie van de deelstaten. De federale overheid kan de deelstaten dan ook niet verplichten </w:t>
      </w:r>
      <w:r w:rsidR="00A4336F" w:rsidRPr="00CD53C6">
        <w:rPr>
          <w:rFonts w:cs="Times New Roman"/>
          <w:szCs w:val="24"/>
        </w:rPr>
        <w:lastRenderedPageBreak/>
        <w:t xml:space="preserve">om een samenwerkingsakkoord met </w:t>
      </w:r>
      <w:r w:rsidR="003C06E2">
        <w:rPr>
          <w:rFonts w:cs="Times New Roman"/>
          <w:szCs w:val="24"/>
        </w:rPr>
        <w:t>haar</w:t>
      </w:r>
      <w:r w:rsidR="003C06E2" w:rsidRPr="00CD53C6">
        <w:rPr>
          <w:rFonts w:cs="Times New Roman"/>
          <w:szCs w:val="24"/>
        </w:rPr>
        <w:t xml:space="preserve"> </w:t>
      </w:r>
      <w:r w:rsidR="00A4336F" w:rsidRPr="00CD53C6">
        <w:rPr>
          <w:rFonts w:cs="Times New Roman"/>
          <w:szCs w:val="24"/>
        </w:rPr>
        <w:t>te sluiten of om in te stappen in een geïntegreerde of gemeenschappelijke regelgeving. Bijgevolg stond er niets aan in de weg dat de federale overheid asymmetrische akkoorden sloot met het Vlaamse Gewest enerzijds, en met het Waalse Gewest en het Brusselse Hoofdstedelijke Gewest anderzijds</w:t>
      </w:r>
      <w:r w:rsidR="00271D31">
        <w:rPr>
          <w:rFonts w:cs="Times New Roman"/>
          <w:szCs w:val="24"/>
        </w:rPr>
        <w:t>,</w:t>
      </w:r>
      <w:r w:rsidR="00271D31" w:rsidRPr="00271D31">
        <w:rPr>
          <w:rFonts w:cs="Times New Roman"/>
          <w:szCs w:val="24"/>
        </w:rPr>
        <w:t xml:space="preserve"> </w:t>
      </w:r>
      <w:r w:rsidR="00271D31" w:rsidRPr="001724EE">
        <w:rPr>
          <w:rFonts w:cs="Times New Roman"/>
          <w:szCs w:val="24"/>
        </w:rPr>
        <w:t>waarbij de aangegeven bedragen w</w:t>
      </w:r>
      <w:r w:rsidR="00271D31">
        <w:rPr>
          <w:rFonts w:cs="Times New Roman"/>
          <w:szCs w:val="24"/>
        </w:rPr>
        <w:t>o</w:t>
      </w:r>
      <w:r w:rsidR="00271D31" w:rsidRPr="001724EE">
        <w:rPr>
          <w:rFonts w:cs="Times New Roman"/>
          <w:szCs w:val="24"/>
        </w:rPr>
        <w:t>rden geïdentificeerd naar herkomst en periode teneinde de</w:t>
      </w:r>
      <w:r w:rsidR="003C06E2">
        <w:rPr>
          <w:rFonts w:cs="Times New Roman"/>
          <w:szCs w:val="24"/>
        </w:rPr>
        <w:t xml:space="preserve"> inkomsten uit de</w:t>
      </w:r>
      <w:r w:rsidR="00271D31" w:rsidRPr="001724EE">
        <w:rPr>
          <w:rFonts w:cs="Times New Roman"/>
          <w:szCs w:val="24"/>
        </w:rPr>
        <w:t xml:space="preserve"> regularisatie te kunnen </w:t>
      </w:r>
      <w:r w:rsidR="003C06E2">
        <w:rPr>
          <w:rFonts w:cs="Times New Roman"/>
          <w:szCs w:val="24"/>
        </w:rPr>
        <w:t>verdelen.</w:t>
      </w:r>
      <w:r w:rsidR="00A4336F" w:rsidRPr="00CD53C6">
        <w:rPr>
          <w:rFonts w:cs="Times New Roman"/>
          <w:szCs w:val="24"/>
        </w:rPr>
        <w:t xml:space="preserve"> </w:t>
      </w:r>
      <w:r w:rsidR="00271D31">
        <w:rPr>
          <w:rFonts w:cs="Times New Roman"/>
          <w:szCs w:val="24"/>
        </w:rPr>
        <w:t xml:space="preserve">Er </w:t>
      </w:r>
      <w:r w:rsidR="003C06E2">
        <w:rPr>
          <w:rFonts w:cs="Times New Roman"/>
          <w:szCs w:val="24"/>
        </w:rPr>
        <w:t xml:space="preserve">werd wel opgemerkt dat de gehanteerde werkwijze tot gevolg had dat er geen regularisatie mogelijk was voor bedragen die niet konden worden geïdentificeerd naar herkomst en periode. Voor de gevallen waarin niet kon worden aangetoond dat enkele de federale overheid en een bepaald gewest betrokken waren (of waarin vaststond dat zowel het Vlaamse als het Brusselse Hoofdstedelijke of Waalse Gewest betrokken waren) was de regularisatie niet mogelijk, tenzij er alsnog een </w:t>
      </w:r>
      <w:r w:rsidR="00271D31">
        <w:rPr>
          <w:rFonts w:cs="Times New Roman"/>
          <w:szCs w:val="24"/>
        </w:rPr>
        <w:t>allesomvattend samenwerkingsakkoord</w:t>
      </w:r>
      <w:r w:rsidR="003C06E2">
        <w:rPr>
          <w:rFonts w:cs="Times New Roman"/>
          <w:szCs w:val="24"/>
        </w:rPr>
        <w:t xml:space="preserve"> zou</w:t>
      </w:r>
      <w:r w:rsidR="00271D31">
        <w:rPr>
          <w:rFonts w:cs="Times New Roman"/>
          <w:szCs w:val="24"/>
        </w:rPr>
        <w:t xml:space="preserve"> worden gesloten tussen alle betrokken overheden</w:t>
      </w:r>
      <w:r w:rsidR="00271D31" w:rsidRPr="001724EE">
        <w:rPr>
          <w:rFonts w:cs="Times New Roman"/>
          <w:szCs w:val="24"/>
        </w:rPr>
        <w:t>.</w:t>
      </w:r>
      <w:r w:rsidR="00271D31" w:rsidRPr="00DF632C">
        <w:rPr>
          <w:rStyle w:val="Voetnootmarkering"/>
          <w:rFonts w:cs="Times New Roman"/>
          <w:szCs w:val="24"/>
        </w:rPr>
        <w:footnoteReference w:id="260"/>
      </w:r>
      <w:r w:rsidR="00271D31" w:rsidRPr="00DF632C">
        <w:rPr>
          <w:rFonts w:cs="Times New Roman"/>
          <w:szCs w:val="24"/>
        </w:rPr>
        <w:t xml:space="preserve"> </w:t>
      </w:r>
    </w:p>
    <w:p w:rsidR="00D32F50" w:rsidRPr="00DF632C" w:rsidRDefault="00D32F50" w:rsidP="00D32F50">
      <w:pPr>
        <w:autoSpaceDE w:val="0"/>
        <w:autoSpaceDN w:val="0"/>
        <w:adjustRightInd w:val="0"/>
        <w:rPr>
          <w:rFonts w:cs="Times New Roman"/>
          <w:szCs w:val="24"/>
        </w:rPr>
      </w:pPr>
    </w:p>
    <w:p w:rsidR="00D32F50" w:rsidRPr="00CD53C6" w:rsidRDefault="00A4336F" w:rsidP="00A03BFF">
      <w:pPr>
        <w:pStyle w:val="Kop2"/>
        <w:rPr>
          <w:lang w:val="nl-BE"/>
        </w:rPr>
      </w:pPr>
      <w:bookmarkStart w:id="31" w:name="_Toc495677887"/>
      <w:r w:rsidRPr="00CD53C6">
        <w:rPr>
          <w:lang w:val="nl-BE"/>
        </w:rPr>
        <w:t>E. Opleggen van verplichtingen aan een andere overheid</w:t>
      </w:r>
      <w:bookmarkEnd w:id="31"/>
    </w:p>
    <w:p w:rsidR="00D32F50" w:rsidRPr="00DF632C" w:rsidRDefault="00D32F50" w:rsidP="00D32F50">
      <w:pPr>
        <w:autoSpaceDE w:val="0"/>
        <w:autoSpaceDN w:val="0"/>
        <w:adjustRightInd w:val="0"/>
        <w:rPr>
          <w:rFonts w:cs="Times New Roman"/>
          <w:szCs w:val="24"/>
        </w:rPr>
      </w:pPr>
    </w:p>
    <w:p w:rsidR="00D32F50" w:rsidRPr="00DF632C" w:rsidRDefault="001D12B7" w:rsidP="00CE11CC">
      <w:pPr>
        <w:autoSpaceDE w:val="0"/>
        <w:autoSpaceDN w:val="0"/>
        <w:adjustRightInd w:val="0"/>
        <w:rPr>
          <w:rFonts w:cs="Times New Roman"/>
          <w:szCs w:val="24"/>
        </w:rPr>
      </w:pPr>
      <w:r w:rsidRPr="00CD53C6">
        <w:rPr>
          <w:rFonts w:cs="Times New Roman"/>
          <w:b/>
          <w:szCs w:val="24"/>
        </w:rPr>
        <w:t>7</w:t>
      </w:r>
      <w:r w:rsidR="00271D31">
        <w:rPr>
          <w:rFonts w:cs="Times New Roman"/>
          <w:b/>
          <w:szCs w:val="24"/>
        </w:rPr>
        <w:t>1</w:t>
      </w:r>
      <w:r w:rsidR="00A4336F" w:rsidRPr="00CD53C6">
        <w:rPr>
          <w:rFonts w:cs="Times New Roman"/>
          <w:b/>
          <w:szCs w:val="24"/>
        </w:rPr>
        <w:t>.</w:t>
      </w:r>
      <w:r w:rsidR="00A4336F" w:rsidRPr="00CD53C6">
        <w:rPr>
          <w:rFonts w:cs="Times New Roman"/>
          <w:szCs w:val="24"/>
        </w:rPr>
        <w:t xml:space="preserve"> </w:t>
      </w:r>
      <w:r w:rsidR="00A4336F" w:rsidRPr="00CD53C6">
        <w:rPr>
          <w:rFonts w:cs="Times New Roman"/>
          <w:szCs w:val="24"/>
        </w:rPr>
        <w:tab/>
        <w:t xml:space="preserve">De Raad van State herhaalde dat op basis van het beginsel van de wederzijdse autonomie de federale overheid, gewesten en gemeenschappen </w:t>
      </w:r>
      <w:r w:rsidR="00D40F4D">
        <w:rPr>
          <w:rFonts w:cs="Times New Roman"/>
          <w:szCs w:val="24"/>
        </w:rPr>
        <w:t xml:space="preserve">in beginsel </w:t>
      </w:r>
      <w:r w:rsidR="00A4336F" w:rsidRPr="00CD53C6">
        <w:rPr>
          <w:rFonts w:cs="Times New Roman"/>
          <w:szCs w:val="24"/>
        </w:rPr>
        <w:t xml:space="preserve">geen verplichtingen kunnen opleggen aan elkaar. Zo is het onbestaanbaar met de bevoegdheidsverdelende regels dat de </w:t>
      </w:r>
      <w:r w:rsidR="005E5C93">
        <w:rPr>
          <w:rFonts w:cs="Times New Roman"/>
          <w:szCs w:val="24"/>
        </w:rPr>
        <w:t>R</w:t>
      </w:r>
      <w:r w:rsidR="00A4336F" w:rsidRPr="00CD53C6">
        <w:rPr>
          <w:rFonts w:cs="Times New Roman"/>
          <w:szCs w:val="24"/>
        </w:rPr>
        <w:t>egering van de Duitstalige Gemeenschap op eenzijdige wijze opdrachten geeft aan federale instellingen zoals het Riziv of het Fonds Sociale Maribel.</w:t>
      </w:r>
      <w:r w:rsidR="00D32F50" w:rsidRPr="00DF632C">
        <w:rPr>
          <w:rStyle w:val="Voetnootmarkering"/>
          <w:rFonts w:cs="Times New Roman"/>
          <w:szCs w:val="24"/>
        </w:rPr>
        <w:footnoteReference w:id="261"/>
      </w:r>
      <w:r w:rsidR="00D32F50" w:rsidRPr="00DF632C">
        <w:rPr>
          <w:rFonts w:cs="Times New Roman"/>
          <w:szCs w:val="24"/>
        </w:rPr>
        <w:t xml:space="preserve"> Een overheid kan wel de mogelijk</w:t>
      </w:r>
      <w:r w:rsidR="005E5C93">
        <w:rPr>
          <w:rFonts w:cs="Times New Roman"/>
          <w:szCs w:val="24"/>
        </w:rPr>
        <w:t>heid</w:t>
      </w:r>
      <w:r w:rsidR="00D32F50" w:rsidRPr="00DF632C">
        <w:rPr>
          <w:rFonts w:cs="Times New Roman"/>
          <w:szCs w:val="24"/>
        </w:rPr>
        <w:t xml:space="preserve"> openlaten dat de diensten van een andere overheid </w:t>
      </w:r>
      <w:r w:rsidR="00A4336F" w:rsidRPr="00CD53C6">
        <w:rPr>
          <w:rFonts w:cs="Times New Roman"/>
          <w:szCs w:val="24"/>
        </w:rPr>
        <w:t>vrijwillig meewerken aan het door hem gevoerde beleid, maar voor een voldoende solide en structurele samenwerking verdient het aanbeveling om de samenwerking vast te leggen in een voldoende zeker juridisch instrument.</w:t>
      </w:r>
      <w:r w:rsidR="00D32F50" w:rsidRPr="00DF632C">
        <w:rPr>
          <w:rStyle w:val="Voetnootmarkering"/>
          <w:rFonts w:cs="Times New Roman"/>
          <w:szCs w:val="24"/>
        </w:rPr>
        <w:footnoteReference w:id="262"/>
      </w:r>
      <w:r w:rsidR="00D32F50" w:rsidRPr="00DF632C">
        <w:rPr>
          <w:rFonts w:cs="Times New Roman"/>
          <w:szCs w:val="24"/>
        </w:rPr>
        <w:t xml:space="preserve"> De Raad van State wijst er </w:t>
      </w:r>
      <w:r w:rsidR="005E5C93">
        <w:rPr>
          <w:rFonts w:cs="Times New Roman"/>
          <w:szCs w:val="24"/>
        </w:rPr>
        <w:t>regelmatig</w:t>
      </w:r>
      <w:r w:rsidR="00D32F50" w:rsidRPr="00DF632C">
        <w:rPr>
          <w:rFonts w:cs="Times New Roman"/>
          <w:szCs w:val="24"/>
        </w:rPr>
        <w:t xml:space="preserve"> op dat de federale overheid en de deelstaten </w:t>
      </w:r>
      <w:r w:rsidR="005E5C93">
        <w:rPr>
          <w:rFonts w:cs="Times New Roman"/>
          <w:szCs w:val="24"/>
        </w:rPr>
        <w:t xml:space="preserve">het </w:t>
      </w:r>
      <w:r w:rsidR="00D32F50" w:rsidRPr="00DF632C">
        <w:rPr>
          <w:rFonts w:cs="Times New Roman"/>
          <w:szCs w:val="24"/>
        </w:rPr>
        <w:t>best een samenwerkingsakkoord sluiten voor onderlinge gegevensuitwisseling</w:t>
      </w:r>
      <w:r w:rsidR="005E5C93">
        <w:rPr>
          <w:rFonts w:cs="Times New Roman"/>
          <w:szCs w:val="24"/>
        </w:rPr>
        <w:t xml:space="preserve"> in bepaalde beleidsdomeinen</w:t>
      </w:r>
      <w:r w:rsidR="00D32F50" w:rsidRPr="00DF632C">
        <w:rPr>
          <w:rFonts w:cs="Times New Roman"/>
          <w:szCs w:val="24"/>
        </w:rPr>
        <w:t>.</w:t>
      </w:r>
      <w:r w:rsidR="00D32F50" w:rsidRPr="00DF632C">
        <w:rPr>
          <w:rStyle w:val="Voetnootmarkering"/>
          <w:rFonts w:cs="Times New Roman"/>
          <w:szCs w:val="24"/>
        </w:rPr>
        <w:footnoteReference w:id="263"/>
      </w:r>
      <w:r w:rsidR="00D32F50" w:rsidRPr="00DF632C">
        <w:rPr>
          <w:rFonts w:cs="Times New Roman"/>
          <w:szCs w:val="24"/>
        </w:rPr>
        <w:t xml:space="preserve"> </w:t>
      </w:r>
      <w:r w:rsidR="005E5C93">
        <w:rPr>
          <w:rFonts w:cs="Times New Roman"/>
          <w:szCs w:val="24"/>
        </w:rPr>
        <w:t xml:space="preserve">In fiscale aangelegenheden bestaat er </w:t>
      </w:r>
      <w:r w:rsidR="00A4336F" w:rsidRPr="00CD53C6">
        <w:rPr>
          <w:rFonts w:cs="Times New Roman"/>
          <w:szCs w:val="24"/>
        </w:rPr>
        <w:t xml:space="preserve">overigens een </w:t>
      </w:r>
      <w:r w:rsidR="005E5C93">
        <w:rPr>
          <w:rFonts w:cs="Times New Roman"/>
          <w:szCs w:val="24"/>
        </w:rPr>
        <w:t xml:space="preserve">uitdrukkelijke </w:t>
      </w:r>
      <w:r w:rsidR="00A4336F" w:rsidRPr="00CD53C6">
        <w:rPr>
          <w:rFonts w:cs="Times New Roman"/>
          <w:szCs w:val="24"/>
        </w:rPr>
        <w:t xml:space="preserve">verplichting </w:t>
      </w:r>
      <w:r w:rsidR="005E5C93">
        <w:rPr>
          <w:rFonts w:cs="Times New Roman"/>
          <w:szCs w:val="24"/>
        </w:rPr>
        <w:t>voor</w:t>
      </w:r>
      <w:r w:rsidR="00A4336F" w:rsidRPr="00CD53C6">
        <w:rPr>
          <w:rFonts w:cs="Times New Roman"/>
          <w:szCs w:val="24"/>
        </w:rPr>
        <w:t xml:space="preserve"> de gewesten en de federale overheid om een dergelijk samenwerkingsakkoord voor de uitwisseling van informatie te sluiten.</w:t>
      </w:r>
      <w:r w:rsidR="00D32F50" w:rsidRPr="00DF632C">
        <w:rPr>
          <w:rStyle w:val="Voetnootmarkering"/>
          <w:rFonts w:cs="Times New Roman"/>
          <w:szCs w:val="24"/>
        </w:rPr>
        <w:footnoteReference w:id="264"/>
      </w:r>
      <w:r w:rsidR="00D32F50" w:rsidRPr="00DF632C">
        <w:rPr>
          <w:rFonts w:cs="Times New Roman"/>
          <w:szCs w:val="24"/>
        </w:rPr>
        <w:t xml:space="preserve"> </w:t>
      </w:r>
      <w:r w:rsidR="001617B0">
        <w:rPr>
          <w:rFonts w:cs="Times New Roman"/>
          <w:szCs w:val="24"/>
        </w:rPr>
        <w:t xml:space="preserve">Eerder al had </w:t>
      </w:r>
      <w:r w:rsidR="00D32F50" w:rsidRPr="00DF632C">
        <w:rPr>
          <w:rFonts w:cs="Times New Roman"/>
          <w:szCs w:val="24"/>
        </w:rPr>
        <w:t xml:space="preserve">de Raad van State </w:t>
      </w:r>
      <w:r w:rsidR="00D40F4D">
        <w:rPr>
          <w:rFonts w:cs="Times New Roman"/>
          <w:szCs w:val="24"/>
        </w:rPr>
        <w:t xml:space="preserve">wel al </w:t>
      </w:r>
      <w:r w:rsidR="001617B0">
        <w:rPr>
          <w:rFonts w:cs="Times New Roman"/>
          <w:szCs w:val="24"/>
        </w:rPr>
        <w:t xml:space="preserve">aanvaard </w:t>
      </w:r>
      <w:r w:rsidR="00D32F50" w:rsidRPr="00DF632C">
        <w:rPr>
          <w:rFonts w:cs="Times New Roman"/>
          <w:szCs w:val="24"/>
        </w:rPr>
        <w:t xml:space="preserve">dat een eenzijdige informatieplicht </w:t>
      </w:r>
      <w:r w:rsidR="001617B0">
        <w:rPr>
          <w:rFonts w:cs="Times New Roman"/>
          <w:szCs w:val="24"/>
        </w:rPr>
        <w:t>door</w:t>
      </w:r>
      <w:r w:rsidR="001617B0" w:rsidRPr="00DF632C">
        <w:rPr>
          <w:rFonts w:cs="Times New Roman"/>
          <w:szCs w:val="24"/>
        </w:rPr>
        <w:t xml:space="preserve"> </w:t>
      </w:r>
      <w:r w:rsidR="00D32F50" w:rsidRPr="00DF632C">
        <w:rPr>
          <w:rFonts w:cs="Times New Roman"/>
          <w:szCs w:val="24"/>
        </w:rPr>
        <w:t>één overheid aan de diensten van e</w:t>
      </w:r>
      <w:r w:rsidR="00A4336F" w:rsidRPr="00CD53C6">
        <w:rPr>
          <w:rFonts w:cs="Times New Roman"/>
          <w:szCs w:val="24"/>
        </w:rPr>
        <w:t>en andere overheid wordt opgelegd</w:t>
      </w:r>
      <w:r w:rsidR="00D40F4D">
        <w:rPr>
          <w:rFonts w:cs="Times New Roman"/>
          <w:szCs w:val="24"/>
        </w:rPr>
        <w:t xml:space="preserve"> als</w:t>
      </w:r>
      <w:r w:rsidR="00A4336F" w:rsidRPr="00CD53C6">
        <w:rPr>
          <w:rFonts w:cs="Times New Roman"/>
          <w:szCs w:val="24"/>
        </w:rPr>
        <w:t xml:space="preserve"> is voldaan aan de voorwaarden om een beroep te doen op impliciete bevoegdheden (artikel 10 BWHI).</w:t>
      </w:r>
      <w:r w:rsidR="00D32F50" w:rsidRPr="00DF632C">
        <w:rPr>
          <w:rStyle w:val="Voetnootmarkering"/>
          <w:rFonts w:cs="Times New Roman"/>
          <w:szCs w:val="24"/>
        </w:rPr>
        <w:footnoteReference w:id="265"/>
      </w:r>
    </w:p>
    <w:p w:rsidR="009F4B34" w:rsidRPr="00DF632C" w:rsidRDefault="00A4336F" w:rsidP="00D32F50">
      <w:pPr>
        <w:pStyle w:val="Kop1"/>
      </w:pPr>
      <w:bookmarkStart w:id="32" w:name="_Toc495677888"/>
      <w:r w:rsidRPr="00CD53C6">
        <w:t>VII. Rechtsgrond</w:t>
      </w:r>
      <w:bookmarkEnd w:id="32"/>
    </w:p>
    <w:p w:rsidR="0084692B" w:rsidRDefault="0084692B" w:rsidP="001B6036">
      <w:pPr>
        <w:rPr>
          <w:szCs w:val="24"/>
        </w:rPr>
      </w:pPr>
    </w:p>
    <w:p w:rsidR="007D5AD8" w:rsidRPr="00262AA8" w:rsidRDefault="002A7EE6" w:rsidP="00CD53C6">
      <w:pPr>
        <w:pStyle w:val="Kop2"/>
        <w:rPr>
          <w:lang w:val="nl-BE"/>
        </w:rPr>
      </w:pPr>
      <w:bookmarkStart w:id="33" w:name="_Toc495677889"/>
      <w:r w:rsidRPr="00262AA8">
        <w:rPr>
          <w:lang w:val="nl-BE"/>
        </w:rPr>
        <w:t>A. Noodzaak van een uitdrukkelijke rechtsgrond</w:t>
      </w:r>
      <w:bookmarkEnd w:id="33"/>
    </w:p>
    <w:p w:rsidR="007D5AD8" w:rsidRPr="00DF632C" w:rsidRDefault="007D5AD8" w:rsidP="001B6036">
      <w:pPr>
        <w:rPr>
          <w:szCs w:val="24"/>
        </w:rPr>
      </w:pPr>
    </w:p>
    <w:p w:rsidR="00581C30" w:rsidRPr="00DF632C" w:rsidRDefault="001D12B7" w:rsidP="001B6036">
      <w:pPr>
        <w:rPr>
          <w:szCs w:val="24"/>
        </w:rPr>
      </w:pPr>
      <w:r w:rsidRPr="00CD53C6">
        <w:rPr>
          <w:b/>
          <w:szCs w:val="24"/>
        </w:rPr>
        <w:lastRenderedPageBreak/>
        <w:t>7</w:t>
      </w:r>
      <w:r w:rsidR="00335849">
        <w:rPr>
          <w:b/>
          <w:szCs w:val="24"/>
        </w:rPr>
        <w:t>2</w:t>
      </w:r>
      <w:r w:rsidR="00A4336F" w:rsidRPr="00CD53C6">
        <w:rPr>
          <w:b/>
          <w:szCs w:val="24"/>
        </w:rPr>
        <w:t>.</w:t>
      </w:r>
      <w:r w:rsidR="00A4336F" w:rsidRPr="00CD53C6">
        <w:rPr>
          <w:szCs w:val="24"/>
        </w:rPr>
        <w:tab/>
      </w:r>
      <w:r w:rsidR="00B42B0A">
        <w:rPr>
          <w:szCs w:val="24"/>
        </w:rPr>
        <w:t>Omwille van</w:t>
      </w:r>
      <w:r w:rsidR="00B42B0A" w:rsidRPr="00CD53C6">
        <w:rPr>
          <w:szCs w:val="24"/>
        </w:rPr>
        <w:t xml:space="preserve"> </w:t>
      </w:r>
      <w:r w:rsidR="00A4336F" w:rsidRPr="00CD53C6">
        <w:rPr>
          <w:szCs w:val="24"/>
        </w:rPr>
        <w:t>het legaliteitsbeginsel is voor elk onderdeel van een uitvoeringsbesluit een voldoende rechtsgrond vereist. De controle van de rechtsgrond is een van de kerntaken van de Raad van State, die dan ook altijd wordt uitgeoefend, ook voor spoedadviezen.</w:t>
      </w:r>
      <w:r w:rsidR="00581C30" w:rsidRPr="00DF632C">
        <w:rPr>
          <w:rStyle w:val="Voetnootmarkering"/>
          <w:szCs w:val="24"/>
        </w:rPr>
        <w:footnoteReference w:id="266"/>
      </w:r>
      <w:r w:rsidR="003F06EE" w:rsidRPr="00DF632C">
        <w:rPr>
          <w:szCs w:val="24"/>
        </w:rPr>
        <w:t xml:space="preserve"> </w:t>
      </w:r>
    </w:p>
    <w:p w:rsidR="00581C30" w:rsidRPr="00DF632C" w:rsidRDefault="00581C30" w:rsidP="001B6036">
      <w:pPr>
        <w:rPr>
          <w:szCs w:val="24"/>
        </w:rPr>
      </w:pPr>
    </w:p>
    <w:p w:rsidR="006C1BC8" w:rsidRPr="00DF632C" w:rsidRDefault="00A4336F" w:rsidP="004C165C">
      <w:pPr>
        <w:rPr>
          <w:szCs w:val="24"/>
        </w:rPr>
      </w:pPr>
      <w:r w:rsidRPr="00CD53C6">
        <w:rPr>
          <w:szCs w:val="24"/>
        </w:rPr>
        <w:t>Voor de regeling van sommige aangelegenheden vereist de Raad van State een uitdrukkelijke rechtsgrond. De wetgever moet expliciet hebben aangegeven dat hij bepaalde aspecten van een regeling heeft gewenst, omdat die aspecten niet zonder meer kunnen worden afgeleid uit een vrij algemeen geformuleerde delegatie.</w:t>
      </w:r>
      <w:r w:rsidR="00335849">
        <w:rPr>
          <w:szCs w:val="24"/>
        </w:rPr>
        <w:t xml:space="preserve"> </w:t>
      </w:r>
      <w:r w:rsidRPr="00CD53C6">
        <w:rPr>
          <w:szCs w:val="24"/>
        </w:rPr>
        <w:t>Zo volstaat een wetsbepaling waarbij ambtenaren een algemeen geformuleerde toezichtsbevoegdheid krijgen niet als rechtsgrond voor dwingende toezichtsmaatregelen zoals de toegang tot lokalen en het opvragen, inkijken en meenemen tegen ontvangstbewijs van stukken.</w:t>
      </w:r>
      <w:r w:rsidR="004C165C" w:rsidRPr="00DF632C">
        <w:rPr>
          <w:rStyle w:val="Voetnootmarkering"/>
          <w:szCs w:val="24"/>
        </w:rPr>
        <w:footnoteReference w:id="267"/>
      </w:r>
      <w:r w:rsidR="00335849">
        <w:rPr>
          <w:szCs w:val="24"/>
        </w:rPr>
        <w:t xml:space="preserve"> </w:t>
      </w:r>
      <w:r w:rsidRPr="00CD53C6">
        <w:rPr>
          <w:szCs w:val="24"/>
        </w:rPr>
        <w:t>Ook het invoeren van een vergunningsplicht vergt een uitdrukkelijke rechtsgrond. Zo volstaat niet dat in de wet melding wordt gemaakt van een verplichte registratie, aangezien een vergunningsplicht verder reikt dan een registratieplicht.</w:t>
      </w:r>
      <w:r w:rsidR="006C1BC8" w:rsidRPr="00DF632C">
        <w:rPr>
          <w:rStyle w:val="Voetnootmarkering"/>
          <w:szCs w:val="24"/>
        </w:rPr>
        <w:footnoteReference w:id="268"/>
      </w:r>
      <w:r w:rsidR="00335849">
        <w:rPr>
          <w:szCs w:val="24"/>
        </w:rPr>
        <w:t xml:space="preserve"> </w:t>
      </w:r>
      <w:r w:rsidRPr="00CD53C6">
        <w:rPr>
          <w:szCs w:val="24"/>
        </w:rPr>
        <w:t xml:space="preserve">Voor het opleggen van taken aan instellingen met rechtspersoonlijkheid is </w:t>
      </w:r>
      <w:r w:rsidR="00335849">
        <w:rPr>
          <w:szCs w:val="24"/>
        </w:rPr>
        <w:t xml:space="preserve">eveneens </w:t>
      </w:r>
      <w:r w:rsidRPr="00CD53C6">
        <w:rPr>
          <w:szCs w:val="24"/>
        </w:rPr>
        <w:t>een uitdrukkelijke rechtsgrond vereist. Op het niveau van de deelgebieden vloeit dat zelfs uitdrukkelijk voort uit artikel 9 BWHI.</w:t>
      </w:r>
      <w:r w:rsidR="006C1BC8" w:rsidRPr="00DF632C">
        <w:rPr>
          <w:rStyle w:val="Voetnootmarkering"/>
          <w:szCs w:val="24"/>
        </w:rPr>
        <w:footnoteReference w:id="269"/>
      </w:r>
    </w:p>
    <w:p w:rsidR="006C1BC8" w:rsidRDefault="006C1BC8" w:rsidP="004C165C">
      <w:pPr>
        <w:rPr>
          <w:szCs w:val="24"/>
        </w:rPr>
      </w:pPr>
    </w:p>
    <w:p w:rsidR="007D5AD8" w:rsidRPr="00262AA8" w:rsidRDefault="002A7EE6" w:rsidP="00CD53C6">
      <w:pPr>
        <w:pStyle w:val="Kop2"/>
        <w:rPr>
          <w:lang w:val="nl-BE"/>
        </w:rPr>
      </w:pPr>
      <w:bookmarkStart w:id="34" w:name="_Toc495677890"/>
      <w:r w:rsidRPr="00262AA8">
        <w:rPr>
          <w:lang w:val="nl-BE"/>
        </w:rPr>
        <w:t>B. Algemene uitvoeringsbevoegdheid</w:t>
      </w:r>
      <w:bookmarkEnd w:id="34"/>
    </w:p>
    <w:p w:rsidR="007D5AD8" w:rsidRPr="00DF632C" w:rsidRDefault="007D5AD8" w:rsidP="004C165C">
      <w:pPr>
        <w:rPr>
          <w:szCs w:val="24"/>
        </w:rPr>
      </w:pPr>
    </w:p>
    <w:p w:rsidR="006F0604" w:rsidRPr="00DF632C" w:rsidRDefault="001D12B7" w:rsidP="001B6036">
      <w:pPr>
        <w:rPr>
          <w:szCs w:val="24"/>
        </w:rPr>
      </w:pPr>
      <w:r w:rsidRPr="00CD53C6">
        <w:rPr>
          <w:b/>
          <w:szCs w:val="24"/>
        </w:rPr>
        <w:t>7</w:t>
      </w:r>
      <w:r w:rsidR="007F3796">
        <w:rPr>
          <w:b/>
          <w:szCs w:val="24"/>
        </w:rPr>
        <w:t>3</w:t>
      </w:r>
      <w:r w:rsidR="00A4336F" w:rsidRPr="00CD53C6">
        <w:rPr>
          <w:b/>
          <w:szCs w:val="24"/>
        </w:rPr>
        <w:t>.</w:t>
      </w:r>
      <w:r w:rsidR="00A4336F" w:rsidRPr="00CD53C6">
        <w:rPr>
          <w:szCs w:val="24"/>
        </w:rPr>
        <w:tab/>
        <w:t xml:space="preserve">In een aantal gevallen kan een beroep worden gedaan op de algemene uitvoeringsbevoegdheid van de Koning (artikel 108 </w:t>
      </w:r>
      <w:r w:rsidR="00701A1B">
        <w:rPr>
          <w:szCs w:val="24"/>
        </w:rPr>
        <w:t>Gw.</w:t>
      </w:r>
      <w:r w:rsidR="00A4336F" w:rsidRPr="00CD53C6">
        <w:rPr>
          <w:szCs w:val="24"/>
        </w:rPr>
        <w:t>) of van de gemeenschaps- of gewestregering (artikel 20 BWHI) wanneer er geen uitdrukkelijke rechtsgrond voorhanden is. In beginsel moet die algemene uitvoeringsbevoegdheid worden gecombineerd met een of meer wetsbepalingen waaruit dan blijkt dat de beoogde regeling kan worden ingepast in de geest en de algemene economie van de wet.</w:t>
      </w:r>
      <w:r w:rsidR="006F0604" w:rsidRPr="00DF632C">
        <w:rPr>
          <w:rStyle w:val="Voetnootmarkering"/>
          <w:szCs w:val="24"/>
        </w:rPr>
        <w:footnoteReference w:id="270"/>
      </w:r>
    </w:p>
    <w:p w:rsidR="0014132C" w:rsidRPr="00DF632C" w:rsidRDefault="0014132C" w:rsidP="001B6036">
      <w:pPr>
        <w:rPr>
          <w:szCs w:val="24"/>
        </w:rPr>
      </w:pPr>
    </w:p>
    <w:p w:rsidR="0014132C" w:rsidRPr="00DF632C" w:rsidRDefault="00A4336F" w:rsidP="001B6036">
      <w:pPr>
        <w:rPr>
          <w:szCs w:val="24"/>
        </w:rPr>
      </w:pPr>
      <w:r w:rsidRPr="00CD53C6">
        <w:rPr>
          <w:szCs w:val="24"/>
        </w:rPr>
        <w:t xml:space="preserve">Voor het instellen van een jaarlijkse “persprijs duurzame ontwikkeling” die zou worden uitgereikt door de Federale Raad voor Duurzame Ontwikkeling bestond geen uitdrukkelijke rechtsgrond, maar </w:t>
      </w:r>
      <w:r w:rsidR="003C06E2" w:rsidRPr="00CD53C6">
        <w:rPr>
          <w:szCs w:val="24"/>
        </w:rPr>
        <w:t xml:space="preserve">kon </w:t>
      </w:r>
      <w:r w:rsidRPr="00CD53C6">
        <w:rPr>
          <w:szCs w:val="24"/>
        </w:rPr>
        <w:t xml:space="preserve">ervoor worden gesteund op de algemene uitvoeringsbevoegdheid, gelezen in samenhang met </w:t>
      </w:r>
      <w:r w:rsidR="007D5AD8">
        <w:rPr>
          <w:szCs w:val="24"/>
        </w:rPr>
        <w:t>een wetsbepaling die</w:t>
      </w:r>
      <w:r w:rsidRPr="00CD53C6">
        <w:rPr>
          <w:szCs w:val="24"/>
        </w:rPr>
        <w:t xml:space="preserve"> als een van de opdrachten van de FRDO vermeldt: “de actieve medewerking op te wekken van de openbare en particuliere organisaties alsook de burgers om deze doelstellingen te verwezenlijken”.</w:t>
      </w:r>
      <w:r w:rsidR="001F0F15" w:rsidRPr="00DF632C">
        <w:rPr>
          <w:rStyle w:val="Voetnootmarkering"/>
          <w:szCs w:val="24"/>
        </w:rPr>
        <w:footnoteReference w:id="271"/>
      </w:r>
    </w:p>
    <w:p w:rsidR="001F0F15" w:rsidRPr="00DF632C" w:rsidRDefault="001F0F15" w:rsidP="001B6036">
      <w:pPr>
        <w:rPr>
          <w:szCs w:val="24"/>
        </w:rPr>
      </w:pPr>
    </w:p>
    <w:p w:rsidR="00446C2B" w:rsidRPr="00DF632C" w:rsidRDefault="001D12B7" w:rsidP="00446C2B">
      <w:pPr>
        <w:rPr>
          <w:szCs w:val="24"/>
        </w:rPr>
      </w:pPr>
      <w:r w:rsidRPr="00CD53C6">
        <w:rPr>
          <w:b/>
          <w:szCs w:val="24"/>
        </w:rPr>
        <w:t>7</w:t>
      </w:r>
      <w:r w:rsidR="007D5AD8">
        <w:rPr>
          <w:b/>
          <w:szCs w:val="24"/>
        </w:rPr>
        <w:t>4</w:t>
      </w:r>
      <w:r w:rsidR="00A4336F" w:rsidRPr="00CD53C6">
        <w:rPr>
          <w:b/>
          <w:szCs w:val="24"/>
        </w:rPr>
        <w:t>.</w:t>
      </w:r>
      <w:r w:rsidR="00A4336F" w:rsidRPr="00CD53C6">
        <w:rPr>
          <w:szCs w:val="24"/>
        </w:rPr>
        <w:tab/>
        <w:t xml:space="preserve">De algemene uitvoeringsbevoegdheid komt enkel toe aan de Koning en aan de regeringen, niet aan individuele ministers. Dat betekent dat ministers voor de uitoefening van reglementerende bevoegdheden steeds over een uitdrukkelijke machtiging moeten beschikken en dat die machtiging bovendien, nog afgezien van het gegeven dat ze enkel kan slaan op </w:t>
      </w:r>
      <w:r w:rsidR="00A4336F" w:rsidRPr="00CD53C6">
        <w:rPr>
          <w:szCs w:val="24"/>
        </w:rPr>
        <w:lastRenderedPageBreak/>
        <w:t xml:space="preserve">uitvoeringsmaatregelen van bijkomstige of detailmatige aard (nr. </w:t>
      </w:r>
      <w:r w:rsidR="0003630D" w:rsidRPr="00262AA8">
        <w:rPr>
          <w:szCs w:val="24"/>
          <w:highlight w:val="yellow"/>
        </w:rPr>
        <w:t>83</w:t>
      </w:r>
      <w:r w:rsidR="00A4336F" w:rsidRPr="00CD53C6">
        <w:rPr>
          <w:szCs w:val="24"/>
        </w:rPr>
        <w:t>), niet kan worden uitgebreid tot gevallen die er niet uitdrukkelijk in worden vermeld.</w:t>
      </w:r>
      <w:r w:rsidR="00E00786" w:rsidRPr="00DF632C">
        <w:rPr>
          <w:rStyle w:val="Voetnootmarkering"/>
          <w:szCs w:val="24"/>
        </w:rPr>
        <w:footnoteReference w:id="272"/>
      </w:r>
    </w:p>
    <w:p w:rsidR="002C447E" w:rsidRPr="00DF632C" w:rsidRDefault="002C447E" w:rsidP="00446C2B">
      <w:pPr>
        <w:rPr>
          <w:szCs w:val="24"/>
        </w:rPr>
      </w:pPr>
    </w:p>
    <w:p w:rsidR="004676DA" w:rsidRPr="00DF632C" w:rsidRDefault="00A4336F" w:rsidP="00446C2B">
      <w:pPr>
        <w:rPr>
          <w:szCs w:val="24"/>
        </w:rPr>
      </w:pPr>
      <w:r w:rsidRPr="00CD53C6">
        <w:rPr>
          <w:szCs w:val="24"/>
        </w:rPr>
        <w:t>Zo kan uit een delegatie om “bijkomende specificaties vast [te] leggen voor de kwaliteit van het ventilatiesysteem en de meting die de overeenstemming tussen de geëiste en de gerealiseerde debieten aantoont” niet worden afgeleid dat de minister ook eisen kan bepalen ten aanzien van de instanties die achteraf de conformiteit van die metingen kunnen bevestigen.</w:t>
      </w:r>
      <w:r w:rsidR="002C447E" w:rsidRPr="00DF632C">
        <w:rPr>
          <w:rStyle w:val="Voetnootmarkering"/>
          <w:szCs w:val="24"/>
        </w:rPr>
        <w:footnoteReference w:id="273"/>
      </w:r>
      <w:r w:rsidR="004676DA" w:rsidRPr="00DF632C">
        <w:rPr>
          <w:szCs w:val="24"/>
        </w:rPr>
        <w:t xml:space="preserve"> Een delegatie om </w:t>
      </w:r>
      <w:r w:rsidR="0049301E" w:rsidRPr="00DF632C">
        <w:rPr>
          <w:szCs w:val="24"/>
        </w:rPr>
        <w:t>“</w:t>
      </w:r>
      <w:r w:rsidRPr="00CD53C6">
        <w:rPr>
          <w:szCs w:val="24"/>
        </w:rPr>
        <w:t>voor de rassen van honden waarvoor de genetische diversiteit in het gedrang is” af te wijken van het beginsel dat de vereniging of de organisatie van fokkers zelf beslissen of de vaststelling van de genetische identiteit van de mannelijke fokdieren een voorwaarde is voor toelating tot de voortplanting, door alsnog de vaststelling van die genetische identiteit op te leggen, kan niet worden aangegrepen als een rechtsgrond om die verplichting aan de vereniging of de organisatie van fokkers op te leggen. Daarvoor is een uitdrukkelijke machtiging aan de minister vereist.</w:t>
      </w:r>
      <w:r w:rsidR="004676DA" w:rsidRPr="00DF632C">
        <w:rPr>
          <w:rStyle w:val="Voetnootmarkering"/>
          <w:szCs w:val="24"/>
        </w:rPr>
        <w:footnoteReference w:id="274"/>
      </w:r>
    </w:p>
    <w:p w:rsidR="00446C2B" w:rsidRPr="00DF632C" w:rsidRDefault="00446C2B" w:rsidP="001B6036">
      <w:pPr>
        <w:rPr>
          <w:szCs w:val="24"/>
        </w:rPr>
      </w:pPr>
    </w:p>
    <w:p w:rsidR="00005900" w:rsidRPr="00DF632C" w:rsidRDefault="001D12B7" w:rsidP="001B6036">
      <w:pPr>
        <w:rPr>
          <w:szCs w:val="24"/>
        </w:rPr>
      </w:pPr>
      <w:r w:rsidRPr="00CD53C6">
        <w:rPr>
          <w:b/>
          <w:szCs w:val="24"/>
        </w:rPr>
        <w:t>7</w:t>
      </w:r>
      <w:r w:rsidR="007D5AD8">
        <w:rPr>
          <w:b/>
          <w:szCs w:val="24"/>
        </w:rPr>
        <w:t>5</w:t>
      </w:r>
      <w:r w:rsidR="00A4336F" w:rsidRPr="00CD53C6">
        <w:rPr>
          <w:b/>
          <w:szCs w:val="24"/>
        </w:rPr>
        <w:t>.</w:t>
      </w:r>
      <w:r w:rsidR="00A4336F" w:rsidRPr="00CD53C6">
        <w:rPr>
          <w:szCs w:val="24"/>
        </w:rPr>
        <w:tab/>
        <w:t xml:space="preserve">Er wordt ook wel beroep gedaan op de algemene uitvoeringsbevoegdheid voor het opheffen van koninklijke besluiten of regeringsbesluiten waarvoor de bestaande rechtsgrond was opgeheven. Normaal gesproken </w:t>
      </w:r>
      <w:r w:rsidR="007D5AD8">
        <w:rPr>
          <w:szCs w:val="24"/>
        </w:rPr>
        <w:t>moet</w:t>
      </w:r>
      <w:r w:rsidR="007D5AD8" w:rsidRPr="00CD53C6">
        <w:rPr>
          <w:szCs w:val="24"/>
        </w:rPr>
        <w:t xml:space="preserve"> </w:t>
      </w:r>
      <w:r w:rsidR="00A4336F" w:rsidRPr="00CD53C6">
        <w:rPr>
          <w:szCs w:val="24"/>
        </w:rPr>
        <w:t>die opheffing gebeuren op basis van een nieuwe rechtsgrondbepaling die in de plaats is gekomen van de oude rechtsgrondbepaling (substitutie van rechtsgrond),</w:t>
      </w:r>
      <w:r w:rsidR="00005900" w:rsidRPr="00DF632C">
        <w:rPr>
          <w:rStyle w:val="Voetnootmarkering"/>
          <w:szCs w:val="24"/>
        </w:rPr>
        <w:footnoteReference w:id="275"/>
      </w:r>
      <w:r w:rsidR="00005900" w:rsidRPr="00DF632C">
        <w:rPr>
          <w:szCs w:val="24"/>
        </w:rPr>
        <w:t xml:space="preserve"> maar als er geen dergelijke nieuwe rechtsgrondbepaling voorhanden is, kan voor de opheffing van het oude besluit worden gesteund op de algemene uitvoeringsbevoegdheid, gelezen in samenhang met de opheffingsbepaling van de bestaande rechtsgrondbepaling. Di</w:t>
      </w:r>
      <w:r w:rsidR="00A4336F" w:rsidRPr="00CD53C6">
        <w:rPr>
          <w:szCs w:val="24"/>
        </w:rPr>
        <w:t>e opheffingsbepaling heeft uit zich weliswaar geen rechtsgevolgen meer, maar er kan wel uit worden afgeleid dat de wetgever schoon schip wilde maken met de betrokken rechtsgrondbepaling en de Koning kan daar op grond van zijn algemene uitvoeringsbevoegdheid de nodige gevolgen uit trekken wat betreft de uitvoeringsbesluiten.</w:t>
      </w:r>
    </w:p>
    <w:p w:rsidR="00005900" w:rsidRPr="00DF632C" w:rsidRDefault="00005900" w:rsidP="001B6036">
      <w:pPr>
        <w:rPr>
          <w:szCs w:val="24"/>
        </w:rPr>
      </w:pPr>
    </w:p>
    <w:p w:rsidR="001F0F15" w:rsidRPr="00DF632C" w:rsidRDefault="00A4336F" w:rsidP="0079131D">
      <w:pPr>
        <w:rPr>
          <w:szCs w:val="24"/>
        </w:rPr>
      </w:pPr>
      <w:r w:rsidRPr="00CD53C6">
        <w:rPr>
          <w:szCs w:val="24"/>
        </w:rPr>
        <w:t xml:space="preserve">Een bijzonder geval is er wanneer een (bepaling van een) besluit wordt </w:t>
      </w:r>
      <w:r w:rsidR="0084692B">
        <w:rPr>
          <w:szCs w:val="24"/>
        </w:rPr>
        <w:t>opgeheven</w:t>
      </w:r>
      <w:r w:rsidRPr="00CD53C6">
        <w:rPr>
          <w:szCs w:val="24"/>
        </w:rPr>
        <w:t xml:space="preserve"> waarvoor van in het begin geen rechtsgrond bestond. Aangezien de algemene uitvoeringsbevoegdheid maar kan worden gebruikt in combinatie met een bepaalde wetgevende bepaling, aanvaardde de Raad van State dat het opheffen van een </w:t>
      </w:r>
      <w:r w:rsidRPr="00CD53C6">
        <w:rPr>
          <w:i/>
          <w:szCs w:val="24"/>
        </w:rPr>
        <w:t>ab initio</w:t>
      </w:r>
      <w:r w:rsidRPr="00CD53C6">
        <w:rPr>
          <w:szCs w:val="24"/>
        </w:rPr>
        <w:t xml:space="preserve"> rechtsgrondloos besluit tot de inherente bevoegdheid van de Koning of de regering behoort, zonder dat zelfs een beroep moet worden gedaan op de algemene uitvoeringsbevoegdheid.</w:t>
      </w:r>
      <w:r w:rsidR="00005900" w:rsidRPr="00DF632C">
        <w:rPr>
          <w:rStyle w:val="Voetnootmarkering"/>
          <w:szCs w:val="24"/>
        </w:rPr>
        <w:footnoteReference w:id="276"/>
      </w:r>
      <w:r w:rsidR="0079131D" w:rsidRPr="00DF632C">
        <w:rPr>
          <w:szCs w:val="24"/>
        </w:rPr>
        <w:t xml:space="preserve"> In een ander advies werd in een zelfde geval aangenomen dat er toch een beroep kon worden gedaan op de algemene uitvoeringsbevoegdheid, maar dan zonder samenhang met enige wetgevende bepaling.</w:t>
      </w:r>
      <w:r w:rsidR="0079131D" w:rsidRPr="00DF632C">
        <w:rPr>
          <w:rStyle w:val="Voetnootmarkering"/>
          <w:szCs w:val="24"/>
        </w:rPr>
        <w:footnoteReference w:id="277"/>
      </w:r>
      <w:r w:rsidR="00565054">
        <w:rPr>
          <w:szCs w:val="24"/>
        </w:rPr>
        <w:t xml:space="preserve"> Het verschil tussen de twee conclusies is veeleer semantisch van aard.</w:t>
      </w:r>
    </w:p>
    <w:p w:rsidR="006F0604" w:rsidRPr="00DF632C" w:rsidRDefault="006F0604" w:rsidP="001B6036">
      <w:pPr>
        <w:rPr>
          <w:szCs w:val="24"/>
        </w:rPr>
      </w:pPr>
    </w:p>
    <w:p w:rsidR="0079131D" w:rsidRPr="00DF632C" w:rsidRDefault="00A4336F" w:rsidP="001B6036">
      <w:pPr>
        <w:rPr>
          <w:szCs w:val="24"/>
        </w:rPr>
      </w:pPr>
      <w:r w:rsidRPr="00CD53C6">
        <w:rPr>
          <w:szCs w:val="24"/>
        </w:rPr>
        <w:lastRenderedPageBreak/>
        <w:t xml:space="preserve">De opheffing bij ministerieel besluit van bestaande ministeriële besluiten waarvoor geen rechtsgrond meer bestaat is problematisch, omdat de minister geen beroep kan doen op de algemene uitvoeringsbevoegdheid (nr. </w:t>
      </w:r>
      <w:r w:rsidR="0003630D" w:rsidRPr="00262AA8">
        <w:rPr>
          <w:szCs w:val="24"/>
          <w:highlight w:val="yellow"/>
        </w:rPr>
        <w:t>74</w:t>
      </w:r>
      <w:r w:rsidRPr="00CD53C6">
        <w:rPr>
          <w:szCs w:val="24"/>
        </w:rPr>
        <w:t>). In sommige adviezen wordt dan op orthodoxe wijze gesteld dat de opheffing bij koninklijk besluit of regeringsbesluit moet gebeuren,</w:t>
      </w:r>
      <w:r w:rsidR="002C2F0B" w:rsidRPr="00DF632C">
        <w:rPr>
          <w:rStyle w:val="Voetnootmarkering"/>
          <w:szCs w:val="24"/>
        </w:rPr>
        <w:footnoteReference w:id="278"/>
      </w:r>
      <w:r w:rsidR="00E74BDE" w:rsidRPr="00DF632C">
        <w:rPr>
          <w:szCs w:val="24"/>
        </w:rPr>
        <w:t xml:space="preserve"> terwijl in andere adviezen een soort van inherente bevoegdheid werd erkend voor de minister om dergelijke besluiten op te heffen.</w:t>
      </w:r>
      <w:r w:rsidR="00E74BDE" w:rsidRPr="00DF632C">
        <w:rPr>
          <w:rStyle w:val="Voetnootmarkering"/>
          <w:szCs w:val="24"/>
        </w:rPr>
        <w:footnoteReference w:id="279"/>
      </w:r>
    </w:p>
    <w:p w:rsidR="00696009" w:rsidRPr="00DF632C" w:rsidRDefault="00A4336F" w:rsidP="00D32F50">
      <w:pPr>
        <w:pStyle w:val="Kop1"/>
      </w:pPr>
      <w:bookmarkStart w:id="35" w:name="_Toc495677891"/>
      <w:r w:rsidRPr="00CD53C6">
        <w:t>VIII. Delegatie van regelgevende bevoegdheid</w:t>
      </w:r>
      <w:r w:rsidR="00CB5584">
        <w:t xml:space="preserve"> en bekrachtiging</w:t>
      </w:r>
      <w:bookmarkEnd w:id="35"/>
    </w:p>
    <w:p w:rsidR="00A00E31" w:rsidRDefault="00A00E31" w:rsidP="001B6036">
      <w:pPr>
        <w:rPr>
          <w:szCs w:val="24"/>
        </w:rPr>
      </w:pPr>
    </w:p>
    <w:p w:rsidR="00D47F61" w:rsidRPr="00262AA8" w:rsidRDefault="002A7EE6" w:rsidP="00CD53C6">
      <w:pPr>
        <w:pStyle w:val="Kop2"/>
        <w:rPr>
          <w:lang w:val="nl-BE"/>
        </w:rPr>
      </w:pPr>
      <w:bookmarkStart w:id="36" w:name="_Toc495677892"/>
      <w:r w:rsidRPr="00262AA8">
        <w:rPr>
          <w:lang w:val="nl-BE"/>
        </w:rPr>
        <w:t>A. Voorbehouden aangelegenheden</w:t>
      </w:r>
      <w:bookmarkEnd w:id="36"/>
    </w:p>
    <w:p w:rsidR="00D47F61" w:rsidRPr="00DF632C" w:rsidRDefault="00D47F61" w:rsidP="001B6036">
      <w:pPr>
        <w:rPr>
          <w:szCs w:val="24"/>
        </w:rPr>
      </w:pPr>
    </w:p>
    <w:p w:rsidR="007D609D" w:rsidRDefault="001D12B7" w:rsidP="00A00E31">
      <w:pPr>
        <w:rPr>
          <w:szCs w:val="24"/>
        </w:rPr>
      </w:pPr>
      <w:r w:rsidRPr="00CD53C6">
        <w:rPr>
          <w:b/>
          <w:szCs w:val="24"/>
        </w:rPr>
        <w:t>7</w:t>
      </w:r>
      <w:r w:rsidR="00796D2C">
        <w:rPr>
          <w:b/>
          <w:szCs w:val="24"/>
        </w:rPr>
        <w:t>6</w:t>
      </w:r>
      <w:r w:rsidR="00A4336F" w:rsidRPr="00CD53C6">
        <w:rPr>
          <w:b/>
          <w:szCs w:val="24"/>
        </w:rPr>
        <w:t>.</w:t>
      </w:r>
      <w:r w:rsidR="00A4336F" w:rsidRPr="00CD53C6">
        <w:rPr>
          <w:szCs w:val="24"/>
        </w:rPr>
        <w:tab/>
        <w:t xml:space="preserve">Voor delegaties van essentiële elementen in voorbehouden aangelegenheden is </w:t>
      </w:r>
      <w:r w:rsidR="007D609D">
        <w:rPr>
          <w:szCs w:val="24"/>
        </w:rPr>
        <w:t xml:space="preserve">vereist dat </w:t>
      </w:r>
      <w:r w:rsidR="00173CA2">
        <w:rPr>
          <w:szCs w:val="24"/>
        </w:rPr>
        <w:t xml:space="preserve">(a) er </w:t>
      </w:r>
      <w:r w:rsidR="00173CA2" w:rsidRPr="00173CA2">
        <w:rPr>
          <w:szCs w:val="24"/>
        </w:rPr>
        <w:t>een uitdrukkelijke en ondubbelzinnige machtiging bestaa</w:t>
      </w:r>
      <w:r w:rsidR="00173CA2">
        <w:rPr>
          <w:szCs w:val="24"/>
        </w:rPr>
        <w:t>t (zoals voor elke delegatie)</w:t>
      </w:r>
      <w:r w:rsidR="00173CA2" w:rsidRPr="00173CA2">
        <w:rPr>
          <w:szCs w:val="24"/>
        </w:rPr>
        <w:t xml:space="preserve">, </w:t>
      </w:r>
      <w:r w:rsidR="00173CA2">
        <w:rPr>
          <w:szCs w:val="24"/>
        </w:rPr>
        <w:t xml:space="preserve">(b) </w:t>
      </w:r>
      <w:r w:rsidR="00173CA2" w:rsidRPr="00173CA2">
        <w:rPr>
          <w:szCs w:val="24"/>
        </w:rPr>
        <w:t>de noodzaak om te delegeren voorhanden</w:t>
      </w:r>
      <w:r w:rsidR="00173CA2">
        <w:rPr>
          <w:szCs w:val="24"/>
        </w:rPr>
        <w:t xml:space="preserve"> is,</w:t>
      </w:r>
      <w:r w:rsidR="00173CA2" w:rsidRPr="00173CA2">
        <w:rPr>
          <w:szCs w:val="24"/>
        </w:rPr>
        <w:t xml:space="preserve"> (</w:t>
      </w:r>
      <w:r w:rsidR="00173CA2">
        <w:rPr>
          <w:szCs w:val="24"/>
        </w:rPr>
        <w:t>c</w:t>
      </w:r>
      <w:r w:rsidR="00173CA2" w:rsidRPr="00173CA2">
        <w:rPr>
          <w:szCs w:val="24"/>
        </w:rPr>
        <w:t>) de gedelegeerde besluiten binnen een relatief korte termijn door de wetgever worden bekrachtigd en (</w:t>
      </w:r>
      <w:r w:rsidR="00173CA2">
        <w:rPr>
          <w:szCs w:val="24"/>
        </w:rPr>
        <w:t>d</w:t>
      </w:r>
      <w:r w:rsidR="00173CA2" w:rsidRPr="00173CA2">
        <w:rPr>
          <w:szCs w:val="24"/>
        </w:rPr>
        <w:t xml:space="preserve">) de delegatieregeling </w:t>
      </w:r>
      <w:r w:rsidR="00173CA2">
        <w:rPr>
          <w:szCs w:val="24"/>
        </w:rPr>
        <w:t xml:space="preserve">stipuleert </w:t>
      </w:r>
      <w:r w:rsidR="00173CA2" w:rsidRPr="00173CA2">
        <w:rPr>
          <w:szCs w:val="24"/>
        </w:rPr>
        <w:t>dat niet tijdig bekrachtigde besluiten worden geacht geen uitwerking te hebben gehad.</w:t>
      </w:r>
      <w:r w:rsidR="00173CA2">
        <w:rPr>
          <w:rStyle w:val="Voetnootmarkering"/>
          <w:szCs w:val="24"/>
        </w:rPr>
        <w:footnoteReference w:id="280"/>
      </w:r>
    </w:p>
    <w:p w:rsidR="006F7F2E" w:rsidRDefault="006F7F2E" w:rsidP="00A00E31">
      <w:pPr>
        <w:rPr>
          <w:szCs w:val="24"/>
        </w:rPr>
      </w:pPr>
    </w:p>
    <w:p w:rsidR="00384CF6" w:rsidRDefault="00173CA2" w:rsidP="00173CA2">
      <w:pPr>
        <w:rPr>
          <w:szCs w:val="24"/>
        </w:rPr>
      </w:pPr>
      <w:r>
        <w:rPr>
          <w:b/>
          <w:szCs w:val="24"/>
        </w:rPr>
        <w:t>77.</w:t>
      </w:r>
      <w:r>
        <w:rPr>
          <w:szCs w:val="24"/>
        </w:rPr>
        <w:tab/>
        <w:t xml:space="preserve">Het vereiste van de noodzaak om te delegeren houdt in </w:t>
      </w:r>
      <w:r w:rsidRPr="001724EE">
        <w:rPr>
          <w:szCs w:val="24"/>
        </w:rPr>
        <w:t>dat de inachtneming van de parlementaire procedure voor de beoogde regeling niet zou toelaten met de vereiste spoed te handelen om een doelstelling van algemeen belang te verwezenlijken.</w:t>
      </w:r>
      <w:r w:rsidR="00384CF6">
        <w:rPr>
          <w:rStyle w:val="Voetnootmarkering"/>
          <w:szCs w:val="24"/>
        </w:rPr>
        <w:footnoteReference w:id="281"/>
      </w:r>
      <w:r w:rsidR="00384CF6">
        <w:rPr>
          <w:szCs w:val="24"/>
        </w:rPr>
        <w:t xml:space="preserve"> O</w:t>
      </w:r>
      <w:r w:rsidR="00384CF6" w:rsidRPr="00DF632C">
        <w:rPr>
          <w:szCs w:val="24"/>
        </w:rPr>
        <w:t xml:space="preserve">p basis van de concrete omstandigheden </w:t>
      </w:r>
      <w:r w:rsidR="00384CF6">
        <w:rPr>
          <w:szCs w:val="24"/>
        </w:rPr>
        <w:t xml:space="preserve">moet kunnen </w:t>
      </w:r>
      <w:r w:rsidR="00384CF6" w:rsidRPr="001724EE">
        <w:rPr>
          <w:szCs w:val="24"/>
        </w:rPr>
        <w:t>worden aangetoond dat de wetgever niet tijdig kan handelen</w:t>
      </w:r>
      <w:r w:rsidR="00384CF6">
        <w:rPr>
          <w:rStyle w:val="Voetnootmarkering"/>
          <w:szCs w:val="24"/>
        </w:rPr>
        <w:footnoteReference w:id="282"/>
      </w:r>
      <w:r w:rsidR="00384CF6" w:rsidRPr="001724EE">
        <w:rPr>
          <w:szCs w:val="24"/>
        </w:rPr>
        <w:t xml:space="preserve"> en dit zolang die toestand aanhoudt.</w:t>
      </w:r>
      <w:r w:rsidR="00384CF6" w:rsidRPr="00DF632C">
        <w:rPr>
          <w:szCs w:val="24"/>
          <w:vertAlign w:val="superscript"/>
        </w:rPr>
        <w:footnoteReference w:id="283"/>
      </w:r>
    </w:p>
    <w:p w:rsidR="00384CF6" w:rsidRDefault="00384CF6" w:rsidP="00173CA2">
      <w:pPr>
        <w:rPr>
          <w:szCs w:val="24"/>
        </w:rPr>
      </w:pPr>
    </w:p>
    <w:p w:rsidR="00384CF6" w:rsidRDefault="00384CF6" w:rsidP="00384CF6">
      <w:pPr>
        <w:rPr>
          <w:szCs w:val="24"/>
        </w:rPr>
      </w:pPr>
      <w:r w:rsidRPr="00DF632C">
        <w:rPr>
          <w:szCs w:val="24"/>
        </w:rPr>
        <w:t xml:space="preserve">De Raad van State heeft verschillende keren het bestaan van dergelijke omstandigheden in twijfel getrokken, zowel ten aanzien van wetsontwerpen waarbij in de </w:t>
      </w:r>
      <w:r w:rsidRPr="001724EE">
        <w:rPr>
          <w:szCs w:val="24"/>
        </w:rPr>
        <w:t>delegatie wordt voorzien als bij ontwerpbesluiten die daar toepassing aan geven.</w:t>
      </w:r>
      <w:r w:rsidRPr="00DF632C">
        <w:rPr>
          <w:szCs w:val="24"/>
          <w:vertAlign w:val="superscript"/>
        </w:rPr>
        <w:footnoteReference w:id="284"/>
      </w:r>
    </w:p>
    <w:p w:rsidR="00384CF6" w:rsidRDefault="00384CF6" w:rsidP="00173CA2">
      <w:pPr>
        <w:rPr>
          <w:szCs w:val="24"/>
        </w:rPr>
      </w:pPr>
    </w:p>
    <w:p w:rsidR="00173CA2" w:rsidRDefault="00173CA2" w:rsidP="00A00E31">
      <w:pPr>
        <w:rPr>
          <w:szCs w:val="24"/>
        </w:rPr>
      </w:pPr>
    </w:p>
    <w:p w:rsidR="00173CA2" w:rsidRPr="00DF632C" w:rsidRDefault="008B12B0" w:rsidP="00173CA2">
      <w:pPr>
        <w:rPr>
          <w:szCs w:val="24"/>
        </w:rPr>
      </w:pPr>
      <w:r>
        <w:rPr>
          <w:szCs w:val="24"/>
        </w:rPr>
        <w:t>E</w:t>
      </w:r>
      <w:r w:rsidR="00173CA2" w:rsidRPr="001724EE">
        <w:rPr>
          <w:szCs w:val="24"/>
        </w:rPr>
        <w:t xml:space="preserve">en ontwerp van koninklijk besluit </w:t>
      </w:r>
      <w:r>
        <w:rPr>
          <w:szCs w:val="24"/>
        </w:rPr>
        <w:t xml:space="preserve">wijzigde </w:t>
      </w:r>
      <w:r w:rsidR="00173CA2" w:rsidRPr="001724EE">
        <w:rPr>
          <w:szCs w:val="24"/>
        </w:rPr>
        <w:t xml:space="preserve">het bedrag van bijdragen met een fiscaal karakter die bij een koninklijk besluit van 6 januari 2015 waren vastgesteld en waarvan de bekrachtiging nog niet had plaatsgevonden. Na te hebben herinnerd aan de vroegere </w:t>
      </w:r>
      <w:r w:rsidR="00173CA2" w:rsidRPr="001724EE">
        <w:rPr>
          <w:szCs w:val="24"/>
        </w:rPr>
        <w:lastRenderedPageBreak/>
        <w:t xml:space="preserve">opmerking omtrent de toepasselijkheid van het mechanisme van delegatie en bekrachtiging, stelde de Raad van State vast dat de ontworpen wijziging terugwerkende kracht </w:t>
      </w:r>
      <w:r w:rsidR="000238CC">
        <w:rPr>
          <w:szCs w:val="24"/>
        </w:rPr>
        <w:t>kreeg</w:t>
      </w:r>
      <w:r w:rsidR="00173CA2" w:rsidRPr="001724EE">
        <w:rPr>
          <w:szCs w:val="24"/>
        </w:rPr>
        <w:t xml:space="preserve"> tot 1 januari 2015 en dat kort voordien advies was uitgebracht over een voorontwerp van wet waarbij het koninklijk besluit van 6 januari 2015 zou worden bekrachtigd. Bijgevolg was er geen reden waarom de regeling niet tot stand kon komen met inachtneming van de parlementaire procedure. De Raad van State adviseerde om de ontworpen wijziging op te nemen in het wetsontwerp waarbij tevens het oorspronkelijke koninklijk besluit zou worden bekrachtigd.</w:t>
      </w:r>
      <w:r w:rsidR="00173CA2" w:rsidRPr="00DF632C">
        <w:rPr>
          <w:szCs w:val="24"/>
          <w:vertAlign w:val="superscript"/>
        </w:rPr>
        <w:footnoteReference w:id="285"/>
      </w:r>
    </w:p>
    <w:p w:rsidR="00173CA2" w:rsidRDefault="00173CA2" w:rsidP="00A00E31">
      <w:pPr>
        <w:rPr>
          <w:szCs w:val="24"/>
        </w:rPr>
      </w:pPr>
    </w:p>
    <w:p w:rsidR="008B12B0" w:rsidRDefault="008B12B0" w:rsidP="00A00E31">
      <w:pPr>
        <w:rPr>
          <w:szCs w:val="24"/>
        </w:rPr>
      </w:pPr>
      <w:r w:rsidRPr="001724EE">
        <w:rPr>
          <w:szCs w:val="24"/>
        </w:rPr>
        <w:t xml:space="preserve">In </w:t>
      </w:r>
      <w:r>
        <w:rPr>
          <w:szCs w:val="24"/>
        </w:rPr>
        <w:t>een ander geval</w:t>
      </w:r>
      <w:r w:rsidRPr="001724EE">
        <w:rPr>
          <w:szCs w:val="24"/>
        </w:rPr>
        <w:t xml:space="preserve"> voorzag </w:t>
      </w:r>
      <w:r w:rsidR="000238CC">
        <w:rPr>
          <w:szCs w:val="24"/>
        </w:rPr>
        <w:t>een</w:t>
      </w:r>
      <w:r w:rsidRPr="001724EE">
        <w:rPr>
          <w:szCs w:val="24"/>
        </w:rPr>
        <w:t xml:space="preserve"> ontworpen wetsbepaling in de mogelijkheid om bepaalde aspecten van de fiscale regeling bij koninklijk besluiten vast te leggen, die vervolgens moesten worden bekrachtigd</w:t>
      </w:r>
      <w:r w:rsidR="000238CC">
        <w:rPr>
          <w:szCs w:val="24"/>
        </w:rPr>
        <w:t>. U</w:t>
      </w:r>
      <w:r w:rsidRPr="001724EE">
        <w:rPr>
          <w:szCs w:val="24"/>
        </w:rPr>
        <w:t xml:space="preserve">it de notificatie </w:t>
      </w:r>
      <w:r w:rsidR="000238CC">
        <w:rPr>
          <w:szCs w:val="24"/>
        </w:rPr>
        <w:t>v</w:t>
      </w:r>
      <w:r w:rsidRPr="001724EE">
        <w:rPr>
          <w:szCs w:val="24"/>
        </w:rPr>
        <w:t xml:space="preserve">an de Ministerraad </w:t>
      </w:r>
      <w:r w:rsidR="000238CC">
        <w:rPr>
          <w:szCs w:val="24"/>
        </w:rPr>
        <w:t xml:space="preserve">bleek echter </w:t>
      </w:r>
      <w:r w:rsidRPr="001724EE">
        <w:rPr>
          <w:szCs w:val="24"/>
        </w:rPr>
        <w:t>dat de wet en de uitvoeringsbesluiten gelijktijdig in werking zouden treden. De Raad van State gaf aan in die omstandigheden niet in te zien waarom de volledige regeling niet meteen door de wetgever kon worden vastgesteld.</w:t>
      </w:r>
      <w:r w:rsidRPr="00DF632C">
        <w:rPr>
          <w:szCs w:val="24"/>
          <w:vertAlign w:val="superscript"/>
        </w:rPr>
        <w:footnoteReference w:id="286"/>
      </w:r>
      <w:r>
        <w:rPr>
          <w:szCs w:val="24"/>
        </w:rPr>
        <w:t xml:space="preserve"> </w:t>
      </w:r>
    </w:p>
    <w:p w:rsidR="00173CA2" w:rsidRDefault="00173CA2" w:rsidP="00A00E31">
      <w:pPr>
        <w:rPr>
          <w:szCs w:val="24"/>
        </w:rPr>
      </w:pPr>
    </w:p>
    <w:p w:rsidR="000238CC" w:rsidRDefault="00173CA2" w:rsidP="00A00E31">
      <w:pPr>
        <w:rPr>
          <w:szCs w:val="24"/>
        </w:rPr>
      </w:pPr>
      <w:r>
        <w:rPr>
          <w:b/>
          <w:szCs w:val="24"/>
        </w:rPr>
        <w:t>78.</w:t>
      </w:r>
      <w:r>
        <w:rPr>
          <w:szCs w:val="24"/>
        </w:rPr>
        <w:tab/>
        <w:t>Een andere voorwaarde inzake delegatie</w:t>
      </w:r>
      <w:r w:rsidRPr="00173CA2">
        <w:rPr>
          <w:szCs w:val="24"/>
        </w:rPr>
        <w:t xml:space="preserve"> van essentiële elementen in voorbehouden aangelegenheden</w:t>
      </w:r>
      <w:r>
        <w:rPr>
          <w:szCs w:val="24"/>
        </w:rPr>
        <w:t xml:space="preserve"> is dat </w:t>
      </w:r>
      <w:r w:rsidR="00A4336F" w:rsidRPr="00CD53C6">
        <w:rPr>
          <w:szCs w:val="24"/>
        </w:rPr>
        <w:t>de betrokken besluiten binnen een relatief korte termijn worden bekrachtigd.</w:t>
      </w:r>
      <w:r w:rsidR="000238CC" w:rsidRPr="00DF632C">
        <w:rPr>
          <w:szCs w:val="24"/>
          <w:vertAlign w:val="superscript"/>
        </w:rPr>
        <w:footnoteReference w:id="287"/>
      </w:r>
      <w:r w:rsidR="00A4336F" w:rsidRPr="00CD53C6">
        <w:rPr>
          <w:szCs w:val="24"/>
        </w:rPr>
        <w:t xml:space="preserve"> Volgens de rechtspraak van het Grondwettelijk Hof is een termijn van veertien maanden een relatief korte termijn.</w:t>
      </w:r>
      <w:r w:rsidR="00363F54" w:rsidRPr="00DF632C">
        <w:rPr>
          <w:rStyle w:val="Voetnootmarkering"/>
          <w:szCs w:val="24"/>
        </w:rPr>
        <w:footnoteReference w:id="288"/>
      </w:r>
    </w:p>
    <w:p w:rsidR="000238CC" w:rsidRDefault="000238CC" w:rsidP="00A00E31">
      <w:pPr>
        <w:rPr>
          <w:szCs w:val="24"/>
        </w:rPr>
      </w:pPr>
    </w:p>
    <w:p w:rsidR="000238CC" w:rsidRDefault="000238CC" w:rsidP="000238CC">
      <w:pPr>
        <w:rPr>
          <w:szCs w:val="24"/>
        </w:rPr>
      </w:pPr>
      <w:r w:rsidRPr="001724EE">
        <w:rPr>
          <w:szCs w:val="24"/>
        </w:rPr>
        <w:t xml:space="preserve">Zo </w:t>
      </w:r>
      <w:r>
        <w:rPr>
          <w:szCs w:val="24"/>
        </w:rPr>
        <w:t>betwijfelde</w:t>
      </w:r>
      <w:r w:rsidRPr="001724EE">
        <w:rPr>
          <w:szCs w:val="24"/>
        </w:rPr>
        <w:t xml:space="preserve"> de Raad van State </w:t>
      </w:r>
      <w:r>
        <w:rPr>
          <w:szCs w:val="24"/>
        </w:rPr>
        <w:t xml:space="preserve">of </w:t>
      </w:r>
      <w:r w:rsidRPr="001724EE">
        <w:rPr>
          <w:szCs w:val="24"/>
        </w:rPr>
        <w:t>een termijn van twee jaar voor de bekrachtiging als een relatief korte termijn kon worden beschouwd</w:t>
      </w:r>
      <w:r w:rsidRPr="00DF632C">
        <w:rPr>
          <w:szCs w:val="24"/>
          <w:vertAlign w:val="superscript"/>
        </w:rPr>
        <w:footnoteReference w:id="289"/>
      </w:r>
      <w:r w:rsidRPr="00DF632C">
        <w:rPr>
          <w:szCs w:val="24"/>
        </w:rPr>
        <w:t xml:space="preserve"> en </w:t>
      </w:r>
      <w:r w:rsidR="00596414">
        <w:rPr>
          <w:szCs w:val="24"/>
        </w:rPr>
        <w:t>werd ge</w:t>
      </w:r>
      <w:r w:rsidRPr="00DF632C">
        <w:rPr>
          <w:szCs w:val="24"/>
        </w:rPr>
        <w:t>suggereerd om deze te vervangen door bijvoorbeeld een termijn van één jaar.</w:t>
      </w:r>
      <w:r w:rsidRPr="00DF632C">
        <w:rPr>
          <w:szCs w:val="24"/>
          <w:vertAlign w:val="superscript"/>
        </w:rPr>
        <w:footnoteReference w:id="290"/>
      </w:r>
    </w:p>
    <w:p w:rsidR="007D609D" w:rsidRPr="00DF632C" w:rsidRDefault="007D609D" w:rsidP="007D609D">
      <w:pPr>
        <w:rPr>
          <w:szCs w:val="24"/>
        </w:rPr>
      </w:pPr>
    </w:p>
    <w:p w:rsidR="000238CC" w:rsidRDefault="000238CC" w:rsidP="000238CC">
      <w:pPr>
        <w:rPr>
          <w:szCs w:val="24"/>
        </w:rPr>
      </w:pPr>
      <w:r w:rsidRPr="001724EE">
        <w:rPr>
          <w:szCs w:val="24"/>
        </w:rPr>
        <w:t>In bepaalde gevallen bevat de wet geen concrete termijn voor de bekrachtiging, maar wordt de verplichting opgelegd om na het aannemen van een besluit “onmiddellijk” (indien het parlement in zitting is en zo niet bij de opening van de eerstvolgende zitting) een ontwerp van bekrachtigingswet in te dienen.</w:t>
      </w:r>
      <w:r w:rsidRPr="00DF632C">
        <w:rPr>
          <w:szCs w:val="24"/>
          <w:vertAlign w:val="superscript"/>
        </w:rPr>
        <w:footnoteReference w:id="291"/>
      </w:r>
      <w:r w:rsidRPr="00DF632C">
        <w:rPr>
          <w:szCs w:val="24"/>
        </w:rPr>
        <w:t xml:space="preserve"> Ook de afgelopen jaren werd de Raad van State (nog steeds)</w:t>
      </w:r>
      <w:r w:rsidRPr="00DF632C">
        <w:rPr>
          <w:szCs w:val="24"/>
          <w:vertAlign w:val="superscript"/>
        </w:rPr>
        <w:footnoteReference w:id="292"/>
      </w:r>
      <w:r w:rsidRPr="00DF632C">
        <w:rPr>
          <w:szCs w:val="24"/>
        </w:rPr>
        <w:t xml:space="preserve"> geconfronteerd met bekrachtigingsbepalingen die laattijdig werden ingediend. De Raad van State wijst er op dat door niet onmiddellijk – of van zodra dit mogelijk is – een wetsontwerp tot bekrachtiging in te dienen</w:t>
      </w:r>
      <w:r>
        <w:rPr>
          <w:szCs w:val="24"/>
        </w:rPr>
        <w:t>,</w:t>
      </w:r>
      <w:r w:rsidRPr="00DF632C">
        <w:rPr>
          <w:szCs w:val="24"/>
        </w:rPr>
        <w:t xml:space="preserve"> de uitvoerende macht het risico neemt dat de rechtskracht aan de betrokken besluiten wordt ontnomen, doordat ze naar aanleiding van een annulatieberoep worden vernietigd door </w:t>
      </w:r>
      <w:r w:rsidR="006F7F2E">
        <w:rPr>
          <w:szCs w:val="24"/>
        </w:rPr>
        <w:t xml:space="preserve">afdeling Bestuursrechtspraak van </w:t>
      </w:r>
      <w:r w:rsidRPr="00DF632C">
        <w:rPr>
          <w:szCs w:val="24"/>
        </w:rPr>
        <w:t>de Raad van State</w:t>
      </w:r>
      <w:r w:rsidRPr="001724EE">
        <w:rPr>
          <w:szCs w:val="24"/>
        </w:rPr>
        <w:t>, of doordat het Grondwettelijk Hof naderhand de bekrachtigingswet vernietigt omdat de bekrachtiging niet binnen een relatief korte termijn is gebeurd.</w:t>
      </w:r>
      <w:r w:rsidRPr="00DF632C">
        <w:rPr>
          <w:szCs w:val="24"/>
          <w:vertAlign w:val="superscript"/>
        </w:rPr>
        <w:footnoteReference w:id="293"/>
      </w:r>
    </w:p>
    <w:p w:rsidR="000238CC" w:rsidRDefault="000238CC" w:rsidP="007D609D">
      <w:pPr>
        <w:rPr>
          <w:szCs w:val="24"/>
        </w:rPr>
      </w:pPr>
    </w:p>
    <w:p w:rsidR="007D609D" w:rsidRPr="00DF632C" w:rsidRDefault="007D609D" w:rsidP="007D609D">
      <w:pPr>
        <w:rPr>
          <w:szCs w:val="24"/>
        </w:rPr>
      </w:pPr>
      <w:r w:rsidRPr="001724EE">
        <w:rPr>
          <w:szCs w:val="24"/>
        </w:rPr>
        <w:lastRenderedPageBreak/>
        <w:t>Een regeling die bepaalt dat de betrokken besluiten ophouden uitwerking te hebben indien ze niet tijdig zijn bekrachtigd, impliceert dat deze besluiten toch gedurende een zekere periode (namelijk tot het verstrijken van de termijn voorzien voor bekrachtiging) geldig zijn en rechtsgevolgen teweegbrengen. Dergelijke bepaling moet worden vervangen door een regeling waarbij de betrokken besluiten geacht moeten worden nooit uitwerking te hebben gehad, hetgeen inhoudt dat ze met terugwerkende kracht vervallen indien ze niet tijdig bekrachtigd zijn.</w:t>
      </w:r>
      <w:r w:rsidRPr="00DF632C">
        <w:rPr>
          <w:szCs w:val="24"/>
          <w:vertAlign w:val="superscript"/>
        </w:rPr>
        <w:footnoteReference w:id="294"/>
      </w:r>
    </w:p>
    <w:p w:rsidR="003E2053" w:rsidRPr="00DF632C" w:rsidRDefault="003E2053" w:rsidP="00A00E31">
      <w:pPr>
        <w:rPr>
          <w:szCs w:val="24"/>
        </w:rPr>
      </w:pPr>
    </w:p>
    <w:p w:rsidR="00F63379" w:rsidRPr="00DF632C" w:rsidRDefault="001D12B7" w:rsidP="00A00E31">
      <w:pPr>
        <w:rPr>
          <w:szCs w:val="24"/>
        </w:rPr>
      </w:pPr>
      <w:r w:rsidRPr="00CD53C6">
        <w:rPr>
          <w:b/>
          <w:szCs w:val="24"/>
        </w:rPr>
        <w:t>7</w:t>
      </w:r>
      <w:r w:rsidR="006F7F2E">
        <w:rPr>
          <w:b/>
          <w:szCs w:val="24"/>
        </w:rPr>
        <w:t>9</w:t>
      </w:r>
      <w:r w:rsidR="00A4336F" w:rsidRPr="00CD53C6">
        <w:rPr>
          <w:b/>
          <w:szCs w:val="24"/>
        </w:rPr>
        <w:t>.</w:t>
      </w:r>
      <w:r w:rsidR="00A4336F" w:rsidRPr="00CD53C6">
        <w:rPr>
          <w:szCs w:val="24"/>
        </w:rPr>
        <w:tab/>
        <w:t>De Raad van State heeft verscheidene keren delegaties bekritiseerd met betrekking tot essentiële elementen van aangelegenheden die onder het toepassingsgebied van artikel 23 van de Grondwet vallen.</w:t>
      </w:r>
    </w:p>
    <w:p w:rsidR="00576240" w:rsidRPr="00DF632C" w:rsidRDefault="00576240" w:rsidP="00A00E31">
      <w:pPr>
        <w:rPr>
          <w:szCs w:val="24"/>
        </w:rPr>
      </w:pPr>
    </w:p>
    <w:p w:rsidR="00576240" w:rsidRPr="00DF632C" w:rsidRDefault="00A4336F" w:rsidP="00A00E31">
      <w:pPr>
        <w:rPr>
          <w:szCs w:val="24"/>
        </w:rPr>
      </w:pPr>
      <w:r w:rsidRPr="00CD53C6">
        <w:rPr>
          <w:szCs w:val="24"/>
        </w:rPr>
        <w:t>De bekende en zeer algemene delegatie aan de Koning inzake het vaststellen van de werkloosheidsreglementering werd, overigens niet voor de eerste keer,</w:t>
      </w:r>
      <w:r w:rsidR="008539A6" w:rsidRPr="00DF632C">
        <w:rPr>
          <w:rStyle w:val="Voetnootmarkering"/>
          <w:szCs w:val="24"/>
        </w:rPr>
        <w:footnoteReference w:id="295"/>
      </w:r>
      <w:r w:rsidR="00576240" w:rsidRPr="00DF632C">
        <w:rPr>
          <w:szCs w:val="24"/>
        </w:rPr>
        <w:t xml:space="preserve"> op de korrel genomen.</w:t>
      </w:r>
      <w:r w:rsidR="00576240" w:rsidRPr="00DF632C">
        <w:rPr>
          <w:rStyle w:val="Voetnootmarkering"/>
          <w:szCs w:val="24"/>
        </w:rPr>
        <w:footnoteReference w:id="296"/>
      </w:r>
    </w:p>
    <w:p w:rsidR="00856FA5" w:rsidRPr="00DF632C" w:rsidRDefault="00856FA5" w:rsidP="00A00E31">
      <w:pPr>
        <w:rPr>
          <w:szCs w:val="24"/>
        </w:rPr>
      </w:pPr>
    </w:p>
    <w:p w:rsidR="005E673B" w:rsidRPr="00DF632C" w:rsidRDefault="00A4336F" w:rsidP="00A00E31">
      <w:pPr>
        <w:rPr>
          <w:bCs/>
          <w:szCs w:val="24"/>
        </w:rPr>
      </w:pPr>
      <w:r w:rsidRPr="00CD53C6">
        <w:rPr>
          <w:bCs/>
          <w:szCs w:val="24"/>
        </w:rPr>
        <w:t>Een andere, ruim geformuleerde delegatie hield in dat de Koning “de prestaties [kon bepalen] die een verzoening van het professionele leven en het privé-leven van de zelfstandigen aanmoedigen”, alsook “de toekenningsmodaliteiten van deze prestaties”. Op zijn minst moet de wetgever bij het regelen van een van de aangelegenheden vermeld in artikel 23, tweede lid, van de Grondwet het “onderwerp” van die aangelegenheid bepalen, waarna de tenuitvoerlegging ervan aan de uitvoerende macht kan worden gedelegeerd. De Raad van State wees erop dat de wetgever zich er bij het bepalen van dat onderwerp niet toe kan beperken het zonder meer aan de Koning over te laten om de draagwijdte, de toekenningsvoorwaarden en het personele toepassingsgebied van deze rechten te bepalen. Het komt met andere woorden aan de wetgever zelf toe om de regels op te nemen die de draagwijdte, de toekenningsvoorwaarden en het toepassingsgebied nader bepalen, of minstens bepalingen op te nemen aan de hand waarvan deze regels door de Koning verder kunnen worden ingevuld. Dat was hier niet het geval, zodat de regeling in het ontworpen besluit niet in overeenstemming is met artikel 23 van de Grondwet.</w:t>
      </w:r>
      <w:r w:rsidR="00856FA5" w:rsidRPr="00DF632C">
        <w:rPr>
          <w:rStyle w:val="Voetnootmarkering"/>
          <w:bCs/>
          <w:szCs w:val="24"/>
        </w:rPr>
        <w:footnoteReference w:id="297"/>
      </w:r>
    </w:p>
    <w:p w:rsidR="005E673B" w:rsidRPr="00DF632C" w:rsidRDefault="005E673B" w:rsidP="00A00E31">
      <w:pPr>
        <w:rPr>
          <w:bCs/>
          <w:szCs w:val="24"/>
        </w:rPr>
      </w:pPr>
    </w:p>
    <w:p w:rsidR="00A00E31" w:rsidRPr="00CE11CC" w:rsidRDefault="00A4336F" w:rsidP="001B6036">
      <w:pPr>
        <w:rPr>
          <w:bCs/>
          <w:szCs w:val="24"/>
        </w:rPr>
      </w:pPr>
      <w:r w:rsidRPr="00CD53C6">
        <w:rPr>
          <w:bCs/>
          <w:szCs w:val="24"/>
        </w:rPr>
        <w:t>De tweede versie van het decreet over de Vlaamse sociale bescherming werd (net als overigens de eerste versie ervan</w:t>
      </w:r>
      <w:r w:rsidR="00856FA5" w:rsidRPr="00DF632C">
        <w:rPr>
          <w:rStyle w:val="Voetnootmarkering"/>
          <w:bCs/>
          <w:szCs w:val="24"/>
        </w:rPr>
        <w:footnoteReference w:id="298"/>
      </w:r>
      <w:r w:rsidR="00856FA5" w:rsidRPr="00DF632C">
        <w:rPr>
          <w:bCs/>
          <w:szCs w:val="24"/>
        </w:rPr>
        <w:t xml:space="preserve">) </w:t>
      </w:r>
      <w:r w:rsidR="001537E7" w:rsidRPr="00DF632C">
        <w:rPr>
          <w:bCs/>
          <w:szCs w:val="24"/>
        </w:rPr>
        <w:t xml:space="preserve">bekritiseerd wat betreft de overeenstemming ervan met artikel 23 van de Grondwet. De Raad van State stelde vast dat het ging om een kaderdecreet, namelijk </w:t>
      </w:r>
      <w:r w:rsidRPr="00CD53C6">
        <w:rPr>
          <w:bCs/>
          <w:szCs w:val="24"/>
        </w:rPr>
        <w:t>een decreet dat zich grotendeels beperkt tot het bieden van een rechtsgrond voor het uitwerken van een beleid door de Vlaamse Regering, zonder zelf de inhoudelijke krachtlijnen van dat beleid in elk detail vast te stellen. Volgens de Raad is het “verre van zeker” of alle delegaties de toets aan artikel 23 van de Grondwet kunnen doorstaan.</w:t>
      </w:r>
      <w:r w:rsidR="001537E7" w:rsidRPr="00DF632C">
        <w:rPr>
          <w:rStyle w:val="Voetnootmarkering"/>
          <w:bCs/>
          <w:szCs w:val="24"/>
        </w:rPr>
        <w:footnoteReference w:id="299"/>
      </w:r>
      <w:r w:rsidR="000E10D9" w:rsidRPr="00DF632C">
        <w:rPr>
          <w:bCs/>
          <w:szCs w:val="24"/>
        </w:rPr>
        <w:t xml:space="preserve"> Gelijkaardige </w:t>
      </w:r>
      <w:r w:rsidR="000E10D9" w:rsidRPr="00DF632C">
        <w:rPr>
          <w:bCs/>
          <w:szCs w:val="24"/>
        </w:rPr>
        <w:lastRenderedPageBreak/>
        <w:t>bedenkingen werden geformuleerd ten aanzien van een Vlaamse decretale regeling inzake tijdelijke werkervaring</w:t>
      </w:r>
      <w:r w:rsidR="000E10D9" w:rsidRPr="00DF632C">
        <w:rPr>
          <w:rStyle w:val="Voetnootmarkering"/>
          <w:bCs/>
          <w:szCs w:val="24"/>
        </w:rPr>
        <w:footnoteReference w:id="300"/>
      </w:r>
      <w:r w:rsidR="000E10D9" w:rsidRPr="00DF632C">
        <w:rPr>
          <w:bCs/>
          <w:szCs w:val="24"/>
        </w:rPr>
        <w:t xml:space="preserve"> en een wettelijke regeling inzake werkbaar en wendbaar werk</w:t>
      </w:r>
      <w:r w:rsidR="000E10D9" w:rsidRPr="00DF632C">
        <w:rPr>
          <w:rStyle w:val="Voetnootmarkering"/>
          <w:bCs/>
          <w:szCs w:val="24"/>
        </w:rPr>
        <w:footnoteReference w:id="301"/>
      </w:r>
      <w:r w:rsidR="00C34138" w:rsidRPr="00DF632C">
        <w:rPr>
          <w:bCs/>
          <w:szCs w:val="24"/>
        </w:rPr>
        <w:t>.</w:t>
      </w:r>
    </w:p>
    <w:p w:rsidR="00D47F61" w:rsidRDefault="00D47F61" w:rsidP="001B6036">
      <w:pPr>
        <w:rPr>
          <w:szCs w:val="24"/>
        </w:rPr>
      </w:pPr>
    </w:p>
    <w:p w:rsidR="00D47F61" w:rsidRPr="00262AA8" w:rsidRDefault="002A7EE6" w:rsidP="00CD53C6">
      <w:pPr>
        <w:pStyle w:val="Kop2"/>
        <w:rPr>
          <w:lang w:val="nl-BE"/>
        </w:rPr>
      </w:pPr>
      <w:bookmarkStart w:id="37" w:name="_Toc495677893"/>
      <w:r w:rsidRPr="00262AA8">
        <w:rPr>
          <w:lang w:val="nl-BE"/>
        </w:rPr>
        <w:t>B. Niet-voorbehouden aangelegenheden</w:t>
      </w:r>
      <w:bookmarkEnd w:id="37"/>
    </w:p>
    <w:p w:rsidR="00D47F61" w:rsidRPr="00DF632C" w:rsidRDefault="00D47F61" w:rsidP="001B6036">
      <w:pPr>
        <w:rPr>
          <w:szCs w:val="24"/>
        </w:rPr>
      </w:pPr>
    </w:p>
    <w:p w:rsidR="00856FA5" w:rsidRPr="00DF632C" w:rsidRDefault="006F7F2E" w:rsidP="001B6036">
      <w:pPr>
        <w:rPr>
          <w:szCs w:val="24"/>
        </w:rPr>
      </w:pPr>
      <w:r>
        <w:rPr>
          <w:b/>
          <w:szCs w:val="24"/>
        </w:rPr>
        <w:t>80</w:t>
      </w:r>
      <w:r w:rsidR="00A4336F" w:rsidRPr="00CD53C6">
        <w:rPr>
          <w:b/>
          <w:szCs w:val="24"/>
        </w:rPr>
        <w:t>.</w:t>
      </w:r>
      <w:r w:rsidR="00A4336F" w:rsidRPr="00CD53C6">
        <w:rPr>
          <w:szCs w:val="24"/>
        </w:rPr>
        <w:tab/>
        <w:t>Het Grondwettelijk Hof heeft in verscheidene arresten gesteld dat delegaties van de wetgevende aan de uitvoerende macht in niet-voorbehouden aangelegenheden niet ingaan tegen de Grondwet en zelfs berusten op een aan de wetgever door de Grondwetgever verleende vrijheid om in dergelijke aangelegenheden te beschikken.</w:t>
      </w:r>
      <w:r w:rsidR="00A25815" w:rsidRPr="00DF632C">
        <w:rPr>
          <w:rStyle w:val="Voetnootmarkering"/>
          <w:szCs w:val="24"/>
        </w:rPr>
        <w:footnoteReference w:id="302"/>
      </w:r>
      <w:r w:rsidR="0084692B">
        <w:rPr>
          <w:szCs w:val="24"/>
        </w:rPr>
        <w:t xml:space="preserve"> </w:t>
      </w:r>
    </w:p>
    <w:p w:rsidR="00A25815" w:rsidRPr="00DF632C" w:rsidRDefault="00A25815" w:rsidP="001B6036">
      <w:pPr>
        <w:rPr>
          <w:szCs w:val="24"/>
        </w:rPr>
      </w:pPr>
    </w:p>
    <w:p w:rsidR="00A95A77" w:rsidRPr="00DF632C" w:rsidRDefault="006F7F2E" w:rsidP="001B6036">
      <w:pPr>
        <w:rPr>
          <w:szCs w:val="24"/>
        </w:rPr>
      </w:pPr>
      <w:r>
        <w:rPr>
          <w:b/>
          <w:szCs w:val="24"/>
        </w:rPr>
        <w:t>81</w:t>
      </w:r>
      <w:r w:rsidR="001D770D">
        <w:rPr>
          <w:b/>
          <w:szCs w:val="24"/>
        </w:rPr>
        <w:t>.</w:t>
      </w:r>
      <w:r w:rsidR="001D770D">
        <w:rPr>
          <w:szCs w:val="24"/>
        </w:rPr>
        <w:tab/>
      </w:r>
      <w:r w:rsidR="00A4336F" w:rsidRPr="00CD53C6">
        <w:rPr>
          <w:szCs w:val="24"/>
        </w:rPr>
        <w:t>Sommige adviezen van de Raad van State bekritiseren desalniettemin dergelijke delegaties.</w:t>
      </w:r>
      <w:r w:rsidR="0084692B" w:rsidRPr="0084692B">
        <w:rPr>
          <w:szCs w:val="24"/>
          <w:highlight w:val="yellow"/>
        </w:rPr>
        <w:t xml:space="preserve"> </w:t>
      </w:r>
    </w:p>
    <w:p w:rsidR="00A95A77" w:rsidRPr="00DF632C" w:rsidRDefault="00A95A77" w:rsidP="001B6036">
      <w:pPr>
        <w:rPr>
          <w:szCs w:val="24"/>
        </w:rPr>
      </w:pPr>
    </w:p>
    <w:p w:rsidR="00A25815" w:rsidRPr="00DF632C" w:rsidRDefault="00A4336F" w:rsidP="001B6036">
      <w:pPr>
        <w:rPr>
          <w:szCs w:val="24"/>
        </w:rPr>
      </w:pPr>
      <w:r w:rsidRPr="00CD53C6">
        <w:rPr>
          <w:szCs w:val="24"/>
        </w:rPr>
        <w:t>In bepaalde gevallen wordt daarbij een ruime interpretatie gegeven aan artikel 23 van de Grondwet</w:t>
      </w:r>
      <w:r w:rsidR="001D770D">
        <w:rPr>
          <w:szCs w:val="24"/>
        </w:rPr>
        <w:t xml:space="preserve"> (zie ook </w:t>
      </w:r>
      <w:r w:rsidR="001D770D" w:rsidRPr="00CD53C6">
        <w:rPr>
          <w:szCs w:val="24"/>
          <w:highlight w:val="yellow"/>
        </w:rPr>
        <w:t>nr. 7</w:t>
      </w:r>
      <w:r w:rsidR="0003630D">
        <w:rPr>
          <w:szCs w:val="24"/>
          <w:highlight w:val="yellow"/>
        </w:rPr>
        <w:t>9</w:t>
      </w:r>
      <w:r w:rsidR="001D770D">
        <w:rPr>
          <w:szCs w:val="24"/>
        </w:rPr>
        <w:t>)</w:t>
      </w:r>
      <w:r w:rsidRPr="00CD53C6">
        <w:rPr>
          <w:szCs w:val="24"/>
        </w:rPr>
        <w:t>, zoals bijvoorbeeld voor een regeling inzake de financiering van ziekenhuisinfrastructuur die geacht werd een rechtstreekse weerslag te hebben op het recht op sociale zekerheid, bescherming van de gezondheid en sociale en geneeskundige bijstand, vervat in artikel 23, tweede lid, 2°, van de Grondwet. Volgens de Raad van State moesten bepaalde essentiële noties in het decreet zelf worden ingevuld.</w:t>
      </w:r>
      <w:r w:rsidR="005114F8" w:rsidRPr="00DF632C">
        <w:rPr>
          <w:rStyle w:val="Voetnootmarkering"/>
          <w:szCs w:val="24"/>
        </w:rPr>
        <w:footnoteReference w:id="303"/>
      </w:r>
    </w:p>
    <w:p w:rsidR="00856FA5" w:rsidRPr="00DF632C" w:rsidRDefault="00856FA5" w:rsidP="001B6036">
      <w:pPr>
        <w:rPr>
          <w:szCs w:val="24"/>
        </w:rPr>
      </w:pPr>
    </w:p>
    <w:p w:rsidR="005114F8" w:rsidRPr="00DF632C" w:rsidRDefault="00A4336F" w:rsidP="001B6036">
      <w:pPr>
        <w:rPr>
          <w:szCs w:val="24"/>
        </w:rPr>
      </w:pPr>
      <w:r w:rsidRPr="00CD53C6">
        <w:rPr>
          <w:szCs w:val="24"/>
        </w:rPr>
        <w:t>In andere gevallen wordt ervan uitgegaan dat de essentiële elementen van een subsidieregeling door de wetgever moeten worden vastgesteld, zoals “welke wezenlijke doelstellingen de begunstigden toegewezen krijgen, welke de wezenlijke regels zijn voor de evaluatie en voor de manier waarop deze doelstellingen bereikt moeten worden en, tot slot, welke wezenlijke elementen, criteria en regels voor de berekening het voor de Koning mogelijk maken om, in voorkomend geval, over te gaan tot een wijziging het door de wetgever vastgelegde bedrag van de subsidie en van het bestek waarbinnen de eventuele wijziging van het bedrag in kwestie kan geschieden”.</w:t>
      </w:r>
      <w:r w:rsidR="005F6504" w:rsidRPr="00DF632C">
        <w:rPr>
          <w:rStyle w:val="Voetnootmarkering"/>
          <w:szCs w:val="24"/>
        </w:rPr>
        <w:footnoteReference w:id="304"/>
      </w:r>
      <w:r w:rsidR="00B62305" w:rsidRPr="00DF632C">
        <w:rPr>
          <w:szCs w:val="24"/>
        </w:rPr>
        <w:t xml:space="preserve"> In een ander advies </w:t>
      </w:r>
      <w:r w:rsidRPr="00CD53C6">
        <w:rPr>
          <w:szCs w:val="24"/>
        </w:rPr>
        <w:t>wordt zelfs uitdrukkelijk gewag gemaakt van een legaliteitsbeginsel dat in subsidiezaken zou gelden en dat zou voortvloeien uit de wetgeving op de rijkscomptabiliteit.</w:t>
      </w:r>
      <w:r w:rsidR="00E14EC8" w:rsidRPr="00DF632C">
        <w:rPr>
          <w:rStyle w:val="Voetnootmarkering"/>
          <w:szCs w:val="24"/>
        </w:rPr>
        <w:footnoteReference w:id="305"/>
      </w:r>
      <w:r w:rsidR="00E14EC8" w:rsidRPr="00DF632C">
        <w:rPr>
          <w:szCs w:val="24"/>
        </w:rPr>
        <w:t xml:space="preserve"> Het is wel niet zo duidelijk hoe die wetgeving de wetgevers zelf zou binden. Ook uit d</w:t>
      </w:r>
      <w:r w:rsidRPr="00CD53C6">
        <w:rPr>
          <w:szCs w:val="24"/>
        </w:rPr>
        <w:t>e “algemenebepalingenwet” van 16 mei 2003 kan geen legaliteitsbeginsel in subsidiezaken worden afgeleid.</w:t>
      </w:r>
    </w:p>
    <w:p w:rsidR="005114F8" w:rsidRPr="00DF632C" w:rsidRDefault="005114F8" w:rsidP="001B6036">
      <w:pPr>
        <w:rPr>
          <w:szCs w:val="24"/>
        </w:rPr>
      </w:pPr>
    </w:p>
    <w:p w:rsidR="005114F8" w:rsidRPr="00DF632C" w:rsidRDefault="00A4336F" w:rsidP="001B6036">
      <w:pPr>
        <w:rPr>
          <w:szCs w:val="24"/>
        </w:rPr>
      </w:pPr>
      <w:r w:rsidRPr="00CD53C6">
        <w:rPr>
          <w:szCs w:val="24"/>
        </w:rPr>
        <w:t>In nog andere gevallen wordt zonder meer gesteld dat een machtiging betrekking heeft op essentiële aspecten van de regeling en “in het licht van de beginselen die de verhouding regelen tussen de wetgevende en de uitvoerende macht” nader moeten worden afgebakend, zonder dat een bepaalde voorbehouden aangelegenheid wordt geïdentificeerd.</w:t>
      </w:r>
      <w:r w:rsidR="005114F8" w:rsidRPr="00DF632C">
        <w:rPr>
          <w:rStyle w:val="Voetnootmarkering"/>
          <w:szCs w:val="24"/>
        </w:rPr>
        <w:footnoteReference w:id="306"/>
      </w:r>
    </w:p>
    <w:p w:rsidR="00A00E31" w:rsidRPr="00DF632C" w:rsidRDefault="00A00E31" w:rsidP="001B6036">
      <w:pPr>
        <w:rPr>
          <w:szCs w:val="24"/>
        </w:rPr>
      </w:pPr>
    </w:p>
    <w:p w:rsidR="00A00E31" w:rsidRPr="00DF632C" w:rsidRDefault="001D770D" w:rsidP="00E66433">
      <w:pPr>
        <w:rPr>
          <w:szCs w:val="24"/>
        </w:rPr>
      </w:pPr>
      <w:r>
        <w:rPr>
          <w:b/>
          <w:szCs w:val="24"/>
        </w:rPr>
        <w:lastRenderedPageBreak/>
        <w:t>8</w:t>
      </w:r>
      <w:r w:rsidR="006F7F2E">
        <w:rPr>
          <w:b/>
          <w:szCs w:val="24"/>
        </w:rPr>
        <w:t>2</w:t>
      </w:r>
      <w:r>
        <w:rPr>
          <w:b/>
          <w:szCs w:val="24"/>
        </w:rPr>
        <w:t>.</w:t>
      </w:r>
      <w:r>
        <w:rPr>
          <w:szCs w:val="24"/>
        </w:rPr>
        <w:tab/>
      </w:r>
      <w:r w:rsidR="00A4336F" w:rsidRPr="00CD53C6">
        <w:rPr>
          <w:szCs w:val="24"/>
        </w:rPr>
        <w:t xml:space="preserve">In een ander </w:t>
      </w:r>
      <w:r>
        <w:rPr>
          <w:szCs w:val="24"/>
        </w:rPr>
        <w:t xml:space="preserve">recent </w:t>
      </w:r>
      <w:r w:rsidR="00A4336F" w:rsidRPr="00CD53C6">
        <w:rPr>
          <w:szCs w:val="24"/>
        </w:rPr>
        <w:t xml:space="preserve">advies wordt uitdrukkelijk </w:t>
      </w:r>
      <w:r>
        <w:rPr>
          <w:szCs w:val="24"/>
        </w:rPr>
        <w:t xml:space="preserve">verwezen naar de meest recente rechtspraak van het Grondwettelijk Hof inzake de vrijheid van de wetgever om te delegeren in niet-voorbehouden aangelegenheden. De Raad verlegde het geweer van schouder wat betreft zijn kritiek op overmatige delegaties, namelijk door </w:t>
      </w:r>
      <w:r w:rsidR="005D2D87">
        <w:rPr>
          <w:szCs w:val="24"/>
        </w:rPr>
        <w:t xml:space="preserve">die kritiek te steunen op meer beleidsmatige argumenten, waardoor het eigenlijk veeleer een suggestie tot heroverweging wordt dan een juridische kritiek. Er werd </w:t>
      </w:r>
      <w:r w:rsidR="00A4336F" w:rsidRPr="00CD53C6">
        <w:rPr>
          <w:szCs w:val="24"/>
        </w:rPr>
        <w:t xml:space="preserve">erkend dat de wetgever in niet-voorbehouden aangelegenheden zeer omvangrijke delegaties kan verlenen aan de uitvoerende macht, maar tegelijkertijd </w:t>
      </w:r>
      <w:r w:rsidR="005D2D87">
        <w:rPr>
          <w:szCs w:val="24"/>
        </w:rPr>
        <w:t xml:space="preserve">werd </w:t>
      </w:r>
      <w:r w:rsidR="00A4336F" w:rsidRPr="00CD53C6">
        <w:rPr>
          <w:szCs w:val="24"/>
        </w:rPr>
        <w:t>gesteld dat “de democratische legitimiteit van de met de delegaties beoogde regeling zou worden versterkt door de voornaamste onderdelen ervan in de ontworpen bepaling te regelen” en dat “[d]e openbare bespreking ervan in het Vlaams Parlement […] daarenboven meer inzicht [biedt] in de belangenafweging die daarbij werd gemaakt, dan het geval is voor een regeling bij besluit”. Om die reden adviseerde de Raad van State “om de ontworpen delegatie opnieuw te onderzoeken en om na te gaan of niet beter meer onderdelen van de met de delegatie beoogde regeling in de ontworpen bepaling zelf kunnen worden verwerkt en of die delegatie dienovereenkomstig kan worden ingeperkt”.</w:t>
      </w:r>
      <w:r w:rsidR="00E66433" w:rsidRPr="00DF632C">
        <w:rPr>
          <w:rStyle w:val="Voetnootmarkering"/>
          <w:szCs w:val="24"/>
        </w:rPr>
        <w:footnoteReference w:id="307"/>
      </w:r>
      <w:r w:rsidR="005D2D87">
        <w:rPr>
          <w:szCs w:val="24"/>
        </w:rPr>
        <w:t xml:space="preserve"> Het zal af te wachten zijn of die benadering ook in toekomstige adviezen zal worden gehanteerd.</w:t>
      </w:r>
      <w:r w:rsidR="005D2D87">
        <w:rPr>
          <w:rStyle w:val="Voetnootmarkering"/>
          <w:szCs w:val="24"/>
        </w:rPr>
        <w:footnoteReference w:id="308"/>
      </w:r>
    </w:p>
    <w:p w:rsidR="00E14EC8" w:rsidRDefault="00E14EC8" w:rsidP="001B6036">
      <w:pPr>
        <w:rPr>
          <w:szCs w:val="24"/>
        </w:rPr>
      </w:pPr>
    </w:p>
    <w:p w:rsidR="00B92F12" w:rsidRPr="00262AA8" w:rsidRDefault="002A7EE6" w:rsidP="00B92F12">
      <w:pPr>
        <w:pStyle w:val="Kop2"/>
        <w:rPr>
          <w:lang w:val="nl-BE"/>
        </w:rPr>
      </w:pPr>
      <w:bookmarkStart w:id="38" w:name="_Toc495677894"/>
      <w:r w:rsidRPr="00262AA8">
        <w:rPr>
          <w:lang w:val="nl-BE"/>
        </w:rPr>
        <w:t>C. Delegatie aan ministers</w:t>
      </w:r>
      <w:bookmarkEnd w:id="38"/>
    </w:p>
    <w:p w:rsidR="00B92F12" w:rsidRPr="00DF632C" w:rsidRDefault="00B92F12" w:rsidP="001B6036">
      <w:pPr>
        <w:rPr>
          <w:szCs w:val="24"/>
        </w:rPr>
      </w:pPr>
    </w:p>
    <w:p w:rsidR="001B6036" w:rsidRPr="00DF632C" w:rsidRDefault="00E63CAB" w:rsidP="001B6036">
      <w:pPr>
        <w:rPr>
          <w:bCs/>
          <w:szCs w:val="24"/>
        </w:rPr>
      </w:pPr>
      <w:r>
        <w:rPr>
          <w:b/>
          <w:bCs/>
          <w:szCs w:val="24"/>
        </w:rPr>
        <w:t>8</w:t>
      </w:r>
      <w:r w:rsidR="006F7F2E">
        <w:rPr>
          <w:b/>
          <w:bCs/>
          <w:szCs w:val="24"/>
        </w:rPr>
        <w:t>3</w:t>
      </w:r>
      <w:r w:rsidR="00A4336F" w:rsidRPr="00CD53C6">
        <w:rPr>
          <w:b/>
          <w:bCs/>
          <w:szCs w:val="24"/>
        </w:rPr>
        <w:t>.</w:t>
      </w:r>
      <w:r w:rsidR="00A4336F" w:rsidRPr="00CD53C6">
        <w:rPr>
          <w:bCs/>
          <w:szCs w:val="24"/>
        </w:rPr>
        <w:tab/>
        <w:t>Dat aan ministers enkel uitvoeringsmaatregelen van bijkomstige of detailmatige aard kunnen worden gedelegeerd, is voldoende bekend. Het is niet de bedoeling om in deze kroniekaflevering de casuïstiek daaromtrent te hernemen. Slechts één specifiek aspect verdient het om even in het licht te worden gesteld, namelijk het beginsel dat de inwerkingtreding van wetgevende normen, koninklijke besluiten en regeringsbesluiten niet aan de minister kunnen worden overgelaten, omdat het een te belangrijk aspect ervan</w:t>
      </w:r>
      <w:r w:rsidR="00A555EC">
        <w:rPr>
          <w:bCs/>
          <w:szCs w:val="24"/>
        </w:rPr>
        <w:t xml:space="preserve"> betreft</w:t>
      </w:r>
      <w:r w:rsidR="00A4336F" w:rsidRPr="00CD53C6">
        <w:rPr>
          <w:bCs/>
          <w:szCs w:val="24"/>
        </w:rPr>
        <w:t xml:space="preserve"> dat niet als bijkomstig of detailmatig kan worden beschouwd.</w:t>
      </w:r>
      <w:r w:rsidR="009A6C19" w:rsidRPr="00DF632C">
        <w:rPr>
          <w:rStyle w:val="Voetnootmarkering"/>
          <w:bCs/>
          <w:szCs w:val="24"/>
        </w:rPr>
        <w:footnoteReference w:id="309"/>
      </w:r>
    </w:p>
    <w:p w:rsidR="00A00E31" w:rsidRDefault="00A00E31" w:rsidP="001B6036">
      <w:pPr>
        <w:rPr>
          <w:bCs/>
          <w:szCs w:val="24"/>
        </w:rPr>
      </w:pPr>
    </w:p>
    <w:p w:rsidR="00B92F12" w:rsidRPr="00262AA8" w:rsidRDefault="002A7EE6" w:rsidP="00B92F12">
      <w:pPr>
        <w:pStyle w:val="Kop2"/>
        <w:rPr>
          <w:lang w:val="nl-BE"/>
        </w:rPr>
      </w:pPr>
      <w:bookmarkStart w:id="39" w:name="_Toc495677895"/>
      <w:r w:rsidRPr="00262AA8">
        <w:rPr>
          <w:lang w:val="nl-BE"/>
        </w:rPr>
        <w:t>D. Delegatie aan openbare instellingen</w:t>
      </w:r>
      <w:bookmarkEnd w:id="39"/>
    </w:p>
    <w:p w:rsidR="00B92F12" w:rsidRPr="00DF632C" w:rsidRDefault="00B92F12" w:rsidP="001B6036">
      <w:pPr>
        <w:rPr>
          <w:bCs/>
          <w:szCs w:val="24"/>
        </w:rPr>
      </w:pPr>
    </w:p>
    <w:p w:rsidR="00A00E31" w:rsidRPr="00DF632C" w:rsidRDefault="00B92F12" w:rsidP="001B6036">
      <w:pPr>
        <w:rPr>
          <w:bCs/>
          <w:szCs w:val="24"/>
        </w:rPr>
      </w:pPr>
      <w:r>
        <w:rPr>
          <w:b/>
          <w:bCs/>
          <w:szCs w:val="24"/>
        </w:rPr>
        <w:t>8</w:t>
      </w:r>
      <w:r w:rsidR="006F7F2E">
        <w:rPr>
          <w:b/>
          <w:bCs/>
          <w:szCs w:val="24"/>
        </w:rPr>
        <w:t>4</w:t>
      </w:r>
      <w:r w:rsidR="00A4336F" w:rsidRPr="00CD53C6">
        <w:rPr>
          <w:b/>
          <w:bCs/>
          <w:szCs w:val="24"/>
        </w:rPr>
        <w:t>.</w:t>
      </w:r>
      <w:r w:rsidR="00A4336F" w:rsidRPr="00CD53C6">
        <w:rPr>
          <w:bCs/>
          <w:szCs w:val="24"/>
        </w:rPr>
        <w:tab/>
        <w:t>Regelgevende bevoegdheid kan in beginsel niet worden opgedragen aan openbare instellingen, behalve om praktische redenen en voor zover de delegaties een zeer beperkte of een hoofdzakelijk technische en niet-beleidsmatige draagwijdte hebben, en er mag worden van uitgegaan dat de instellingen die de betrokken reglementering dienen toe te passen of er toezicht op uitoefenen, ook het best geplaatst zijn om deze met kennis van zaken uit te werken.</w:t>
      </w:r>
    </w:p>
    <w:p w:rsidR="009C5288" w:rsidRPr="00DF632C" w:rsidRDefault="009C5288" w:rsidP="001B6036">
      <w:pPr>
        <w:rPr>
          <w:bCs/>
          <w:szCs w:val="24"/>
        </w:rPr>
      </w:pPr>
    </w:p>
    <w:p w:rsidR="009C5288" w:rsidRPr="00DF632C" w:rsidRDefault="00A4336F" w:rsidP="001B6036">
      <w:pPr>
        <w:rPr>
          <w:bCs/>
          <w:szCs w:val="24"/>
        </w:rPr>
      </w:pPr>
      <w:r w:rsidRPr="00CD53C6">
        <w:rPr>
          <w:bCs/>
          <w:szCs w:val="24"/>
        </w:rPr>
        <w:t xml:space="preserve">Toerisme Vlaanderen is gemachtigd om richtlijnen te bepalen inzake de bewegwijzering van fietsroutes en wandelroutes. Aangezien die richtlijnen in acht moeten worden genomen indien men voor subsidiëring in aanmerking wil komen, gaat het om een regelgevende bevoegdheid, </w:t>
      </w:r>
      <w:r w:rsidRPr="00CD53C6">
        <w:rPr>
          <w:bCs/>
          <w:szCs w:val="24"/>
        </w:rPr>
        <w:lastRenderedPageBreak/>
        <w:t>die in dit geval niet van louter technische of niet-beleidsmatige aard is. De beoogde richtlijnen moesten dan ook worden opgenomen als bijlage bij het ontworpen ministerieel besluit.</w:t>
      </w:r>
      <w:r w:rsidR="009C5288" w:rsidRPr="00DF632C">
        <w:rPr>
          <w:rStyle w:val="Voetnootmarkering"/>
          <w:bCs/>
          <w:szCs w:val="24"/>
        </w:rPr>
        <w:footnoteReference w:id="310"/>
      </w:r>
    </w:p>
    <w:p w:rsidR="00DB62F2" w:rsidRPr="00DF632C" w:rsidRDefault="00DB62F2" w:rsidP="001B6036">
      <w:pPr>
        <w:rPr>
          <w:bCs/>
          <w:szCs w:val="24"/>
        </w:rPr>
      </w:pPr>
    </w:p>
    <w:p w:rsidR="007F5E07" w:rsidRPr="00DF632C" w:rsidRDefault="00A4336F" w:rsidP="001B6036">
      <w:pPr>
        <w:rPr>
          <w:bCs/>
          <w:szCs w:val="24"/>
        </w:rPr>
      </w:pPr>
      <w:r w:rsidRPr="00CD53C6">
        <w:rPr>
          <w:bCs/>
          <w:szCs w:val="24"/>
        </w:rPr>
        <w:t>De Nationale Raad van het Beroepsinstituut van erkende boekhouders en fiscalisten kreeg de opdracht om richtlijnen te formuleren “in uitvoering of ter verduidelijking van de wettelijke en/of reglementaire bepalingen die van toepassing zijn op de stage en/of het praktisch bekwaamheidsexamen”, waaronder de nadere regels betreffende de inschrijvingsvoorwaarden, de deelnamevoorwaarden en de bezwaarmogelijkheden alsook het consulteren van de afgelegde schriftelijke proef van het praktisch bekwaamheidsexamen. De Raad van State merkte op dat dergelijke regels enkel een technische en niet-beleidsmatige draagwijdte hebben indien het louter gaat om technische en praktische regels.</w:t>
      </w:r>
      <w:r w:rsidR="007F5E07" w:rsidRPr="00DF632C">
        <w:rPr>
          <w:rStyle w:val="Voetnootmarkering"/>
          <w:bCs/>
          <w:szCs w:val="24"/>
        </w:rPr>
        <w:footnoteReference w:id="311"/>
      </w:r>
      <w:r w:rsidR="007F5E07" w:rsidRPr="00DF632C">
        <w:rPr>
          <w:bCs/>
          <w:szCs w:val="24"/>
        </w:rPr>
        <w:t xml:space="preserve"> </w:t>
      </w:r>
    </w:p>
    <w:p w:rsidR="007F5E07" w:rsidRPr="00DF632C" w:rsidRDefault="007F5E07" w:rsidP="001B6036">
      <w:pPr>
        <w:rPr>
          <w:bCs/>
          <w:szCs w:val="24"/>
        </w:rPr>
      </w:pPr>
    </w:p>
    <w:p w:rsidR="00696009" w:rsidRPr="00DF632C" w:rsidRDefault="00A4336F" w:rsidP="001B6036">
      <w:pPr>
        <w:rPr>
          <w:bCs/>
          <w:szCs w:val="24"/>
        </w:rPr>
      </w:pPr>
      <w:r w:rsidRPr="00CD53C6">
        <w:rPr>
          <w:bCs/>
          <w:szCs w:val="24"/>
        </w:rPr>
        <w:t>Het bepalen van een modelformulier kan worden overgelaten aan overheidsinstellingen of aan de administratie, zolang in die formulieren geen elementen of voorwaarden aan bod komen die niet reeds voortvloeien uit de bestaande wetgeving en uitvoeringsbesluiten.</w:t>
      </w:r>
      <w:r w:rsidR="00F364F3" w:rsidRPr="00DF632C">
        <w:rPr>
          <w:rStyle w:val="Voetnootmarkering"/>
          <w:bCs/>
          <w:szCs w:val="24"/>
        </w:rPr>
        <w:footnoteReference w:id="312"/>
      </w:r>
    </w:p>
    <w:p w:rsidR="00D32F50" w:rsidRPr="00262AA8" w:rsidRDefault="002A7EE6" w:rsidP="00CD53C6">
      <w:pPr>
        <w:pStyle w:val="Kop2"/>
        <w:rPr>
          <w:lang w:val="nl-BE"/>
        </w:rPr>
      </w:pPr>
      <w:bookmarkStart w:id="40" w:name="_Toc495677896"/>
      <w:r w:rsidRPr="00262AA8">
        <w:rPr>
          <w:lang w:val="nl-BE"/>
        </w:rPr>
        <w:t>E. Bekrachtiging en wetgevende validatie</w:t>
      </w:r>
      <w:bookmarkEnd w:id="40"/>
    </w:p>
    <w:p w:rsidR="0084692B" w:rsidRPr="00DF632C" w:rsidRDefault="0084692B" w:rsidP="001B6036">
      <w:pPr>
        <w:rPr>
          <w:szCs w:val="24"/>
        </w:rPr>
      </w:pPr>
    </w:p>
    <w:p w:rsidR="002103AB" w:rsidRPr="00DF632C" w:rsidRDefault="00F50F67" w:rsidP="002103AB">
      <w:pPr>
        <w:rPr>
          <w:szCs w:val="24"/>
        </w:rPr>
      </w:pPr>
      <w:r>
        <w:rPr>
          <w:b/>
          <w:szCs w:val="24"/>
        </w:rPr>
        <w:t>85.</w:t>
      </w:r>
      <w:r w:rsidR="00A4336F" w:rsidRPr="00CD53C6">
        <w:rPr>
          <w:szCs w:val="24"/>
        </w:rPr>
        <w:t xml:space="preserve"> Algemeen kan worden gesteld dat de bekrachtiging van een besluit vereist is wanneer, en in zoverre, </w:t>
      </w:r>
      <w:r w:rsidR="006F7F2E">
        <w:rPr>
          <w:szCs w:val="24"/>
        </w:rPr>
        <w:t>het gaat om een regeling die eigenlijk door de wetgever moest worden vastgesteld, doorgaans omdat de regeling van essentiële elementen van voorbehouden aangelegenheden zijn opgedragen aan de uitvoerende macht (</w:t>
      </w:r>
      <w:r w:rsidR="006F7F2E" w:rsidRPr="00CD53C6">
        <w:rPr>
          <w:szCs w:val="24"/>
          <w:highlight w:val="yellow"/>
        </w:rPr>
        <w:t>nrs. 76-79</w:t>
      </w:r>
      <w:r w:rsidR="006F7F2E">
        <w:rPr>
          <w:szCs w:val="24"/>
        </w:rPr>
        <w:t>). In de andere gevallen is delegatie juridisch niet noodzakelijk, maar kan ze wel wenselijk worden geacht.</w:t>
      </w:r>
    </w:p>
    <w:p w:rsidR="006F7F2E" w:rsidRDefault="006F7F2E" w:rsidP="002103AB">
      <w:pPr>
        <w:rPr>
          <w:szCs w:val="24"/>
        </w:rPr>
      </w:pPr>
    </w:p>
    <w:p w:rsidR="002103AB" w:rsidRPr="00DF632C" w:rsidRDefault="00A4336F" w:rsidP="002103AB">
      <w:pPr>
        <w:rPr>
          <w:szCs w:val="24"/>
        </w:rPr>
      </w:pPr>
      <w:r w:rsidRPr="00CD53C6">
        <w:rPr>
          <w:szCs w:val="24"/>
        </w:rPr>
        <w:t xml:space="preserve">De Raad van State bracht in herinnering dat wanneer de Koning wettelijke bepalingen wijzigt, aanvult, vervangt of opheft op grond van een wet die is uitgevaardigd met toepassing van artikel 105 van de Grondwet, die besluiten bij wet moeten worden bekrachtigd </w:t>
      </w:r>
      <w:r w:rsidRPr="00CD53C6">
        <w:rPr>
          <w:i/>
          <w:szCs w:val="24"/>
        </w:rPr>
        <w:t>voor zover ze aangelegenheden betreffen die de Grondwet in handen legt van de wetgever</w:t>
      </w:r>
      <w:r w:rsidRPr="00CD53C6">
        <w:rPr>
          <w:szCs w:val="24"/>
        </w:rPr>
        <w:t>.</w:t>
      </w:r>
      <w:r w:rsidR="008718C9">
        <w:rPr>
          <w:szCs w:val="24"/>
        </w:rPr>
        <w:t xml:space="preserve"> </w:t>
      </w:r>
      <w:r w:rsidRPr="00CD53C6">
        <w:rPr>
          <w:szCs w:val="24"/>
        </w:rPr>
        <w:t xml:space="preserve">Wat </w:t>
      </w:r>
      <w:r w:rsidR="001A760D">
        <w:rPr>
          <w:szCs w:val="24"/>
        </w:rPr>
        <w:t xml:space="preserve">evenwel </w:t>
      </w:r>
      <w:r w:rsidRPr="00CD53C6">
        <w:rPr>
          <w:szCs w:val="24"/>
        </w:rPr>
        <w:t xml:space="preserve">de aangelegenheden betreft die de Grondwet niet uitdrukkelijk aan de wetgever voorbehoudt, </w:t>
      </w:r>
      <w:r w:rsidR="001A760D">
        <w:rPr>
          <w:szCs w:val="24"/>
        </w:rPr>
        <w:t xml:space="preserve">is deze bekrachtiging niet vereist, maar </w:t>
      </w:r>
      <w:r w:rsidR="006F7F2E">
        <w:rPr>
          <w:szCs w:val="24"/>
        </w:rPr>
        <w:t>staat</w:t>
      </w:r>
      <w:r w:rsidRPr="00CD53C6">
        <w:rPr>
          <w:szCs w:val="24"/>
        </w:rPr>
        <w:t xml:space="preserve"> </w:t>
      </w:r>
      <w:r w:rsidR="001A760D">
        <w:rPr>
          <w:szCs w:val="24"/>
        </w:rPr>
        <w:t xml:space="preserve">volgens de Raad van State </w:t>
      </w:r>
      <w:r w:rsidRPr="00CD53C6">
        <w:rPr>
          <w:szCs w:val="24"/>
        </w:rPr>
        <w:t xml:space="preserve">niets eraan in de weg dat </w:t>
      </w:r>
      <w:r w:rsidR="001A760D">
        <w:rPr>
          <w:szCs w:val="24"/>
        </w:rPr>
        <w:t>de wetgever</w:t>
      </w:r>
      <w:r w:rsidRPr="00CD53C6">
        <w:rPr>
          <w:szCs w:val="24"/>
        </w:rPr>
        <w:t>, wanneer hij de Koning de mogelijkheid biedt om de wetgeving te wijzigen op grond van artikel 105 van de Grondwet, bepaalt dat die besluiten alsnog bij wet bekrachtigd moeten worden.</w:t>
      </w:r>
      <w:r w:rsidR="006F7F2E">
        <w:rPr>
          <w:rStyle w:val="Voetnootmarkering"/>
          <w:szCs w:val="24"/>
        </w:rPr>
        <w:footnoteReference w:id="313"/>
      </w:r>
    </w:p>
    <w:p w:rsidR="001D12B7" w:rsidRPr="00DF632C" w:rsidRDefault="001D12B7" w:rsidP="002103AB">
      <w:pPr>
        <w:rPr>
          <w:szCs w:val="24"/>
        </w:rPr>
      </w:pPr>
    </w:p>
    <w:p w:rsidR="00A03BFF" w:rsidRPr="00DF632C" w:rsidRDefault="001D12B7" w:rsidP="002103AB">
      <w:pPr>
        <w:rPr>
          <w:szCs w:val="24"/>
        </w:rPr>
      </w:pPr>
      <w:r w:rsidRPr="00CD53C6">
        <w:rPr>
          <w:b/>
          <w:szCs w:val="24"/>
        </w:rPr>
        <w:t>8</w:t>
      </w:r>
      <w:r w:rsidR="001A760D">
        <w:rPr>
          <w:b/>
          <w:szCs w:val="24"/>
        </w:rPr>
        <w:t>6</w:t>
      </w:r>
      <w:r w:rsidR="00A4336F" w:rsidRPr="00CD53C6">
        <w:rPr>
          <w:b/>
          <w:szCs w:val="24"/>
        </w:rPr>
        <w:t>.</w:t>
      </w:r>
      <w:r w:rsidR="00A4336F" w:rsidRPr="00CD53C6">
        <w:rPr>
          <w:szCs w:val="24"/>
        </w:rPr>
        <w:t xml:space="preserve"> De mogelijkheid om te voorzien in de bekrachtiging van een besluit komt in beginsel toe aan de wetgever. Wanneer voor een bepaling van een besluit geen geschikte rechtsgrond bestaat, kan de uitvoerende macht dat rechtsgrondprobleem niet verhelpen door te voorzien in een bekrachtigingsregeling. </w:t>
      </w:r>
      <w:r w:rsidR="0037734E">
        <w:rPr>
          <w:szCs w:val="24"/>
        </w:rPr>
        <w:t xml:space="preserve">Wanneer voor </w:t>
      </w:r>
      <w:r w:rsidR="00A4336F" w:rsidRPr="00CD53C6">
        <w:rPr>
          <w:szCs w:val="24"/>
        </w:rPr>
        <w:t xml:space="preserve">een bepaling geen wettelijke basis voorhanden </w:t>
      </w:r>
      <w:r w:rsidR="0037734E">
        <w:rPr>
          <w:szCs w:val="24"/>
        </w:rPr>
        <w:t xml:space="preserve">is, kan dat niet worden ondervangen door te bepalen dat </w:t>
      </w:r>
      <w:r w:rsidR="00A4336F" w:rsidRPr="00CD53C6">
        <w:rPr>
          <w:szCs w:val="24"/>
        </w:rPr>
        <w:t xml:space="preserve">de bepalingen </w:t>
      </w:r>
      <w:r w:rsidR="0037734E">
        <w:rPr>
          <w:szCs w:val="24"/>
        </w:rPr>
        <w:t xml:space="preserve">van het ontworpen besluit </w:t>
      </w:r>
      <w:r w:rsidR="00A4336F" w:rsidRPr="00CD53C6">
        <w:rPr>
          <w:szCs w:val="24"/>
        </w:rPr>
        <w:t xml:space="preserve">zouden ophouden uitwerking te hebben “indien zij niet binnen het jaar van inwerkingtreding van dit besluit worden bekrachtigd als wettelijke bepalingen”. </w:t>
      </w:r>
      <w:r w:rsidR="0037734E">
        <w:rPr>
          <w:szCs w:val="24"/>
        </w:rPr>
        <w:t>D</w:t>
      </w:r>
      <w:r w:rsidR="00A4336F" w:rsidRPr="00CD53C6">
        <w:rPr>
          <w:szCs w:val="24"/>
        </w:rPr>
        <w:t xml:space="preserve">e Koning </w:t>
      </w:r>
      <w:r w:rsidR="0037734E">
        <w:rPr>
          <w:szCs w:val="24"/>
        </w:rPr>
        <w:t xml:space="preserve">kan </w:t>
      </w:r>
      <w:r w:rsidR="00A4336F" w:rsidRPr="00CD53C6">
        <w:rPr>
          <w:szCs w:val="24"/>
        </w:rPr>
        <w:t>zichzelf immers geen bevoegdheden toekennen onder voorbehoud van bekrachtiging door de wetgever.</w:t>
      </w:r>
      <w:r w:rsidR="002103AB" w:rsidRPr="00DF632C">
        <w:rPr>
          <w:szCs w:val="24"/>
          <w:vertAlign w:val="superscript"/>
        </w:rPr>
        <w:footnoteReference w:id="314"/>
      </w:r>
      <w:r w:rsidR="002103AB" w:rsidRPr="00DF632C">
        <w:rPr>
          <w:szCs w:val="24"/>
        </w:rPr>
        <w:t xml:space="preserve"> </w:t>
      </w:r>
      <w:r w:rsidR="007C7C4C">
        <w:rPr>
          <w:szCs w:val="24"/>
        </w:rPr>
        <w:lastRenderedPageBreak/>
        <w:t xml:space="preserve">Aangezien het al dan niet bestaan van een decretale rechtsgrondslag voor een besluit door de rechter wordt beoordeeld volgens de toestand op het ogenblik waarop het besluit werd aangenomen, kan de decreetgever een onwettig tot stand gekomen besluit wegens het ontbreken van een voldoende rechtsgrond, </w:t>
      </w:r>
      <w:r w:rsidR="003406BB">
        <w:rPr>
          <w:szCs w:val="24"/>
        </w:rPr>
        <w:t>niet</w:t>
      </w:r>
      <w:r w:rsidR="007C7C4C">
        <w:rPr>
          <w:szCs w:val="24"/>
        </w:rPr>
        <w:t xml:space="preserve"> regulariseren door alsnog een rechtsgrondbiedende bepaling aan te nemen.</w:t>
      </w:r>
      <w:r w:rsidR="007C7C4C">
        <w:rPr>
          <w:rStyle w:val="Voetnootmarkering"/>
          <w:szCs w:val="24"/>
        </w:rPr>
        <w:footnoteReference w:id="315"/>
      </w:r>
      <w:r w:rsidR="007C7C4C">
        <w:rPr>
          <w:szCs w:val="24"/>
        </w:rPr>
        <w:t xml:space="preserve"> </w:t>
      </w:r>
    </w:p>
    <w:p w:rsidR="002103AB" w:rsidRPr="00DF632C" w:rsidRDefault="00A4336F" w:rsidP="002103AB">
      <w:pPr>
        <w:rPr>
          <w:szCs w:val="24"/>
        </w:rPr>
      </w:pPr>
      <w:r w:rsidRPr="00CD53C6">
        <w:rPr>
          <w:szCs w:val="24"/>
        </w:rPr>
        <w:t xml:space="preserve">Een bepaling in een ontwerp van een besluit van de Brusselse Hoofdstedelijke Regering voorzag in de bekrachtiging “met ingang van 1 juli 2014” van een besluit van dezelfde regering van 24 april 2014. </w:t>
      </w:r>
      <w:r w:rsidR="000E40A8">
        <w:rPr>
          <w:szCs w:val="24"/>
        </w:rPr>
        <w:t>H</w:t>
      </w:r>
      <w:r w:rsidRPr="00CD53C6">
        <w:rPr>
          <w:szCs w:val="24"/>
        </w:rPr>
        <w:t xml:space="preserve">et besluit van 24 april 2014 </w:t>
      </w:r>
      <w:r w:rsidR="000E40A8">
        <w:rPr>
          <w:szCs w:val="24"/>
        </w:rPr>
        <w:t xml:space="preserve">was </w:t>
      </w:r>
      <w:r w:rsidRPr="00CD53C6">
        <w:rPr>
          <w:szCs w:val="24"/>
        </w:rPr>
        <w:t xml:space="preserve">tot stand </w:t>
      </w:r>
      <w:r w:rsidR="000E40A8">
        <w:rPr>
          <w:szCs w:val="24"/>
        </w:rPr>
        <w:t>gekomen</w:t>
      </w:r>
      <w:r w:rsidRPr="00CD53C6">
        <w:rPr>
          <w:szCs w:val="24"/>
        </w:rPr>
        <w:t xml:space="preserve"> vóór de inwerkingtreding van de </w:t>
      </w:r>
      <w:r w:rsidR="00224E00">
        <w:rPr>
          <w:szCs w:val="24"/>
        </w:rPr>
        <w:t>Z</w:t>
      </w:r>
      <w:r w:rsidRPr="00CD53C6">
        <w:rPr>
          <w:szCs w:val="24"/>
        </w:rPr>
        <w:t>esde Staatshervorming op 1 juli 2014, al was het pas na die datum in werking getreden. Door middel van de bekrachtiging wenste de Brusselse Hoofdstedelijke Regering mogelijke beroepen over de betrokken aangelegenheid</w:t>
      </w:r>
      <w:r w:rsidR="00A555EC">
        <w:rPr>
          <w:szCs w:val="24"/>
        </w:rPr>
        <w:t xml:space="preserve"> te</w:t>
      </w:r>
      <w:r w:rsidRPr="00CD53C6">
        <w:rPr>
          <w:szCs w:val="24"/>
        </w:rPr>
        <w:t xml:space="preserve"> vermijden. De Raad van State merkte op dat het procedé van bekrachtiging in dergelijk geval niet kan worden aangewend omdat het niet gaat om het wetskrachtig maken van een besluit. In de plaats daarvan was het enkel mogelijk dat de bepalingen van het besluit van 24 april 2014 zouden worden hernomen in het voorliggende ontwerp, althans voor zover daartoe een geschikte rechtsgrond kon worden gevonden en er voldaan was aan de voorwaarden inzake terugwerkende kracht.</w:t>
      </w:r>
      <w:r w:rsidR="002103AB" w:rsidRPr="00DF632C">
        <w:rPr>
          <w:szCs w:val="24"/>
          <w:vertAlign w:val="superscript"/>
        </w:rPr>
        <w:footnoteReference w:id="316"/>
      </w:r>
    </w:p>
    <w:p w:rsidR="002103AB" w:rsidRPr="00DF632C" w:rsidRDefault="002103AB" w:rsidP="002103AB">
      <w:pPr>
        <w:rPr>
          <w:szCs w:val="24"/>
        </w:rPr>
      </w:pPr>
    </w:p>
    <w:p w:rsidR="002103AB" w:rsidRPr="00DF632C" w:rsidRDefault="001D12B7" w:rsidP="002103AB">
      <w:pPr>
        <w:rPr>
          <w:szCs w:val="24"/>
        </w:rPr>
      </w:pPr>
      <w:r w:rsidRPr="00CD53C6">
        <w:rPr>
          <w:b/>
          <w:szCs w:val="24"/>
        </w:rPr>
        <w:t>8</w:t>
      </w:r>
      <w:r w:rsidR="000E40A8">
        <w:rPr>
          <w:b/>
          <w:szCs w:val="24"/>
        </w:rPr>
        <w:t>7</w:t>
      </w:r>
      <w:r w:rsidR="00A4336F" w:rsidRPr="00CD53C6">
        <w:rPr>
          <w:b/>
          <w:szCs w:val="24"/>
        </w:rPr>
        <w:t>.</w:t>
      </w:r>
      <w:r w:rsidR="00A4336F" w:rsidRPr="00CD53C6">
        <w:rPr>
          <w:szCs w:val="24"/>
        </w:rPr>
        <w:t xml:space="preserve"> Eenmaal bekrachtigd kan een bepaling niet meer bij besluit worden gewijzigd.</w:t>
      </w:r>
      <w:r w:rsidR="002103AB" w:rsidRPr="00DF632C">
        <w:rPr>
          <w:szCs w:val="24"/>
          <w:vertAlign w:val="superscript"/>
        </w:rPr>
        <w:footnoteReference w:id="317"/>
      </w:r>
    </w:p>
    <w:p w:rsidR="00D32F50" w:rsidRPr="00DF632C" w:rsidRDefault="000E40A8" w:rsidP="002103AB">
      <w:pPr>
        <w:pStyle w:val="Kop1"/>
      </w:pPr>
      <w:bookmarkStart w:id="41" w:name="_Toc495677897"/>
      <w:r>
        <w:t>I</w:t>
      </w:r>
      <w:r w:rsidR="00A4336F" w:rsidRPr="00CD53C6">
        <w:t>X. Naleving en handhaving</w:t>
      </w:r>
      <w:bookmarkEnd w:id="41"/>
    </w:p>
    <w:p w:rsidR="002103AB" w:rsidRPr="00DF632C" w:rsidRDefault="002103AB" w:rsidP="001B6036">
      <w:pPr>
        <w:rPr>
          <w:szCs w:val="24"/>
        </w:rPr>
      </w:pPr>
    </w:p>
    <w:p w:rsidR="002103AB" w:rsidRPr="00CD53C6" w:rsidRDefault="00A4336F" w:rsidP="00A03BFF">
      <w:pPr>
        <w:pStyle w:val="Kop2"/>
        <w:rPr>
          <w:lang w:val="nl-BE"/>
        </w:rPr>
      </w:pPr>
      <w:bookmarkStart w:id="42" w:name="_Toc495677898"/>
      <w:r w:rsidRPr="00CD53C6">
        <w:rPr>
          <w:lang w:val="nl-BE"/>
        </w:rPr>
        <w:t xml:space="preserve">A. </w:t>
      </w:r>
      <w:r w:rsidR="004D105B">
        <w:rPr>
          <w:lang w:val="nl-BE"/>
        </w:rPr>
        <w:t>Materieel l</w:t>
      </w:r>
      <w:r w:rsidRPr="00CD53C6">
        <w:rPr>
          <w:lang w:val="nl-BE"/>
        </w:rPr>
        <w:t>egaliteitsbeginsel in strafzaken</w:t>
      </w:r>
      <w:bookmarkEnd w:id="42"/>
    </w:p>
    <w:p w:rsidR="002103AB" w:rsidRPr="00DF632C" w:rsidRDefault="002103AB" w:rsidP="002103AB">
      <w:pPr>
        <w:rPr>
          <w:b/>
        </w:rPr>
      </w:pPr>
    </w:p>
    <w:p w:rsidR="002103AB" w:rsidRPr="00DF632C" w:rsidRDefault="000E40A8" w:rsidP="002103AB">
      <w:r>
        <w:rPr>
          <w:b/>
        </w:rPr>
        <w:t>88</w:t>
      </w:r>
      <w:r w:rsidR="00A4336F" w:rsidRPr="00CD53C6">
        <w:rPr>
          <w:b/>
        </w:rPr>
        <w:t>.</w:t>
      </w:r>
      <w:r w:rsidR="00A4336F" w:rsidRPr="00CD53C6">
        <w:tab/>
        <w:t xml:space="preserve">Het legaliteitsbeginsel in strafzaken, afgeleid uit de artikelen 12 en 14 van de Grondwet, artikel 7 EVRM en artikel 15 </w:t>
      </w:r>
      <w:r w:rsidR="00751161">
        <w:t>BUPO</w:t>
      </w:r>
      <w:r w:rsidR="00A4336F" w:rsidRPr="00CD53C6">
        <w:t xml:space="preserve">, vereist een door de wetgever voldoende precieze omschrijving van de strafbaar gestelde feiten. Dat beginsel houdt mede in dat de strafwet moet worden geformuleerd in bewoordingen op grond waarvan eenieder, op het ogenblik waarop hij een gedrag aanneemt, de op te lopen straf kan kennen wanneer dat gedrag strafbaar is. Dat beginsel strekt ertoe elk risico van willekeurig optreden vanwege de rechterlijke of de uitvoerende macht uit te sluiten bij het opleggen en het toepassen van de straffen. In de afgelopen twee jaar heeft de Raad van State zich herhaaldelijk moeten buigen over de vraag of de nieuwe strafbepalingen inzake terrorisme verenigbaar waren met het strafrechtelijk legaliteitsbeginsel. </w:t>
      </w:r>
    </w:p>
    <w:p w:rsidR="00A03BFF" w:rsidRPr="00DF632C" w:rsidRDefault="00A03BFF" w:rsidP="002103AB"/>
    <w:p w:rsidR="002103AB" w:rsidRPr="00DF632C" w:rsidRDefault="001E4FF9" w:rsidP="002103AB">
      <w:r>
        <w:rPr>
          <w:b/>
        </w:rPr>
        <w:t>89</w:t>
      </w:r>
      <w:r w:rsidR="00A4336F" w:rsidRPr="00CD53C6">
        <w:rPr>
          <w:b/>
        </w:rPr>
        <w:t>.</w:t>
      </w:r>
      <w:r w:rsidR="00A4336F" w:rsidRPr="00CD53C6">
        <w:tab/>
        <w:t>Over het ontworpen artikel 140</w:t>
      </w:r>
      <w:r w:rsidR="00A4336F" w:rsidRPr="00CD53C6">
        <w:rPr>
          <w:i/>
          <w:iCs/>
        </w:rPr>
        <w:t>sexies</w:t>
      </w:r>
      <w:r w:rsidR="00A4336F" w:rsidRPr="00CD53C6">
        <w:t>, 1°</w:t>
      </w:r>
      <w:r w:rsidR="00487A25">
        <w:t>,</w:t>
      </w:r>
      <w:r w:rsidR="00A4336F" w:rsidRPr="00CD53C6">
        <w:t xml:space="preserve"> Sw</w:t>
      </w:r>
      <w:r w:rsidR="00751161">
        <w:t>.</w:t>
      </w:r>
      <w:r w:rsidR="00A4336F" w:rsidRPr="00CD53C6">
        <w:t xml:space="preserve"> dat het een misdrijf maakt om (vanuit België) af te reizen naar een andere </w:t>
      </w:r>
      <w:r w:rsidR="00487A25">
        <w:t>s</w:t>
      </w:r>
      <w:r w:rsidR="00A4336F" w:rsidRPr="00CD53C6">
        <w:t>taat met het oog op het plegen, in België of in het buitenland, van een terroristisch misdrijf</w:t>
      </w:r>
      <w:r w:rsidR="008718C9">
        <w:t xml:space="preserve"> </w:t>
      </w:r>
      <w:r w:rsidR="00487A25">
        <w:t xml:space="preserve">had de Raad van State heel wat bedenkingen bij de materiële omschrijving van het misdrijf. Zo </w:t>
      </w:r>
      <w:r w:rsidR="00A4336F" w:rsidRPr="00CD53C6">
        <w:t>oordeel</w:t>
      </w:r>
      <w:r w:rsidR="00F018E4">
        <w:t>de</w:t>
      </w:r>
      <w:r w:rsidR="00A4336F" w:rsidRPr="00CD53C6">
        <w:t xml:space="preserve"> de Raad van State dat de steller van het voorontwerp het werkwoord “se rend” (“afreist”) </w:t>
      </w:r>
      <w:r w:rsidR="00453665">
        <w:t>verder moest</w:t>
      </w:r>
      <w:r w:rsidR="00A4336F" w:rsidRPr="00CD53C6">
        <w:t xml:space="preserve"> verduidelijken, en </w:t>
      </w:r>
      <w:r w:rsidR="00453665">
        <w:t xml:space="preserve">vroeg </w:t>
      </w:r>
      <w:r w:rsidR="00A4336F" w:rsidRPr="00CD53C6">
        <w:t xml:space="preserve">hij </w:t>
      </w:r>
      <w:r w:rsidR="00453665">
        <w:t>zich af of de omschrijving</w:t>
      </w:r>
      <w:r w:rsidR="00A4336F" w:rsidRPr="00CD53C6">
        <w:t xml:space="preserve"> “</w:t>
      </w:r>
      <w:r w:rsidR="00453665">
        <w:t xml:space="preserve">naar een </w:t>
      </w:r>
      <w:r w:rsidR="00A4336F" w:rsidRPr="00CD53C6">
        <w:t xml:space="preserve">andere </w:t>
      </w:r>
      <w:r w:rsidR="00453665">
        <w:t>s</w:t>
      </w:r>
      <w:r w:rsidR="00A4336F" w:rsidRPr="00CD53C6">
        <w:t>taat” wel alle situaties d</w:t>
      </w:r>
      <w:r w:rsidR="00453665">
        <w:t>ekt die de wetgever beoog</w:t>
      </w:r>
      <w:r w:rsidR="00F018E4">
        <w:t>de</w:t>
      </w:r>
      <w:r w:rsidR="00453665">
        <w:t xml:space="preserve"> strafrechtelijk te sanctioneren</w:t>
      </w:r>
      <w:r w:rsidR="00A4336F" w:rsidRPr="00CD53C6">
        <w:t xml:space="preserve">. </w:t>
      </w:r>
      <w:r w:rsidR="00F018E4">
        <w:t>De vraag rees b</w:t>
      </w:r>
      <w:r w:rsidR="00A4336F" w:rsidRPr="00CD53C6">
        <w:t>ijvoorbeeld</w:t>
      </w:r>
      <w:r w:rsidR="00F018E4">
        <w:t xml:space="preserve"> of </w:t>
      </w:r>
      <w:r w:rsidR="00A4336F" w:rsidRPr="00CD53C6">
        <w:t xml:space="preserve">men de uitdrukking “het nationaal grondgebied verlaten” (“quitter le territoire national”) </w:t>
      </w:r>
      <w:r w:rsidR="00F018E4">
        <w:t xml:space="preserve">kan </w:t>
      </w:r>
      <w:r w:rsidR="00A4336F" w:rsidRPr="00CD53C6">
        <w:t xml:space="preserve">gebruiken, waarbij </w:t>
      </w:r>
      <w:r w:rsidR="00A4336F" w:rsidRPr="00CD53C6">
        <w:lastRenderedPageBreak/>
        <w:t>deze gedraging geacht wordt te starten op het ogenblik dat men op het nationaal grondgebied een reis aanvat (of, wat de strafbare poging betreft, tracht aan te vatten) die leidt naar een bestemming buiten het grondgebied. De Raad formuleer</w:t>
      </w:r>
      <w:r w:rsidR="00F018E4">
        <w:t>de</w:t>
      </w:r>
      <w:r w:rsidR="00A4336F" w:rsidRPr="00CD53C6">
        <w:t xml:space="preserve"> ook een waarschuwing. Het ontworpen misdrijf stelt </w:t>
      </w:r>
      <w:r w:rsidR="00A4336F" w:rsidRPr="00CD53C6">
        <w:rPr>
          <w:i/>
          <w:iCs/>
        </w:rPr>
        <w:t xml:space="preserve">in se </w:t>
      </w:r>
      <w:r w:rsidR="00A4336F" w:rsidRPr="00CD53C6">
        <w:t>geen loutere intentie of gedachte strafbaar</w:t>
      </w:r>
      <w:r w:rsidR="00F018E4">
        <w:t xml:space="preserve">, maar bevindt </w:t>
      </w:r>
      <w:r w:rsidR="00A4336F" w:rsidRPr="00CD53C6">
        <w:t xml:space="preserve">zich </w:t>
      </w:r>
      <w:r w:rsidR="00F018E4">
        <w:t xml:space="preserve">toch </w:t>
      </w:r>
      <w:r w:rsidR="00A4336F" w:rsidRPr="00CD53C6">
        <w:t xml:space="preserve">op de grens van het materiële en het intentionele doordat een alledaagse handeling als reizen of zich verplaatsen strafbaar wordt gesteld indien zulks met een bepaalde intentie gebeurt. In die omstandigheden is bijzondere waakzaamheid geboden, bij alle etappes van de strafrechtsketen, om te beletten dat het misdrijf een al te ruim toepassingsgebied zou krijgen. Het spreekt voor zich dat aanhouding, vrijheidsberoving, opsporingsonderzoek, gerechtelijk onderzoek, vervolging en veroordeling slechts mogelijk zijn indien voldoende concrete, gematerialiseerde en objectiveerbare aanwijzingen aanwezig zijn, die een bepaalde graad van ernst vertonen, van de intentie om een terroristisch misdrijf te plegen. Het bewijs van deze elementen valt ten laste van het </w:t>
      </w:r>
      <w:r w:rsidR="00F018E4">
        <w:t>o</w:t>
      </w:r>
      <w:r w:rsidR="00A4336F" w:rsidRPr="00CD53C6">
        <w:t xml:space="preserve">penbaar </w:t>
      </w:r>
      <w:r w:rsidR="00F018E4">
        <w:t>m</w:t>
      </w:r>
      <w:r w:rsidR="00A4336F" w:rsidRPr="00CD53C6">
        <w:t>inisterie en moet door de bevoegde rechters worden beoordeeld. Hierbij mogen geen loutere vermoedens worden gehanteerd die te maken hebben met stereotypes (aangaande afkomst, overtuiging of (gerechtelijk) verleden van de persoon) of met de bestemming van de reis</w:t>
      </w:r>
      <w:r w:rsidR="00A5649F">
        <w:t>.</w:t>
      </w:r>
      <w:r w:rsidR="002103AB" w:rsidRPr="00DF632C">
        <w:rPr>
          <w:rStyle w:val="Voetnootmarkering"/>
        </w:rPr>
        <w:footnoteReference w:id="318"/>
      </w:r>
      <w:r w:rsidR="002103AB" w:rsidRPr="00DF632C">
        <w:t xml:space="preserve"> </w:t>
      </w:r>
    </w:p>
    <w:p w:rsidR="00A03BFF" w:rsidRPr="00DF632C" w:rsidRDefault="00A03BFF" w:rsidP="002103AB">
      <w:pPr>
        <w:rPr>
          <w:sz w:val="23"/>
          <w:szCs w:val="23"/>
        </w:rPr>
      </w:pPr>
    </w:p>
    <w:p w:rsidR="002103AB" w:rsidRPr="00CD53C6" w:rsidRDefault="00A4336F" w:rsidP="002103AB">
      <w:pPr>
        <w:rPr>
          <w:szCs w:val="24"/>
        </w:rPr>
      </w:pPr>
      <w:r w:rsidRPr="00CD53C6">
        <w:rPr>
          <w:szCs w:val="24"/>
        </w:rPr>
        <w:t>De nieuwe tekst van artikel 140</w:t>
      </w:r>
      <w:r w:rsidRPr="00CD53C6">
        <w:rPr>
          <w:i/>
          <w:iCs/>
          <w:szCs w:val="24"/>
        </w:rPr>
        <w:t xml:space="preserve">bis </w:t>
      </w:r>
      <w:r w:rsidRPr="00CD53C6">
        <w:rPr>
          <w:szCs w:val="24"/>
        </w:rPr>
        <w:t xml:space="preserve">van het Strafwetboek </w:t>
      </w:r>
      <w:r w:rsidR="00F018E4">
        <w:rPr>
          <w:szCs w:val="24"/>
        </w:rPr>
        <w:t>hield</w:t>
      </w:r>
      <w:r w:rsidR="00F018E4" w:rsidRPr="00CD53C6">
        <w:rPr>
          <w:szCs w:val="24"/>
        </w:rPr>
        <w:t xml:space="preserve"> </w:t>
      </w:r>
      <w:r w:rsidRPr="00CD53C6">
        <w:rPr>
          <w:szCs w:val="24"/>
        </w:rPr>
        <w:t>ook een aanzienlijke verruiming in van de strafbaarstelling: er wordt niet langer vereist dat de betrokkene weet dat de deelname aan de activiteit van de terroristische groep bijdraagt tot het plegen van een misdaad of wanbedrijf door die groep, maar enkel dat hij weet of moest weten dat de groep een terroristische groep is. Door het opgeven van het vereiste dat de betrokkene weet dat zijn deelname bijdraagt tot het plegen van een misdaad of wanbedrijf door de terroristische groep, en het invoeren van het criterium van het “moeten weten” dat het gaat om een terroristische groep, in combinatie met het geheel overlaten aan de rechtspraak om te bepalen welke graad van betrokkenheid in de activiteiten van de groep vereist is, dreigt het artikel, aldus opgevat, op gespannen voet te staan met het strafrechtelijke legaliteitsbeginsel. De rechter dreigt een te grote beoordelingsvrijheid te krijgen doordat hij of zij een graad van betrokkenheid zal moeten bepalen zonder te beschikken over een duidelijk criterium waaraan die betrokkenheid kan worden getoetst. Minstens zou derhalve moeten worden aangegeven dat het gaat om betrokkenheid bij de activiteiten die verband houden met strafbare handelingen van de betrokken groep</w:t>
      </w:r>
      <w:r w:rsidR="00A5649F">
        <w:rPr>
          <w:szCs w:val="24"/>
        </w:rPr>
        <w:t>.</w:t>
      </w:r>
      <w:r w:rsidRPr="00CD53C6">
        <w:rPr>
          <w:rStyle w:val="Voetnootmarkering"/>
          <w:szCs w:val="24"/>
        </w:rPr>
        <w:footnoteReference w:id="319"/>
      </w:r>
    </w:p>
    <w:p w:rsidR="00A03BFF" w:rsidRPr="00DF632C" w:rsidRDefault="00A03BFF" w:rsidP="002103AB">
      <w:pPr>
        <w:rPr>
          <w:sz w:val="23"/>
          <w:szCs w:val="23"/>
        </w:rPr>
      </w:pPr>
    </w:p>
    <w:p w:rsidR="002103AB" w:rsidRPr="00CD53C6" w:rsidRDefault="00A4336F" w:rsidP="002103AB">
      <w:pPr>
        <w:rPr>
          <w:szCs w:val="24"/>
        </w:rPr>
      </w:pPr>
      <w:r w:rsidRPr="00CD53C6">
        <w:rPr>
          <w:szCs w:val="24"/>
        </w:rPr>
        <w:t>Het nieuw ontworpen artikel 140</w:t>
      </w:r>
      <w:r w:rsidRPr="00CD53C6">
        <w:rPr>
          <w:i/>
          <w:szCs w:val="24"/>
        </w:rPr>
        <w:t>septies</w:t>
      </w:r>
      <w:r w:rsidRPr="00CD53C6">
        <w:rPr>
          <w:szCs w:val="24"/>
        </w:rPr>
        <w:t xml:space="preserve"> Sw voorziet</w:t>
      </w:r>
      <w:r w:rsidR="00F018E4">
        <w:rPr>
          <w:szCs w:val="24"/>
        </w:rPr>
        <w:t xml:space="preserve"> dan weer</w:t>
      </w:r>
      <w:r w:rsidRPr="00CD53C6">
        <w:rPr>
          <w:szCs w:val="24"/>
        </w:rPr>
        <w:t xml:space="preserve"> in de strafbaarstelling van voorbereidende handelingen van een terroristisch misdrijf. De voorbereidende handelingen worden in een niet-exhaustieve lijst beschreven en de memorie van toelichting benadrukt dat de handeling dient te worden gekoppeld aan de intentie een bepaald terroristisch misdrijf te plegen. De vraag </w:t>
      </w:r>
      <w:r w:rsidR="00F018E4">
        <w:rPr>
          <w:szCs w:val="24"/>
        </w:rPr>
        <w:t>rees</w:t>
      </w:r>
      <w:r w:rsidR="00F018E4" w:rsidRPr="00CD53C6">
        <w:rPr>
          <w:szCs w:val="24"/>
        </w:rPr>
        <w:t xml:space="preserve"> </w:t>
      </w:r>
      <w:r w:rsidRPr="00CD53C6">
        <w:rPr>
          <w:szCs w:val="24"/>
        </w:rPr>
        <w:t>onder meer of het aanvaardbaar is om in het ontworpen artikel 140</w:t>
      </w:r>
      <w:r w:rsidRPr="00CD53C6">
        <w:rPr>
          <w:i/>
          <w:iCs/>
          <w:szCs w:val="24"/>
        </w:rPr>
        <w:t xml:space="preserve">septies </w:t>
      </w:r>
      <w:r w:rsidRPr="00CD53C6">
        <w:rPr>
          <w:szCs w:val="24"/>
        </w:rPr>
        <w:t xml:space="preserve">van het Strafwetboek een niet-uitputtende opsomming op te nemen van </w:t>
      </w:r>
      <w:r w:rsidRPr="00CD53C6">
        <w:rPr>
          <w:szCs w:val="24"/>
        </w:rPr>
        <w:lastRenderedPageBreak/>
        <w:t xml:space="preserve">handelingen die een voorbereidende handeling kunnen uitmaken. Het antwoord op die vraag </w:t>
      </w:r>
      <w:r w:rsidR="00F018E4">
        <w:rPr>
          <w:szCs w:val="24"/>
        </w:rPr>
        <w:t>wa</w:t>
      </w:r>
      <w:r w:rsidRPr="00CD53C6">
        <w:rPr>
          <w:szCs w:val="24"/>
        </w:rPr>
        <w:t xml:space="preserve">s </w:t>
      </w:r>
      <w:r w:rsidR="00F018E4">
        <w:rPr>
          <w:szCs w:val="24"/>
        </w:rPr>
        <w:t xml:space="preserve">volgens de Raad van State </w:t>
      </w:r>
      <w:r w:rsidRPr="00CD53C6">
        <w:rPr>
          <w:szCs w:val="24"/>
        </w:rPr>
        <w:t xml:space="preserve">bevestigend, op voorwaarde dat de delictsomschrijving die door de opsomming wordt geëxpliciteerd, zelf aan het legaliteitsbeginsel in strafzaken voldoet en derhalve voldoende nauwkeurig, duidelijk en voorspelbaar is, en het beginsel dat geen straf mag worden opgelegd zonder schuld, erdoor niet wordt miskend. </w:t>
      </w:r>
      <w:r w:rsidR="00F018E4">
        <w:rPr>
          <w:szCs w:val="24"/>
        </w:rPr>
        <w:t>Dit</w:t>
      </w:r>
      <w:r w:rsidRPr="00CD53C6">
        <w:rPr>
          <w:szCs w:val="24"/>
        </w:rPr>
        <w:t xml:space="preserve"> neemt </w:t>
      </w:r>
      <w:r w:rsidR="00F018E4">
        <w:rPr>
          <w:szCs w:val="24"/>
        </w:rPr>
        <w:t xml:space="preserve">echter </w:t>
      </w:r>
      <w:r w:rsidRPr="00CD53C6">
        <w:rPr>
          <w:szCs w:val="24"/>
        </w:rPr>
        <w:t>niet weg dat een limitatieve lijst van handelingen die in voorkomend geval als voorbereidende handelingen kunnen worden beschouwd, meer rechtszekerheid biedt en derhalve, zo het mogelijk is zulk een lijst op te stellen, de voorkeur verdient</w:t>
      </w:r>
      <w:r w:rsidR="00A5649F">
        <w:rPr>
          <w:szCs w:val="24"/>
        </w:rPr>
        <w:t>.</w:t>
      </w:r>
      <w:r w:rsidRPr="00CD53C6">
        <w:rPr>
          <w:rStyle w:val="Voetnootmarkering"/>
          <w:szCs w:val="24"/>
        </w:rPr>
        <w:footnoteReference w:id="320"/>
      </w:r>
      <w:r w:rsidRPr="00CD53C6">
        <w:rPr>
          <w:szCs w:val="24"/>
        </w:rPr>
        <w:t xml:space="preserve"> Daarnaast onderstreept de Raad van State ook dat het cruciaal is dat de voorbereidende handelingen kunnen worden gekoppeld aan het bewijs, aan de hand van concrete en met elkaar overeenstemmende elementen, </w:t>
      </w:r>
      <w:r w:rsidR="00453665">
        <w:rPr>
          <w:szCs w:val="24"/>
        </w:rPr>
        <w:t xml:space="preserve">en </w:t>
      </w:r>
      <w:r w:rsidRPr="00CD53C6">
        <w:rPr>
          <w:szCs w:val="24"/>
        </w:rPr>
        <w:t xml:space="preserve">dat een duidelijke intentie bestaat een bepaald terroristisch misdrijf te plegen. De voorbereidende handeling dient steeds te worden gekoppeld aan de intentie om één of meer terroristische misdrijven te plegen, die </w:t>
      </w:r>
      <w:r w:rsidRPr="00CD53C6">
        <w:rPr>
          <w:i/>
          <w:iCs/>
          <w:szCs w:val="24"/>
        </w:rPr>
        <w:t xml:space="preserve">in concreto </w:t>
      </w:r>
      <w:r w:rsidRPr="00CD53C6">
        <w:rPr>
          <w:szCs w:val="24"/>
        </w:rPr>
        <w:t>dienen te worden gespecificeerd. Al kan deze koppeling aanleiding geven tot bewijsproblemen, toch is ze essentieel opdat de ontworpen bepaling in overeenstemming zou zijn met het strafrechtelijke legaliteitsbeginsel</w:t>
      </w:r>
      <w:r w:rsidR="00A5649F">
        <w:rPr>
          <w:szCs w:val="24"/>
        </w:rPr>
        <w:t>.</w:t>
      </w:r>
      <w:r w:rsidRPr="00CD53C6">
        <w:rPr>
          <w:rStyle w:val="Voetnootmarkering"/>
          <w:szCs w:val="24"/>
        </w:rPr>
        <w:footnoteReference w:id="321"/>
      </w:r>
    </w:p>
    <w:p w:rsidR="002103AB" w:rsidRPr="00DF632C" w:rsidRDefault="002103AB" w:rsidP="002103AB">
      <w:pPr>
        <w:rPr>
          <w:sz w:val="23"/>
          <w:szCs w:val="23"/>
        </w:rPr>
      </w:pPr>
    </w:p>
    <w:p w:rsidR="002103AB" w:rsidRPr="00CD53C6" w:rsidRDefault="00A4336F" w:rsidP="00A03BFF">
      <w:pPr>
        <w:pStyle w:val="Kop2"/>
        <w:rPr>
          <w:lang w:val="nl-BE"/>
        </w:rPr>
      </w:pPr>
      <w:bookmarkStart w:id="43" w:name="_Toc495677899"/>
      <w:r w:rsidRPr="00CD53C6">
        <w:rPr>
          <w:lang w:val="nl-BE"/>
        </w:rPr>
        <w:t xml:space="preserve">B. </w:t>
      </w:r>
      <w:r w:rsidR="004D105B">
        <w:rPr>
          <w:lang w:val="nl-BE"/>
        </w:rPr>
        <w:t>Formeel legaliteitsbeginsel in strafzaken</w:t>
      </w:r>
      <w:bookmarkEnd w:id="43"/>
    </w:p>
    <w:p w:rsidR="002103AB" w:rsidRPr="00DF632C" w:rsidRDefault="002103AB" w:rsidP="002103AB">
      <w:pPr>
        <w:rPr>
          <w:sz w:val="23"/>
          <w:szCs w:val="23"/>
        </w:rPr>
      </w:pPr>
    </w:p>
    <w:p w:rsidR="00453665" w:rsidRDefault="00A5649F" w:rsidP="002103AB">
      <w:r>
        <w:rPr>
          <w:b/>
          <w:sz w:val="23"/>
          <w:szCs w:val="23"/>
        </w:rPr>
        <w:t>90.</w:t>
      </w:r>
      <w:r w:rsidR="00A4336F" w:rsidRPr="00CD53C6">
        <w:t xml:space="preserve"> Het bepalen in welke gevallen en in welke vorm strafvervolging mogelijk is, alsmede het bepalen van straffen is een aan de wetgever voorbehouden aangelegenheid. Een delegatie aan de Koning is evenwel niet strijdig met het legaliteitsbeginsel voor zover de machtiging voldoende nauwkeurig is omschreven en betrekking heeft op de tenuitvoerlegging van maatregelen waarvan de essentiële elementen vooraf door de wetgever zijn vastgesteld. De wetgever moet dan precies bepalen welke artikelen van de wet aanleiding kunnen geven tot uitvoeringsbesluiten waarvan de niet-naleving strafbaar kan worden gesteld.</w:t>
      </w:r>
      <w:r w:rsidR="002103AB" w:rsidRPr="00DF632C">
        <w:rPr>
          <w:rStyle w:val="Voetnootmarkering"/>
        </w:rPr>
        <w:footnoteReference w:id="322"/>
      </w:r>
      <w:r w:rsidR="004B4815" w:rsidRPr="00DF632C">
        <w:t xml:space="preserve"> </w:t>
      </w:r>
    </w:p>
    <w:p w:rsidR="00453665" w:rsidRDefault="00453665" w:rsidP="002103AB"/>
    <w:p w:rsidR="002103AB" w:rsidRPr="00DF632C" w:rsidRDefault="002103AB" w:rsidP="002103AB">
      <w:r w:rsidRPr="00DF632C">
        <w:t>Ook voor administratieve geldboetes</w:t>
      </w:r>
      <w:r w:rsidRPr="00DF632C">
        <w:rPr>
          <w:rStyle w:val="Voetnootmarkering"/>
        </w:rPr>
        <w:footnoteReference w:id="323"/>
      </w:r>
      <w:r w:rsidRPr="00DF632C">
        <w:t xml:space="preserve"> en andere dwangmaatregelen geldt dat de wet- of decreetgever de </w:t>
      </w:r>
      <w:r w:rsidR="00354817">
        <w:t>uitvoerende macht</w:t>
      </w:r>
      <w:r w:rsidR="00354817" w:rsidRPr="00DF632C">
        <w:t xml:space="preserve"> </w:t>
      </w:r>
      <w:r w:rsidRPr="00DF632C">
        <w:t xml:space="preserve">expliciet moet machtigen om die in te voeren en bovendien de essentiële elementen van dat regime </w:t>
      </w:r>
      <w:r w:rsidR="00354817">
        <w:t xml:space="preserve">zelf </w:t>
      </w:r>
      <w:r w:rsidRPr="00DF632C">
        <w:t xml:space="preserve">moet regelen. </w:t>
      </w:r>
      <w:r w:rsidR="00354817">
        <w:t>Zo volstaat d</w:t>
      </w:r>
      <w:r w:rsidRPr="00DF632C">
        <w:t>e machtiging aan de Koning om de nadere regels te bepalen inzake het toezicht betreffende de verplichtingen die voortvloeien uit de wet of haar uitvoeringsbesluiten niet om aan de ambtenaren va</w:t>
      </w:r>
      <w:r w:rsidR="00A4336F" w:rsidRPr="00CD53C6">
        <w:t>n de Algemene Directie Energie de bevoegdheid te verlenen om dwangmaatregelen te nemen (waaronder de verplichting om inlichtingen te verstrekken en de gevraagde documenten voor te leggen). Daarvoor is een uitdrukkelijke en specifieke machtiging van de wetgever noodzakelijk</w:t>
      </w:r>
      <w:r w:rsidR="00023088">
        <w:t xml:space="preserve"> (zie ook </w:t>
      </w:r>
      <w:r w:rsidR="00023088" w:rsidRPr="00CD53C6">
        <w:rPr>
          <w:highlight w:val="yellow"/>
        </w:rPr>
        <w:t>nr. 72</w:t>
      </w:r>
      <w:r w:rsidR="00023088">
        <w:t>)</w:t>
      </w:r>
      <w:r w:rsidR="00A4336F" w:rsidRPr="00CD53C6">
        <w:t>.</w:t>
      </w:r>
      <w:r w:rsidRPr="00DF632C">
        <w:rPr>
          <w:rStyle w:val="Voetnootmarkering"/>
        </w:rPr>
        <w:footnoteReference w:id="324"/>
      </w:r>
    </w:p>
    <w:p w:rsidR="002103AB" w:rsidRPr="00DF632C" w:rsidRDefault="002103AB" w:rsidP="002103AB"/>
    <w:p w:rsidR="002103AB" w:rsidRPr="00CD53C6" w:rsidRDefault="00A4336F" w:rsidP="00A03BFF">
      <w:pPr>
        <w:pStyle w:val="Kop2"/>
        <w:rPr>
          <w:lang w:val="nl-BE"/>
        </w:rPr>
      </w:pPr>
      <w:bookmarkStart w:id="44" w:name="_Toc495677900"/>
      <w:r w:rsidRPr="00CD53C6">
        <w:rPr>
          <w:lang w:val="nl-BE"/>
        </w:rPr>
        <w:t xml:space="preserve">C. Evenredigheidsbeginsel </w:t>
      </w:r>
      <w:r w:rsidR="00AE4E90">
        <w:rPr>
          <w:lang w:val="nl-BE"/>
        </w:rPr>
        <w:t>in strafzaken</w:t>
      </w:r>
      <w:bookmarkEnd w:id="44"/>
    </w:p>
    <w:p w:rsidR="002103AB" w:rsidRPr="00DF632C" w:rsidRDefault="002103AB" w:rsidP="002103AB"/>
    <w:p w:rsidR="002103AB" w:rsidRPr="00DF632C" w:rsidRDefault="001D12B7" w:rsidP="00A03BFF">
      <w:pPr>
        <w:rPr>
          <w:szCs w:val="24"/>
        </w:rPr>
      </w:pPr>
      <w:r w:rsidRPr="00CD53C6">
        <w:rPr>
          <w:b/>
          <w:szCs w:val="24"/>
        </w:rPr>
        <w:t>9</w:t>
      </w:r>
      <w:r w:rsidR="00A5649F">
        <w:rPr>
          <w:b/>
          <w:szCs w:val="24"/>
        </w:rPr>
        <w:t>1</w:t>
      </w:r>
      <w:r w:rsidR="00A4336F" w:rsidRPr="00CD53C6">
        <w:rPr>
          <w:b/>
          <w:szCs w:val="24"/>
        </w:rPr>
        <w:t>.</w:t>
      </w:r>
      <w:r w:rsidR="00A4336F" w:rsidRPr="00CD53C6">
        <w:rPr>
          <w:szCs w:val="24"/>
        </w:rPr>
        <w:tab/>
        <w:t xml:space="preserve">De </w:t>
      </w:r>
      <w:r w:rsidR="003739CC">
        <w:rPr>
          <w:szCs w:val="24"/>
        </w:rPr>
        <w:t>Raad van State</w:t>
      </w:r>
      <w:r w:rsidR="00A4336F" w:rsidRPr="00CD53C6">
        <w:rPr>
          <w:szCs w:val="24"/>
        </w:rPr>
        <w:t xml:space="preserve"> </w:t>
      </w:r>
      <w:r w:rsidR="003739CC">
        <w:rPr>
          <w:szCs w:val="24"/>
        </w:rPr>
        <w:t>past</w:t>
      </w:r>
      <w:r w:rsidR="00A4336F" w:rsidRPr="00CD53C6">
        <w:rPr>
          <w:szCs w:val="24"/>
        </w:rPr>
        <w:t xml:space="preserve"> </w:t>
      </w:r>
      <w:r w:rsidR="003739CC">
        <w:rPr>
          <w:szCs w:val="24"/>
        </w:rPr>
        <w:t xml:space="preserve">regelmatig </w:t>
      </w:r>
      <w:r w:rsidR="00A4336F" w:rsidRPr="00CD53C6">
        <w:rPr>
          <w:szCs w:val="24"/>
        </w:rPr>
        <w:t>het evenredigheidsbeginsel in strafzaken</w:t>
      </w:r>
      <w:r w:rsidR="003739CC">
        <w:rPr>
          <w:szCs w:val="24"/>
        </w:rPr>
        <w:t xml:space="preserve"> toe</w:t>
      </w:r>
      <w:r w:rsidR="00A4336F" w:rsidRPr="00CD53C6">
        <w:rPr>
          <w:szCs w:val="24"/>
        </w:rPr>
        <w:t>.</w:t>
      </w:r>
    </w:p>
    <w:p w:rsidR="00A03BFF" w:rsidRPr="00DF632C" w:rsidRDefault="00A03BFF" w:rsidP="00A03BFF">
      <w:pPr>
        <w:rPr>
          <w:szCs w:val="24"/>
        </w:rPr>
      </w:pPr>
    </w:p>
    <w:p w:rsidR="002103AB" w:rsidRPr="00DF632C" w:rsidRDefault="00A4336F" w:rsidP="00A03BFF">
      <w:pPr>
        <w:rPr>
          <w:szCs w:val="24"/>
        </w:rPr>
      </w:pPr>
      <w:r w:rsidRPr="00CD53C6">
        <w:rPr>
          <w:szCs w:val="24"/>
        </w:rPr>
        <w:lastRenderedPageBreak/>
        <w:t>Zo merkt</w:t>
      </w:r>
      <w:r w:rsidR="00C81C10">
        <w:rPr>
          <w:szCs w:val="24"/>
        </w:rPr>
        <w:t>e</w:t>
      </w:r>
      <w:r w:rsidRPr="00CD53C6">
        <w:rPr>
          <w:szCs w:val="24"/>
        </w:rPr>
        <w:t xml:space="preserve"> de Raad van State op dat </w:t>
      </w:r>
      <w:r w:rsidR="00C81C10">
        <w:rPr>
          <w:szCs w:val="24"/>
        </w:rPr>
        <w:t>e</w:t>
      </w:r>
      <w:r w:rsidRPr="00CD53C6">
        <w:rPr>
          <w:szCs w:val="24"/>
        </w:rPr>
        <w:t>e</w:t>
      </w:r>
      <w:r w:rsidR="00C81C10">
        <w:rPr>
          <w:szCs w:val="24"/>
        </w:rPr>
        <w:t>n</w:t>
      </w:r>
      <w:r w:rsidRPr="00CD53C6">
        <w:rPr>
          <w:szCs w:val="24"/>
        </w:rPr>
        <w:t xml:space="preserve"> ontworpen regeling tot gevolg k</w:t>
      </w:r>
      <w:r w:rsidR="00C81C10">
        <w:rPr>
          <w:szCs w:val="24"/>
        </w:rPr>
        <w:t>o</w:t>
      </w:r>
      <w:r w:rsidRPr="00CD53C6">
        <w:rPr>
          <w:szCs w:val="24"/>
        </w:rPr>
        <w:t xml:space="preserve">n hebben dat het voorbereiden van een bepaald terroristisch misdrijf zwaarder kan worden bestraft dan het terroristische misdrijf zelf of de poging ertoe, wat bezwaarlijk in overeenstemming </w:t>
      </w:r>
      <w:r w:rsidR="00C81C10">
        <w:rPr>
          <w:szCs w:val="24"/>
        </w:rPr>
        <w:t>is</w:t>
      </w:r>
      <w:r w:rsidRPr="00CD53C6">
        <w:rPr>
          <w:szCs w:val="24"/>
        </w:rPr>
        <w:t xml:space="preserve"> met het beginsel van de proportionaliteit van de straffen</w:t>
      </w:r>
      <w:r w:rsidR="008E7D24">
        <w:rPr>
          <w:szCs w:val="24"/>
        </w:rPr>
        <w:t>.</w:t>
      </w:r>
      <w:r w:rsidR="002103AB" w:rsidRPr="00DF632C">
        <w:rPr>
          <w:rStyle w:val="Voetnootmarkering"/>
          <w:szCs w:val="24"/>
        </w:rPr>
        <w:footnoteReference w:id="325"/>
      </w:r>
      <w:r w:rsidR="002103AB" w:rsidRPr="00DF632C">
        <w:rPr>
          <w:szCs w:val="24"/>
        </w:rPr>
        <w:t xml:space="preserve"> </w:t>
      </w:r>
      <w:r w:rsidR="008E7D24">
        <w:rPr>
          <w:szCs w:val="24"/>
        </w:rPr>
        <w:t>T</w:t>
      </w:r>
      <w:r w:rsidR="002103AB" w:rsidRPr="00DF632C">
        <w:rPr>
          <w:szCs w:val="24"/>
        </w:rPr>
        <w:t xml:space="preserve">erwijl de bestraffing van het </w:t>
      </w:r>
      <w:r w:rsidRPr="00CD53C6">
        <w:rPr>
          <w:szCs w:val="24"/>
        </w:rPr>
        <w:t xml:space="preserve">stellen van een voorbereidende handeling tot een terroristisch misdrijf op een uniforme wijze </w:t>
      </w:r>
      <w:r w:rsidR="00C81C10">
        <w:rPr>
          <w:szCs w:val="24"/>
        </w:rPr>
        <w:t xml:space="preserve">zou </w:t>
      </w:r>
      <w:r w:rsidRPr="00CD53C6">
        <w:rPr>
          <w:szCs w:val="24"/>
        </w:rPr>
        <w:t>gebeur</w:t>
      </w:r>
      <w:r w:rsidR="00C81C10">
        <w:rPr>
          <w:szCs w:val="24"/>
        </w:rPr>
        <w:t>en</w:t>
      </w:r>
      <w:r w:rsidRPr="00CD53C6">
        <w:rPr>
          <w:szCs w:val="24"/>
        </w:rPr>
        <w:t xml:space="preserve">, wat ook de aard is van het misdrijf dat wordt voorbereid, gelden voor de terroristische misdrijven zelf zeer uiteenlopende strafmaten. Zo </w:t>
      </w:r>
      <w:r w:rsidR="00C81C10">
        <w:rPr>
          <w:szCs w:val="24"/>
        </w:rPr>
        <w:t>wa</w:t>
      </w:r>
      <w:r w:rsidRPr="00CD53C6">
        <w:rPr>
          <w:szCs w:val="24"/>
        </w:rPr>
        <w:t xml:space="preserve">s de strafmaat voor het voorbereiden van het misdrijf van het toebrengen van opzettelijke slagen en verwondingen met voorbedachte rade (artikel 398, tweede lid, </w:t>
      </w:r>
      <w:r w:rsidR="00C81C10">
        <w:rPr>
          <w:szCs w:val="24"/>
        </w:rPr>
        <w:t>Sw.</w:t>
      </w:r>
      <w:r w:rsidRPr="00CD53C6">
        <w:rPr>
          <w:szCs w:val="24"/>
        </w:rPr>
        <w:t>) met een terroristisch oogmerk even zwaar als voor het voorbereiden van moord (artikel 394 S</w:t>
      </w:r>
      <w:r w:rsidR="00C81C10">
        <w:rPr>
          <w:szCs w:val="24"/>
        </w:rPr>
        <w:t>w.</w:t>
      </w:r>
      <w:r w:rsidRPr="00CD53C6">
        <w:rPr>
          <w:szCs w:val="24"/>
        </w:rPr>
        <w:t>) met een terroristisch oogmerk. Hetzelfde g</w:t>
      </w:r>
      <w:r w:rsidR="00C81C10">
        <w:rPr>
          <w:szCs w:val="24"/>
        </w:rPr>
        <w:t>o</w:t>
      </w:r>
      <w:r w:rsidRPr="00CD53C6">
        <w:rPr>
          <w:szCs w:val="24"/>
        </w:rPr>
        <w:t xml:space="preserve">ld voor een hele reeks andere misdrijven die een terroristisch misdrijf kunnen uitmaken. De </w:t>
      </w:r>
      <w:r w:rsidR="00C81C10">
        <w:rPr>
          <w:szCs w:val="24"/>
        </w:rPr>
        <w:t xml:space="preserve">Raad van State stelde dan ook de </w:t>
      </w:r>
      <w:r w:rsidRPr="00CD53C6">
        <w:rPr>
          <w:szCs w:val="24"/>
        </w:rPr>
        <w:t>vraag of dit wel in overeenstemming te brengen is met het beginsel van de proportionaliteit van de straf</w:t>
      </w:r>
      <w:r w:rsidR="008E7D24">
        <w:rPr>
          <w:szCs w:val="24"/>
        </w:rPr>
        <w:t>.</w:t>
      </w:r>
      <w:r w:rsidR="002103AB" w:rsidRPr="00DF632C">
        <w:rPr>
          <w:rStyle w:val="Voetnootmarkering"/>
          <w:szCs w:val="24"/>
        </w:rPr>
        <w:footnoteReference w:id="326"/>
      </w:r>
    </w:p>
    <w:p w:rsidR="00A03BFF" w:rsidRPr="00DF632C" w:rsidRDefault="00A03BFF" w:rsidP="00A03BFF">
      <w:pPr>
        <w:rPr>
          <w:szCs w:val="24"/>
        </w:rPr>
      </w:pPr>
    </w:p>
    <w:p w:rsidR="002103AB" w:rsidRPr="00DF632C" w:rsidRDefault="00A4336F" w:rsidP="002103AB">
      <w:pPr>
        <w:rPr>
          <w:szCs w:val="24"/>
        </w:rPr>
      </w:pPr>
      <w:r w:rsidRPr="00CD53C6">
        <w:rPr>
          <w:szCs w:val="24"/>
        </w:rPr>
        <w:t>De Raad van State waarschuw</w:t>
      </w:r>
      <w:r w:rsidR="008E7D24">
        <w:rPr>
          <w:szCs w:val="24"/>
        </w:rPr>
        <w:t>de</w:t>
      </w:r>
      <w:r w:rsidRPr="00CD53C6">
        <w:rPr>
          <w:szCs w:val="24"/>
        </w:rPr>
        <w:t xml:space="preserve"> ook voor het oneigenlijk gebruik van verzachtende omstandigheden</w:t>
      </w:r>
      <w:r w:rsidR="006508BC">
        <w:rPr>
          <w:szCs w:val="24"/>
        </w:rPr>
        <w:t xml:space="preserve"> in een ontworpen regeling waarbij de mogelijkheid tot correctionalisering werd veralgemeend</w:t>
      </w:r>
      <w:r w:rsidRPr="00CD53C6">
        <w:rPr>
          <w:szCs w:val="24"/>
        </w:rPr>
        <w:t xml:space="preserve">. De correctionalisering </w:t>
      </w:r>
      <w:r w:rsidR="006508BC">
        <w:rPr>
          <w:szCs w:val="24"/>
        </w:rPr>
        <w:t xml:space="preserve">volgens de ontworpen regeling had </w:t>
      </w:r>
      <w:r w:rsidRPr="00CD53C6">
        <w:rPr>
          <w:szCs w:val="24"/>
        </w:rPr>
        <w:t xml:space="preserve">wel als gevolg dat een ander rechtscollege bevoegd wordt, maar </w:t>
      </w:r>
      <w:r w:rsidR="006508BC">
        <w:rPr>
          <w:szCs w:val="24"/>
        </w:rPr>
        <w:t xml:space="preserve">hoefde </w:t>
      </w:r>
      <w:r w:rsidRPr="00CD53C6">
        <w:rPr>
          <w:szCs w:val="24"/>
        </w:rPr>
        <w:t>voor het overige in bepaalde gevallen nauwelijks enige invloed te hebben op de straffen die kunnen worden uitgesproken. Alhoewel de straffen die de correctionele rechtbank zal kunnen opleggen, nog steeds lager zijn dan de criminele straffen die aan het hof van assisen zijn voorbehouden, benaderen ze deze in die gevallen, in die mate dat het onderscheid tussen beide, wat de zwaarste misdrijven betreft, flinterdun wordt. De ontworpen regeling kan dan ook oneigenlijk gebruik van de techniek van de correctionalisering in de hand werken, waarbij niet de adequate bestraffing in geval van verzachtende omstandigheden en redenen van verschoning het legitieme doel is, maar de uitholling van de bevoegdheid van het hof van assisen. Om dit oneigenlijke gebruik van de regeling inzake verzachtende omstandigheden of redenen van verschoning te voorkomen, beveelt de Raad van State aan in het ontwerp de hoogste straf die de correctionele rechter kan opleggen, te verlagen.</w:t>
      </w:r>
      <w:r w:rsidR="002103AB" w:rsidRPr="00DF632C">
        <w:rPr>
          <w:rStyle w:val="Voetnootmarkering"/>
          <w:szCs w:val="24"/>
        </w:rPr>
        <w:footnoteReference w:id="327"/>
      </w:r>
    </w:p>
    <w:p w:rsidR="002103AB" w:rsidRPr="00DF632C" w:rsidRDefault="002103AB" w:rsidP="002103AB"/>
    <w:p w:rsidR="002103AB" w:rsidRPr="00CD53C6" w:rsidRDefault="00A4336F" w:rsidP="00A03BFF">
      <w:pPr>
        <w:pStyle w:val="Kop2"/>
        <w:rPr>
          <w:rFonts w:eastAsiaTheme="minorHAnsi"/>
          <w:lang w:val="nl-BE"/>
        </w:rPr>
      </w:pPr>
      <w:bookmarkStart w:id="45" w:name="_Toc495677901"/>
      <w:r w:rsidRPr="00CD53C6">
        <w:rPr>
          <w:lang w:val="nl-BE"/>
        </w:rPr>
        <w:t xml:space="preserve">D. </w:t>
      </w:r>
      <w:r w:rsidRPr="00CD53C6">
        <w:rPr>
          <w:rFonts w:eastAsiaTheme="minorHAnsi"/>
          <w:lang w:val="nl-BE"/>
        </w:rPr>
        <w:t xml:space="preserve">Handhaving en </w:t>
      </w:r>
      <w:r w:rsidR="00D01016">
        <w:rPr>
          <w:rFonts w:eastAsiaTheme="minorHAnsi"/>
          <w:lang w:val="nl-BE"/>
        </w:rPr>
        <w:t>r</w:t>
      </w:r>
      <w:r w:rsidRPr="00CD53C6">
        <w:rPr>
          <w:rFonts w:eastAsiaTheme="minorHAnsi"/>
          <w:lang w:val="nl-BE"/>
        </w:rPr>
        <w:t>echtsbescherming</w:t>
      </w:r>
      <w:bookmarkEnd w:id="45"/>
    </w:p>
    <w:p w:rsidR="00154946" w:rsidRDefault="00154946" w:rsidP="00CD53C6">
      <w:pPr>
        <w:rPr>
          <w:b/>
        </w:rPr>
      </w:pPr>
    </w:p>
    <w:p w:rsidR="00154946" w:rsidRDefault="00154946" w:rsidP="00CD53C6">
      <w:pPr>
        <w:pStyle w:val="Kop3"/>
      </w:pPr>
      <w:bookmarkStart w:id="46" w:name="_Toc495677902"/>
      <w:r>
        <w:t>1. Te volgen procedure voor administratieve sancties</w:t>
      </w:r>
      <w:bookmarkEnd w:id="46"/>
    </w:p>
    <w:p w:rsidR="00842967" w:rsidRPr="00CD53C6" w:rsidRDefault="00D01016" w:rsidP="00CD53C6">
      <w:pPr>
        <w:rPr>
          <w:b/>
        </w:rPr>
      </w:pPr>
      <w:r>
        <w:rPr>
          <w:b/>
        </w:rPr>
        <w:t xml:space="preserve"> </w:t>
      </w:r>
    </w:p>
    <w:p w:rsidR="002103AB" w:rsidRPr="00DF632C" w:rsidRDefault="001D12B7" w:rsidP="00A03BFF">
      <w:r w:rsidRPr="00CD53C6">
        <w:rPr>
          <w:b/>
        </w:rPr>
        <w:t>9</w:t>
      </w:r>
      <w:r w:rsidR="00274AED">
        <w:rPr>
          <w:b/>
        </w:rPr>
        <w:t>2</w:t>
      </w:r>
      <w:r w:rsidR="00A4336F" w:rsidRPr="00CD53C6">
        <w:rPr>
          <w:b/>
        </w:rPr>
        <w:t>.</w:t>
      </w:r>
      <w:r w:rsidR="00A4336F" w:rsidRPr="00CD53C6">
        <w:tab/>
        <w:t xml:space="preserve">De overheid kan </w:t>
      </w:r>
      <w:r w:rsidR="00274AED">
        <w:t xml:space="preserve">in het kader van haar handhavingsbeleid </w:t>
      </w:r>
      <w:r w:rsidR="00A4336F" w:rsidRPr="00CD53C6">
        <w:t>opteren voor administratieve geldboeten of andere dwangmaatregelen, veeleer dan voor strafrechtelijke sancties. De vraag rijst dan vaak in welke mate dezelfde procedurele beginselen van toepassing zijn.</w:t>
      </w:r>
    </w:p>
    <w:p w:rsidR="002103AB" w:rsidRPr="00DF632C" w:rsidRDefault="002103AB" w:rsidP="002103AB">
      <w:pPr>
        <w:rPr>
          <w:sz w:val="23"/>
          <w:szCs w:val="23"/>
        </w:rPr>
      </w:pPr>
    </w:p>
    <w:p w:rsidR="002103AB" w:rsidRPr="00DF632C" w:rsidRDefault="00A4336F" w:rsidP="00A03BFF">
      <w:r w:rsidRPr="00CD53C6">
        <w:t xml:space="preserve">Bij niet-naleving van de in </w:t>
      </w:r>
      <w:r w:rsidR="00274AED">
        <w:t>een voorstel van</w:t>
      </w:r>
      <w:r w:rsidR="00274AED" w:rsidRPr="00CD53C6">
        <w:t xml:space="preserve"> </w:t>
      </w:r>
      <w:r w:rsidRPr="00CD53C6">
        <w:t>decreet houdende het toeristische logies en de in de uitvoeringsbesluiten ervan bepaalde voorschriften, kan een administratieve geldboete worden opgelegd. Luidens het voorstel</w:t>
      </w:r>
      <w:r w:rsidR="00274AED">
        <w:t xml:space="preserve"> van decreet</w:t>
      </w:r>
      <w:r w:rsidRPr="00CD53C6">
        <w:t xml:space="preserve"> heeft het door de toezichtsambtenaren opgestelde en betekende proces-verbaal bewijskracht tot het tegendeel is bewezen. De Raad van State </w:t>
      </w:r>
      <w:r w:rsidR="00274AED">
        <w:t xml:space="preserve">verwees naar rechtspraak van het Grondwettelijk Hof </w:t>
      </w:r>
      <w:r w:rsidRPr="00CD53C6">
        <w:t xml:space="preserve">(weliswaar betreffende strafzaken, maar het principe kan worden doorgetrokken naar het domein van de </w:t>
      </w:r>
      <w:r w:rsidRPr="00CD53C6">
        <w:lastRenderedPageBreak/>
        <w:t xml:space="preserve">administratieve sancties) </w:t>
      </w:r>
      <w:r w:rsidR="00274AED">
        <w:t xml:space="preserve">die inhoudt </w:t>
      </w:r>
      <w:r w:rsidRPr="00CD53C6">
        <w:t xml:space="preserve">dat een </w:t>
      </w:r>
      <w:r w:rsidR="00274AED">
        <w:t xml:space="preserve">dergelijke </w:t>
      </w:r>
      <w:r w:rsidRPr="00CD53C6">
        <w:t xml:space="preserve">regel een uitzondering vormt op de algemene regel dat een proces-verbaal geldt als een loutere inlichting, en derhalve ook op de regel van de vrije bewijslevering in strafzaken, op grond waarvan de rechter (of een andere persoon die beslist over het opleggen van sancties) naar eigen overtuiging, de bewijswaarde beoordeelt van een bepaald element, zodat het verschil in behandeling dat eruit voortvloeit op een redelijke verantwoording dient te berusten en het de rechten van de beklaagde niet op een onevenredige wijze mag beperken. In de toelichting bij het voorstel wordt de bijzondere bewijswaarde gemotiveerd door de moeilijke bewijsbaarheid van sommige inbreuken (bijvoorbeeld het al dan niet tegen betaling aanbieden van logies aan de toeristische markt, het soms tijdelijke karakter van de exploitatie van het logies en dies meer) te verhelpen en de handhaving van het decreet niet onnodig te bemoeilijken. De Raad van State </w:t>
      </w:r>
      <w:r w:rsidR="00274AED">
        <w:t>be</w:t>
      </w:r>
      <w:r w:rsidRPr="00CD53C6">
        <w:t>twijfel</w:t>
      </w:r>
      <w:r w:rsidR="00274AED">
        <w:t>de</w:t>
      </w:r>
      <w:r w:rsidRPr="00CD53C6">
        <w:t xml:space="preserve"> of deze motivering afdoende </w:t>
      </w:r>
      <w:r w:rsidR="00274AED">
        <w:t>was</w:t>
      </w:r>
      <w:r w:rsidRPr="00CD53C6">
        <w:t>.</w:t>
      </w:r>
      <w:r w:rsidR="002103AB" w:rsidRPr="00DF632C">
        <w:rPr>
          <w:rStyle w:val="Voetnootmarkering"/>
        </w:rPr>
        <w:footnoteReference w:id="328"/>
      </w:r>
    </w:p>
    <w:p w:rsidR="002103AB" w:rsidRPr="00DF632C" w:rsidRDefault="002103AB" w:rsidP="002103AB">
      <w:pPr>
        <w:rPr>
          <w:sz w:val="23"/>
          <w:szCs w:val="23"/>
        </w:rPr>
      </w:pPr>
    </w:p>
    <w:p w:rsidR="002103AB" w:rsidRPr="00DF632C" w:rsidRDefault="00A4336F" w:rsidP="00A03BFF">
      <w:r w:rsidRPr="00CD53C6">
        <w:t xml:space="preserve">Dat een </w:t>
      </w:r>
      <w:r w:rsidR="00B90724">
        <w:t>ontwerp</w:t>
      </w:r>
      <w:r w:rsidRPr="00CD53C6">
        <w:t>decreet bepaal</w:t>
      </w:r>
      <w:r w:rsidR="00B90724">
        <w:t>de</w:t>
      </w:r>
      <w:r w:rsidRPr="00CD53C6">
        <w:t xml:space="preserve"> dat de beslissing tot oplegging van een administratieve geldboete met redenen is omkleed en concrete motiveringsverplichtingen opleg</w:t>
      </w:r>
      <w:r w:rsidR="00B90724">
        <w:t>de</w:t>
      </w:r>
      <w:r w:rsidRPr="00CD53C6">
        <w:t xml:space="preserve"> zodat het een verregaandere plicht tot motivering inh</w:t>
      </w:r>
      <w:r w:rsidR="00B90724">
        <w:t>ield</w:t>
      </w:r>
      <w:r w:rsidRPr="00CD53C6">
        <w:t xml:space="preserve"> dan voortvloeit uit de wet van 29 juli 1991 betreffende de uitdrukkelijke motivering van de bestuurshandelingen, </w:t>
      </w:r>
      <w:r w:rsidR="00B90724">
        <w:t>wa</w:t>
      </w:r>
      <w:r w:rsidRPr="00CD53C6">
        <w:t>s te verklaren doordat het gaat om een administratieve sanctie met een strafrechtelijk karakter. Het verdien</w:t>
      </w:r>
      <w:r w:rsidR="00B90724">
        <w:t>de volgens de Raad van State</w:t>
      </w:r>
      <w:r w:rsidRPr="00CD53C6">
        <w:t xml:space="preserve"> evenwel aanbeveling om, eventueel in de memorie van toelichting, de juiste contouren van deze versterkte motiveringsverplichting nader te omschrijven. Zo r</w:t>
      </w:r>
      <w:r w:rsidR="002B12CE">
        <w:t>ees</w:t>
      </w:r>
      <w:r w:rsidRPr="00CD53C6">
        <w:t xml:space="preserve"> de vraag of de verplichting te antwoorden op de ingediende verweermiddelen dezelfde draagwijdte heeft als de verplichting voor de strafrechter om op conclusies te antwoorden, en of de verplichting om de hoogte van het bedrag van de geldboete te motiveren, een gelijkaardige draagwijdte heeft als de bij artikel 195, tweede lid, </w:t>
      </w:r>
      <w:r w:rsidR="002B12CE">
        <w:t>Sv.</w:t>
      </w:r>
      <w:r w:rsidRPr="00CD53C6">
        <w:t xml:space="preserve"> opgelegde motiveringsverplichting</w:t>
      </w:r>
      <w:r w:rsidR="002103AB" w:rsidRPr="00DF632C">
        <w:rPr>
          <w:rStyle w:val="Voetnootmarkering"/>
          <w:sz w:val="23"/>
          <w:szCs w:val="23"/>
        </w:rPr>
        <w:footnoteReference w:id="329"/>
      </w:r>
      <w:r w:rsidR="002103AB" w:rsidRPr="00DF632C">
        <w:t>.</w:t>
      </w:r>
    </w:p>
    <w:p w:rsidR="002103AB" w:rsidRDefault="002103AB" w:rsidP="002103AB">
      <w:pPr>
        <w:rPr>
          <w:sz w:val="23"/>
          <w:szCs w:val="23"/>
        </w:rPr>
      </w:pPr>
    </w:p>
    <w:p w:rsidR="00154946" w:rsidRDefault="00154946" w:rsidP="00154946">
      <w:pPr>
        <w:pStyle w:val="Kop3"/>
      </w:pPr>
      <w:bookmarkStart w:id="47" w:name="_Toc495677903"/>
      <w:r>
        <w:t>2. Rechtsbescherming tegen administratieve sancties</w:t>
      </w:r>
      <w:bookmarkEnd w:id="47"/>
    </w:p>
    <w:p w:rsidR="00154946" w:rsidRDefault="00154946" w:rsidP="002103AB">
      <w:pPr>
        <w:rPr>
          <w:sz w:val="23"/>
          <w:szCs w:val="23"/>
        </w:rPr>
      </w:pPr>
    </w:p>
    <w:p w:rsidR="00154946" w:rsidRPr="00DF632C" w:rsidRDefault="00154946" w:rsidP="002103AB">
      <w:pPr>
        <w:rPr>
          <w:sz w:val="23"/>
          <w:szCs w:val="23"/>
        </w:rPr>
      </w:pPr>
    </w:p>
    <w:p w:rsidR="002103AB" w:rsidRDefault="001D12B7" w:rsidP="00A03BFF">
      <w:r w:rsidRPr="00CD53C6">
        <w:rPr>
          <w:b/>
        </w:rPr>
        <w:t>9</w:t>
      </w:r>
      <w:r w:rsidR="00C72DE1">
        <w:rPr>
          <w:b/>
        </w:rPr>
        <w:t>3</w:t>
      </w:r>
      <w:r w:rsidR="00A4336F" w:rsidRPr="00CD53C6">
        <w:rPr>
          <w:b/>
        </w:rPr>
        <w:t>.</w:t>
      </w:r>
      <w:r w:rsidR="00A4336F" w:rsidRPr="00CD53C6">
        <w:tab/>
        <w:t xml:space="preserve">Bij het uitwerken van een regeling inzake administratieve sancties die een strafrechtelijk karakter vertonen, moet ook voldaan zijn aan de vereisten inzake rechtsbescherming. Met betrekking tot de mogelijkheid om de onmiddellijke stopzetting te bevelen van de exploitatie, met inbegrip van de mogelijkheid tot verzegeling en inbeslagname “om het bevel tot stopzetting te kunnen toepassen”, </w:t>
      </w:r>
      <w:r w:rsidR="009A2A0F">
        <w:t>moest</w:t>
      </w:r>
      <w:r w:rsidR="009A2A0F" w:rsidRPr="00CD53C6">
        <w:t xml:space="preserve"> </w:t>
      </w:r>
      <w:r w:rsidR="00A4336F" w:rsidRPr="00CD53C6">
        <w:t xml:space="preserve">de decreetgever </w:t>
      </w:r>
      <w:r w:rsidR="009A2A0F">
        <w:t>volgens de Raad van State nagaan</w:t>
      </w:r>
      <w:r w:rsidR="00A4336F" w:rsidRPr="00CD53C6">
        <w:t xml:space="preserve"> of de rechterlijke toetsing </w:t>
      </w:r>
      <w:r w:rsidR="00A4336F" w:rsidRPr="00CD53C6">
        <w:rPr>
          <w:i/>
        </w:rPr>
        <w:t>a posteriori</w:t>
      </w:r>
      <w:r w:rsidR="00A4336F" w:rsidRPr="00CD53C6">
        <w:t xml:space="preserve"> afdoende is, dan wel of een voorafgaand rechterlijk optreden noodzakelijk is. Het beginsel is immers dat ook de overheid zich vooraf tot de rechter moet wenden om dwang uit te oefenen; het is slechts wanneer er zwaarwichtige redenen zijn dat kan worden afgeweken van dit beginsel. De zwaarwichtige redenen om te kunnen afwijken van het beginsel dat ook de overheid zich vooraf tot de rechter moet wenden om dwang te kunnen uitoefenen, </w:t>
      </w:r>
      <w:r w:rsidR="009A2A0F">
        <w:t>moesten</w:t>
      </w:r>
      <w:r w:rsidR="009A2A0F" w:rsidRPr="00CD53C6">
        <w:t xml:space="preserve"> </w:t>
      </w:r>
      <w:r w:rsidR="00A4336F" w:rsidRPr="00CD53C6">
        <w:t>in de toelichting worden opgenomen.</w:t>
      </w:r>
      <w:r w:rsidR="002103AB" w:rsidRPr="00DF632C">
        <w:rPr>
          <w:rStyle w:val="Voetnootmarkering"/>
        </w:rPr>
        <w:footnoteReference w:id="330"/>
      </w:r>
      <w:r w:rsidR="002103AB" w:rsidRPr="00DF632C">
        <w:t xml:space="preserve"> </w:t>
      </w:r>
    </w:p>
    <w:p w:rsidR="00BC0983" w:rsidRPr="00DF632C" w:rsidRDefault="00BC0983" w:rsidP="00A03BFF"/>
    <w:p w:rsidR="002103AB" w:rsidRDefault="00A4336F" w:rsidP="00A03BFF">
      <w:pPr>
        <w:autoSpaceDE w:val="0"/>
        <w:autoSpaceDN w:val="0"/>
        <w:adjustRightInd w:val="0"/>
      </w:pPr>
      <w:r w:rsidRPr="00CD53C6">
        <w:lastRenderedPageBreak/>
        <w:t>De Raad van State oordeelde eveneens dat de mogelijkheid om een administratief bewarend beslag te leggen op alle roerende goederen waarvoor tijdens onderzoeken door btw-ambtenaren bij een belastingplichtige niet is aangetoond dat zij uitsluitend aan derden toebehoren in het voorgelegde geval verantwoord is omdat het enkel betrekking heeft op ernstige fiscale fraude en er toereikende waarborgen zijn om misbruiken te voorkomen: het bewarend beslag moet binnen twee maanden door de beslagrechter beoordeeld worden en de beslagene kan ook binnen drie maanden na de overhandiging van het proces-verbaal van beslag aan de beslagrechter vragen om de opheffing van het beslag te doen gelasten. De beperking van het recht op toegang tot de rechter is verantwoord en proportioneel. Wel moe</w:t>
      </w:r>
      <w:r w:rsidR="009657FF">
        <w:t>s</w:t>
      </w:r>
      <w:r w:rsidRPr="00CD53C6">
        <w:t>t de ontworpen regeling in die zin aangepast worden door te bepalen dat het verband tussen de belastingschuld en de goederen waarop het beslag wordt gelegd niet disproportioneel mag zijn</w:t>
      </w:r>
      <w:r w:rsidR="002103AB" w:rsidRPr="00DF632C">
        <w:rPr>
          <w:rStyle w:val="Voetnootmarkering"/>
        </w:rPr>
        <w:footnoteReference w:id="331"/>
      </w:r>
      <w:r w:rsidR="002103AB" w:rsidRPr="00DF632C">
        <w:t>.</w:t>
      </w:r>
    </w:p>
    <w:p w:rsidR="00154946" w:rsidRDefault="00154946" w:rsidP="00A03BFF">
      <w:pPr>
        <w:autoSpaceDE w:val="0"/>
        <w:autoSpaceDN w:val="0"/>
        <w:adjustRightInd w:val="0"/>
      </w:pPr>
    </w:p>
    <w:p w:rsidR="00154946" w:rsidRDefault="00154946" w:rsidP="00CD53C6">
      <w:pPr>
        <w:pStyle w:val="Kop3"/>
      </w:pPr>
      <w:bookmarkStart w:id="48" w:name="_Toc495677904"/>
      <w:r>
        <w:t>3. Toezichtsregeling</w:t>
      </w:r>
      <w:bookmarkEnd w:id="48"/>
    </w:p>
    <w:p w:rsidR="00C72DE1" w:rsidRDefault="00C72DE1" w:rsidP="00A03BFF">
      <w:pPr>
        <w:autoSpaceDE w:val="0"/>
        <w:autoSpaceDN w:val="0"/>
        <w:adjustRightInd w:val="0"/>
      </w:pPr>
    </w:p>
    <w:p w:rsidR="00C72DE1" w:rsidRPr="00C72DE1" w:rsidRDefault="00C72DE1" w:rsidP="00A03BFF">
      <w:pPr>
        <w:autoSpaceDE w:val="0"/>
        <w:autoSpaceDN w:val="0"/>
        <w:adjustRightInd w:val="0"/>
      </w:pPr>
      <w:r>
        <w:rPr>
          <w:b/>
        </w:rPr>
        <w:t>94.</w:t>
      </w:r>
      <w:r>
        <w:tab/>
        <w:t xml:space="preserve">Wat betreft de tegenwerpbaarheid van een toezichtsregeling (met inzage- en toegangsrecht) aan particulieren kan nog worden verwezen naar </w:t>
      </w:r>
      <w:r w:rsidRPr="00CD53C6">
        <w:rPr>
          <w:highlight w:val="yellow"/>
        </w:rPr>
        <w:t>nr. 103</w:t>
      </w:r>
      <w:r>
        <w:t>.</w:t>
      </w:r>
    </w:p>
    <w:p w:rsidR="002103AB" w:rsidRPr="00DF632C" w:rsidRDefault="00A4336F" w:rsidP="00A03BFF">
      <w:pPr>
        <w:pStyle w:val="Kop1"/>
      </w:pPr>
      <w:bookmarkStart w:id="49" w:name="_Toc495677905"/>
      <w:r w:rsidRPr="00CD53C6">
        <w:t>X. Bekendmaking van rechtsregels</w:t>
      </w:r>
      <w:bookmarkEnd w:id="49"/>
    </w:p>
    <w:p w:rsidR="002103AB" w:rsidRPr="00DF632C" w:rsidRDefault="002103AB" w:rsidP="002103AB"/>
    <w:p w:rsidR="002103AB" w:rsidRPr="00DF632C" w:rsidRDefault="001D12B7" w:rsidP="002103AB">
      <w:r w:rsidRPr="00CD53C6">
        <w:rPr>
          <w:b/>
        </w:rPr>
        <w:t>9</w:t>
      </w:r>
      <w:r w:rsidR="00C72DE1">
        <w:rPr>
          <w:b/>
        </w:rPr>
        <w:t>5</w:t>
      </w:r>
      <w:r w:rsidR="00A4336F" w:rsidRPr="00CD53C6">
        <w:rPr>
          <w:b/>
        </w:rPr>
        <w:t>.</w:t>
      </w:r>
      <w:r w:rsidR="00A4336F" w:rsidRPr="00CD53C6">
        <w:t xml:space="preserve"> </w:t>
      </w:r>
      <w:r w:rsidR="00A4336F" w:rsidRPr="00CD53C6">
        <w:tab/>
      </w:r>
      <w:r w:rsidR="00C83919">
        <w:t>D</w:t>
      </w:r>
      <w:r w:rsidR="00A4336F" w:rsidRPr="00CD53C6">
        <w:t xml:space="preserve">e Raad van State </w:t>
      </w:r>
      <w:r w:rsidR="00C83919">
        <w:t xml:space="preserve">benadrukt regelmatig dat </w:t>
      </w:r>
      <w:r w:rsidR="00A4336F" w:rsidRPr="00CD53C6">
        <w:rPr>
          <w:i/>
        </w:rPr>
        <w:t>alle</w:t>
      </w:r>
      <w:r w:rsidR="00A4336F" w:rsidRPr="00CD53C6">
        <w:t xml:space="preserve"> rechtsregels</w:t>
      </w:r>
      <w:r w:rsidR="00C83919">
        <w:t xml:space="preserve"> moeten worden bekendgemaakt</w:t>
      </w:r>
      <w:r w:rsidR="00A4336F" w:rsidRPr="00CD53C6">
        <w:t xml:space="preserve">. </w:t>
      </w:r>
      <w:r w:rsidR="00C83919">
        <w:t>D</w:t>
      </w:r>
      <w:r w:rsidR="00A4336F" w:rsidRPr="00CD53C6">
        <w:t xml:space="preserve">e kennis van de rechtsonderhorigen van het bestaan en de inhoud van een rechtsregel </w:t>
      </w:r>
      <w:r w:rsidR="00C83919">
        <w:t xml:space="preserve">is immers </w:t>
      </w:r>
      <w:r w:rsidR="00A4336F" w:rsidRPr="00CD53C6">
        <w:t>een basisvereiste voor de uitvoering en naleving ervan.</w:t>
      </w:r>
      <w:r w:rsidR="002103AB" w:rsidRPr="00DF632C">
        <w:rPr>
          <w:rStyle w:val="Voetnootmarkering"/>
          <w:rFonts w:cs="Times New Roman"/>
          <w:szCs w:val="24"/>
        </w:rPr>
        <w:footnoteReference w:id="332"/>
      </w:r>
      <w:r w:rsidR="002103AB" w:rsidRPr="00DF632C">
        <w:t xml:space="preserve"> Maar daarnaast heeft de bekendmaking ook een belangrijke documentaire e</w:t>
      </w:r>
      <w:r w:rsidR="00A4336F" w:rsidRPr="00CD53C6">
        <w:t>n procedurele functie: het is de duurzame vindplaats van de authentieke versie van de rechtsregel en het bepaalt het tijdstip vanaf wanneer de rechtsregel tegenwerpbaar is aan particulieren en vanaf wanneer bepaalde rechtsgevolgen kunnen inwerkingtreden.</w:t>
      </w:r>
      <w:r w:rsidR="002103AB" w:rsidRPr="00DF632C">
        <w:rPr>
          <w:rStyle w:val="Voetnootmarkering"/>
          <w:rFonts w:cs="Times New Roman"/>
          <w:szCs w:val="24"/>
        </w:rPr>
        <w:footnoteReference w:id="333"/>
      </w:r>
      <w:r w:rsidR="002103AB" w:rsidRPr="00DF632C">
        <w:t xml:space="preserve"> </w:t>
      </w:r>
    </w:p>
    <w:p w:rsidR="002103AB" w:rsidRPr="00DF632C" w:rsidRDefault="002103AB" w:rsidP="002103AB"/>
    <w:p w:rsidR="002103AB" w:rsidRPr="00DF632C" w:rsidRDefault="00A4336F" w:rsidP="002103AB">
      <w:r w:rsidRPr="00CD53C6">
        <w:t xml:space="preserve">De overheden zijn zich hier doorgaans goed van bewust. De Raad van State kan er zich dan ook toe beperken om hier en daar </w:t>
      </w:r>
      <w:r w:rsidR="00C83919">
        <w:t xml:space="preserve">opmerkingen te formuleren over de wijze </w:t>
      </w:r>
      <w:r w:rsidRPr="00CD53C6">
        <w:t>van bekendmaking (</w:t>
      </w:r>
      <w:r w:rsidRPr="00CD53C6">
        <w:rPr>
          <w:highlight w:val="yellow"/>
        </w:rPr>
        <w:t xml:space="preserve">nr. </w:t>
      </w:r>
      <w:r w:rsidR="00BC0983">
        <w:rPr>
          <w:highlight w:val="yellow"/>
        </w:rPr>
        <w:t>9</w:t>
      </w:r>
      <w:r w:rsidR="00C83919">
        <w:rPr>
          <w:highlight w:val="yellow"/>
        </w:rPr>
        <w:t>8</w:t>
      </w:r>
      <w:r w:rsidRPr="00CD53C6">
        <w:t xml:space="preserve">). In bepaalde omstandigheden is er evenwel een grotere alertheid vereist voor </w:t>
      </w:r>
      <w:r w:rsidR="007E3890">
        <w:t>het vereiste van</w:t>
      </w:r>
      <w:r w:rsidRPr="00CD53C6">
        <w:t xml:space="preserve"> bekendmaking van bepaalde normen of zou de bekendmaking ervan beter moeten worden ingepast in het regelgevingsproces </w:t>
      </w:r>
      <w:r w:rsidRPr="00CD53C6">
        <w:rPr>
          <w:highlight w:val="yellow"/>
        </w:rPr>
        <w:t xml:space="preserve">(nrs. </w:t>
      </w:r>
      <w:r w:rsidR="00BC0983">
        <w:rPr>
          <w:highlight w:val="yellow"/>
        </w:rPr>
        <w:t>9</w:t>
      </w:r>
      <w:r w:rsidR="00C83919">
        <w:rPr>
          <w:highlight w:val="yellow"/>
        </w:rPr>
        <w:t>6</w:t>
      </w:r>
      <w:r w:rsidRPr="00CD53C6">
        <w:rPr>
          <w:highlight w:val="yellow"/>
        </w:rPr>
        <w:t xml:space="preserve"> en </w:t>
      </w:r>
      <w:r w:rsidR="00BC0983">
        <w:rPr>
          <w:highlight w:val="yellow"/>
        </w:rPr>
        <w:t>9</w:t>
      </w:r>
      <w:r w:rsidR="00C83919">
        <w:rPr>
          <w:highlight w:val="yellow"/>
        </w:rPr>
        <w:t>7</w:t>
      </w:r>
      <w:r w:rsidRPr="00CD53C6">
        <w:t>).</w:t>
      </w:r>
      <w:r w:rsidR="002103AB" w:rsidRPr="00DF632C">
        <w:rPr>
          <w:rStyle w:val="Voetnootmarkering"/>
          <w:rFonts w:cs="Times New Roman"/>
          <w:szCs w:val="24"/>
        </w:rPr>
        <w:footnoteReference w:id="334"/>
      </w:r>
    </w:p>
    <w:p w:rsidR="002103AB" w:rsidRPr="00262AA8" w:rsidRDefault="002A7EE6" w:rsidP="00CD53C6">
      <w:pPr>
        <w:pStyle w:val="Kop2"/>
        <w:rPr>
          <w:lang w:val="nl-BE"/>
        </w:rPr>
      </w:pPr>
      <w:bookmarkStart w:id="50" w:name="_Toc495677906"/>
      <w:r w:rsidRPr="00262AA8">
        <w:rPr>
          <w:lang w:val="nl-BE"/>
        </w:rPr>
        <w:lastRenderedPageBreak/>
        <w:t>A. Vereiste van bekendmaking</w:t>
      </w:r>
      <w:bookmarkEnd w:id="50"/>
    </w:p>
    <w:p w:rsidR="00154946" w:rsidRPr="00DF632C" w:rsidRDefault="00154946" w:rsidP="002103AB"/>
    <w:p w:rsidR="002103AB" w:rsidRPr="00DF632C" w:rsidRDefault="001D12B7" w:rsidP="002103AB">
      <w:r w:rsidRPr="00CD53C6">
        <w:rPr>
          <w:b/>
        </w:rPr>
        <w:t>9</w:t>
      </w:r>
      <w:r w:rsidR="00C72DE1">
        <w:rPr>
          <w:b/>
        </w:rPr>
        <w:t>6</w:t>
      </w:r>
      <w:r w:rsidR="00A4336F" w:rsidRPr="00CD53C6">
        <w:rPr>
          <w:b/>
        </w:rPr>
        <w:t>.</w:t>
      </w:r>
      <w:r w:rsidR="00A4336F" w:rsidRPr="00CD53C6">
        <w:tab/>
        <w:t>Zo merkte de Raad van State op dat in een</w:t>
      </w:r>
      <w:r w:rsidR="002103AB" w:rsidRPr="00DF632C">
        <w:t xml:space="preserve"> ontwerpb</w:t>
      </w:r>
      <w:r w:rsidR="00A4336F" w:rsidRPr="00CD53C6">
        <w:t xml:space="preserve">esluit </w:t>
      </w:r>
      <w:r w:rsidR="00536823">
        <w:t>inzake scheepvaart op de binnenwateren</w:t>
      </w:r>
      <w:r w:rsidR="00A4336F" w:rsidRPr="00CD53C6">
        <w:t xml:space="preserve"> herhaaldelijk wordt verwezen naar beslissingen en normen aangenomen door internationale organisaties, zoals de</w:t>
      </w:r>
      <w:r w:rsidR="002103AB" w:rsidRPr="00DF632C">
        <w:t xml:space="preserve"> besluiten van</w:t>
      </w:r>
      <w:r w:rsidR="00A4336F" w:rsidRPr="00CD53C6">
        <w:t xml:space="preserve"> de Centrale Commissie voor de Rijnvaart (CCR), het “Reglement Onderzoek Schepen op de Rijn”, IMO-voorschriften, ITU</w:t>
      </w:r>
      <w:r w:rsidR="00A4336F" w:rsidRPr="00CD53C6">
        <w:noBreakHyphen/>
        <w:t xml:space="preserve">aanbevelingen en IEC-normen. Uit de toelichting bij het ontwerp bleek dat sommige van deze bepalingen al </w:t>
      </w:r>
      <w:r w:rsidR="00536823">
        <w:t>waren</w:t>
      </w:r>
      <w:r w:rsidR="00536823" w:rsidRPr="00CD53C6">
        <w:t xml:space="preserve"> </w:t>
      </w:r>
      <w:r w:rsidR="00A4336F" w:rsidRPr="00CD53C6">
        <w:t xml:space="preserve">omgezet in het interne recht, wat door de Raad </w:t>
      </w:r>
      <w:r w:rsidR="00536823">
        <w:t>in de regel</w:t>
      </w:r>
      <w:r w:rsidR="00536823" w:rsidRPr="00CD53C6">
        <w:t xml:space="preserve"> </w:t>
      </w:r>
      <w:r w:rsidR="00A4336F" w:rsidRPr="00CD53C6">
        <w:t>wordt verkozen boven een loutere verwijzing naar een internationale tekst.</w:t>
      </w:r>
      <w:r w:rsidR="002103AB" w:rsidRPr="00DF632C">
        <w:rPr>
          <w:rStyle w:val="Voetnootmarkering"/>
          <w:rFonts w:cs="Times New Roman"/>
          <w:szCs w:val="24"/>
        </w:rPr>
        <w:footnoteReference w:id="335"/>
      </w:r>
      <w:r w:rsidR="002103AB" w:rsidRPr="00DF632C">
        <w:t xml:space="preserve"> De vraag rees </w:t>
      </w:r>
      <w:r w:rsidR="00A4336F" w:rsidRPr="00CD53C6">
        <w:t xml:space="preserve">of de andere beslissingen en normen waarnaar in het ontwerp wordt verwezen – en die </w:t>
      </w:r>
      <w:r w:rsidR="00536823">
        <w:t xml:space="preserve">daardoor </w:t>
      </w:r>
      <w:r w:rsidR="00A4336F" w:rsidRPr="00CD53C6">
        <w:t>verbindend worden gemaakt – al waren bekendgemaakt. De adviesaanvrager erkende het probleem en wees erop dat hij al was overgegaan tot de bekendmaking van technische normen vervat in de besluiten van de CCR. Zo verwees hij naar de bekendmaking in het Belgisch Staatsblad van 21 maart 2016 van het “</w:t>
      </w:r>
      <w:r w:rsidR="002103AB" w:rsidRPr="00DF632C">
        <w:t>Reglement betreffende het scheepvaartpersoneel op de Rijn (RSP)</w:t>
      </w:r>
      <w:r w:rsidR="0049301E" w:rsidRPr="00DF632C">
        <w:t>”</w:t>
      </w:r>
      <w:r w:rsidR="00A4336F" w:rsidRPr="00CD53C6">
        <w:t xml:space="preserve"> en het “Reglement Onderzoek Schepen op De Rijn (ROSR) 1995”. De Raad van State wees erop dat hiermee het gebrek aan bekendmaking van de overige beslissingen en normen </w:t>
      </w:r>
      <w:r w:rsidR="00D40F4D">
        <w:t xml:space="preserve">evenwel </w:t>
      </w:r>
      <w:r w:rsidR="00A4336F" w:rsidRPr="00CD53C6">
        <w:t>nog niet is verholpen.</w:t>
      </w:r>
      <w:r w:rsidR="002103AB" w:rsidRPr="00DF632C">
        <w:rPr>
          <w:rStyle w:val="Voetnootmarkering"/>
          <w:rFonts w:cs="Times New Roman"/>
          <w:szCs w:val="24"/>
        </w:rPr>
        <w:footnoteReference w:id="336"/>
      </w:r>
    </w:p>
    <w:p w:rsidR="002103AB" w:rsidRPr="00CD53C6" w:rsidRDefault="002103AB" w:rsidP="002103AB">
      <w:pPr>
        <w:rPr>
          <w:rFonts w:cs="Times New Roman"/>
        </w:rPr>
      </w:pPr>
    </w:p>
    <w:p w:rsidR="002103AB" w:rsidRPr="00CD53C6" w:rsidRDefault="001D12B7" w:rsidP="002103AB">
      <w:r w:rsidRPr="00CD53C6">
        <w:rPr>
          <w:b/>
        </w:rPr>
        <w:t>9</w:t>
      </w:r>
      <w:r w:rsidR="00C72DE1">
        <w:rPr>
          <w:b/>
        </w:rPr>
        <w:t>7</w:t>
      </w:r>
      <w:r w:rsidR="00A4336F" w:rsidRPr="00CD53C6">
        <w:rPr>
          <w:b/>
        </w:rPr>
        <w:t>.</w:t>
      </w:r>
      <w:r w:rsidR="00A4336F" w:rsidRPr="00CD53C6">
        <w:tab/>
      </w:r>
      <w:r w:rsidR="007767C1">
        <w:t>E</w:t>
      </w:r>
      <w:r w:rsidR="00A4336F" w:rsidRPr="00CD53C6">
        <w:t xml:space="preserve">en ander </w:t>
      </w:r>
      <w:r w:rsidR="007767C1">
        <w:t xml:space="preserve">ontwerp </w:t>
      </w:r>
      <w:r w:rsidR="00A4336F" w:rsidRPr="00CD53C6">
        <w:t xml:space="preserve">bleek </w:t>
      </w:r>
      <w:r w:rsidR="007767C1">
        <w:t xml:space="preserve">te zijn ingegeven door </w:t>
      </w:r>
      <w:r w:rsidR="00A4336F" w:rsidRPr="00CD53C6">
        <w:t>een uitspraak van een Belgische rechter die de vrijspraak had bevolen voor de lozing van olie op zee omdat de relevante wijzigingen aan het MARPOL-verdrag van 1973 niet door het parlement waren goedgekeurd en niet in het Belgisch Staatsblad waren bekendgemaakt.</w:t>
      </w:r>
      <w:r w:rsidR="002103AB" w:rsidRPr="00DF632C">
        <w:rPr>
          <w:rStyle w:val="Voetnootmarkering"/>
          <w:rFonts w:cs="Times New Roman"/>
          <w:szCs w:val="24"/>
        </w:rPr>
        <w:footnoteReference w:id="337"/>
      </w:r>
      <w:r w:rsidR="00A4336F" w:rsidRPr="00CD53C6">
        <w:t xml:space="preserve"> Het Vlaamse Gewest wenste aan deze rechtsonzekere situatie tegemoet te komen door op een ondubbelzinnige wijze aan alle verdragswijzigingen de parlementaire instemming te verlenen en deze bekend te maken. De vraag rees of het Vlaamse Gewest zich </w:t>
      </w:r>
      <w:r w:rsidR="00D84F72" w:rsidRPr="00774F80">
        <w:t xml:space="preserve">voor de bekendmaking </w:t>
      </w:r>
      <w:r w:rsidR="00A4336F" w:rsidRPr="00CD53C6">
        <w:t xml:space="preserve">kon verlaten op de bekendmaking door de federale overheid, dan wel of het alle verdragwijzigingen zelf exhaustief </w:t>
      </w:r>
      <w:r w:rsidR="00D40F4D">
        <w:t xml:space="preserve">nogmaals </w:t>
      </w:r>
      <w:r w:rsidR="00A4336F" w:rsidRPr="00CD53C6">
        <w:t xml:space="preserve">moest bekendmaken in het Belgisch Staatsblad. </w:t>
      </w:r>
    </w:p>
    <w:p w:rsidR="002103AB" w:rsidRPr="00CD53C6" w:rsidRDefault="002103AB" w:rsidP="002103AB">
      <w:pPr>
        <w:rPr>
          <w:rFonts w:cs="Times New Roman"/>
        </w:rPr>
      </w:pPr>
    </w:p>
    <w:p w:rsidR="002103AB" w:rsidRPr="00DF632C" w:rsidRDefault="00A4336F" w:rsidP="002103AB">
      <w:r w:rsidRPr="00CD53C6">
        <w:t>De Raad van State bevestigde eerst zijn vroegere adviespraktijk dat niets eraan in de weg staat dat één overheid, bv. de federale overheid, de taak op zich neemt voor de bekendmaking van rechtsregels die tot de bevoegdheid van verschillende overheden behoren.</w:t>
      </w:r>
      <w:r w:rsidRPr="00CD53C6">
        <w:rPr>
          <w:rStyle w:val="Voetnootmarkering"/>
          <w:rFonts w:cs="Times New Roman"/>
          <w:szCs w:val="24"/>
        </w:rPr>
        <w:footnoteReference w:id="338"/>
      </w:r>
      <w:r w:rsidRPr="00CD53C6">
        <w:t xml:space="preserve"> Het heeft inderdaad weinig zin dat een zelfde rechtsregel verschillende malen in het Belgisch Staatsblad wordt gepubliceerd. Dit opent perspectieven omdat op die wijze eenvoudiger in een bijzondere bekendmakingsregeling zou kunnen worden voorzien voor teksten die tot de bevoegdheid behoren van verschillende overheden: op federaal niveau volstaat hiervoor immers een gewone wet,</w:t>
      </w:r>
      <w:r w:rsidRPr="00CD53C6">
        <w:rPr>
          <w:rStyle w:val="Voetnootmarkering"/>
          <w:rFonts w:cs="Times New Roman"/>
          <w:szCs w:val="24"/>
        </w:rPr>
        <w:footnoteReference w:id="339"/>
      </w:r>
      <w:r w:rsidRPr="00CD53C6">
        <w:t xml:space="preserve"> terwijl op deelstaatsniveau een bijzonder wet vereist is.</w:t>
      </w:r>
      <w:r w:rsidRPr="00CD53C6">
        <w:rPr>
          <w:rStyle w:val="Voetnootmarkering"/>
          <w:rFonts w:cs="Times New Roman"/>
          <w:szCs w:val="24"/>
        </w:rPr>
        <w:footnoteReference w:id="340"/>
      </w:r>
      <w:r w:rsidRPr="00CD53C6">
        <w:rPr>
          <w:vertAlign w:val="superscript"/>
        </w:rPr>
        <w:t>-</w:t>
      </w:r>
      <w:bookmarkStart w:id="51" w:name="_Ref479595945"/>
      <w:r w:rsidRPr="00CD53C6">
        <w:rPr>
          <w:rStyle w:val="Voetnootmarkering"/>
          <w:rFonts w:cs="Times New Roman"/>
          <w:szCs w:val="24"/>
        </w:rPr>
        <w:footnoteReference w:id="341"/>
      </w:r>
      <w:bookmarkEnd w:id="51"/>
      <w:r w:rsidRPr="00CD53C6">
        <w:t xml:space="preserve"> In </w:t>
      </w:r>
      <w:r w:rsidRPr="00CD53C6">
        <w:lastRenderedPageBreak/>
        <w:t>dit geval had de federale wetgever in een dergelijke bijzondere bekendmakingsregeling voorzien: voor bepaalde wijzingen aan het MARPOL-verdrag</w:t>
      </w:r>
      <w:r w:rsidR="002103AB" w:rsidRPr="00DF632C">
        <w:t xml:space="preserve"> kon worden volstaan met een bericht in het </w:t>
      </w:r>
      <w:r w:rsidRPr="00CD53C6">
        <w:rPr>
          <w:iCs/>
        </w:rPr>
        <w:t>Belgisch Staatsblad</w:t>
      </w:r>
      <w:r w:rsidRPr="00CD53C6">
        <w:rPr>
          <w:i/>
          <w:iCs/>
        </w:rPr>
        <w:t xml:space="preserve"> </w:t>
      </w:r>
      <w:r w:rsidRPr="00CD53C6">
        <w:rPr>
          <w:iCs/>
        </w:rPr>
        <w:t xml:space="preserve">met een elektronische verwijzing naar de vindplaats waar de </w:t>
      </w:r>
      <w:r w:rsidRPr="00CD53C6">
        <w:t xml:space="preserve">betrokken internationale normen kan worden geraadpleegd. De Raad van State nam evenwel geen genoegen met een dergelijke wijze van bekendmaking: “De gebruikelijke regeling van bekendmaking van internationale normen houdt een exhaustieve weergave van de betrokken internationale teksten in het </w:t>
      </w:r>
      <w:r w:rsidRPr="00CD53C6">
        <w:rPr>
          <w:iCs/>
        </w:rPr>
        <w:t>Belgisch Staatsblad</w:t>
      </w:r>
      <w:r w:rsidRPr="00CD53C6">
        <w:rPr>
          <w:i/>
          <w:iCs/>
        </w:rPr>
        <w:t xml:space="preserve"> </w:t>
      </w:r>
      <w:r w:rsidRPr="00CD53C6">
        <w:t xml:space="preserve">in. Op die wijze wordt niet enkel aangesloten op het voorschrift van artikel 55 BWHI, maar wordt tegelijk gewaarborgd dat teksten waarvan sommige nog niet </w:t>
      </w:r>
      <w:r w:rsidRPr="00CD53C6">
        <w:rPr>
          <w:i/>
          <w:iCs/>
        </w:rPr>
        <w:t>in extenso</w:t>
      </w:r>
      <w:r w:rsidRPr="00CD53C6">
        <w:t xml:space="preserve">, maar slechts door middel van een verwijzing naar hun vindplaats zijn bekendgemaakt in het </w:t>
      </w:r>
      <w:r w:rsidRPr="00CD53C6">
        <w:rPr>
          <w:iCs/>
        </w:rPr>
        <w:t>Belgisch Staatsblad</w:t>
      </w:r>
      <w:r w:rsidRPr="00CD53C6">
        <w:t>, op een exhaustieve wijze worden weergegeven, wat het Vlaamse Gewest betreft”.</w:t>
      </w:r>
      <w:r w:rsidR="002103AB" w:rsidRPr="00DF632C">
        <w:rPr>
          <w:rStyle w:val="Voetnootmarkering"/>
          <w:rFonts w:cs="Times New Roman"/>
          <w:szCs w:val="24"/>
        </w:rPr>
        <w:footnoteReference w:id="342"/>
      </w:r>
      <w:r w:rsidR="002103AB" w:rsidRPr="00DF632C">
        <w:t xml:space="preserve"> De Raad lijkt uit artikel 55 BWHI een </w:t>
      </w:r>
      <w:r w:rsidRPr="00CD53C6">
        <w:t xml:space="preserve">inhoudelijke verplichting af te leiden tot exhaustieve weergave van de betrokken internationale norm in een publicatie die de informatieve, documentaire en procedurele functie vervult eigen aan een officieel publicatieblad. Met deze inhoudelijke eis kan worden ingestemd, aangezien deze logischerwijze voortvloeit uit de doelstelling van bekendmaking (nr. </w:t>
      </w:r>
      <w:r w:rsidR="0009281C" w:rsidRPr="00CD53C6">
        <w:rPr>
          <w:highlight w:val="yellow"/>
        </w:rPr>
        <w:t>9</w:t>
      </w:r>
      <w:r w:rsidR="00D84F72" w:rsidRPr="00CD53C6">
        <w:rPr>
          <w:highlight w:val="yellow"/>
        </w:rPr>
        <w:t>5</w:t>
      </w:r>
      <w:r w:rsidRPr="00CD53C6">
        <w:t xml:space="preserve">). </w:t>
      </w:r>
      <w:r w:rsidR="00D84F72">
        <w:t>Daarbij moet wel worden aangestipt dat de</w:t>
      </w:r>
      <w:r w:rsidRPr="00CD53C6">
        <w:t xml:space="preserve"> verplichting </w:t>
      </w:r>
      <w:r w:rsidR="00D84F72">
        <w:t xml:space="preserve">tot bekendmaking niet alleen </w:t>
      </w:r>
      <w:r w:rsidRPr="00CD53C6">
        <w:t>aan artikel 55 BWHI</w:t>
      </w:r>
      <w:r w:rsidR="00D84F72">
        <w:t xml:space="preserve">, maar ook </w:t>
      </w:r>
      <w:r w:rsidRPr="00CD53C6">
        <w:t>aan artikel 190 van de Grondwet</w:t>
      </w:r>
      <w:r w:rsidR="00D84F72">
        <w:t xml:space="preserve"> moet worden gekoppeld</w:t>
      </w:r>
      <w:r w:rsidRPr="00CD53C6">
        <w:t xml:space="preserve">, </w:t>
      </w:r>
      <w:r w:rsidR="00D84F72">
        <w:t xml:space="preserve">zodat ze evenzeer geldt voor </w:t>
      </w:r>
      <w:r w:rsidRPr="00CD53C6">
        <w:t>de federale overheid.</w:t>
      </w:r>
      <w:r w:rsidR="002103AB" w:rsidRPr="00DF632C">
        <w:t xml:space="preserve"> </w:t>
      </w:r>
    </w:p>
    <w:p w:rsidR="002103AB" w:rsidRDefault="002103AB" w:rsidP="002103AB">
      <w:pPr>
        <w:rPr>
          <w:rFonts w:cs="Times New Roman"/>
        </w:rPr>
      </w:pPr>
    </w:p>
    <w:p w:rsidR="00154946" w:rsidRPr="00262AA8" w:rsidRDefault="002A7EE6" w:rsidP="00CD53C6">
      <w:pPr>
        <w:pStyle w:val="Kop2"/>
        <w:rPr>
          <w:lang w:val="nl-BE"/>
        </w:rPr>
      </w:pPr>
      <w:bookmarkStart w:id="52" w:name="_Toc495677907"/>
      <w:r w:rsidRPr="00262AA8">
        <w:rPr>
          <w:lang w:val="nl-BE"/>
        </w:rPr>
        <w:t>B. Wijze van bekendmaking</w:t>
      </w:r>
      <w:bookmarkEnd w:id="52"/>
    </w:p>
    <w:p w:rsidR="00154946" w:rsidRPr="00DF632C" w:rsidRDefault="00154946" w:rsidP="002103AB">
      <w:pPr>
        <w:rPr>
          <w:rFonts w:cs="Times New Roman"/>
        </w:rPr>
      </w:pPr>
    </w:p>
    <w:p w:rsidR="002103AB" w:rsidRPr="007811F5" w:rsidRDefault="001D12B7" w:rsidP="001B6036">
      <w:r w:rsidRPr="00CD53C6">
        <w:rPr>
          <w:b/>
        </w:rPr>
        <w:t>9</w:t>
      </w:r>
      <w:r w:rsidR="00C72DE1">
        <w:rPr>
          <w:b/>
        </w:rPr>
        <w:t>8</w:t>
      </w:r>
      <w:r w:rsidR="00A4336F" w:rsidRPr="00CD53C6">
        <w:rPr>
          <w:b/>
        </w:rPr>
        <w:t>.</w:t>
      </w:r>
      <w:r w:rsidR="00A4336F" w:rsidRPr="00CD53C6">
        <w:tab/>
        <w:t xml:space="preserve">De Raad van State heeft </w:t>
      </w:r>
      <w:r w:rsidR="00D84F72">
        <w:t>ook regelmatig opmerkingen geformuleerd over de wijze</w:t>
      </w:r>
      <w:r w:rsidR="00A4336F" w:rsidRPr="00CD53C6">
        <w:t xml:space="preserve"> van bekendmaking Zo moet de bekendmaking</w:t>
      </w:r>
      <w:r w:rsidR="00A4336F" w:rsidRPr="00CD53C6">
        <w:rPr>
          <w:i/>
        </w:rPr>
        <w:t xml:space="preserve"> tijdig</w:t>
      </w:r>
      <w:r w:rsidR="00A4336F" w:rsidRPr="00CD53C6">
        <w:t xml:space="preserve"> gebeuren: een verdrag moet bv. in het Belgisch Staatsblad zijn bekendgemaakt op het ogenblik dat het ten aanzien van België in werking treedt.</w:t>
      </w:r>
      <w:r w:rsidR="002103AB" w:rsidRPr="00DF632C">
        <w:rPr>
          <w:rStyle w:val="Voetnootmarkering"/>
          <w:rFonts w:cs="Times New Roman"/>
          <w:szCs w:val="24"/>
        </w:rPr>
        <w:footnoteReference w:id="343"/>
      </w:r>
      <w:r w:rsidR="002103AB" w:rsidRPr="00DF632C">
        <w:t xml:space="preserve"> De bekendmaking van een rechtsregel moet </w:t>
      </w:r>
      <w:r w:rsidR="00A4336F" w:rsidRPr="00CD53C6">
        <w:rPr>
          <w:i/>
        </w:rPr>
        <w:t>volledig</w:t>
      </w:r>
      <w:r w:rsidR="00A4336F" w:rsidRPr="00CD53C6">
        <w:t xml:space="preserve"> zijn</w:t>
      </w:r>
      <w:r w:rsidR="00D84F72">
        <w:t>.</w:t>
      </w:r>
      <w:r w:rsidR="00A4336F" w:rsidRPr="00CD53C6">
        <w:t xml:space="preserve"> </w:t>
      </w:r>
      <w:r w:rsidR="00D84F72">
        <w:t>I</w:t>
      </w:r>
      <w:r w:rsidR="00A4336F" w:rsidRPr="00CD53C6">
        <w:t xml:space="preserve">ndien </w:t>
      </w:r>
      <w:r w:rsidR="00D84F72">
        <w:t xml:space="preserve">bijvoorbeeld </w:t>
      </w:r>
      <w:r w:rsidR="00A4336F" w:rsidRPr="00CD53C6">
        <w:t>in de marge van de onderhandelingen van een dubbelbelastingsverdrag een overeenstemming werd bereikt tussen de beide delegaties over de interpretatie ervan, dan moet het document waaruit die overeenstemming blijkt (bv. het proces-verbaal van de onderhandelingen) samen met het verdrag worden bekendgemaakt.</w:t>
      </w:r>
      <w:r w:rsidR="002103AB" w:rsidRPr="00DF632C">
        <w:rPr>
          <w:rStyle w:val="Voetnootmarkering"/>
          <w:rFonts w:cs="Times New Roman"/>
          <w:szCs w:val="24"/>
        </w:rPr>
        <w:footnoteReference w:id="344"/>
      </w:r>
      <w:r w:rsidR="002103AB" w:rsidRPr="00DF632C">
        <w:t xml:space="preserve"> De bekendmaking mag ook </w:t>
      </w:r>
      <w:r w:rsidR="00A4336F" w:rsidRPr="00CD53C6">
        <w:rPr>
          <w:i/>
        </w:rPr>
        <w:t>geen tekortkomingen</w:t>
      </w:r>
      <w:r w:rsidR="00A4336F" w:rsidRPr="00CD53C6">
        <w:t xml:space="preserve"> vertonen </w:t>
      </w:r>
      <w:r w:rsidR="00A4336F" w:rsidRPr="00CD53C6">
        <w:rPr>
          <w:i/>
        </w:rPr>
        <w:t>die de rechtszekerheid aantasten</w:t>
      </w:r>
      <w:r w:rsidR="00A4336F" w:rsidRPr="00CD53C6">
        <w:t>: zo moeten kaarten met geografische afbakening en gebiedsaanduidingen voldoende duidelijk en leesbaar zijn.</w:t>
      </w:r>
      <w:r w:rsidR="002103AB" w:rsidRPr="00DF632C">
        <w:rPr>
          <w:rStyle w:val="Voetnootmarkering"/>
          <w:rFonts w:cs="Times New Roman"/>
          <w:szCs w:val="24"/>
        </w:rPr>
        <w:footnoteReference w:id="345"/>
      </w:r>
      <w:r w:rsidR="007811F5">
        <w:t xml:space="preserve"> </w:t>
      </w:r>
    </w:p>
    <w:p w:rsidR="00696009" w:rsidRPr="00DF632C" w:rsidRDefault="00A4336F" w:rsidP="00545FD7">
      <w:pPr>
        <w:pStyle w:val="Kop1"/>
      </w:pPr>
      <w:bookmarkStart w:id="53" w:name="_Toc495677908"/>
      <w:r w:rsidRPr="00CD53C6">
        <w:t>XI. Inwerkingtreding en terugwerkende kracht</w:t>
      </w:r>
      <w:bookmarkEnd w:id="53"/>
    </w:p>
    <w:p w:rsidR="00D84F72" w:rsidRPr="00DF632C" w:rsidRDefault="00D84F72" w:rsidP="001B6036">
      <w:pPr>
        <w:rPr>
          <w:szCs w:val="24"/>
        </w:rPr>
      </w:pPr>
    </w:p>
    <w:p w:rsidR="00545FD7" w:rsidRPr="00CD53C6" w:rsidRDefault="00A4336F" w:rsidP="00545FD7">
      <w:pPr>
        <w:pStyle w:val="Kop2"/>
        <w:rPr>
          <w:lang w:val="nl-BE"/>
        </w:rPr>
      </w:pPr>
      <w:bookmarkStart w:id="54" w:name="_Toc495677909"/>
      <w:r w:rsidRPr="00CD53C6">
        <w:rPr>
          <w:lang w:val="nl-BE"/>
        </w:rPr>
        <w:t>A. Inwerkingtreding</w:t>
      </w:r>
      <w:bookmarkEnd w:id="54"/>
    </w:p>
    <w:p w:rsidR="00545FD7" w:rsidRDefault="00545FD7" w:rsidP="001B6036">
      <w:pPr>
        <w:rPr>
          <w:szCs w:val="24"/>
        </w:rPr>
      </w:pPr>
    </w:p>
    <w:p w:rsidR="00E46BF9" w:rsidRDefault="00E46BF9" w:rsidP="00CD53C6">
      <w:pPr>
        <w:pStyle w:val="Kop3"/>
      </w:pPr>
      <w:bookmarkStart w:id="55" w:name="_Toc495677910"/>
      <w:r>
        <w:t>1. Redelijke termijn</w:t>
      </w:r>
      <w:bookmarkEnd w:id="55"/>
    </w:p>
    <w:p w:rsidR="00E46BF9" w:rsidRPr="00DF632C" w:rsidRDefault="00E46BF9" w:rsidP="001B6036">
      <w:pPr>
        <w:rPr>
          <w:szCs w:val="24"/>
        </w:rPr>
      </w:pPr>
    </w:p>
    <w:p w:rsidR="008F1866" w:rsidRPr="00DF632C" w:rsidRDefault="00C72DE1" w:rsidP="001B6036">
      <w:pPr>
        <w:rPr>
          <w:szCs w:val="24"/>
        </w:rPr>
      </w:pPr>
      <w:r>
        <w:rPr>
          <w:b/>
          <w:szCs w:val="24"/>
        </w:rPr>
        <w:lastRenderedPageBreak/>
        <w:t>99</w:t>
      </w:r>
      <w:r w:rsidR="00A4336F" w:rsidRPr="00CD53C6">
        <w:rPr>
          <w:b/>
          <w:szCs w:val="24"/>
        </w:rPr>
        <w:t>.</w:t>
      </w:r>
      <w:r w:rsidR="00A4336F" w:rsidRPr="00CD53C6">
        <w:rPr>
          <w:szCs w:val="24"/>
        </w:rPr>
        <w:tab/>
        <w:t>Volgens vaste adviespraktijk moeten er specifieke redenen bestaan om af te wijken van de gangbare termijn voor de inwerkingtreding van rechtsregels, namelijk tien dagen na de bekendmaking van de rechtsregel in het Belgisch Staatsblad. Daardoor wordt immers een redelijke termijn geboden om kennis te nemen van de nieuwe bepalingen. Als de inwerkingtreding om praktische of juridische redenen op een welbepaalde datum in de toekomst is vastgesteld, moet de rechtsregel tijdig worden bekendgemaakt, zodat die termijn van tien dagen zeker wordt geboden.</w:t>
      </w:r>
      <w:r w:rsidR="008F1866" w:rsidRPr="00DF632C">
        <w:rPr>
          <w:rStyle w:val="Voetnootmarkering"/>
          <w:szCs w:val="24"/>
        </w:rPr>
        <w:footnoteReference w:id="346"/>
      </w:r>
      <w:r w:rsidR="008F1866" w:rsidRPr="00DF632C">
        <w:rPr>
          <w:szCs w:val="24"/>
        </w:rPr>
        <w:t xml:space="preserve"> In bepaalde gevallen, zoals bijvoorbeeld voor een regeling inzake de verplichte aanschaf van ee</w:t>
      </w:r>
      <w:r w:rsidR="00A4336F" w:rsidRPr="00CD53C6">
        <w:rPr>
          <w:szCs w:val="24"/>
        </w:rPr>
        <w:t>n geregistreerd kassasysteem, kan zelfs die termijn van tien dagen te kort zijn opdat de burgers zich kunnen voorbereiden op de toepassing van de nieuwe regeling en moet een langere termijn worden geboden.</w:t>
      </w:r>
      <w:r w:rsidR="008F1866" w:rsidRPr="00DF632C">
        <w:rPr>
          <w:rStyle w:val="Voetnootmarkering"/>
          <w:szCs w:val="24"/>
        </w:rPr>
        <w:footnoteReference w:id="347"/>
      </w:r>
    </w:p>
    <w:p w:rsidR="00E47B14" w:rsidRDefault="00E47B14" w:rsidP="001B6036">
      <w:pPr>
        <w:rPr>
          <w:szCs w:val="24"/>
        </w:rPr>
      </w:pPr>
    </w:p>
    <w:p w:rsidR="00E46BF9" w:rsidRDefault="00E46BF9" w:rsidP="00CD53C6">
      <w:pPr>
        <w:pStyle w:val="Kop3"/>
      </w:pPr>
      <w:bookmarkStart w:id="56" w:name="_Toc495677911"/>
      <w:r>
        <w:t>2. Tijdstip inwerkingtreding moet kenbaar zijn</w:t>
      </w:r>
      <w:bookmarkEnd w:id="56"/>
    </w:p>
    <w:p w:rsidR="00E46BF9" w:rsidRPr="00DF632C" w:rsidRDefault="00E46BF9" w:rsidP="001B6036">
      <w:pPr>
        <w:rPr>
          <w:szCs w:val="24"/>
        </w:rPr>
      </w:pPr>
    </w:p>
    <w:p w:rsidR="008F1866" w:rsidRPr="00DF632C" w:rsidRDefault="001D12B7" w:rsidP="001B6036">
      <w:pPr>
        <w:rPr>
          <w:szCs w:val="24"/>
        </w:rPr>
      </w:pPr>
      <w:r w:rsidRPr="00CD53C6">
        <w:rPr>
          <w:b/>
          <w:szCs w:val="24"/>
        </w:rPr>
        <w:t>10</w:t>
      </w:r>
      <w:r w:rsidR="00C72DE1">
        <w:rPr>
          <w:b/>
          <w:szCs w:val="24"/>
        </w:rPr>
        <w:t>0</w:t>
      </w:r>
      <w:r w:rsidR="00A4336F" w:rsidRPr="00CD53C6">
        <w:rPr>
          <w:b/>
          <w:szCs w:val="24"/>
        </w:rPr>
        <w:t>.</w:t>
      </w:r>
      <w:r w:rsidR="00A4336F" w:rsidRPr="00CD53C6">
        <w:rPr>
          <w:szCs w:val="24"/>
        </w:rPr>
        <w:tab/>
        <w:t xml:space="preserve">De datum van inwerkingtreding van een rechtsregel kan niet worden gekoppeld aan een gegeven dat de burger niet zonder meer kan achterhalen. Zo kan een regeringsbesluit niet in werking treden op de datum van </w:t>
      </w:r>
      <w:r w:rsidR="0041458C">
        <w:rPr>
          <w:szCs w:val="24"/>
        </w:rPr>
        <w:t xml:space="preserve">de </w:t>
      </w:r>
      <w:r w:rsidR="007E034F">
        <w:rPr>
          <w:szCs w:val="24"/>
        </w:rPr>
        <w:t xml:space="preserve">goedkeuring (nr. </w:t>
      </w:r>
      <w:r w:rsidR="007E034F" w:rsidRPr="00CD53C6">
        <w:rPr>
          <w:szCs w:val="24"/>
          <w:highlight w:val="yellow"/>
        </w:rPr>
        <w:t>1</w:t>
      </w:r>
      <w:r w:rsidR="00B2012F">
        <w:rPr>
          <w:szCs w:val="24"/>
          <w:highlight w:val="yellow"/>
        </w:rPr>
        <w:t>07</w:t>
      </w:r>
      <w:r w:rsidR="007E034F">
        <w:rPr>
          <w:szCs w:val="24"/>
        </w:rPr>
        <w:t xml:space="preserve">) of </w:t>
      </w:r>
      <w:r w:rsidR="0041458C">
        <w:rPr>
          <w:szCs w:val="24"/>
        </w:rPr>
        <w:t xml:space="preserve">de </w:t>
      </w:r>
      <w:r w:rsidR="00A4336F" w:rsidRPr="00CD53C6">
        <w:rPr>
          <w:szCs w:val="24"/>
        </w:rPr>
        <w:t>ondertekening ervan.</w:t>
      </w:r>
      <w:r w:rsidR="00067B4F" w:rsidRPr="00DF632C">
        <w:rPr>
          <w:rStyle w:val="Voetnootmarkering"/>
          <w:szCs w:val="24"/>
        </w:rPr>
        <w:footnoteReference w:id="348"/>
      </w:r>
      <w:r w:rsidR="0009281C">
        <w:rPr>
          <w:szCs w:val="24"/>
        </w:rPr>
        <w:t xml:space="preserve"> </w:t>
      </w:r>
    </w:p>
    <w:p w:rsidR="008F1866" w:rsidRPr="00DF632C" w:rsidRDefault="008F1866" w:rsidP="001B6036">
      <w:pPr>
        <w:rPr>
          <w:szCs w:val="24"/>
        </w:rPr>
      </w:pPr>
    </w:p>
    <w:p w:rsidR="004E3F5D" w:rsidRPr="00DF632C" w:rsidRDefault="00A4336F" w:rsidP="001B6036">
      <w:pPr>
        <w:rPr>
          <w:szCs w:val="24"/>
        </w:rPr>
      </w:pPr>
      <w:r w:rsidRPr="00CD53C6">
        <w:rPr>
          <w:szCs w:val="24"/>
        </w:rPr>
        <w:t>Dat is ook het geval voor een wettelijke regeling die in werking treedt op 1 januari 2016, maar op voorwaarde “dat België op grond van artikel 395 van de richtlijn 2006/112/EG van de Raad van 28 november 2006 betreffende het gemeenschappelijke stelsel van de belasting over de toegevoegde waarde, een machtiging verkrijgt om een afwijking van artikel 285 van voornoemde richtlijn toe te passen teneinde de belastinginning te vereenvoudigen”. Of België gemachtigd wordt tot die afwijking, moet immers blijken uit een besluit van de Raad van de Europese Unie waarvan kennis wordt gegeven aan België. Door die kennisgeving wordt dat besluit (en dus ook de wettelijke regeling) van kracht, terwijl de bekendmaking van dat besluit in het Publicatieblad van de Europese Unie facultatief is. Er zou dus moeten worden voorzien in een delegatie aan de Koning om de wet in werking te stellen van zodra kennis is gegeven van de machtiging.</w:t>
      </w:r>
      <w:r w:rsidR="00067B4F" w:rsidRPr="00DF632C">
        <w:rPr>
          <w:rStyle w:val="Voetnootmarkering"/>
          <w:szCs w:val="24"/>
        </w:rPr>
        <w:footnoteReference w:id="349"/>
      </w:r>
    </w:p>
    <w:p w:rsidR="008F1866" w:rsidRPr="00DF632C" w:rsidRDefault="008F1866" w:rsidP="001B6036">
      <w:pPr>
        <w:rPr>
          <w:szCs w:val="24"/>
        </w:rPr>
      </w:pPr>
    </w:p>
    <w:p w:rsidR="00067B4F" w:rsidRPr="00DF632C" w:rsidRDefault="00A4336F" w:rsidP="001B6036">
      <w:pPr>
        <w:rPr>
          <w:szCs w:val="24"/>
        </w:rPr>
      </w:pPr>
      <w:r w:rsidRPr="00CD53C6">
        <w:rPr>
          <w:szCs w:val="24"/>
        </w:rPr>
        <w:t>Een gelijkaardige opmerking werd geformuleerd met betrekking tot een instemmingsdecreet met een zetelakkoord dat uitwerking zou krijgen met ingang van de datum van de vestiging in België van het Bureau van Interpol. Bovendien werd in het zetelakkoord zelf een specifieke datum (1 januari 2012) bepaald, zodat er eigenlijk geen reden was om voor het instemmingsdecreet een afwijkende inwerkingtreding te regelen.</w:t>
      </w:r>
      <w:r w:rsidR="002971D3" w:rsidRPr="00DF632C">
        <w:rPr>
          <w:rStyle w:val="Voetnootmarkering"/>
          <w:szCs w:val="24"/>
        </w:rPr>
        <w:footnoteReference w:id="350"/>
      </w:r>
    </w:p>
    <w:p w:rsidR="00067B4F" w:rsidRDefault="00067B4F" w:rsidP="001B6036">
      <w:pPr>
        <w:rPr>
          <w:szCs w:val="24"/>
        </w:rPr>
      </w:pPr>
    </w:p>
    <w:p w:rsidR="00E46BF9" w:rsidRDefault="00E46BF9" w:rsidP="00CD53C6">
      <w:pPr>
        <w:pStyle w:val="Kop3"/>
      </w:pPr>
      <w:bookmarkStart w:id="57" w:name="_Toc495677912"/>
      <w:r>
        <w:t>3. Belang van een overgangsregeling</w:t>
      </w:r>
      <w:bookmarkEnd w:id="57"/>
    </w:p>
    <w:p w:rsidR="00E46BF9" w:rsidRPr="00DF632C" w:rsidRDefault="00E46BF9" w:rsidP="001B6036">
      <w:pPr>
        <w:rPr>
          <w:szCs w:val="24"/>
        </w:rPr>
      </w:pPr>
    </w:p>
    <w:p w:rsidR="002971D3" w:rsidRPr="00DF632C" w:rsidRDefault="001D12B7" w:rsidP="001B6036">
      <w:pPr>
        <w:rPr>
          <w:szCs w:val="24"/>
        </w:rPr>
      </w:pPr>
      <w:r w:rsidRPr="00CD53C6">
        <w:rPr>
          <w:b/>
          <w:szCs w:val="24"/>
        </w:rPr>
        <w:t>10</w:t>
      </w:r>
      <w:r w:rsidR="00C72DE1">
        <w:rPr>
          <w:b/>
          <w:szCs w:val="24"/>
        </w:rPr>
        <w:t>1</w:t>
      </w:r>
      <w:r w:rsidR="00A4336F" w:rsidRPr="00CD53C6">
        <w:rPr>
          <w:b/>
          <w:szCs w:val="24"/>
        </w:rPr>
        <w:t>.</w:t>
      </w:r>
      <w:r w:rsidR="00A4336F" w:rsidRPr="00CD53C6">
        <w:rPr>
          <w:szCs w:val="24"/>
        </w:rPr>
        <w:tab/>
        <w:t>Vaak wordt uit het oog verloren dat een overgangsregeling wenselijk of zelfs noodzakelijk is</w:t>
      </w:r>
      <w:r w:rsidR="007334DD">
        <w:rPr>
          <w:szCs w:val="24"/>
        </w:rPr>
        <w:t xml:space="preserve"> (zie ook nr. </w:t>
      </w:r>
      <w:r w:rsidR="007334DD" w:rsidRPr="00CD53C6">
        <w:rPr>
          <w:szCs w:val="24"/>
          <w:highlight w:val="yellow"/>
        </w:rPr>
        <w:t>109</w:t>
      </w:r>
      <w:r w:rsidR="007334DD">
        <w:rPr>
          <w:szCs w:val="24"/>
        </w:rPr>
        <w:t>)</w:t>
      </w:r>
      <w:r w:rsidR="00A4336F" w:rsidRPr="00CD53C6">
        <w:rPr>
          <w:szCs w:val="24"/>
        </w:rPr>
        <w:t xml:space="preserve">, omdat de overgang van de oude naar het nieuwe regime anders voor interpretatieproblemen zou kunnen zorgen of omdat problemen rijzen met betrekking tot het vertrouwensbeginsel of het gelijkheidsbeginsel. Dat bleek onder meer bij </w:t>
      </w:r>
      <w:r w:rsidR="00A4336F" w:rsidRPr="00CD53C6">
        <w:rPr>
          <w:szCs w:val="24"/>
        </w:rPr>
        <w:lastRenderedPageBreak/>
        <w:t>een hervorming van de regeling inzake de renovatiepremie door de Vlaamse overheid. In de nieuwe regeling werd immers geen rekening gehouden met verbintenissen aangegaan of werkzaamheden uitgevoerd vóór de inwerkingtreding ervan, ondanks een opmerking van de Vlaamse Woonraad ter zake. Blijkbaar waren budgettaire redenen daarbij doorslaggevend. De Raad van State wees erop dat een beleidswijziging met onmiddellijke ingang soms kan indruisen tegen het gelijkheidsbeginsel of het vertrouwensbeginsel, wanneer de rechtmatige verwachtingen van een bepaalde categorie van rechtsonderhorigen worden miskend zonder dat een dwingende reden van algemeen belang voorhanden is die het ontbreken van een te hunnen voordele ingestelde overgangsregeling kan verantwoorden.</w:t>
      </w:r>
      <w:r w:rsidR="00FC028C" w:rsidRPr="00DF632C">
        <w:rPr>
          <w:rStyle w:val="Voetnootmarkering"/>
          <w:szCs w:val="24"/>
        </w:rPr>
        <w:footnoteReference w:id="351"/>
      </w:r>
    </w:p>
    <w:p w:rsidR="00545FD7" w:rsidRPr="00DF632C" w:rsidRDefault="00545FD7" w:rsidP="001B6036">
      <w:pPr>
        <w:rPr>
          <w:szCs w:val="24"/>
        </w:rPr>
      </w:pPr>
    </w:p>
    <w:p w:rsidR="00545FD7" w:rsidRPr="00CD53C6" w:rsidRDefault="00A4336F" w:rsidP="00545FD7">
      <w:pPr>
        <w:pStyle w:val="Kop2"/>
        <w:rPr>
          <w:lang w:val="nl-BE"/>
        </w:rPr>
      </w:pPr>
      <w:bookmarkStart w:id="58" w:name="_Toc495677913"/>
      <w:r w:rsidRPr="00CD53C6">
        <w:rPr>
          <w:lang w:val="nl-BE"/>
        </w:rPr>
        <w:t>B. Terugwerkende kracht</w:t>
      </w:r>
      <w:bookmarkEnd w:id="58"/>
    </w:p>
    <w:p w:rsidR="007E034F" w:rsidRDefault="007E034F" w:rsidP="001B6036">
      <w:pPr>
        <w:rPr>
          <w:szCs w:val="24"/>
        </w:rPr>
      </w:pPr>
    </w:p>
    <w:p w:rsidR="005E1FDB" w:rsidRDefault="005E1FDB" w:rsidP="00CD53C6">
      <w:pPr>
        <w:pStyle w:val="Kop3"/>
      </w:pPr>
      <w:bookmarkStart w:id="59" w:name="_Toc495677914"/>
      <w:r>
        <w:t>1. Algemeen</w:t>
      </w:r>
      <w:bookmarkEnd w:id="59"/>
    </w:p>
    <w:p w:rsidR="005E1FDB" w:rsidRPr="00DF632C" w:rsidRDefault="005E1FDB" w:rsidP="001B6036">
      <w:pPr>
        <w:rPr>
          <w:szCs w:val="24"/>
        </w:rPr>
      </w:pPr>
    </w:p>
    <w:p w:rsidR="00545FD7" w:rsidRPr="00DF632C" w:rsidRDefault="001D12B7" w:rsidP="00545FD7">
      <w:r w:rsidRPr="00CD53C6">
        <w:rPr>
          <w:b/>
        </w:rPr>
        <w:t>10</w:t>
      </w:r>
      <w:r w:rsidR="00C72DE1">
        <w:rPr>
          <w:b/>
        </w:rPr>
        <w:t>2</w:t>
      </w:r>
      <w:r w:rsidR="00A4336F" w:rsidRPr="00CD53C6">
        <w:rPr>
          <w:b/>
        </w:rPr>
        <w:t>.</w:t>
      </w:r>
      <w:r w:rsidR="00A4336F" w:rsidRPr="00CD53C6">
        <w:tab/>
        <w:t>Het verlenen van terugwerkende kracht aan rechtsregels kan slechts onder bepaalde voorwaarden. Die voorwaarden verschillen naargelang het gaat om wetgevende regels of om reglementaire besluiten. Wat betreft wetgevende regels kunnen die voorwaarden worden afgeleid uit de rechtspraak van het Grondwettelijk Hof. In een recent advies</w:t>
      </w:r>
      <w:r w:rsidR="00545FD7" w:rsidRPr="00DF632C">
        <w:rPr>
          <w:rStyle w:val="Voetnootmarkering"/>
        </w:rPr>
        <w:footnoteReference w:id="352"/>
      </w:r>
      <w:r w:rsidR="00545FD7" w:rsidRPr="00DF632C">
        <w:t xml:space="preserve"> werden ze als volgt weergegeven: </w:t>
      </w:r>
      <w:r w:rsidR="00A4336F" w:rsidRPr="00CD53C6">
        <w:t>“</w:t>
      </w:r>
      <w:r w:rsidR="00A4336F" w:rsidRPr="00CD53C6">
        <w:rPr>
          <w:color w:val="000000"/>
          <w:lang w:eastAsia="nl-NL"/>
        </w:rPr>
        <w:t>Het is bekend dat wetgevende handelingen in de regel geen terugwerkende kracht kunnen hebben. De niet-retroactiviteit van wetten is een waarborg ter voorkoming van rechtsonzekerheid. Die waarborg vereist dat de inhoud van het recht voorzienbaar en toegankelijk is, zodat de rechtzoekende in redelijke mate de gevolgen van een bepaalde handeling kan voorzien op het tijdstip dat die handeling wordt verricht. De terugwerkende kracht kan enkel worden verantwoord wanneer ze onontbeerlijk is voor de verwezenlijking van een doelstelling van algemeen belang.</w:t>
      </w:r>
      <w:r w:rsidR="00545FD7" w:rsidRPr="00DF632C">
        <w:rPr>
          <w:rStyle w:val="Voetnootmarkering"/>
          <w:color w:val="000000"/>
          <w:lang w:eastAsia="nl-NL"/>
        </w:rPr>
        <w:footnoteReference w:id="353"/>
      </w:r>
      <w:r w:rsidR="00545FD7" w:rsidRPr="00DF632C">
        <w:rPr>
          <w:color w:val="000000"/>
          <w:lang w:eastAsia="nl-NL"/>
        </w:rPr>
        <w:t xml:space="preserve"> Indien bovendien blijkt dat de terugwerkende kracht tot doel heeft de afloop van een gerechtelijke procedure in een welbepaalde zin te beïnvloeden of de rechtscolleges te verhinderen zich uit te spreken over een welbepaalde rechtsvraag, vergt de aard van het in het ged</w:t>
      </w:r>
      <w:r w:rsidR="00A4336F" w:rsidRPr="00CD53C6">
        <w:rPr>
          <w:color w:val="000000"/>
          <w:lang w:eastAsia="nl-NL"/>
        </w:rPr>
        <w:t>ing zijnde beginsel dat uitzonderlijke omstandigheden of dwingende motieven van algemeen belang een verantwoording bieden voor het optreden van de wetgever, dat ten nadele van een categorie van burgers afbreuk doet aan de jurisdictionele waarborgen die aan allen worden geboden</w:t>
      </w:r>
      <w:r w:rsidR="007E034F">
        <w:rPr>
          <w:color w:val="000000"/>
          <w:lang w:eastAsia="nl-NL"/>
        </w:rPr>
        <w:t>”</w:t>
      </w:r>
      <w:r w:rsidR="00A4336F" w:rsidRPr="00CD53C6">
        <w:rPr>
          <w:color w:val="000000"/>
          <w:lang w:eastAsia="nl-NL"/>
        </w:rPr>
        <w:t>.</w:t>
      </w:r>
      <w:r w:rsidR="00545FD7" w:rsidRPr="00DF632C">
        <w:rPr>
          <w:rStyle w:val="Voetnootmarkering"/>
          <w:color w:val="000000"/>
          <w:lang w:eastAsia="nl-NL"/>
        </w:rPr>
        <w:footnoteReference w:id="354"/>
      </w:r>
    </w:p>
    <w:p w:rsidR="00545FD7" w:rsidRPr="00DF632C" w:rsidRDefault="00545FD7" w:rsidP="00545FD7"/>
    <w:p w:rsidR="00545FD7" w:rsidRPr="00DF632C" w:rsidRDefault="00A4336F" w:rsidP="00545FD7">
      <w:r w:rsidRPr="00CD53C6">
        <w:t>Voor reglementaire besluiten is het verlenen van terugwerkende kracht volgens de vaste adviespraktijk van de afdeling Wetgeving enkel toelaatbaar ingeval voor de retroactiviteit een wettelijke grondslag bestaat, de retroactiviteit betrekking heeft op een regeling die, met inachtneming van het gelijkheidsbeginsel, voordelen toekent of in zoverre de retroactiviteit noodzakelijk is voor de continuïteit of de goede werking van het bestuur en daardoor, in beginsel, geen verkregen situaties worden aangetast</w:t>
      </w:r>
      <w:r w:rsidR="00157669">
        <w:t>.</w:t>
      </w:r>
      <w:r w:rsidR="00545FD7" w:rsidRPr="00DF632C">
        <w:rPr>
          <w:rStyle w:val="Voetnootmarkering"/>
        </w:rPr>
        <w:footnoteReference w:id="355"/>
      </w:r>
      <w:r w:rsidR="00545FD7" w:rsidRPr="00DF632C">
        <w:t xml:space="preserve"> </w:t>
      </w:r>
    </w:p>
    <w:p w:rsidR="00545FD7" w:rsidRDefault="00545FD7" w:rsidP="00545FD7"/>
    <w:p w:rsidR="005E1FDB" w:rsidRDefault="005E1FDB" w:rsidP="00CD53C6">
      <w:pPr>
        <w:pStyle w:val="Kop3"/>
      </w:pPr>
      <w:bookmarkStart w:id="60" w:name="_Toc495677915"/>
      <w:r>
        <w:t>2. Toezichtrecht door de overheid</w:t>
      </w:r>
      <w:bookmarkEnd w:id="60"/>
    </w:p>
    <w:p w:rsidR="005E1FDB" w:rsidRPr="00DF632C" w:rsidRDefault="005E1FDB" w:rsidP="00545FD7"/>
    <w:p w:rsidR="00545FD7" w:rsidRDefault="001D12B7" w:rsidP="00545FD7">
      <w:r w:rsidRPr="00CD53C6">
        <w:rPr>
          <w:b/>
        </w:rPr>
        <w:t>10</w:t>
      </w:r>
      <w:r w:rsidR="00C72DE1">
        <w:rPr>
          <w:b/>
        </w:rPr>
        <w:t>3</w:t>
      </w:r>
      <w:r w:rsidR="00A4336F" w:rsidRPr="00CD53C6">
        <w:rPr>
          <w:b/>
        </w:rPr>
        <w:t>.</w:t>
      </w:r>
      <w:r w:rsidR="00A4336F" w:rsidRPr="00CD53C6">
        <w:tab/>
        <w:t xml:space="preserve"> Een decreet waarin met terugwerkende kracht bepaald wordt welke ambtenaren (mede) belast zijn met (bepaalde aspecten van) het toezicht op de naleving van de betrokken sectorale regelgeving door de betrokken welzijnsvoorzieningen, wat onder meer tot gevolg heeft dat aan de ambtenaren van Zorginspectie van het Departement Welzijn, Volksgezondheid en Gezin met terugwerkende kracht een inzage- en toegangsrecht wordt toegekend, lijkt op het eerste gezicht problematisch. Aangezien de rechtssubjecten dienen te weten of zij zich kunnen verzetten tegen de gevraagde inzage of toegang of tegen de uitoefening van andere toezichtrechten, moeten zij op het ogenblik waarop de betrokken ambtenaren het inzage- of toegangsrecht of een ander toezichtrecht wensen uit te oefenen, zich ervan kunnen vergewissen of laatstgenoemden hiertoe daadwerkelijk zijn gemachtigd. Wanneer zij te maken krijgen met een verzoek tot uitoefening van een toezichtrecht, kunnen de rechtssubjecten niet anders dan zich te baseren op de regeling zoals zij bestaat op het ogenblik van de controle. Opdat een toezichtregeling door de betrokken ambtenaren kan worden ingeroepen, dient zij derhalve te bestaan en te zijn bekendgemaakt op het moment van die controle, en moeten de betrokken ambtenaren effectief met de in die regeling opgenomen toezichtbevoegdheden zijn belast. In dit geval besl</w:t>
      </w:r>
      <w:r w:rsidR="00E7776A">
        <w:t>oo</w:t>
      </w:r>
      <w:r w:rsidR="00A4336F" w:rsidRPr="00CD53C6">
        <w:t>t de Raad van State evenwel dat de terugwerkende kracht verantwoord kan worden. Gelet op het feit dat het Agentschap Zorginspectie geen eigen rechtspersoonlijkheid heeft, en bijgevolg deel uitmaakt van het centrale bestuur van de Vlaamse Gemeenschap, en de genoemde personeelsoverheveling derhalve moet worden beschouwd als een louter intern-administratieve verschuiving binnen dat centrale bestuur, d</w:t>
      </w:r>
      <w:r w:rsidR="00E7776A">
        <w:t>eed</w:t>
      </w:r>
      <w:r w:rsidR="00A4336F" w:rsidRPr="00CD53C6">
        <w:t xml:space="preserve"> de terugwerkende kracht van het te nemen besluit geen afbreuk aan grondwettelijk of internationaalrechtelijk gewaarborgde rechten en k</w:t>
      </w:r>
      <w:r w:rsidR="00E7776A">
        <w:t>o</w:t>
      </w:r>
      <w:r w:rsidR="00A4336F" w:rsidRPr="00CD53C6">
        <w:t>n ze worden verantwoord vanuit het beginsel van de continuïteit van de openbare dienst. Omwille van de rechtszekerheid verdien</w:t>
      </w:r>
      <w:r w:rsidR="00E7776A">
        <w:t>de</w:t>
      </w:r>
      <w:r w:rsidR="00A4336F" w:rsidRPr="00CD53C6">
        <w:t xml:space="preserve"> het </w:t>
      </w:r>
      <w:r w:rsidR="00E7776A">
        <w:t xml:space="preserve">volgens de Raad </w:t>
      </w:r>
      <w:r w:rsidR="00A4336F" w:rsidRPr="00CD53C6">
        <w:t>desalniettemin aanbeveling om in de toekomst een dergelijke retroactiviteit te vermijden.</w:t>
      </w:r>
      <w:r w:rsidR="00545FD7" w:rsidRPr="00DF632C">
        <w:rPr>
          <w:rStyle w:val="Voetnootmarkering"/>
        </w:rPr>
        <w:footnoteReference w:id="356"/>
      </w:r>
      <w:r w:rsidR="007811F5">
        <w:t xml:space="preserve"> </w:t>
      </w:r>
    </w:p>
    <w:p w:rsidR="005E1FDB" w:rsidRDefault="005E1FDB" w:rsidP="00CD53C6">
      <w:pPr>
        <w:pStyle w:val="Kop3"/>
      </w:pPr>
      <w:bookmarkStart w:id="61" w:name="_Toc495677916"/>
      <w:r>
        <w:t>3. Belastingen</w:t>
      </w:r>
      <w:bookmarkEnd w:id="61"/>
    </w:p>
    <w:p w:rsidR="005E1FDB" w:rsidRPr="00DF632C" w:rsidRDefault="005E1FDB" w:rsidP="00545FD7"/>
    <w:p w:rsidR="00545FD7" w:rsidRPr="00DF632C" w:rsidRDefault="001D12B7" w:rsidP="00A03BFF">
      <w:r w:rsidRPr="00CD53C6">
        <w:rPr>
          <w:b/>
        </w:rPr>
        <w:t>10</w:t>
      </w:r>
      <w:r w:rsidR="005E1FDB" w:rsidRPr="00CD53C6">
        <w:rPr>
          <w:b/>
        </w:rPr>
        <w:t>4</w:t>
      </w:r>
      <w:r w:rsidR="00A4336F" w:rsidRPr="00CD53C6">
        <w:rPr>
          <w:b/>
        </w:rPr>
        <w:t>.</w:t>
      </w:r>
      <w:r w:rsidR="00A4336F" w:rsidRPr="00CD53C6">
        <w:tab/>
        <w:t>Een fiscaalrechtelijke regel wordt slechts als retroactief beschouwd wanneer hij van toepassing is op feiten, handelingen en toestanden die definitief waren voltrokken op het ogenblik dat hij wordt bekendgemaakt.</w:t>
      </w:r>
      <w:r w:rsidR="00545FD7" w:rsidRPr="00DF632C">
        <w:rPr>
          <w:rStyle w:val="Voetnootmarkering"/>
          <w:sz w:val="23"/>
          <w:szCs w:val="23"/>
        </w:rPr>
        <w:footnoteReference w:id="357"/>
      </w:r>
      <w:r w:rsidR="00545FD7" w:rsidRPr="00DF632C">
        <w:rPr>
          <w:sz w:val="16"/>
          <w:szCs w:val="16"/>
        </w:rPr>
        <w:t xml:space="preserve"> </w:t>
      </w:r>
      <w:r w:rsidR="00545FD7" w:rsidRPr="00DF632C">
        <w:t>Inzake inkomstenbelastingen ontstaat de belastingschuld definitief op de datum van afsluiting van de periode waarin de inkomsten verworven zijn die de belastingsbasis uitmaken.</w:t>
      </w:r>
      <w:r w:rsidR="00545FD7" w:rsidRPr="00DF632C">
        <w:rPr>
          <w:rStyle w:val="Voetnootmarkering"/>
          <w:sz w:val="23"/>
          <w:szCs w:val="23"/>
        </w:rPr>
        <w:footnoteReference w:id="358"/>
      </w:r>
      <w:r w:rsidR="00545FD7" w:rsidRPr="00DF632C">
        <w:t xml:space="preserve"> Er is dan ook geen sprake van retroactiviteit bij de toepassing van het in juli 2016 ontworpen artikel 203, § 1, eerste lid, 6°, van het WIB 92 op inkomsten die zijn verleend, toegekend of betaalbaar gesteld vanaf 1 januari 2016, in zoverre het gaat om handelingen </w:t>
      </w:r>
      <w:r w:rsidR="00A4336F" w:rsidRPr="00CD53C6">
        <w:t xml:space="preserve">die nog niet definitief voltrokken zijn, dat wil zeggen als het boekjaar waarin de inkomsten verworven zijn die de belastingsbasis uitmaken nog niet definitief is afgesloten. Er zal echter wel sprake zijn van retroactiviteit indien het boekjaar van de betrokken vennootschap is afgesloten na 31 januari 2015 en vóór </w:t>
      </w:r>
      <w:r w:rsidR="00A4336F" w:rsidRPr="00CD53C6">
        <w:lastRenderedPageBreak/>
        <w:t>de bekendmaking van de wetsbepaling, bijvoorbeeld indien het boekjaar loopt van 1 april 2015 tot 31 maart 2016.</w:t>
      </w:r>
      <w:r w:rsidR="00545FD7" w:rsidRPr="00DF632C">
        <w:rPr>
          <w:rStyle w:val="Voetnootmarkering"/>
          <w:sz w:val="23"/>
          <w:szCs w:val="23"/>
        </w:rPr>
        <w:footnoteReference w:id="359"/>
      </w:r>
    </w:p>
    <w:p w:rsidR="00545FD7" w:rsidRPr="00DF632C" w:rsidRDefault="00545FD7" w:rsidP="00545FD7">
      <w:pPr>
        <w:rPr>
          <w:sz w:val="23"/>
          <w:szCs w:val="23"/>
        </w:rPr>
      </w:pPr>
    </w:p>
    <w:p w:rsidR="00545FD7" w:rsidRDefault="001D12B7" w:rsidP="00545FD7">
      <w:r w:rsidRPr="00CD53C6">
        <w:rPr>
          <w:b/>
        </w:rPr>
        <w:t>10</w:t>
      </w:r>
      <w:r w:rsidR="005E1FDB" w:rsidRPr="00CD53C6">
        <w:rPr>
          <w:b/>
        </w:rPr>
        <w:t>5</w:t>
      </w:r>
      <w:r w:rsidR="00A4336F" w:rsidRPr="00CD53C6">
        <w:rPr>
          <w:b/>
        </w:rPr>
        <w:t>.</w:t>
      </w:r>
      <w:r w:rsidR="00A4336F" w:rsidRPr="00CD53C6">
        <w:tab/>
        <w:t xml:space="preserve">Vaak </w:t>
      </w:r>
      <w:r w:rsidR="00E7776A">
        <w:t>moet</w:t>
      </w:r>
      <w:r w:rsidR="00E7776A" w:rsidRPr="00CD53C6">
        <w:t xml:space="preserve"> </w:t>
      </w:r>
      <w:r w:rsidR="00A4336F" w:rsidRPr="00CD53C6">
        <w:t xml:space="preserve">de Raad van State erop wijzen dat er sprake is van terugwerkende kracht met betrekking tot de regels inzake de roerende voorheffing. De roerende voorheffing is immers definitief verschuldigd op de datum van de toekenning of betaalbaarstelling van de uitkeringen waarop de heffing is verschuldigd. </w:t>
      </w:r>
      <w:r w:rsidR="00E34117">
        <w:t>D</w:t>
      </w:r>
      <w:r w:rsidR="00A4336F" w:rsidRPr="00CD53C6">
        <w:t xml:space="preserve">e vraag </w:t>
      </w:r>
      <w:r w:rsidR="00E34117">
        <w:t xml:space="preserve">rees </w:t>
      </w:r>
      <w:r w:rsidR="00A4336F" w:rsidRPr="00CD53C6">
        <w:t xml:space="preserve">wat de gevolgen zijn van de terugwerkende kracht van </w:t>
      </w:r>
      <w:r w:rsidR="00E34117">
        <w:t>een ontworpen</w:t>
      </w:r>
      <w:r w:rsidR="00A4336F" w:rsidRPr="00CD53C6">
        <w:t xml:space="preserve"> anti-misbruikbepaling voor </w:t>
      </w:r>
      <w:r w:rsidR="00E34117">
        <w:t>hen</w:t>
      </w:r>
      <w:r w:rsidR="00E34117" w:rsidRPr="00CD53C6">
        <w:t xml:space="preserve"> </w:t>
      </w:r>
      <w:r w:rsidR="00A4336F" w:rsidRPr="00CD53C6">
        <w:t xml:space="preserve">die vanaf 1 januari 2016 de nieuwe regels niet hebben gevolgd en dividenden hebben uitgekeerd met vrijstelling van roerende voorheffing. De gemachtigde verdedigde de terugwerkende kracht door onder meer te wijzen op een arrest van het EHRM en de inwerkingtredingsdatum van de richtlijn die omgezet wordt. Gelet op het legaliteitsbeginsel in fiscale zaken, neergelegd in de artikelen 170, § 1, en 172, tweede lid, </w:t>
      </w:r>
      <w:r w:rsidR="00701A1B">
        <w:t>Gw.</w:t>
      </w:r>
      <w:r w:rsidR="00A4336F" w:rsidRPr="00CD53C6">
        <w:t>, l</w:t>
      </w:r>
      <w:r w:rsidR="00E34117">
        <w:t>eek</w:t>
      </w:r>
      <w:r w:rsidR="00A4336F" w:rsidRPr="00CD53C6">
        <w:t xml:space="preserve"> er volgens de Raad van State evenwel niet zomaar besloten te kunnen worden op basis van een beslissing van het EHRM van 13 januari 2015 dat de terugwerkende kracht van de ontworpen anti-misbruikbepaling in de Belgische context aanvaardbaar is. De datum van inwerkingtreding van een richtlijn van de Europese Unie is evenmin een rechtvaardigingsgrond voor retroactiviteit. Uit haar aard vereist een richtlijn immers een omzetting in het nationale recht. De Raad besl</w:t>
      </w:r>
      <w:r w:rsidR="00E34117">
        <w:t>oo</w:t>
      </w:r>
      <w:r w:rsidR="00A4336F" w:rsidRPr="00CD53C6">
        <w:t>t dan ook dat van de terugwerkende kracht moe</w:t>
      </w:r>
      <w:r w:rsidR="00E34117">
        <w:t>s</w:t>
      </w:r>
      <w:r w:rsidR="00A4336F" w:rsidRPr="00CD53C6">
        <w:t xml:space="preserve">t worden afgezien, tenzij een </w:t>
      </w:r>
      <w:r w:rsidR="00D01016">
        <w:t xml:space="preserve">andere </w:t>
      </w:r>
      <w:r w:rsidR="00A4336F" w:rsidRPr="00CD53C6">
        <w:t>verantwoording k</w:t>
      </w:r>
      <w:r w:rsidR="00E34117">
        <w:t>o</w:t>
      </w:r>
      <w:r w:rsidR="00A4336F" w:rsidRPr="00CD53C6">
        <w:t>n worden geboden</w:t>
      </w:r>
      <w:r w:rsidR="007F3630">
        <w:t>.</w:t>
      </w:r>
      <w:r w:rsidR="00545FD7" w:rsidRPr="00DF632C">
        <w:rPr>
          <w:rStyle w:val="Voetnootmarkering"/>
          <w:sz w:val="23"/>
          <w:szCs w:val="23"/>
        </w:rPr>
        <w:footnoteReference w:id="360"/>
      </w:r>
    </w:p>
    <w:p w:rsidR="005E1FDB" w:rsidRDefault="005E1FDB" w:rsidP="00CD53C6">
      <w:pPr>
        <w:pStyle w:val="Kop3"/>
      </w:pPr>
      <w:bookmarkStart w:id="62" w:name="_Toc495677917"/>
      <w:r>
        <w:t>4. Strafrechtelijke en administratieve sancties</w:t>
      </w:r>
      <w:bookmarkEnd w:id="62"/>
    </w:p>
    <w:p w:rsidR="005E1FDB" w:rsidRPr="00DF632C" w:rsidRDefault="005E1FDB" w:rsidP="00545FD7"/>
    <w:p w:rsidR="005E1FDB" w:rsidRDefault="001D12B7" w:rsidP="005E1FDB">
      <w:r w:rsidRPr="00CD53C6">
        <w:rPr>
          <w:b/>
        </w:rPr>
        <w:t>10</w:t>
      </w:r>
      <w:r w:rsidR="00E7776A" w:rsidRPr="00CD53C6">
        <w:rPr>
          <w:b/>
        </w:rPr>
        <w:t>6</w:t>
      </w:r>
      <w:r w:rsidR="00A4336F" w:rsidRPr="00CD53C6">
        <w:rPr>
          <w:b/>
        </w:rPr>
        <w:t>.</w:t>
      </w:r>
      <w:r w:rsidR="00A4336F" w:rsidRPr="00CD53C6">
        <w:tab/>
      </w:r>
      <w:r w:rsidR="00A17BD3">
        <w:t>I</w:t>
      </w:r>
      <w:r w:rsidR="00A4336F" w:rsidRPr="00CD53C6">
        <w:t>n de voorbije periode heeft de Raad van State er</w:t>
      </w:r>
      <w:r w:rsidR="00A17BD3">
        <w:t xml:space="preserve"> ook </w:t>
      </w:r>
      <w:r w:rsidR="00A4336F" w:rsidRPr="00CD53C6">
        <w:t xml:space="preserve">op gewezen dat het met terugwerkende kracht toepasselijk maken van bepalingen inzake opsporing, vervolging en bestraffing van misdrijven niet mogelijk is. Hetzelfde geldt voor administratieve geldboeten die strafrechtelijk zijn in de zin van artikel 6 </w:t>
      </w:r>
      <w:r w:rsidR="00E34117">
        <w:t>EVRM</w:t>
      </w:r>
      <w:r w:rsidR="00A4336F" w:rsidRPr="00CD53C6">
        <w:t xml:space="preserve">. </w:t>
      </w:r>
      <w:r w:rsidR="00B2012F">
        <w:t>Een</w:t>
      </w:r>
      <w:r w:rsidR="00B2012F" w:rsidRPr="00CD53C6">
        <w:t xml:space="preserve"> </w:t>
      </w:r>
      <w:r w:rsidR="00A4336F" w:rsidRPr="00CD53C6">
        <w:t>ontwerp dat bepaal</w:t>
      </w:r>
      <w:r w:rsidR="00B2012F">
        <w:t>de</w:t>
      </w:r>
      <w:r w:rsidR="00A4336F" w:rsidRPr="00CD53C6">
        <w:t xml:space="preserve"> dat de nieuwe hogere fiscale geldboete geldt vanaf het aanslagjaar 2016 is in strijd met artikel 7 EVRM en 15 IVBPR, die </w:t>
      </w:r>
      <w:r w:rsidR="00B2012F">
        <w:t>voorschrijven</w:t>
      </w:r>
      <w:r w:rsidR="00B2012F" w:rsidRPr="00CD53C6">
        <w:t xml:space="preserve"> </w:t>
      </w:r>
      <w:r w:rsidR="00A4336F" w:rsidRPr="00CD53C6">
        <w:t>dat geen zwaardere straf kan worden opgelegd dan die welke ten tijde van het begaan van het strafbare feit van toepassing was. Belastingplichtigen die op het ogenblik van de bekendmaking van de nieuwe regeling in het Belgisch Staatsblad reeds hun belastingaangifte voor het aanslagjaar 2016 hebben ingediend, maar de meldingsplicht niet hebben gerespecteerd, zouden immers op grond van de nieuwe regeling bloot staan aan een boete van 6.250 euro, terwijl op het moment van het indienen van hun aangifte de sanctie een boete van maximum 1.250 euro was.</w:t>
      </w:r>
      <w:r w:rsidR="00545FD7" w:rsidRPr="00DF632C">
        <w:rPr>
          <w:rStyle w:val="Voetnootmarkering"/>
        </w:rPr>
        <w:footnoteReference w:id="361"/>
      </w:r>
    </w:p>
    <w:p w:rsidR="005E1FDB" w:rsidRDefault="005E1FDB" w:rsidP="00CD53C6">
      <w:pPr>
        <w:pStyle w:val="Kop3"/>
      </w:pPr>
      <w:bookmarkStart w:id="63" w:name="_Toc495677918"/>
      <w:r>
        <w:t>5. Feitelijke terugwerkende kracht</w:t>
      </w:r>
      <w:bookmarkEnd w:id="63"/>
    </w:p>
    <w:p w:rsidR="005E1FDB" w:rsidRDefault="005E1FDB" w:rsidP="005E1FDB"/>
    <w:p w:rsidR="005E1FDB" w:rsidRDefault="005E1FDB" w:rsidP="005E1FDB">
      <w:r w:rsidRPr="00CD53C6">
        <w:rPr>
          <w:b/>
        </w:rPr>
        <w:t>1</w:t>
      </w:r>
      <w:r w:rsidR="00E7776A" w:rsidRPr="00CD53C6">
        <w:rPr>
          <w:b/>
        </w:rPr>
        <w:t>07</w:t>
      </w:r>
      <w:r w:rsidRPr="00CD53C6">
        <w:rPr>
          <w:b/>
          <w:sz w:val="23"/>
          <w:szCs w:val="23"/>
        </w:rPr>
        <w:t>.</w:t>
      </w:r>
      <w:r w:rsidRPr="00774F80">
        <w:rPr>
          <w:sz w:val="23"/>
          <w:szCs w:val="23"/>
        </w:rPr>
        <w:tab/>
      </w:r>
      <w:r w:rsidRPr="00774F80">
        <w:t xml:space="preserve">Door te </w:t>
      </w:r>
      <w:r w:rsidR="00B2012F">
        <w:t>bepalen</w:t>
      </w:r>
      <w:r w:rsidRPr="00774F80">
        <w:t xml:space="preserve"> dat het besluit in werking treedt op de datum van de goedkeuring ervan door de Vlaamse Regering, wordt feitelijk terugwerkende kracht verleend aan het te nemen besluit vermits het te nemen besluit noodzakelijkerwijze zal worden bekendgemaakt na de goedkeuring ervan. </w:t>
      </w:r>
      <w:r w:rsidR="00B2012F">
        <w:t>Ook al leek de terugwerkende kracht in dit geval wel verantwoord, toch merkte de Raad van State op dat het o</w:t>
      </w:r>
      <w:r w:rsidRPr="00774F80">
        <w:t xml:space="preserve">mwille van de rechtszekerheid en transparantie van de regelgeving aangewezen </w:t>
      </w:r>
      <w:r w:rsidR="00B2012F">
        <w:t xml:space="preserve">is </w:t>
      </w:r>
      <w:r w:rsidRPr="00774F80">
        <w:t xml:space="preserve">om te voorzien in een precieze datum van inwerkingtreding, in </w:t>
      </w:r>
      <w:r w:rsidRPr="00774F80">
        <w:lastRenderedPageBreak/>
        <w:t>plaats van te verwijzen naar de datum waarop de Vlaamse Regering het te nemen besluit heeft goedgekeurd</w:t>
      </w:r>
      <w:r w:rsidR="007F3630">
        <w:t>.</w:t>
      </w:r>
      <w:r w:rsidRPr="00DF632C">
        <w:rPr>
          <w:rStyle w:val="Voetnootmarkering"/>
        </w:rPr>
        <w:footnoteReference w:id="362"/>
      </w:r>
    </w:p>
    <w:p w:rsidR="005E1FDB" w:rsidRDefault="005E1FDB" w:rsidP="00CD53C6">
      <w:pPr>
        <w:pStyle w:val="Kop3"/>
      </w:pPr>
      <w:bookmarkStart w:id="64" w:name="_Toc495677919"/>
      <w:r>
        <w:t>6. Niet voor procedurebepalingen</w:t>
      </w:r>
      <w:bookmarkEnd w:id="64"/>
    </w:p>
    <w:p w:rsidR="005E1FDB" w:rsidRPr="00DF632C" w:rsidRDefault="005E1FDB" w:rsidP="005E1FDB"/>
    <w:p w:rsidR="00545FD7" w:rsidRDefault="00E7776A" w:rsidP="00545FD7">
      <w:r w:rsidRPr="00CD53C6">
        <w:rPr>
          <w:b/>
        </w:rPr>
        <w:t>108</w:t>
      </w:r>
      <w:r w:rsidR="005E1FDB" w:rsidRPr="00CD53C6">
        <w:rPr>
          <w:b/>
        </w:rPr>
        <w:t>.</w:t>
      </w:r>
      <w:r w:rsidR="005E1FDB" w:rsidRPr="00774F80">
        <w:tab/>
        <w:t>Procedurele bepalingen inzake het verkrijgen van attesten en bekwaamheidsbewijzen kunnen niet met terugwerkende kracht worden opgelegd, aangezien ze berusten op feitelijke handelingen en gebeurtenissen waarvoor de fictie van de terugwerkende kracht niet werkzaam is.</w:t>
      </w:r>
      <w:r w:rsidR="005E1FDB" w:rsidRPr="00DF632C">
        <w:rPr>
          <w:rStyle w:val="Voetnootmarkering"/>
        </w:rPr>
        <w:footnoteReference w:id="363"/>
      </w:r>
    </w:p>
    <w:p w:rsidR="005E1FDB" w:rsidRDefault="005E1FDB" w:rsidP="00CD53C6">
      <w:pPr>
        <w:pStyle w:val="Kop3"/>
      </w:pPr>
      <w:bookmarkStart w:id="65" w:name="_Toc495677920"/>
      <w:r>
        <w:t>7. Overgangsregeling als remedie</w:t>
      </w:r>
      <w:bookmarkEnd w:id="65"/>
    </w:p>
    <w:p w:rsidR="005E1FDB" w:rsidRPr="00DF632C" w:rsidRDefault="005E1FDB" w:rsidP="00545FD7"/>
    <w:p w:rsidR="00545FD7" w:rsidRDefault="001D12B7" w:rsidP="00545FD7">
      <w:r w:rsidRPr="00CD53C6">
        <w:rPr>
          <w:b/>
        </w:rPr>
        <w:t>109</w:t>
      </w:r>
      <w:r w:rsidR="00A4336F" w:rsidRPr="00CD53C6">
        <w:rPr>
          <w:b/>
        </w:rPr>
        <w:t>.</w:t>
      </w:r>
      <w:r w:rsidR="00A4336F" w:rsidRPr="00CD53C6">
        <w:tab/>
        <w:t>Soms aanvaardt de Raad van State de terugwerkende kracht, maar wijst hij erop dat er dan voorzien moet worden in een overgangsregeling</w:t>
      </w:r>
      <w:r w:rsidR="007334DD">
        <w:t xml:space="preserve"> (zie ook nr. </w:t>
      </w:r>
      <w:r w:rsidR="007334DD" w:rsidRPr="00CD53C6">
        <w:rPr>
          <w:highlight w:val="yellow"/>
        </w:rPr>
        <w:t>101</w:t>
      </w:r>
      <w:r w:rsidR="007334DD">
        <w:t>)</w:t>
      </w:r>
      <w:r w:rsidR="00A4336F" w:rsidRPr="00CD53C6">
        <w:t xml:space="preserve">. </w:t>
      </w:r>
      <w:r w:rsidR="007334DD">
        <w:t xml:space="preserve">Zo werd in een ontwerp van </w:t>
      </w:r>
      <w:r w:rsidR="00A4336F" w:rsidRPr="00CD53C6">
        <w:t xml:space="preserve">koninklijk besluit van 25 november 1991 </w:t>
      </w:r>
      <w:r w:rsidR="007334DD">
        <w:t xml:space="preserve">bepaald </w:t>
      </w:r>
      <w:r w:rsidR="00A4336F" w:rsidRPr="00CD53C6">
        <w:t xml:space="preserve">dat </w:t>
      </w:r>
      <w:r w:rsidR="007334DD">
        <w:t>een</w:t>
      </w:r>
      <w:r w:rsidR="00A4336F" w:rsidRPr="00CD53C6">
        <w:t xml:space="preserve"> werkloze op zijn vraag vrijgesteld kan worden van de verplichting om beschikbaar te zijn. De werkloze die meent aan de voorwaarden hiervoor te voldoen (hetzij aan de leeftijdsvoorwaarde, hetzij aan de voorwaarde van het beroepsverleden) dient voorafgaandelijk een vraag om vrijstelling te doen. Deze vraag om vrijstelling kan echter, ingevolge de terugwerkende kracht van het ontwerpbesluit, ook betrekking hebben op de periode die loopt van 1 januari 2015 tot de datum van bekendmaking van voormeld besluit in het Belgisch Staatsblad. De steller van het ontwerp moe</w:t>
      </w:r>
      <w:r w:rsidR="007334DD">
        <w:t>s</w:t>
      </w:r>
      <w:r w:rsidR="00A4336F" w:rsidRPr="00CD53C6">
        <w:t xml:space="preserve">t </w:t>
      </w:r>
      <w:r w:rsidR="007334DD">
        <w:t xml:space="preserve">volgens de Raad van State </w:t>
      </w:r>
      <w:r w:rsidR="00A4336F" w:rsidRPr="00CD53C6">
        <w:t xml:space="preserve">nagaan of er met betrekking tot de aanvraagprocedure voor vrijstellingen die betrekking hebben op de periode die loopt van 1 januari 2015 tot de datum van bekendmaking van het ontworpen besluit in het Belgisch Staatsblad niet in één of meerdere overgangsbepalingen </w:t>
      </w:r>
      <w:r w:rsidR="007334DD">
        <w:t xml:space="preserve">kon </w:t>
      </w:r>
      <w:r w:rsidR="00A4336F" w:rsidRPr="00CD53C6">
        <w:t>worden voorzien. Zo k</w:t>
      </w:r>
      <w:r w:rsidR="007334DD">
        <w:t>o</w:t>
      </w:r>
      <w:r w:rsidR="00A4336F" w:rsidRPr="00CD53C6">
        <w:t>n worden gedacht aan de mogelijkheid voor de werkloze om zijn vraag om vrijstelling die betrekking heeft op de periode van 1 januari 2015 tot de datum van bekendmaking van het ontworpen besluit in het Belgisch Staatsblad, nog in te dienen binnen een redelijke termijn die ingaat op laatstgenoemde datum</w:t>
      </w:r>
      <w:r w:rsidR="007F3630">
        <w:t>.</w:t>
      </w:r>
      <w:r w:rsidR="00545FD7" w:rsidRPr="00DF632C">
        <w:rPr>
          <w:rStyle w:val="Voetnootmarkering"/>
        </w:rPr>
        <w:footnoteReference w:id="364"/>
      </w:r>
    </w:p>
    <w:p w:rsidR="005E1FDB" w:rsidRDefault="005E1FDB" w:rsidP="00CD53C6">
      <w:pPr>
        <w:pStyle w:val="Kop3"/>
      </w:pPr>
      <w:bookmarkStart w:id="66" w:name="_Toc495677921"/>
      <w:r>
        <w:t>8. Eerdere communicatie als verantwoording?</w:t>
      </w:r>
      <w:bookmarkEnd w:id="66"/>
    </w:p>
    <w:p w:rsidR="005E1FDB" w:rsidRPr="00DF632C" w:rsidRDefault="005E1FDB" w:rsidP="00545FD7"/>
    <w:p w:rsidR="00A17BD3" w:rsidRDefault="001D12B7" w:rsidP="00A03BFF">
      <w:r w:rsidRPr="00CD53C6">
        <w:rPr>
          <w:b/>
        </w:rPr>
        <w:t>110</w:t>
      </w:r>
      <w:r w:rsidR="00A4336F" w:rsidRPr="00CD53C6">
        <w:rPr>
          <w:b/>
        </w:rPr>
        <w:t>.</w:t>
      </w:r>
      <w:r w:rsidR="00A4336F" w:rsidRPr="00CD53C6">
        <w:tab/>
        <w:t xml:space="preserve">Vaak moet de Raad van State keer op keer dezelfde argumenten voor de terugwerkende kracht weerleggen. In </w:t>
      </w:r>
      <w:r w:rsidR="007334DD">
        <w:t>een advies</w:t>
      </w:r>
      <w:r w:rsidR="00A4336F" w:rsidRPr="00CD53C6">
        <w:t xml:space="preserve"> w</w:t>
      </w:r>
      <w:r w:rsidR="007334DD">
        <w:t>ee</w:t>
      </w:r>
      <w:r w:rsidR="00A4336F" w:rsidRPr="00CD53C6">
        <w:t>s de Raad van State erop dat de omstandigheid dat de datum waarop besparingen moeten worden toegepast, wordt afgesproken op een begrotingsconclaaf, en dat de noodzaak om over sommige bepalingen een voorafgaand advies in te winnen van de Nationale Raad voor Ziekenhuisvoorzieningen, en het gegeven dat de sector eventueel vooraf werd geïnformeerd over mogelijke toekomstige wijzigingen, op zich geen voldoende verantwoording kunnen vormen voor de retroactiviteit van wijzigingen van het ziekenhuisbudget</w:t>
      </w:r>
      <w:r w:rsidR="007F3630">
        <w:t>.</w:t>
      </w:r>
      <w:r w:rsidR="00545FD7" w:rsidRPr="00DF632C">
        <w:rPr>
          <w:rStyle w:val="Voetnootmarkering"/>
        </w:rPr>
        <w:footnoteReference w:id="365"/>
      </w:r>
      <w:r w:rsidR="00545FD7" w:rsidRPr="00DF632C">
        <w:t xml:space="preserve"> </w:t>
      </w:r>
    </w:p>
    <w:p w:rsidR="00A17BD3" w:rsidRDefault="00A17BD3" w:rsidP="00A03BFF"/>
    <w:p w:rsidR="00545FD7" w:rsidRPr="00DF632C" w:rsidRDefault="00545FD7" w:rsidP="00A03BFF">
      <w:r w:rsidRPr="00DF632C">
        <w:t>In een ander advies moe</w:t>
      </w:r>
      <w:r w:rsidR="007F3630">
        <w:t>s</w:t>
      </w:r>
      <w:r w:rsidRPr="00DF632C">
        <w:t xml:space="preserve">t de Raad van State een voorbehoud formuleren bij de terugwerkende kracht bij gebreke aan officiële kennisgeving aan de betrokkenen. De Raad van State </w:t>
      </w:r>
      <w:r w:rsidR="007F3630">
        <w:t xml:space="preserve">verklaarde </w:t>
      </w:r>
      <w:r w:rsidRPr="00DF632C">
        <w:t xml:space="preserve">niet over het vereiste inzicht in de feitelijke gegevens </w:t>
      </w:r>
      <w:r w:rsidR="007F3630">
        <w:t xml:space="preserve">te beschikken </w:t>
      </w:r>
      <w:r w:rsidRPr="00DF632C">
        <w:t>om te kunnen ui</w:t>
      </w:r>
      <w:r w:rsidR="00A4336F" w:rsidRPr="00CD53C6">
        <w:t xml:space="preserve">tmaken of effectief alle betrokken landbouwers met kennis van zaken gebruik </w:t>
      </w:r>
      <w:r w:rsidR="00A4336F" w:rsidRPr="00CD53C6">
        <w:lastRenderedPageBreak/>
        <w:t>hebben kunnen maken van de mogelijkheden die de ontworpen regeling biedt. Uit de ruime mededeling van de indieningsdatum k</w:t>
      </w:r>
      <w:r w:rsidR="007F3630">
        <w:t>o</w:t>
      </w:r>
      <w:r w:rsidR="00A4336F" w:rsidRPr="00CD53C6">
        <w:t>n niet worden afgeleid dat de betrokken landbouwers zich daardoor gebonden moesten achten in afwachting van regelgeving die op dat tijdstip nog niet bestond</w:t>
      </w:r>
      <w:r w:rsidR="007F3630">
        <w:t>.</w:t>
      </w:r>
      <w:r w:rsidRPr="00DF632C">
        <w:rPr>
          <w:rStyle w:val="Voetnootmarkering"/>
        </w:rPr>
        <w:footnoteReference w:id="366"/>
      </w:r>
    </w:p>
    <w:p w:rsidR="005E1FDB" w:rsidRPr="00DF632C" w:rsidRDefault="005E1FDB" w:rsidP="00545FD7"/>
    <w:p w:rsidR="00545FD7" w:rsidRPr="00DF632C" w:rsidRDefault="001D12B7" w:rsidP="00A03BFF">
      <w:r w:rsidRPr="00CD53C6">
        <w:rPr>
          <w:b/>
        </w:rPr>
        <w:t>111</w:t>
      </w:r>
      <w:r w:rsidR="00A4336F" w:rsidRPr="00CD53C6">
        <w:rPr>
          <w:b/>
        </w:rPr>
        <w:t>.</w:t>
      </w:r>
      <w:r w:rsidR="00A4336F" w:rsidRPr="00CD53C6">
        <w:tab/>
        <w:t xml:space="preserve">Door de trage instemmingsprocedure krijgen bepaalde verdragen terugwerkende kracht op het ogenblik dat de instemmingswet aan het parlement wordt voorgelegd. Zo heeft het </w:t>
      </w:r>
      <w:r w:rsidR="00157669">
        <w:t xml:space="preserve">zogenaamde </w:t>
      </w:r>
      <w:r w:rsidR="00A4336F" w:rsidRPr="00CD53C6">
        <w:t xml:space="preserve">FATCA-akkoord reeds betrekking op de uitwisseling van financiële gegevens van 2014 (zie artikel 3 van het akkoord), terwijl de instemmingswet pas in september 2016 aan de Raad van State (en daarna het parlement) werd voorgelegd. Op de vraag wat de verantwoording is voor de feitelijke terugwerkende kracht die aan het akkoord wordt verleend, antwoordde de gemachtigde het volgende: “De FATCA-overeenkomst werd ondertekend op 23 april 2014. De tekst is onmiddellijk publiek gemaakt zowel door het kabinet van de Minister van Financiën als door de FOD Financiën. De legistieke procedure heeft zijn tijd nodig gehad aangezien België had besloten om ook de (later goedgekeurde) CRS-standaard en de betreffende Europese richtlijn op te nemen in de Wet van 16 december 2015.” </w:t>
      </w:r>
      <w:r w:rsidR="00A17BD3">
        <w:t xml:space="preserve">Het </w:t>
      </w:r>
      <w:r w:rsidR="00A4336F" w:rsidRPr="00CD53C6">
        <w:t xml:space="preserve">onmiddellijk </w:t>
      </w:r>
      <w:r w:rsidR="00A17BD3">
        <w:t xml:space="preserve">publiek </w:t>
      </w:r>
      <w:r w:rsidR="00A4336F" w:rsidRPr="00CD53C6">
        <w:t>mak</w:t>
      </w:r>
      <w:r w:rsidR="00A17BD3">
        <w:t>e</w:t>
      </w:r>
      <w:r w:rsidR="00A4336F" w:rsidRPr="00CD53C6">
        <w:t>n van de FATCA-overeenkomst volst</w:t>
      </w:r>
      <w:r w:rsidR="00157669">
        <w:t>ond</w:t>
      </w:r>
      <w:r w:rsidR="00A4336F" w:rsidRPr="00CD53C6">
        <w:t xml:space="preserve"> volgens de Raad van State evenwel niet om die terugwerkende kracht te verantwoorden. Om dezelfde redenen als bij de wet van 16 december 2015, waarbij werd geanticipeerd op de afspraken in het FATCA-akkoord, is de feitelijke terugwerkende kracht in het FATCA-akkoord problematisch. Ook indien wordt aangenomen dat er geen formele terugwerkende kracht is, blijft het zo dat financiële gegevens van 2014 die volgens het toentertijd geldende recht niet met de Verenigde Staten konden worden uitgewisseld, volgens het FATCA-akkoord wel kunnen worden uitgewisseld en zelfs reeds werden uitgewisseld, gelet op hetgeen wordt bepaald in artikel 3 van het akkoord. De stellers van het ontwerp moe</w:t>
      </w:r>
      <w:r w:rsidR="00157669">
        <w:t>s</w:t>
      </w:r>
      <w:r w:rsidR="00A4336F" w:rsidRPr="00CD53C6">
        <w:t xml:space="preserve">ten </w:t>
      </w:r>
      <w:r w:rsidR="00157669">
        <w:t xml:space="preserve">volgens de Raad </w:t>
      </w:r>
      <w:r w:rsidR="00A4336F" w:rsidRPr="00CD53C6">
        <w:t>dan ook in de memorie van toelichting uiteenzetten welke uitzonderlijke omstandigheden of dwingende motieven van algemeen belang hiervoor een verantwoording bieden</w:t>
      </w:r>
      <w:r w:rsidR="00187BE4">
        <w:t>.</w:t>
      </w:r>
      <w:r w:rsidR="00545FD7" w:rsidRPr="00DF632C">
        <w:rPr>
          <w:rStyle w:val="Voetnootmarkering"/>
        </w:rPr>
        <w:footnoteReference w:id="367"/>
      </w:r>
    </w:p>
    <w:p w:rsidR="00545FD7" w:rsidRPr="00DF632C" w:rsidRDefault="00A4336F" w:rsidP="00545FD7">
      <w:pPr>
        <w:pStyle w:val="Kop1"/>
      </w:pPr>
      <w:bookmarkStart w:id="67" w:name="_Toc495677922"/>
      <w:r w:rsidRPr="00CD53C6">
        <w:t>XII. Rechtszekerheids- en vertrouwensbeginsel</w:t>
      </w:r>
      <w:bookmarkEnd w:id="67"/>
    </w:p>
    <w:p w:rsidR="00545FD7" w:rsidRPr="00DF632C" w:rsidRDefault="00545FD7" w:rsidP="001B6036">
      <w:pPr>
        <w:rPr>
          <w:szCs w:val="24"/>
        </w:rPr>
      </w:pPr>
    </w:p>
    <w:p w:rsidR="002C770E" w:rsidRDefault="001D12B7" w:rsidP="00545FD7">
      <w:r w:rsidRPr="00CD53C6">
        <w:rPr>
          <w:b/>
        </w:rPr>
        <w:t>11</w:t>
      </w:r>
      <w:r w:rsidR="00E7776A" w:rsidRPr="00CD53C6">
        <w:rPr>
          <w:b/>
        </w:rPr>
        <w:t>2</w:t>
      </w:r>
      <w:r w:rsidR="00A4336F" w:rsidRPr="00CD53C6">
        <w:rPr>
          <w:b/>
        </w:rPr>
        <w:t>.</w:t>
      </w:r>
      <w:r w:rsidR="00A4336F" w:rsidRPr="00CD53C6">
        <w:rPr>
          <w:b/>
        </w:rPr>
        <w:tab/>
      </w:r>
      <w:r w:rsidR="00A4336F" w:rsidRPr="00CD53C6">
        <w:t>In de vorige kroniek werd reeds</w:t>
      </w:r>
      <w:r w:rsidR="00004ECF">
        <w:t xml:space="preserve"> een advies besproken waarin werd uiteengezet</w:t>
      </w:r>
      <w:r w:rsidR="00A4336F" w:rsidRPr="00CD53C6">
        <w:t xml:space="preserve"> dat het opheffen van de regeling inzake de renovatiepremie met ingang van 1 november 2014 en zonder adequate overgangsregeling op gespannen voet staat met het rechtszekerheidsbeginsel en het vertrouwensbeginsel</w:t>
      </w:r>
      <w:r w:rsidR="00004ECF">
        <w:t>.</w:t>
      </w:r>
      <w:r w:rsidR="00545FD7" w:rsidRPr="00DF632C">
        <w:rPr>
          <w:rStyle w:val="Voetnootmarkering"/>
        </w:rPr>
        <w:footnoteReference w:id="368"/>
      </w:r>
      <w:r w:rsidR="00545FD7" w:rsidRPr="00DF632C">
        <w:t xml:space="preserve"> Deze renovatiepremie w</w:t>
      </w:r>
      <w:r w:rsidR="00A121A7">
        <w:t>e</w:t>
      </w:r>
      <w:r w:rsidR="00545FD7" w:rsidRPr="00DF632C">
        <w:t xml:space="preserve">rd in een </w:t>
      </w:r>
      <w:r w:rsidR="00CB1A24">
        <w:t xml:space="preserve">later </w:t>
      </w:r>
      <w:r w:rsidR="00545FD7" w:rsidRPr="00DF632C">
        <w:t>ontwerp in gewijzigde vorm opnieuw ingevoerd</w:t>
      </w:r>
      <w:r w:rsidR="005E5306">
        <w:t>,</w:t>
      </w:r>
      <w:r w:rsidR="00545FD7" w:rsidRPr="00DF632C">
        <w:t xml:space="preserve"> zonder </w:t>
      </w:r>
      <w:r w:rsidR="005E5306">
        <w:t>dat werd</w:t>
      </w:r>
      <w:r w:rsidR="00545FD7" w:rsidRPr="00DF632C">
        <w:t xml:space="preserve"> voorzien in een overgangsregeling</w:t>
      </w:r>
      <w:r w:rsidR="00A4336F" w:rsidRPr="00CD53C6">
        <w:t xml:space="preserve"> voor verbintenissen aangegaan of werkzaamheden uitgevoerd vóór de inwerkingtreding van het te nemen besluit. </w:t>
      </w:r>
      <w:r w:rsidR="00176D20">
        <w:t>D</w:t>
      </w:r>
      <w:r w:rsidR="00A4336F" w:rsidRPr="00CD53C6">
        <w:t>e Raad van State</w:t>
      </w:r>
      <w:r w:rsidR="00176D20">
        <w:t xml:space="preserve"> maakte</w:t>
      </w:r>
      <w:r w:rsidR="008718C9">
        <w:t xml:space="preserve"> </w:t>
      </w:r>
      <w:r w:rsidR="00A4336F" w:rsidRPr="00CD53C6">
        <w:t>een onderscheid tussen, enerzijds, aanvragers die ná 1 december 2014</w:t>
      </w:r>
      <w:r w:rsidR="00A4336F" w:rsidRPr="00CD53C6">
        <w:rPr>
          <w:sz w:val="16"/>
          <w:szCs w:val="16"/>
        </w:rPr>
        <w:t xml:space="preserve">, </w:t>
      </w:r>
      <w:r w:rsidR="00A4336F" w:rsidRPr="00CD53C6">
        <w:t>i.e. de datum van inwerkingtreding van het aangenomen opheffingsbesluit,</w:t>
      </w:r>
      <w:r w:rsidR="00A4336F" w:rsidRPr="00CD53C6">
        <w:rPr>
          <w:sz w:val="16"/>
          <w:szCs w:val="16"/>
        </w:rPr>
        <w:t xml:space="preserve"> </w:t>
      </w:r>
      <w:r w:rsidR="00A4336F" w:rsidRPr="00CD53C6">
        <w:t xml:space="preserve">een aannemingsovereenkomst hebben gesloten of materialen hebben besteld en, anderzijds, aanvragers die vóór die datum een dergelijke overeenkomst hebben gesloten of materialen hebben besteld. Voor de aanvragers die ná 1 december 2014 een aannemingsovereenkomst hebben gesloten of materialen hebben besteld, </w:t>
      </w:r>
      <w:r w:rsidR="00176D20">
        <w:t xml:space="preserve">stelde de Raad van State vast </w:t>
      </w:r>
      <w:r w:rsidR="00A4336F" w:rsidRPr="00CD53C6">
        <w:t xml:space="preserve">dat ze hebben gehandeld zonder dat er, op het ogenblik van het sluiten van die overeenkomst of het bestellen van materialen, een regeling in werking was die in een tegemoetkoming voorzag voor de bedoelde werken. De eerdere verklaringen van de </w:t>
      </w:r>
      <w:r w:rsidR="00176D20">
        <w:t>m</w:t>
      </w:r>
      <w:r w:rsidR="00A4336F" w:rsidRPr="00CD53C6">
        <w:t xml:space="preserve">inister als zou een gelijkwaardig voordeel </w:t>
      </w:r>
      <w:r w:rsidR="00A4336F" w:rsidRPr="00CD53C6">
        <w:lastRenderedPageBreak/>
        <w:t>in het vooruitzicht worden gesteld, k</w:t>
      </w:r>
      <w:r w:rsidR="00176D20">
        <w:t>o</w:t>
      </w:r>
      <w:r w:rsidR="00A4336F" w:rsidRPr="00CD53C6">
        <w:t>n</w:t>
      </w:r>
      <w:r w:rsidR="00176D20">
        <w:t>d</w:t>
      </w:r>
      <w:r w:rsidR="00A4336F" w:rsidRPr="00CD53C6">
        <w:t xml:space="preserve">en dan ook niet volstaan om in hoofde van die aanvragers een rechtmatige verwachting te doen ontstaan dat hun aanvraag zal worden behandeld volgens de regeling die van toepassing was vóór de opheffing van </w:t>
      </w:r>
      <w:r w:rsidR="00176D20">
        <w:t>de renovatiepremie</w:t>
      </w:r>
      <w:r w:rsidR="00A4336F" w:rsidRPr="00CD53C6">
        <w:t xml:space="preserve">. De situatie is anders wat de aanvragers betreft die vóór 1 december 2014 een aannemingsovereenkomst hebben gesloten of materialen hebben besteld. </w:t>
      </w:r>
    </w:p>
    <w:p w:rsidR="002C770E" w:rsidRDefault="002C770E" w:rsidP="00545FD7"/>
    <w:p w:rsidR="00545FD7" w:rsidRPr="00DF632C" w:rsidRDefault="00A4336F" w:rsidP="00545FD7">
      <w:r w:rsidRPr="00CD53C6">
        <w:t>Om tegemoet te komen aan de eerder</w:t>
      </w:r>
      <w:r w:rsidR="00176D20">
        <w:t>e</w:t>
      </w:r>
      <w:r w:rsidRPr="00CD53C6">
        <w:t xml:space="preserve"> kritiek in </w:t>
      </w:r>
      <w:r w:rsidR="00176D20">
        <w:t>het advies over het vorige ontwerp</w:t>
      </w:r>
      <w:r w:rsidRPr="00CD53C6">
        <w:t xml:space="preserve">, werd </w:t>
      </w:r>
      <w:r w:rsidR="00176D20">
        <w:t>in het nieuwe ontwerp</w:t>
      </w:r>
      <w:r w:rsidR="009F5A1D">
        <w:t xml:space="preserve"> </w:t>
      </w:r>
      <w:r w:rsidRPr="00CD53C6">
        <w:t xml:space="preserve">bepaald dat het besluit van 2 maart 2007 van kracht blijft voor de aanvragen ontvangen vóór 1 december 2014 voor zover de op het aanmeldingsformulier vermelde aannemingsovereenkomsten of de bestellingen dateren van vóór de publicatiedatum van het besluit. De facturen die het gevolg waren van de met toepassing van die bepaling aangemelde contracten of bestellingen moesten vóór 1 maart 2015 ter vervollediging van de aanvraag worden ingediend. De Raad van State stelt vast dat het voorgaande niet wegneemt dat aanvragers die een aannemingsovereenkomst hebben gesloten </w:t>
      </w:r>
      <w:r w:rsidR="002C770E">
        <w:t xml:space="preserve">of bestelling hebben geplaatst </w:t>
      </w:r>
      <w:r w:rsidRPr="00CD53C6">
        <w:t>vóór 1 december 2014, en die – om redenen waarop zij geen impact hadden – niet in staat zijn geweest om vóór 1 maart 2015 de facturen die het gevolg waren van die overeenkomst</w:t>
      </w:r>
      <w:r w:rsidR="009670CD">
        <w:t>,</w:t>
      </w:r>
      <w:r w:rsidR="00545FD7" w:rsidRPr="00DF632C">
        <w:rPr>
          <w:rStyle w:val="Voetnootmarkering"/>
        </w:rPr>
        <w:footnoteReference w:id="369"/>
      </w:r>
      <w:r w:rsidR="00545FD7" w:rsidRPr="00DF632C">
        <w:rPr>
          <w:sz w:val="16"/>
          <w:szCs w:val="16"/>
        </w:rPr>
        <w:t xml:space="preserve"> </w:t>
      </w:r>
      <w:r w:rsidRPr="00CD53C6">
        <w:t>in te dienen, geen gebruik hebben kunnen maken van die overgangsregeling. Minstens voor deze categorie van aanvragers zal alsnog in een overgangsregeling moeten worden voorzien</w:t>
      </w:r>
      <w:r w:rsidR="009670CD">
        <w:t>.</w:t>
      </w:r>
      <w:r w:rsidR="00545FD7" w:rsidRPr="00DF632C">
        <w:rPr>
          <w:rStyle w:val="Voetnootmarkering"/>
        </w:rPr>
        <w:footnoteReference w:id="370"/>
      </w:r>
    </w:p>
    <w:p w:rsidR="00545FD7" w:rsidRPr="00DF632C" w:rsidRDefault="00A4336F" w:rsidP="00545FD7">
      <w:pPr>
        <w:pStyle w:val="Kop1"/>
      </w:pPr>
      <w:bookmarkStart w:id="68" w:name="_Toc495677923"/>
      <w:r w:rsidRPr="00CD53C6">
        <w:t>XI</w:t>
      </w:r>
      <w:r w:rsidR="006739FB">
        <w:t>II</w:t>
      </w:r>
      <w:r w:rsidRPr="00CD53C6">
        <w:t>. Zorgvuldigheids- en evenredigheidsbeginsel</w:t>
      </w:r>
      <w:bookmarkEnd w:id="68"/>
    </w:p>
    <w:p w:rsidR="00545FD7" w:rsidRPr="00DF632C" w:rsidRDefault="00545FD7" w:rsidP="00545FD7">
      <w:pPr>
        <w:autoSpaceDE w:val="0"/>
        <w:autoSpaceDN w:val="0"/>
        <w:adjustRightInd w:val="0"/>
      </w:pPr>
    </w:p>
    <w:p w:rsidR="0096113B" w:rsidRDefault="001D12B7" w:rsidP="00545FD7">
      <w:r w:rsidRPr="00CD53C6">
        <w:rPr>
          <w:b/>
        </w:rPr>
        <w:t>11</w:t>
      </w:r>
      <w:r w:rsidR="009670CD" w:rsidRPr="00CD53C6">
        <w:rPr>
          <w:b/>
        </w:rPr>
        <w:t>3</w:t>
      </w:r>
      <w:r w:rsidR="00A4336F" w:rsidRPr="00CD53C6">
        <w:rPr>
          <w:b/>
        </w:rPr>
        <w:t>.</w:t>
      </w:r>
      <w:r w:rsidR="00A4336F" w:rsidRPr="00CD53C6">
        <w:tab/>
        <w:t xml:space="preserve">De Raad van State moet zich in haar adviezen beperken tot de </w:t>
      </w:r>
      <w:r w:rsidR="00F85292">
        <w:t>juridische toetsing</w:t>
      </w:r>
      <w:r w:rsidR="00F85292" w:rsidRPr="00CD53C6">
        <w:t xml:space="preserve"> </w:t>
      </w:r>
      <w:r w:rsidR="00A4336F" w:rsidRPr="00CD53C6">
        <w:t xml:space="preserve">van de voorgenomen regelgeving en moet zich dus in beginsel onthouden van opportuniteitsoordelen. Recht is echter geen waardenvrije wetenschap die zich in een maatschappelijk vacuüm afspeelt, en via open juridische beginselen als zorgvuldigheid en evenredigheid kan de Raad niettemin de regelgevers aanzetten om hun </w:t>
      </w:r>
      <w:r w:rsidR="00F85292">
        <w:t>werk nog eens te heroverwegen</w:t>
      </w:r>
      <w:r w:rsidR="00A4336F" w:rsidRPr="00CD53C6">
        <w:t>.</w:t>
      </w:r>
    </w:p>
    <w:p w:rsidR="004C4087" w:rsidRDefault="004C4087" w:rsidP="00545FD7"/>
    <w:p w:rsidR="004C4087" w:rsidRPr="00262AA8" w:rsidRDefault="002A7EE6" w:rsidP="00CD53C6">
      <w:pPr>
        <w:pStyle w:val="Kop2"/>
        <w:rPr>
          <w:lang w:val="nl-BE"/>
        </w:rPr>
      </w:pPr>
      <w:bookmarkStart w:id="69" w:name="_Toc495677924"/>
      <w:r w:rsidRPr="00262AA8">
        <w:rPr>
          <w:lang w:val="nl-BE"/>
        </w:rPr>
        <w:t>A. Heroverwegen en motiveren</w:t>
      </w:r>
      <w:bookmarkEnd w:id="69"/>
    </w:p>
    <w:p w:rsidR="00545FD7" w:rsidRPr="00DF632C" w:rsidRDefault="00A4336F" w:rsidP="00545FD7">
      <w:r w:rsidRPr="00CD53C6">
        <w:t xml:space="preserve"> </w:t>
      </w:r>
    </w:p>
    <w:p w:rsidR="00545FD7" w:rsidRDefault="005E5EF4" w:rsidP="00545FD7">
      <w:r w:rsidRPr="00CD53C6">
        <w:rPr>
          <w:b/>
        </w:rPr>
        <w:t>11</w:t>
      </w:r>
      <w:r>
        <w:rPr>
          <w:b/>
        </w:rPr>
        <w:t>4</w:t>
      </w:r>
      <w:r w:rsidRPr="00CD53C6">
        <w:rPr>
          <w:b/>
        </w:rPr>
        <w:t>.</w:t>
      </w:r>
      <w:r w:rsidRPr="00CD53C6">
        <w:tab/>
      </w:r>
      <w:r w:rsidR="00A4336F" w:rsidRPr="00CD53C6">
        <w:t xml:space="preserve">Een eerste techniek bestaat erin om van de stellers van het ontwerp een uitgebreidere </w:t>
      </w:r>
      <w:r w:rsidR="00F85292">
        <w:t xml:space="preserve">toelichting of </w:t>
      </w:r>
      <w:r w:rsidR="00A4336F" w:rsidRPr="00CD53C6">
        <w:t>verantwoording te eisen, iets wat omwille van het internationale verplichtingen in de toekomst ook bij reglementaire besluiten de norm moet worden</w:t>
      </w:r>
      <w:r w:rsidR="00245222">
        <w:t xml:space="preserve"> (zie ook </w:t>
      </w:r>
      <w:r w:rsidR="00245222" w:rsidRPr="00CD53C6">
        <w:rPr>
          <w:highlight w:val="yellow"/>
        </w:rPr>
        <w:t>nr. 46</w:t>
      </w:r>
      <w:r w:rsidR="00245222">
        <w:t>)</w:t>
      </w:r>
      <w:r w:rsidR="00A4336F" w:rsidRPr="00CD53C6">
        <w:t>.</w:t>
      </w:r>
      <w:r w:rsidR="00545FD7" w:rsidRPr="00DF632C">
        <w:t xml:space="preserve"> Zo wees de Raad erop dat wanneer een ongelijke behandeling niet volgt uit omgezette richtlijn z</w:t>
      </w:r>
      <w:r w:rsidR="00A4336F" w:rsidRPr="00CD53C6">
        <w:t>elf, maar het gevolg is van keuzes van de omzettende overheid</w:t>
      </w:r>
      <w:r w:rsidR="00545FD7" w:rsidRPr="00DF632C">
        <w:rPr>
          <w:rStyle w:val="Voetnootmarkering"/>
        </w:rPr>
        <w:footnoteReference w:id="371"/>
      </w:r>
      <w:r w:rsidR="00545FD7" w:rsidRPr="00DF632C">
        <w:t xml:space="preserve"> of van verdergaande nationale maatregelen</w:t>
      </w:r>
      <w:r w:rsidR="00245222">
        <w:t>,</w:t>
      </w:r>
      <w:r w:rsidR="00545FD7" w:rsidRPr="00DF632C">
        <w:rPr>
          <w:rStyle w:val="Voetnootmarkering"/>
        </w:rPr>
        <w:footnoteReference w:id="372"/>
      </w:r>
      <w:r w:rsidR="00545FD7" w:rsidRPr="00DF632C">
        <w:t xml:space="preserve"> een bijkomende verantwoording van die ongelijke behandeling essentieel is. In sommige gevallen </w:t>
      </w:r>
      <w:r w:rsidR="007327DD">
        <w:t>laat</w:t>
      </w:r>
      <w:r w:rsidR="00545FD7" w:rsidRPr="00DF632C">
        <w:t xml:space="preserve"> de Raad </w:t>
      </w:r>
      <w:r w:rsidR="007327DD">
        <w:t>blijken</w:t>
      </w:r>
      <w:r w:rsidR="00545FD7" w:rsidRPr="00DF632C">
        <w:t xml:space="preserve"> dat ernstig kan worden betwij</w:t>
      </w:r>
      <w:r w:rsidR="00A4336F" w:rsidRPr="00CD53C6">
        <w:t xml:space="preserve">feld of </w:t>
      </w:r>
      <w:r w:rsidR="00A4336F" w:rsidRPr="00CD53C6">
        <w:lastRenderedPageBreak/>
        <w:t>de verantwoording wel bestaat, zoals</w:t>
      </w:r>
      <w:r w:rsidR="00810E17">
        <w:t xml:space="preserve"> het geval was</w:t>
      </w:r>
      <w:r w:rsidR="00A4336F" w:rsidRPr="00CD53C6">
        <w:t xml:space="preserve"> </w:t>
      </w:r>
      <w:r w:rsidR="007327DD">
        <w:t>voor</w:t>
      </w:r>
      <w:r w:rsidR="00A4336F" w:rsidRPr="00CD53C6">
        <w:t xml:space="preserve"> een weinig relevant onderscheid op basis van de manier waarop een internationale expertencommissie werd opgericht</w:t>
      </w:r>
      <w:r w:rsidR="007327DD">
        <w:t>,</w:t>
      </w:r>
      <w:r w:rsidR="00A4336F" w:rsidRPr="00CD53C6">
        <w:t xml:space="preserve"> dat </w:t>
      </w:r>
      <w:r w:rsidR="007327DD">
        <w:t>tot</w:t>
      </w:r>
      <w:r w:rsidR="007327DD" w:rsidRPr="00CD53C6">
        <w:t xml:space="preserve"> </w:t>
      </w:r>
      <w:r w:rsidR="00A4336F" w:rsidRPr="00CD53C6">
        <w:t xml:space="preserve">gevolg had dat onkosten van de experten </w:t>
      </w:r>
      <w:r w:rsidR="00810E17">
        <w:t xml:space="preserve">al dan </w:t>
      </w:r>
      <w:r w:rsidR="00A4336F" w:rsidRPr="00CD53C6">
        <w:t>niet zouden worden terugbetaald.</w:t>
      </w:r>
      <w:r w:rsidR="00545FD7" w:rsidRPr="00DF632C">
        <w:rPr>
          <w:rStyle w:val="Voetnootmarkering"/>
        </w:rPr>
        <w:footnoteReference w:id="373"/>
      </w:r>
      <w:r w:rsidR="00545FD7" w:rsidRPr="00DF632C">
        <w:t xml:space="preserve"> </w:t>
      </w:r>
      <w:r w:rsidR="007327DD">
        <w:t>In veel gevallen gaat</w:t>
      </w:r>
      <w:r w:rsidR="00545FD7" w:rsidRPr="00DF632C">
        <w:t xml:space="preserve"> de Raad </w:t>
      </w:r>
      <w:r w:rsidR="007327DD">
        <w:t>van State niet zo ver</w:t>
      </w:r>
      <w:r w:rsidR="00545FD7" w:rsidRPr="00DF632C">
        <w:t xml:space="preserve"> en erkent </w:t>
      </w:r>
      <w:r w:rsidR="007327DD">
        <w:t>hij</w:t>
      </w:r>
      <w:r w:rsidR="00545FD7" w:rsidRPr="00DF632C">
        <w:t xml:space="preserve"> vooral dat </w:t>
      </w:r>
      <w:r w:rsidR="007327DD">
        <w:t>hij</w:t>
      </w:r>
      <w:r w:rsidR="00545FD7" w:rsidRPr="00DF632C">
        <w:t xml:space="preserve"> niet altijd over alle gegevens beschikt om een definitief oordeel te vellen, zodat verder toelichting kan helpen, zoals bijvoorbeeld bij de moeilijke afweging of bepaalde negatie</w:t>
      </w:r>
      <w:r w:rsidR="00A4336F" w:rsidRPr="00CD53C6">
        <w:t xml:space="preserve">ve wijzigingen in het sociale beschermingsniveau niet langer verantwoord kunnen worden in het licht van het </w:t>
      </w:r>
      <w:r w:rsidR="00A4336F" w:rsidRPr="00CD53C6">
        <w:rPr>
          <w:i/>
        </w:rPr>
        <w:t>standstill</w:t>
      </w:r>
      <w:r w:rsidR="00A4336F" w:rsidRPr="00CD53C6">
        <w:t>-beginsel van artikel 23 GW.</w:t>
      </w:r>
      <w:r w:rsidR="00545FD7" w:rsidRPr="00DF632C">
        <w:rPr>
          <w:rStyle w:val="Voetnootmarkering"/>
        </w:rPr>
        <w:footnoteReference w:id="374"/>
      </w:r>
    </w:p>
    <w:p w:rsidR="0096113B" w:rsidRPr="00DF632C" w:rsidRDefault="0096113B" w:rsidP="00545FD7"/>
    <w:p w:rsidR="00545FD7" w:rsidRPr="00DF632C" w:rsidRDefault="00A4336F" w:rsidP="004254F3">
      <w:pPr>
        <w:rPr>
          <w:rFonts w:eastAsia="Times New Roman" w:cs="Times New Roman"/>
        </w:rPr>
      </w:pPr>
      <w:r w:rsidRPr="00CD53C6">
        <w:rPr>
          <w:rFonts w:cs="Times New Roman"/>
        </w:rPr>
        <w:t xml:space="preserve">In andere gevallen lijkt het probleem vooral te ontstaan doordat de overheid niet volledig de consequenties van het eigen beleid heeft doordacht. Zo werd een vergoeding voor het aantal groenestroomcertificaten die een netbeheerders moest </w:t>
      </w:r>
      <w:r w:rsidR="00924082">
        <w:rPr>
          <w:rFonts w:cs="Times New Roman"/>
        </w:rPr>
        <w:t>“</w:t>
      </w:r>
      <w:r w:rsidRPr="00CD53C6">
        <w:rPr>
          <w:rFonts w:cs="Times New Roman"/>
        </w:rPr>
        <w:t>banken</w:t>
      </w:r>
      <w:r w:rsidR="00924082">
        <w:rPr>
          <w:rFonts w:cs="Times New Roman"/>
        </w:rPr>
        <w:t>”</w:t>
      </w:r>
      <w:r w:rsidRPr="00CD53C6">
        <w:rPr>
          <w:rFonts w:cs="Times New Roman"/>
        </w:rPr>
        <w:t xml:space="preserve"> geplafonneerd per netbeheerder; tezelfdertijd werden de netbeheerders echter aangemoedigd om te fusioneren, waardoor, zo waarschuwde de Raad, ze dus samen evenveel certificaten zouden </w:t>
      </w:r>
      <w:r w:rsidR="00924082">
        <w:rPr>
          <w:rFonts w:cs="Times New Roman"/>
        </w:rPr>
        <w:t>“</w:t>
      </w:r>
      <w:r w:rsidRPr="00CD53C6">
        <w:rPr>
          <w:rFonts w:cs="Times New Roman"/>
        </w:rPr>
        <w:t>banken</w:t>
      </w:r>
      <w:r w:rsidR="00924082">
        <w:rPr>
          <w:rFonts w:cs="Times New Roman"/>
        </w:rPr>
        <w:t>”</w:t>
      </w:r>
      <w:r w:rsidRPr="00CD53C6">
        <w:rPr>
          <w:rFonts w:cs="Times New Roman"/>
        </w:rPr>
        <w:t>, maar tegen een veel lagere vergoeding.</w:t>
      </w:r>
      <w:r w:rsidR="00545FD7" w:rsidRPr="00DF632C">
        <w:rPr>
          <w:rStyle w:val="Voetnootmarkering"/>
          <w:rFonts w:cs="Times New Roman"/>
        </w:rPr>
        <w:footnoteReference w:id="375"/>
      </w:r>
      <w:r w:rsidR="00545FD7" w:rsidRPr="00DF632C">
        <w:rPr>
          <w:rFonts w:cs="Times New Roman"/>
        </w:rPr>
        <w:t xml:space="preserve"> Ook </w:t>
      </w:r>
      <w:r w:rsidR="00924082">
        <w:rPr>
          <w:rFonts w:cs="Times New Roman"/>
        </w:rPr>
        <w:t xml:space="preserve">een ontworpen regeling </w:t>
      </w:r>
      <w:r w:rsidR="00545FD7" w:rsidRPr="00DF632C">
        <w:rPr>
          <w:rFonts w:cs="Times New Roman"/>
        </w:rPr>
        <w:t>om nieuwe verpleegkundigen niet langer bepaalde bekwaamheidspremies toe te kennen werd kritisch onthaald</w:t>
      </w:r>
      <w:r w:rsidR="00A4036C" w:rsidRPr="00DF632C">
        <w:rPr>
          <w:rFonts w:cs="Times New Roman"/>
        </w:rPr>
        <w:t>. Hoewel de Raad begrip had voor het feit dat de overheid om begrotingsredenen een dure maatregel wil teru</w:t>
      </w:r>
      <w:r w:rsidRPr="00CD53C6">
        <w:rPr>
          <w:rFonts w:cs="Times New Roman"/>
        </w:rPr>
        <w:t xml:space="preserve">gdraaien, zonder echter </w:t>
      </w:r>
      <w:r w:rsidRPr="00CD53C6">
        <w:rPr>
          <w:rFonts w:eastAsia="Times New Roman" w:cs="Times New Roman"/>
        </w:rPr>
        <w:t>de verpleegkundigen die thans de premies ontvangen, van dat voordeel te beroven, ook niet op een geleidelijke wijze. Niettemin merkte de Raad op dat niet bleek dat de overheid andere beleidsopties had overwogen dan het “afbouwscenario”</w:t>
      </w:r>
      <w:r w:rsidR="00924082">
        <w:rPr>
          <w:rFonts w:eastAsia="Times New Roman" w:cs="Times New Roman"/>
        </w:rPr>
        <w:t>,</w:t>
      </w:r>
      <w:r w:rsidRPr="00CD53C6">
        <w:rPr>
          <w:rFonts w:eastAsia="Times New Roman" w:cs="Times New Roman"/>
        </w:rPr>
        <w:t xml:space="preserve"> </w:t>
      </w:r>
      <w:r w:rsidR="00472E12" w:rsidRPr="00DF632C">
        <w:rPr>
          <w:rFonts w:eastAsia="Times New Roman" w:cs="Times New Roman"/>
        </w:rPr>
        <w:t>ook al dreig</w:t>
      </w:r>
      <w:r w:rsidRPr="00CD53C6">
        <w:rPr>
          <w:rFonts w:eastAsia="Times New Roman" w:cs="Times New Roman"/>
        </w:rPr>
        <w:t>den daardoor niet onaanzienlijke</w:t>
      </w:r>
      <w:r w:rsidR="00545FD7" w:rsidRPr="00DF632C">
        <w:rPr>
          <w:rFonts w:eastAsia="Times New Roman" w:cs="Times New Roman"/>
          <w:vertAlign w:val="superscript"/>
        </w:rPr>
        <w:footnoteReference w:id="376"/>
      </w:r>
      <w:r w:rsidR="00545FD7" w:rsidRPr="00DF632C">
        <w:rPr>
          <w:rFonts w:eastAsia="Times New Roman" w:cs="Times New Roman"/>
        </w:rPr>
        <w:t xml:space="preserve"> inkomensverschillen</w:t>
      </w:r>
      <w:r w:rsidRPr="00CD53C6">
        <w:rPr>
          <w:rFonts w:eastAsia="Times New Roman" w:cs="Times New Roman"/>
        </w:rPr>
        <w:t xml:space="preserve"> te ontstaan tussen verpleegkundigen die naast elkaar op dezelfde werkplek functioneren met identieke taken en verantwoordelijkheden.</w:t>
      </w:r>
      <w:r w:rsidR="00545FD7" w:rsidRPr="00DF632C">
        <w:rPr>
          <w:rFonts w:eastAsia="Times New Roman" w:cs="Times New Roman"/>
          <w:vertAlign w:val="superscript"/>
        </w:rPr>
        <w:footnoteReference w:id="377"/>
      </w:r>
      <w:r w:rsidR="00545FD7" w:rsidRPr="00DF632C">
        <w:rPr>
          <w:rFonts w:cs="Times New Roman"/>
          <w:szCs w:val="24"/>
        </w:rPr>
        <w:t xml:space="preserve"> </w:t>
      </w:r>
      <w:r w:rsidR="00472E12" w:rsidRPr="00DF632C">
        <w:rPr>
          <w:rFonts w:cs="Times New Roman"/>
          <w:szCs w:val="24"/>
        </w:rPr>
        <w:t xml:space="preserve">Ook hier </w:t>
      </w:r>
      <w:r w:rsidR="00924082">
        <w:rPr>
          <w:rFonts w:cs="Times New Roman"/>
          <w:szCs w:val="24"/>
        </w:rPr>
        <w:t>drong</w:t>
      </w:r>
      <w:r w:rsidR="00472E12" w:rsidRPr="00DF632C">
        <w:rPr>
          <w:rFonts w:cs="Times New Roman"/>
          <w:szCs w:val="24"/>
        </w:rPr>
        <w:t xml:space="preserve"> </w:t>
      </w:r>
      <w:r w:rsidRPr="00CD53C6">
        <w:rPr>
          <w:rFonts w:cs="Times New Roman"/>
          <w:szCs w:val="24"/>
        </w:rPr>
        <w:t xml:space="preserve">minstens een betere verantwoording in een verslag aan de </w:t>
      </w:r>
      <w:r w:rsidR="00924082">
        <w:rPr>
          <w:rFonts w:cs="Times New Roman"/>
          <w:szCs w:val="24"/>
        </w:rPr>
        <w:t xml:space="preserve">Vlaamse </w:t>
      </w:r>
      <w:r w:rsidRPr="00CD53C6">
        <w:rPr>
          <w:rFonts w:cs="Times New Roman"/>
          <w:szCs w:val="24"/>
        </w:rPr>
        <w:t>Regering zich op</w:t>
      </w:r>
      <w:r w:rsidR="00924082">
        <w:rPr>
          <w:rFonts w:cs="Times New Roman"/>
          <w:szCs w:val="24"/>
        </w:rPr>
        <w:t xml:space="preserve"> volgens de Raad van State</w:t>
      </w:r>
      <w:r w:rsidRPr="00CD53C6">
        <w:rPr>
          <w:rFonts w:cs="Times New Roman"/>
          <w:szCs w:val="24"/>
        </w:rPr>
        <w:t>.</w:t>
      </w:r>
      <w:r w:rsidR="00924082" w:rsidRPr="00DF632C">
        <w:rPr>
          <w:rStyle w:val="Voetnootmarkering"/>
          <w:rFonts w:eastAsia="Times New Roman" w:cs="Times New Roman"/>
        </w:rPr>
        <w:footnoteReference w:id="378"/>
      </w:r>
      <w:r w:rsidR="00545FD7" w:rsidRPr="00DF632C">
        <w:rPr>
          <w:rFonts w:eastAsia="Times New Roman" w:cs="Times New Roman"/>
        </w:rPr>
        <w:t xml:space="preserve"> </w:t>
      </w:r>
    </w:p>
    <w:p w:rsidR="0011741C" w:rsidRPr="00DF632C" w:rsidRDefault="0011741C" w:rsidP="004254F3">
      <w:pPr>
        <w:rPr>
          <w:rFonts w:eastAsia="Times New Roman" w:cs="Times New Roman"/>
        </w:rPr>
      </w:pPr>
    </w:p>
    <w:p w:rsidR="00545FD7" w:rsidRPr="00DF632C" w:rsidRDefault="00A4336F" w:rsidP="00545FD7">
      <w:r w:rsidRPr="00CD53C6">
        <w:t>Ook bij het hernemen van oude wetgeving kan het nuttig zijn om de overheid erop te wijzen dat aangezien het om een nieuwe wilsuiting gaat van de wetgever, hij moet nagaan of de oude uitgangspunten nog actueel zijn. Zo vroeg de Raad om te verifiëren of oude leeftijdsgrenzen met betrekking tot bepaalde vruchtbaarheidsbehandelingen en alcoholconsumptie nog in overeenstemming waren met de meest recente wetenschappelijke en bio-ethische inzichten, zonder daarover zelf stelling in te nemen.</w:t>
      </w:r>
      <w:r w:rsidR="00545FD7" w:rsidRPr="00DF632C">
        <w:rPr>
          <w:rStyle w:val="Voetnootmarkering"/>
        </w:rPr>
        <w:footnoteReference w:id="379"/>
      </w:r>
    </w:p>
    <w:p w:rsidR="004254F3" w:rsidRDefault="004254F3" w:rsidP="00545FD7"/>
    <w:p w:rsidR="004C4087" w:rsidRPr="00262AA8" w:rsidRDefault="002A7EE6" w:rsidP="00CD53C6">
      <w:pPr>
        <w:pStyle w:val="Kop2"/>
        <w:rPr>
          <w:lang w:val="nl-BE"/>
        </w:rPr>
      </w:pPr>
      <w:bookmarkStart w:id="70" w:name="_Toc495677925"/>
      <w:r w:rsidRPr="00262AA8">
        <w:rPr>
          <w:lang w:val="nl-BE"/>
        </w:rPr>
        <w:t>B. Experimenten en regelluwte</w:t>
      </w:r>
      <w:bookmarkEnd w:id="70"/>
    </w:p>
    <w:p w:rsidR="004C4087" w:rsidRPr="00DF632C" w:rsidRDefault="004C4087" w:rsidP="00545FD7"/>
    <w:p w:rsidR="00545FD7" w:rsidRPr="00DF632C" w:rsidRDefault="001D12B7" w:rsidP="00545FD7">
      <w:r w:rsidRPr="00CD53C6">
        <w:rPr>
          <w:b/>
        </w:rPr>
        <w:lastRenderedPageBreak/>
        <w:t>11</w:t>
      </w:r>
      <w:r w:rsidR="0096113B">
        <w:rPr>
          <w:b/>
        </w:rPr>
        <w:t>5</w:t>
      </w:r>
      <w:r w:rsidR="00A4336F" w:rsidRPr="00CD53C6">
        <w:rPr>
          <w:b/>
        </w:rPr>
        <w:t>.</w:t>
      </w:r>
      <w:r w:rsidR="00A4336F" w:rsidRPr="00CD53C6">
        <w:tab/>
        <w:t xml:space="preserve">Ook als de overheid wil experimenteren is de Raad alert voor </w:t>
      </w:r>
      <w:r w:rsidR="00963891">
        <w:t>mogelijke</w:t>
      </w:r>
      <w:r w:rsidR="00963891" w:rsidRPr="00CD53C6">
        <w:t xml:space="preserve"> </w:t>
      </w:r>
      <w:r w:rsidR="00A4336F" w:rsidRPr="00CD53C6">
        <w:t xml:space="preserve">discriminaties. Subsidies, zeker voor proef- en pilootprojecten of innovatieve technieken, worden vaak aangeboden volgens het principe eerst komt, eerst maalt, wat </w:t>
      </w:r>
      <w:r w:rsidR="00963891">
        <w:t xml:space="preserve">door </w:t>
      </w:r>
      <w:r w:rsidR="00A4336F" w:rsidRPr="00CD53C6">
        <w:t xml:space="preserve">de Raad </w:t>
      </w:r>
      <w:r w:rsidR="006815E3">
        <w:t>steevast kritisch wordt beoordeeld</w:t>
      </w:r>
      <w:r w:rsidR="00A4336F" w:rsidRPr="00CD53C6">
        <w:t>.</w:t>
      </w:r>
      <w:r w:rsidR="00545FD7" w:rsidRPr="00DF632C">
        <w:rPr>
          <w:rStyle w:val="Voetnootmarkering"/>
        </w:rPr>
        <w:footnoteReference w:id="380"/>
      </w:r>
      <w:r w:rsidR="00545FD7" w:rsidRPr="00DF632C">
        <w:t xml:space="preserve"> Kritisch was de Raad ook voor het voornemen van de Vlaamse overheid om zogenaamde regelluwe kaders in te voeren, waardoor bepaalde innoverende zorginitiatieven niet langer aan alle subsidie- en erkenningsvoorwaarden moeten beantwoorden,</w:t>
      </w:r>
      <w:r w:rsidR="00545FD7" w:rsidRPr="00DF632C">
        <w:rPr>
          <w:rStyle w:val="Voetnootmarkering"/>
        </w:rPr>
        <w:footnoteReference w:id="381"/>
      </w:r>
      <w:r w:rsidR="00545FD7" w:rsidRPr="00DF632C">
        <w:t xml:space="preserve"> of in bepaalde gebieden in Vlaanderen de basisregels van het mobiliteitsbeleid aan de kant kunnen worden geschoven.</w:t>
      </w:r>
      <w:r w:rsidR="00545FD7" w:rsidRPr="00DF632C">
        <w:rPr>
          <w:rStyle w:val="Voetnootmarkering"/>
        </w:rPr>
        <w:footnoteReference w:id="382"/>
      </w:r>
      <w:r w:rsidR="00545FD7" w:rsidRPr="00DF632C">
        <w:t xml:space="preserve"> Zonder dat de Raad zich tegen innovatie verzet</w:t>
      </w:r>
      <w:r w:rsidR="006815E3">
        <w:t>te</w:t>
      </w:r>
      <w:r w:rsidR="00545FD7" w:rsidRPr="00DF632C">
        <w:t>,</w:t>
      </w:r>
      <w:r w:rsidR="00810E17">
        <w:t xml:space="preserve"> </w:t>
      </w:r>
      <w:r w:rsidR="00545FD7" w:rsidRPr="00DF632C">
        <w:t>w</w:t>
      </w:r>
      <w:r w:rsidR="006815E3">
        <w:t>ee</w:t>
      </w:r>
      <w:r w:rsidR="00545FD7" w:rsidRPr="00DF632C">
        <w:t>s hij niettemin</w:t>
      </w:r>
      <w:r w:rsidR="00810E17">
        <w:t xml:space="preserve"> </w:t>
      </w:r>
      <w:r w:rsidR="00545FD7" w:rsidRPr="00DF632C">
        <w:t xml:space="preserve">op de </w:t>
      </w:r>
      <w:r w:rsidR="00A4336F" w:rsidRPr="00CD53C6">
        <w:t>risico’s voor een ongerechtvaardigde ongelijke behandeling, zowel van de initiatiefnemers (die vaak een streepje voor krijgen op de concurrentie) als van de consumenten (van wie de bescherming soms ten dele wordt opgeschort).</w:t>
      </w:r>
    </w:p>
    <w:p w:rsidR="004254F3" w:rsidRDefault="004254F3" w:rsidP="00545FD7"/>
    <w:p w:rsidR="004C4087" w:rsidRPr="00262AA8" w:rsidRDefault="002A7EE6" w:rsidP="00CD53C6">
      <w:pPr>
        <w:pStyle w:val="Kop2"/>
        <w:rPr>
          <w:lang w:val="nl-BE"/>
        </w:rPr>
      </w:pPr>
      <w:bookmarkStart w:id="71" w:name="_Toc495677926"/>
      <w:r w:rsidRPr="00262AA8">
        <w:rPr>
          <w:lang w:val="nl-BE"/>
        </w:rPr>
        <w:t>C. Belang van consultatie en overleg</w:t>
      </w:r>
      <w:bookmarkEnd w:id="71"/>
    </w:p>
    <w:p w:rsidR="004C4087" w:rsidRPr="00DF632C" w:rsidRDefault="004C4087" w:rsidP="00545FD7"/>
    <w:p w:rsidR="00545FD7" w:rsidRPr="00DF632C" w:rsidRDefault="001D12B7" w:rsidP="00545FD7">
      <w:r w:rsidRPr="00CD53C6">
        <w:rPr>
          <w:b/>
        </w:rPr>
        <w:t>11</w:t>
      </w:r>
      <w:r w:rsidR="0096113B">
        <w:rPr>
          <w:b/>
        </w:rPr>
        <w:t>6</w:t>
      </w:r>
      <w:r w:rsidR="00A4336F" w:rsidRPr="00CD53C6">
        <w:rPr>
          <w:b/>
        </w:rPr>
        <w:t>.</w:t>
      </w:r>
      <w:r w:rsidR="00A4336F" w:rsidRPr="00CD53C6">
        <w:tab/>
        <w:t xml:space="preserve">Ten slotte biedt ook het toezicht op de naleving van de vormvoorschriften een kans om schijnbaar </w:t>
      </w:r>
      <w:r w:rsidR="00810E17">
        <w:t>arbitraire beleids</w:t>
      </w:r>
      <w:r w:rsidR="00A4336F" w:rsidRPr="00CD53C6">
        <w:t xml:space="preserve">oordelen te objectiveren. Door de nadruk te leggen op de noodzaak van een inhoudelijk overleg met de relevante actoren, </w:t>
      </w:r>
      <w:r w:rsidR="00AB46B0">
        <w:t>kunnen</w:t>
      </w:r>
      <w:r w:rsidR="00A4336F" w:rsidRPr="00CD53C6">
        <w:t xml:space="preserve"> de bestuurders</w:t>
      </w:r>
      <w:r w:rsidR="00810E17">
        <w:t xml:space="preserve"> hun beleidsoordeel verantwoorden in dialoog met de door het vormvoorschrift betrokken experten</w:t>
      </w:r>
      <w:r w:rsidR="008C3E1F">
        <w:t>,</w:t>
      </w:r>
      <w:r w:rsidR="00810E17">
        <w:t xml:space="preserve"> maatschappelijk middenveld</w:t>
      </w:r>
      <w:r w:rsidR="008C3E1F">
        <w:t xml:space="preserve"> of andere overheden</w:t>
      </w:r>
      <w:r w:rsidR="00A4336F" w:rsidRPr="00CD53C6">
        <w:t>. Onder meer in domeinen als het energierecht</w:t>
      </w:r>
      <w:r w:rsidR="00545FD7" w:rsidRPr="00DF632C">
        <w:rPr>
          <w:rStyle w:val="Voetnootmarkering"/>
        </w:rPr>
        <w:footnoteReference w:id="383"/>
      </w:r>
      <w:r w:rsidR="00545FD7" w:rsidRPr="00DF632C">
        <w:t xml:space="preserve"> en het vervoersrecht</w:t>
      </w:r>
      <w:r w:rsidR="00545FD7" w:rsidRPr="00DF632C">
        <w:rPr>
          <w:rStyle w:val="Voetnootmarkering"/>
        </w:rPr>
        <w:footnoteReference w:id="384"/>
      </w:r>
      <w:r w:rsidR="00AB46B0">
        <w:t>,</w:t>
      </w:r>
      <w:r w:rsidR="00545FD7" w:rsidRPr="00DF632C">
        <w:t xml:space="preserve"> waar de interne bevoegdheidsverdeling vaak sibillijns is, dringt de Raad steeds vaker aan op overleg</w:t>
      </w:r>
      <w:r w:rsidR="008C3E1F">
        <w:t xml:space="preserve"> met de andere betrokken overheden</w:t>
      </w:r>
      <w:r w:rsidR="00545FD7" w:rsidRPr="00DF632C">
        <w:t>, ook in gevallen waarin dat overleg niet rechtstreeks lijkt te vloeien</w:t>
      </w:r>
      <w:r w:rsidR="00A4336F" w:rsidRPr="00CD53C6">
        <w:t xml:space="preserve"> uit de bijzondere wet. Misschien wel de meest verrassende oproep tot open dialoog werd door de Raad afgeleid uit de rechtspraak van het EVRM en heeft effectief geleid tot de aanstelling van een bemiddelaar die in overleg met de verschillende religieuze gemeenschappen op zoek moest naar een compromis over het onverdoofd slachten van dieren.</w:t>
      </w:r>
      <w:r w:rsidR="00545FD7" w:rsidRPr="00DF632C">
        <w:rPr>
          <w:rStyle w:val="Voetnootmarkering"/>
        </w:rPr>
        <w:footnoteReference w:id="385"/>
      </w:r>
    </w:p>
    <w:p w:rsidR="00545FD7" w:rsidRPr="00DF632C" w:rsidRDefault="00A4336F" w:rsidP="00545FD7">
      <w:pPr>
        <w:pStyle w:val="Kop1"/>
      </w:pPr>
      <w:bookmarkStart w:id="72" w:name="_Toc495677927"/>
      <w:r w:rsidRPr="00CD53C6">
        <w:t>X</w:t>
      </w:r>
      <w:r w:rsidR="006739FB">
        <w:t>I</w:t>
      </w:r>
      <w:r w:rsidRPr="00CD53C6">
        <w:t>V. Wetgevingstechniek</w:t>
      </w:r>
      <w:bookmarkEnd w:id="72"/>
    </w:p>
    <w:p w:rsidR="00545FD7" w:rsidRDefault="00545FD7" w:rsidP="00545FD7">
      <w:pPr>
        <w:autoSpaceDE w:val="0"/>
        <w:autoSpaceDN w:val="0"/>
        <w:adjustRightInd w:val="0"/>
      </w:pPr>
    </w:p>
    <w:p w:rsidR="00631229" w:rsidRPr="00262AA8" w:rsidRDefault="002A7EE6" w:rsidP="00CD53C6">
      <w:pPr>
        <w:pStyle w:val="Kop2"/>
        <w:rPr>
          <w:lang w:val="nl-BE"/>
        </w:rPr>
      </w:pPr>
      <w:bookmarkStart w:id="73" w:name="_Toc495677928"/>
      <w:r w:rsidRPr="00262AA8">
        <w:rPr>
          <w:lang w:val="nl-BE"/>
        </w:rPr>
        <w:t>A. Een ondergeschikt thema in adviezen</w:t>
      </w:r>
      <w:bookmarkEnd w:id="73"/>
    </w:p>
    <w:p w:rsidR="00631229" w:rsidRPr="00DF632C" w:rsidRDefault="00631229" w:rsidP="00545FD7">
      <w:pPr>
        <w:autoSpaceDE w:val="0"/>
        <w:autoSpaceDN w:val="0"/>
        <w:adjustRightInd w:val="0"/>
      </w:pPr>
    </w:p>
    <w:p w:rsidR="00545FD7" w:rsidRPr="00DF632C" w:rsidRDefault="001D12B7" w:rsidP="008A3D5B">
      <w:r w:rsidRPr="00CD53C6">
        <w:rPr>
          <w:b/>
        </w:rPr>
        <w:lastRenderedPageBreak/>
        <w:t>11</w:t>
      </w:r>
      <w:r w:rsidR="0096113B">
        <w:rPr>
          <w:b/>
        </w:rPr>
        <w:t>7</w:t>
      </w:r>
      <w:r w:rsidR="00A4336F" w:rsidRPr="00CD53C6">
        <w:rPr>
          <w:b/>
        </w:rPr>
        <w:t>.</w:t>
      </w:r>
      <w:r w:rsidR="00A4336F" w:rsidRPr="00CD53C6">
        <w:t xml:space="preserve"> Door de strikte termijnen en de grote hoeveelheid adviesaanvragen is het voor de Raad van State niet mogelijk om in alle dossiers een grondig en gedetailleerd onderzoek op het vlak van de wetgevingstechniek te voeren. De Raad van State beperkt het onderzoek in een aanzienlijk deel van de dossiers hoofdzakelijk tot de zogenaamde ‘drie punten’, namelijk de bevoegdheid van de steller van de handeling, de rechtsgrond (met inbegrip van de verenigbaarheid met hogere rechtsnormen, zoals richtlijnen of verdragen) en de verplichte vormvereisten.</w:t>
      </w:r>
      <w:r w:rsidR="00545FD7" w:rsidRPr="00DF632C">
        <w:rPr>
          <w:vertAlign w:val="superscript"/>
        </w:rPr>
        <w:footnoteReference w:id="386"/>
      </w:r>
      <w:r w:rsidR="00545FD7" w:rsidRPr="00DF632C">
        <w:t xml:space="preserve"> In bepaalde gevallen beperkt de Raad van State zich tot het geven van enkele voorbeelden en wordt de advi</w:t>
      </w:r>
      <w:r w:rsidR="00A4336F" w:rsidRPr="00CD53C6">
        <w:t>esaanvrager uitgenodigd om het volledige ontwerp aan een bijkomende (taalkundige en) wetgevingstechnische controle te onderwerpen.</w:t>
      </w:r>
      <w:r w:rsidR="00545FD7" w:rsidRPr="00DF632C">
        <w:rPr>
          <w:vertAlign w:val="superscript"/>
        </w:rPr>
        <w:footnoteReference w:id="387"/>
      </w:r>
      <w:r w:rsidR="00545FD7" w:rsidRPr="00DF632C">
        <w:t xml:space="preserve"> </w:t>
      </w:r>
    </w:p>
    <w:p w:rsidR="008A3D5B" w:rsidRPr="00DF632C" w:rsidRDefault="008A3D5B" w:rsidP="008A3D5B"/>
    <w:p w:rsidR="00545FD7" w:rsidRPr="00DF632C" w:rsidRDefault="001D12B7" w:rsidP="008A3D5B">
      <w:r w:rsidRPr="00CD53C6">
        <w:rPr>
          <w:b/>
        </w:rPr>
        <w:t>1</w:t>
      </w:r>
      <w:r w:rsidR="0096113B">
        <w:rPr>
          <w:b/>
        </w:rPr>
        <w:t>18</w:t>
      </w:r>
      <w:r w:rsidR="00A4336F" w:rsidRPr="00CD53C6">
        <w:rPr>
          <w:b/>
        </w:rPr>
        <w:t>.</w:t>
      </w:r>
      <w:r w:rsidR="00A4336F" w:rsidRPr="00CD53C6">
        <w:t xml:space="preserve"> Dat neemt niet weg dat de Raad van State ook de voorbije jaren talrijke opmerkingen van wetgevingstechnische aard heeft gemaakt. Deze vertonen een verband met behoorlijke regelgeving, bijvoorbeeld omdat ze de duidelijkheid en de leesbaarheid van de ontworpen normen raken. Slechte wetgevingstechniek dreigt de transparantie van de regelgeving te ondermijnen en kan de rechtszekerheid in het gedrang brengen. </w:t>
      </w:r>
    </w:p>
    <w:p w:rsidR="00545FD7" w:rsidRPr="00DF632C" w:rsidRDefault="00A4336F" w:rsidP="008A3D5B">
      <w:r w:rsidRPr="00CD53C6">
        <w:t>Het is onmogelijk om al deze adviezen op een exhaustieve en gestructureerde wijze te behandelen binnen het bestek van deze kroniek. Daarom wordt er voor gekozen om te focussen op een onderdeel van de wetgevingsleer, namelijk de coördinatie en de consolidatie van normatieve teksten.</w:t>
      </w:r>
      <w:r w:rsidR="00545FD7" w:rsidRPr="00DF632C">
        <w:rPr>
          <w:vertAlign w:val="superscript"/>
        </w:rPr>
        <w:footnoteReference w:id="388"/>
      </w:r>
    </w:p>
    <w:p w:rsidR="00CC10B6" w:rsidRPr="00DF632C" w:rsidRDefault="00CC10B6" w:rsidP="008A3D5B"/>
    <w:p w:rsidR="00545FD7" w:rsidRPr="00DF632C" w:rsidRDefault="001D12B7" w:rsidP="008A3D5B">
      <w:r w:rsidRPr="00CD53C6">
        <w:rPr>
          <w:b/>
        </w:rPr>
        <w:t>1</w:t>
      </w:r>
      <w:r w:rsidR="0096113B">
        <w:rPr>
          <w:b/>
        </w:rPr>
        <w:t>19</w:t>
      </w:r>
      <w:r w:rsidR="00A4336F" w:rsidRPr="00CD53C6">
        <w:rPr>
          <w:b/>
        </w:rPr>
        <w:t>.</w:t>
      </w:r>
      <w:r w:rsidR="00A4336F" w:rsidRPr="00CD53C6">
        <w:t xml:space="preserve"> Het meest opmerkelijke advies van de voorbije jaren over dit onderwerp is wellicht het advies over de coördinatie van het koninklijk besluit nr. 78 van 10 november 1967 ‘betreffende de uitoefening van de gezondheidszorgberoepen’.</w:t>
      </w:r>
      <w:r w:rsidR="00545FD7" w:rsidRPr="00DF632C">
        <w:rPr>
          <w:vertAlign w:val="superscript"/>
        </w:rPr>
        <w:footnoteReference w:id="389"/>
      </w:r>
      <w:r w:rsidR="00545FD7" w:rsidRPr="00DF632C">
        <w:t xml:space="preserve"> De Eerste Minister had met toepassing van artikel 6</w:t>
      </w:r>
      <w:r w:rsidR="00A4336F" w:rsidRPr="00CD53C6">
        <w:rPr>
          <w:i/>
        </w:rPr>
        <w:t xml:space="preserve">bis </w:t>
      </w:r>
      <w:r w:rsidR="00A4336F" w:rsidRPr="00CD53C6">
        <w:t xml:space="preserve">van de </w:t>
      </w:r>
      <w:r w:rsidR="00C21279">
        <w:t>g</w:t>
      </w:r>
      <w:r w:rsidR="00A4336F" w:rsidRPr="00CD53C6">
        <w:t xml:space="preserve">ecoördineerde </w:t>
      </w:r>
      <w:r w:rsidR="00C21279">
        <w:t>w</w:t>
      </w:r>
      <w:r w:rsidR="00A4336F" w:rsidRPr="00CD53C6">
        <w:t>etten op de Raad van State</w:t>
      </w:r>
      <w:r w:rsidR="00545FD7" w:rsidRPr="00DF632C">
        <w:rPr>
          <w:vertAlign w:val="superscript"/>
        </w:rPr>
        <w:footnoteReference w:id="390"/>
      </w:r>
      <w:r w:rsidR="00545FD7" w:rsidRPr="00DF632C">
        <w:t xml:space="preserve"> het Coördinatiebureau van de Raad van State verzocht om dat koninklijk besluit (dat wetskrachtige waarde had) te coördineren. De procedure voorziet dat het Coördinatiebureau het ontwerp voorlegt aan de afdeling Wetgeving, die het samen met haar gemotiveer</w:t>
      </w:r>
      <w:r w:rsidR="00A4336F" w:rsidRPr="00CD53C6">
        <w:t xml:space="preserve">d advies aan de aanvrager bezorgt. Het resultaat van deze opdracht was de wet </w:t>
      </w:r>
      <w:r w:rsidR="00C21279">
        <w:t>‘</w:t>
      </w:r>
      <w:r w:rsidR="00A4336F" w:rsidRPr="00CD53C6">
        <w:t xml:space="preserve">betreffende de uitoefening van de gezondheidszorgberoepen, gecoördineerd op 10 mei 2015’, al wordt inmiddels veelal gesproken van de wet van 10 mei 2015 </w:t>
      </w:r>
      <w:r w:rsidR="00C21279">
        <w:t>‘</w:t>
      </w:r>
      <w:r w:rsidR="00A4336F" w:rsidRPr="00CD53C6">
        <w:t>betreffende de uitoefening van de gezondheidszorgberoepen’.</w:t>
      </w:r>
    </w:p>
    <w:p w:rsidR="008A3D5B" w:rsidRDefault="008A3D5B" w:rsidP="008A3D5B"/>
    <w:p w:rsidR="00CC10B6" w:rsidRPr="00262AA8" w:rsidRDefault="002A7EE6" w:rsidP="00CC10B6">
      <w:pPr>
        <w:pStyle w:val="Kop2"/>
        <w:rPr>
          <w:lang w:val="nl-BE"/>
        </w:rPr>
      </w:pPr>
      <w:bookmarkStart w:id="74" w:name="_Toc495677929"/>
      <w:r w:rsidRPr="00262AA8">
        <w:rPr>
          <w:lang w:val="nl-BE"/>
        </w:rPr>
        <w:t>B. Coördinaties en bekrachtiging door de wetgever</w:t>
      </w:r>
      <w:bookmarkEnd w:id="74"/>
    </w:p>
    <w:p w:rsidR="00CC10B6" w:rsidRPr="00DF632C" w:rsidRDefault="00CC10B6" w:rsidP="008A3D5B"/>
    <w:p w:rsidR="00545FD7" w:rsidRPr="00DF632C" w:rsidRDefault="001D12B7" w:rsidP="008A3D5B">
      <w:r w:rsidRPr="00CD53C6">
        <w:rPr>
          <w:b/>
        </w:rPr>
        <w:t>12</w:t>
      </w:r>
      <w:r w:rsidR="0096113B">
        <w:rPr>
          <w:b/>
        </w:rPr>
        <w:t>0</w:t>
      </w:r>
      <w:r w:rsidR="00A4336F" w:rsidRPr="00CD53C6">
        <w:rPr>
          <w:b/>
        </w:rPr>
        <w:t>.</w:t>
      </w:r>
      <w:r w:rsidR="00A4336F" w:rsidRPr="00CD53C6">
        <w:t xml:space="preserve"> In het advies van 27 februari 2015 brengt de Raad van State eerst in herinnering dat een coördinatie kan, maar niet steeds moet, worden bekrachtigd door de wetgever. </w:t>
      </w:r>
    </w:p>
    <w:p w:rsidR="00C21279" w:rsidRDefault="00C21279" w:rsidP="008A3D5B"/>
    <w:p w:rsidR="00545FD7" w:rsidRPr="00DF632C" w:rsidRDefault="00A4336F" w:rsidP="008A3D5B">
      <w:r w:rsidRPr="00CD53C6">
        <w:t>Een coördinatie die</w:t>
      </w:r>
      <w:r w:rsidR="00551AE8">
        <w:t xml:space="preserve"> louter</w:t>
      </w:r>
      <w:r w:rsidRPr="00CD53C6">
        <w:t xml:space="preserve"> uitgaat van de uitvoerende macht kan </w:t>
      </w:r>
      <w:r w:rsidR="00551AE8">
        <w:t xml:space="preserve">op zich </w:t>
      </w:r>
      <w:r w:rsidRPr="00CD53C6">
        <w:t xml:space="preserve">geen nieuwe rechtsregels bevatten. De oorspronkelijke wetsbepalingen mogen niet worden gecorrigeerd, </w:t>
      </w:r>
      <w:r w:rsidRPr="00CD53C6">
        <w:lastRenderedPageBreak/>
        <w:t xml:space="preserve">tenzij wanneer die correcties bijdragen tot een eenvormige terminologie. Een coördinatie strekt er bovendien als dusdanig niet toe om de oorspronkelijke wetsbepalingen op te heffen. Die oorspronkelijke wetsbepalingen blijven formeel bestaan, totdat ze worden opgeheven, doorgaans naar aanleiding van de bekrachtiging van de coördinatie. Door de coördinatie wordt met andere woorden enkel een nieuwe wijze van voorstelling van de oorspronkelijke wetsbepalingen verwezenlijkt, waarop de wetgever vervolgens </w:t>
      </w:r>
      <w:r w:rsidRPr="00CD53C6">
        <w:rPr>
          <w:i/>
        </w:rPr>
        <w:t xml:space="preserve">kan </w:t>
      </w:r>
      <w:r w:rsidRPr="00CD53C6">
        <w:t>voortgaan door die voorstellingswijze als uitgangspunt te nemen voor wijzigingen die hij aanneemt.</w:t>
      </w:r>
    </w:p>
    <w:p w:rsidR="00545FD7" w:rsidRPr="00DF632C" w:rsidRDefault="00A4336F" w:rsidP="008A3D5B">
      <w:r w:rsidRPr="00CD53C6">
        <w:t>Pas wanneer de wetgever een coördinatie bekrachtigt die van de uitvoerende macht uitgaat, eigent hij zich het werk van de uitvoerende macht toe en vormt hij de coördinatie om tot een nieuwe wetgevende norm. Die bekrachtiging is een mogelijkheid en geen juridisch verplicht slotstuk van een coördinatie. Ze wordt wel aanbevolen in de huidige handleiding wetgevingstechniek van de Raad van State</w:t>
      </w:r>
      <w:r w:rsidR="00545FD7" w:rsidRPr="00DF632C">
        <w:rPr>
          <w:vertAlign w:val="superscript"/>
        </w:rPr>
        <w:footnoteReference w:id="391"/>
      </w:r>
      <w:r w:rsidR="00545FD7" w:rsidRPr="00DF632C">
        <w:t>, vooral dan ten behoeve van de rechtszekerheid.</w:t>
      </w:r>
    </w:p>
    <w:p w:rsidR="00545FD7" w:rsidRPr="00DF632C" w:rsidRDefault="00A4336F" w:rsidP="008A3D5B">
      <w:r w:rsidRPr="00CD53C6">
        <w:t>Aangezien een bekrachtiging van een coördinatie een nieuwe wilsuiting is van de wetgever, moet een coördinatie die bestemd is om te worden bekrachtigd door de federale wetgever, alleszins beperkt blijven tot de bepalingen die tot de bevoegdheid van de federale overheid behoren. Deze voorwaarde zou ten aanzien van het koninklijk besluit nr. 78 alles behalve vanzelfsprekend blijken (</w:t>
      </w:r>
      <w:r w:rsidR="00551AE8">
        <w:t xml:space="preserve">nr. </w:t>
      </w:r>
      <w:r w:rsidR="00DF0532">
        <w:rPr>
          <w:highlight w:val="yellow"/>
        </w:rPr>
        <w:t>122</w:t>
      </w:r>
      <w:r w:rsidRPr="00CD53C6">
        <w:t>).</w:t>
      </w:r>
    </w:p>
    <w:p w:rsidR="00545FD7" w:rsidRDefault="00A4336F" w:rsidP="008A3D5B">
      <w:r w:rsidRPr="00CD53C6">
        <w:t xml:space="preserve">Maar zelfs indien het de bedoeling is van de uitvoerende macht die de coördinatie heeft opgesteld om ze ter bekrachtiging aan de wetgever voor te leggen, verleent dit haar evenmin enige bevoegdheid op het stuk van de normatieve inhoud van de gecoördineerde tekst. Alleen de wetgever kan, in voorkomend geval, fundamentele aanpassingen aanbrengen in het bestaande recht, zoals het is gecoördineerd. Of ze nu achteraf wordt bekrachtigd of niet, een coördinatie kan enkel wijzigingen van vormelijke aard bevatten van de oorspronkelijke wetsbepalingen. Sommige wijzigingen van vormelijke aard, zoals het vernummeren van artikelen of het herformuleren van de bevoegdheid van een minister, hebben niet de minste inhoudelijke weerslag op de te coördineren regeling. Andere wijzigingen van vormelijke aard, zoals het invoeren van een eenvormige terminologie of het volledig herformuleren van een bepaling, zijn meer verregaand, ook al hebben ze </w:t>
      </w:r>
      <w:r w:rsidR="00551AE8">
        <w:t xml:space="preserve">in beginsel </w:t>
      </w:r>
      <w:r w:rsidRPr="00CD53C6">
        <w:t>geen invloed op de juridische draagwijdte van die bepaling.</w:t>
      </w:r>
    </w:p>
    <w:p w:rsidR="00A33F35" w:rsidRDefault="00A33F35" w:rsidP="008A3D5B"/>
    <w:p w:rsidR="00A33F35" w:rsidRPr="00DF632C" w:rsidRDefault="00A33F35" w:rsidP="008A3D5B">
      <w:r w:rsidRPr="00774F80">
        <w:rPr>
          <w:b/>
        </w:rPr>
        <w:t>12</w:t>
      </w:r>
      <w:r>
        <w:rPr>
          <w:b/>
        </w:rPr>
        <w:t>1</w:t>
      </w:r>
      <w:r w:rsidRPr="00774F80">
        <w:rPr>
          <w:b/>
        </w:rPr>
        <w:t>.</w:t>
      </w:r>
      <w:r w:rsidRPr="00774F80">
        <w:t xml:space="preserve"> De Raad van State stelde vast dat een voorontwerp van decreet dat ertoe strekte een codificatie te bekrachtigen niet voorzag in de bekrachtiging van het gedeelte van de codificatie dat wijzigingen aanbracht aan verwijzingen in andere wetten, decreten, koninklijke besluiten en besluiten van de Vlaamse Regering naar bepalingen die waren opgenomen in de codificatie. In de memorie van toelichting werd het onttrekken van dat gedeelte aan de decretale bekrachtiging verantwoord </w:t>
      </w:r>
      <w:r w:rsidR="00DF0532">
        <w:t>door</w:t>
      </w:r>
      <w:r>
        <w:t xml:space="preserve"> </w:t>
      </w:r>
      <w:r w:rsidRPr="00774F80">
        <w:t>het feit dat dat zou inhouden dat de aanpassingen in besluiten een decretaal karakter krijgen en zij bijgevolg nadien niet meer bij besluit kunnen worden gewijzigd. De Raad van State trad deze redenering bij ten aanzien van besluiten, maar merkte op dat ze niet opgaat voor de aanpassingen in wetten, decreten en decreetskrachtige koninklijke besluiten, waarvan de bekrachtiging wel degelijk mogelijk is.</w:t>
      </w:r>
      <w:r w:rsidRPr="00DF632C">
        <w:rPr>
          <w:vertAlign w:val="superscript"/>
        </w:rPr>
        <w:footnoteReference w:id="392"/>
      </w:r>
      <w:r w:rsidR="007811F5">
        <w:t xml:space="preserve"> </w:t>
      </w:r>
    </w:p>
    <w:p w:rsidR="008A3D5B" w:rsidRDefault="008A3D5B" w:rsidP="008A3D5B"/>
    <w:p w:rsidR="00CC10B6" w:rsidRPr="00262AA8" w:rsidRDefault="002A7EE6" w:rsidP="00CD53C6">
      <w:pPr>
        <w:pStyle w:val="Kop2"/>
        <w:rPr>
          <w:lang w:val="nl-BE"/>
        </w:rPr>
      </w:pPr>
      <w:bookmarkStart w:id="75" w:name="_Toc495677930"/>
      <w:r w:rsidRPr="00262AA8">
        <w:rPr>
          <w:lang w:val="nl-BE"/>
        </w:rPr>
        <w:t>C. Coördinaties en bevoegdheidsverdeling</w:t>
      </w:r>
      <w:bookmarkEnd w:id="75"/>
    </w:p>
    <w:p w:rsidR="00CC10B6" w:rsidRPr="00DF632C" w:rsidRDefault="00CC10B6" w:rsidP="008A3D5B"/>
    <w:p w:rsidR="00545FD7" w:rsidRPr="00DF632C" w:rsidRDefault="001D12B7" w:rsidP="008A3D5B">
      <w:r w:rsidRPr="00CD53C6">
        <w:rPr>
          <w:b/>
        </w:rPr>
        <w:t>12</w:t>
      </w:r>
      <w:r w:rsidR="00A33F35">
        <w:rPr>
          <w:b/>
        </w:rPr>
        <w:t>2</w:t>
      </w:r>
      <w:r w:rsidR="00A4336F" w:rsidRPr="00CD53C6">
        <w:rPr>
          <w:b/>
        </w:rPr>
        <w:t>.</w:t>
      </w:r>
      <w:r w:rsidR="00A4336F" w:rsidRPr="00CD53C6">
        <w:t xml:space="preserve"> </w:t>
      </w:r>
      <w:r w:rsidR="00321523">
        <w:t>De coördinatie van de wetgeving over de gezondheidsberoepen (h</w:t>
      </w:r>
      <w:r w:rsidR="00A4336F" w:rsidRPr="00CD53C6">
        <w:t>et koninklijk besluit nr. 78</w:t>
      </w:r>
      <w:r w:rsidR="00321523">
        <w:t>)</w:t>
      </w:r>
      <w:r w:rsidR="00A4336F" w:rsidRPr="00CD53C6">
        <w:t xml:space="preserve"> gaf aanleiding tot een bijzonder </w:t>
      </w:r>
      <w:r w:rsidR="00321523">
        <w:t>bevoegdheids</w:t>
      </w:r>
      <w:r w:rsidR="00A4336F" w:rsidRPr="00CD53C6">
        <w:t xml:space="preserve">probleem. In de loop van de </w:t>
      </w:r>
      <w:r w:rsidR="00A4336F" w:rsidRPr="00CD53C6">
        <w:lastRenderedPageBreak/>
        <w:t>coördinatieopdracht was de Zesde Staatshervorming in werking getreden en sindsdien beho</w:t>
      </w:r>
      <w:r w:rsidR="00321523">
        <w:t>o</w:t>
      </w:r>
      <w:r w:rsidR="00A4336F" w:rsidRPr="00CD53C6">
        <w:t>r</w:t>
      </w:r>
      <w:r w:rsidR="00321523">
        <w:t>d</w:t>
      </w:r>
      <w:r w:rsidR="00A4336F" w:rsidRPr="00CD53C6">
        <w:t>en een aantal onderdelen van het koninklijk besluit nr. 78 tot de bevoegdheid van de gemeenschappen inzake het gezondheidsbeleid. Daardoor r</w:t>
      </w:r>
      <w:r w:rsidR="00321523">
        <w:t>ee</w:t>
      </w:r>
      <w:r w:rsidR="00A4336F" w:rsidRPr="00CD53C6">
        <w:t xml:space="preserve">s de vraag of een coördinatie van het koninklijk besluit nr. 78 door de federale regelgever nog wel mogelijk is en, zo ja, of de federale wetgever de gecoördineerde tekst nog kan bekrachtigen. </w:t>
      </w:r>
    </w:p>
    <w:p w:rsidR="00545FD7" w:rsidRPr="00DF632C" w:rsidRDefault="00A4336F" w:rsidP="008A3D5B">
      <w:r w:rsidRPr="00CD53C6">
        <w:t>De Raad van State verw</w:t>
      </w:r>
      <w:r w:rsidR="00321523">
        <w:t>ee</w:t>
      </w:r>
      <w:r w:rsidRPr="00CD53C6">
        <w:t>s naar de bijzondere aard van een coördinatie door de uitvoerende macht (</w:t>
      </w:r>
      <w:r w:rsidR="002A7EE6" w:rsidRPr="00262AA8">
        <w:rPr>
          <w:highlight w:val="yellow"/>
        </w:rPr>
        <w:t>nr. 120</w:t>
      </w:r>
      <w:r w:rsidRPr="00CD53C6">
        <w:t>) en concludeer</w:t>
      </w:r>
      <w:r w:rsidR="00321523">
        <w:t>de</w:t>
      </w:r>
      <w:r w:rsidRPr="00CD53C6">
        <w:t xml:space="preserve"> dat een coördinatie van het koninklijk besluit nr. 78 zonder enige – zelfs minieme – inhoudelijke ingreep en zonder beduidende vormelijke ingrepen, beschouwd kan worden als een nieuwe wijze van voorstelling die de oorspronkelijke wetsbepalingen onverlet laat, ook als die wetsbepalingen tot de bevoegdheid van de gemeenschappen behoren. Die oorspronkelijke wetsbepalingen blijven dan immers bestaan. Aangezien het opgestelde ontwerp van coördinatie uitsluitend aanpassingen van vormelijke aard bevatte, die geen inhoudelijke weerslag </w:t>
      </w:r>
      <w:r w:rsidR="00576CC7">
        <w:t>hadden</w:t>
      </w:r>
      <w:r w:rsidRPr="00CD53C6">
        <w:t>, r</w:t>
      </w:r>
      <w:r w:rsidR="00321523">
        <w:t>ee</w:t>
      </w:r>
      <w:r w:rsidRPr="00CD53C6">
        <w:t xml:space="preserve">s er volgens de Raad van State op zich dan ook geen probleem van bevoegdheidsverdeling. Er </w:t>
      </w:r>
      <w:r w:rsidR="00576CC7">
        <w:t>werd</w:t>
      </w:r>
      <w:r w:rsidRPr="00CD53C6">
        <w:t xml:space="preserve"> wel op gewezen dat het niet aanvaardbaar zou zijn om het koninklijk besluit nr. 78 op een meer dan louter formeel vlak te wijzigen door middel van een coördinatie: dan zou het immers gaan om een nieuwe wilsuiting van de bevoegde regelgever, die enkel mogelijk is binnen zijn </w:t>
      </w:r>
      <w:r w:rsidR="00551AE8">
        <w:t xml:space="preserve">eigen </w:t>
      </w:r>
      <w:r w:rsidRPr="00CD53C6">
        <w:t>bevoegdheid.</w:t>
      </w:r>
      <w:r w:rsidR="00321523">
        <w:t xml:space="preserve"> Wellicht was de Raad van State vooral zo welwillend in zijn beoordeling over deze </w:t>
      </w:r>
      <w:r w:rsidRPr="00CD53C6">
        <w:t xml:space="preserve">“bevoegdheidsneutrale” coördinatie </w:t>
      </w:r>
      <w:r w:rsidR="00321523">
        <w:t>om</w:t>
      </w:r>
      <w:r w:rsidRPr="00CD53C6">
        <w:t xml:space="preserve">dat sinds het tijdstip van de inwerkingtreding van de nieuwe overdrachten van bevoegdheid aan de gemeenschappen, op 1 juli 2014, nog geen wijzigingen waren aangebracht in het koninklijk besluit nr. 78, noch door de federale overheid, noch door de gemeenschappen. </w:t>
      </w:r>
    </w:p>
    <w:p w:rsidR="00545FD7" w:rsidRPr="00DF632C" w:rsidRDefault="00A4336F" w:rsidP="008A3D5B">
      <w:r w:rsidRPr="00CD53C6">
        <w:t>De Raad van State g</w:t>
      </w:r>
      <w:r w:rsidR="00321523">
        <w:t>a</w:t>
      </w:r>
      <w:r w:rsidRPr="00CD53C6">
        <w:t xml:space="preserve">f in het advies uitdrukkelijk aan zich bij dit oordeel eveneens te laten leiden door het gegeven dat het “verknippen” van het koninklijk besluit nr. 78 om er de bepalingen uit weg te laten die voortaan tot de bevoegdheden van de gemeenschappen behoren, een opgave is die in de praktijk niet te realiseren is in het kader van een coördinatie. Het eenvoudig weglaten van onderdelen of aspecten van bepalingen van het koninklijk besluit nr. 78 die tot de bevoegdheid van de gemeenschappen behoren, </w:t>
      </w:r>
      <w:r w:rsidR="00321523">
        <w:t>zou</w:t>
      </w:r>
      <w:r w:rsidR="00321523" w:rsidRPr="00CD53C6">
        <w:t xml:space="preserve"> </w:t>
      </w:r>
      <w:r w:rsidRPr="00CD53C6">
        <w:t>de begrijpelijkheid en de samenhang van de resterende bepalingen in het gedrang</w:t>
      </w:r>
      <w:r w:rsidR="00321523">
        <w:t xml:space="preserve"> brengen</w:t>
      </w:r>
      <w:r w:rsidRPr="00CD53C6">
        <w:t>.</w:t>
      </w:r>
      <w:r w:rsidR="00A037E8">
        <w:rPr>
          <w:rStyle w:val="Voetnootmarkering"/>
        </w:rPr>
        <w:footnoteReference w:id="393"/>
      </w:r>
    </w:p>
    <w:p w:rsidR="008A3D5B" w:rsidRPr="00DF632C" w:rsidRDefault="008A3D5B" w:rsidP="008A3D5B"/>
    <w:p w:rsidR="00545FD7" w:rsidRPr="00DF632C" w:rsidRDefault="001D12B7" w:rsidP="008A3D5B">
      <w:r w:rsidRPr="00CD53C6">
        <w:rPr>
          <w:b/>
        </w:rPr>
        <w:t>12</w:t>
      </w:r>
      <w:r w:rsidR="00A33F35">
        <w:rPr>
          <w:b/>
        </w:rPr>
        <w:t>3</w:t>
      </w:r>
      <w:r w:rsidR="00A4336F" w:rsidRPr="00CD53C6">
        <w:rPr>
          <w:b/>
        </w:rPr>
        <w:t>.</w:t>
      </w:r>
      <w:r w:rsidR="00A4336F" w:rsidRPr="00CD53C6">
        <w:t xml:space="preserve"> Dat alles leidt er evenwel toe dat de “bevoegdheidsneutrale” coördinatie, anders dan hetgeen gebruikelijk is bij een coördinatie, niet kan worden bekrachtigd door de wetgever, aangezien die bekrachtiging zou neerkomen op een nieuwe wilsuiting van de wetgever die enkel mogelijk is binnen de bevoegdheid van de federale overheid.</w:t>
      </w:r>
      <w:r w:rsidR="00321523">
        <w:t xml:space="preserve"> </w:t>
      </w:r>
      <w:r w:rsidR="00A4336F" w:rsidRPr="00CD53C6">
        <w:t>Wel kan de federale wetgever de bepalingen in de gecoördineerde tekst die tot de bevoegdheid van de federale overheid kunnen worden gerekend, voortaan wijzigen, vervangen, aanvullen en opheffen. De federale wetgever kan de gecoördineerde tekst immers gebruiken als het nieuwe uitgangspunt voor zijn normerend optreden. Dat normerend optreden kan uiteraard enkel binnen de bevoegdheden van de federale overheid. De Raad van State w</w:t>
      </w:r>
      <w:r w:rsidR="00321523">
        <w:t>ee</w:t>
      </w:r>
      <w:r w:rsidR="00A4336F" w:rsidRPr="00CD53C6">
        <w:t>s erop dat de gemeenschappen beschikken over de keuzemogelijkheid om – binnen hun bevoegdheden – hun decretale initiatieven te baseren op de coördinatie, aangezien het koninklijk besluit nr. 78 niet was gewijzigd sinds het tijdstip waarop zij bevoegd zijn geworden.</w:t>
      </w:r>
      <w:r w:rsidR="00545FD7" w:rsidRPr="00DF632C">
        <w:rPr>
          <w:vertAlign w:val="superscript"/>
        </w:rPr>
        <w:footnoteReference w:id="394"/>
      </w:r>
      <w:r w:rsidR="00545FD7" w:rsidRPr="00DF632C">
        <w:t xml:space="preserve"> </w:t>
      </w:r>
    </w:p>
    <w:p w:rsidR="008A3D5B" w:rsidRPr="00DF632C" w:rsidRDefault="008A3D5B" w:rsidP="008A3D5B"/>
    <w:p w:rsidR="00545FD7" w:rsidRPr="00DF632C" w:rsidRDefault="001D12B7" w:rsidP="008A3D5B">
      <w:r w:rsidRPr="00CD53C6">
        <w:rPr>
          <w:b/>
        </w:rPr>
        <w:lastRenderedPageBreak/>
        <w:t>12</w:t>
      </w:r>
      <w:r w:rsidR="00A33F35">
        <w:rPr>
          <w:b/>
        </w:rPr>
        <w:t>4</w:t>
      </w:r>
      <w:r w:rsidR="00A4336F" w:rsidRPr="00CD53C6">
        <w:rPr>
          <w:b/>
        </w:rPr>
        <w:t>.</w:t>
      </w:r>
      <w:r w:rsidR="00A4336F" w:rsidRPr="00CD53C6">
        <w:t xml:space="preserve"> De Raad van State besl</w:t>
      </w:r>
      <w:r w:rsidR="00B44F75">
        <w:t>oo</w:t>
      </w:r>
      <w:r w:rsidR="00A4336F" w:rsidRPr="00CD53C6">
        <w:t xml:space="preserve">t het advies met de </w:t>
      </w:r>
      <w:r w:rsidR="00B44F75">
        <w:t>bedenking</w:t>
      </w:r>
      <w:r w:rsidR="00B44F75" w:rsidRPr="00CD53C6">
        <w:t xml:space="preserve"> </w:t>
      </w:r>
      <w:r w:rsidR="00A4336F" w:rsidRPr="00CD53C6">
        <w:t xml:space="preserve">dat de voordelen van de voorliggende coördinatie eerder beperkt zijn. Dat is deels het gevolg van de juridische beperkingen als gevolg van de bevoegdheidsverdeling en de onmogelijkheid om tot bekrachtiging over te gaan, maar volgt ook uit de vaststelling dat bepaalde onderdelen van het koninklijk besluit nr. 78 aan een inhoudelijke actualisering toe lijken te zijn. Meer in het algemeen </w:t>
      </w:r>
      <w:r w:rsidR="00B44F75">
        <w:t>wierp</w:t>
      </w:r>
      <w:r w:rsidR="00B44F75" w:rsidRPr="00CD53C6">
        <w:t xml:space="preserve"> </w:t>
      </w:r>
      <w:r w:rsidR="00A4336F" w:rsidRPr="00CD53C6">
        <w:t xml:space="preserve">de Raad van State </w:t>
      </w:r>
      <w:r w:rsidR="00B44F75">
        <w:t xml:space="preserve">opnieuw </w:t>
      </w:r>
      <w:r w:rsidR="00A4336F" w:rsidRPr="00CD53C6">
        <w:t>de vraag op of het instrument van een coördinatie nog aangepast is aan de hedendaagse regelgevende activiteit.</w:t>
      </w:r>
      <w:r w:rsidR="00545FD7" w:rsidRPr="00DF632C">
        <w:rPr>
          <w:vertAlign w:val="superscript"/>
        </w:rPr>
        <w:footnoteReference w:id="395"/>
      </w:r>
      <w:r w:rsidR="00545FD7" w:rsidRPr="00DF632C">
        <w:t xml:space="preserve"> </w:t>
      </w:r>
    </w:p>
    <w:p w:rsidR="008A3D5B" w:rsidRDefault="008A3D5B" w:rsidP="008A3D5B"/>
    <w:p w:rsidR="00CC10B6" w:rsidRPr="00262AA8" w:rsidRDefault="002A7EE6" w:rsidP="00CD53C6">
      <w:pPr>
        <w:pStyle w:val="Kop2"/>
        <w:rPr>
          <w:lang w:val="nl-BE"/>
        </w:rPr>
      </w:pPr>
      <w:bookmarkStart w:id="76" w:name="_Toc495677931"/>
      <w:r w:rsidRPr="00262AA8">
        <w:rPr>
          <w:lang w:val="nl-BE"/>
        </w:rPr>
        <w:t>D. Codificatie vs. coördinatie</w:t>
      </w:r>
      <w:bookmarkEnd w:id="76"/>
    </w:p>
    <w:p w:rsidR="00CC10B6" w:rsidRPr="00DF632C" w:rsidRDefault="00CC10B6" w:rsidP="008A3D5B"/>
    <w:p w:rsidR="00545FD7" w:rsidRPr="00DF632C" w:rsidRDefault="001D12B7" w:rsidP="008A3D5B">
      <w:r w:rsidRPr="00CD53C6">
        <w:rPr>
          <w:b/>
        </w:rPr>
        <w:t>12</w:t>
      </w:r>
      <w:r w:rsidR="00A33F35">
        <w:rPr>
          <w:b/>
        </w:rPr>
        <w:t>5</w:t>
      </w:r>
      <w:r w:rsidR="00A4336F" w:rsidRPr="00CD53C6">
        <w:rPr>
          <w:b/>
        </w:rPr>
        <w:t>.</w:t>
      </w:r>
      <w:r w:rsidR="00A4336F" w:rsidRPr="00CD53C6">
        <w:t xml:space="preserve"> In een advies diende de Raad van State zich uit te spreken over een ontwerp van een besluit van de Vlaamse Regering dat de “codificatie van sommige bepalingen voor het onderwijs” betrof.</w:t>
      </w:r>
      <w:r w:rsidR="00545FD7" w:rsidRPr="00DF632C">
        <w:t xml:space="preserve"> Bij deze gelegenheid bracht de Raad van State het onderscheid tussen een coördinatie en een codificatie in herinnering. </w:t>
      </w:r>
    </w:p>
    <w:p w:rsidR="00545FD7" w:rsidRPr="00DF632C" w:rsidRDefault="00A4336F" w:rsidP="008A3D5B">
      <w:r w:rsidRPr="00CD53C6">
        <w:t>Een codificatie is een doorgedreven coördinatie van wetgevende teksten. Het is een technisch juridisch middel om autonome, doch inhoudelijk verwante wetten, in één corpus samen te brengen, methodisch geordend en in doorlopende nummering. De codificatie onderscheidt zich van de coördinatie door haar omvang en door haar opzet: de codificatie put een vooraf omlijnde rechtsmaterie geheel uit; alle wetten of decreten die eenzelfde voorwerp betreffen, worden in één wetboek samengebracht. Het eigene van een codificatie is dat ze een welbepaalde rechtsmaterie uitput.</w:t>
      </w:r>
    </w:p>
    <w:p w:rsidR="00545FD7" w:rsidRPr="00DF632C" w:rsidRDefault="00A4336F" w:rsidP="008A3D5B">
      <w:r w:rsidRPr="00CD53C6">
        <w:t>De Raad van State stel</w:t>
      </w:r>
      <w:r w:rsidR="00B44F75">
        <w:t>de</w:t>
      </w:r>
      <w:r w:rsidRPr="00CD53C6">
        <w:t xml:space="preserve"> echter vast dat de voorliggende codificatie enerzijds alle teksten </w:t>
      </w:r>
      <w:r w:rsidR="00895691">
        <w:t>samenbracht</w:t>
      </w:r>
      <w:r w:rsidR="00895691" w:rsidRPr="00CD53C6">
        <w:t xml:space="preserve"> </w:t>
      </w:r>
      <w:r w:rsidRPr="00CD53C6">
        <w:t xml:space="preserve">die specifiek betrekking </w:t>
      </w:r>
      <w:r w:rsidR="00895691">
        <w:t>hadden</w:t>
      </w:r>
      <w:r w:rsidR="00895691" w:rsidRPr="00CD53C6">
        <w:t xml:space="preserve"> </w:t>
      </w:r>
      <w:r w:rsidRPr="00CD53C6">
        <w:t xml:space="preserve">op een bepaald onderwijsniveau (deeltijds kunstonderwijs) of op bepaalde vormen van onderwijsondersteuning (bijvoorbeeld internaten), maar anderzijds meer transversale regelingen </w:t>
      </w:r>
      <w:r w:rsidR="00895691">
        <w:t>bevatte</w:t>
      </w:r>
      <w:r w:rsidR="00895691" w:rsidRPr="00CD53C6">
        <w:t xml:space="preserve"> </w:t>
      </w:r>
      <w:r w:rsidRPr="00CD53C6">
        <w:t xml:space="preserve">die inhoudelijk ver uit elkaar liggen en die slechts zeer gedeeltelijk de teksten </w:t>
      </w:r>
      <w:r w:rsidR="00895691">
        <w:t>samenbrachten</w:t>
      </w:r>
      <w:r w:rsidR="00895691" w:rsidRPr="00CD53C6">
        <w:t xml:space="preserve"> </w:t>
      </w:r>
      <w:r w:rsidRPr="00CD53C6">
        <w:t xml:space="preserve">die op die aangelegenheid betrekking </w:t>
      </w:r>
      <w:r w:rsidR="00895691">
        <w:t>hadden</w:t>
      </w:r>
      <w:r w:rsidR="00895691" w:rsidRPr="00CD53C6">
        <w:t xml:space="preserve"> </w:t>
      </w:r>
      <w:r w:rsidRPr="00CD53C6">
        <w:t xml:space="preserve">(bijvoorbeeld rechtspositie onderwijspersoneel). Bijgevolg </w:t>
      </w:r>
      <w:r w:rsidR="00895691" w:rsidRPr="00CD53C6">
        <w:t>beantwoord</w:t>
      </w:r>
      <w:r w:rsidR="00895691">
        <w:t xml:space="preserve">de </w:t>
      </w:r>
      <w:r w:rsidRPr="00CD53C6">
        <w:t xml:space="preserve">het ontwerp niet aan de definitie van een codificatie, aangezien de enige inhoudelijke verwantschap het aspect “onderwijs” </w:t>
      </w:r>
      <w:r w:rsidR="00895691">
        <w:t>betrof</w:t>
      </w:r>
      <w:r w:rsidRPr="00CD53C6">
        <w:t xml:space="preserve">, maar de teksten geen betrekking </w:t>
      </w:r>
      <w:r w:rsidR="00895691">
        <w:t>hadden</w:t>
      </w:r>
      <w:r w:rsidR="00895691" w:rsidRPr="00CD53C6">
        <w:t xml:space="preserve"> </w:t>
      </w:r>
      <w:r w:rsidRPr="00CD53C6">
        <w:t xml:space="preserve">op hetzelfde aspect van het onderwijs. De Raad van State </w:t>
      </w:r>
      <w:r w:rsidR="00B44F75">
        <w:t>wierp</w:t>
      </w:r>
      <w:r w:rsidR="00B44F75" w:rsidRPr="00CD53C6">
        <w:t xml:space="preserve"> </w:t>
      </w:r>
      <w:r w:rsidRPr="00CD53C6">
        <w:t xml:space="preserve">bijgevolg de vraag </w:t>
      </w:r>
      <w:r w:rsidR="00B44F75">
        <w:t xml:space="preserve">op </w:t>
      </w:r>
      <w:r w:rsidRPr="00CD53C6">
        <w:t xml:space="preserve">of de codificatie de toegankelijkheid en de overzichtelijkheid van de regelgeving wel </w:t>
      </w:r>
      <w:r w:rsidR="00895691">
        <w:t>bevorderde</w:t>
      </w:r>
      <w:r w:rsidRPr="00CD53C6">
        <w:t xml:space="preserve">, en of integendeel enerzijds de bepalingen die op een bepaald onderwijsniveau betrekking </w:t>
      </w:r>
      <w:r w:rsidR="00895691">
        <w:t>hadden</w:t>
      </w:r>
      <w:r w:rsidR="00895691" w:rsidRPr="00CD53C6">
        <w:t xml:space="preserve"> </w:t>
      </w:r>
      <w:r w:rsidRPr="00CD53C6">
        <w:t xml:space="preserve">en anderzijds de bepalingen inzake de rechtspositie niet beter </w:t>
      </w:r>
      <w:r w:rsidR="00895691">
        <w:t>werden</w:t>
      </w:r>
      <w:r w:rsidRPr="00CD53C6">
        <w:t xml:space="preserve"> afgesplitst in afzonderlijke codificaties.</w:t>
      </w:r>
      <w:r w:rsidR="00B44F75" w:rsidRPr="00DF632C">
        <w:rPr>
          <w:vertAlign w:val="superscript"/>
        </w:rPr>
        <w:footnoteReference w:id="396"/>
      </w:r>
      <w:r w:rsidRPr="00CD53C6">
        <w:t xml:space="preserve"> </w:t>
      </w:r>
    </w:p>
    <w:p w:rsidR="008A3D5B" w:rsidRDefault="008A3D5B" w:rsidP="008A3D5B"/>
    <w:p w:rsidR="00CC10B6" w:rsidRPr="00262AA8" w:rsidRDefault="002A7EE6" w:rsidP="00CD53C6">
      <w:pPr>
        <w:pStyle w:val="Kop2"/>
        <w:rPr>
          <w:lang w:val="nl-BE"/>
        </w:rPr>
      </w:pPr>
      <w:bookmarkStart w:id="77" w:name="_Toc495677932"/>
      <w:r w:rsidRPr="00262AA8">
        <w:rPr>
          <w:lang w:val="nl-BE"/>
        </w:rPr>
        <w:t>E. Een coördinatie of codificatie kijkt enkel naar de toekomst</w:t>
      </w:r>
      <w:bookmarkEnd w:id="77"/>
    </w:p>
    <w:p w:rsidR="00CC10B6" w:rsidRPr="00DF632C" w:rsidRDefault="00CC10B6" w:rsidP="008A3D5B"/>
    <w:p w:rsidR="00545FD7" w:rsidRPr="00DF632C" w:rsidRDefault="001D12B7" w:rsidP="008A3D5B">
      <w:r w:rsidRPr="00CD53C6">
        <w:rPr>
          <w:b/>
        </w:rPr>
        <w:t>12</w:t>
      </w:r>
      <w:r w:rsidR="00A33F35">
        <w:rPr>
          <w:b/>
        </w:rPr>
        <w:t>6</w:t>
      </w:r>
      <w:r w:rsidR="00A4336F" w:rsidRPr="00CD53C6">
        <w:rPr>
          <w:b/>
        </w:rPr>
        <w:t>.</w:t>
      </w:r>
      <w:r w:rsidR="00A4336F" w:rsidRPr="00CD53C6">
        <w:t xml:space="preserve"> In hetzelfde advies merkt</w:t>
      </w:r>
      <w:r w:rsidR="00CC10B6">
        <w:t>e</w:t>
      </w:r>
      <w:r w:rsidR="00A4336F" w:rsidRPr="00CD53C6">
        <w:t xml:space="preserve"> de Raad van State op dat het ontwerp </w:t>
      </w:r>
      <w:r w:rsidR="00CC10B6">
        <w:t xml:space="preserve">van codificatie </w:t>
      </w:r>
      <w:r w:rsidR="00A4336F" w:rsidRPr="00CD53C6">
        <w:t>verschillende bepalingen bevat</w:t>
      </w:r>
      <w:r w:rsidR="00CC10B6">
        <w:t>te</w:t>
      </w:r>
      <w:r w:rsidR="00A4336F" w:rsidRPr="00CD53C6">
        <w:t xml:space="preserve"> waarin de uitwerkingsdata van de oorspronkelijke bepalingen in herinnering worden gebracht.</w:t>
      </w:r>
      <w:r w:rsidR="00545FD7" w:rsidRPr="00DF632C">
        <w:rPr>
          <w:vertAlign w:val="superscript"/>
        </w:rPr>
        <w:footnoteReference w:id="397"/>
      </w:r>
      <w:r w:rsidR="00545FD7" w:rsidRPr="00DF632C">
        <w:t xml:space="preserve"> Dergelijke werkwijze heeft echter geen nut en </w:t>
      </w:r>
      <w:r w:rsidR="00545FD7" w:rsidRPr="00DF632C">
        <w:lastRenderedPageBreak/>
        <w:t>geeft zelfs aanleiding tot rechtsonzekerheid.</w:t>
      </w:r>
      <w:r w:rsidR="00545FD7" w:rsidRPr="00DF632C">
        <w:rPr>
          <w:vertAlign w:val="superscript"/>
        </w:rPr>
        <w:footnoteReference w:id="398"/>
      </w:r>
      <w:r w:rsidR="00545FD7" w:rsidRPr="00DF632C">
        <w:t xml:space="preserve"> Een machtiging tot coördinatie of codificatie van wetteksten is immers uitgewerkt van zodra de coördinatie of codificatie tot stand is gekomen. De nieuwe tekst komt in de plaat</w:t>
      </w:r>
      <w:r w:rsidR="00A4336F" w:rsidRPr="00CD53C6">
        <w:t xml:space="preserve">s van de teksten die het voorwerp uitmaken van de coördinatie of codificatie. </w:t>
      </w:r>
    </w:p>
    <w:p w:rsidR="00545FD7" w:rsidRPr="00DF632C" w:rsidRDefault="00A4336F" w:rsidP="008A3D5B">
      <w:r w:rsidRPr="00CD53C6">
        <w:t>Het ontwerp van codificatie, alsook het voorontwerp van bekrachtigingsdecreet, bepaalden een datum van inwerkingtreding. Vanaf die datum is de bekrachtigde tekst van de codificatie de enige geldende wettekst, en is het niet meer van belang te weten op welk ogenblik de oorspronkelijke tekst uitwerking heeft gekregen. Uiteraard blijven de opgeheven teksten gelden voor het verleden aangezien zij enkel voor de toekomst worden opgeheven. Het opnemen van de oorspronkelijke uitwerkingsbepalingen brengt hier geen verandering in.</w:t>
      </w:r>
    </w:p>
    <w:p w:rsidR="00545FD7" w:rsidRPr="00DF632C" w:rsidRDefault="00A4336F" w:rsidP="008A3D5B">
      <w:r w:rsidRPr="00CD53C6">
        <w:t xml:space="preserve">Het vermelden van de oorspronkelijke uitwerkingsdata kan bovendien tot rechtsonzekerheid leiden, aangezien de indruk wordt gewekt dat de bepalingen van de codificatie vroeger uitwerking kregen, terwijl dit enkel de “oorspronkelijke bepalingen” betreft. Deze rechtsonzekerheid wordt des te meer in de hand gewerkt waar wordt bepaald dat het betreffend artikel van de codificatie uitwerking heeft “met ingang van een datum te bepalen door de Vlaamse Regering” of waar twee data van uitwerking worden vermeld zonder daarbij te preciseren voor welke onderdelen de verschillende data van uitwerking dan wel gelden. Overigens blijken veel oorspronkelijke bepalingen hetzij volledig vervangen, hetzij ingrijpend gewijzigd te zijn, zodat de oorspronkelijke uitwerkingsdatum niet noodzakelijk overeenstemt met de datum waarop die tot nog toe geldende bepaling daadwerkelijk uitwerking heeft gekregen. Als het de bedoeling is de rechtszoekende te informeren over de wetshistoriek van de bepaling, moet deze blijken uit de voetnoten van de codificatie. </w:t>
      </w:r>
    </w:p>
    <w:p w:rsidR="008A3D5B" w:rsidRPr="00DF632C" w:rsidRDefault="00A4336F" w:rsidP="008A3D5B">
      <w:r w:rsidRPr="00CD53C6">
        <w:t xml:space="preserve">Om al die redenen adviseerde de Raad van State dan ook om de bepalingen waarin de uitwerkingsdata werden vermeld uit de tekst weg te laten. </w:t>
      </w:r>
      <w:bookmarkStart w:id="78" w:name="_GoBack"/>
      <w:bookmarkEnd w:id="78"/>
    </w:p>
    <w:p w:rsidR="008A3D5B" w:rsidRPr="00DF632C" w:rsidRDefault="008A3D5B" w:rsidP="008A3D5B"/>
    <w:p w:rsidR="00545FD7" w:rsidRPr="00DF632C" w:rsidRDefault="001D12B7" w:rsidP="008A3D5B">
      <w:r w:rsidRPr="00CD53C6">
        <w:rPr>
          <w:b/>
        </w:rPr>
        <w:t>12</w:t>
      </w:r>
      <w:r w:rsidR="00F85292">
        <w:rPr>
          <w:b/>
        </w:rPr>
        <w:t>7</w:t>
      </w:r>
      <w:r w:rsidR="00A4336F" w:rsidRPr="00CD53C6">
        <w:rPr>
          <w:b/>
        </w:rPr>
        <w:t>.</w:t>
      </w:r>
      <w:r w:rsidR="00A4336F" w:rsidRPr="00CD53C6">
        <w:t xml:space="preserve"> Hoewel een coördinatie strikt genomen enkel betrekking heeft op wetskrachtige normen, is het niet uitgesloten dat de uitvoerende macht ook verordeningsbepalingen coördineert teneinde deze tot een methodisch geheel te ordenen, met onderling aangepaste terminologie en in doorlopende nummering. Ingeval de gecoördineerde verordenende teksten worden opgeheven, moet het coördinatiebesluit daardoor worden geacht een nieuwe wilsuiting te bevatten.</w:t>
      </w:r>
      <w:r w:rsidR="00545FD7" w:rsidRPr="00DF632C">
        <w:rPr>
          <w:vertAlign w:val="superscript"/>
        </w:rPr>
        <w:footnoteReference w:id="399"/>
      </w:r>
      <w:r w:rsidR="00545FD7" w:rsidRPr="00DF632C">
        <w:t xml:space="preserve"> De rechtsgrond voor de gecoördineerde regeling wordt in beginsel geboden door de wetsbepalingen die rechtsgrond bieden voor elk van de gecoördineerde besluiten of bepalingen, maar er dient te worden nagegaan of deze nog steeds gelden op het </w:t>
      </w:r>
      <w:r w:rsidR="00A4336F" w:rsidRPr="00CD53C6">
        <w:t>ogenblik van de coördinatie of vervangen zijn door een andere bepalingen die een geschikte rechtsgrond biedt.</w:t>
      </w:r>
      <w:r w:rsidR="00545FD7" w:rsidRPr="00DF632C">
        <w:rPr>
          <w:vertAlign w:val="superscript"/>
        </w:rPr>
        <w:footnoteReference w:id="400"/>
      </w:r>
      <w:r w:rsidR="00545FD7" w:rsidRPr="00DF632C">
        <w:t xml:space="preserve"> Wanneer de coördinatie in de plaats komt van de gecoördineerde teksten moeten de voorgeschreven vormvereisten opnieuw worden vervuld, zelfs indie</w:t>
      </w:r>
      <w:r w:rsidR="00A4336F" w:rsidRPr="00CD53C6">
        <w:t>n de coördinatie inhoudelijk zeer sterk aanleunt bij de oorspronkelijke teksten.</w:t>
      </w:r>
      <w:r w:rsidR="00545FD7" w:rsidRPr="00DF632C">
        <w:rPr>
          <w:vertAlign w:val="superscript"/>
        </w:rPr>
        <w:footnoteReference w:id="401"/>
      </w:r>
    </w:p>
    <w:p w:rsidR="00545FD7" w:rsidRPr="00DF632C" w:rsidRDefault="00545FD7" w:rsidP="008A3D5B"/>
    <w:p w:rsidR="00545FD7" w:rsidRPr="00DF632C" w:rsidRDefault="00545FD7" w:rsidP="00545FD7">
      <w:pPr>
        <w:autoSpaceDE w:val="0"/>
        <w:autoSpaceDN w:val="0"/>
        <w:adjustRightInd w:val="0"/>
      </w:pPr>
    </w:p>
    <w:p w:rsidR="00D42B46" w:rsidRPr="00DF632C" w:rsidRDefault="00D42B46" w:rsidP="00545FD7">
      <w:pPr>
        <w:autoSpaceDE w:val="0"/>
        <w:autoSpaceDN w:val="0"/>
        <w:adjustRightInd w:val="0"/>
      </w:pPr>
    </w:p>
    <w:p w:rsidR="00545FD7" w:rsidRPr="00DF632C" w:rsidRDefault="00545FD7" w:rsidP="00545FD7">
      <w:pPr>
        <w:autoSpaceDE w:val="0"/>
        <w:autoSpaceDN w:val="0"/>
        <w:adjustRightInd w:val="0"/>
        <w:jc w:val="left"/>
      </w:pPr>
    </w:p>
    <w:p w:rsidR="00545FD7" w:rsidRPr="00DF632C" w:rsidRDefault="00545FD7" w:rsidP="001B6036">
      <w:pPr>
        <w:rPr>
          <w:szCs w:val="24"/>
        </w:rPr>
      </w:pPr>
    </w:p>
    <w:p w:rsidR="00545FD7" w:rsidRPr="00DF632C" w:rsidRDefault="00545FD7" w:rsidP="001B6036">
      <w:pPr>
        <w:rPr>
          <w:szCs w:val="24"/>
        </w:rPr>
      </w:pPr>
    </w:p>
    <w:sectPr w:rsidR="00545FD7" w:rsidRPr="00DF632C" w:rsidSect="009C350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AE7" w:rsidRDefault="00C26AE7" w:rsidP="00581C30">
      <w:r>
        <w:separator/>
      </w:r>
    </w:p>
  </w:endnote>
  <w:endnote w:type="continuationSeparator" w:id="0">
    <w:p w:rsidR="00C26AE7" w:rsidRDefault="00C26AE7" w:rsidP="0058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rmaPro-Italic">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007" w:rsidRDefault="005C600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AE7" w:rsidRDefault="00C26AE7" w:rsidP="00581C30">
      <w:r>
        <w:separator/>
      </w:r>
    </w:p>
  </w:footnote>
  <w:footnote w:type="continuationSeparator" w:id="0">
    <w:p w:rsidR="00C26AE7" w:rsidRDefault="00C26AE7" w:rsidP="00581C30">
      <w:r>
        <w:continuationSeparator/>
      </w:r>
    </w:p>
  </w:footnote>
  <w:footnote w:id="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Voor die klassieke thema’s wordt dan ook verwezen naar de vorige uitgaven van deze kroniek: z</w:t>
      </w:r>
      <w:r w:rsidRPr="008B1EA4">
        <w:rPr>
          <w:rFonts w:cs="Times New Roman"/>
        </w:rPr>
        <w:t xml:space="preserve">ie </w:t>
      </w:r>
      <w:r w:rsidRPr="008B1EA4">
        <w:rPr>
          <w:rFonts w:cs="Times New Roman"/>
          <w:i/>
        </w:rPr>
        <w:t>TvW</w:t>
      </w:r>
      <w:r w:rsidRPr="008B1EA4">
        <w:rPr>
          <w:rFonts w:cs="Times New Roman"/>
        </w:rPr>
        <w:t xml:space="preserve"> 2001, 3-12 (kroniek 2000); 2002, 148-160 (kroniek 2001); 2003, 204-225 (kroniek 2002); 2004, 147-166 (kroniek 2003); 2005, 173-197 (kroniek 2004); 2006, 185-208 (kroniek 2005); 2007, 138-164 (kroniek 2006); 2009, 100-133 (kroniek 2007 en 2008); 2011, 114-147 (kroniek 2009 en 2010); 2013, 124-158 (kroniek 2011 en 2012); 2015, 109-147 (kroniek 2013 en 2014).</w:t>
      </w:r>
    </w:p>
  </w:footnote>
  <w:footnote w:id="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Het nummer bestaat uit een rolnummer (dat een eenvoudig volgnummer is dat wordt toegekend wanneer de adviesaanvraag wordt geregistreerd op de griffie) en de vermelding van de kamer(s) die het advies uitbracht(en). De eerste en de derde kamer zijn de Nederlandstalige kamers; de tweede en de vierde kamer de Franstalige. Bij programmawetten behandelt elke kamer in beginsel de tekstgedeelten waarvoor zij bevoegd is. De vermeldingen </w:t>
      </w:r>
      <w:r>
        <w:rPr>
          <w:rFonts w:cs="Times New Roman"/>
        </w:rPr>
        <w:t>“</w:t>
      </w:r>
      <w:r w:rsidRPr="008B1EA4">
        <w:rPr>
          <w:rFonts w:cs="Times New Roman"/>
        </w:rPr>
        <w:t>1/V</w:t>
      </w:r>
      <w:r>
        <w:rPr>
          <w:rFonts w:cs="Times New Roman"/>
        </w:rPr>
        <w:t>”</w:t>
      </w:r>
      <w:r w:rsidRPr="008B1EA4">
        <w:rPr>
          <w:rFonts w:cs="Times New Roman"/>
        </w:rPr>
        <w:t xml:space="preserve"> en </w:t>
      </w:r>
      <w:r>
        <w:rPr>
          <w:rFonts w:cs="Times New Roman"/>
        </w:rPr>
        <w:t>“</w:t>
      </w:r>
      <w:r w:rsidRPr="008B1EA4">
        <w:rPr>
          <w:rFonts w:cs="Times New Roman"/>
        </w:rPr>
        <w:t>2/V</w:t>
      </w:r>
      <w:r>
        <w:rPr>
          <w:rFonts w:cs="Times New Roman"/>
        </w:rPr>
        <w:t>”</w:t>
      </w:r>
      <w:r w:rsidRPr="008B1EA4">
        <w:rPr>
          <w:rFonts w:cs="Times New Roman"/>
        </w:rPr>
        <w:t xml:space="preserve"> slaan op de Nederlandstalige resp. Franstalige vakantiekamers, die een wisselende samenstelling kennen. De vermelding </w:t>
      </w:r>
      <w:r>
        <w:rPr>
          <w:rFonts w:cs="Times New Roman"/>
        </w:rPr>
        <w:t>“</w:t>
      </w:r>
      <w:r w:rsidRPr="008B1EA4">
        <w:rPr>
          <w:rFonts w:cs="Times New Roman"/>
        </w:rPr>
        <w:t>VR</w:t>
      </w:r>
      <w:r>
        <w:rPr>
          <w:rFonts w:cs="Times New Roman"/>
        </w:rPr>
        <w:t>”</w:t>
      </w:r>
      <w:r w:rsidRPr="008B1EA4">
        <w:rPr>
          <w:rFonts w:cs="Times New Roman"/>
        </w:rPr>
        <w:t xml:space="preserve"> slaat op de verenigde kamers (d.w.z. één Nederlandstalige en één Franstalige kamer die samen beraadslagen over belangrijke bevoegdheidsproblemen die rijzen in een bepaalde zaak); de vermelding </w:t>
      </w:r>
      <w:r>
        <w:rPr>
          <w:rFonts w:cs="Times New Roman"/>
        </w:rPr>
        <w:t>“</w:t>
      </w:r>
      <w:r w:rsidRPr="008B1EA4">
        <w:rPr>
          <w:rFonts w:cs="Times New Roman"/>
        </w:rPr>
        <w:t>AV</w:t>
      </w:r>
      <w:r>
        <w:rPr>
          <w:rFonts w:cs="Times New Roman"/>
        </w:rPr>
        <w:t>”</w:t>
      </w:r>
      <w:r w:rsidRPr="008B1EA4">
        <w:rPr>
          <w:rFonts w:cs="Times New Roman"/>
        </w:rPr>
        <w:t xml:space="preserve"> slaat op de algemene vergadering van de afdeling wetgeving (d.w.z. alle vier kamers van deze afdeling, die samen beraadslagen over belangrijke kwesties waarvoor een eenvormig standpunt wenselijk is).</w:t>
      </w:r>
    </w:p>
  </w:footnote>
  <w:footnote w:id="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daarover uitgebreider J. </w:t>
      </w:r>
      <w:r w:rsidRPr="008B1EA4">
        <w:rPr>
          <w:rFonts w:cs="Times New Roman"/>
          <w:smallCaps/>
        </w:rPr>
        <w:t>Van Nieuwenhove</w:t>
      </w:r>
      <w:r w:rsidRPr="008B1EA4">
        <w:rPr>
          <w:rFonts w:cs="Times New Roman"/>
        </w:rPr>
        <w:t xml:space="preserve">, </w:t>
      </w:r>
      <w:r>
        <w:rPr>
          <w:rFonts w:cs="Times New Roman"/>
        </w:rPr>
        <w:t>“</w:t>
      </w:r>
      <w:r w:rsidRPr="008B1EA4">
        <w:rPr>
          <w:rFonts w:cs="Times New Roman"/>
        </w:rPr>
        <w:t>Openbaarheid van de adviezen van de Raad van State</w:t>
      </w:r>
      <w:r>
        <w:rPr>
          <w:rFonts w:cs="Times New Roman"/>
        </w:rPr>
        <w:t>”</w:t>
      </w:r>
      <w:r w:rsidRPr="008B1EA4">
        <w:rPr>
          <w:rFonts w:cs="Times New Roman"/>
        </w:rPr>
        <w:t xml:space="preserve">, </w:t>
      </w:r>
      <w:r w:rsidRPr="008B1EA4">
        <w:rPr>
          <w:rFonts w:cs="Times New Roman"/>
          <w:i/>
        </w:rPr>
        <w:t>TvW</w:t>
      </w:r>
      <w:r w:rsidRPr="008B1EA4">
        <w:rPr>
          <w:rFonts w:cs="Times New Roman"/>
        </w:rPr>
        <w:t xml:space="preserve"> 2017, (3) 16-18.</w:t>
      </w:r>
    </w:p>
  </w:footnote>
  <w:footnote w:id="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Hiermee worden bedoeld de overeenstemming met de bevoegdheidsverdelende regels en met de rechtsgrond (en bij uitbreiding, met hogere rechtsnormen), alsook het vervuld zijn van de voorafgaande vormvereisten (zie art. 84, § 3, eerste lid, RvSt-wet).</w:t>
      </w:r>
    </w:p>
  </w:footnote>
  <w:footnote w:id="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60.401/1 van 7 december 2016</w:t>
      </w:r>
      <w:r>
        <w:rPr>
          <w:rFonts w:cs="Times New Roman"/>
        </w:rPr>
        <w:t>, nr. 7</w:t>
      </w:r>
      <w:r w:rsidRPr="008B1EA4">
        <w:rPr>
          <w:rFonts w:cs="Times New Roman"/>
        </w:rPr>
        <w:t>.</w:t>
      </w:r>
    </w:p>
  </w:footnote>
  <w:footnote w:id="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57.093/3</w:t>
      </w:r>
      <w:r>
        <w:rPr>
          <w:rFonts w:cs="Times New Roman"/>
        </w:rPr>
        <w:t xml:space="preserve"> van 16 februari 2016</w:t>
      </w:r>
      <w:r w:rsidRPr="008B1EA4">
        <w:rPr>
          <w:rFonts w:cs="Times New Roman"/>
        </w:rPr>
        <w:t xml:space="preserve">, </w:t>
      </w:r>
      <w:r>
        <w:rPr>
          <w:rFonts w:cs="Times New Roman"/>
        </w:rPr>
        <w:t xml:space="preserve">nr. </w:t>
      </w:r>
      <w:r w:rsidRPr="008B1EA4">
        <w:rPr>
          <w:rFonts w:cs="Times New Roman"/>
        </w:rPr>
        <w:t>7.</w:t>
      </w:r>
    </w:p>
  </w:footnote>
  <w:footnote w:id="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58.448/</w:t>
      </w:r>
      <w:r>
        <w:rPr>
          <w:rFonts w:cs="Times New Roman"/>
        </w:rPr>
        <w:t>3 van 16 november 2015</w:t>
      </w:r>
      <w:r w:rsidRPr="008B1EA4">
        <w:rPr>
          <w:rFonts w:cs="Times New Roman"/>
        </w:rPr>
        <w:t xml:space="preserve">, </w:t>
      </w:r>
      <w:r>
        <w:rPr>
          <w:rFonts w:cs="Times New Roman"/>
        </w:rPr>
        <w:t xml:space="preserve">nr. </w:t>
      </w:r>
      <w:r w:rsidRPr="008B1EA4">
        <w:rPr>
          <w:rFonts w:cs="Times New Roman"/>
        </w:rPr>
        <w:t>10.</w:t>
      </w:r>
    </w:p>
  </w:footnote>
  <w:footnote w:id="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sidRPr="00CD53C6">
        <w:rPr>
          <w:rFonts w:cs="Times New Roman"/>
        </w:rPr>
        <w:t xml:space="preserve">Adv.RvS 59.534/3 van </w:t>
      </w:r>
      <w:r w:rsidRPr="00187B15">
        <w:rPr>
          <w:rFonts w:cs="Times New Roman"/>
        </w:rPr>
        <w:t>6 juli 2016</w:t>
      </w:r>
      <w:r>
        <w:rPr>
          <w:rFonts w:cs="Times New Roman"/>
        </w:rPr>
        <w:t>, nr. 5.1</w:t>
      </w:r>
      <w:r w:rsidRPr="00CD53C6">
        <w:rPr>
          <w:rFonts w:cs="Times New Roman"/>
        </w:rPr>
        <w:t>.</w:t>
      </w:r>
      <w:r w:rsidRPr="00187B15">
        <w:rPr>
          <w:rFonts w:cs="Times New Roman"/>
        </w:rPr>
        <w:t xml:space="preserve"> Zie</w:t>
      </w:r>
      <w:r>
        <w:rPr>
          <w:rFonts w:cs="Times New Roman"/>
        </w:rPr>
        <w:t xml:space="preserve"> ook nr. </w:t>
      </w:r>
      <w:r w:rsidRPr="00CD53C6">
        <w:rPr>
          <w:rFonts w:cs="Times New Roman"/>
          <w:highlight w:val="yellow"/>
        </w:rPr>
        <w:t>32.</w:t>
      </w:r>
    </w:p>
  </w:footnote>
  <w:footnote w:id="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58.310/3</w:t>
      </w:r>
      <w:r>
        <w:rPr>
          <w:rFonts w:cs="Times New Roman"/>
        </w:rPr>
        <w:t xml:space="preserve"> van 22 oktober 2015</w:t>
      </w:r>
      <w:r w:rsidRPr="008B1EA4">
        <w:rPr>
          <w:rFonts w:cs="Times New Roman"/>
        </w:rPr>
        <w:t xml:space="preserve">, </w:t>
      </w:r>
      <w:r>
        <w:rPr>
          <w:rFonts w:cs="Times New Roman"/>
        </w:rPr>
        <w:t xml:space="preserve">nr. </w:t>
      </w:r>
      <w:r w:rsidRPr="008B1EA4">
        <w:rPr>
          <w:rFonts w:cs="Times New Roman"/>
        </w:rPr>
        <w:t>4.</w:t>
      </w:r>
    </w:p>
  </w:footnote>
  <w:footnote w:id="1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59.217/3</w:t>
      </w:r>
      <w:r>
        <w:rPr>
          <w:rFonts w:cs="Times New Roman"/>
        </w:rPr>
        <w:t xml:space="preserve"> van 31 mei 2016, nr. 8</w:t>
      </w:r>
      <w:r w:rsidRPr="008B1EA4">
        <w:rPr>
          <w:rFonts w:cs="Times New Roman"/>
        </w:rPr>
        <w:t>; adv.RvS 59.784/1</w:t>
      </w:r>
      <w:r>
        <w:rPr>
          <w:rFonts w:cs="Times New Roman"/>
        </w:rPr>
        <w:t>/V van 23 september 2016, nr. 7.1</w:t>
      </w:r>
      <w:r w:rsidRPr="008B1EA4">
        <w:rPr>
          <w:rFonts w:cs="Times New Roman"/>
        </w:rPr>
        <w:t>.</w:t>
      </w:r>
    </w:p>
  </w:footnote>
  <w:footnote w:id="11">
    <w:p w:rsidR="005C6007" w:rsidRPr="00F17EDB" w:rsidRDefault="005C6007" w:rsidP="008B1EA4">
      <w:pPr>
        <w:pStyle w:val="Voetnoottekst"/>
        <w:rPr>
          <w:rFonts w:cs="Times New Roman"/>
          <w:lang w:val="fr-BE"/>
        </w:rPr>
      </w:pPr>
      <w:r w:rsidRPr="008B1EA4">
        <w:rPr>
          <w:rStyle w:val="Voetnootmarkering"/>
          <w:rFonts w:cs="Times New Roman"/>
        </w:rPr>
        <w:footnoteRef/>
      </w:r>
      <w:r w:rsidRPr="00F17EDB">
        <w:rPr>
          <w:lang w:val="fr-BE"/>
        </w:rPr>
        <w:t xml:space="preserve"> </w:t>
      </w:r>
      <w:r w:rsidRPr="00F17EDB">
        <w:rPr>
          <w:i/>
          <w:lang w:val="fr-BE"/>
        </w:rPr>
        <w:t>Parl.St.</w:t>
      </w:r>
      <w:r w:rsidRPr="00F17EDB">
        <w:rPr>
          <w:lang w:val="fr-BE"/>
        </w:rPr>
        <w:t xml:space="preserve"> Vl.Parl. 2016-17, nr. 945/1, 14.</w:t>
      </w:r>
    </w:p>
  </w:footnote>
  <w:footnote w:id="12">
    <w:p w:rsidR="005C6007" w:rsidRPr="008B1EA4" w:rsidRDefault="005C6007" w:rsidP="008B1EA4">
      <w:pPr>
        <w:pStyle w:val="Voetnoottekst"/>
        <w:rPr>
          <w:rFonts w:cs="Times New Roman"/>
          <w:lang w:val="nl-NL"/>
        </w:rPr>
      </w:pPr>
      <w:r w:rsidRPr="008B1EA4">
        <w:rPr>
          <w:rStyle w:val="Voetnootmarkering"/>
          <w:rFonts w:cs="Times New Roman"/>
          <w:lang w:val="nl-NL"/>
        </w:rPr>
        <w:footnoteRef/>
      </w:r>
      <w:r w:rsidRPr="008B1EA4">
        <w:rPr>
          <w:rFonts w:cs="Times New Roman"/>
          <w:lang w:val="nl-NL"/>
        </w:rPr>
        <w:t xml:space="preserve"> </w:t>
      </w:r>
      <w:r>
        <w:rPr>
          <w:rFonts w:cs="Times New Roman"/>
          <w:lang w:val="nl-NL"/>
        </w:rPr>
        <w:t>Zie</w:t>
      </w:r>
      <w:r w:rsidRPr="008B1EA4">
        <w:rPr>
          <w:rFonts w:cs="Times New Roman"/>
          <w:lang w:val="nl-NL"/>
        </w:rPr>
        <w:t xml:space="preserve"> </w:t>
      </w:r>
      <w:r>
        <w:rPr>
          <w:rFonts w:cs="Times New Roman"/>
          <w:lang w:val="nl-NL"/>
        </w:rPr>
        <w:t xml:space="preserve">bv. </w:t>
      </w:r>
      <w:r w:rsidRPr="008B1EA4">
        <w:rPr>
          <w:rFonts w:cs="Times New Roman"/>
          <w:highlight w:val="yellow"/>
          <w:lang w:val="nl-NL"/>
        </w:rPr>
        <w:t>nr</w:t>
      </w:r>
      <w:r>
        <w:rPr>
          <w:rFonts w:cs="Times New Roman"/>
          <w:highlight w:val="yellow"/>
          <w:lang w:val="nl-NL"/>
        </w:rPr>
        <w:t>s</w:t>
      </w:r>
      <w:r w:rsidRPr="008B1EA4">
        <w:rPr>
          <w:rFonts w:cs="Times New Roman"/>
          <w:highlight w:val="yellow"/>
          <w:lang w:val="nl-NL"/>
        </w:rPr>
        <w:t xml:space="preserve">. </w:t>
      </w:r>
      <w:r>
        <w:rPr>
          <w:rFonts w:cs="Times New Roman"/>
          <w:highlight w:val="yellow"/>
          <w:lang w:val="nl-NL"/>
        </w:rPr>
        <w:t>8 e.v</w:t>
      </w:r>
      <w:r w:rsidRPr="008B1EA4">
        <w:rPr>
          <w:rFonts w:cs="Times New Roman"/>
          <w:lang w:val="nl-NL"/>
        </w:rPr>
        <w:t>.</w:t>
      </w:r>
    </w:p>
  </w:footnote>
  <w:footnote w:id="13">
    <w:p w:rsidR="005C6007" w:rsidRPr="008B1EA4" w:rsidRDefault="005C6007" w:rsidP="008B1EA4">
      <w:pPr>
        <w:pStyle w:val="Voetnoottekst"/>
        <w:rPr>
          <w:rFonts w:cs="Times New Roman"/>
          <w:lang w:val="nl-NL"/>
        </w:rPr>
      </w:pPr>
      <w:r w:rsidRPr="008B1EA4">
        <w:rPr>
          <w:rStyle w:val="Voetnootmarkering"/>
          <w:rFonts w:cs="Times New Roman"/>
          <w:lang w:val="nl-NL"/>
        </w:rPr>
        <w:footnoteRef/>
      </w:r>
      <w:r w:rsidRPr="008B1EA4">
        <w:rPr>
          <w:rFonts w:cs="Times New Roman"/>
          <w:lang w:val="nl-NL"/>
        </w:rPr>
        <w:t xml:space="preserve"> In advies 59.074/3 van 4 april 2016, nr. 7 onderzocht de Raad van State bv. de overeenstemming van het voorontwerp van wet tot wijziging van de wet van 29 april 1999 betreffende de organisatie van de elektriciteitsmarkt wat betreft de wijziging van het systeem voor de toekenning van groenestroomcertificaten voor elektriciteit geproduceerd overeenkomstig artikel 6, de financiering van de onderzeese kabel en de productieafwijking met het Energiehandvest.</w:t>
      </w:r>
    </w:p>
  </w:footnote>
  <w:footnote w:id="14">
    <w:p w:rsidR="005C6007" w:rsidRPr="008B1EA4" w:rsidRDefault="005C6007" w:rsidP="008B1EA4">
      <w:pPr>
        <w:pStyle w:val="Voetnoottekst"/>
        <w:rPr>
          <w:rFonts w:cs="Times New Roman"/>
          <w:lang w:val="nl-NL"/>
        </w:rPr>
      </w:pPr>
      <w:r w:rsidRPr="008B1EA4">
        <w:rPr>
          <w:rStyle w:val="Voetnootmarkering"/>
          <w:rFonts w:cs="Times New Roman"/>
          <w:lang w:val="nl-NL"/>
        </w:rPr>
        <w:footnoteRef/>
      </w:r>
      <w:r w:rsidRPr="008B1EA4">
        <w:rPr>
          <w:rFonts w:cs="Times New Roman"/>
          <w:lang w:val="nl-NL"/>
        </w:rPr>
        <w:t xml:space="preserve"> De regels van afgeleid EU-recht zijn natuurlijk heel prominent aanwezig (</w:t>
      </w:r>
      <w:r w:rsidRPr="00CD53C6">
        <w:rPr>
          <w:rFonts w:cs="Times New Roman"/>
          <w:highlight w:val="yellow"/>
          <w:lang w:val="nl-NL"/>
        </w:rPr>
        <w:t xml:space="preserve">zie </w:t>
      </w:r>
      <w:r>
        <w:rPr>
          <w:rFonts w:cs="Times New Roman"/>
          <w:highlight w:val="yellow"/>
          <w:lang w:val="nl-NL"/>
        </w:rPr>
        <w:t>nrs. 29 e.v.</w:t>
      </w:r>
      <w:r w:rsidRPr="008B1EA4">
        <w:rPr>
          <w:rFonts w:cs="Times New Roman"/>
          <w:lang w:val="nl-NL"/>
        </w:rPr>
        <w:t xml:space="preserve">), maar de </w:t>
      </w:r>
      <w:r>
        <w:rPr>
          <w:rFonts w:cs="Times New Roman"/>
          <w:lang w:val="nl-NL"/>
        </w:rPr>
        <w:t>toetsing is niet daartoe beperkt</w:t>
      </w:r>
      <w:r w:rsidRPr="008B1EA4">
        <w:rPr>
          <w:rFonts w:cs="Times New Roman"/>
          <w:lang w:val="nl-NL"/>
        </w:rPr>
        <w:t xml:space="preserve"> (zie bv. adv.RvS 60.677/4 van 27 februari 2017, </w:t>
      </w:r>
      <w:r>
        <w:rPr>
          <w:rFonts w:cs="Times New Roman"/>
          <w:lang w:val="nl-NL"/>
        </w:rPr>
        <w:t>opmerking bij artikel 20</w:t>
      </w:r>
      <w:r w:rsidRPr="008B1EA4">
        <w:rPr>
          <w:rFonts w:cs="Times New Roman"/>
          <w:lang w:val="nl-NL"/>
        </w:rPr>
        <w:t xml:space="preserve">; adv.RvS </w:t>
      </w:r>
      <w:r w:rsidRPr="008B1EA4">
        <w:rPr>
          <w:rFonts w:cs="Times New Roman"/>
        </w:rPr>
        <w:t>59.332/1 van 26 mei 2016, nrs. 3</w:t>
      </w:r>
      <w:r>
        <w:rPr>
          <w:rFonts w:cs="Times New Roman"/>
        </w:rPr>
        <w:t>.1 tot 3.3</w:t>
      </w:r>
      <w:r w:rsidRPr="008B1EA4">
        <w:rPr>
          <w:rFonts w:cs="Times New Roman"/>
        </w:rPr>
        <w:t xml:space="preserve"> en adv.RvS 59.180/2 van 30 mei 2016, blz. 5</w:t>
      </w:r>
      <w:r>
        <w:rPr>
          <w:rFonts w:cs="Times New Roman"/>
        </w:rPr>
        <w:t>,</w:t>
      </w:r>
      <w:r w:rsidRPr="008B1EA4">
        <w:rPr>
          <w:rFonts w:cs="Times New Roman"/>
          <w:lang w:val="nl-NL"/>
        </w:rPr>
        <w:t xml:space="preserve"> waar het ontwerp wordt onderzocht naar zijn overeenstemming met afgeleid Benelux-recht).</w:t>
      </w:r>
    </w:p>
  </w:footnote>
  <w:footnote w:id="15">
    <w:p w:rsidR="005C6007" w:rsidRPr="008B1EA4" w:rsidRDefault="005C6007" w:rsidP="008B1EA4">
      <w:pPr>
        <w:pStyle w:val="Voetnoottekst"/>
        <w:rPr>
          <w:rFonts w:cs="Times New Roman"/>
          <w:lang w:val="nl-NL"/>
        </w:rPr>
      </w:pPr>
      <w:r w:rsidRPr="008B1EA4">
        <w:rPr>
          <w:rStyle w:val="Voetnootmarkering"/>
          <w:rFonts w:cs="Times New Roman"/>
          <w:lang w:val="nl-NL"/>
        </w:rPr>
        <w:footnoteRef/>
      </w:r>
      <w:r w:rsidRPr="008B1EA4">
        <w:rPr>
          <w:rFonts w:cs="Times New Roman"/>
          <w:lang w:val="nl-NL"/>
        </w:rPr>
        <w:t xml:space="preserve"> Bv. adv.RvS 58.065/1/V van 9 september 2015, nr. 5.3.</w:t>
      </w:r>
    </w:p>
  </w:footnote>
  <w:footnote w:id="1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kroniek 2013-14, nrs. 16-18.</w:t>
      </w:r>
    </w:p>
  </w:footnote>
  <w:footnote w:id="1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Bv. adv.RvS 57.108/VR van 18 maart 2015, nrs. 3 en 4.3 en 57.109/VR van 18 maart 2015, nr. 3 (inzake luchtvaartdiensten) en adv.RvS 58.060/1/V van 1 september 2015, nr. 4 (inzake investeringsbescherming)</w:t>
      </w:r>
      <w:r>
        <w:rPr>
          <w:rFonts w:cs="Times New Roman"/>
        </w:rPr>
        <w:t>.</w:t>
      </w:r>
    </w:p>
  </w:footnote>
  <w:footnote w:id="1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Bv. adv.RvS 58.733/3 van 26 januari 2016, nr. 6 (staatssteun); adv.RvS 58.058/3 van 30 september 2015, nr. 5 (openbaarheid bestuursdocumenten) en adv.RvS 57.841/1/V van 31 juli 2015, nr. 9 (bescherming persoonsgegevens)</w:t>
      </w:r>
      <w:r>
        <w:rPr>
          <w:rFonts w:cs="Times New Roman"/>
        </w:rPr>
        <w:t>.</w:t>
      </w:r>
    </w:p>
  </w:footnote>
  <w:footnote w:id="19">
    <w:p w:rsidR="005C6007" w:rsidRPr="008B1EA4" w:rsidRDefault="005C6007" w:rsidP="008B1EA4">
      <w:pPr>
        <w:pStyle w:val="Voetnoottekst"/>
        <w:rPr>
          <w:rFonts w:cs="Times New Roman"/>
          <w:lang w:val="nl-NL"/>
        </w:rPr>
      </w:pPr>
      <w:r w:rsidRPr="008B1EA4">
        <w:rPr>
          <w:rStyle w:val="Voetnootmarkering"/>
          <w:rFonts w:cs="Times New Roman"/>
          <w:lang w:val="nl-NL"/>
        </w:rPr>
        <w:footnoteRef/>
      </w:r>
      <w:r w:rsidRPr="008B1EA4">
        <w:rPr>
          <w:rFonts w:cs="Times New Roman"/>
          <w:lang w:val="nl-NL"/>
        </w:rPr>
        <w:t xml:space="preserve"> Zie kroniek 2011-12, nr. 16.</w:t>
      </w:r>
    </w:p>
  </w:footnote>
  <w:footnote w:id="2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43.989/AV van 29 januari 2008, nrs. 7-11. Zie ook kroniek 2007-08, nr. 27.</w:t>
      </w:r>
    </w:p>
  </w:footnote>
  <w:footnote w:id="2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17 september 2014, C-562/12, </w:t>
      </w:r>
      <w:r w:rsidRPr="008B1EA4">
        <w:rPr>
          <w:rFonts w:cs="Times New Roman"/>
          <w:i/>
          <w:iCs/>
        </w:rPr>
        <w:t>Liivimaa Lihaveis MTÜ t. Eesti-Läti programmi 2007-2013 Seirekomitee</w:t>
      </w:r>
      <w:r w:rsidRPr="008B1EA4">
        <w:rPr>
          <w:rFonts w:cs="Times New Roman"/>
        </w:rPr>
        <w:t xml:space="preserve">, §§ 57-76; EHRM 30 juni 2005, </w:t>
      </w:r>
      <w:r w:rsidRPr="008B1EA4">
        <w:rPr>
          <w:rFonts w:cs="Times New Roman"/>
          <w:i/>
          <w:iCs/>
        </w:rPr>
        <w:t>Bosphorus</w:t>
      </w:r>
      <w:r w:rsidRPr="008B1EA4">
        <w:rPr>
          <w:rFonts w:cs="Times New Roman"/>
        </w:rPr>
        <w:t xml:space="preserve">, §§ 150-156; HvJ 3 september 2008, C-402/05P en C-415/05, </w:t>
      </w:r>
      <w:r w:rsidRPr="008B1EA4">
        <w:rPr>
          <w:rFonts w:cs="Times New Roman"/>
          <w:i/>
          <w:iCs/>
        </w:rPr>
        <w:t>Kadi en Al Barakaat International Foundation t. Raad en Commissie</w:t>
      </w:r>
      <w:r w:rsidRPr="008B1EA4">
        <w:rPr>
          <w:rFonts w:cs="Times New Roman"/>
        </w:rPr>
        <w:t xml:space="preserve">. </w:t>
      </w:r>
    </w:p>
  </w:footnote>
  <w:footnote w:id="2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58.676/VR van 19 januari 2016, nr. 7.</w:t>
      </w:r>
    </w:p>
  </w:footnote>
  <w:footnote w:id="23">
    <w:p w:rsidR="005C6007" w:rsidRPr="00262AA8" w:rsidRDefault="005C6007" w:rsidP="008B1EA4">
      <w:pPr>
        <w:pStyle w:val="Voetnoottekst"/>
        <w:rPr>
          <w:rFonts w:cs="Times New Roman"/>
          <w:lang w:val="fr-FR"/>
        </w:rPr>
      </w:pPr>
      <w:r w:rsidRPr="008B1EA4">
        <w:rPr>
          <w:rStyle w:val="Voetnootmarkering"/>
          <w:rFonts w:cs="Times New Roman"/>
          <w:lang w:val="nl-NL"/>
        </w:rPr>
        <w:footnoteRef/>
      </w:r>
      <w:r w:rsidRPr="008B1EA4">
        <w:rPr>
          <w:rFonts w:cs="Times New Roman"/>
          <w:lang w:val="nl-NL"/>
        </w:rPr>
        <w:t xml:space="preserve"> Een analoge werkwijze, </w:t>
      </w:r>
      <w:r>
        <w:rPr>
          <w:rFonts w:cs="Times New Roman"/>
          <w:lang w:val="nl-NL"/>
        </w:rPr>
        <w:t>namelijk</w:t>
      </w:r>
      <w:r w:rsidRPr="008B1EA4">
        <w:rPr>
          <w:rFonts w:cs="Times New Roman"/>
          <w:lang w:val="nl-NL"/>
        </w:rPr>
        <w:t xml:space="preserve"> het besluiten tot de niet-schending van artikel 34 van de Grondwet, maar nadat een toetsingskader werd ingevoerd voor de later aan te nemen regels van afgeleid internationaal recht, </w:t>
      </w:r>
      <w:r>
        <w:rPr>
          <w:rFonts w:cs="Times New Roman"/>
          <w:lang w:val="nl-NL"/>
        </w:rPr>
        <w:t>vindt men terug in het stabiliteitspactarrest van het Grondwettelijk Hof (</w:t>
      </w:r>
      <w:r w:rsidRPr="008B1EA4">
        <w:rPr>
          <w:rFonts w:cs="Times New Roman"/>
          <w:lang w:val="nl-NL"/>
        </w:rPr>
        <w:t>GwH 28 april 2016</w:t>
      </w:r>
      <w:r>
        <w:rPr>
          <w:rFonts w:cs="Times New Roman"/>
          <w:lang w:val="nl-NL"/>
        </w:rPr>
        <w:t>, nr. 62/2016, B.8.7)</w:t>
      </w:r>
      <w:r w:rsidRPr="008B1EA4">
        <w:rPr>
          <w:rFonts w:cs="Times New Roman"/>
          <w:lang w:val="nl-NL"/>
        </w:rPr>
        <w:t xml:space="preserve">. Het door het Grondwettelijk Hof uitgewerkte toetsingskader </w:t>
      </w:r>
      <w:r>
        <w:rPr>
          <w:rFonts w:cs="Times New Roman"/>
          <w:lang w:val="nl-NL"/>
        </w:rPr>
        <w:t xml:space="preserve">is evenwel </w:t>
      </w:r>
      <w:r w:rsidRPr="008B1EA4">
        <w:rPr>
          <w:rFonts w:cs="Times New Roman"/>
          <w:lang w:val="nl-NL"/>
        </w:rPr>
        <w:t>verschil</w:t>
      </w:r>
      <w:r>
        <w:rPr>
          <w:rFonts w:cs="Times New Roman"/>
          <w:lang w:val="nl-NL"/>
        </w:rPr>
        <w:t xml:space="preserve">lend. </w:t>
      </w:r>
      <w:r w:rsidRPr="00262AA8">
        <w:rPr>
          <w:rFonts w:cs="Times New Roman"/>
          <w:lang w:val="fr-FR"/>
        </w:rPr>
        <w:t xml:space="preserve">Zie hieromtrent: M. </w:t>
      </w:r>
      <w:r w:rsidRPr="00262AA8">
        <w:rPr>
          <w:rFonts w:cs="Times New Roman"/>
          <w:smallCaps/>
          <w:lang w:val="fr-FR"/>
        </w:rPr>
        <w:t>El Berhoumi, L. Detroux</w:t>
      </w:r>
      <w:r w:rsidRPr="00262AA8">
        <w:rPr>
          <w:rFonts w:cs="Times New Roman"/>
          <w:lang w:val="fr-FR"/>
        </w:rPr>
        <w:t xml:space="preserve">, e.a. “La Cour constitutionelle face au Pacte budgétaire européen: un arrêt sans intérêt?”, </w:t>
      </w:r>
      <w:r w:rsidRPr="00262AA8">
        <w:rPr>
          <w:rFonts w:cs="Times New Roman"/>
          <w:i/>
          <w:lang w:val="fr-FR"/>
        </w:rPr>
        <w:t xml:space="preserve">J.T. </w:t>
      </w:r>
      <w:r w:rsidRPr="00262AA8">
        <w:rPr>
          <w:rFonts w:cs="Times New Roman"/>
          <w:lang w:val="fr-FR"/>
        </w:rPr>
        <w:t>2017 (565)</w:t>
      </w:r>
      <w:r>
        <w:rPr>
          <w:rFonts w:cs="Times New Roman"/>
          <w:lang w:val="fr-FR"/>
        </w:rPr>
        <w:t>, 577-580,</w:t>
      </w:r>
      <w:r w:rsidRPr="00262AA8">
        <w:rPr>
          <w:rFonts w:cs="Times New Roman"/>
          <w:lang w:val="fr-FR"/>
        </w:rPr>
        <w:t xml:space="preserve"> nrs. </w:t>
      </w:r>
      <w:r>
        <w:rPr>
          <w:rFonts w:cs="Times New Roman"/>
          <w:lang w:val="fr-FR"/>
        </w:rPr>
        <w:t>38-48</w:t>
      </w:r>
      <w:r w:rsidRPr="00262AA8">
        <w:rPr>
          <w:rFonts w:cs="Times New Roman"/>
          <w:lang w:val="fr-FR"/>
        </w:rPr>
        <w:t>.</w:t>
      </w:r>
    </w:p>
  </w:footnote>
  <w:footnote w:id="24">
    <w:p w:rsidR="005C6007" w:rsidRDefault="005C6007">
      <w:pPr>
        <w:pStyle w:val="Voetnoottekst"/>
      </w:pPr>
      <w:r>
        <w:rPr>
          <w:rStyle w:val="Voetnootmarkering"/>
        </w:rPr>
        <w:footnoteRef/>
      </w:r>
      <w:r>
        <w:t xml:space="preserve"> Adv.RvS 57.127/AV van 24 maart 2015, 2 e.v. </w:t>
      </w:r>
    </w:p>
  </w:footnote>
  <w:footnote w:id="25">
    <w:p w:rsidR="005C6007" w:rsidRPr="008B1EA4" w:rsidRDefault="005C6007" w:rsidP="008B1EA4">
      <w:pPr>
        <w:pStyle w:val="Voetnoottekst"/>
        <w:rPr>
          <w:rFonts w:cs="Times New Roman"/>
          <w:lang w:val="nl-NL"/>
        </w:rPr>
      </w:pPr>
      <w:r w:rsidRPr="008B1EA4">
        <w:rPr>
          <w:rStyle w:val="Voetnootmarkering"/>
          <w:rFonts w:cs="Times New Roman"/>
        </w:rPr>
        <w:footnoteRef/>
      </w:r>
      <w:r w:rsidRPr="008B1EA4">
        <w:rPr>
          <w:rFonts w:cs="Times New Roman"/>
          <w:lang w:val="nl-NL"/>
        </w:rPr>
        <w:t xml:space="preserve"> Over de verplichtingen die voortvloeien uit het beginsel van de federale loyauteit in geval van discussie over de exacte positie van de gewestgrens, zie nr. </w:t>
      </w:r>
      <w:r>
        <w:rPr>
          <w:rFonts w:cs="Times New Roman"/>
          <w:highlight w:val="yellow"/>
          <w:lang w:val="nl-NL"/>
        </w:rPr>
        <w:t>64</w:t>
      </w:r>
      <w:r w:rsidRPr="008B1EA4">
        <w:rPr>
          <w:rFonts w:cs="Times New Roman"/>
          <w:lang w:val="nl-NL"/>
        </w:rPr>
        <w:t>.</w:t>
      </w:r>
    </w:p>
  </w:footnote>
  <w:footnote w:id="26">
    <w:p w:rsidR="005C6007" w:rsidRPr="008B1EA4" w:rsidRDefault="005C6007" w:rsidP="008B1EA4">
      <w:pPr>
        <w:pStyle w:val="Voetnoottekst"/>
        <w:rPr>
          <w:rFonts w:cs="Times New Roman"/>
          <w:lang w:val="fr-FR"/>
        </w:rPr>
      </w:pPr>
      <w:r w:rsidRPr="008B1EA4">
        <w:rPr>
          <w:rStyle w:val="Voetnootmarkering"/>
          <w:rFonts w:cs="Times New Roman"/>
        </w:rPr>
        <w:footnoteRef/>
      </w:r>
      <w:r w:rsidRPr="008B1EA4">
        <w:rPr>
          <w:rFonts w:cs="Times New Roman"/>
          <w:lang w:val="nl-NL"/>
        </w:rPr>
        <w:t xml:space="preserve"> Vgl. met K. </w:t>
      </w:r>
      <w:r w:rsidRPr="008B1EA4">
        <w:rPr>
          <w:rFonts w:cs="Times New Roman"/>
          <w:smallCaps/>
          <w:lang w:val="nl-NL"/>
        </w:rPr>
        <w:t>Rimanque</w:t>
      </w:r>
      <w:r w:rsidRPr="008B1EA4">
        <w:rPr>
          <w:rFonts w:cs="Times New Roman"/>
          <w:lang w:val="nl-NL"/>
        </w:rPr>
        <w:t xml:space="preserve">, </w:t>
      </w:r>
      <w:r w:rsidRPr="008B1EA4">
        <w:rPr>
          <w:rFonts w:cs="Times New Roman"/>
          <w:i/>
          <w:iCs/>
          <w:lang w:val="nl-NL"/>
        </w:rPr>
        <w:t>De grondwet toegelicht, gewikt en gewogen</w:t>
      </w:r>
      <w:r w:rsidRPr="008B1EA4">
        <w:rPr>
          <w:rFonts w:cs="Times New Roman"/>
          <w:lang w:val="nl-NL"/>
        </w:rPr>
        <w:t xml:space="preserve">, Antwerpen, Intersentia, 1999, 18; J. </w:t>
      </w:r>
      <w:r w:rsidRPr="008B1EA4">
        <w:rPr>
          <w:rFonts w:cs="Times New Roman"/>
          <w:smallCaps/>
          <w:lang w:val="nl-NL"/>
        </w:rPr>
        <w:t>Verhoeven</w:t>
      </w:r>
      <w:r w:rsidRPr="008B1EA4">
        <w:rPr>
          <w:rFonts w:cs="Times New Roman"/>
          <w:lang w:val="nl-NL"/>
        </w:rPr>
        <w:t xml:space="preserve">, </w:t>
      </w:r>
      <w:r>
        <w:rPr>
          <w:rFonts w:cs="Times New Roman"/>
          <w:lang w:val="nl-NL"/>
        </w:rPr>
        <w:t>“</w:t>
      </w:r>
      <w:r w:rsidRPr="008B1EA4">
        <w:rPr>
          <w:rFonts w:cs="Times New Roman"/>
          <w:lang w:val="nl-NL"/>
        </w:rPr>
        <w:t>Belgique</w:t>
      </w:r>
      <w:r>
        <w:rPr>
          <w:rFonts w:cs="Times New Roman"/>
          <w:lang w:val="nl-NL"/>
        </w:rPr>
        <w:t>”</w:t>
      </w:r>
      <w:r w:rsidRPr="008B1EA4">
        <w:rPr>
          <w:rFonts w:cs="Times New Roman"/>
          <w:lang w:val="nl-NL"/>
        </w:rPr>
        <w:t xml:space="preserve"> in P.M. </w:t>
      </w:r>
      <w:r w:rsidRPr="008B1EA4">
        <w:rPr>
          <w:rFonts w:cs="Times New Roman"/>
          <w:smallCaps/>
          <w:lang w:val="nl-NL"/>
        </w:rPr>
        <w:t>Eisemann</w:t>
      </w:r>
      <w:r w:rsidRPr="008B1EA4">
        <w:rPr>
          <w:rFonts w:cs="Times New Roman"/>
          <w:lang w:val="nl-NL"/>
        </w:rPr>
        <w:t xml:space="preserve"> (ed.), The integration of international and european community law into the national legal order. </w:t>
      </w:r>
      <w:r w:rsidRPr="008B1EA4">
        <w:rPr>
          <w:rFonts w:cs="Times New Roman"/>
          <w:lang w:val="fr-FR"/>
        </w:rPr>
        <w:t xml:space="preserve">A study of the European practice, Den Haag, Kluwer, 1996, (115), 124-125; J. </w:t>
      </w:r>
      <w:r w:rsidRPr="008B1EA4">
        <w:rPr>
          <w:rFonts w:cs="Times New Roman"/>
          <w:smallCaps/>
          <w:lang w:val="fr-FR"/>
        </w:rPr>
        <w:t>Verhoeven</w:t>
      </w:r>
      <w:r w:rsidRPr="008B1EA4">
        <w:rPr>
          <w:rFonts w:cs="Times New Roman"/>
          <w:lang w:val="fr-FR"/>
        </w:rPr>
        <w:t xml:space="preserve">, </w:t>
      </w:r>
      <w:r>
        <w:rPr>
          <w:rFonts w:cs="Times New Roman"/>
          <w:lang w:val="fr-FR"/>
        </w:rPr>
        <w:t>“</w:t>
      </w:r>
      <w:r w:rsidRPr="008B1EA4">
        <w:rPr>
          <w:rFonts w:cs="Times New Roman"/>
          <w:lang w:val="fr-FR"/>
        </w:rPr>
        <w:t>Assentiment, autorité, publicité</w:t>
      </w:r>
      <w:r>
        <w:rPr>
          <w:rFonts w:cs="Times New Roman"/>
          <w:lang w:val="fr-FR"/>
        </w:rPr>
        <w:t>”</w:t>
      </w:r>
      <w:r w:rsidRPr="008B1EA4">
        <w:rPr>
          <w:rFonts w:cs="Times New Roman"/>
          <w:lang w:val="fr-FR"/>
        </w:rPr>
        <w:t xml:space="preserve">, </w:t>
      </w:r>
      <w:r w:rsidRPr="008B1EA4">
        <w:rPr>
          <w:rFonts w:cs="Times New Roman"/>
          <w:i/>
          <w:lang w:val="fr-FR"/>
        </w:rPr>
        <w:t>BTIR</w:t>
      </w:r>
      <w:r w:rsidRPr="008B1EA4">
        <w:rPr>
          <w:rFonts w:cs="Times New Roman"/>
          <w:lang w:val="fr-FR"/>
        </w:rPr>
        <w:t xml:space="preserve"> 1994, 58-59, nr. 2.; P. </w:t>
      </w:r>
      <w:r w:rsidRPr="008B1EA4">
        <w:rPr>
          <w:rFonts w:cs="Times New Roman"/>
          <w:smallCaps/>
          <w:lang w:val="fr-FR"/>
        </w:rPr>
        <w:t>De Visscher</w:t>
      </w:r>
      <w:r w:rsidRPr="008B1EA4">
        <w:rPr>
          <w:rFonts w:cs="Times New Roman"/>
          <w:lang w:val="fr-FR"/>
        </w:rPr>
        <w:t xml:space="preserve">, </w:t>
      </w:r>
      <w:r>
        <w:rPr>
          <w:rFonts w:cs="Times New Roman"/>
          <w:lang w:val="fr-FR"/>
        </w:rPr>
        <w:t>“</w:t>
      </w:r>
      <w:r w:rsidRPr="008B1EA4">
        <w:rPr>
          <w:rFonts w:cs="Times New Roman"/>
          <w:lang w:val="fr-FR"/>
        </w:rPr>
        <w:t>La constitution belge et le droit international</w:t>
      </w:r>
      <w:r>
        <w:rPr>
          <w:rFonts w:cs="Times New Roman"/>
          <w:lang w:val="fr-FR"/>
        </w:rPr>
        <w:t>”</w:t>
      </w:r>
      <w:r w:rsidRPr="008B1EA4">
        <w:rPr>
          <w:rFonts w:cs="Times New Roman"/>
          <w:i/>
          <w:iCs/>
          <w:lang w:val="fr-FR"/>
        </w:rPr>
        <w:t>, BTIR</w:t>
      </w:r>
      <w:r w:rsidRPr="008B1EA4">
        <w:rPr>
          <w:rFonts w:cs="Times New Roman"/>
          <w:lang w:val="fr-FR"/>
        </w:rPr>
        <w:t xml:space="preserve"> 1986, 23 en J. </w:t>
      </w:r>
      <w:r w:rsidRPr="008B1EA4">
        <w:rPr>
          <w:rFonts w:cs="Times New Roman"/>
          <w:smallCaps/>
          <w:lang w:val="fr-FR"/>
        </w:rPr>
        <w:t>Masquelin</w:t>
      </w:r>
      <w:r w:rsidRPr="008B1EA4">
        <w:rPr>
          <w:rFonts w:cs="Times New Roman"/>
          <w:lang w:val="fr-FR"/>
        </w:rPr>
        <w:t xml:space="preserve">, </w:t>
      </w:r>
      <w:r w:rsidRPr="008B1EA4">
        <w:rPr>
          <w:rFonts w:cs="Times New Roman"/>
          <w:i/>
          <w:lang w:val="fr-FR"/>
        </w:rPr>
        <w:t>Le droit des traits dans l</w:t>
      </w:r>
      <w:r>
        <w:rPr>
          <w:rFonts w:cs="Times New Roman"/>
          <w:i/>
          <w:lang w:val="fr-FR"/>
        </w:rPr>
        <w:t>’</w:t>
      </w:r>
      <w:r w:rsidRPr="008B1EA4">
        <w:rPr>
          <w:rFonts w:cs="Times New Roman"/>
          <w:i/>
          <w:lang w:val="fr-FR"/>
        </w:rPr>
        <w:t>ordre juridique et dans la pratique diplomatique belges</w:t>
      </w:r>
      <w:r w:rsidRPr="008B1EA4">
        <w:rPr>
          <w:rFonts w:cs="Times New Roman"/>
          <w:lang w:val="fr-FR"/>
        </w:rPr>
        <w:t>, Brussel, Bruylant, 1980, p. 184-185, nrs. 168-169.</w:t>
      </w:r>
    </w:p>
  </w:footnote>
  <w:footnote w:id="27">
    <w:p w:rsidR="005C6007" w:rsidRDefault="005C6007">
      <w:pPr>
        <w:pStyle w:val="Voetnoottekst"/>
      </w:pPr>
      <w:r>
        <w:rPr>
          <w:rStyle w:val="Voetnootmarkering"/>
        </w:rPr>
        <w:footnoteRef/>
      </w:r>
      <w:r>
        <w:t xml:space="preserve"> Artikel 6, §1, VIII, 2°, en artikel 80 BWHI.</w:t>
      </w:r>
    </w:p>
  </w:footnote>
  <w:footnote w:id="2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57.136/VR van 17 maart 2015.</w:t>
      </w:r>
    </w:p>
  </w:footnote>
  <w:footnote w:id="2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Voor de afbakening van de EEZ moet in de eerste plaats gedacht worden aan de gewestbevoegdheid inzake zeevisserij (</w:t>
      </w:r>
      <w:r w:rsidRPr="008B1EA4">
        <w:rPr>
          <w:rFonts w:eastAsia="Arial Unicode MS" w:cs="Times New Roman"/>
          <w:bCs/>
          <w:kern w:val="3"/>
          <w:lang w:bidi="nl-BE"/>
        </w:rPr>
        <w:t>art. 6, §</w:t>
      </w:r>
      <w:r>
        <w:rPr>
          <w:rFonts w:eastAsia="Arial Unicode MS" w:cs="Times New Roman"/>
          <w:bCs/>
          <w:kern w:val="3"/>
          <w:lang w:bidi="nl-BE"/>
        </w:rPr>
        <w:t xml:space="preserve"> </w:t>
      </w:r>
      <w:r w:rsidRPr="008B1EA4">
        <w:rPr>
          <w:rFonts w:eastAsia="Arial Unicode MS" w:cs="Times New Roman"/>
          <w:bCs/>
          <w:kern w:val="3"/>
          <w:lang w:bidi="nl-BE"/>
        </w:rPr>
        <w:t>1, V, 1°, BWHI), maar bv. ook aan de algemene gewest- en gemeenschapsbevoegdheid inzake wetenschappelijk onderzoek (</w:t>
      </w:r>
      <w:r w:rsidRPr="008B1EA4">
        <w:rPr>
          <w:rFonts w:cs="Times New Roman"/>
        </w:rPr>
        <w:t>artikel 6</w:t>
      </w:r>
      <w:r w:rsidRPr="008B1EA4">
        <w:rPr>
          <w:rFonts w:cs="Times New Roman"/>
          <w:i/>
        </w:rPr>
        <w:t>bis</w:t>
      </w:r>
      <w:r w:rsidRPr="008B1EA4">
        <w:rPr>
          <w:rFonts w:cs="Times New Roman"/>
        </w:rPr>
        <w:t>, §</w:t>
      </w:r>
      <w:r>
        <w:rPr>
          <w:rFonts w:cs="Times New Roman"/>
        </w:rPr>
        <w:t xml:space="preserve"> </w:t>
      </w:r>
      <w:r w:rsidRPr="008B1EA4">
        <w:rPr>
          <w:rFonts w:cs="Times New Roman"/>
        </w:rPr>
        <w:t xml:space="preserve">1, BWHI) en de gewestbevoegdheid inzake </w:t>
      </w:r>
      <w:r w:rsidRPr="008B1EA4">
        <w:rPr>
          <w:rFonts w:eastAsia="Arial Unicode MS" w:cs="Times New Roman"/>
          <w:bCs/>
          <w:kern w:val="3"/>
          <w:lang w:bidi="nl-BE"/>
        </w:rPr>
        <w:t>openbare werken en vervoer (artikel 6, §</w:t>
      </w:r>
      <w:r>
        <w:rPr>
          <w:rFonts w:eastAsia="Arial Unicode MS" w:cs="Times New Roman"/>
          <w:bCs/>
          <w:kern w:val="3"/>
          <w:lang w:bidi="nl-BE"/>
        </w:rPr>
        <w:t xml:space="preserve"> </w:t>
      </w:r>
      <w:r w:rsidRPr="008B1EA4">
        <w:rPr>
          <w:rFonts w:eastAsia="Arial Unicode MS" w:cs="Times New Roman"/>
          <w:bCs/>
          <w:kern w:val="3"/>
          <w:lang w:bidi="nl-BE"/>
        </w:rPr>
        <w:t>1, X, BWHI).</w:t>
      </w:r>
    </w:p>
  </w:footnote>
  <w:footnote w:id="30">
    <w:p w:rsidR="005C6007" w:rsidRDefault="005C6007">
      <w:pPr>
        <w:pStyle w:val="Voetnoottekst"/>
      </w:pPr>
      <w:r>
        <w:rPr>
          <w:rStyle w:val="Voetnootmarkering"/>
        </w:rPr>
        <w:footnoteRef/>
      </w:r>
      <w:r>
        <w:t xml:space="preserve"> Zie artikel 57 van het Verdrag van de Verenigde Naties inzake het recht van de Zee, opgemaakt te Montego Bay op 10 december 1992.</w:t>
      </w:r>
    </w:p>
  </w:footnote>
  <w:footnote w:id="3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57.371/VR/3 van 15 juni 2015, nr. 8.1.</w:t>
      </w:r>
    </w:p>
  </w:footnote>
  <w:footnote w:id="3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57.070/1 van 6 maart 2015, nr. 5.</w:t>
      </w:r>
    </w:p>
  </w:footnote>
  <w:footnote w:id="3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Behoudens indien de Grondwet of de bijzondere wet anders bepaalt. Zie bv. art. 167 </w:t>
      </w:r>
      <w:r>
        <w:rPr>
          <w:rFonts w:cs="Times New Roman"/>
        </w:rPr>
        <w:t>Gw.</w:t>
      </w:r>
      <w:r w:rsidRPr="008B1EA4">
        <w:rPr>
          <w:rFonts w:cs="Times New Roman"/>
        </w:rPr>
        <w:t xml:space="preserve"> voor het regelen van de internationale samenwerking, waaronder het sluiten van verdragen, art. 6, §1,</w:t>
      </w:r>
      <w:r w:rsidRPr="008B1EA4">
        <w:rPr>
          <w:rFonts w:eastAsia="Arial Unicode MS" w:cs="Times New Roman"/>
          <w:bCs/>
          <w:kern w:val="3"/>
          <w:lang w:bidi="nl-BE"/>
        </w:rPr>
        <w:t xml:space="preserve"> V, 1°, BWHI</w:t>
      </w:r>
      <w:r w:rsidRPr="008B1EA4">
        <w:rPr>
          <w:rFonts w:cs="Times New Roman"/>
        </w:rPr>
        <w:t xml:space="preserve"> voor de zeevisserij en art. 6, §</w:t>
      </w:r>
      <w:r>
        <w:rPr>
          <w:rFonts w:cs="Times New Roman"/>
        </w:rPr>
        <w:t> </w:t>
      </w:r>
      <w:r w:rsidRPr="008B1EA4">
        <w:rPr>
          <w:rFonts w:cs="Times New Roman"/>
        </w:rPr>
        <w:t>1, X, tweede lid, BWHI wat betreft openbare werken en vervoer.</w:t>
      </w:r>
    </w:p>
  </w:footnote>
  <w:footnote w:id="3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kroniek 2009-10, nrs. 14 en 18, kroniek 2007-08, nr. 24 en kroniek 2011-12, nr. 17.</w:t>
      </w:r>
    </w:p>
  </w:footnote>
  <w:footnote w:id="3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57.003/AV van 8 april 2015, nr. 4. </w:t>
      </w:r>
    </w:p>
  </w:footnote>
  <w:footnote w:id="36">
    <w:p w:rsidR="005C6007" w:rsidRDefault="005C6007" w:rsidP="00CD53C6">
      <w:pPr>
        <w:autoSpaceDE w:val="0"/>
        <w:autoSpaceDN w:val="0"/>
        <w:adjustRightInd w:val="0"/>
      </w:pPr>
      <w:r w:rsidRPr="00CD53C6">
        <w:rPr>
          <w:rStyle w:val="Voetnootmarkering"/>
          <w:rFonts w:cs="Times New Roman"/>
          <w:sz w:val="20"/>
          <w:szCs w:val="20"/>
        </w:rPr>
        <w:footnoteRef/>
      </w:r>
      <w:r w:rsidRPr="00CD53C6">
        <w:rPr>
          <w:rFonts w:cs="Times New Roman"/>
          <w:sz w:val="20"/>
          <w:szCs w:val="20"/>
        </w:rPr>
        <w:t xml:space="preserve"> Het uitgangspunt van de Raad van State </w:t>
      </w:r>
      <w:r>
        <w:rPr>
          <w:rFonts w:cs="Times New Roman"/>
          <w:sz w:val="20"/>
          <w:szCs w:val="20"/>
        </w:rPr>
        <w:t>is</w:t>
      </w:r>
      <w:r w:rsidRPr="00CD53C6">
        <w:rPr>
          <w:rFonts w:cs="Times New Roman"/>
          <w:sz w:val="20"/>
          <w:szCs w:val="20"/>
        </w:rPr>
        <w:t xml:space="preserve"> dat een in de instemmingswet geformuleerd voorbehoud een “</w:t>
      </w:r>
      <w:r w:rsidRPr="00CD53C6">
        <w:rPr>
          <w:rFonts w:eastAsia="NormaPro-Italic" w:cs="Times New Roman"/>
          <w:i/>
          <w:iCs/>
          <w:sz w:val="20"/>
          <w:szCs w:val="20"/>
        </w:rPr>
        <w:t>aanwijzing [is], gericht aan de uitvoerende macht, omtrent</w:t>
      </w:r>
      <w:r>
        <w:rPr>
          <w:rFonts w:eastAsia="NormaPro-Italic" w:cs="Times New Roman"/>
          <w:i/>
          <w:iCs/>
          <w:sz w:val="20"/>
          <w:szCs w:val="20"/>
        </w:rPr>
        <w:t xml:space="preserve"> </w:t>
      </w:r>
      <w:r w:rsidRPr="00CD53C6">
        <w:rPr>
          <w:rFonts w:eastAsia="NormaPro-Italic" w:cs="Times New Roman"/>
          <w:i/>
          <w:iCs/>
          <w:sz w:val="20"/>
          <w:szCs w:val="20"/>
        </w:rPr>
        <w:t>de grenzen waarbinnen het Vlaams Parlement toestaat dat het Protocol opgenomen wordt in de</w:t>
      </w:r>
      <w:r>
        <w:rPr>
          <w:rFonts w:eastAsia="NormaPro-Italic" w:cs="Times New Roman"/>
          <w:i/>
          <w:iCs/>
          <w:sz w:val="20"/>
          <w:szCs w:val="20"/>
        </w:rPr>
        <w:t xml:space="preserve"> </w:t>
      </w:r>
      <w:r w:rsidRPr="00CD53C6">
        <w:rPr>
          <w:rFonts w:eastAsia="NormaPro-Italic" w:cs="Times New Roman"/>
          <w:i/>
          <w:iCs/>
          <w:sz w:val="20"/>
          <w:szCs w:val="20"/>
        </w:rPr>
        <w:t>interne rechtsorde</w:t>
      </w:r>
      <w:r w:rsidRPr="00CD53C6">
        <w:rPr>
          <w:rFonts w:eastAsia="NormaPro-Italic" w:cs="Times New Roman"/>
          <w:iCs/>
          <w:sz w:val="20"/>
          <w:szCs w:val="20"/>
        </w:rPr>
        <w:t>”</w:t>
      </w:r>
      <w:r>
        <w:rPr>
          <w:rFonts w:eastAsia="NormaPro-Italic" w:cs="Times New Roman"/>
          <w:iCs/>
          <w:sz w:val="20"/>
          <w:szCs w:val="20"/>
        </w:rPr>
        <w:t>. A</w:t>
      </w:r>
      <w:r w:rsidRPr="00CD53C6">
        <w:rPr>
          <w:rFonts w:cs="Times New Roman"/>
          <w:sz w:val="20"/>
          <w:szCs w:val="20"/>
        </w:rPr>
        <w:t xml:space="preserve">dv.RvS 41.064/AV van 23 januari 2007, </w:t>
      </w:r>
      <w:r>
        <w:rPr>
          <w:rFonts w:cs="Times New Roman"/>
          <w:sz w:val="20"/>
          <w:szCs w:val="20"/>
        </w:rPr>
        <w:t xml:space="preserve">nrs. </w:t>
      </w:r>
      <w:r w:rsidRPr="00CD53C6">
        <w:rPr>
          <w:rFonts w:cs="Times New Roman"/>
          <w:sz w:val="20"/>
          <w:szCs w:val="20"/>
        </w:rPr>
        <w:t xml:space="preserve">2 en 3). Zie ook </w:t>
      </w:r>
      <w:r>
        <w:rPr>
          <w:rFonts w:cs="Times New Roman"/>
          <w:sz w:val="20"/>
          <w:szCs w:val="20"/>
        </w:rPr>
        <w:t>k</w:t>
      </w:r>
      <w:r w:rsidRPr="00CD53C6">
        <w:rPr>
          <w:rFonts w:cs="Times New Roman"/>
          <w:sz w:val="20"/>
          <w:szCs w:val="20"/>
        </w:rPr>
        <w:t xml:space="preserve">roniek 2009-10, nr. 14. </w:t>
      </w:r>
    </w:p>
  </w:footnote>
  <w:footnote w:id="3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Zie onder meer</w:t>
      </w:r>
      <w:r w:rsidRPr="008B1EA4">
        <w:rPr>
          <w:rFonts w:cs="Times New Roman"/>
        </w:rPr>
        <w:t xml:space="preserve"> kroniek 2013-14, nrs. 10-12.</w:t>
      </w:r>
    </w:p>
  </w:footnote>
  <w:footnote w:id="38">
    <w:p w:rsidR="005C6007" w:rsidRDefault="005C6007">
      <w:pPr>
        <w:pStyle w:val="Voetnoottekst"/>
      </w:pPr>
      <w:r>
        <w:rPr>
          <w:rStyle w:val="Voetnootmarkering"/>
        </w:rPr>
        <w:footnoteRef/>
      </w:r>
      <w:r>
        <w:t xml:space="preserve"> Zie evenwel </w:t>
      </w:r>
      <w:r w:rsidRPr="00CD53C6">
        <w:rPr>
          <w:highlight w:val="yellow"/>
        </w:rPr>
        <w:t>nr. 18.</w:t>
      </w:r>
    </w:p>
  </w:footnote>
  <w:footnote w:id="3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kroniek 2009-10, nrs. 15-16 en kroniek 2011-12, nr. 13.</w:t>
      </w:r>
    </w:p>
  </w:footnote>
  <w:footnote w:id="4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De Raad van State voegde er wel telkens aan toe dat er </w:t>
      </w:r>
      <w:r>
        <w:rPr>
          <w:rFonts w:cs="Times New Roman"/>
        </w:rPr>
        <w:t>“</w:t>
      </w:r>
      <w:r w:rsidRPr="008B1EA4">
        <w:rPr>
          <w:rFonts w:cs="Times New Roman"/>
        </w:rPr>
        <w:t xml:space="preserve">enkel </w:t>
      </w:r>
      <w:r>
        <w:rPr>
          <w:rFonts w:cs="Times New Roman"/>
        </w:rPr>
        <w:t xml:space="preserve">[zou] </w:t>
      </w:r>
      <w:r w:rsidRPr="008B1EA4">
        <w:rPr>
          <w:rFonts w:cs="Times New Roman"/>
        </w:rPr>
        <w:t>kunnen worden aangenomen dat de federale overheid vrijgesteld is van de plicht tot het voorleggen van het betrokken verdrag aan de WGV en de ICBB wanneer er klaarblijkelijk geen twijfel kan bestaan over het niet-gemengde karakter van het door de federale overheid te sluiten verdrag. Dit is in dit geval evenwel niet zo.</w:t>
      </w:r>
      <w:r>
        <w:rPr>
          <w:rFonts w:cs="Times New Roman"/>
        </w:rPr>
        <w:t>”</w:t>
      </w:r>
    </w:p>
  </w:footnote>
  <w:footnote w:id="4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57.106/VR/3 van 30 maart 2015, nr. 4; adv.RvS nr. 57.119/VR van 26 maart 2015, nr. 3; adv. 58.676/VR van 28 januari 2016, nr. 6; adv.RvS 58.677/VR van 26 februari 2016, blz. 15-18 en adv.RvS 60.816/VR van 24 februari 2017, nr. 4. Zie ook, maar dan voorzichtiger geformuleerd: adv.RvS 57.108/VR van 18 maart 2015, nr. 2 en 57.109/VR van 18 maart 2015, nr. 2. </w:t>
      </w:r>
    </w:p>
  </w:footnote>
  <w:footnote w:id="4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A</w:t>
      </w:r>
      <w:r w:rsidRPr="008B1EA4">
        <w:rPr>
          <w:rFonts w:cs="Times New Roman"/>
        </w:rPr>
        <w:t>dv.RvS 60.725/VR van 7 februari 2017, nr. 3; adv.RvS 60.589/VR van 18 januari 2017, nrs. 3; adv.RvS 59.688/VR/V van 26 augustus 2016, nr. 4.2; adv.RvS 59.563/VR van 8 juli 2016, nr. 2; adv.RvS 58.673/VR van 26 januari 2016, blz. 7-8; adv.RvS 57.180/VR van 9 april 2015, nr. 3 en adv.RvS 57.108 van 18 maart 2015, nr. 3.</w:t>
      </w:r>
    </w:p>
  </w:footnote>
  <w:footnote w:id="4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A</w:t>
      </w:r>
      <w:r w:rsidRPr="008B1EA4">
        <w:rPr>
          <w:rFonts w:cs="Times New Roman"/>
        </w:rPr>
        <w:t xml:space="preserve">dv.RvS 58.677/VR van 16 februari 2016, blz. 18-19 (overleg met en betrokkenheid van gewestregeringen); adv.RvS 58.060/VR van 1 september 2015, nr. 3 (advies Inspecteur van </w:t>
      </w:r>
      <w:r>
        <w:rPr>
          <w:rFonts w:cs="Times New Roman"/>
        </w:rPr>
        <w:t>F</w:t>
      </w:r>
      <w:r w:rsidRPr="008B1EA4">
        <w:rPr>
          <w:rFonts w:cs="Times New Roman"/>
        </w:rPr>
        <w:t xml:space="preserve">inanciën en begrotingsakkoord) en adv.RvS 57.842/VR van 31 juli 2015, nr. 3 (advies Privacycommissie). Zie ook kroniek 2009-10, nr. 16. </w:t>
      </w:r>
    </w:p>
  </w:footnote>
  <w:footnote w:id="4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60.724/VR van 7 februari 2017, nr. 5. Zie ook adv.RvS 60.726/VR van 7 februari 2017, nr. 5.</w:t>
      </w:r>
    </w:p>
  </w:footnote>
  <w:footnote w:id="4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57.962/1/V van 7 september 2015, nr. 4.1. Zie ook: D. </w:t>
      </w:r>
      <w:r w:rsidRPr="008B1EA4">
        <w:rPr>
          <w:rFonts w:cs="Times New Roman"/>
          <w:smallCaps/>
        </w:rPr>
        <w:t>Van</w:t>
      </w:r>
      <w:r w:rsidRPr="008B1EA4">
        <w:rPr>
          <w:rFonts w:cs="Times New Roman"/>
        </w:rPr>
        <w:t xml:space="preserve"> </w:t>
      </w:r>
      <w:r w:rsidRPr="008B1EA4">
        <w:rPr>
          <w:rFonts w:cs="Times New Roman"/>
          <w:smallCaps/>
        </w:rPr>
        <w:t>Eeckhoutte</w:t>
      </w:r>
      <w:r w:rsidRPr="008B1EA4">
        <w:rPr>
          <w:rFonts w:cs="Times New Roman"/>
        </w:rPr>
        <w:t xml:space="preserve"> en M. </w:t>
      </w:r>
      <w:r w:rsidRPr="008B1EA4">
        <w:rPr>
          <w:rFonts w:cs="Times New Roman"/>
          <w:smallCaps/>
        </w:rPr>
        <w:t>Vidal</w:t>
      </w:r>
      <w:r w:rsidRPr="008B1EA4">
        <w:rPr>
          <w:rFonts w:cs="Times New Roman"/>
        </w:rPr>
        <w:t xml:space="preserve">, </w:t>
      </w:r>
      <w:r>
        <w:rPr>
          <w:rFonts w:cs="Times New Roman"/>
        </w:rPr>
        <w:t>“</w:t>
      </w:r>
      <w:r w:rsidRPr="008B1EA4">
        <w:rPr>
          <w:rFonts w:cs="Times New Roman"/>
        </w:rPr>
        <w:t>Internationaal en grensoverschrijdend bestuursrecht</w:t>
      </w:r>
      <w:r>
        <w:rPr>
          <w:rFonts w:cs="Times New Roman"/>
        </w:rPr>
        <w:t>”</w:t>
      </w:r>
      <w:r w:rsidRPr="008B1EA4">
        <w:rPr>
          <w:rFonts w:cs="Times New Roman"/>
        </w:rPr>
        <w:t xml:space="preserve">, </w:t>
      </w:r>
      <w:r w:rsidRPr="008B1EA4">
        <w:rPr>
          <w:rFonts w:cs="Times New Roman"/>
          <w:i/>
        </w:rPr>
        <w:t xml:space="preserve">RW </w:t>
      </w:r>
      <w:r w:rsidRPr="008B1EA4">
        <w:rPr>
          <w:rFonts w:cs="Times New Roman"/>
        </w:rPr>
        <w:t>2013-14, (1123), 1130-1131, nrs. 15-16.</w:t>
      </w:r>
    </w:p>
  </w:footnote>
  <w:footnote w:id="4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kroniek 2009-10, nr. 12; kroniek 2007-08, nr. 29 en D. </w:t>
      </w:r>
      <w:r w:rsidRPr="008B1EA4">
        <w:rPr>
          <w:rFonts w:cs="Times New Roman"/>
          <w:smallCaps/>
        </w:rPr>
        <w:t>Van</w:t>
      </w:r>
      <w:r w:rsidRPr="008B1EA4">
        <w:rPr>
          <w:rFonts w:cs="Times New Roman"/>
        </w:rPr>
        <w:t xml:space="preserve"> </w:t>
      </w:r>
      <w:r w:rsidRPr="008B1EA4">
        <w:rPr>
          <w:rFonts w:cs="Times New Roman"/>
          <w:smallCaps/>
        </w:rPr>
        <w:t>Eeckhoutte</w:t>
      </w:r>
      <w:r w:rsidRPr="008B1EA4">
        <w:rPr>
          <w:rFonts w:cs="Times New Roman"/>
        </w:rPr>
        <w:t xml:space="preserve"> en M. </w:t>
      </w:r>
      <w:r w:rsidRPr="008B1EA4">
        <w:rPr>
          <w:rFonts w:cs="Times New Roman"/>
          <w:smallCaps/>
        </w:rPr>
        <w:t>Vidal</w:t>
      </w:r>
      <w:r w:rsidRPr="008B1EA4">
        <w:rPr>
          <w:rFonts w:cs="Times New Roman"/>
        </w:rPr>
        <w:t xml:space="preserve">, </w:t>
      </w:r>
      <w:r>
        <w:rPr>
          <w:rFonts w:cs="Times New Roman"/>
        </w:rPr>
        <w:t>“</w:t>
      </w:r>
      <w:r w:rsidRPr="008B1EA4">
        <w:rPr>
          <w:rFonts w:cs="Times New Roman"/>
        </w:rPr>
        <w:t>Internationaal en grensoverschrijdend bestuursrecht</w:t>
      </w:r>
      <w:r>
        <w:rPr>
          <w:rFonts w:cs="Times New Roman"/>
        </w:rPr>
        <w:t>”</w:t>
      </w:r>
      <w:r w:rsidRPr="008B1EA4">
        <w:rPr>
          <w:rFonts w:cs="Times New Roman"/>
        </w:rPr>
        <w:t xml:space="preserve">, </w:t>
      </w:r>
      <w:r w:rsidRPr="008B1EA4">
        <w:rPr>
          <w:rFonts w:cs="Times New Roman"/>
          <w:i/>
        </w:rPr>
        <w:t xml:space="preserve">RW </w:t>
      </w:r>
      <w:r w:rsidRPr="008B1EA4">
        <w:rPr>
          <w:rFonts w:cs="Times New Roman"/>
        </w:rPr>
        <w:t>2013-14, (1123), 1129 en 1131, nrs. 13 en 17.</w:t>
      </w:r>
    </w:p>
  </w:footnote>
  <w:footnote w:id="4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Door het akkoord in vereenvoudigde vorm ter instemming aan het parlement voor te leggen, </w:t>
      </w:r>
      <w:r>
        <w:rPr>
          <w:rFonts w:cs="Times New Roman"/>
        </w:rPr>
        <w:t xml:space="preserve">eigent </w:t>
      </w:r>
      <w:r w:rsidRPr="008B1EA4">
        <w:rPr>
          <w:rFonts w:cs="Times New Roman"/>
        </w:rPr>
        <w:t>de Koning</w:t>
      </w:r>
      <w:r>
        <w:rPr>
          <w:rFonts w:cs="Times New Roman"/>
        </w:rPr>
        <w:t xml:space="preserve"> of de </w:t>
      </w:r>
      <w:r w:rsidRPr="008B1EA4">
        <w:rPr>
          <w:rFonts w:cs="Times New Roman"/>
        </w:rPr>
        <w:t>regering zich het akkoord toe.</w:t>
      </w:r>
    </w:p>
  </w:footnote>
  <w:footnote w:id="4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42.637/AV van 8 mei 2007, nr. 11.</w:t>
      </w:r>
    </w:p>
  </w:footnote>
  <w:footnote w:id="4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58.736/3 van 26 januari 2016, nr. 4, voetnoot 9 en adv.RvS 58.731/3 van 26 januari 2016, nr. 4.</w:t>
      </w:r>
    </w:p>
  </w:footnote>
  <w:footnote w:id="5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57.050/VR van 19 maart 2015, nr. 3.</w:t>
      </w:r>
    </w:p>
  </w:footnote>
  <w:footnote w:id="5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57.841/1/V van 31 juli 2015, nrs. 4-8. </w:t>
      </w:r>
    </w:p>
  </w:footnote>
  <w:footnote w:id="5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59.688/VR van 26 oktober 2016, nr. 6.3.</w:t>
      </w:r>
    </w:p>
  </w:footnote>
  <w:footnote w:id="5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57.108/VR van 18 maart 2015, nr. 4. Zie ook adv.RvS nr. 59.688/VR/V van 26 augustus 2016, nr. 6.4 (voorafgaande instemming mogelijk) en adv.RvS 57.841/1/V van 31 juli 2015, nr. 7 (voorafgaande instemming </w:t>
      </w:r>
      <w:r w:rsidRPr="00CD53C6">
        <w:rPr>
          <w:rFonts w:cs="Times New Roman"/>
        </w:rPr>
        <w:t>niet</w:t>
      </w:r>
      <w:r w:rsidRPr="008B1EA4">
        <w:rPr>
          <w:rFonts w:cs="Times New Roman"/>
        </w:rPr>
        <w:t xml:space="preserve"> mogelijk).</w:t>
      </w:r>
    </w:p>
  </w:footnote>
  <w:footnote w:id="5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57.270/3 van 10 april 2015, nr. 6.</w:t>
      </w:r>
    </w:p>
  </w:footnote>
  <w:footnote w:id="5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bv. adv.RvS 58.677/VR van 16 februari 2016, blz. 19-22; adv.RvS 58.381/3 van 25 november 2015, nr. 5; adv.RvS 57.292/3 van 20 april 2015, nr. 6; adv.RvS 58.734/3 van 20 januari 2016, nr. 5 en adv.RvS 57.203/3 van 2 april 2015, nr. 6.</w:t>
      </w:r>
    </w:p>
  </w:footnote>
  <w:footnote w:id="5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58.058/3 van 30 september 2015, nr. 4.</w:t>
      </w:r>
    </w:p>
  </w:footnote>
  <w:footnote w:id="5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Bv. adv.RvS 59.688/VR van 26 augustus 2016, nr. 6.4; adv.RvS 58.058/3 van 30 september 2015, nr. 4.2; adv.RvS 57.270/3 van 10 april 2015, nr. 6.4 en adv.RvS 57.108/VR van 18 maart 2015, nr. 4.</w:t>
      </w:r>
    </w:p>
  </w:footnote>
  <w:footnote w:id="5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190 van de Grondwet vormt de uitdrukking van een algemeen rechtsbeginsel, </w:t>
      </w:r>
      <w:r>
        <w:rPr>
          <w:rFonts w:cs="Times New Roman"/>
        </w:rPr>
        <w:t>dat</w:t>
      </w:r>
      <w:r w:rsidRPr="008B1EA4">
        <w:rPr>
          <w:rFonts w:cs="Times New Roman"/>
        </w:rPr>
        <w:t xml:space="preserve"> niet beperkt </w:t>
      </w:r>
      <w:r>
        <w:rPr>
          <w:rFonts w:cs="Times New Roman"/>
        </w:rPr>
        <w:t xml:space="preserve">is </w:t>
      </w:r>
      <w:r w:rsidRPr="008B1EA4">
        <w:rPr>
          <w:rFonts w:cs="Times New Roman"/>
        </w:rPr>
        <w:t xml:space="preserve">tot de normen die </w:t>
      </w:r>
      <w:r>
        <w:rPr>
          <w:rFonts w:cs="Times New Roman"/>
        </w:rPr>
        <w:t xml:space="preserve">in die grondwetsbepaling </w:t>
      </w:r>
      <w:r w:rsidRPr="008B1EA4">
        <w:rPr>
          <w:rFonts w:cs="Times New Roman"/>
        </w:rPr>
        <w:t xml:space="preserve">uitdrukkelijk worden vermeld. Vgl. S. </w:t>
      </w:r>
      <w:r w:rsidRPr="008B1EA4">
        <w:rPr>
          <w:rFonts w:cs="Times New Roman"/>
          <w:smallCaps/>
        </w:rPr>
        <w:t>Wyckaert</w:t>
      </w:r>
      <w:r w:rsidRPr="008B1EA4">
        <w:rPr>
          <w:rFonts w:cs="Times New Roman"/>
        </w:rPr>
        <w:t xml:space="preserve">, </w:t>
      </w:r>
      <w:r>
        <w:rPr>
          <w:rFonts w:cs="Times New Roman"/>
        </w:rPr>
        <w:t>“</w:t>
      </w:r>
      <w:r w:rsidRPr="008B1EA4">
        <w:rPr>
          <w:rFonts w:cs="Times New Roman"/>
        </w:rPr>
        <w:t>De verplichting tot bekendmaking van bestuurlijke omzendbrieven. Algemene beginselen en toepassingen uit de administratieve rechtspraak</w:t>
      </w:r>
      <w:r>
        <w:rPr>
          <w:rFonts w:cs="Times New Roman"/>
        </w:rPr>
        <w:t>”</w:t>
      </w:r>
      <w:r w:rsidRPr="008B1EA4">
        <w:rPr>
          <w:rFonts w:cs="Times New Roman"/>
        </w:rPr>
        <w:t xml:space="preserve"> in L. </w:t>
      </w:r>
      <w:r w:rsidRPr="008B1EA4">
        <w:rPr>
          <w:rFonts w:cs="Times New Roman"/>
          <w:smallCaps/>
        </w:rPr>
        <w:t>Wintgens</w:t>
      </w:r>
      <w:r w:rsidRPr="008B1EA4">
        <w:rPr>
          <w:rFonts w:cs="Times New Roman"/>
        </w:rPr>
        <w:t xml:space="preserve"> (ed.), De verplichting tot bekendmaking van normen, Brugge, die Keure, 2003, 189-190.</w:t>
      </w:r>
    </w:p>
  </w:footnote>
  <w:footnote w:id="5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Kroniek 2013-14, nrs. 13-15. </w:t>
      </w:r>
    </w:p>
  </w:footnote>
  <w:footnote w:id="6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58.734/3 van 20 januari 2016, nr. 6. Zie ook adv.RvS 59.688/VR/V van 26 augustus 2016, nr. 3 (</w:t>
      </w:r>
      <w:r>
        <w:rPr>
          <w:rFonts w:cs="Times New Roman"/>
        </w:rPr>
        <w:t>E</w:t>
      </w:r>
      <w:r w:rsidRPr="008B1EA4">
        <w:rPr>
          <w:rFonts w:cs="Times New Roman"/>
        </w:rPr>
        <w:t>en bepaalde regeling inzake voorrechten voor leden van een agentschap, een subsidiair orgaan van de NAVO of een verbindingsbureau ervan is afhankelijk van een beslissing van de Noord-Atlantische Raad. De Raad van State brengt die regeling onder de aandacht en raadt aan om de regeling nader toe t</w:t>
      </w:r>
      <w:r>
        <w:rPr>
          <w:rFonts w:cs="Times New Roman"/>
        </w:rPr>
        <w:t>e</w:t>
      </w:r>
      <w:r w:rsidRPr="008B1EA4">
        <w:rPr>
          <w:rFonts w:cs="Times New Roman"/>
        </w:rPr>
        <w:t xml:space="preserve"> te lichten in de memorie van toelichting en om de reeds genomen beslissingen van de Noord-Atlantische Raad op te lijsten).</w:t>
      </w:r>
    </w:p>
  </w:footnote>
  <w:footnote w:id="6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art. 79 Verdrag van Wenen van 23 mei 1969 inzake het verdragenrecht.</w:t>
      </w:r>
    </w:p>
  </w:footnote>
  <w:footnote w:id="6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adv.RvS 59.688/VR/V van 26 augustus 2016, nrs. 3.3, 8 en 9; adv.RvS 58.058/3 van 30 september 2016, nrs. 5 en 6 en adv.RvS 55.573/VR van 15 april 2014, nr. 6.</w:t>
      </w:r>
    </w:p>
  </w:footnote>
  <w:footnote w:id="6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Merk wel op dat ook de deelstaten over internationale rechtspersoonlijkheid beschikken, al zullen die daar slechts gebruik van maken voor het sluiten van verdragen die tot hun exclusieve bevoegdheid behoren. Zie bv. het </w:t>
      </w:r>
      <w:r>
        <w:rPr>
          <w:rFonts w:cs="Times New Roman"/>
        </w:rPr>
        <w:t>v</w:t>
      </w:r>
      <w:r w:rsidRPr="008B1EA4">
        <w:rPr>
          <w:rFonts w:cs="Times New Roman"/>
        </w:rPr>
        <w:t>erdrag tussen het Vlaamse Gewest en het Koninkrijk der Nederlanden betreffende de aanleg van de Nieuwe Sluis Terneuzen, ondertekend in Terneuzen op 5 februari 2015</w:t>
      </w:r>
      <w:r>
        <w:rPr>
          <w:rFonts w:cs="Times New Roman"/>
        </w:rPr>
        <w:t>,</w:t>
      </w:r>
      <w:r w:rsidRPr="008B1EA4">
        <w:rPr>
          <w:rFonts w:cs="Times New Roman"/>
        </w:rPr>
        <w:t xml:space="preserve"> dat het voorwerp uitmaakte van adv.RvS 57.270/3 van 10 april 2015.</w:t>
      </w:r>
    </w:p>
  </w:footnote>
  <w:footnote w:id="6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A</w:t>
      </w:r>
      <w:r w:rsidRPr="008B1EA4">
        <w:rPr>
          <w:rFonts w:cs="Times New Roman"/>
        </w:rPr>
        <w:t>dv.RvS 57.108/VR van 18 maart 2015, nr. 6; adv.RvS 58.085/VR van 30 september 2015, nr. 3 en adv.RvS 58.356/3 van 24 november 2015, nr. 3.</w:t>
      </w:r>
    </w:p>
  </w:footnote>
  <w:footnote w:id="6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Een internationaal document waarin engagementen worden opgenomen door een </w:t>
      </w:r>
      <w:r>
        <w:rPr>
          <w:rFonts w:cs="Times New Roman"/>
        </w:rPr>
        <w:t>“</w:t>
      </w:r>
      <w:r w:rsidRPr="008B1EA4">
        <w:rPr>
          <w:rFonts w:cs="Times New Roman"/>
        </w:rPr>
        <w:t>regering</w:t>
      </w:r>
      <w:r>
        <w:rPr>
          <w:rFonts w:cs="Times New Roman"/>
        </w:rPr>
        <w:t>”</w:t>
      </w:r>
      <w:r w:rsidRPr="008B1EA4">
        <w:rPr>
          <w:rFonts w:cs="Times New Roman"/>
        </w:rPr>
        <w:t xml:space="preserve"> i.p.v. door </w:t>
      </w:r>
      <w:r>
        <w:rPr>
          <w:rFonts w:cs="Times New Roman"/>
        </w:rPr>
        <w:t>“</w:t>
      </w:r>
      <w:r w:rsidRPr="008B1EA4">
        <w:rPr>
          <w:rFonts w:cs="Times New Roman"/>
        </w:rPr>
        <w:t>staat</w:t>
      </w:r>
      <w:r>
        <w:rPr>
          <w:rFonts w:cs="Times New Roman"/>
        </w:rPr>
        <w:t>”</w:t>
      </w:r>
      <w:r w:rsidRPr="008B1EA4">
        <w:rPr>
          <w:rFonts w:cs="Times New Roman"/>
        </w:rPr>
        <w:t>, doet overigens het vermoeden rijzen dat het over politieke engagementen gaat en niet over juridische engagementen</w:t>
      </w:r>
      <w:r>
        <w:rPr>
          <w:rFonts w:cs="Times New Roman"/>
        </w:rPr>
        <w:t xml:space="preserve"> en</w:t>
      </w:r>
      <w:r w:rsidRPr="008B1EA4">
        <w:rPr>
          <w:rFonts w:cs="Times New Roman"/>
        </w:rPr>
        <w:t xml:space="preserve"> dat het document bijgevolg een </w:t>
      </w:r>
      <w:r w:rsidRPr="008B1EA4">
        <w:rPr>
          <w:rFonts w:cs="Times New Roman"/>
          <w:i/>
        </w:rPr>
        <w:t>Memorandum of Understanding</w:t>
      </w:r>
      <w:r w:rsidRPr="008B1EA4">
        <w:rPr>
          <w:rFonts w:cs="Times New Roman"/>
        </w:rPr>
        <w:t xml:space="preserve"> betreft en geen verdrag (A. </w:t>
      </w:r>
      <w:r w:rsidRPr="008B1EA4">
        <w:rPr>
          <w:rFonts w:cs="Times New Roman"/>
          <w:smallCaps/>
        </w:rPr>
        <w:t>Aust</w:t>
      </w:r>
      <w:r w:rsidRPr="008B1EA4">
        <w:rPr>
          <w:rFonts w:cs="Times New Roman"/>
        </w:rPr>
        <w:t xml:space="preserve">, </w:t>
      </w:r>
      <w:r w:rsidRPr="008B1EA4">
        <w:rPr>
          <w:rFonts w:cs="Times New Roman"/>
          <w:i/>
        </w:rPr>
        <w:t>Modern Treaty Law and Practice</w:t>
      </w:r>
      <w:r w:rsidRPr="008B1EA4">
        <w:rPr>
          <w:rFonts w:cs="Times New Roman"/>
        </w:rPr>
        <w:t>, Cambridge, CUP, 2000, 27, 397 en 404).</w:t>
      </w:r>
    </w:p>
  </w:footnote>
  <w:footnote w:id="6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A</w:t>
      </w:r>
      <w:r w:rsidRPr="008B1EA4">
        <w:rPr>
          <w:rFonts w:cs="Times New Roman"/>
        </w:rPr>
        <w:t xml:space="preserve">dv.RvS 59.688/VR/V van 26 augustus 2016, nrs. 5 en 6; adv.RvS 57.137/3 van 17 maart 2015, nr. 5.1 (voor delegaties en opdrachten aan </w:t>
      </w:r>
      <w:r>
        <w:rPr>
          <w:rFonts w:cs="Times New Roman"/>
        </w:rPr>
        <w:t>“</w:t>
      </w:r>
      <w:r w:rsidRPr="008B1EA4">
        <w:rPr>
          <w:rFonts w:cs="Times New Roman"/>
        </w:rPr>
        <w:t>de Belgische Regering</w:t>
      </w:r>
      <w:r>
        <w:rPr>
          <w:rFonts w:cs="Times New Roman"/>
        </w:rPr>
        <w:t>”</w:t>
      </w:r>
      <w:r w:rsidRPr="008B1EA4">
        <w:rPr>
          <w:rFonts w:cs="Times New Roman"/>
        </w:rPr>
        <w:t xml:space="preserve">) en adv.RvS 57.135/3 van 17 maart 2015, nr. 5 (waar </w:t>
      </w:r>
      <w:r>
        <w:rPr>
          <w:rFonts w:cs="Times New Roman"/>
        </w:rPr>
        <w:t>“</w:t>
      </w:r>
      <w:r w:rsidRPr="008B1EA4">
        <w:rPr>
          <w:rFonts w:cs="Times New Roman"/>
        </w:rPr>
        <w:t>de Minister van Financiën of zijn bevoegde vertegenwoordiger</w:t>
      </w:r>
      <w:r>
        <w:rPr>
          <w:rFonts w:cs="Times New Roman"/>
        </w:rPr>
        <w:t>”</w:t>
      </w:r>
      <w:r w:rsidRPr="008B1EA4">
        <w:rPr>
          <w:rFonts w:cs="Times New Roman"/>
        </w:rPr>
        <w:t xml:space="preserve"> wordt aangeduid als </w:t>
      </w:r>
      <w:r>
        <w:rPr>
          <w:rFonts w:cs="Times New Roman"/>
        </w:rPr>
        <w:t>“</w:t>
      </w:r>
      <w:r w:rsidRPr="008B1EA4">
        <w:rPr>
          <w:rFonts w:cs="Times New Roman"/>
        </w:rPr>
        <w:t>bevoegde autoriteit</w:t>
      </w:r>
      <w:r>
        <w:rPr>
          <w:rFonts w:cs="Times New Roman"/>
        </w:rPr>
        <w:t>”</w:t>
      </w:r>
      <w:r w:rsidRPr="008B1EA4">
        <w:rPr>
          <w:rFonts w:cs="Times New Roman"/>
        </w:rPr>
        <w:t>).</w:t>
      </w:r>
    </w:p>
  </w:footnote>
  <w:footnote w:id="6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57.050/VR van 19 maart 2015, nr. 4.</w:t>
      </w:r>
    </w:p>
  </w:footnote>
  <w:footnote w:id="6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bijvoorbeeld adv.RvS 60.720/VR </w:t>
      </w:r>
      <w:r>
        <w:rPr>
          <w:rFonts w:cs="Times New Roman"/>
        </w:rPr>
        <w:t xml:space="preserve">van 6 februari 2017 </w:t>
      </w:r>
      <w:r w:rsidRPr="008B1EA4">
        <w:rPr>
          <w:rFonts w:cs="Times New Roman"/>
        </w:rPr>
        <w:t>waar een verschil tussen de Nederlandse en de Franse taalversie van artikel 3, lid 5 van richtlijn 2014/61/EU aan de orde was.</w:t>
      </w:r>
    </w:p>
  </w:footnote>
  <w:footnote w:id="6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w:t>
      </w:r>
      <w:r>
        <w:rPr>
          <w:rFonts w:cs="Times New Roman"/>
        </w:rPr>
        <w:t>RvS</w:t>
      </w:r>
      <w:r w:rsidRPr="008B1EA4">
        <w:rPr>
          <w:rFonts w:cs="Times New Roman"/>
        </w:rPr>
        <w:t xml:space="preserve"> 59.217/3</w:t>
      </w:r>
      <w:r>
        <w:rPr>
          <w:rFonts w:cs="Times New Roman"/>
        </w:rPr>
        <w:t xml:space="preserve"> van 31 mei 2016</w:t>
      </w:r>
      <w:r w:rsidRPr="008B1EA4">
        <w:rPr>
          <w:rFonts w:cs="Times New Roman"/>
        </w:rPr>
        <w:t xml:space="preserve">, </w:t>
      </w:r>
      <w:r>
        <w:rPr>
          <w:rFonts w:cs="Times New Roman"/>
        </w:rPr>
        <w:t>nrs.</w:t>
      </w:r>
      <w:r w:rsidRPr="008B1EA4">
        <w:rPr>
          <w:rFonts w:cs="Times New Roman"/>
        </w:rPr>
        <w:t xml:space="preserve"> 11 en 24, waar de Raad de suggestie gaf om Commissie te contacteren teneinde de richtlijn te laten aanpassen om de onduidelijkheden en inconsistenties weg te werken.</w:t>
      </w:r>
    </w:p>
  </w:footnote>
  <w:footnote w:id="7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bv. adv.RvS 57.814/1</w:t>
      </w:r>
      <w:r>
        <w:rPr>
          <w:rFonts w:cs="Times New Roman"/>
        </w:rPr>
        <w:t>/</w:t>
      </w:r>
      <w:r w:rsidRPr="008B1EA4">
        <w:rPr>
          <w:rFonts w:cs="Times New Roman"/>
        </w:rPr>
        <w:t>V</w:t>
      </w:r>
      <w:r>
        <w:rPr>
          <w:rFonts w:cs="Times New Roman"/>
        </w:rPr>
        <w:t xml:space="preserve"> van 17 augustus 2015</w:t>
      </w:r>
      <w:r w:rsidRPr="008B1EA4">
        <w:rPr>
          <w:rFonts w:cs="Times New Roman"/>
        </w:rPr>
        <w:t xml:space="preserve"> (</w:t>
      </w:r>
      <w:r>
        <w:rPr>
          <w:rFonts w:cs="Times New Roman"/>
        </w:rPr>
        <w:t>uitvoering</w:t>
      </w:r>
      <w:r w:rsidRPr="008B1EA4">
        <w:rPr>
          <w:rFonts w:cs="Times New Roman"/>
        </w:rPr>
        <w:t xml:space="preserve"> van het CITES-verdrag en de verordeningen (EG) nr. 338/97 en (EG) nr. 865/2006); adv.RvS 57.522/3 </w:t>
      </w:r>
      <w:r>
        <w:rPr>
          <w:rFonts w:cs="Times New Roman"/>
        </w:rPr>
        <w:t xml:space="preserve">van 11 juni 2015 </w:t>
      </w:r>
      <w:r w:rsidRPr="008B1EA4">
        <w:rPr>
          <w:rFonts w:cs="Times New Roman"/>
        </w:rPr>
        <w:t>(</w:t>
      </w:r>
      <w:r>
        <w:rPr>
          <w:rFonts w:cs="Times New Roman"/>
        </w:rPr>
        <w:t>uitvoering</w:t>
      </w:r>
      <w:r w:rsidRPr="008B1EA4">
        <w:rPr>
          <w:rFonts w:cs="Times New Roman"/>
        </w:rPr>
        <w:t xml:space="preserve"> van verordening over slachten); adv.RvS 59.810/1/V </w:t>
      </w:r>
      <w:r>
        <w:rPr>
          <w:rFonts w:cs="Times New Roman"/>
        </w:rPr>
        <w:t xml:space="preserve">van 16 september 2016 </w:t>
      </w:r>
      <w:r w:rsidRPr="008B1EA4">
        <w:rPr>
          <w:rFonts w:cs="Times New Roman"/>
        </w:rPr>
        <w:t xml:space="preserve">(uitvoering van de artikelen 8 en 9 van verordening (EU) nr. 1143/2014 </w:t>
      </w:r>
      <w:r>
        <w:rPr>
          <w:rFonts w:cs="Times New Roman"/>
        </w:rPr>
        <w:t>over</w:t>
      </w:r>
      <w:r w:rsidRPr="008B1EA4">
        <w:rPr>
          <w:rFonts w:cs="Times New Roman"/>
        </w:rPr>
        <w:t xml:space="preserve"> in- uit- en doorvoer van invasieve soorten).</w:t>
      </w:r>
    </w:p>
  </w:footnote>
  <w:footnote w:id="7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57.735/3</w:t>
      </w:r>
      <w:r>
        <w:rPr>
          <w:rFonts w:cs="Times New Roman"/>
        </w:rPr>
        <w:t xml:space="preserve"> van 14 juli 2015</w:t>
      </w:r>
      <w:r w:rsidRPr="008B1EA4">
        <w:rPr>
          <w:rFonts w:cs="Times New Roman"/>
        </w:rPr>
        <w:t>.</w:t>
      </w:r>
    </w:p>
  </w:footnote>
  <w:footnote w:id="7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In sommige gevallen zijn er bovendien ook nog internationaalrechtelijke bepalingen van toepassing die eveneens moeten worden vermeld, zie bv. adv.RvS 57.809/2 </w:t>
      </w:r>
      <w:r>
        <w:rPr>
          <w:rFonts w:cs="Times New Roman"/>
        </w:rPr>
        <w:t xml:space="preserve">van 13 juli 2015 </w:t>
      </w:r>
      <w:r w:rsidRPr="008B1EA4">
        <w:rPr>
          <w:rFonts w:cs="Times New Roman"/>
        </w:rPr>
        <w:t>waar wordt opgemerkt dat het belangrijk is te kunnen onderscheiden welke bepalingen strekken tot uitvoering van de richtlijn en welke tot uitvoering van het internationaal verdrag.</w:t>
      </w:r>
    </w:p>
  </w:footnote>
  <w:footnote w:id="73">
    <w:p w:rsidR="005C6007" w:rsidRPr="00CD53C6" w:rsidRDefault="005C6007" w:rsidP="008B1EA4">
      <w:pPr>
        <w:pStyle w:val="Voetnoottekst"/>
        <w:rPr>
          <w:rFonts w:cs="Times New Roman"/>
        </w:rPr>
      </w:pPr>
      <w:r w:rsidRPr="008B1EA4">
        <w:rPr>
          <w:rStyle w:val="Voetnootmarkering"/>
          <w:rFonts w:cs="Times New Roman"/>
        </w:rPr>
        <w:footnoteRef/>
      </w:r>
      <w:r w:rsidRPr="00CD53C6">
        <w:rPr>
          <w:rFonts w:cs="Times New Roman"/>
        </w:rPr>
        <w:t xml:space="preserve"> Adv.RvS 57.114/1 van 8 april 2015; adv.RvS 57.809/2</w:t>
      </w:r>
      <w:r w:rsidRPr="00DE0AFF">
        <w:rPr>
          <w:rFonts w:cs="Times New Roman"/>
        </w:rPr>
        <w:t xml:space="preserve"> </w:t>
      </w:r>
      <w:r>
        <w:rPr>
          <w:rFonts w:cs="Times New Roman"/>
        </w:rPr>
        <w:t>van 13 juli 2015</w:t>
      </w:r>
      <w:r w:rsidRPr="00CD53C6">
        <w:rPr>
          <w:rFonts w:cs="Times New Roman"/>
        </w:rPr>
        <w:t>; adv.RvS 58.197/1-2-4 van 20 oktober 2015; adv.RvS 58.636/1 van 26 januari 2016; adv.RvS 59.409/4 van 13 juni 2016; adv.RvS 59.673/1-V van 29 juli 2016.</w:t>
      </w:r>
    </w:p>
  </w:footnote>
  <w:footnote w:id="74">
    <w:p w:rsidR="005C6007" w:rsidRPr="00CD53C6" w:rsidRDefault="005C6007" w:rsidP="008B1EA4">
      <w:pPr>
        <w:pStyle w:val="Voetnoottekst"/>
        <w:rPr>
          <w:rFonts w:cs="Times New Roman"/>
        </w:rPr>
      </w:pPr>
      <w:r w:rsidRPr="008B1EA4">
        <w:rPr>
          <w:rStyle w:val="Voetnootmarkering"/>
          <w:rFonts w:cs="Times New Roman"/>
        </w:rPr>
        <w:footnoteRef/>
      </w:r>
      <w:r w:rsidR="00D955AC">
        <w:rPr>
          <w:rFonts w:cs="Times New Roman"/>
          <w:highlight w:val="yellow"/>
        </w:rPr>
        <w:t xml:space="preserve"> </w:t>
      </w:r>
      <w:r w:rsidRPr="00CD53C6">
        <w:rPr>
          <w:rFonts w:cs="Times New Roman"/>
          <w:highlight w:val="yellow"/>
        </w:rPr>
        <w:t>Zie nr</w:t>
      </w:r>
      <w:r w:rsidR="00C13F3D">
        <w:rPr>
          <w:rFonts w:cs="Times New Roman"/>
          <w:highlight w:val="yellow"/>
        </w:rPr>
        <w:t>s. 37 e.v</w:t>
      </w:r>
      <w:r w:rsidRPr="00CD53C6">
        <w:rPr>
          <w:rFonts w:cs="Times New Roman"/>
          <w:highlight w:val="yellow"/>
        </w:rPr>
        <w:t>.</w:t>
      </w:r>
    </w:p>
  </w:footnote>
  <w:footnote w:id="75">
    <w:p w:rsidR="005C6007" w:rsidRPr="00CD53C6" w:rsidRDefault="005C6007" w:rsidP="008B1EA4">
      <w:pPr>
        <w:pStyle w:val="Voetnoottekst"/>
        <w:rPr>
          <w:rFonts w:cs="Times New Roman"/>
        </w:rPr>
      </w:pPr>
      <w:r w:rsidRPr="008B1EA4">
        <w:rPr>
          <w:rStyle w:val="Voetnootmarkering"/>
          <w:rFonts w:cs="Times New Roman"/>
        </w:rPr>
        <w:footnoteRef/>
      </w:r>
      <w:r w:rsidRPr="00CD53C6">
        <w:rPr>
          <w:rFonts w:cs="Times New Roman"/>
        </w:rPr>
        <w:t xml:space="preserve"> Adv.RvS 58.903/3 van 17 maart 2016.</w:t>
      </w:r>
    </w:p>
  </w:footnote>
  <w:footnote w:id="76">
    <w:p w:rsidR="005C6007" w:rsidRPr="00CD53C6" w:rsidRDefault="005C6007" w:rsidP="008B1EA4">
      <w:pPr>
        <w:pStyle w:val="Voetnoottekst"/>
        <w:rPr>
          <w:rFonts w:cs="Times New Roman"/>
        </w:rPr>
      </w:pPr>
      <w:r w:rsidRPr="008B1EA4">
        <w:rPr>
          <w:rStyle w:val="Voetnootmarkering"/>
          <w:rFonts w:cs="Times New Roman"/>
        </w:rPr>
        <w:footnoteRef/>
      </w:r>
      <w:r w:rsidRPr="00CD53C6">
        <w:rPr>
          <w:rFonts w:cs="Times New Roman"/>
        </w:rPr>
        <w:t xml:space="preserve"> Adv.RvS 59.534/3 van 6 juli 2016.</w:t>
      </w:r>
    </w:p>
  </w:footnote>
  <w:footnote w:id="7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59.534/3 </w:t>
      </w:r>
      <w:r>
        <w:rPr>
          <w:rFonts w:cs="Times New Roman"/>
        </w:rPr>
        <w:t>va</w:t>
      </w:r>
      <w:r w:rsidRPr="00CD53C6">
        <w:rPr>
          <w:rFonts w:cs="Times New Roman"/>
        </w:rPr>
        <w:t>n 6 juli 2016</w:t>
      </w:r>
      <w:r w:rsidRPr="008B1EA4">
        <w:rPr>
          <w:rFonts w:cs="Times New Roman"/>
        </w:rPr>
        <w:t xml:space="preserve"> (het bestaan van met de richtlijn consistente rechtspraak van het Hof van Cassatie volstaat niet als omzetting).</w:t>
      </w:r>
    </w:p>
  </w:footnote>
  <w:footnote w:id="78">
    <w:p w:rsidR="005C6007" w:rsidRPr="008B1EA4" w:rsidRDefault="005C6007" w:rsidP="008B1EA4">
      <w:pPr>
        <w:pStyle w:val="Voetnoottekst"/>
        <w:rPr>
          <w:rFonts w:cs="Times New Roman"/>
          <w:b/>
        </w:rPr>
      </w:pPr>
      <w:r w:rsidRPr="008B1EA4">
        <w:rPr>
          <w:rStyle w:val="Voetnootmarkering"/>
          <w:rFonts w:cs="Times New Roman"/>
        </w:rPr>
        <w:footnoteRef/>
      </w:r>
      <w:r w:rsidRPr="008B1EA4">
        <w:rPr>
          <w:rFonts w:cs="Times New Roman"/>
        </w:rPr>
        <w:t xml:space="preserve"> Adv.RvS 60.401/1</w:t>
      </w:r>
      <w:r>
        <w:rPr>
          <w:rFonts w:cs="Times New Roman"/>
        </w:rPr>
        <w:t xml:space="preserve"> van 7 december 2016</w:t>
      </w:r>
      <w:r w:rsidRPr="008B1EA4">
        <w:rPr>
          <w:rFonts w:cs="Times New Roman"/>
        </w:rPr>
        <w:t xml:space="preserve">, </w:t>
      </w:r>
      <w:r>
        <w:rPr>
          <w:rFonts w:cs="Times New Roman"/>
        </w:rPr>
        <w:t>nr.</w:t>
      </w:r>
      <w:r w:rsidRPr="008B1EA4">
        <w:rPr>
          <w:rFonts w:cs="Times New Roman"/>
        </w:rPr>
        <w:t xml:space="preserve"> 14.</w:t>
      </w:r>
    </w:p>
  </w:footnote>
  <w:footnote w:id="7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57.210/3 </w:t>
      </w:r>
      <w:r>
        <w:rPr>
          <w:rFonts w:cs="Times New Roman"/>
        </w:rPr>
        <w:t xml:space="preserve">van 3 april 2015 </w:t>
      </w:r>
      <w:r w:rsidRPr="008B1EA4">
        <w:rPr>
          <w:rFonts w:cs="Times New Roman"/>
        </w:rPr>
        <w:t xml:space="preserve">(geen omzetting bijlage door verwijzing). Indien er bovendien enige discretionaire marge wordt gelaten aan een lidstaat, kan die verwijzing – zelfs naar een verordening – zelfs rechtsonzeker worden. Zie adv.RvS 59.810/3 </w:t>
      </w:r>
      <w:r>
        <w:rPr>
          <w:rFonts w:cs="Times New Roman"/>
        </w:rPr>
        <w:t xml:space="preserve">van 16 september 2016 </w:t>
      </w:r>
      <w:r w:rsidRPr="008B1EA4">
        <w:rPr>
          <w:rFonts w:cs="Times New Roman"/>
        </w:rPr>
        <w:t xml:space="preserve">waar de Raad zich verzette tegen een verwijzing naar </w:t>
      </w:r>
      <w:r>
        <w:rPr>
          <w:rFonts w:cs="Times New Roman"/>
        </w:rPr>
        <w:t>“</w:t>
      </w:r>
      <w:r w:rsidRPr="008B1EA4">
        <w:rPr>
          <w:rFonts w:cs="Times New Roman"/>
        </w:rPr>
        <w:t>alle door de IUS-Verordening, de wet en diens uitvoeringsbesluiten vereiste voorwaarden</w:t>
      </w:r>
      <w:r>
        <w:rPr>
          <w:rFonts w:cs="Times New Roman"/>
        </w:rPr>
        <w:t>”</w:t>
      </w:r>
      <w:r w:rsidRPr="008B1EA4">
        <w:rPr>
          <w:rFonts w:cs="Times New Roman"/>
        </w:rPr>
        <w:t>. Een dergelijke uitvoering van verordeningsbepalingen door verwijzing ernaar wordt in beginsel door de Raad van State afgeraden, omdat ze geen effectieve uitvoering van die bepalingen in het interne recht waarborgt. Deze techniek was in dit geval des te meer af te raden omdat de verordeningsbepalingen waarnaar wordt verwezen, blijkens artikel 23 van de IUS-Verordening nog een beoordelingsruimte laten aan de lidstaten.</w:t>
      </w:r>
    </w:p>
  </w:footnote>
  <w:footnote w:id="8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49.</w:t>
      </w:r>
      <w:r>
        <w:rPr>
          <w:rFonts w:cs="Times New Roman"/>
        </w:rPr>
        <w:t>268</w:t>
      </w:r>
      <w:r w:rsidRPr="008B1EA4">
        <w:rPr>
          <w:rFonts w:cs="Times New Roman"/>
        </w:rPr>
        <w:t>/3</w:t>
      </w:r>
      <w:r>
        <w:rPr>
          <w:rFonts w:cs="Times New Roman"/>
        </w:rPr>
        <w:t xml:space="preserve"> van 8 maart 2011</w:t>
      </w:r>
      <w:r w:rsidRPr="008B1EA4">
        <w:rPr>
          <w:rFonts w:cs="Times New Roman"/>
        </w:rPr>
        <w:t xml:space="preserve">, </w:t>
      </w:r>
      <w:r>
        <w:rPr>
          <w:rFonts w:cs="Times New Roman"/>
        </w:rPr>
        <w:t>nr.</w:t>
      </w:r>
      <w:r w:rsidRPr="008B1EA4">
        <w:rPr>
          <w:rFonts w:cs="Times New Roman"/>
        </w:rPr>
        <w:t xml:space="preserve"> 7</w:t>
      </w:r>
      <w:r w:rsidR="004A7C60">
        <w:rPr>
          <w:rFonts w:cs="Times New Roman"/>
        </w:rPr>
        <w:t>; a</w:t>
      </w:r>
      <w:r>
        <w:rPr>
          <w:rFonts w:cs="Times New Roman"/>
        </w:rPr>
        <w:t>dv.RvS 57.547/1/V van 29 juli 2015, nr. 2.3.</w:t>
      </w:r>
    </w:p>
  </w:footnote>
  <w:footnote w:id="8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57.762/1-V</w:t>
      </w:r>
      <w:r>
        <w:rPr>
          <w:rFonts w:cs="Times New Roman"/>
        </w:rPr>
        <w:t xml:space="preserve"> van 24 juli 2015</w:t>
      </w:r>
      <w:r w:rsidRPr="008B1EA4">
        <w:rPr>
          <w:rFonts w:cs="Times New Roman"/>
        </w:rPr>
        <w:t xml:space="preserve">, </w:t>
      </w:r>
      <w:r>
        <w:rPr>
          <w:rFonts w:cs="Times New Roman"/>
        </w:rPr>
        <w:t>nr.</w:t>
      </w:r>
      <w:r w:rsidRPr="008B1EA4">
        <w:rPr>
          <w:rFonts w:cs="Times New Roman"/>
        </w:rPr>
        <w:t xml:space="preserve"> 7.</w:t>
      </w:r>
    </w:p>
  </w:footnote>
  <w:footnote w:id="82">
    <w:p w:rsidR="005C6007" w:rsidRPr="008B1EA4" w:rsidRDefault="005C6007" w:rsidP="008B1EA4">
      <w:pPr>
        <w:pStyle w:val="Voetnoottekst"/>
        <w:rPr>
          <w:rFonts w:cs="Times New Roman"/>
          <w:lang w:val="fr-BE"/>
        </w:rPr>
      </w:pPr>
      <w:r w:rsidRPr="008B1EA4">
        <w:rPr>
          <w:rStyle w:val="Voetnootmarkering"/>
          <w:rFonts w:cs="Times New Roman"/>
        </w:rPr>
        <w:footnoteRef/>
      </w:r>
      <w:r w:rsidRPr="008B1EA4">
        <w:rPr>
          <w:rFonts w:cs="Times New Roman"/>
          <w:lang w:val="fr-BE"/>
        </w:rPr>
        <w:t xml:space="preserve"> HvJ 14 juli 1994, C-91/92 </w:t>
      </w:r>
      <w:r w:rsidRPr="008B1EA4">
        <w:rPr>
          <w:rFonts w:cs="Times New Roman"/>
          <w:i/>
          <w:lang w:val="fr-BE"/>
        </w:rPr>
        <w:t>Faccini Dori</w:t>
      </w:r>
      <w:r w:rsidRPr="008B1EA4">
        <w:rPr>
          <w:rFonts w:cs="Times New Roman"/>
          <w:lang w:val="fr-BE"/>
        </w:rPr>
        <w:t>.</w:t>
      </w:r>
    </w:p>
  </w:footnote>
  <w:footnote w:id="8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58.953/3</w:t>
      </w:r>
      <w:r>
        <w:rPr>
          <w:rFonts w:cs="Times New Roman"/>
        </w:rPr>
        <w:t xml:space="preserve"> van 29 februari 2016</w:t>
      </w:r>
      <w:r w:rsidRPr="008B1EA4">
        <w:rPr>
          <w:rFonts w:cs="Times New Roman"/>
        </w:rPr>
        <w:t xml:space="preserve">. </w:t>
      </w:r>
    </w:p>
  </w:footnote>
  <w:footnote w:id="8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59.463/3</w:t>
      </w:r>
      <w:r>
        <w:rPr>
          <w:rFonts w:cs="Times New Roman"/>
        </w:rPr>
        <w:t xml:space="preserve"> van 23 juni 2016</w:t>
      </w:r>
      <w:r w:rsidRPr="008B1EA4">
        <w:rPr>
          <w:rFonts w:cs="Times New Roman"/>
        </w:rPr>
        <w:t xml:space="preserve">, waar de Raad weliswaar de principiële verplichting om ook bijlagen om te zetten herhaalt (onder verwijzing naar HvJ 20 maart 1997, C-96/95, </w:t>
      </w:r>
      <w:r w:rsidRPr="008B1EA4">
        <w:rPr>
          <w:rFonts w:cs="Times New Roman"/>
          <w:i/>
          <w:iCs/>
        </w:rPr>
        <w:t>Commissie v. Duitsland</w:t>
      </w:r>
      <w:r w:rsidRPr="008B1EA4">
        <w:rPr>
          <w:rFonts w:cs="Times New Roman"/>
        </w:rPr>
        <w:t xml:space="preserve">, punt 36), maar dan verder gaat als volgt: </w:t>
      </w:r>
      <w:r>
        <w:rPr>
          <w:rFonts w:cs="Times New Roman"/>
        </w:rPr>
        <w:t>“</w:t>
      </w:r>
      <w:r w:rsidRPr="008B1EA4">
        <w:rPr>
          <w:rFonts w:cs="Times New Roman"/>
        </w:rPr>
        <w:t>Dat is echter niet zo voor de bijlagen van uitvoeringsbesluit (EU) 2015/1554. Deze bijlagen zijn voldoende duidelijk geformuleerd om rechtstreeks door de betrokkenen te worden toegepast. Bovendien zijn de bijlagen zeer omvangrijk, zodat kan worden aangenomen dat het verkieslijk is om ernaar te verwijzen, veeleer dan deze erg technische voorschriften te kopiëren in interne rechtsregels. De omzetting door verwijzing naar deze bijlagen kan dan ook uitzonderlijk worden gebillijkt.</w:t>
      </w:r>
      <w:r>
        <w:rPr>
          <w:rFonts w:cs="Times New Roman"/>
        </w:rPr>
        <w:t>”</w:t>
      </w:r>
      <w:r w:rsidRPr="008B1EA4">
        <w:rPr>
          <w:rFonts w:cs="Times New Roman"/>
        </w:rPr>
        <w:t>.</w:t>
      </w:r>
      <w:r>
        <w:rPr>
          <w:rFonts w:cs="Times New Roman"/>
        </w:rPr>
        <w:t xml:space="preserve"> Zie a</w:t>
      </w:r>
      <w:r w:rsidRPr="008B1EA4">
        <w:rPr>
          <w:rFonts w:cs="Times New Roman"/>
        </w:rPr>
        <w:t>dv.RvS 57.695/3</w:t>
      </w:r>
      <w:r w:rsidRPr="00BE6364">
        <w:rPr>
          <w:rFonts w:cs="Times New Roman"/>
        </w:rPr>
        <w:t xml:space="preserve"> </w:t>
      </w:r>
      <w:r>
        <w:rPr>
          <w:rFonts w:cs="Times New Roman"/>
        </w:rPr>
        <w:t>van 30 juli 2015 voor een tegenvoorbeeld.</w:t>
      </w:r>
    </w:p>
  </w:footnote>
  <w:footnote w:id="8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58.953/3 </w:t>
      </w:r>
      <w:r>
        <w:rPr>
          <w:rFonts w:cs="Times New Roman"/>
        </w:rPr>
        <w:t>van 29 februari 2016</w:t>
      </w:r>
      <w:r w:rsidRPr="008B1EA4">
        <w:rPr>
          <w:rFonts w:cs="Times New Roman"/>
        </w:rPr>
        <w:t xml:space="preserve"> (</w:t>
      </w:r>
      <w:r>
        <w:rPr>
          <w:rFonts w:cs="Times New Roman"/>
        </w:rPr>
        <w:t>“</w:t>
      </w:r>
      <w:r w:rsidRPr="008B1EA4">
        <w:rPr>
          <w:rFonts w:cs="Times New Roman"/>
        </w:rPr>
        <w:t>Alhoewel de gedelegeerde verordening (EU) 2015/2402 verbindend is in al haar onderdelen en rechtstreeks toepasselijk is in de Europese Unie (zie artikel 8 van de gedelegeerde verordening), zodat de omzetting ervan in de rechtsorde van het Vlaamse Gewest onnodig is, kan die regeling niet uit zichzelf ook van toepassing zijn in het kader van de certificatenverplichting van het Vlaamse Gewest. In dat kader is het ontworpen besluit derhalve wel relevant.</w:t>
      </w:r>
      <w:r>
        <w:rPr>
          <w:rFonts w:cs="Times New Roman"/>
        </w:rPr>
        <w:t>”</w:t>
      </w:r>
      <w:r w:rsidRPr="008B1EA4">
        <w:rPr>
          <w:rFonts w:cs="Times New Roman"/>
        </w:rPr>
        <w:t>).</w:t>
      </w:r>
    </w:p>
  </w:footnote>
  <w:footnote w:id="8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60.032/3</w:t>
      </w:r>
      <w:r>
        <w:rPr>
          <w:rFonts w:cs="Times New Roman"/>
        </w:rPr>
        <w:t xml:space="preserve"> van 19 oktober 2016</w:t>
      </w:r>
      <w:r w:rsidRPr="008B1EA4">
        <w:rPr>
          <w:rFonts w:cs="Times New Roman"/>
        </w:rPr>
        <w:t>.</w:t>
      </w:r>
    </w:p>
  </w:footnote>
  <w:footnote w:id="8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58.235/1</w:t>
      </w:r>
      <w:r>
        <w:rPr>
          <w:rFonts w:cs="Times New Roman"/>
        </w:rPr>
        <w:t xml:space="preserve"> van 17 november 2015</w:t>
      </w:r>
      <w:r w:rsidRPr="008B1EA4">
        <w:rPr>
          <w:rFonts w:cs="Times New Roman"/>
        </w:rPr>
        <w:t xml:space="preserve">, </w:t>
      </w:r>
      <w:r>
        <w:rPr>
          <w:rFonts w:cs="Times New Roman"/>
        </w:rPr>
        <w:t>nr.</w:t>
      </w:r>
      <w:r w:rsidRPr="008B1EA4">
        <w:rPr>
          <w:rFonts w:cs="Times New Roman"/>
        </w:rPr>
        <w:t xml:space="preserve"> 5; adv.RvS 58.263/1</w:t>
      </w:r>
      <w:r>
        <w:rPr>
          <w:rFonts w:cs="Times New Roman"/>
        </w:rPr>
        <w:t xml:space="preserve"> van 6 november 2015</w:t>
      </w:r>
      <w:r w:rsidRPr="008B1EA4">
        <w:rPr>
          <w:rFonts w:cs="Times New Roman"/>
        </w:rPr>
        <w:t xml:space="preserve">, </w:t>
      </w:r>
      <w:r>
        <w:rPr>
          <w:rFonts w:cs="Times New Roman"/>
        </w:rPr>
        <w:t>nr.</w:t>
      </w:r>
      <w:r w:rsidRPr="008B1EA4">
        <w:rPr>
          <w:rFonts w:cs="Times New Roman"/>
        </w:rPr>
        <w:t xml:space="preserve"> 3.</w:t>
      </w:r>
    </w:p>
  </w:footnote>
  <w:footnote w:id="8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58.220/VR</w:t>
      </w:r>
      <w:r>
        <w:rPr>
          <w:rFonts w:cs="Times New Roman"/>
        </w:rPr>
        <w:t xml:space="preserve"> van 13 oktober 2015</w:t>
      </w:r>
      <w:r w:rsidRPr="008B1EA4">
        <w:rPr>
          <w:rFonts w:cs="Times New Roman"/>
        </w:rPr>
        <w:t>; adv.RvS 59.706/</w:t>
      </w:r>
      <w:r>
        <w:rPr>
          <w:rFonts w:cs="Times New Roman"/>
        </w:rPr>
        <w:t>1/</w:t>
      </w:r>
      <w:r w:rsidRPr="008B1EA4">
        <w:rPr>
          <w:rFonts w:cs="Times New Roman"/>
        </w:rPr>
        <w:t>V</w:t>
      </w:r>
      <w:r>
        <w:rPr>
          <w:rFonts w:cs="Times New Roman"/>
        </w:rPr>
        <w:t>-2/V van 10 augustus 2016.</w:t>
      </w:r>
    </w:p>
  </w:footnote>
  <w:footnote w:id="8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59.467/1</w:t>
      </w:r>
      <w:r>
        <w:rPr>
          <w:rFonts w:cs="Times New Roman"/>
        </w:rPr>
        <w:t xml:space="preserve"> van 23 juni 2016</w:t>
      </w:r>
      <w:r w:rsidRPr="008B1EA4">
        <w:rPr>
          <w:rFonts w:cs="Times New Roman"/>
        </w:rPr>
        <w:t xml:space="preserve">, </w:t>
      </w:r>
      <w:r>
        <w:rPr>
          <w:rFonts w:cs="Times New Roman"/>
        </w:rPr>
        <w:t>nr.</w:t>
      </w:r>
      <w:r w:rsidRPr="008B1EA4">
        <w:rPr>
          <w:rFonts w:cs="Times New Roman"/>
        </w:rPr>
        <w:t xml:space="preserve"> 4.</w:t>
      </w:r>
    </w:p>
  </w:footnote>
  <w:footnote w:id="9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58.971/1</w:t>
      </w:r>
      <w:r>
        <w:rPr>
          <w:rFonts w:cs="Times New Roman"/>
        </w:rPr>
        <w:t xml:space="preserve"> van 17 maart 2016</w:t>
      </w:r>
      <w:r w:rsidRPr="008B1EA4">
        <w:rPr>
          <w:rFonts w:cs="Times New Roman"/>
        </w:rPr>
        <w:t>.</w:t>
      </w:r>
    </w:p>
  </w:footnote>
  <w:footnote w:id="9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59.215/3 </w:t>
      </w:r>
      <w:r>
        <w:rPr>
          <w:rFonts w:cs="Times New Roman"/>
        </w:rPr>
        <w:t xml:space="preserve">van 31 mei 2016 </w:t>
      </w:r>
      <w:r w:rsidRPr="008B1EA4">
        <w:rPr>
          <w:rFonts w:cs="Times New Roman"/>
        </w:rPr>
        <w:t>(wederzijdse erkenning op beslissingen inzake toezichtmaatregelen uitgesproken als alternatief voor voorlopige hechtenis); adv.</w:t>
      </w:r>
      <w:r>
        <w:rPr>
          <w:rFonts w:cs="Times New Roman"/>
        </w:rPr>
        <w:t>RvS</w:t>
      </w:r>
      <w:r w:rsidRPr="008B1EA4">
        <w:rPr>
          <w:rFonts w:cs="Times New Roman"/>
        </w:rPr>
        <w:t xml:space="preserve"> 59.217/3 </w:t>
      </w:r>
      <w:r>
        <w:rPr>
          <w:rFonts w:cs="Times New Roman"/>
        </w:rPr>
        <w:t xml:space="preserve">van 31 mei 2016 </w:t>
      </w:r>
      <w:r w:rsidRPr="008B1EA4">
        <w:rPr>
          <w:rFonts w:cs="Times New Roman"/>
        </w:rPr>
        <w:t xml:space="preserve">(wederzijdse erkenning beschermingsbevel); </w:t>
      </w:r>
      <w:r>
        <w:rPr>
          <w:rFonts w:cs="Times New Roman"/>
        </w:rPr>
        <w:t xml:space="preserve">adv.RvS </w:t>
      </w:r>
      <w:r w:rsidRPr="008B1EA4">
        <w:rPr>
          <w:rFonts w:cs="Times New Roman"/>
        </w:rPr>
        <w:t>59.673/1</w:t>
      </w:r>
      <w:r>
        <w:rPr>
          <w:rFonts w:cs="Times New Roman"/>
        </w:rPr>
        <w:t>/</w:t>
      </w:r>
      <w:r w:rsidRPr="008B1EA4">
        <w:rPr>
          <w:rFonts w:cs="Times New Roman"/>
        </w:rPr>
        <w:t xml:space="preserve">V </w:t>
      </w:r>
      <w:r w:rsidRPr="00CD53C6">
        <w:rPr>
          <w:rFonts w:cs="Times New Roman"/>
        </w:rPr>
        <w:t>van 29 juli 2016</w:t>
      </w:r>
      <w:r w:rsidRPr="008B1EA4">
        <w:rPr>
          <w:rFonts w:cs="Times New Roman"/>
        </w:rPr>
        <w:t xml:space="preserve"> (tenuitvoerlegging sancties wegens schending detacheringsrichtlijn).</w:t>
      </w:r>
    </w:p>
  </w:footnote>
  <w:footnote w:id="9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57.747/</w:t>
      </w:r>
      <w:r>
        <w:rPr>
          <w:rFonts w:cs="Times New Roman"/>
        </w:rPr>
        <w:t>1/</w:t>
      </w:r>
      <w:r w:rsidRPr="008B1EA4">
        <w:rPr>
          <w:rFonts w:cs="Times New Roman"/>
        </w:rPr>
        <w:t>V</w:t>
      </w:r>
      <w:r>
        <w:rPr>
          <w:rFonts w:cs="Times New Roman"/>
        </w:rPr>
        <w:t xml:space="preserve"> van 29 juli 2015</w:t>
      </w:r>
      <w:r w:rsidRPr="008B1EA4">
        <w:rPr>
          <w:rFonts w:cs="Times New Roman"/>
        </w:rPr>
        <w:t>.</w:t>
      </w:r>
    </w:p>
  </w:footnote>
  <w:footnote w:id="9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57.401/3 </w:t>
      </w:r>
      <w:r>
        <w:rPr>
          <w:rFonts w:cs="Times New Roman"/>
        </w:rPr>
        <w:t xml:space="preserve">van 11 mei 2015 </w:t>
      </w:r>
      <w:r w:rsidRPr="008B1EA4">
        <w:rPr>
          <w:rFonts w:cs="Times New Roman"/>
        </w:rPr>
        <w:t xml:space="preserve">(verdergaande maatregel inzake bloedveiligheid); adv. 50.382/3 </w:t>
      </w:r>
      <w:r>
        <w:rPr>
          <w:rFonts w:cs="Times New Roman"/>
        </w:rPr>
        <w:t xml:space="preserve">van 25 oktober 2011 </w:t>
      </w:r>
      <w:r w:rsidRPr="008B1EA4">
        <w:rPr>
          <w:rFonts w:cs="Times New Roman"/>
        </w:rPr>
        <w:t>(strengere eisen voor koeltechnici ter bescherming van het milieu).</w:t>
      </w:r>
    </w:p>
  </w:footnote>
  <w:footnote w:id="9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57.167/3</w:t>
      </w:r>
      <w:r>
        <w:rPr>
          <w:rFonts w:cs="Times New Roman"/>
        </w:rPr>
        <w:t xml:space="preserve"> van 24 maart 2015</w:t>
      </w:r>
      <w:r w:rsidRPr="008B1EA4">
        <w:rPr>
          <w:rFonts w:cs="Times New Roman"/>
        </w:rPr>
        <w:t>.</w:t>
      </w:r>
    </w:p>
  </w:footnote>
  <w:footnote w:id="9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16 juli 2009, C-428/07</w:t>
      </w:r>
      <w:r>
        <w:rPr>
          <w:rFonts w:cs="Times New Roman"/>
        </w:rPr>
        <w:t>,</w:t>
      </w:r>
      <w:r w:rsidRPr="008B1EA4">
        <w:rPr>
          <w:rFonts w:cs="Times New Roman"/>
        </w:rPr>
        <w:t xml:space="preserve"> </w:t>
      </w:r>
      <w:r w:rsidRPr="008B1EA4">
        <w:rPr>
          <w:rFonts w:cs="Times New Roman"/>
          <w:i/>
        </w:rPr>
        <w:t>Horvath.</w:t>
      </w:r>
    </w:p>
  </w:footnote>
  <w:footnote w:id="96">
    <w:p w:rsidR="005C6007" w:rsidRPr="00CD53C6" w:rsidRDefault="005C6007" w:rsidP="008B1EA4">
      <w:pPr>
        <w:pStyle w:val="Voetnoottekst"/>
        <w:rPr>
          <w:rFonts w:cs="Times New Roman"/>
          <w:lang w:val="de-DE"/>
        </w:rPr>
      </w:pPr>
      <w:r w:rsidRPr="008B1EA4">
        <w:rPr>
          <w:rStyle w:val="Voetnootmarkering"/>
          <w:rFonts w:cs="Times New Roman"/>
        </w:rPr>
        <w:footnoteRef/>
      </w:r>
      <w:r w:rsidRPr="00CD53C6">
        <w:rPr>
          <w:rFonts w:cs="Times New Roman"/>
          <w:lang w:val="de-DE"/>
        </w:rPr>
        <w:t xml:space="preserve"> HvJ 12 juli 2013, C-156/13 </w:t>
      </w:r>
      <w:r w:rsidRPr="00CD53C6">
        <w:rPr>
          <w:rFonts w:cs="Times New Roman"/>
          <w:i/>
          <w:lang w:val="de-DE"/>
        </w:rPr>
        <w:t>Digibet en Albers.</w:t>
      </w:r>
    </w:p>
  </w:footnote>
  <w:footnote w:id="9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Het onderscheid tussen transmissie en distributie in richtlijn 2009/72/EG (grenswaarde 30 000 volt) stemt immers niet overeen met de grens voor de bevoegdheidsverdeling in artikel 6, § 1, VII, eerste lid BWHI (70 000 volt).</w:t>
      </w:r>
    </w:p>
  </w:footnote>
  <w:footnote w:id="9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57.210/3</w:t>
      </w:r>
      <w:r>
        <w:rPr>
          <w:rFonts w:cs="Times New Roman"/>
        </w:rPr>
        <w:t xml:space="preserve"> van 3 april 2015</w:t>
      </w:r>
      <w:r w:rsidRPr="008B1EA4">
        <w:rPr>
          <w:rFonts w:cs="Times New Roman"/>
        </w:rPr>
        <w:t>.</w:t>
      </w:r>
    </w:p>
  </w:footnote>
  <w:footnote w:id="9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59.698/3 </w:t>
      </w:r>
      <w:r>
        <w:rPr>
          <w:rFonts w:cs="Times New Roman"/>
        </w:rPr>
        <w:t xml:space="preserve">van 16 augustus 2016 </w:t>
      </w:r>
      <w:r w:rsidRPr="008B1EA4">
        <w:rPr>
          <w:rFonts w:cs="Times New Roman"/>
        </w:rPr>
        <w:t>waar de Duitstalige Gemeenschap weliswaar haar uiterste best deed om twee richtlijnen inzake slachtofferhulp om te zetten zonder bevoegdheden van de federale te betreden, maar de Raad opmerkte dat de brede definities van de richtlijn ook aansluiting vonden met andere bevoegdheden van de Duitstalige Gemeenschap dan de juridische eerstelijnsbijstand (artikel 5, § 1, II, 8°, van de bijzondere wet van 8 augustus 1980) waarop de gemeenschap zich beriep, zodat op die domeinen wellicht nog bijkomend optreden nodig was door de gemeenschap.</w:t>
      </w:r>
    </w:p>
  </w:footnote>
  <w:footnote w:id="10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60.166/3</w:t>
      </w:r>
      <w:r>
        <w:rPr>
          <w:rFonts w:cs="Times New Roman"/>
        </w:rPr>
        <w:t xml:space="preserve"> van 26 oktober 2016</w:t>
      </w:r>
      <w:r w:rsidRPr="008B1EA4">
        <w:rPr>
          <w:rFonts w:cs="Times New Roman"/>
        </w:rPr>
        <w:t xml:space="preserve">. Volgens artikel 6, § 1, X, eerste lid, 2°, 3°, en 9°, van de bijzondere wet van 8 augustus 1980 </w:t>
      </w:r>
      <w:r>
        <w:rPr>
          <w:rFonts w:cs="Times New Roman"/>
        </w:rPr>
        <w:t>‘</w:t>
      </w:r>
      <w:r w:rsidRPr="008B1EA4">
        <w:rPr>
          <w:rFonts w:cs="Times New Roman"/>
        </w:rPr>
        <w:t>tot hervorming der instellingen</w:t>
      </w:r>
      <w:r>
        <w:rPr>
          <w:rFonts w:cs="Times New Roman"/>
        </w:rPr>
        <w:t>’</w:t>
      </w:r>
      <w:r w:rsidRPr="008B1EA4">
        <w:rPr>
          <w:rFonts w:cs="Times New Roman"/>
        </w:rPr>
        <w:t xml:space="preserve">, zijn gewesten bevoegd zijn voor </w:t>
      </w:r>
      <w:r>
        <w:rPr>
          <w:rFonts w:cs="Times New Roman"/>
        </w:rPr>
        <w:t>“</w:t>
      </w:r>
      <w:r w:rsidRPr="008B1EA4">
        <w:rPr>
          <w:rFonts w:cs="Times New Roman"/>
        </w:rPr>
        <w:t>de waterwegen en hun aanhorigheden</w:t>
      </w:r>
      <w:r>
        <w:rPr>
          <w:rFonts w:cs="Times New Roman"/>
        </w:rPr>
        <w:t>”</w:t>
      </w:r>
      <w:r w:rsidRPr="008B1EA4">
        <w:rPr>
          <w:rFonts w:cs="Times New Roman"/>
        </w:rPr>
        <w:t xml:space="preserve"> (2°), </w:t>
      </w:r>
      <w:r>
        <w:rPr>
          <w:rFonts w:cs="Times New Roman"/>
        </w:rPr>
        <w:t>“</w:t>
      </w:r>
      <w:r w:rsidRPr="008B1EA4">
        <w:rPr>
          <w:rFonts w:cs="Times New Roman"/>
        </w:rPr>
        <w:t>de havens en hun aanhorigheden</w:t>
      </w:r>
      <w:r>
        <w:rPr>
          <w:rFonts w:cs="Times New Roman"/>
        </w:rPr>
        <w:t>”</w:t>
      </w:r>
      <w:r w:rsidRPr="008B1EA4">
        <w:rPr>
          <w:rFonts w:cs="Times New Roman"/>
        </w:rPr>
        <w:t xml:space="preserve"> (3°) en </w:t>
      </w:r>
      <w:r>
        <w:rPr>
          <w:rFonts w:cs="Times New Roman"/>
        </w:rPr>
        <w:t>“</w:t>
      </w:r>
      <w:r w:rsidRPr="008B1EA4">
        <w:rPr>
          <w:rFonts w:cs="Times New Roman"/>
        </w:rPr>
        <w:t>de loodsdiensten en de bebakeningsdiensten van en naar de havens, evenals de reddings- en sleepdiensten op zee</w:t>
      </w:r>
      <w:r>
        <w:rPr>
          <w:rFonts w:cs="Times New Roman"/>
        </w:rPr>
        <w:t>”</w:t>
      </w:r>
      <w:r w:rsidRPr="008B1EA4">
        <w:rPr>
          <w:rFonts w:cs="Times New Roman"/>
        </w:rPr>
        <w:t xml:space="preserve"> (9°). Nu niet alle relevante activiteiten zich </w:t>
      </w:r>
      <w:r w:rsidRPr="008B1EA4">
        <w:rPr>
          <w:rFonts w:cs="Times New Roman"/>
          <w:i/>
        </w:rPr>
        <w:t xml:space="preserve">ratione loci </w:t>
      </w:r>
      <w:r w:rsidRPr="008B1EA4">
        <w:rPr>
          <w:rFonts w:cs="Times New Roman"/>
        </w:rPr>
        <w:t>in het Vlaams</w:t>
      </w:r>
      <w:r>
        <w:rPr>
          <w:rFonts w:cs="Times New Roman"/>
        </w:rPr>
        <w:t>e</w:t>
      </w:r>
      <w:r w:rsidRPr="008B1EA4">
        <w:rPr>
          <w:rFonts w:cs="Times New Roman"/>
        </w:rPr>
        <w:t xml:space="preserve"> Gewest afspelen, moeten ook de andere gewesten worden betrokken.</w:t>
      </w:r>
    </w:p>
  </w:footnote>
  <w:footnote w:id="10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Bovendien, gelet op de complexe bevoegdheden inzake transport, blijken er ook nog vaak federale restbevoegdheden in het spel, zodat ook de materiële bevoegdheidsverdeling in het geding is</w:t>
      </w:r>
      <w:r>
        <w:rPr>
          <w:rFonts w:cs="Times New Roman"/>
        </w:rPr>
        <w:t>.</w:t>
      </w:r>
      <w:r w:rsidRPr="008B1EA4">
        <w:rPr>
          <w:rFonts w:cs="Times New Roman"/>
        </w:rPr>
        <w:t xml:space="preserve"> </w:t>
      </w:r>
      <w:r>
        <w:rPr>
          <w:rFonts w:cs="Times New Roman"/>
        </w:rPr>
        <w:t>Z</w:t>
      </w:r>
      <w:r w:rsidRPr="008B1EA4">
        <w:rPr>
          <w:rFonts w:cs="Times New Roman"/>
        </w:rPr>
        <w:t xml:space="preserve">ie bv. adv.RvS 57.695/3 </w:t>
      </w:r>
      <w:r>
        <w:rPr>
          <w:rFonts w:cs="Times New Roman"/>
        </w:rPr>
        <w:t>van 30 juli 2015 en</w:t>
      </w:r>
      <w:r w:rsidRPr="008B1EA4">
        <w:rPr>
          <w:rFonts w:cs="Times New Roman"/>
        </w:rPr>
        <w:t xml:space="preserve"> adv.RvS 59.810/3</w:t>
      </w:r>
      <w:r>
        <w:rPr>
          <w:rFonts w:cs="Times New Roman"/>
        </w:rPr>
        <w:t xml:space="preserve"> van 16 september 2016</w:t>
      </w:r>
      <w:r w:rsidRPr="008B1EA4">
        <w:rPr>
          <w:rFonts w:cs="Times New Roman"/>
        </w:rPr>
        <w:t>.</w:t>
      </w:r>
    </w:p>
  </w:footnote>
  <w:footnote w:id="10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59.810/3</w:t>
      </w:r>
      <w:r>
        <w:rPr>
          <w:rFonts w:cs="Times New Roman"/>
        </w:rPr>
        <w:t xml:space="preserve"> van 16 september 2016</w:t>
      </w:r>
      <w:r w:rsidRPr="008B1EA4">
        <w:rPr>
          <w:rFonts w:cs="Times New Roman"/>
        </w:rPr>
        <w:t>.</w:t>
      </w:r>
    </w:p>
  </w:footnote>
  <w:footnote w:id="10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R</w:t>
      </w:r>
      <w:r w:rsidRPr="008B1EA4">
        <w:rPr>
          <w:rFonts w:eastAsia="Arial Unicode MS" w:cs="Times New Roman"/>
          <w:kern w:val="3"/>
        </w:rPr>
        <w:t>ichtlijn 2008/68/EG van het Europees Parlement en de Raad van 24 september 2008 betreffende het vervoer van gevaarlijke goederen over land.</w:t>
      </w:r>
    </w:p>
  </w:footnote>
  <w:footnote w:id="10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57.695/3</w:t>
      </w:r>
      <w:r w:rsidRPr="00BE6364">
        <w:rPr>
          <w:rFonts w:cs="Times New Roman"/>
        </w:rPr>
        <w:t xml:space="preserve"> </w:t>
      </w:r>
      <w:r>
        <w:rPr>
          <w:rFonts w:cs="Times New Roman"/>
        </w:rPr>
        <w:t>van 30 juli 2015</w:t>
      </w:r>
      <w:r w:rsidRPr="008B1EA4">
        <w:rPr>
          <w:rFonts w:cs="Times New Roman"/>
        </w:rPr>
        <w:t>.</w:t>
      </w:r>
    </w:p>
  </w:footnote>
  <w:footnote w:id="10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60.166/3</w:t>
      </w:r>
      <w:r>
        <w:rPr>
          <w:rFonts w:cs="Times New Roman"/>
        </w:rPr>
        <w:t xml:space="preserve"> van 26 oktober 2016</w:t>
      </w:r>
      <w:r w:rsidRPr="008B1EA4">
        <w:rPr>
          <w:rFonts w:cs="Times New Roman"/>
        </w:rPr>
        <w:t>.</w:t>
      </w:r>
    </w:p>
  </w:footnote>
  <w:footnote w:id="10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60.616/3</w:t>
      </w:r>
      <w:r>
        <w:rPr>
          <w:rFonts w:cs="Times New Roman"/>
        </w:rPr>
        <w:t xml:space="preserve"> van 1 april 2016</w:t>
      </w:r>
      <w:r w:rsidRPr="008B1EA4">
        <w:rPr>
          <w:rFonts w:cs="Times New Roman"/>
        </w:rPr>
        <w:t>.</w:t>
      </w:r>
    </w:p>
  </w:footnote>
  <w:footnote w:id="10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58.189/VR</w:t>
      </w:r>
      <w:r>
        <w:rPr>
          <w:rFonts w:cs="Times New Roman"/>
        </w:rPr>
        <w:t xml:space="preserve"> van 13 oktober 2015</w:t>
      </w:r>
      <w:r w:rsidRPr="008B1EA4">
        <w:rPr>
          <w:rFonts w:cs="Times New Roman"/>
        </w:rPr>
        <w:t>; zie ook advies 58.220/VR</w:t>
      </w:r>
      <w:r>
        <w:rPr>
          <w:rFonts w:cs="Times New Roman"/>
        </w:rPr>
        <w:t xml:space="preserve"> van 13 oktober 2015</w:t>
      </w:r>
      <w:r w:rsidRPr="008B1EA4">
        <w:rPr>
          <w:rFonts w:cs="Times New Roman"/>
        </w:rPr>
        <w:t>.</w:t>
      </w:r>
    </w:p>
  </w:footnote>
  <w:footnote w:id="10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60.929/3</w:t>
      </w:r>
      <w:r>
        <w:rPr>
          <w:rFonts w:cs="Times New Roman"/>
        </w:rPr>
        <w:t xml:space="preserve"> van 3 maart 2017</w:t>
      </w:r>
      <w:r w:rsidRPr="008B1EA4">
        <w:rPr>
          <w:rFonts w:cs="Times New Roman"/>
        </w:rPr>
        <w:t>.</w:t>
      </w:r>
    </w:p>
  </w:footnote>
  <w:footnote w:id="109">
    <w:p w:rsidR="005C6007" w:rsidRDefault="005C6007">
      <w:pPr>
        <w:pStyle w:val="Voetnoottekst"/>
      </w:pPr>
      <w:r>
        <w:rPr>
          <w:rStyle w:val="Voetnootmarkering"/>
        </w:rPr>
        <w:footnoteRef/>
      </w:r>
      <w:r>
        <w:t xml:space="preserve"> Zie ook kroniek 2013-14, nr. 17.</w:t>
      </w:r>
    </w:p>
  </w:footnote>
  <w:footnote w:id="11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58.060/1</w:t>
      </w:r>
      <w:r>
        <w:rPr>
          <w:rFonts w:cs="Times New Roman"/>
        </w:rPr>
        <w:t>/</w:t>
      </w:r>
      <w:r w:rsidRPr="008B1EA4">
        <w:rPr>
          <w:rFonts w:cs="Times New Roman"/>
        </w:rPr>
        <w:t>V</w:t>
      </w:r>
      <w:r>
        <w:rPr>
          <w:rFonts w:cs="Times New Roman"/>
        </w:rPr>
        <w:t xml:space="preserve"> van 1 september 2015</w:t>
      </w:r>
      <w:r w:rsidRPr="008B1EA4">
        <w:rPr>
          <w:rFonts w:cs="Times New Roman"/>
        </w:rPr>
        <w:t>.</w:t>
      </w:r>
    </w:p>
  </w:footnote>
  <w:footnote w:id="11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58.956/1</w:t>
      </w:r>
      <w:r>
        <w:rPr>
          <w:rFonts w:cs="Times New Roman"/>
        </w:rPr>
        <w:t xml:space="preserve"> van 16 maart 2016</w:t>
      </w:r>
      <w:r w:rsidRPr="008B1EA4">
        <w:rPr>
          <w:rFonts w:cs="Times New Roman"/>
        </w:rPr>
        <w:t>.</w:t>
      </w:r>
    </w:p>
  </w:footnote>
  <w:footnote w:id="11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58.903/3</w:t>
      </w:r>
      <w:r>
        <w:rPr>
          <w:rFonts w:cs="Times New Roman"/>
        </w:rPr>
        <w:t xml:space="preserve"> van 17 maart 2016</w:t>
      </w:r>
      <w:r w:rsidRPr="008B1EA4">
        <w:rPr>
          <w:rFonts w:cs="Times New Roman"/>
        </w:rPr>
        <w:t xml:space="preserve">, </w:t>
      </w:r>
      <w:r>
        <w:rPr>
          <w:rFonts w:cs="Times New Roman"/>
        </w:rPr>
        <w:t>nr.</w:t>
      </w:r>
      <w:r w:rsidRPr="008B1EA4">
        <w:rPr>
          <w:rFonts w:cs="Times New Roman"/>
        </w:rPr>
        <w:t xml:space="preserve"> 7.2.</w:t>
      </w:r>
    </w:p>
  </w:footnote>
  <w:footnote w:id="11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58.903/3</w:t>
      </w:r>
      <w:r w:rsidRPr="00444EA1">
        <w:rPr>
          <w:rFonts w:cs="Times New Roman"/>
        </w:rPr>
        <w:t xml:space="preserve"> </w:t>
      </w:r>
      <w:r>
        <w:rPr>
          <w:rFonts w:cs="Times New Roman"/>
        </w:rPr>
        <w:t>van 17 maart 2016</w:t>
      </w:r>
      <w:r w:rsidRPr="008B1EA4">
        <w:rPr>
          <w:rFonts w:cs="Times New Roman"/>
        </w:rPr>
        <w:t xml:space="preserve">, </w:t>
      </w:r>
      <w:r>
        <w:rPr>
          <w:rFonts w:cs="Times New Roman"/>
        </w:rPr>
        <w:t>nr.</w:t>
      </w:r>
      <w:r w:rsidRPr="008B1EA4">
        <w:rPr>
          <w:rFonts w:cs="Times New Roman"/>
        </w:rPr>
        <w:t xml:space="preserve"> 6.3.</w:t>
      </w:r>
    </w:p>
  </w:footnote>
  <w:footnote w:id="11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57.117/3</w:t>
      </w:r>
      <w:r>
        <w:rPr>
          <w:rFonts w:cs="Times New Roman"/>
        </w:rPr>
        <w:t xml:space="preserve"> van 18 maart 2015</w:t>
      </w:r>
      <w:r w:rsidRPr="008B1EA4">
        <w:rPr>
          <w:rFonts w:cs="Times New Roman"/>
        </w:rPr>
        <w:t xml:space="preserve">, </w:t>
      </w:r>
      <w:r>
        <w:rPr>
          <w:rFonts w:cs="Times New Roman"/>
        </w:rPr>
        <w:t>nr.</w:t>
      </w:r>
      <w:r w:rsidRPr="008B1EA4">
        <w:rPr>
          <w:rFonts w:cs="Times New Roman"/>
        </w:rPr>
        <w:t xml:space="preserve"> 6.</w:t>
      </w:r>
    </w:p>
  </w:footnote>
  <w:footnote w:id="11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59.901/3</w:t>
      </w:r>
      <w:r>
        <w:rPr>
          <w:rFonts w:cs="Times New Roman"/>
        </w:rPr>
        <w:t xml:space="preserve"> van 3 oktober 2016</w:t>
      </w:r>
      <w:r w:rsidRPr="008B1EA4">
        <w:rPr>
          <w:rFonts w:cs="Times New Roman"/>
        </w:rPr>
        <w:t xml:space="preserve">, </w:t>
      </w:r>
      <w:r>
        <w:rPr>
          <w:rFonts w:cs="Times New Roman"/>
        </w:rPr>
        <w:t>nr.</w:t>
      </w:r>
      <w:r w:rsidRPr="008B1EA4">
        <w:rPr>
          <w:rFonts w:cs="Times New Roman"/>
        </w:rPr>
        <w:t xml:space="preserve"> 12.</w:t>
      </w:r>
    </w:p>
  </w:footnote>
  <w:footnote w:id="11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58.054/1</w:t>
      </w:r>
      <w:r>
        <w:rPr>
          <w:rFonts w:cs="Times New Roman"/>
        </w:rPr>
        <w:t>/</w:t>
      </w:r>
      <w:r w:rsidRPr="008B1EA4">
        <w:rPr>
          <w:rFonts w:cs="Times New Roman"/>
        </w:rPr>
        <w:t>V</w:t>
      </w:r>
      <w:r>
        <w:rPr>
          <w:rFonts w:cs="Times New Roman"/>
        </w:rPr>
        <w:t xml:space="preserve"> van 28 augustus 2016</w:t>
      </w:r>
      <w:r w:rsidRPr="008B1EA4">
        <w:rPr>
          <w:rFonts w:cs="Times New Roman"/>
        </w:rPr>
        <w:t xml:space="preserve">, </w:t>
      </w:r>
      <w:r>
        <w:rPr>
          <w:rFonts w:cs="Times New Roman"/>
        </w:rPr>
        <w:t>nrs.</w:t>
      </w:r>
      <w:r w:rsidRPr="008B1EA4">
        <w:rPr>
          <w:rFonts w:cs="Times New Roman"/>
        </w:rPr>
        <w:t xml:space="preserve"> 4.6 en 4.7.</w:t>
      </w:r>
    </w:p>
  </w:footnote>
  <w:footnote w:id="11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58.987/VR</w:t>
      </w:r>
      <w:r>
        <w:rPr>
          <w:rFonts w:cs="Times New Roman"/>
        </w:rPr>
        <w:t xml:space="preserve"> van 1 april 2016</w:t>
      </w:r>
      <w:r w:rsidRPr="008B1EA4">
        <w:rPr>
          <w:rFonts w:cs="Times New Roman"/>
        </w:rPr>
        <w:t xml:space="preserve">, </w:t>
      </w:r>
      <w:r>
        <w:rPr>
          <w:rFonts w:cs="Times New Roman"/>
        </w:rPr>
        <w:t>nr.</w:t>
      </w:r>
      <w:r w:rsidRPr="008B1EA4">
        <w:rPr>
          <w:rFonts w:cs="Times New Roman"/>
        </w:rPr>
        <w:t xml:space="preserve"> 5.1.</w:t>
      </w:r>
    </w:p>
  </w:footnote>
  <w:footnote w:id="11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58.987/VR</w:t>
      </w:r>
      <w:r w:rsidRPr="00CE0DA1">
        <w:rPr>
          <w:rFonts w:cs="Times New Roman"/>
        </w:rPr>
        <w:t xml:space="preserve"> </w:t>
      </w:r>
      <w:r>
        <w:rPr>
          <w:rFonts w:cs="Times New Roman"/>
        </w:rPr>
        <w:t>van 1 april 2016</w:t>
      </w:r>
      <w:r w:rsidRPr="008B1EA4">
        <w:rPr>
          <w:rFonts w:cs="Times New Roman"/>
        </w:rPr>
        <w:t xml:space="preserve">, </w:t>
      </w:r>
      <w:r>
        <w:rPr>
          <w:rFonts w:cs="Times New Roman"/>
        </w:rPr>
        <w:t>nr.</w:t>
      </w:r>
      <w:r w:rsidRPr="008B1EA4">
        <w:rPr>
          <w:rFonts w:cs="Times New Roman"/>
        </w:rPr>
        <w:t xml:space="preserve"> 4.1.</w:t>
      </w:r>
    </w:p>
  </w:footnote>
  <w:footnote w:id="11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56.890/VR</w:t>
      </w:r>
      <w:r>
        <w:rPr>
          <w:rFonts w:cs="Times New Roman"/>
        </w:rPr>
        <w:t xml:space="preserve"> van 27 januari 2015</w:t>
      </w:r>
      <w:r w:rsidRPr="008B1EA4">
        <w:rPr>
          <w:rFonts w:cs="Times New Roman"/>
        </w:rPr>
        <w:t xml:space="preserve">, </w:t>
      </w:r>
      <w:r>
        <w:rPr>
          <w:rFonts w:cs="Times New Roman"/>
        </w:rPr>
        <w:t>nr.</w:t>
      </w:r>
      <w:r w:rsidRPr="008B1EA4">
        <w:rPr>
          <w:rFonts w:cs="Times New Roman"/>
        </w:rPr>
        <w:t xml:space="preserve"> 4.2.</w:t>
      </w:r>
    </w:p>
  </w:footnote>
  <w:footnote w:id="12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R</w:t>
      </w:r>
      <w:r w:rsidRPr="008B1EA4">
        <w:rPr>
          <w:rFonts w:eastAsia="Arial Unicode MS" w:cs="Times New Roman"/>
          <w:kern w:val="1"/>
          <w:lang w:val="nl-NL" w:eastAsia="nl-BE"/>
        </w:rPr>
        <w:t>ichtlijn 2001/83/EG van het Europees Parlement en de Raad v</w:t>
      </w:r>
      <w:r w:rsidRPr="008B1EA4">
        <w:rPr>
          <w:rFonts w:cs="Times New Roman"/>
        </w:rPr>
        <w:t>an 6 november 2001 tot vaststelling van een communautair wetboek betreffende geneesmiddelen voor menselijk gebruik.</w:t>
      </w:r>
    </w:p>
  </w:footnote>
  <w:footnote w:id="12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59.706/</w:t>
      </w:r>
      <w:r>
        <w:rPr>
          <w:rFonts w:cs="Times New Roman"/>
        </w:rPr>
        <w:t>1/</w:t>
      </w:r>
      <w:r w:rsidRPr="008B1EA4">
        <w:rPr>
          <w:rFonts w:cs="Times New Roman"/>
        </w:rPr>
        <w:t>V</w:t>
      </w:r>
      <w:r>
        <w:rPr>
          <w:rFonts w:cs="Times New Roman"/>
        </w:rPr>
        <w:t xml:space="preserve"> van 10 augustus 2016</w:t>
      </w:r>
      <w:r w:rsidRPr="008B1EA4">
        <w:rPr>
          <w:rFonts w:cs="Times New Roman"/>
        </w:rPr>
        <w:t>, opmerkingen bij artikel 71.</w:t>
      </w:r>
    </w:p>
  </w:footnote>
  <w:footnote w:id="12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59.706/1</w:t>
      </w:r>
      <w:r>
        <w:rPr>
          <w:rFonts w:cs="Times New Roman"/>
        </w:rPr>
        <w:t>/</w:t>
      </w:r>
      <w:r w:rsidRPr="008B1EA4">
        <w:rPr>
          <w:rFonts w:cs="Times New Roman"/>
        </w:rPr>
        <w:t>V</w:t>
      </w:r>
      <w:r>
        <w:rPr>
          <w:rFonts w:cs="Times New Roman"/>
        </w:rPr>
        <w:t xml:space="preserve"> van 10 augustus 2016</w:t>
      </w:r>
      <w:r w:rsidRPr="008B1EA4">
        <w:rPr>
          <w:rFonts w:cs="Times New Roman"/>
        </w:rPr>
        <w:t>, opmerkingen bij artikel 55.</w:t>
      </w:r>
    </w:p>
  </w:footnote>
  <w:footnote w:id="12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11 september 2014, C-204/12 tot C-208/12, </w:t>
      </w:r>
      <w:r w:rsidRPr="008B1EA4">
        <w:rPr>
          <w:rFonts w:cs="Times New Roman"/>
          <w:i/>
          <w:iCs/>
        </w:rPr>
        <w:t>Essent Belgium.</w:t>
      </w:r>
    </w:p>
  </w:footnote>
  <w:footnote w:id="12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58.073/1</w:t>
      </w:r>
      <w:r>
        <w:rPr>
          <w:rFonts w:cs="Times New Roman"/>
        </w:rPr>
        <w:t>/</w:t>
      </w:r>
      <w:r w:rsidRPr="008B1EA4">
        <w:rPr>
          <w:rFonts w:cs="Times New Roman"/>
        </w:rPr>
        <w:t xml:space="preserve">V </w:t>
      </w:r>
      <w:r>
        <w:rPr>
          <w:rFonts w:cs="Times New Roman"/>
        </w:rPr>
        <w:t>van 8 september 2015 (Vlaamse Gewest)</w:t>
      </w:r>
      <w:r w:rsidRPr="008B1EA4">
        <w:rPr>
          <w:rFonts w:cs="Times New Roman"/>
        </w:rPr>
        <w:t>. Zie ook adv.RvS 58.549/3</w:t>
      </w:r>
      <w:r>
        <w:rPr>
          <w:rFonts w:cs="Times New Roman"/>
        </w:rPr>
        <w:t xml:space="preserve"> van 17 december 2015</w:t>
      </w:r>
      <w:r w:rsidRPr="008B1EA4">
        <w:rPr>
          <w:rFonts w:cs="Times New Roman"/>
        </w:rPr>
        <w:t xml:space="preserve"> </w:t>
      </w:r>
      <w:r>
        <w:rPr>
          <w:rFonts w:cs="Times New Roman"/>
        </w:rPr>
        <w:t>(</w:t>
      </w:r>
      <w:r w:rsidRPr="008B1EA4">
        <w:rPr>
          <w:rFonts w:cs="Times New Roman"/>
        </w:rPr>
        <w:t>Brussels</w:t>
      </w:r>
      <w:r>
        <w:rPr>
          <w:rFonts w:cs="Times New Roman"/>
        </w:rPr>
        <w:t>e</w:t>
      </w:r>
      <w:r w:rsidRPr="008B1EA4">
        <w:rPr>
          <w:rFonts w:cs="Times New Roman"/>
        </w:rPr>
        <w:t xml:space="preserve"> Hoofdstedelijk</w:t>
      </w:r>
      <w:r>
        <w:rPr>
          <w:rFonts w:cs="Times New Roman"/>
        </w:rPr>
        <w:t>e</w:t>
      </w:r>
      <w:r w:rsidRPr="008B1EA4">
        <w:rPr>
          <w:rFonts w:cs="Times New Roman"/>
        </w:rPr>
        <w:t xml:space="preserve"> Gewest</w:t>
      </w:r>
      <w:r>
        <w:rPr>
          <w:rFonts w:cs="Times New Roman"/>
        </w:rPr>
        <w:t>)</w:t>
      </w:r>
      <w:r w:rsidRPr="008B1EA4">
        <w:rPr>
          <w:rFonts w:cs="Times New Roman"/>
        </w:rPr>
        <w:t>.</w:t>
      </w:r>
    </w:p>
  </w:footnote>
  <w:footnote w:id="12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61.117/3</w:t>
      </w:r>
      <w:r>
        <w:rPr>
          <w:rFonts w:cs="Times New Roman"/>
        </w:rPr>
        <w:t xml:space="preserve"> van 7 april 2017</w:t>
      </w:r>
      <w:r w:rsidRPr="008B1EA4">
        <w:rPr>
          <w:rFonts w:cs="Times New Roman"/>
        </w:rPr>
        <w:t>.</w:t>
      </w:r>
    </w:p>
  </w:footnote>
  <w:footnote w:id="12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57.485/4</w:t>
      </w:r>
      <w:r>
        <w:rPr>
          <w:rFonts w:cs="Times New Roman"/>
        </w:rPr>
        <w:t xml:space="preserve"> van 3 juni 2015</w:t>
      </w:r>
      <w:r w:rsidRPr="008B1EA4">
        <w:rPr>
          <w:rFonts w:cs="Times New Roman"/>
        </w:rPr>
        <w:t>.</w:t>
      </w:r>
    </w:p>
  </w:footnote>
  <w:footnote w:id="12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24 november 1993, C-267/91 en C-268/91</w:t>
      </w:r>
      <w:r>
        <w:rPr>
          <w:rFonts w:cs="Times New Roman"/>
        </w:rPr>
        <w:t>,</w:t>
      </w:r>
      <w:r w:rsidRPr="008B1EA4">
        <w:rPr>
          <w:rFonts w:cs="Times New Roman"/>
        </w:rPr>
        <w:t xml:space="preserve"> </w:t>
      </w:r>
      <w:r w:rsidRPr="008B1EA4">
        <w:rPr>
          <w:rFonts w:cs="Times New Roman"/>
          <w:i/>
        </w:rPr>
        <w:t>Keck en Mithouard</w:t>
      </w:r>
      <w:r w:rsidRPr="008B1EA4">
        <w:rPr>
          <w:rFonts w:cs="Times New Roman"/>
        </w:rPr>
        <w:t>.</w:t>
      </w:r>
    </w:p>
  </w:footnote>
  <w:footnote w:id="128">
    <w:p w:rsidR="005C6007" w:rsidRPr="00CD53C6" w:rsidRDefault="005C6007">
      <w:pPr>
        <w:pStyle w:val="Voetnoottekst"/>
        <w:rPr>
          <w:lang w:val="de-DE"/>
        </w:rPr>
      </w:pPr>
      <w:r>
        <w:rPr>
          <w:rStyle w:val="Voetnootmarkering"/>
        </w:rPr>
        <w:footnoteRef/>
      </w:r>
      <w:r>
        <w:t xml:space="preserve"> Adv.RvS 59.784/1/V van 23 september 2016, opmerking 5. </w:t>
      </w:r>
      <w:r w:rsidRPr="00CD53C6">
        <w:rPr>
          <w:lang w:val="de-DE"/>
        </w:rPr>
        <w:t xml:space="preserve">Zie ook HvJ 30 april 2009, </w:t>
      </w:r>
      <w:r w:rsidRPr="00CD53C6">
        <w:rPr>
          <w:i/>
          <w:iCs/>
          <w:lang w:val="de-DE"/>
        </w:rPr>
        <w:t>Fachverband der Buch- und Medienwirtschaft</w:t>
      </w:r>
      <w:r w:rsidRPr="00CD53C6">
        <w:rPr>
          <w:lang w:val="de-DE"/>
        </w:rPr>
        <w:t>, C-531/07, punt 20.</w:t>
      </w:r>
    </w:p>
  </w:footnote>
  <w:footnote w:id="129">
    <w:p w:rsidR="005C6007" w:rsidRPr="00262AA8" w:rsidRDefault="005C6007" w:rsidP="008B1EA4">
      <w:pPr>
        <w:pStyle w:val="Voetnoottekst"/>
        <w:rPr>
          <w:rFonts w:cs="Times New Roman"/>
        </w:rPr>
      </w:pPr>
      <w:r w:rsidRPr="008B1EA4">
        <w:rPr>
          <w:rStyle w:val="Voetnootmarkering"/>
          <w:rFonts w:cs="Times New Roman"/>
        </w:rPr>
        <w:footnoteRef/>
      </w:r>
      <w:r w:rsidRPr="00262AA8">
        <w:t xml:space="preserve"> Adv.RvS 57.006/AV van 9 april 2015.</w:t>
      </w:r>
    </w:p>
  </w:footnote>
  <w:footnote w:id="13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58.321/1-2-3-4-VR</w:t>
      </w:r>
      <w:r>
        <w:rPr>
          <w:rFonts w:cs="Times New Roman"/>
        </w:rPr>
        <w:t xml:space="preserve"> van 30 oktober 2015</w:t>
      </w:r>
      <w:r w:rsidRPr="008B1EA4">
        <w:rPr>
          <w:rFonts w:cs="Times New Roman"/>
        </w:rPr>
        <w:t>, opmerkingen bij artikel 53.</w:t>
      </w:r>
    </w:p>
  </w:footnote>
  <w:footnote w:id="13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57.367/2</w:t>
      </w:r>
      <w:r>
        <w:rPr>
          <w:rFonts w:cs="Times New Roman"/>
        </w:rPr>
        <w:t xml:space="preserve"> van 29 april 2015</w:t>
      </w:r>
      <w:r w:rsidRPr="008B1EA4">
        <w:rPr>
          <w:rFonts w:cs="Times New Roman"/>
        </w:rPr>
        <w:t>, opmerkingen bij de artikelen 5 en 8.</w:t>
      </w:r>
    </w:p>
  </w:footnote>
  <w:footnote w:id="13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59.428/1/VR</w:t>
      </w:r>
      <w:r>
        <w:rPr>
          <w:rFonts w:cs="Times New Roman"/>
        </w:rPr>
        <w:t xml:space="preserve"> van 24 juni 2016</w:t>
      </w:r>
      <w:r w:rsidRPr="008B1EA4">
        <w:rPr>
          <w:rFonts w:cs="Times New Roman"/>
        </w:rPr>
        <w:t>.</w:t>
      </w:r>
    </w:p>
  </w:footnote>
  <w:footnote w:id="13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11 december 2014, C-576/13</w:t>
      </w:r>
      <w:r>
        <w:rPr>
          <w:rFonts w:cs="Times New Roman"/>
        </w:rPr>
        <w:t>,</w:t>
      </w:r>
      <w:r w:rsidRPr="008B1EA4">
        <w:rPr>
          <w:rFonts w:cs="Times New Roman"/>
        </w:rPr>
        <w:t xml:space="preserve"> </w:t>
      </w:r>
      <w:r w:rsidRPr="008B1EA4">
        <w:rPr>
          <w:rFonts w:cs="Times New Roman"/>
          <w:i/>
        </w:rPr>
        <w:t>Commissie/Spanje</w:t>
      </w:r>
      <w:r w:rsidRPr="008B1EA4">
        <w:rPr>
          <w:rFonts w:cs="Times New Roman"/>
        </w:rPr>
        <w:t>; HvJ 27 november 2001, gevoegde zaken C-285/99 en C-286/99</w:t>
      </w:r>
      <w:r>
        <w:rPr>
          <w:rFonts w:cs="Times New Roman"/>
        </w:rPr>
        <w:t>,</w:t>
      </w:r>
      <w:r w:rsidRPr="008B1EA4">
        <w:rPr>
          <w:rFonts w:cs="Times New Roman"/>
        </w:rPr>
        <w:t xml:space="preserve"> </w:t>
      </w:r>
      <w:r w:rsidRPr="008B1EA4">
        <w:rPr>
          <w:rFonts w:cs="Times New Roman"/>
          <w:i/>
        </w:rPr>
        <w:t>Impresa Lombardini.</w:t>
      </w:r>
    </w:p>
  </w:footnote>
  <w:footnote w:id="134">
    <w:p w:rsidR="005C6007" w:rsidRPr="00262AA8" w:rsidRDefault="005C6007" w:rsidP="008B1EA4">
      <w:pPr>
        <w:pStyle w:val="Voetnoottekst"/>
        <w:rPr>
          <w:rFonts w:cs="Times New Roman"/>
        </w:rPr>
      </w:pPr>
      <w:r w:rsidRPr="008B1EA4">
        <w:rPr>
          <w:rStyle w:val="Voetnootmarkering"/>
          <w:rFonts w:cs="Times New Roman"/>
        </w:rPr>
        <w:footnoteRef/>
      </w:r>
      <w:r w:rsidRPr="00262AA8">
        <w:t xml:space="preserve"> EVA-Hof 19 april 2016, E-14/15</w:t>
      </w:r>
      <w:r w:rsidRPr="0094614F">
        <w:t>,</w:t>
      </w:r>
      <w:r w:rsidRPr="00262AA8">
        <w:t xml:space="preserve"> </w:t>
      </w:r>
      <w:r w:rsidRPr="00262AA8">
        <w:rPr>
          <w:i/>
        </w:rPr>
        <w:t>Holship Norge</w:t>
      </w:r>
      <w:r w:rsidRPr="00262AA8">
        <w:t>.</w:t>
      </w:r>
    </w:p>
  </w:footnote>
  <w:footnote w:id="13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 xml:space="preserve">Overigens werd </w:t>
      </w:r>
      <w:r w:rsidRPr="008B1EA4">
        <w:rPr>
          <w:rFonts w:cs="Times New Roman"/>
        </w:rPr>
        <w:t>het</w:t>
      </w:r>
      <w:r>
        <w:rPr>
          <w:rFonts w:cs="Times New Roman"/>
        </w:rPr>
        <w:t xml:space="preserve"> resulterende</w:t>
      </w:r>
      <w:r w:rsidRPr="008B1EA4">
        <w:rPr>
          <w:rFonts w:cs="Times New Roman"/>
        </w:rPr>
        <w:t xml:space="preserve"> koninklijk besluit van 10 juli 2016 tot wijziging van het koninklijk besluit van 5 juli 2004 betreffende de erkenning van havenarbeiders in de havengebieden die onder het toepassingsgebied vallen van de wet van 8 juni 1972 betreffende de havenarbeid onder meer op grond van vermeende schendingen van het vrij verkeer aangevochten voor </w:t>
      </w:r>
      <w:r>
        <w:rPr>
          <w:rFonts w:cs="Times New Roman"/>
        </w:rPr>
        <w:t xml:space="preserve">afdeling Bestuursrechtspraak van </w:t>
      </w:r>
      <w:r w:rsidRPr="008B1EA4">
        <w:rPr>
          <w:rFonts w:cs="Times New Roman"/>
        </w:rPr>
        <w:t>de Raad van State.</w:t>
      </w:r>
    </w:p>
  </w:footnote>
  <w:footnote w:id="13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57.066/3</w:t>
      </w:r>
      <w:r>
        <w:rPr>
          <w:rFonts w:cs="Times New Roman"/>
        </w:rPr>
        <w:t xml:space="preserve"> van 20 maart 2015</w:t>
      </w:r>
      <w:r w:rsidRPr="008B1EA4">
        <w:rPr>
          <w:rFonts w:cs="Times New Roman"/>
        </w:rPr>
        <w:t>.</w:t>
      </w:r>
    </w:p>
  </w:footnote>
  <w:footnote w:id="13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59.659/1</w:t>
      </w:r>
      <w:r>
        <w:rPr>
          <w:rFonts w:cs="Times New Roman"/>
        </w:rPr>
        <w:t>/</w:t>
      </w:r>
      <w:r w:rsidRPr="008B1EA4">
        <w:rPr>
          <w:rFonts w:cs="Times New Roman"/>
        </w:rPr>
        <w:t>V</w:t>
      </w:r>
      <w:r>
        <w:rPr>
          <w:rFonts w:cs="Times New Roman"/>
        </w:rPr>
        <w:t xml:space="preserve"> van 29 juli 2016</w:t>
      </w:r>
      <w:r w:rsidRPr="008B1EA4">
        <w:rPr>
          <w:rFonts w:cs="Times New Roman"/>
        </w:rPr>
        <w:t>.</w:t>
      </w:r>
    </w:p>
  </w:footnote>
  <w:footnote w:id="13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59.673/1</w:t>
      </w:r>
      <w:r>
        <w:rPr>
          <w:rFonts w:cs="Times New Roman"/>
        </w:rPr>
        <w:t>/</w:t>
      </w:r>
      <w:r w:rsidRPr="008B1EA4">
        <w:rPr>
          <w:rFonts w:cs="Times New Roman"/>
        </w:rPr>
        <w:t>V</w:t>
      </w:r>
      <w:r w:rsidRPr="00CD53C6">
        <w:rPr>
          <w:rFonts w:cs="Times New Roman"/>
        </w:rPr>
        <w:t xml:space="preserve"> van 29 juli 2016</w:t>
      </w:r>
      <w:r w:rsidRPr="008B1EA4">
        <w:rPr>
          <w:rFonts w:cs="Times New Roman"/>
        </w:rPr>
        <w:t>.</w:t>
      </w:r>
    </w:p>
  </w:footnote>
  <w:footnote w:id="13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57.057/3</w:t>
      </w:r>
      <w:r>
        <w:rPr>
          <w:rFonts w:cs="Times New Roman"/>
        </w:rPr>
        <w:t xml:space="preserve"> van 6 maart 2015</w:t>
      </w:r>
      <w:r w:rsidRPr="008B1EA4">
        <w:rPr>
          <w:rFonts w:cs="Times New Roman"/>
        </w:rPr>
        <w:t>.</w:t>
      </w:r>
    </w:p>
  </w:footnote>
  <w:footnote w:id="14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Richtlijn 2006/123/EG van het Europees Parlement en de Raad van 12 december 2006 betreffende diensten op de interne markt.</w:t>
      </w:r>
    </w:p>
  </w:footnote>
  <w:footnote w:id="14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58.259/3 </w:t>
      </w:r>
      <w:r>
        <w:rPr>
          <w:rFonts w:cs="Times New Roman"/>
        </w:rPr>
        <w:t xml:space="preserve">van 4 november 2015 </w:t>
      </w:r>
      <w:r w:rsidRPr="008B1EA4">
        <w:rPr>
          <w:rFonts w:cs="Times New Roman"/>
        </w:rPr>
        <w:t>(controle gasinstallaties); adv.RvS 59.690/3</w:t>
      </w:r>
      <w:r>
        <w:rPr>
          <w:rFonts w:cs="Times New Roman"/>
        </w:rPr>
        <w:t xml:space="preserve"> van 29 juli 2016</w:t>
      </w:r>
      <w:r w:rsidRPr="008B1EA4">
        <w:rPr>
          <w:rFonts w:cs="Times New Roman"/>
        </w:rPr>
        <w:t xml:space="preserve"> (aanbieders kwaliteitskaders en certificeringsdiensten voor aannemers); adviezen 56.658/3</w:t>
      </w:r>
      <w:r>
        <w:rPr>
          <w:rFonts w:cs="Times New Roman"/>
        </w:rPr>
        <w:t xml:space="preserve"> van 23 oktober 2014</w:t>
      </w:r>
      <w:r w:rsidRPr="008B1EA4">
        <w:rPr>
          <w:rFonts w:cs="Times New Roman"/>
        </w:rPr>
        <w:t>, 56.941/3</w:t>
      </w:r>
      <w:r>
        <w:rPr>
          <w:rFonts w:cs="Times New Roman"/>
        </w:rPr>
        <w:t xml:space="preserve"> van 21 januari 2015</w:t>
      </w:r>
      <w:r w:rsidRPr="008B1EA4">
        <w:rPr>
          <w:rFonts w:cs="Times New Roman"/>
        </w:rPr>
        <w:t xml:space="preserve"> en 57.218/3</w:t>
      </w:r>
      <w:r>
        <w:rPr>
          <w:rFonts w:cs="Times New Roman"/>
        </w:rPr>
        <w:t xml:space="preserve"> van 9 april 2015</w:t>
      </w:r>
      <w:r w:rsidRPr="008B1EA4">
        <w:rPr>
          <w:rFonts w:cs="Times New Roman"/>
        </w:rPr>
        <w:t xml:space="preserve">, 58.837/3 </w:t>
      </w:r>
      <w:r>
        <w:rPr>
          <w:rFonts w:cs="Times New Roman"/>
        </w:rPr>
        <w:t xml:space="preserve">van 23 februari 2016 </w:t>
      </w:r>
      <w:r w:rsidRPr="008B1EA4">
        <w:rPr>
          <w:rFonts w:cs="Times New Roman"/>
        </w:rPr>
        <w:t>(dopinglaboratoria, anti-dopingexperten en chaperones bij dopingcontroles (de controle-artsen zijn niet onderworpen aan de dienstenrichtlijn)). Als private organisaties vallen zij niet onder de uitzondering inzake openbaar gezag.</w:t>
      </w:r>
    </w:p>
  </w:footnote>
  <w:footnote w:id="14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57.708/3</w:t>
      </w:r>
      <w:r>
        <w:rPr>
          <w:rFonts w:cs="Times New Roman"/>
        </w:rPr>
        <w:t xml:space="preserve"> van 17 juli 2015</w:t>
      </w:r>
      <w:r w:rsidRPr="008B1EA4">
        <w:rPr>
          <w:rFonts w:cs="Times New Roman"/>
        </w:rPr>
        <w:t>. Zie ook adv.RvS 59.000/1/3</w:t>
      </w:r>
      <w:r>
        <w:rPr>
          <w:rFonts w:cs="Times New Roman"/>
        </w:rPr>
        <w:t xml:space="preserve"> van 25 maart 2016</w:t>
      </w:r>
      <w:r w:rsidRPr="008B1EA4">
        <w:rPr>
          <w:rFonts w:cs="Times New Roman"/>
        </w:rPr>
        <w:t>, adv.RvS 59.508/3</w:t>
      </w:r>
      <w:r>
        <w:rPr>
          <w:rFonts w:cs="Times New Roman"/>
        </w:rPr>
        <w:t xml:space="preserve"> van 14 juli 2016</w:t>
      </w:r>
      <w:r w:rsidRPr="008B1EA4">
        <w:rPr>
          <w:rFonts w:cs="Times New Roman"/>
        </w:rPr>
        <w:t xml:space="preserve"> en adv.RvS 60.035/3</w:t>
      </w:r>
      <w:r>
        <w:rPr>
          <w:rFonts w:cs="Times New Roman"/>
        </w:rPr>
        <w:t xml:space="preserve"> van 26 september 2016</w:t>
      </w:r>
      <w:r w:rsidRPr="008B1EA4">
        <w:rPr>
          <w:rFonts w:cs="Times New Roman"/>
        </w:rPr>
        <w:t>.</w:t>
      </w:r>
    </w:p>
  </w:footnote>
  <w:footnote w:id="14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58.652/3</w:t>
      </w:r>
      <w:r>
        <w:rPr>
          <w:rFonts w:cs="Times New Roman"/>
        </w:rPr>
        <w:t xml:space="preserve"> van 22 januari 2016</w:t>
      </w:r>
      <w:r w:rsidRPr="008B1EA4">
        <w:rPr>
          <w:rFonts w:cs="Times New Roman"/>
        </w:rPr>
        <w:t xml:space="preserve">. Zie ook </w:t>
      </w:r>
      <w:r>
        <w:rPr>
          <w:rFonts w:cs="Times New Roman"/>
        </w:rPr>
        <w:t>adv.RvS</w:t>
      </w:r>
      <w:r w:rsidRPr="008B1EA4">
        <w:rPr>
          <w:rFonts w:cs="Times New Roman"/>
        </w:rPr>
        <w:t xml:space="preserve"> 58.633/3</w:t>
      </w:r>
      <w:r w:rsidRPr="00FC7574">
        <w:rPr>
          <w:rFonts w:cs="Times New Roman"/>
        </w:rPr>
        <w:t xml:space="preserve"> </w:t>
      </w:r>
      <w:r>
        <w:rPr>
          <w:rFonts w:cs="Times New Roman"/>
        </w:rPr>
        <w:t>van 22 januari 2016</w:t>
      </w:r>
      <w:r w:rsidRPr="008B1EA4">
        <w:rPr>
          <w:rFonts w:cs="Times New Roman"/>
        </w:rPr>
        <w:t xml:space="preserve"> en </w:t>
      </w:r>
      <w:r>
        <w:rPr>
          <w:rFonts w:cs="Times New Roman"/>
        </w:rPr>
        <w:t xml:space="preserve">adv.RvS </w:t>
      </w:r>
      <w:r w:rsidRPr="008B1EA4">
        <w:rPr>
          <w:rFonts w:cs="Times New Roman"/>
        </w:rPr>
        <w:t>58.652/3</w:t>
      </w:r>
      <w:r>
        <w:rPr>
          <w:rFonts w:cs="Times New Roman"/>
        </w:rPr>
        <w:t xml:space="preserve"> van 22 januari 2016</w:t>
      </w:r>
      <w:r w:rsidRPr="008B1EA4">
        <w:rPr>
          <w:rFonts w:cs="Times New Roman"/>
        </w:rPr>
        <w:t>.</w:t>
      </w:r>
    </w:p>
  </w:footnote>
  <w:footnote w:id="14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56.624/1/V</w:t>
      </w:r>
      <w:r>
        <w:rPr>
          <w:rFonts w:cs="Times New Roman"/>
        </w:rPr>
        <w:t xml:space="preserve"> van 10 september 2014</w:t>
      </w:r>
      <w:r w:rsidRPr="008B1EA4">
        <w:rPr>
          <w:rFonts w:cs="Times New Roman"/>
        </w:rPr>
        <w:t>.</w:t>
      </w:r>
    </w:p>
  </w:footnote>
  <w:footnote w:id="14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59.863/3</w:t>
      </w:r>
      <w:r>
        <w:rPr>
          <w:rFonts w:cs="Times New Roman"/>
        </w:rPr>
        <w:t xml:space="preserve"> van 26 september 2016</w:t>
      </w:r>
      <w:r w:rsidRPr="008B1EA4">
        <w:rPr>
          <w:rFonts w:cs="Times New Roman"/>
        </w:rPr>
        <w:t xml:space="preserve"> (dienst voor zelfredzaamheid bejaarden)</w:t>
      </w:r>
      <w:r>
        <w:rPr>
          <w:rFonts w:cs="Times New Roman"/>
        </w:rPr>
        <w:t>.</w:t>
      </w:r>
    </w:p>
  </w:footnote>
  <w:footnote w:id="14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58.751/1</w:t>
      </w:r>
      <w:r>
        <w:rPr>
          <w:rFonts w:cs="Times New Roman"/>
        </w:rPr>
        <w:t xml:space="preserve"> van 12 februari 2016</w:t>
      </w:r>
      <w:r w:rsidRPr="008B1EA4">
        <w:rPr>
          <w:rFonts w:cs="Times New Roman"/>
        </w:rPr>
        <w:t>.</w:t>
      </w:r>
    </w:p>
  </w:footnote>
  <w:footnote w:id="14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59.707/1/V</w:t>
      </w:r>
      <w:r>
        <w:rPr>
          <w:rFonts w:cs="Times New Roman"/>
        </w:rPr>
        <w:t xml:space="preserve"> van 15 september 2016</w:t>
      </w:r>
      <w:r w:rsidRPr="008B1EA4">
        <w:rPr>
          <w:rFonts w:cs="Times New Roman"/>
        </w:rPr>
        <w:t>. Zij vallen niet onder de uitzondering inzake openbaar gezag.</w:t>
      </w:r>
    </w:p>
  </w:footnote>
  <w:footnote w:id="14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59.621/3</w:t>
      </w:r>
      <w:r>
        <w:rPr>
          <w:rFonts w:cs="Times New Roman"/>
        </w:rPr>
        <w:t xml:space="preserve"> van 20 juli 2016</w:t>
      </w:r>
      <w:r w:rsidRPr="008B1EA4">
        <w:rPr>
          <w:rFonts w:cs="Times New Roman"/>
        </w:rPr>
        <w:t>.</w:t>
      </w:r>
    </w:p>
  </w:footnote>
  <w:footnote w:id="14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57.351/3</w:t>
      </w:r>
      <w:r>
        <w:rPr>
          <w:rFonts w:cs="Times New Roman"/>
        </w:rPr>
        <w:t xml:space="preserve"> van 24 april 2015</w:t>
      </w:r>
      <w:r w:rsidRPr="008B1EA4">
        <w:rPr>
          <w:rFonts w:cs="Times New Roman"/>
        </w:rPr>
        <w:t>. Zie ook adv.RvS 58.</w:t>
      </w:r>
      <w:r>
        <w:rPr>
          <w:rFonts w:cs="Times New Roman"/>
        </w:rPr>
        <w:t>245</w:t>
      </w:r>
      <w:r w:rsidRPr="008B1EA4">
        <w:rPr>
          <w:rFonts w:cs="Times New Roman"/>
        </w:rPr>
        <w:t xml:space="preserve">/3 </w:t>
      </w:r>
      <w:r>
        <w:rPr>
          <w:rFonts w:cs="Times New Roman"/>
        </w:rPr>
        <w:t xml:space="preserve">van 29 oktober 2015 </w:t>
      </w:r>
      <w:r w:rsidRPr="008B1EA4">
        <w:rPr>
          <w:rFonts w:cs="Times New Roman"/>
        </w:rPr>
        <w:t>en adv.RvS 59.983/3</w:t>
      </w:r>
      <w:r>
        <w:rPr>
          <w:rFonts w:cs="Times New Roman"/>
        </w:rPr>
        <w:t xml:space="preserve"> van 28 september 2016</w:t>
      </w:r>
      <w:r w:rsidRPr="008B1EA4">
        <w:rPr>
          <w:rFonts w:cs="Times New Roman"/>
        </w:rPr>
        <w:t>. Gelet op het arrest HvJ 11 juli 2013, C-57/12</w:t>
      </w:r>
      <w:r>
        <w:rPr>
          <w:rFonts w:cs="Times New Roman"/>
        </w:rPr>
        <w:t>,</w:t>
      </w:r>
      <w:r w:rsidRPr="008B1EA4">
        <w:rPr>
          <w:rFonts w:cs="Times New Roman"/>
        </w:rPr>
        <w:t xml:space="preserve"> </w:t>
      </w:r>
      <w:r w:rsidRPr="008B1EA4">
        <w:rPr>
          <w:rFonts w:cs="Times New Roman"/>
          <w:i/>
        </w:rPr>
        <w:t>Femarbel</w:t>
      </w:r>
      <w:r w:rsidRPr="008B1EA4">
        <w:rPr>
          <w:rFonts w:cs="Times New Roman"/>
        </w:rPr>
        <w:t>, dient een onderscheid te worden gemaakt tussen loutere rusthuizen</w:t>
      </w:r>
      <w:r>
        <w:rPr>
          <w:rFonts w:cs="Times New Roman"/>
        </w:rPr>
        <w:t>/woonzorgcentra</w:t>
      </w:r>
      <w:r w:rsidRPr="008B1EA4">
        <w:rPr>
          <w:rFonts w:cs="Times New Roman"/>
        </w:rPr>
        <w:t xml:space="preserve"> (di</w:t>
      </w:r>
      <w:r>
        <w:rPr>
          <w:rFonts w:cs="Times New Roman"/>
        </w:rPr>
        <w:t>e</w:t>
      </w:r>
      <w:r w:rsidRPr="008B1EA4">
        <w:rPr>
          <w:rFonts w:cs="Times New Roman"/>
        </w:rPr>
        <w:t xml:space="preserve"> wel onder de dienstenricht</w:t>
      </w:r>
      <w:r>
        <w:rPr>
          <w:rFonts w:cs="Times New Roman"/>
        </w:rPr>
        <w:t>l</w:t>
      </w:r>
      <w:r w:rsidRPr="008B1EA4">
        <w:rPr>
          <w:rFonts w:cs="Times New Roman"/>
        </w:rPr>
        <w:t>ijn vallen) en rust-</w:t>
      </w:r>
      <w:r>
        <w:rPr>
          <w:rFonts w:cs="Times New Roman"/>
        </w:rPr>
        <w:t xml:space="preserve"> </w:t>
      </w:r>
      <w:r w:rsidRPr="008B1EA4">
        <w:rPr>
          <w:rFonts w:cs="Times New Roman"/>
        </w:rPr>
        <w:t>en verzorgingstehuizen (waarvoor de uitzondering voor gezondheidszorgdiensten geldt).</w:t>
      </w:r>
    </w:p>
  </w:footnote>
  <w:footnote w:id="15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56.490/3</w:t>
      </w:r>
      <w:r>
        <w:rPr>
          <w:rFonts w:cs="Times New Roman"/>
        </w:rPr>
        <w:t xml:space="preserve"> van 24 juni 2015</w:t>
      </w:r>
      <w:r w:rsidRPr="008B1EA4">
        <w:rPr>
          <w:rFonts w:cs="Times New Roman"/>
        </w:rPr>
        <w:t>.</w:t>
      </w:r>
    </w:p>
  </w:footnote>
  <w:footnote w:id="15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w:t>
      </w:r>
      <w:r>
        <w:rPr>
          <w:rFonts w:cs="Times New Roman"/>
        </w:rPr>
        <w:t>8</w:t>
      </w:r>
      <w:r w:rsidRPr="008B1EA4">
        <w:rPr>
          <w:rFonts w:cs="Times New Roman"/>
        </w:rPr>
        <w:t>64/3</w:t>
      </w:r>
      <w:r>
        <w:rPr>
          <w:rFonts w:cs="Times New Roman"/>
        </w:rPr>
        <w:t xml:space="preserve"> van 26 februari 2016</w:t>
      </w:r>
      <w:r w:rsidRPr="008B1EA4">
        <w:rPr>
          <w:rFonts w:cs="Times New Roman"/>
        </w:rPr>
        <w:t>.</w:t>
      </w:r>
    </w:p>
  </w:footnote>
  <w:footnote w:id="15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56.208/3</w:t>
      </w:r>
      <w:r>
        <w:rPr>
          <w:rFonts w:cs="Times New Roman"/>
        </w:rPr>
        <w:t xml:space="preserve"> van 4 juni 2014</w:t>
      </w:r>
      <w:r w:rsidRPr="008B1EA4">
        <w:rPr>
          <w:rFonts w:cs="Times New Roman"/>
        </w:rPr>
        <w:t>.</w:t>
      </w:r>
    </w:p>
  </w:footnote>
  <w:footnote w:id="15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58.999/3</w:t>
      </w:r>
      <w:r>
        <w:rPr>
          <w:rFonts w:cs="Times New Roman"/>
        </w:rPr>
        <w:t xml:space="preserve"> van 18 maart 2016</w:t>
      </w:r>
      <w:r w:rsidRPr="008B1EA4">
        <w:rPr>
          <w:rFonts w:cs="Times New Roman"/>
        </w:rPr>
        <w:t>.</w:t>
      </w:r>
    </w:p>
  </w:footnote>
  <w:footnote w:id="15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60.329/1</w:t>
      </w:r>
      <w:r>
        <w:rPr>
          <w:rFonts w:cs="Times New Roman"/>
        </w:rPr>
        <w:t xml:space="preserve"> van 23 december 2016</w:t>
      </w:r>
      <w:r w:rsidRPr="008B1EA4">
        <w:rPr>
          <w:rFonts w:cs="Times New Roman"/>
        </w:rPr>
        <w:t>.</w:t>
      </w:r>
    </w:p>
  </w:footnote>
  <w:footnote w:id="15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58.701/1</w:t>
      </w:r>
      <w:r>
        <w:rPr>
          <w:rFonts w:cs="Times New Roman"/>
        </w:rPr>
        <w:t xml:space="preserve"> van 1 maart 2016</w:t>
      </w:r>
      <w:r w:rsidRPr="008B1EA4">
        <w:rPr>
          <w:rFonts w:cs="Times New Roman"/>
        </w:rPr>
        <w:t>.</w:t>
      </w:r>
    </w:p>
  </w:footnote>
  <w:footnote w:id="15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60.063/1</w:t>
      </w:r>
      <w:r>
        <w:rPr>
          <w:rFonts w:cs="Times New Roman"/>
        </w:rPr>
        <w:t xml:space="preserve"> van 4 november 2016</w:t>
      </w:r>
      <w:r w:rsidRPr="008B1EA4">
        <w:rPr>
          <w:rFonts w:cs="Times New Roman"/>
        </w:rPr>
        <w:t>.</w:t>
      </w:r>
    </w:p>
  </w:footnote>
  <w:footnote w:id="15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57.364/1/2/3</w:t>
      </w:r>
      <w:r>
        <w:rPr>
          <w:rFonts w:cs="Times New Roman"/>
        </w:rPr>
        <w:t xml:space="preserve"> van 4 mei 2015</w:t>
      </w:r>
      <w:r w:rsidRPr="008B1EA4">
        <w:rPr>
          <w:rFonts w:cs="Times New Roman"/>
        </w:rPr>
        <w:t>. Gelet op het feit dat deze dienstverleners zelf geen medische handelingen stellen worden ze niet als van de dienstenrichtlijn uitgesloten medische dienstverleners beschouwd.</w:t>
      </w:r>
    </w:p>
  </w:footnote>
  <w:footnote w:id="15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Arr.RvS (Nederland), 13 januari 2016, 201309296/4/R4.</w:t>
      </w:r>
    </w:p>
  </w:footnote>
  <w:footnote w:id="15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58.751/1</w:t>
      </w:r>
      <w:r>
        <w:rPr>
          <w:rFonts w:cs="Times New Roman"/>
        </w:rPr>
        <w:t xml:space="preserve"> van 12 februari 2016</w:t>
      </w:r>
      <w:r w:rsidRPr="008B1EA4">
        <w:rPr>
          <w:rFonts w:cs="Times New Roman"/>
        </w:rPr>
        <w:t xml:space="preserve">, </w:t>
      </w:r>
      <w:r>
        <w:rPr>
          <w:rFonts w:cs="Times New Roman"/>
        </w:rPr>
        <w:t>nrs.</w:t>
      </w:r>
      <w:r w:rsidRPr="008B1EA4">
        <w:rPr>
          <w:rFonts w:cs="Times New Roman"/>
        </w:rPr>
        <w:t xml:space="preserve"> </w:t>
      </w:r>
      <w:r>
        <w:rPr>
          <w:rFonts w:cs="Times New Roman"/>
        </w:rPr>
        <w:t>9-</w:t>
      </w:r>
      <w:r w:rsidRPr="008B1EA4">
        <w:rPr>
          <w:rFonts w:cs="Times New Roman"/>
        </w:rPr>
        <w:t>10.</w:t>
      </w:r>
    </w:p>
  </w:footnote>
  <w:footnote w:id="160">
    <w:p w:rsidR="005C6007" w:rsidRPr="008B1EA4" w:rsidRDefault="005C6007" w:rsidP="00D32EFC">
      <w:pPr>
        <w:pStyle w:val="Voetnoottekst"/>
        <w:rPr>
          <w:rFonts w:cs="Times New Roman"/>
        </w:rPr>
      </w:pPr>
      <w:r w:rsidRPr="008B1EA4">
        <w:rPr>
          <w:rStyle w:val="Voetnootmarkering"/>
          <w:rFonts w:cs="Times New Roman"/>
        </w:rPr>
        <w:footnoteRef/>
      </w:r>
      <w:r w:rsidRPr="008B1EA4">
        <w:rPr>
          <w:rFonts w:cs="Times New Roman"/>
        </w:rPr>
        <w:t xml:space="preserve"> Adv.RvS 58.259/3</w:t>
      </w:r>
      <w:r>
        <w:rPr>
          <w:rFonts w:cs="Times New Roman"/>
        </w:rPr>
        <w:t xml:space="preserve"> van 4 november 2015, nr. 7</w:t>
      </w:r>
      <w:r w:rsidRPr="008B1EA4">
        <w:rPr>
          <w:rFonts w:cs="Times New Roman"/>
        </w:rPr>
        <w:t>.</w:t>
      </w:r>
    </w:p>
  </w:footnote>
  <w:footnote w:id="161">
    <w:p w:rsidR="005C6007" w:rsidRDefault="005C6007">
      <w:pPr>
        <w:pStyle w:val="Voetnoottekst"/>
      </w:pPr>
      <w:r>
        <w:rPr>
          <w:rStyle w:val="Voetnootmarkering"/>
        </w:rPr>
        <w:footnoteRef/>
      </w:r>
      <w:r>
        <w:t xml:space="preserve"> </w:t>
      </w:r>
      <w:r w:rsidRPr="008B1EA4">
        <w:rPr>
          <w:rFonts w:cs="Times New Roman"/>
        </w:rPr>
        <w:t>Adv.RvS 58.259/3</w:t>
      </w:r>
      <w:r>
        <w:rPr>
          <w:rFonts w:cs="Times New Roman"/>
        </w:rPr>
        <w:t xml:space="preserve"> van 4 november 2015, nr. 8</w:t>
      </w:r>
    </w:p>
  </w:footnote>
  <w:footnote w:id="162">
    <w:p w:rsidR="005C6007" w:rsidRDefault="005C6007">
      <w:pPr>
        <w:pStyle w:val="Voetnoottekst"/>
      </w:pPr>
      <w:r>
        <w:rPr>
          <w:rStyle w:val="Voetnootmarkering"/>
        </w:rPr>
        <w:footnoteRef/>
      </w:r>
      <w:r>
        <w:t xml:space="preserve"> </w:t>
      </w:r>
      <w:r w:rsidRPr="008B1EA4">
        <w:rPr>
          <w:rFonts w:cs="Times New Roman"/>
        </w:rPr>
        <w:t>Adv.RvS 58.259/3</w:t>
      </w:r>
      <w:r>
        <w:rPr>
          <w:rFonts w:cs="Times New Roman"/>
        </w:rPr>
        <w:t xml:space="preserve"> van 4 november 2015, nr. 9.</w:t>
      </w:r>
    </w:p>
  </w:footnote>
  <w:footnote w:id="163">
    <w:p w:rsidR="005C6007" w:rsidRPr="008B1EA4" w:rsidRDefault="005C6007" w:rsidP="00D32EFC">
      <w:pPr>
        <w:pStyle w:val="Voetnoottekst"/>
        <w:rPr>
          <w:rFonts w:cs="Times New Roman"/>
        </w:rPr>
      </w:pPr>
      <w:r w:rsidRPr="008B1EA4">
        <w:rPr>
          <w:rStyle w:val="Voetnootmarkering"/>
          <w:rFonts w:cs="Times New Roman"/>
        </w:rPr>
        <w:footnoteRef/>
      </w:r>
      <w:r w:rsidRPr="008B1EA4">
        <w:rPr>
          <w:rFonts w:cs="Times New Roman"/>
        </w:rPr>
        <w:t xml:space="preserve"> HvJ 1 oktober 2015, C-340/14 en C-341/14, </w:t>
      </w:r>
      <w:r w:rsidRPr="008B1EA4">
        <w:rPr>
          <w:rFonts w:cs="Times New Roman"/>
          <w:i/>
        </w:rPr>
        <w:t>Trijber en Harmsen</w:t>
      </w:r>
      <w:r w:rsidRPr="008B1EA4">
        <w:rPr>
          <w:rFonts w:cs="Times New Roman"/>
        </w:rPr>
        <w:t xml:space="preserve">, </w:t>
      </w:r>
      <w:r>
        <w:rPr>
          <w:rFonts w:cs="Times New Roman"/>
        </w:rPr>
        <w:t>§§</w:t>
      </w:r>
      <w:r w:rsidRPr="008B1EA4">
        <w:rPr>
          <w:rFonts w:cs="Times New Roman"/>
        </w:rPr>
        <w:t xml:space="preserve"> 60-66.</w:t>
      </w:r>
    </w:p>
  </w:footnote>
  <w:footnote w:id="164">
    <w:p w:rsidR="005C6007" w:rsidRDefault="005C6007">
      <w:pPr>
        <w:pStyle w:val="Voetnoottekst"/>
      </w:pPr>
      <w:r>
        <w:rPr>
          <w:rStyle w:val="Voetnootmarkering"/>
        </w:rPr>
        <w:footnoteRef/>
      </w:r>
      <w:r>
        <w:t xml:space="preserve"> </w:t>
      </w:r>
      <w:r w:rsidRPr="008B1EA4">
        <w:rPr>
          <w:rFonts w:cs="Times New Roman"/>
        </w:rPr>
        <w:t>Adv.RvS 58.259/3</w:t>
      </w:r>
      <w:r>
        <w:rPr>
          <w:rFonts w:cs="Times New Roman"/>
        </w:rPr>
        <w:t xml:space="preserve"> van 4 november 2015, nr. 10.</w:t>
      </w:r>
    </w:p>
  </w:footnote>
  <w:footnote w:id="165">
    <w:p w:rsidR="005C6007" w:rsidRDefault="005C6007" w:rsidP="00B46C7F">
      <w:pPr>
        <w:pStyle w:val="Voetnoottekst"/>
      </w:pPr>
      <w:r>
        <w:rPr>
          <w:rStyle w:val="Voetnootmarkering"/>
        </w:rPr>
        <w:footnoteRef/>
      </w:r>
      <w:r>
        <w:t xml:space="preserve"> </w:t>
      </w:r>
      <w:r w:rsidRPr="008B1EA4">
        <w:rPr>
          <w:rFonts w:cs="Times New Roman"/>
        </w:rPr>
        <w:t>Adv.RvS 58.259/3</w:t>
      </w:r>
      <w:r>
        <w:rPr>
          <w:rFonts w:cs="Times New Roman"/>
        </w:rPr>
        <w:t xml:space="preserve"> van 4 november 2015, nr. 11.</w:t>
      </w:r>
    </w:p>
  </w:footnote>
  <w:footnote w:id="166">
    <w:p w:rsidR="005C6007" w:rsidRDefault="005C6007">
      <w:pPr>
        <w:pStyle w:val="Voetnoottekst"/>
      </w:pPr>
      <w:r>
        <w:rPr>
          <w:rStyle w:val="Voetnootmarkering"/>
        </w:rPr>
        <w:footnoteRef/>
      </w:r>
      <w:r w:rsidR="00622584">
        <w:rPr>
          <w:rFonts w:cs="Times New Roman"/>
          <w:i/>
        </w:rPr>
        <w:t>Ibid.</w:t>
      </w:r>
      <w:r>
        <w:rPr>
          <w:rFonts w:cs="Times New Roman"/>
        </w:rPr>
        <w:t>, nr. 12.1.</w:t>
      </w:r>
    </w:p>
  </w:footnote>
  <w:footnote w:id="167">
    <w:p w:rsidR="005C6007" w:rsidRDefault="005C6007">
      <w:pPr>
        <w:pStyle w:val="Voetnoottekst"/>
      </w:pPr>
      <w:r>
        <w:rPr>
          <w:rStyle w:val="Voetnootmarkering"/>
        </w:rPr>
        <w:footnoteRef/>
      </w:r>
      <w:r w:rsidR="00113337">
        <w:rPr>
          <w:rFonts w:cs="Times New Roman"/>
          <w:i/>
        </w:rPr>
        <w:t xml:space="preserve"> </w:t>
      </w:r>
      <w:r w:rsidR="00622584">
        <w:rPr>
          <w:rFonts w:cs="Times New Roman"/>
          <w:i/>
        </w:rPr>
        <w:t>Ibid.</w:t>
      </w:r>
      <w:r>
        <w:rPr>
          <w:rFonts w:cs="Times New Roman"/>
        </w:rPr>
        <w:t>, nr. 12.2.</w:t>
      </w:r>
    </w:p>
  </w:footnote>
  <w:footnote w:id="168">
    <w:p w:rsidR="005C6007" w:rsidRDefault="005C6007">
      <w:pPr>
        <w:pStyle w:val="Voetnoottekst"/>
      </w:pPr>
      <w:r>
        <w:rPr>
          <w:rStyle w:val="Voetnootmarkering"/>
        </w:rPr>
        <w:footnoteRef/>
      </w:r>
      <w:r>
        <w:t xml:space="preserve"> </w:t>
      </w:r>
      <w:r w:rsidR="00622584">
        <w:rPr>
          <w:rFonts w:cs="Times New Roman"/>
          <w:i/>
        </w:rPr>
        <w:t>Ibid.</w:t>
      </w:r>
      <w:r>
        <w:rPr>
          <w:rFonts w:cs="Times New Roman"/>
        </w:rPr>
        <w:t>, nr. 13.1.</w:t>
      </w:r>
    </w:p>
  </w:footnote>
  <w:footnote w:id="169">
    <w:p w:rsidR="005C6007" w:rsidRDefault="005C6007">
      <w:pPr>
        <w:pStyle w:val="Voetnoottekst"/>
      </w:pPr>
      <w:r>
        <w:rPr>
          <w:rStyle w:val="Voetnootmarkering"/>
        </w:rPr>
        <w:footnoteRef/>
      </w:r>
      <w:r>
        <w:t xml:space="preserve"> </w:t>
      </w:r>
      <w:r w:rsidR="00622584">
        <w:rPr>
          <w:rFonts w:cs="Times New Roman"/>
          <w:i/>
        </w:rPr>
        <w:t>Ibid.</w:t>
      </w:r>
      <w:r>
        <w:rPr>
          <w:rFonts w:cs="Times New Roman"/>
        </w:rPr>
        <w:t>, nr. 13.2.</w:t>
      </w:r>
    </w:p>
  </w:footnote>
  <w:footnote w:id="170">
    <w:p w:rsidR="005C6007" w:rsidRDefault="005C6007">
      <w:pPr>
        <w:pStyle w:val="Voetnoottekst"/>
      </w:pPr>
      <w:r>
        <w:rPr>
          <w:rStyle w:val="Voetnootmarkering"/>
        </w:rPr>
        <w:footnoteRef/>
      </w:r>
      <w:r>
        <w:t xml:space="preserve"> </w:t>
      </w:r>
      <w:r w:rsidR="00622584">
        <w:rPr>
          <w:rFonts w:cs="Times New Roman"/>
          <w:i/>
        </w:rPr>
        <w:t>Ibid.</w:t>
      </w:r>
      <w:r>
        <w:rPr>
          <w:rFonts w:cs="Times New Roman"/>
        </w:rPr>
        <w:t>, nr. 13.3.</w:t>
      </w:r>
    </w:p>
  </w:footnote>
  <w:footnote w:id="171">
    <w:p w:rsidR="005C6007" w:rsidRPr="008B1EA4" w:rsidRDefault="005C6007" w:rsidP="008B1EA4">
      <w:pPr>
        <w:pStyle w:val="Voetnoottekst"/>
        <w:rPr>
          <w:rFonts w:cs="Times New Roman"/>
          <w:lang w:val="fr-BE"/>
        </w:rPr>
      </w:pPr>
      <w:r w:rsidRPr="008B1EA4">
        <w:rPr>
          <w:rStyle w:val="Voetnootmarkering"/>
          <w:rFonts w:cs="Times New Roman"/>
        </w:rPr>
        <w:footnoteRef/>
      </w:r>
      <w:r w:rsidRPr="008B1EA4">
        <w:rPr>
          <w:rFonts w:cs="Times New Roman"/>
          <w:lang w:val="fr-BE"/>
        </w:rPr>
        <w:t xml:space="preserve"> HvJ 8 december 2011, C-275/10, </w:t>
      </w:r>
      <w:r w:rsidRPr="008B1EA4">
        <w:rPr>
          <w:rFonts w:cs="Times New Roman"/>
          <w:i/>
          <w:lang w:val="fr-BE"/>
        </w:rPr>
        <w:t>Residex Capital IV</w:t>
      </w:r>
      <w:r w:rsidRPr="008B1EA4">
        <w:rPr>
          <w:rFonts w:cs="Times New Roman"/>
          <w:lang w:val="fr-BE"/>
        </w:rPr>
        <w:t>, punt 28, met verwijzing naar arresten van 21 november 1991, C</w:t>
      </w:r>
      <w:r w:rsidRPr="008B1EA4">
        <w:rPr>
          <w:rFonts w:cs="Times New Roman"/>
          <w:lang w:val="fr-BE"/>
        </w:rPr>
        <w:noBreakHyphen/>
        <w:t xml:space="preserve">354/90, </w:t>
      </w:r>
      <w:r w:rsidRPr="008B1EA4">
        <w:rPr>
          <w:rFonts w:cs="Times New Roman"/>
          <w:i/>
          <w:lang w:val="fr-BE"/>
        </w:rPr>
        <w:t>Fédération nationale du commerce extérieur des produits alimentaires en Syndicat national des négociants et transformateurs de saumon</w:t>
      </w:r>
      <w:r w:rsidRPr="008B1EA4">
        <w:rPr>
          <w:rFonts w:cs="Times New Roman"/>
          <w:lang w:val="fr-BE"/>
        </w:rPr>
        <w:t>, punt 17, en 27 oktober 2005, C</w:t>
      </w:r>
      <w:r w:rsidRPr="008B1EA4">
        <w:rPr>
          <w:rFonts w:cs="Times New Roman"/>
          <w:lang w:val="fr-BE"/>
        </w:rPr>
        <w:noBreakHyphen/>
        <w:t>266/04</w:t>
      </w:r>
      <w:r w:rsidRPr="008B1EA4">
        <w:rPr>
          <w:rFonts w:cs="Times New Roman"/>
          <w:lang w:val="fr-BE"/>
        </w:rPr>
        <w:noBreakHyphen/>
        <w:t>C</w:t>
      </w:r>
      <w:r w:rsidRPr="008B1EA4">
        <w:rPr>
          <w:rFonts w:cs="Times New Roman"/>
          <w:lang w:val="fr-BE"/>
        </w:rPr>
        <w:noBreakHyphen/>
        <w:t>270/04, C</w:t>
      </w:r>
      <w:r w:rsidRPr="008B1EA4">
        <w:rPr>
          <w:rFonts w:cs="Times New Roman"/>
          <w:lang w:val="fr-BE"/>
        </w:rPr>
        <w:noBreakHyphen/>
        <w:t>276/04 en C</w:t>
      </w:r>
      <w:r w:rsidRPr="008B1EA4">
        <w:rPr>
          <w:rFonts w:cs="Times New Roman"/>
          <w:lang w:val="fr-BE"/>
        </w:rPr>
        <w:noBreakHyphen/>
        <w:t>321/04</w:t>
      </w:r>
      <w:r w:rsidRPr="008B1EA4">
        <w:rPr>
          <w:rFonts w:cs="Times New Roman"/>
          <w:lang w:val="fr-BE"/>
        </w:rPr>
        <w:noBreakHyphen/>
        <w:t>C</w:t>
      </w:r>
      <w:r w:rsidRPr="008B1EA4">
        <w:rPr>
          <w:rFonts w:cs="Times New Roman"/>
          <w:lang w:val="fr-BE"/>
        </w:rPr>
        <w:noBreakHyphen/>
        <w:t xml:space="preserve">325/04, </w:t>
      </w:r>
      <w:r w:rsidRPr="008B1EA4">
        <w:rPr>
          <w:rFonts w:cs="Times New Roman"/>
          <w:i/>
          <w:lang w:val="fr-BE"/>
        </w:rPr>
        <w:t>Distribution Casino France e.a.</w:t>
      </w:r>
      <w:r w:rsidRPr="008B1EA4">
        <w:rPr>
          <w:rFonts w:cs="Times New Roman"/>
          <w:lang w:val="fr-BE"/>
        </w:rPr>
        <w:t>, punt 30.</w:t>
      </w:r>
    </w:p>
  </w:footnote>
  <w:footnote w:id="17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18 juli 2007, C-119/05, </w:t>
      </w:r>
      <w:r w:rsidRPr="008B1EA4">
        <w:rPr>
          <w:rFonts w:cs="Times New Roman"/>
          <w:i/>
        </w:rPr>
        <w:t>Lucchini</w:t>
      </w:r>
      <w:r w:rsidRPr="008B1EA4">
        <w:rPr>
          <w:rFonts w:cs="Times New Roman"/>
        </w:rPr>
        <w:t>, punt 61.</w:t>
      </w:r>
    </w:p>
  </w:footnote>
  <w:footnote w:id="17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20 maart 1997, C-24/95, </w:t>
      </w:r>
      <w:r w:rsidRPr="008B1EA4">
        <w:rPr>
          <w:rFonts w:cs="Times New Roman"/>
          <w:i/>
        </w:rPr>
        <w:t>Alcan</w:t>
      </w:r>
      <w:r w:rsidRPr="008B1EA4">
        <w:rPr>
          <w:rFonts w:cs="Times New Roman"/>
        </w:rPr>
        <w:t xml:space="preserve">. Zie ook: </w:t>
      </w:r>
      <w:r w:rsidRPr="008B1EA4">
        <w:rPr>
          <w:rFonts w:cs="Times New Roman"/>
          <w:smallCaps/>
        </w:rPr>
        <w:t>N. De Vos</w:t>
      </w:r>
      <w:r w:rsidRPr="008B1EA4">
        <w:rPr>
          <w:rFonts w:cs="Times New Roman"/>
        </w:rPr>
        <w:t xml:space="preserve">, </w:t>
      </w:r>
      <w:r>
        <w:rPr>
          <w:rFonts w:cs="Times New Roman"/>
        </w:rPr>
        <w:t>“</w:t>
      </w:r>
      <w:r w:rsidRPr="008B1EA4">
        <w:rPr>
          <w:rFonts w:cs="Times New Roman"/>
        </w:rPr>
        <w:t>De rol van het Europese en het Belgische vertrouwensbeginsel bij de terugvordering van Europese subsidies en staatssteun</w:t>
      </w:r>
      <w:r>
        <w:rPr>
          <w:rFonts w:cs="Times New Roman"/>
        </w:rPr>
        <w:t>”</w:t>
      </w:r>
      <w:r w:rsidRPr="008B1EA4">
        <w:rPr>
          <w:rFonts w:cs="Times New Roman"/>
        </w:rPr>
        <w:t xml:space="preserve">, </w:t>
      </w:r>
      <w:r w:rsidRPr="008B1EA4">
        <w:rPr>
          <w:rFonts w:cs="Times New Roman"/>
          <w:i/>
        </w:rPr>
        <w:t>RW</w:t>
      </w:r>
      <w:r w:rsidRPr="008B1EA4">
        <w:rPr>
          <w:rFonts w:cs="Times New Roman"/>
        </w:rPr>
        <w:t xml:space="preserve"> 2012-13, p. 130-131, nrs. 26 en 30.</w:t>
      </w:r>
    </w:p>
  </w:footnote>
  <w:footnote w:id="174">
    <w:p w:rsidR="005C6007" w:rsidRPr="008B1EA4" w:rsidRDefault="005C6007" w:rsidP="008B1EA4">
      <w:pPr>
        <w:pStyle w:val="Voetnoottekst"/>
        <w:rPr>
          <w:rFonts w:cs="Times New Roman"/>
        </w:rPr>
      </w:pPr>
      <w:r w:rsidRPr="008B1EA4">
        <w:rPr>
          <w:rStyle w:val="Voetnootmarkering"/>
          <w:rFonts w:cs="Times New Roman"/>
        </w:rPr>
        <w:footnoteRef/>
      </w:r>
      <w:r w:rsidRPr="00CD53C6">
        <w:rPr>
          <w:rFonts w:cs="Times New Roman"/>
        </w:rPr>
        <w:t xml:space="preserve"> GwH 7 november 2013, nr. 145/2013, B.2.2.</w:t>
      </w:r>
    </w:p>
  </w:footnote>
  <w:footnote w:id="175">
    <w:p w:rsidR="005C6007" w:rsidRPr="008B1EA4" w:rsidRDefault="005C6007" w:rsidP="008B1EA4">
      <w:pPr>
        <w:pStyle w:val="Voetnoottekst"/>
        <w:rPr>
          <w:rFonts w:cs="Times New Roman"/>
        </w:rPr>
      </w:pPr>
      <w:r w:rsidRPr="008B1EA4">
        <w:rPr>
          <w:rStyle w:val="Voetnootmarkering"/>
          <w:rFonts w:cs="Times New Roman"/>
        </w:rPr>
        <w:footnoteRef/>
      </w:r>
      <w:r w:rsidRPr="00CD53C6">
        <w:rPr>
          <w:rFonts w:cs="Times New Roman"/>
        </w:rPr>
        <w:t xml:space="preserve"> GwH 6 april 2011, nr. 50/2011, B.12.3.1 tot B.12.3.4.</w:t>
      </w:r>
    </w:p>
  </w:footnote>
  <w:footnote w:id="17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57.455/1/2/3/4</w:t>
      </w:r>
      <w:r>
        <w:rPr>
          <w:rFonts w:cs="Times New Roman"/>
        </w:rPr>
        <w:t xml:space="preserve"> van 11 mei 2015</w:t>
      </w:r>
      <w:r w:rsidRPr="008B1EA4">
        <w:rPr>
          <w:rFonts w:cs="Times New Roman"/>
        </w:rPr>
        <w:t>. Zie ook adv.RvS 57.594/3</w:t>
      </w:r>
      <w:r>
        <w:rPr>
          <w:rFonts w:cs="Times New Roman"/>
        </w:rPr>
        <w:t xml:space="preserve"> van 5 juni 2015</w:t>
      </w:r>
      <w:r w:rsidRPr="008B1EA4">
        <w:rPr>
          <w:rFonts w:cs="Times New Roman"/>
        </w:rPr>
        <w:t>; adv.RvS 58.332/1/3/VR</w:t>
      </w:r>
      <w:r>
        <w:rPr>
          <w:rFonts w:cs="Times New Roman"/>
        </w:rPr>
        <w:t xml:space="preserve"> van 4 december 2015</w:t>
      </w:r>
      <w:r w:rsidRPr="008B1EA4">
        <w:rPr>
          <w:rFonts w:cs="Times New Roman"/>
        </w:rPr>
        <w:t>; adv.RvS 58.501/1</w:t>
      </w:r>
      <w:r>
        <w:rPr>
          <w:rFonts w:cs="Times New Roman"/>
        </w:rPr>
        <w:t xml:space="preserve"> van 24 november 2015</w:t>
      </w:r>
      <w:r w:rsidRPr="008B1EA4">
        <w:rPr>
          <w:rFonts w:cs="Times New Roman"/>
        </w:rPr>
        <w:t>; adv.RvS 58.538/1</w:t>
      </w:r>
      <w:r>
        <w:rPr>
          <w:rFonts w:cs="Times New Roman"/>
        </w:rPr>
        <w:t xml:space="preserve"> van 21 december 2015</w:t>
      </w:r>
      <w:r w:rsidRPr="008B1EA4">
        <w:rPr>
          <w:rFonts w:cs="Times New Roman"/>
        </w:rPr>
        <w:t>; adv.RvS 58.728/3</w:t>
      </w:r>
      <w:r>
        <w:rPr>
          <w:rFonts w:cs="Times New Roman"/>
        </w:rPr>
        <w:t xml:space="preserve"> van 12 februari 2016</w:t>
      </w:r>
      <w:r w:rsidRPr="008B1EA4">
        <w:rPr>
          <w:rFonts w:cs="Times New Roman"/>
        </w:rPr>
        <w:t>; adv.RvS 58.733/3</w:t>
      </w:r>
      <w:r>
        <w:rPr>
          <w:rFonts w:cs="Times New Roman"/>
        </w:rPr>
        <w:t xml:space="preserve"> van 26 januari 2016</w:t>
      </w:r>
      <w:r w:rsidRPr="008B1EA4">
        <w:rPr>
          <w:rFonts w:cs="Times New Roman"/>
        </w:rPr>
        <w:t>; adv.RvS 59.128/3</w:t>
      </w:r>
      <w:r>
        <w:rPr>
          <w:rFonts w:cs="Times New Roman"/>
        </w:rPr>
        <w:t xml:space="preserve"> van 15 april 2016</w:t>
      </w:r>
      <w:r w:rsidRPr="008B1EA4">
        <w:rPr>
          <w:rFonts w:cs="Times New Roman"/>
        </w:rPr>
        <w:t>; adv.RvS 59.197/3</w:t>
      </w:r>
      <w:r>
        <w:rPr>
          <w:rFonts w:cs="Times New Roman"/>
        </w:rPr>
        <w:t xml:space="preserve"> van 13 mei 2016</w:t>
      </w:r>
      <w:r w:rsidRPr="008B1EA4">
        <w:rPr>
          <w:rFonts w:cs="Times New Roman"/>
        </w:rPr>
        <w:t>; adv.RvS 59.454/3</w:t>
      </w:r>
      <w:r>
        <w:rPr>
          <w:rFonts w:cs="Times New Roman"/>
        </w:rPr>
        <w:t xml:space="preserve"> van 22 juni 2016</w:t>
      </w:r>
      <w:r w:rsidRPr="008B1EA4">
        <w:rPr>
          <w:rFonts w:cs="Times New Roman"/>
        </w:rPr>
        <w:t>; adv.RvS 59.903/1/V</w:t>
      </w:r>
      <w:r>
        <w:rPr>
          <w:rFonts w:cs="Times New Roman"/>
        </w:rPr>
        <w:t xml:space="preserve"> van 19 september 2016</w:t>
      </w:r>
      <w:r w:rsidRPr="008B1EA4">
        <w:rPr>
          <w:rFonts w:cs="Times New Roman"/>
        </w:rPr>
        <w:t>; adv.RvS 60.171/3</w:t>
      </w:r>
      <w:r>
        <w:rPr>
          <w:rFonts w:cs="Times New Roman"/>
        </w:rPr>
        <w:t xml:space="preserve"> van 26 oktober 2016</w:t>
      </w:r>
      <w:r w:rsidRPr="008B1EA4">
        <w:rPr>
          <w:rFonts w:cs="Times New Roman"/>
        </w:rPr>
        <w:t>; adv.RvS 60.330/3</w:t>
      </w:r>
      <w:r>
        <w:rPr>
          <w:rFonts w:cs="Times New Roman"/>
        </w:rPr>
        <w:t xml:space="preserve"> van 5 december 2016</w:t>
      </w:r>
      <w:r w:rsidRPr="008B1EA4">
        <w:rPr>
          <w:rFonts w:cs="Times New Roman"/>
        </w:rPr>
        <w:t xml:space="preserve">; adv.RvS 60.471/4 </w:t>
      </w:r>
      <w:r>
        <w:rPr>
          <w:rFonts w:cs="Times New Roman"/>
        </w:rPr>
        <w:t>van 14 december 2016</w:t>
      </w:r>
      <w:r w:rsidRPr="008B1EA4">
        <w:rPr>
          <w:rFonts w:cs="Times New Roman"/>
        </w:rPr>
        <w:t>; adv.RvS 60.676/3</w:t>
      </w:r>
      <w:r>
        <w:rPr>
          <w:rFonts w:cs="Times New Roman"/>
        </w:rPr>
        <w:t xml:space="preserve"> van 17 januari 2017</w:t>
      </w:r>
      <w:r w:rsidRPr="008B1EA4">
        <w:rPr>
          <w:rFonts w:cs="Times New Roman"/>
        </w:rPr>
        <w:t>.</w:t>
      </w:r>
    </w:p>
  </w:footnote>
  <w:footnote w:id="17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Verordening (EU) nr. 1407/2013 van de Commissie van 18 december 2013 betreffende de toepassing van de artikelen 107 en 108 van het Verdrag betreffende de werking van de Europese Unie op de-minimissteun.</w:t>
      </w:r>
    </w:p>
  </w:footnote>
  <w:footnote w:id="17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60.077/2</w:t>
      </w:r>
      <w:r>
        <w:rPr>
          <w:rFonts w:cs="Times New Roman"/>
        </w:rPr>
        <w:t xml:space="preserve"> van 10 oktober 2016</w:t>
      </w:r>
      <w:r w:rsidRPr="008B1EA4">
        <w:rPr>
          <w:rFonts w:cs="Times New Roman"/>
        </w:rPr>
        <w:t xml:space="preserve">, waar gewezen werd op het </w:t>
      </w:r>
      <w:r>
        <w:rPr>
          <w:rFonts w:cs="Times New Roman"/>
        </w:rPr>
        <w:t>gegeven</w:t>
      </w:r>
      <w:r w:rsidRPr="008B1EA4">
        <w:rPr>
          <w:rFonts w:cs="Times New Roman"/>
        </w:rPr>
        <w:t xml:space="preserve"> dat met die bedragen hooguit proefprojecten konden worden gefinancierd, maar niet het soort investeringen die het Waals</w:t>
      </w:r>
      <w:r>
        <w:rPr>
          <w:rFonts w:cs="Times New Roman"/>
        </w:rPr>
        <w:t>e</w:t>
      </w:r>
      <w:r w:rsidRPr="008B1EA4">
        <w:rPr>
          <w:rFonts w:cs="Times New Roman"/>
        </w:rPr>
        <w:t xml:space="preserve"> Gewest voor ogen had.</w:t>
      </w:r>
    </w:p>
  </w:footnote>
  <w:footnote w:id="17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60.151/1</w:t>
      </w:r>
      <w:r>
        <w:rPr>
          <w:rFonts w:cs="Times New Roman"/>
        </w:rPr>
        <w:t xml:space="preserve"> van 3 november 2016</w:t>
      </w:r>
      <w:r w:rsidRPr="008B1EA4">
        <w:rPr>
          <w:rFonts w:cs="Times New Roman"/>
        </w:rPr>
        <w:t>.</w:t>
      </w:r>
    </w:p>
  </w:footnote>
  <w:footnote w:id="18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Verordening (EU) nr. 1408/2013 van de Commissie van 18 december 2013 inzake de toepassing van de artikelen 107 en 108 van het Verdrag betreffende de werking van de Europese Unie op de-minimissteun in de landbouwsector. Zie bv. adv.RvS 58.153/2</w:t>
      </w:r>
      <w:r>
        <w:rPr>
          <w:rFonts w:cs="Times New Roman"/>
        </w:rPr>
        <w:t xml:space="preserve"> van 5 oktober 2015</w:t>
      </w:r>
      <w:r w:rsidRPr="008B1EA4">
        <w:rPr>
          <w:rFonts w:cs="Times New Roman"/>
        </w:rPr>
        <w:t>.</w:t>
      </w:r>
    </w:p>
  </w:footnote>
  <w:footnote w:id="18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Verordening (EU) nr. 717/2014 van de Commissie van 27 juni 2014 inzake de toepassing van de artikelen 107 en 108 van het Verdrag betreffende de werking van de Europese Unie op de-minimissteun in de visserij- en aquacultuursector.</w:t>
      </w:r>
    </w:p>
  </w:footnote>
  <w:footnote w:id="18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Verordening (EU) nr. 360/2012 van de Commissie van 25 april 2012 betreffende de toepassing van de artikelen 107 en 108 van het Verdrag betreffende de werking van de Europese Unie op de-minimissteun verleend aan diensten van algemeen economisch belang verrichtende ondernemingen.</w:t>
      </w:r>
    </w:p>
  </w:footnote>
  <w:footnote w:id="18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57.734/1-V</w:t>
      </w:r>
      <w:r>
        <w:rPr>
          <w:rFonts w:cs="Times New Roman"/>
        </w:rPr>
        <w:t xml:space="preserve"> van 30 juli 2015</w:t>
      </w:r>
      <w:r w:rsidRPr="008B1EA4">
        <w:rPr>
          <w:rFonts w:cs="Times New Roman"/>
        </w:rPr>
        <w:t>.</w:t>
      </w:r>
    </w:p>
  </w:footnote>
  <w:footnote w:id="18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58.805/3</w:t>
      </w:r>
      <w:r>
        <w:rPr>
          <w:rFonts w:cs="Times New Roman"/>
        </w:rPr>
        <w:t xml:space="preserve"> van 16 februari 2016</w:t>
      </w:r>
      <w:r w:rsidRPr="008B1EA4">
        <w:rPr>
          <w:rFonts w:cs="Times New Roman"/>
        </w:rPr>
        <w:t xml:space="preserve"> (tax shelter theater – artikel 53 groepsvrijstellingsverordening moet cumulatief met algemene voorwaarden groepsvrijstellingsverordening worden toegepast).</w:t>
      </w:r>
    </w:p>
  </w:footnote>
  <w:footnote w:id="18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60.064/</w:t>
      </w:r>
      <w:r>
        <w:rPr>
          <w:rFonts w:cs="Times New Roman"/>
        </w:rPr>
        <w:t>1 van 4 november 2016</w:t>
      </w:r>
      <w:r w:rsidRPr="008B1EA4">
        <w:rPr>
          <w:rFonts w:cs="Times New Roman"/>
        </w:rPr>
        <w:t xml:space="preserve">, </w:t>
      </w:r>
      <w:r>
        <w:rPr>
          <w:rFonts w:cs="Times New Roman"/>
        </w:rPr>
        <w:t xml:space="preserve">nr. </w:t>
      </w:r>
      <w:r w:rsidRPr="008B1EA4">
        <w:rPr>
          <w:rFonts w:cs="Times New Roman"/>
        </w:rPr>
        <w:t>5. Enerzijds is het niet de bedoeling om nodeloos de groepsvrijstellingsverordening te parafraseren, maar anderzijds biedt de verordening geen recht op steun, zodat het nog steeds de steunverlenende overheid is die binnen de grenzen van de verordening zelf kan bepalen voor welke projecten en binnen welk, vaak kleiner, budget die kunnen worden gesubisidieerd.</w:t>
      </w:r>
    </w:p>
  </w:footnote>
  <w:footnote w:id="18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58.811/1</w:t>
      </w:r>
      <w:r>
        <w:rPr>
          <w:rFonts w:cs="Times New Roman"/>
        </w:rPr>
        <w:t xml:space="preserve"> van 19 februari 2016</w:t>
      </w:r>
      <w:r w:rsidRPr="008B1EA4">
        <w:rPr>
          <w:rFonts w:cs="Times New Roman"/>
        </w:rPr>
        <w:t xml:space="preserve"> (voorgenomen vergoeding rampenschade bleek slechts gedeeltelijk inpasbaar).</w:t>
      </w:r>
    </w:p>
  </w:footnote>
  <w:footnote w:id="18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Dat neemt niet weg dat er ook gevallen zijn waarin er van marktwerking eigenlijk geen sprake is. Dergelijke </w:t>
      </w:r>
      <w:r w:rsidRPr="00CD53C6">
        <w:rPr>
          <w:rFonts w:cs="Times New Roman"/>
          <w:i/>
        </w:rPr>
        <w:t>niet-</w:t>
      </w:r>
      <w:r w:rsidRPr="008B1EA4">
        <w:rPr>
          <w:rFonts w:cs="Times New Roman"/>
        </w:rPr>
        <w:t xml:space="preserve">economische diensten van algemeen belang ontsnappen aan de staatssteunregels, zie o.m. adv.RvS 60.676/3 </w:t>
      </w:r>
      <w:r>
        <w:rPr>
          <w:rFonts w:cs="Times New Roman"/>
        </w:rPr>
        <w:t>van 17 januari 2017</w:t>
      </w:r>
      <w:r w:rsidRPr="008B1EA4">
        <w:rPr>
          <w:rFonts w:cs="Times New Roman"/>
        </w:rPr>
        <w:t xml:space="preserve"> (ondersteuning sportfederaties), maar vergelijk met adv.RvS 58.728/3 </w:t>
      </w:r>
      <w:r>
        <w:rPr>
          <w:rFonts w:cs="Times New Roman"/>
        </w:rPr>
        <w:t xml:space="preserve">van 12 februari 2016 </w:t>
      </w:r>
      <w:r w:rsidRPr="008B1EA4">
        <w:rPr>
          <w:rFonts w:cs="Times New Roman"/>
        </w:rPr>
        <w:t xml:space="preserve">waar niettemin werd gewaarschuwd dat de overheid moest aantonen dat de sportactiviteiten in kwestie geen economische activiteit vormden (bv. door profvoetbalclubs te subsidiëren). De Raad is </w:t>
      </w:r>
      <w:r>
        <w:rPr>
          <w:rFonts w:cs="Times New Roman"/>
        </w:rPr>
        <w:t>ter zake</w:t>
      </w:r>
      <w:r w:rsidRPr="008B1EA4">
        <w:rPr>
          <w:rFonts w:cs="Times New Roman"/>
        </w:rPr>
        <w:t xml:space="preserve"> erg voorzichtig. In adv.RvS 58.210/1 </w:t>
      </w:r>
      <w:r>
        <w:rPr>
          <w:rFonts w:cs="Times New Roman"/>
        </w:rPr>
        <w:t xml:space="preserve">van 22 oktober 2015 </w:t>
      </w:r>
      <w:r w:rsidRPr="008B1EA4">
        <w:rPr>
          <w:rFonts w:cs="Times New Roman"/>
        </w:rPr>
        <w:t xml:space="preserve">moest de Raad dan ook voorbehoud maken bij de kwalificatie van waterzuivering als niet-economische activiteit. Ook in adv.RvS 60.228/3 </w:t>
      </w:r>
      <w:r>
        <w:rPr>
          <w:rFonts w:cs="Times New Roman"/>
        </w:rPr>
        <w:t xml:space="preserve">van 22 november 2016 </w:t>
      </w:r>
      <w:r w:rsidRPr="008B1EA4">
        <w:rPr>
          <w:rFonts w:cs="Times New Roman"/>
        </w:rPr>
        <w:t>over erfgoedsubsidies waarschuwde de Raad dat ondanks de</w:t>
      </w:r>
      <w:r w:rsidRPr="008B1EA4">
        <w:rPr>
          <w:rFonts w:cs="Times New Roman"/>
          <w:b/>
        </w:rPr>
        <w:t xml:space="preserve"> </w:t>
      </w:r>
      <w:r w:rsidRPr="008B1EA4">
        <w:rPr>
          <w:rFonts w:cs="Times New Roman"/>
        </w:rPr>
        <w:t xml:space="preserve">Mededeling van de Commissie betreffende het begrip </w:t>
      </w:r>
      <w:r>
        <w:rPr>
          <w:rFonts w:cs="Times New Roman"/>
        </w:rPr>
        <w:t>“</w:t>
      </w:r>
      <w:r w:rsidRPr="008B1EA4">
        <w:rPr>
          <w:rFonts w:cs="Times New Roman"/>
        </w:rPr>
        <w:t>staatssteun</w:t>
      </w:r>
      <w:r>
        <w:rPr>
          <w:rFonts w:cs="Times New Roman"/>
        </w:rPr>
        <w:t>”</w:t>
      </w:r>
      <w:r w:rsidRPr="008B1EA4">
        <w:rPr>
          <w:rFonts w:cs="Times New Roman"/>
        </w:rPr>
        <w:t xml:space="preserve"> in de zin van artikel 107, lid 1, van het Verdrag betreffende de werking van de Europese Unie (2016/C 262/01) niet zeker was dat in alle gevallen de steun betrekking had op een niet-economische activiteit. Ook voor ziekenhuizen is het economisch karakter wel eens betwist, maar dit werd door de Raad verworpen</w:t>
      </w:r>
      <w:r>
        <w:rPr>
          <w:rFonts w:cs="Times New Roman"/>
        </w:rPr>
        <w:t>:</w:t>
      </w:r>
      <w:r w:rsidRPr="008B1EA4">
        <w:rPr>
          <w:rFonts w:cs="Times New Roman"/>
        </w:rPr>
        <w:t xml:space="preserve"> zie adv.RvS 57.594/3 </w:t>
      </w:r>
      <w:r>
        <w:rPr>
          <w:rFonts w:cs="Times New Roman"/>
        </w:rPr>
        <w:t xml:space="preserve">van 5 juni 2015 </w:t>
      </w:r>
      <w:r w:rsidRPr="008B1EA4">
        <w:rPr>
          <w:rFonts w:cs="Times New Roman"/>
        </w:rPr>
        <w:t>(zie ook adv.RvS 57.886/3</w:t>
      </w:r>
      <w:r>
        <w:rPr>
          <w:rFonts w:cs="Times New Roman"/>
        </w:rPr>
        <w:t xml:space="preserve"> van 23 juli 2015</w:t>
      </w:r>
      <w:r w:rsidRPr="008B1EA4">
        <w:rPr>
          <w:rFonts w:cs="Times New Roman"/>
        </w:rPr>
        <w:t>).</w:t>
      </w:r>
    </w:p>
  </w:footnote>
  <w:footnote w:id="18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58.192/3</w:t>
      </w:r>
      <w:r>
        <w:rPr>
          <w:rFonts w:cs="Times New Roman"/>
        </w:rPr>
        <w:t xml:space="preserve"> van 21 oktober 2015</w:t>
      </w:r>
      <w:r w:rsidRPr="008B1EA4">
        <w:rPr>
          <w:rFonts w:cs="Times New Roman"/>
        </w:rPr>
        <w:t>; adv.RvS 58.548/3</w:t>
      </w:r>
      <w:r>
        <w:rPr>
          <w:rFonts w:cs="Times New Roman"/>
        </w:rPr>
        <w:t xml:space="preserve"> van 31 december 2015</w:t>
      </w:r>
      <w:r w:rsidRPr="008B1EA4">
        <w:rPr>
          <w:rFonts w:cs="Times New Roman"/>
        </w:rPr>
        <w:t>.</w:t>
      </w:r>
    </w:p>
  </w:footnote>
  <w:footnote w:id="18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59.299/3 </w:t>
      </w:r>
      <w:r>
        <w:rPr>
          <w:rFonts w:cs="Times New Roman"/>
        </w:rPr>
        <w:t>van 20 mei 2016</w:t>
      </w:r>
      <w:r w:rsidRPr="008B1EA4">
        <w:rPr>
          <w:rFonts w:cs="Times New Roman"/>
        </w:rPr>
        <w:t>; adv.RvS 59.447/3</w:t>
      </w:r>
      <w:r>
        <w:rPr>
          <w:rFonts w:cs="Times New Roman"/>
        </w:rPr>
        <w:t xml:space="preserve"> van 21 juni 2016</w:t>
      </w:r>
      <w:r w:rsidRPr="008B1EA4">
        <w:rPr>
          <w:rFonts w:cs="Times New Roman"/>
        </w:rPr>
        <w:t>; adv.RvS 60.414/3</w:t>
      </w:r>
      <w:r>
        <w:rPr>
          <w:rFonts w:cs="Times New Roman"/>
        </w:rPr>
        <w:t xml:space="preserve"> van 8 december 2016</w:t>
      </w:r>
      <w:r w:rsidRPr="008B1EA4">
        <w:rPr>
          <w:rFonts w:cs="Times New Roman"/>
        </w:rPr>
        <w:t>.</w:t>
      </w:r>
    </w:p>
  </w:footnote>
  <w:footnote w:id="19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57.409/1-3 </w:t>
      </w:r>
      <w:r>
        <w:rPr>
          <w:rFonts w:cs="Times New Roman"/>
        </w:rPr>
        <w:t xml:space="preserve">van 17 april 2015 </w:t>
      </w:r>
      <w:r w:rsidRPr="008B1EA4">
        <w:rPr>
          <w:rFonts w:cs="Times New Roman"/>
        </w:rPr>
        <w:t>(investeringswaarborg instellingen persoonsgebonden aangelegenheden).</w:t>
      </w:r>
    </w:p>
  </w:footnote>
  <w:footnote w:id="19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59.437/3</w:t>
      </w:r>
      <w:r>
        <w:rPr>
          <w:rFonts w:cs="Times New Roman"/>
        </w:rPr>
        <w:t xml:space="preserve"> van 16 juni 2016</w:t>
      </w:r>
      <w:r w:rsidRPr="008B1EA4">
        <w:rPr>
          <w:rFonts w:cs="Times New Roman"/>
        </w:rPr>
        <w:t>.</w:t>
      </w:r>
    </w:p>
  </w:footnote>
  <w:footnote w:id="19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58.442/3</w:t>
      </w:r>
      <w:r>
        <w:rPr>
          <w:rFonts w:cs="Times New Roman"/>
        </w:rPr>
        <w:t xml:space="preserve"> van 2 december 2015.</w:t>
      </w:r>
    </w:p>
  </w:footnote>
  <w:footnote w:id="19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59.903/1-V</w:t>
      </w:r>
      <w:r>
        <w:rPr>
          <w:rFonts w:cs="Times New Roman"/>
        </w:rPr>
        <w:t xml:space="preserve"> van 19 september 2016</w:t>
      </w:r>
      <w:r w:rsidRPr="008B1EA4">
        <w:rPr>
          <w:rFonts w:cs="Times New Roman"/>
        </w:rPr>
        <w:t>.</w:t>
      </w:r>
    </w:p>
  </w:footnote>
  <w:footnote w:id="19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Besluit 2012/21/EU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w:t>
      </w:r>
      <w:r>
        <w:rPr>
          <w:rFonts w:cs="Times New Roman"/>
        </w:rPr>
        <w:t>.</w:t>
      </w:r>
    </w:p>
  </w:footnote>
  <w:footnote w:id="19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Artikelen 4, 5 en 6 van het besluit 2012/21/EU. In essentie gaat het om een uitwerking van de eerste drie </w:t>
      </w:r>
      <w:r w:rsidRPr="008B1EA4">
        <w:rPr>
          <w:rFonts w:cs="Times New Roman"/>
          <w:i/>
        </w:rPr>
        <w:t>Altmark</w:t>
      </w:r>
      <w:r w:rsidRPr="008B1EA4">
        <w:rPr>
          <w:rFonts w:cs="Times New Roman"/>
        </w:rPr>
        <w:t xml:space="preserve">-criteria. Indien een regeling aan alle vier de voorwaarden van het arrest HvJ 24 juli 2003, C-280/00 </w:t>
      </w:r>
      <w:r w:rsidRPr="008B1EA4">
        <w:rPr>
          <w:rFonts w:cs="Times New Roman"/>
          <w:i/>
        </w:rPr>
        <w:t xml:space="preserve">Altmark </w:t>
      </w:r>
      <w:r w:rsidRPr="008B1EA4">
        <w:rPr>
          <w:rFonts w:cs="Times New Roman"/>
        </w:rPr>
        <w:t>voldoet is er van staatssteun geen sprake.</w:t>
      </w:r>
    </w:p>
  </w:footnote>
  <w:footnote w:id="19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57.409/1-3</w:t>
      </w:r>
      <w:r>
        <w:rPr>
          <w:rFonts w:cs="Times New Roman"/>
        </w:rPr>
        <w:t xml:space="preserve"> van 17 april 2015</w:t>
      </w:r>
      <w:r w:rsidRPr="008B1EA4">
        <w:rPr>
          <w:rFonts w:cs="Times New Roman"/>
        </w:rPr>
        <w:t xml:space="preserve">, opmerkingen bij artikel 80 van het ontwerp. In dat advies liet de Raad het in essentie aan de stellers zelf over om zich te conformeren. Soms is de Raad echter kritischer, zoals in Adv.RvS 56.867/3 </w:t>
      </w:r>
      <w:r>
        <w:rPr>
          <w:rFonts w:cs="Times New Roman"/>
        </w:rPr>
        <w:t xml:space="preserve">van 15 december 2014 </w:t>
      </w:r>
      <w:r w:rsidRPr="008B1EA4">
        <w:rPr>
          <w:rFonts w:cs="Times New Roman"/>
        </w:rPr>
        <w:t>over de waarborg voor de netbeheerders die betrokken waren bij de banking van groenestroomcertificaten. Die kon volgens de Raad bezwaarlijk worden ingepast in de logica van besluit 2012/21/EU.</w:t>
      </w:r>
    </w:p>
  </w:footnote>
  <w:footnote w:id="19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60.973/3</w:t>
      </w:r>
      <w:r>
        <w:rPr>
          <w:rFonts w:cs="Times New Roman"/>
        </w:rPr>
        <w:t xml:space="preserve"> van 15 maart 2017</w:t>
      </w:r>
      <w:r w:rsidRPr="008B1EA4">
        <w:rPr>
          <w:rFonts w:cs="Times New Roman"/>
        </w:rPr>
        <w:t>. Zie overigens ook al eerder, met betrekking tot de investeringssubsidies voor woonzorgcentra en centra voor kortverblijf, adv.RvS 60.868/3</w:t>
      </w:r>
      <w:r>
        <w:rPr>
          <w:rFonts w:cs="Times New Roman"/>
        </w:rPr>
        <w:t xml:space="preserve"> van 17 februari 2017.</w:t>
      </w:r>
      <w:r w:rsidRPr="008B1EA4">
        <w:rPr>
          <w:rFonts w:cs="Times New Roman"/>
        </w:rPr>
        <w:t xml:space="preserve"> </w:t>
      </w:r>
    </w:p>
  </w:footnote>
  <w:footnote w:id="19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Als de Raad vaststelt dat er niet moet worden aangemeld, terwijl dit later on</w:t>
      </w:r>
      <w:r>
        <w:rPr>
          <w:rFonts w:cs="Times New Roman"/>
        </w:rPr>
        <w:t>te</w:t>
      </w:r>
      <w:r w:rsidRPr="008B1EA4">
        <w:rPr>
          <w:rFonts w:cs="Times New Roman"/>
        </w:rPr>
        <w:t>recht zou blijken, valt bovendien niet uit te sluiten dat dit advies zelf aanleiding kan geven tot geschillen over mogelijke overheidsaansprakelijkheid.</w:t>
      </w:r>
    </w:p>
  </w:footnote>
  <w:footnote w:id="19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Ten eerste moet het gaan om een maatregel van de staat of een maatregel die met staatsmiddelen is bekostigd. Ten tweede moet hij het handelsverkeer tussen de lidstaten ongunstig kunnen beïnvloeden. Ten derde moet de maatregel de begunstigde ervan een voordeel verschaffen. Ten vierde moet hij de mededinging vervalsen of dreigen te vervalsen. Zie HvJ 10 juni 2010, C-140/09, </w:t>
      </w:r>
      <w:r w:rsidRPr="008B1EA4">
        <w:rPr>
          <w:rFonts w:cs="Times New Roman"/>
          <w:i/>
          <w:iCs/>
        </w:rPr>
        <w:t>Fallimento Traghetti del Mediterraneo</w:t>
      </w:r>
      <w:r w:rsidRPr="008B1EA4">
        <w:rPr>
          <w:rFonts w:cs="Times New Roman"/>
        </w:rPr>
        <w:t xml:space="preserve">, punt 31; HvJ 29 maart 2012, C-417/10, </w:t>
      </w:r>
      <w:r w:rsidRPr="008B1EA4">
        <w:rPr>
          <w:rFonts w:cs="Times New Roman"/>
          <w:i/>
          <w:iCs/>
        </w:rPr>
        <w:t>3M Italia</w:t>
      </w:r>
      <w:r w:rsidRPr="008B1EA4">
        <w:rPr>
          <w:rFonts w:cs="Times New Roman"/>
        </w:rPr>
        <w:t xml:space="preserve">, punt 37; HvJ 8 mei 2013, C-197/11 en C-203/11, </w:t>
      </w:r>
      <w:r w:rsidRPr="008B1EA4">
        <w:rPr>
          <w:rFonts w:cs="Times New Roman"/>
          <w:i/>
          <w:iCs/>
        </w:rPr>
        <w:t>Libert e.a.</w:t>
      </w:r>
      <w:r w:rsidRPr="008B1EA4">
        <w:rPr>
          <w:rFonts w:cs="Times New Roman"/>
        </w:rPr>
        <w:t xml:space="preserve">, punt 74; HvJ 21 december 2016, C-76/15, </w:t>
      </w:r>
      <w:r w:rsidRPr="008B1EA4">
        <w:rPr>
          <w:rFonts w:cs="Times New Roman"/>
          <w:i/>
          <w:iCs/>
        </w:rPr>
        <w:t xml:space="preserve">Vervloet e.a., </w:t>
      </w:r>
      <w:r w:rsidRPr="008B1EA4">
        <w:rPr>
          <w:rFonts w:cs="Times New Roman"/>
        </w:rPr>
        <w:t>punt 89.</w:t>
      </w:r>
    </w:p>
  </w:footnote>
  <w:footnote w:id="20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 59.454/3</w:t>
      </w:r>
      <w:r>
        <w:rPr>
          <w:rFonts w:cs="Times New Roman"/>
        </w:rPr>
        <w:t xml:space="preserve"> van 22 juni 2016</w:t>
      </w:r>
      <w:r w:rsidRPr="008B1EA4">
        <w:rPr>
          <w:rFonts w:cs="Times New Roman"/>
        </w:rPr>
        <w:t>, punt 2.4.</w:t>
      </w:r>
    </w:p>
  </w:footnote>
  <w:footnote w:id="20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De vraag of een ontwerp moet worden aangemeld overeenkomstig artikel 108, lid 3 VWEU betreft een voorgeschreven vormvoorschrift waarover de Raad ook bij adviesaanvragen op vijf werkdagen advies moet geven overeenkomstig artikel 84, § 4, van de gecoördineerde wetten van 12 januari 1973 op de Raad van State.</w:t>
      </w:r>
    </w:p>
  </w:footnote>
  <w:footnote w:id="20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59.154/3</w:t>
      </w:r>
      <w:r>
        <w:rPr>
          <w:rFonts w:cs="Times New Roman"/>
        </w:rPr>
        <w:t xml:space="preserve"> van 25 april 2016</w:t>
      </w:r>
      <w:r w:rsidRPr="008B1EA4">
        <w:rPr>
          <w:rFonts w:cs="Times New Roman"/>
        </w:rPr>
        <w:t>, punt 9.</w:t>
      </w:r>
    </w:p>
  </w:footnote>
  <w:footnote w:id="20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In dat verband kan gewezen worden op de saga rond het Diamant Stelsel. Nadat de Raad had vastgesteld dat aanmelding noodzakelijk was (adv.RvS 57.455/1/2/3/4</w:t>
      </w:r>
      <w:r>
        <w:rPr>
          <w:rFonts w:cs="Times New Roman"/>
        </w:rPr>
        <w:t xml:space="preserve"> van 11 mei 2015</w:t>
      </w:r>
      <w:r w:rsidRPr="008B1EA4">
        <w:rPr>
          <w:rFonts w:cs="Times New Roman"/>
        </w:rPr>
        <w:t xml:space="preserve">), is dit uiteindelijk ook effectief gebeurd. De Europese Commissie vond de regeling uiteindelijk </w:t>
      </w:r>
      <w:r>
        <w:rPr>
          <w:rFonts w:cs="Times New Roman"/>
        </w:rPr>
        <w:t>onder bepaalde voorwaarden</w:t>
      </w:r>
      <w:r w:rsidRPr="008B1EA4">
        <w:rPr>
          <w:rFonts w:cs="Times New Roman"/>
        </w:rPr>
        <w:t xml:space="preserve"> verenigbaar met de interne markt, waarop een nieuw ontwerp noodzakelijk bleek om de regeling </w:t>
      </w:r>
      <w:r>
        <w:rPr>
          <w:rFonts w:cs="Times New Roman"/>
        </w:rPr>
        <w:t xml:space="preserve">effectief </w:t>
      </w:r>
      <w:r w:rsidRPr="008B1EA4">
        <w:rPr>
          <w:rFonts w:cs="Times New Roman"/>
        </w:rPr>
        <w:t>met het oordeel van de Commissie te brengen (adv.RvS 60.367/3</w:t>
      </w:r>
      <w:r>
        <w:rPr>
          <w:rFonts w:cs="Times New Roman"/>
        </w:rPr>
        <w:t xml:space="preserve"> van 29 november 2016</w:t>
      </w:r>
      <w:r w:rsidRPr="008B1EA4">
        <w:rPr>
          <w:rFonts w:cs="Times New Roman"/>
        </w:rPr>
        <w:t>)</w:t>
      </w:r>
      <w:r>
        <w:rPr>
          <w:rFonts w:cs="Times New Roman"/>
        </w:rPr>
        <w:t>.</w:t>
      </w:r>
      <w:r w:rsidRPr="008B1EA4">
        <w:rPr>
          <w:rFonts w:cs="Times New Roman"/>
        </w:rPr>
        <w:t xml:space="preserve"> </w:t>
      </w:r>
      <w:r>
        <w:rPr>
          <w:rFonts w:cs="Times New Roman"/>
        </w:rPr>
        <w:t>Het</w:t>
      </w:r>
      <w:r w:rsidRPr="008B1EA4">
        <w:rPr>
          <w:rFonts w:cs="Times New Roman"/>
        </w:rPr>
        <w:t xml:space="preserve"> eerste advies </w:t>
      </w:r>
      <w:r>
        <w:rPr>
          <w:rFonts w:cs="Times New Roman"/>
        </w:rPr>
        <w:t>heeft dan ook moeilijkheden voorkomen die nadien hadden kunnen rijzen</w:t>
      </w:r>
      <w:r w:rsidRPr="008B1EA4">
        <w:rPr>
          <w:rFonts w:cs="Times New Roman"/>
        </w:rPr>
        <w:t>.</w:t>
      </w:r>
      <w:r>
        <w:rPr>
          <w:rFonts w:cs="Times New Roman"/>
        </w:rPr>
        <w:t xml:space="preserve"> </w:t>
      </w:r>
    </w:p>
  </w:footnote>
  <w:footnote w:id="20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57.594/3</w:t>
      </w:r>
      <w:r>
        <w:rPr>
          <w:rFonts w:cs="Times New Roman"/>
        </w:rPr>
        <w:t xml:space="preserve"> van 5 juni 2015</w:t>
      </w:r>
      <w:r w:rsidRPr="008B1EA4">
        <w:rPr>
          <w:rFonts w:cs="Times New Roman"/>
        </w:rPr>
        <w:t>. Zie ook adv.RvS 57.886/3</w:t>
      </w:r>
      <w:r>
        <w:rPr>
          <w:rFonts w:cs="Times New Roman"/>
        </w:rPr>
        <w:t xml:space="preserve"> van 23 juli 2015</w:t>
      </w:r>
      <w:r w:rsidRPr="008B1EA4">
        <w:rPr>
          <w:rFonts w:cs="Times New Roman"/>
        </w:rPr>
        <w:t>.</w:t>
      </w:r>
    </w:p>
  </w:footnote>
  <w:footnote w:id="20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57.455/1/2/3/4</w:t>
      </w:r>
      <w:r>
        <w:rPr>
          <w:rFonts w:cs="Times New Roman"/>
        </w:rPr>
        <w:t xml:space="preserve"> van 11 mei 2015</w:t>
      </w:r>
      <w:r w:rsidRPr="008B1EA4">
        <w:rPr>
          <w:rFonts w:cs="Times New Roman"/>
        </w:rPr>
        <w:t>. Voor de follow-up, zie adv.RvS 60.367/3</w:t>
      </w:r>
      <w:r>
        <w:rPr>
          <w:rFonts w:cs="Times New Roman"/>
        </w:rPr>
        <w:t xml:space="preserve"> van 29 november 2016</w:t>
      </w:r>
      <w:r w:rsidRPr="008B1EA4">
        <w:rPr>
          <w:rFonts w:cs="Times New Roman"/>
        </w:rPr>
        <w:t>.</w:t>
      </w:r>
    </w:p>
  </w:footnote>
  <w:footnote w:id="20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Hetzelfde probleem </w:t>
      </w:r>
      <w:r>
        <w:rPr>
          <w:rFonts w:cs="Times New Roman"/>
        </w:rPr>
        <w:t>rijst</w:t>
      </w:r>
      <w:r w:rsidRPr="008B1EA4">
        <w:rPr>
          <w:rFonts w:cs="Times New Roman"/>
        </w:rPr>
        <w:t xml:space="preserve"> overigens ook bij kortingen op sociale zekerheidsbijdragen. Al is de basislijn daar vaak minder moeilijk te bepalen, het probleem van de selectiviteit blijft</w:t>
      </w:r>
      <w:r>
        <w:rPr>
          <w:rFonts w:cs="Times New Roman"/>
        </w:rPr>
        <w:t>.</w:t>
      </w:r>
      <w:r w:rsidRPr="008B1EA4">
        <w:rPr>
          <w:rFonts w:cs="Times New Roman"/>
        </w:rPr>
        <w:t xml:space="preserve"> </w:t>
      </w:r>
      <w:r>
        <w:rPr>
          <w:rFonts w:cs="Times New Roman"/>
        </w:rPr>
        <w:t>Z</w:t>
      </w:r>
      <w:r w:rsidRPr="008B1EA4">
        <w:rPr>
          <w:rFonts w:cs="Times New Roman"/>
        </w:rPr>
        <w:t xml:space="preserve">ie adv.RvS 59.366/1; adv. 58.332/1/3/VR </w:t>
      </w:r>
      <w:r>
        <w:rPr>
          <w:rFonts w:cs="Times New Roman"/>
        </w:rPr>
        <w:t>van 4 december 2015</w:t>
      </w:r>
      <w:r w:rsidRPr="008B1EA4">
        <w:rPr>
          <w:rFonts w:cs="Times New Roman"/>
        </w:rPr>
        <w:t xml:space="preserve"> (over een ontwerp met zowel belastingvoordelen als voordelen inzake sociale zekerheid).</w:t>
      </w:r>
    </w:p>
  </w:footnote>
  <w:footnote w:id="20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60.219/1/3</w:t>
      </w:r>
      <w:r>
        <w:rPr>
          <w:rFonts w:cs="Times New Roman"/>
        </w:rPr>
        <w:t xml:space="preserve"> van 14 oktober 2016</w:t>
      </w:r>
      <w:r w:rsidRPr="008B1EA4">
        <w:rPr>
          <w:rFonts w:cs="Times New Roman"/>
        </w:rPr>
        <w:t xml:space="preserve"> (vermindering van een milieuheffing op afvalverbranding, indien de afvalstof per schip werd aangevoerd); adv.RvS 59.326/3 </w:t>
      </w:r>
      <w:r>
        <w:rPr>
          <w:rFonts w:cs="Times New Roman"/>
        </w:rPr>
        <w:t xml:space="preserve">van 29 april 2016 </w:t>
      </w:r>
      <w:r w:rsidRPr="008B1EA4">
        <w:rPr>
          <w:rFonts w:cs="Times New Roman"/>
        </w:rPr>
        <w:t>(nultarief voor verwerking ingevoerde afvalstoffen).</w:t>
      </w:r>
    </w:p>
  </w:footnote>
  <w:footnote w:id="20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58.755/3</w:t>
      </w:r>
      <w:r>
        <w:rPr>
          <w:rFonts w:cs="Times New Roman"/>
        </w:rPr>
        <w:t xml:space="preserve"> van 23 december 2015</w:t>
      </w:r>
      <w:r w:rsidRPr="008B1EA4">
        <w:rPr>
          <w:rFonts w:cs="Times New Roman"/>
        </w:rPr>
        <w:t>.</w:t>
      </w:r>
    </w:p>
  </w:footnote>
  <w:footnote w:id="20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59.454/3</w:t>
      </w:r>
      <w:r>
        <w:rPr>
          <w:rFonts w:cs="Times New Roman"/>
        </w:rPr>
        <w:t xml:space="preserve"> van 22 juni 2016</w:t>
      </w:r>
      <w:r w:rsidRPr="008B1EA4">
        <w:rPr>
          <w:rFonts w:cs="Times New Roman"/>
        </w:rPr>
        <w:t>.</w:t>
      </w:r>
    </w:p>
  </w:footnote>
  <w:footnote w:id="21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57.948/1</w:t>
      </w:r>
      <w:r>
        <w:rPr>
          <w:rFonts w:cs="Times New Roman"/>
        </w:rPr>
        <w:t>/</w:t>
      </w:r>
      <w:r w:rsidRPr="008B1EA4">
        <w:rPr>
          <w:rFonts w:cs="Times New Roman"/>
        </w:rPr>
        <w:t>V</w:t>
      </w:r>
      <w:r>
        <w:rPr>
          <w:rFonts w:cs="Times New Roman"/>
        </w:rPr>
        <w:t xml:space="preserve"> van 19 augustus 2015</w:t>
      </w:r>
      <w:r w:rsidRPr="008B1EA4">
        <w:rPr>
          <w:rFonts w:cs="Times New Roman"/>
        </w:rPr>
        <w:t>, punten 3.1-3.3.</w:t>
      </w:r>
    </w:p>
  </w:footnote>
  <w:footnote w:id="211">
    <w:p w:rsidR="005C6007" w:rsidRPr="007C7C4C" w:rsidRDefault="005C6007">
      <w:pPr>
        <w:pStyle w:val="Voetnoottekst"/>
      </w:pPr>
      <w:r>
        <w:rPr>
          <w:rStyle w:val="Voetnootmarkering"/>
        </w:rPr>
        <w:footnoteRef/>
      </w:r>
      <w:r w:rsidRPr="007C7C4C">
        <w:t xml:space="preserve"> </w:t>
      </w:r>
      <w:r w:rsidRPr="00CD53C6">
        <w:t>Zie ook</w:t>
      </w:r>
      <w:r w:rsidRPr="00CD53C6">
        <w:rPr>
          <w:i/>
        </w:rPr>
        <w:t xml:space="preserve"> </w:t>
      </w:r>
      <w:r w:rsidRPr="00CD53C6">
        <w:rPr>
          <w:highlight w:val="yellow"/>
        </w:rPr>
        <w:t>nr. 70</w:t>
      </w:r>
      <w:r w:rsidRPr="00CD53C6">
        <w:t>.</w:t>
      </w:r>
    </w:p>
  </w:footnote>
  <w:footnote w:id="212">
    <w:p w:rsidR="005C6007" w:rsidRPr="008B1EA4" w:rsidRDefault="005C6007" w:rsidP="008B1EA4">
      <w:pPr>
        <w:pStyle w:val="Voetnoottekst"/>
        <w:rPr>
          <w:rFonts w:cs="Times New Roman"/>
          <w:i/>
        </w:rPr>
      </w:pPr>
      <w:r w:rsidRPr="008B1EA4">
        <w:rPr>
          <w:rStyle w:val="Voetnootmarkering"/>
          <w:rFonts w:cs="Times New Roman"/>
        </w:rPr>
        <w:footnoteRef/>
      </w:r>
      <w:r w:rsidRPr="00262AA8">
        <w:t xml:space="preserve"> HvJ 6 september 2006, C-88/03, </w:t>
      </w:r>
      <w:r w:rsidRPr="00262AA8">
        <w:rPr>
          <w:i/>
        </w:rPr>
        <w:t>Portugal t. Commissie</w:t>
      </w:r>
      <w:r w:rsidRPr="00262AA8">
        <w:t xml:space="preserve">. </w:t>
      </w:r>
      <w:r w:rsidRPr="008B1EA4">
        <w:rPr>
          <w:rFonts w:eastAsia="Times New Roman" w:cs="Times New Roman"/>
          <w:lang w:eastAsia="nl-BE"/>
        </w:rPr>
        <w:t xml:space="preserve">Zie ook HvJ 28 juli 2011, gevoegde zaken C-471/09 P tot C-473/09 P, </w:t>
      </w:r>
      <w:r w:rsidRPr="008B1EA4">
        <w:rPr>
          <w:rFonts w:eastAsia="Times New Roman" w:cs="Times New Roman"/>
          <w:i/>
          <w:lang w:eastAsia="nl-BE"/>
        </w:rPr>
        <w:t>Territorio Histórico de Vizcaya - Diputación Foral de Vizcaya e.a.</w:t>
      </w:r>
    </w:p>
  </w:footnote>
  <w:footnote w:id="213">
    <w:p w:rsidR="005C6007" w:rsidRPr="008B1EA4" w:rsidRDefault="005C6007" w:rsidP="008B1EA4">
      <w:pPr>
        <w:pStyle w:val="Voetnoottekst"/>
        <w:rPr>
          <w:rFonts w:eastAsia="Times New Roman" w:cs="Times New Roman"/>
          <w:lang w:eastAsia="nl-BE"/>
        </w:rPr>
      </w:pPr>
      <w:r w:rsidRPr="008B1EA4">
        <w:rPr>
          <w:rStyle w:val="Voetnootmarkering"/>
          <w:rFonts w:cs="Times New Roman"/>
        </w:rPr>
        <w:footnoteRef/>
      </w:r>
      <w:r w:rsidRPr="008B1EA4">
        <w:rPr>
          <w:rFonts w:cs="Times New Roman"/>
        </w:rPr>
        <w:t xml:space="preserve"> </w:t>
      </w:r>
      <w:r w:rsidRPr="008B1EA4">
        <w:rPr>
          <w:rFonts w:eastAsia="Times New Roman" w:cs="Times New Roman"/>
          <w:lang w:eastAsia="nl-BE"/>
        </w:rPr>
        <w:t>Het gegeven dat het Hof van Justitie in zijn beoordeling rekening kan houden met de bijzondere situatie van regio</w:t>
      </w:r>
      <w:r>
        <w:rPr>
          <w:rFonts w:eastAsia="Times New Roman" w:cs="Times New Roman"/>
          <w:lang w:eastAsia="nl-BE"/>
        </w:rPr>
        <w:t>’</w:t>
      </w:r>
      <w:r w:rsidRPr="008B1EA4">
        <w:rPr>
          <w:rFonts w:eastAsia="Times New Roman" w:cs="Times New Roman"/>
          <w:lang w:eastAsia="nl-BE"/>
        </w:rPr>
        <w:t>s met constitutionele autonomie (zie K. </w:t>
      </w:r>
      <w:r w:rsidRPr="008B1EA4">
        <w:rPr>
          <w:rFonts w:eastAsia="Times New Roman" w:cs="Times New Roman"/>
          <w:smallCaps/>
          <w:color w:val="000000"/>
          <w:lang w:eastAsia="nl-BE"/>
        </w:rPr>
        <w:t>Lenaerts</w:t>
      </w:r>
      <w:r w:rsidRPr="008B1EA4">
        <w:rPr>
          <w:rFonts w:eastAsia="Times New Roman" w:cs="Times New Roman"/>
          <w:color w:val="000000"/>
          <w:lang w:eastAsia="nl-BE"/>
        </w:rPr>
        <w:t xml:space="preserve"> en N. </w:t>
      </w:r>
      <w:r w:rsidRPr="008B1EA4">
        <w:rPr>
          <w:rFonts w:eastAsia="Times New Roman" w:cs="Times New Roman"/>
          <w:smallCaps/>
          <w:color w:val="000000"/>
          <w:lang w:eastAsia="nl-BE"/>
        </w:rPr>
        <w:t>Cambien</w:t>
      </w:r>
      <w:r w:rsidRPr="008B1EA4">
        <w:rPr>
          <w:rFonts w:eastAsia="Times New Roman" w:cs="Times New Roman"/>
          <w:color w:val="000000"/>
          <w:lang w:eastAsia="nl-BE"/>
        </w:rPr>
        <w:t xml:space="preserve">, </w:t>
      </w:r>
      <w:r>
        <w:rPr>
          <w:rFonts w:eastAsia="Times New Roman" w:cs="Times New Roman"/>
          <w:lang w:eastAsia="nl-BE"/>
        </w:rPr>
        <w:t>“</w:t>
      </w:r>
      <w:r w:rsidRPr="008B1EA4">
        <w:rPr>
          <w:rFonts w:eastAsia="Times New Roman" w:cs="Times New Roman"/>
          <w:color w:val="000000"/>
          <w:lang w:eastAsia="nl-BE"/>
        </w:rPr>
        <w:t>Regions and the European Courts: Giving Shape to the Regional Dimension of Member States</w:t>
      </w:r>
      <w:r>
        <w:rPr>
          <w:rFonts w:eastAsia="Times New Roman" w:cs="Times New Roman"/>
          <w:lang w:eastAsia="nl-BE"/>
        </w:rPr>
        <w:t>”</w:t>
      </w:r>
      <w:r w:rsidRPr="008B1EA4">
        <w:rPr>
          <w:rFonts w:eastAsia="Times New Roman" w:cs="Times New Roman"/>
          <w:color w:val="000000"/>
          <w:lang w:eastAsia="nl-BE"/>
        </w:rPr>
        <w:t xml:space="preserve">, </w:t>
      </w:r>
      <w:r w:rsidRPr="008B1EA4">
        <w:rPr>
          <w:rFonts w:eastAsia="Times New Roman" w:cs="Times New Roman"/>
          <w:i/>
          <w:iCs/>
          <w:color w:val="000000"/>
          <w:lang w:eastAsia="nl-BE"/>
        </w:rPr>
        <w:t>European Law Review</w:t>
      </w:r>
      <w:r w:rsidRPr="008B1EA4">
        <w:rPr>
          <w:rFonts w:eastAsia="Times New Roman" w:cs="Times New Roman"/>
          <w:iCs/>
          <w:color w:val="000000"/>
          <w:lang w:eastAsia="nl-BE"/>
        </w:rPr>
        <w:t> 2010</w:t>
      </w:r>
      <w:r w:rsidRPr="008B1EA4">
        <w:rPr>
          <w:rFonts w:eastAsia="Times New Roman" w:cs="Times New Roman"/>
          <w:color w:val="000000"/>
          <w:lang w:eastAsia="nl-BE"/>
        </w:rPr>
        <w:t>, 609-635), betekent volgen</w:t>
      </w:r>
      <w:r>
        <w:rPr>
          <w:rFonts w:eastAsia="Times New Roman" w:cs="Times New Roman"/>
          <w:color w:val="000000"/>
          <w:lang w:eastAsia="nl-BE"/>
        </w:rPr>
        <w:t>s</w:t>
      </w:r>
      <w:r w:rsidRPr="008B1EA4">
        <w:rPr>
          <w:rFonts w:eastAsia="Times New Roman" w:cs="Times New Roman"/>
          <w:color w:val="000000"/>
          <w:lang w:eastAsia="nl-BE"/>
        </w:rPr>
        <w:t xml:space="preserve"> de Raad nog niet dat zonder meer voorbij kan worden gegaan aan de mogelijke selectiviteit van de ontworpen steunmaatregel, aangezien vooral de feitelijke effecten van de maatregel bij die beoordeling doorwegen.</w:t>
      </w:r>
    </w:p>
  </w:footnote>
  <w:footnote w:id="21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60.119/3</w:t>
      </w:r>
      <w:r>
        <w:rPr>
          <w:rFonts w:cs="Times New Roman"/>
        </w:rPr>
        <w:t xml:space="preserve"> van 18 oktober 2016</w:t>
      </w:r>
      <w:r w:rsidRPr="008B1EA4">
        <w:rPr>
          <w:rFonts w:cs="Times New Roman"/>
        </w:rPr>
        <w:t xml:space="preserve">, </w:t>
      </w:r>
      <w:r>
        <w:rPr>
          <w:rFonts w:cs="Times New Roman"/>
        </w:rPr>
        <w:t>met</w:t>
      </w:r>
      <w:r w:rsidRPr="008B1EA4">
        <w:rPr>
          <w:rFonts w:cs="Times New Roman"/>
        </w:rPr>
        <w:t xml:space="preserve"> verwijzing naar HvJ 3 april 2014, C-559/12</w:t>
      </w:r>
      <w:r>
        <w:rPr>
          <w:rFonts w:cs="Times New Roman"/>
        </w:rPr>
        <w:t xml:space="preserve"> </w:t>
      </w:r>
      <w:r w:rsidRPr="008B1EA4">
        <w:rPr>
          <w:rFonts w:cs="Times New Roman"/>
        </w:rPr>
        <w:t xml:space="preserve">P, </w:t>
      </w:r>
      <w:r w:rsidRPr="008B1EA4">
        <w:rPr>
          <w:rFonts w:cs="Times New Roman"/>
          <w:i/>
        </w:rPr>
        <w:t>Franse Republiek t. Europese Commissie</w:t>
      </w:r>
      <w:r w:rsidRPr="008B1EA4">
        <w:rPr>
          <w:rFonts w:cs="Times New Roman"/>
        </w:rPr>
        <w:t>.</w:t>
      </w:r>
    </w:p>
  </w:footnote>
  <w:footnote w:id="21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59.154/3</w:t>
      </w:r>
      <w:r>
        <w:rPr>
          <w:rFonts w:cs="Times New Roman"/>
        </w:rPr>
        <w:t xml:space="preserve"> van 25 april 2016</w:t>
      </w:r>
      <w:r w:rsidRPr="008B1EA4">
        <w:rPr>
          <w:rFonts w:cs="Times New Roman"/>
        </w:rPr>
        <w:t>.</w:t>
      </w:r>
      <w:r w:rsidRPr="004F631F">
        <w:rPr>
          <w:rFonts w:eastAsia="Times New Roman" w:cs="Times New Roman"/>
          <w:lang w:eastAsia="nl-BE"/>
        </w:rPr>
        <w:t xml:space="preserve"> </w:t>
      </w:r>
      <w:r w:rsidRPr="00B5320C">
        <w:rPr>
          <w:rFonts w:eastAsia="Times New Roman" w:cs="Times New Roman"/>
          <w:lang w:eastAsia="nl-BE"/>
        </w:rPr>
        <w:t xml:space="preserve">De Europese Commissie heeft het staatssteunkarakter </w:t>
      </w:r>
      <w:r>
        <w:t>van die maatregel later</w:t>
      </w:r>
      <w:r w:rsidRPr="00B5320C">
        <w:rPr>
          <w:rFonts w:eastAsia="Times New Roman" w:cs="Times New Roman"/>
          <w:lang w:eastAsia="nl-BE"/>
        </w:rPr>
        <w:t xml:space="preserve"> bevestigd in besluit </w:t>
      </w:r>
      <w:r w:rsidRPr="00B5320C">
        <w:rPr>
          <w:rFonts w:eastAsia="Times New Roman" w:cs="Times New Roman"/>
          <w:color w:val="444444"/>
          <w:lang w:eastAsia="nl-BE"/>
        </w:rPr>
        <w:t>SA.39487 (2016/NN) van 17 maart 2017</w:t>
      </w:r>
      <w:r>
        <w:rPr>
          <w:rFonts w:eastAsia="Times New Roman" w:cs="Times New Roman"/>
          <w:color w:val="444444"/>
          <w:lang w:eastAsia="nl-BE"/>
        </w:rPr>
        <w:t>, maar de (illegale, want te laat aangemelde) steun verenigbaar verklaard met de interne markt (</w:t>
      </w:r>
      <w:r w:rsidRPr="00EA59A8">
        <w:rPr>
          <w:rFonts w:eastAsia="Times New Roman" w:cs="Times New Roman"/>
          <w:color w:val="444444"/>
          <w:lang w:eastAsia="nl-BE"/>
        </w:rPr>
        <w:t>http://europa.eu/rapid/press-release_IP-17-662_nl.htm</w:t>
      </w:r>
      <w:r>
        <w:rPr>
          <w:rFonts w:eastAsia="Times New Roman" w:cs="Times New Roman"/>
          <w:color w:val="444444"/>
          <w:lang w:eastAsia="nl-BE"/>
        </w:rPr>
        <w:t>)</w:t>
      </w:r>
      <w:r w:rsidRPr="00B5320C">
        <w:rPr>
          <w:rFonts w:eastAsia="Times New Roman" w:cs="Times New Roman"/>
          <w:color w:val="444444"/>
          <w:lang w:eastAsia="nl-BE"/>
        </w:rPr>
        <w:t>.</w:t>
      </w:r>
    </w:p>
  </w:footnote>
  <w:footnote w:id="21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60.379/3</w:t>
      </w:r>
      <w:r>
        <w:rPr>
          <w:rFonts w:cs="Times New Roman"/>
        </w:rPr>
        <w:t xml:space="preserve"> van 9 december 2016</w:t>
      </w:r>
      <w:r w:rsidRPr="008B1EA4">
        <w:rPr>
          <w:rFonts w:cs="Times New Roman"/>
        </w:rPr>
        <w:t xml:space="preserve">. </w:t>
      </w:r>
    </w:p>
  </w:footnote>
  <w:footnote w:id="21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59.900/3</w:t>
      </w:r>
      <w:r>
        <w:rPr>
          <w:rFonts w:cs="Times New Roman"/>
        </w:rPr>
        <w:t xml:space="preserve"> van 19 september 2016</w:t>
      </w:r>
      <w:r w:rsidRPr="008B1EA4">
        <w:rPr>
          <w:rFonts w:cs="Times New Roman"/>
        </w:rPr>
        <w:t>, waarin uitvoerig wordt uiteengezet waarom een dergelijke waarborg</w:t>
      </w:r>
      <w:r w:rsidRPr="00EA59A8">
        <w:rPr>
          <w:rFonts w:cs="Times New Roman"/>
        </w:rPr>
        <w:t xml:space="preserve"> </w:t>
      </w:r>
      <w:r>
        <w:rPr>
          <w:rFonts w:cs="Times New Roman"/>
        </w:rPr>
        <w:t>in beginsel</w:t>
      </w:r>
      <w:r w:rsidRPr="008B1EA4">
        <w:rPr>
          <w:rFonts w:cs="Times New Roman"/>
        </w:rPr>
        <w:t xml:space="preserve"> staatssteun vormt.</w:t>
      </w:r>
      <w:r>
        <w:rPr>
          <w:rFonts w:cs="Times New Roman"/>
        </w:rPr>
        <w:t xml:space="preserve"> De Europese Commissie heeft niettemin besloten dat de maatregel geen staatssteun vormt, maar dit op basis van een analyse van de verwachte premiebedragen, die hoger zouden liggen dan de marktprijzen, waarvan de Raad van State op het ogenblik van het advies geen kennis had, zie besluit SA.46602 (2016/NN) van 14 juli 2017 (</w:t>
      </w:r>
      <w:r w:rsidRPr="00EA59A8">
        <w:rPr>
          <w:rFonts w:cs="Times New Roman"/>
        </w:rPr>
        <w:t>http://europa.eu/rapid/press-release_IP-17-2041_nl.htm</w:t>
      </w:r>
      <w:r>
        <w:rPr>
          <w:rFonts w:cs="Times New Roman"/>
        </w:rPr>
        <w:t>).</w:t>
      </w:r>
    </w:p>
  </w:footnote>
  <w:footnote w:id="21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58.047/3/1-V</w:t>
      </w:r>
      <w:r>
        <w:rPr>
          <w:rFonts w:cs="Times New Roman"/>
        </w:rPr>
        <w:t xml:space="preserve"> van 25 augustus 2015</w:t>
      </w:r>
      <w:r w:rsidRPr="008B1EA4">
        <w:rPr>
          <w:rFonts w:cs="Times New Roman"/>
        </w:rPr>
        <w:t xml:space="preserve">. Nadat advies werd de Raad steeds kritischer voor het systeem van groenestroomcertificaten, daarin gesterkt door recente Europese rechtspraak die de draagwijdte van het arrest HvJ 13 maart 2001, C-379/98, </w:t>
      </w:r>
      <w:r w:rsidRPr="008B1EA4">
        <w:rPr>
          <w:rFonts w:cs="Times New Roman"/>
          <w:i/>
          <w:iCs/>
        </w:rPr>
        <w:t>PreussenElektra</w:t>
      </w:r>
      <w:r w:rsidRPr="008B1EA4">
        <w:rPr>
          <w:rFonts w:cs="Times New Roman"/>
        </w:rPr>
        <w:t xml:space="preserve">, op basis waarvan de Vlaamse, Brusselse en federale groenestroomsteunregelingen traditioneel geacht werden aan de staatssteunregels te ontsnappen, sterk hebben ingeperkt, in het bijzonder HvJ 19 december 2013, C-262/13, </w:t>
      </w:r>
      <w:r w:rsidRPr="008B1EA4">
        <w:rPr>
          <w:rFonts w:cs="Times New Roman"/>
          <w:i/>
          <w:iCs/>
        </w:rPr>
        <w:t>Association Vent de Colère</w:t>
      </w:r>
      <w:r w:rsidRPr="008B1EA4">
        <w:rPr>
          <w:rFonts w:cs="Times New Roman"/>
          <w:iCs/>
        </w:rPr>
        <w:t xml:space="preserve"> en, recent, </w:t>
      </w:r>
      <w:r w:rsidRPr="008B1EA4">
        <w:rPr>
          <w:rFonts w:cs="Times New Roman"/>
        </w:rPr>
        <w:t xml:space="preserve">Ger. 10 mei 2016, T-47/15, </w:t>
      </w:r>
      <w:r w:rsidRPr="008B1EA4">
        <w:rPr>
          <w:rFonts w:cs="Times New Roman"/>
          <w:i/>
        </w:rPr>
        <w:t>Duitsland/Commissie</w:t>
      </w:r>
      <w:r w:rsidRPr="008B1EA4">
        <w:rPr>
          <w:rFonts w:cs="Times New Roman"/>
        </w:rPr>
        <w:t>. Zie onder meer adv. 59.903/1/V</w:t>
      </w:r>
      <w:r>
        <w:rPr>
          <w:rFonts w:cs="Times New Roman"/>
        </w:rPr>
        <w:t xml:space="preserve"> van 19 september 2016 en</w:t>
      </w:r>
      <w:r w:rsidR="00700204">
        <w:rPr>
          <w:rFonts w:cs="Times New Roman"/>
        </w:rPr>
        <w:t xml:space="preserve"> </w:t>
      </w:r>
      <w:r w:rsidRPr="008B1EA4">
        <w:rPr>
          <w:rFonts w:cs="Times New Roman"/>
        </w:rPr>
        <w:t>adv.RvS 60.379/3</w:t>
      </w:r>
      <w:r w:rsidRPr="00B733FB">
        <w:rPr>
          <w:rFonts w:cs="Times New Roman"/>
        </w:rPr>
        <w:t xml:space="preserve"> </w:t>
      </w:r>
      <w:r>
        <w:rPr>
          <w:rFonts w:cs="Times New Roman"/>
        </w:rPr>
        <w:t>van 9 december 2016</w:t>
      </w:r>
      <w:r w:rsidRPr="008B1EA4">
        <w:rPr>
          <w:rFonts w:cs="Times New Roman"/>
        </w:rPr>
        <w:t>, voetnoot 2.</w:t>
      </w:r>
    </w:p>
  </w:footnote>
  <w:footnote w:id="21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57.263/3</w:t>
      </w:r>
      <w:r>
        <w:rPr>
          <w:rFonts w:cs="Times New Roman"/>
        </w:rPr>
        <w:t xml:space="preserve"> van 20 april 2015</w:t>
      </w:r>
      <w:r w:rsidRPr="008B1EA4">
        <w:rPr>
          <w:rFonts w:cs="Times New Roman"/>
        </w:rPr>
        <w:t>, waarin wordt vastgesteld dat een dergelijk samenwerkingsakkoord wel degelijk de begroting kan bezwaren van de overheid die als laatste terugvordert, zodat overeenkomstig artikel 92</w:t>
      </w:r>
      <w:r w:rsidRPr="00CD53C6">
        <w:rPr>
          <w:rFonts w:cs="Times New Roman"/>
          <w:i/>
        </w:rPr>
        <w:t>bis</w:t>
      </w:r>
      <w:r w:rsidRPr="008B1EA4">
        <w:rPr>
          <w:rFonts w:cs="Times New Roman"/>
        </w:rPr>
        <w:t xml:space="preserve">, § 1, tweede lid, </w:t>
      </w:r>
      <w:r>
        <w:rPr>
          <w:rFonts w:cs="Times New Roman"/>
        </w:rPr>
        <w:t>BWHI</w:t>
      </w:r>
      <w:r w:rsidRPr="008B1EA4">
        <w:rPr>
          <w:rFonts w:cs="Times New Roman"/>
        </w:rPr>
        <w:t xml:space="preserve"> </w:t>
      </w:r>
      <w:r>
        <w:rPr>
          <w:rFonts w:cs="Times New Roman"/>
        </w:rPr>
        <w:t xml:space="preserve">de </w:t>
      </w:r>
      <w:r w:rsidRPr="008B1EA4">
        <w:rPr>
          <w:rFonts w:cs="Times New Roman"/>
        </w:rPr>
        <w:t>parlementaire instemming met zo</w:t>
      </w:r>
      <w:r>
        <w:rPr>
          <w:rFonts w:cs="Times New Roman"/>
        </w:rPr>
        <w:t>’</w:t>
      </w:r>
      <w:r w:rsidRPr="008B1EA4">
        <w:rPr>
          <w:rFonts w:cs="Times New Roman"/>
        </w:rPr>
        <w:t>n samenwerkingsakkoord noodzakelijk is.</w:t>
      </w:r>
    </w:p>
  </w:footnote>
  <w:footnote w:id="22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sidRPr="008B1EA4">
        <w:rPr>
          <w:rFonts w:cs="Times New Roman"/>
          <w:color w:val="000000" w:themeColor="text1"/>
        </w:rPr>
        <w:t>Besluit van de Europese Commissie van 11 januari 2016 betreffende de staatssteunregeling inzake vrijstelling van overwinst (</w:t>
      </w:r>
      <w:r>
        <w:rPr>
          <w:rFonts w:cs="Times New Roman"/>
          <w:color w:val="000000" w:themeColor="text1"/>
        </w:rPr>
        <w:t>“</w:t>
      </w:r>
      <w:r w:rsidRPr="008B1EA4">
        <w:rPr>
          <w:rFonts w:cs="Times New Roman"/>
          <w:color w:val="000000" w:themeColor="text1"/>
        </w:rPr>
        <w:t>SA.37667 (2015/C) (ex 2015/NN)</w:t>
      </w:r>
      <w:r>
        <w:rPr>
          <w:rFonts w:cs="Times New Roman"/>
          <w:color w:val="000000" w:themeColor="text1"/>
        </w:rPr>
        <w:t>”</w:t>
      </w:r>
      <w:r w:rsidRPr="008B1EA4">
        <w:rPr>
          <w:rFonts w:cs="Times New Roman"/>
          <w:color w:val="000000" w:themeColor="text1"/>
        </w:rPr>
        <w:t>).</w:t>
      </w:r>
    </w:p>
  </w:footnote>
  <w:footnote w:id="22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60.482/1/2/3/4</w:t>
      </w:r>
      <w:r>
        <w:rPr>
          <w:rFonts w:cs="Times New Roman"/>
        </w:rPr>
        <w:t xml:space="preserve"> van 30 november 2016</w:t>
      </w:r>
      <w:r w:rsidRPr="008B1EA4">
        <w:rPr>
          <w:rFonts w:cs="Times New Roman"/>
        </w:rPr>
        <w:t>, opmerkingen bij hoofdstuk 5.</w:t>
      </w:r>
    </w:p>
  </w:footnote>
  <w:footnote w:id="22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De toelichtingen bij het Handvest (Pb. 2007/C 303/02), die overeenkomstig artikel 6, § 1, derde lid, VEU </w:t>
      </w:r>
      <w:r>
        <w:rPr>
          <w:rFonts w:cs="Times New Roman"/>
        </w:rPr>
        <w:t>“</w:t>
      </w:r>
      <w:r w:rsidRPr="008B1EA4">
        <w:rPr>
          <w:rFonts w:cs="Times New Roman"/>
        </w:rPr>
        <w:t>ter dege in acht moeten worden genomen</w:t>
      </w:r>
      <w:r>
        <w:rPr>
          <w:rFonts w:cs="Times New Roman"/>
        </w:rPr>
        <w:t>”</w:t>
      </w:r>
      <w:r w:rsidRPr="008B1EA4">
        <w:rPr>
          <w:rFonts w:cs="Times New Roman"/>
        </w:rPr>
        <w:t xml:space="preserve">, maken duidelijk dat de bedoeling was om de zogenaamde ERT-rechtspraak (HvJ 18 juni 1991, C-280/89, </w:t>
      </w:r>
      <w:r w:rsidRPr="008B1EA4">
        <w:rPr>
          <w:rFonts w:cs="Times New Roman"/>
          <w:i/>
        </w:rPr>
        <w:t>ERT</w:t>
      </w:r>
      <w:r w:rsidRPr="008B1EA4">
        <w:rPr>
          <w:rFonts w:cs="Times New Roman"/>
        </w:rPr>
        <w:t xml:space="preserve">) te codificeren. Zie sindsdien HvJ 16 april 2015, gevoegde zaken C-446/12 tot C-449/12 </w:t>
      </w:r>
      <w:r w:rsidRPr="008B1EA4">
        <w:rPr>
          <w:rFonts w:cs="Times New Roman"/>
          <w:i/>
        </w:rPr>
        <w:t>Willems</w:t>
      </w:r>
      <w:r w:rsidRPr="008B1EA4">
        <w:rPr>
          <w:rFonts w:cs="Times New Roman"/>
        </w:rPr>
        <w:t>, punt 49; zie ook HvJ 7 mei 2013, C</w:t>
      </w:r>
      <w:r w:rsidRPr="008B1EA4">
        <w:rPr>
          <w:rFonts w:cs="Times New Roman"/>
        </w:rPr>
        <w:noBreakHyphen/>
        <w:t xml:space="preserve">617/10 </w:t>
      </w:r>
      <w:r w:rsidRPr="008B1EA4">
        <w:rPr>
          <w:rFonts w:cs="Times New Roman"/>
          <w:i/>
        </w:rPr>
        <w:t>Åkerberg Fransson</w:t>
      </w:r>
      <w:r w:rsidRPr="008B1EA4">
        <w:rPr>
          <w:rFonts w:cs="Times New Roman"/>
        </w:rPr>
        <w:t>, punten 20 en 22, en HvJ 26 september 2013, C</w:t>
      </w:r>
      <w:r w:rsidRPr="008B1EA4">
        <w:rPr>
          <w:rFonts w:cs="Times New Roman"/>
        </w:rPr>
        <w:noBreakHyphen/>
        <w:t xml:space="preserve">418/11, </w:t>
      </w:r>
      <w:r w:rsidRPr="008B1EA4">
        <w:rPr>
          <w:rFonts w:cs="Times New Roman"/>
          <w:i/>
        </w:rPr>
        <w:t>Texdata Software</w:t>
      </w:r>
      <w:r w:rsidRPr="008B1EA4">
        <w:rPr>
          <w:rFonts w:cs="Times New Roman"/>
        </w:rPr>
        <w:t>, punten 71</w:t>
      </w:r>
      <w:r w:rsidRPr="008B1EA4">
        <w:rPr>
          <w:rFonts w:cs="Times New Roman"/>
        </w:rPr>
        <w:noBreakHyphen/>
        <w:t xml:space="preserve">73. Voor maatregelen die buiten het toepassingsgebied vallen, blijven de Lidstaten echter gebonden door het EVRM, zie HvJ 15 november 2015, C-256/11 </w:t>
      </w:r>
      <w:r w:rsidRPr="008B1EA4">
        <w:rPr>
          <w:rFonts w:cs="Times New Roman"/>
          <w:i/>
        </w:rPr>
        <w:t>Dereci</w:t>
      </w:r>
      <w:r w:rsidRPr="008B1EA4">
        <w:rPr>
          <w:rFonts w:cs="Times New Roman"/>
        </w:rPr>
        <w:t>.</w:t>
      </w:r>
    </w:p>
  </w:footnote>
  <w:footnote w:id="22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59.484/3 en 59.485/3 van 29 juni 2016, voetnoot 29.</w:t>
      </w:r>
    </w:p>
  </w:footnote>
  <w:footnote w:id="22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Gelet op artikel 53 van het Handvest kan het beschermingsniveau van door het Handvest gewaarborgde grondrechten, zoals de vrijheid van meningsuiting en vrijheid van godsdienst, niet lager liggen dan onder het EVRM.</w:t>
      </w:r>
    </w:p>
  </w:footnote>
  <w:footnote w:id="22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58.954/2-3 van 29 maart 2016, algemene opmerkingen bij hoofdstuk 3, </w:t>
      </w:r>
      <w:r>
        <w:rPr>
          <w:rFonts w:cs="Times New Roman"/>
        </w:rPr>
        <w:t>nr.</w:t>
      </w:r>
      <w:r w:rsidRPr="008B1EA4">
        <w:rPr>
          <w:rFonts w:cs="Times New Roman"/>
        </w:rPr>
        <w:t xml:space="preserve"> 2. Het komt echter wel vaker voor dat het Handvest simpelweg wordt vermeld in een rij van internationale instrumenten waarin een bepaald recht is erkend, zonder dat het Handvest als dusdanig noodzakelijkerwijs van toepassing is, zie o.m. adv.RvS 58.793/4</w:t>
      </w:r>
      <w:r>
        <w:rPr>
          <w:rFonts w:cs="Times New Roman"/>
        </w:rPr>
        <w:t xml:space="preserve"> van 10 februari 2016, </w:t>
      </w:r>
      <w:r w:rsidRPr="008B1EA4">
        <w:rPr>
          <w:rFonts w:cs="Times New Roman"/>
        </w:rPr>
        <w:t xml:space="preserve">opmerkingen bij de artikelen 12 tot 20, </w:t>
      </w:r>
      <w:r>
        <w:rPr>
          <w:rFonts w:cs="Times New Roman"/>
        </w:rPr>
        <w:t>nr.</w:t>
      </w:r>
      <w:r w:rsidRPr="008B1EA4">
        <w:rPr>
          <w:rFonts w:cs="Times New Roman"/>
        </w:rPr>
        <w:t xml:space="preserve"> 2; adv.RvS 57.809/2</w:t>
      </w:r>
      <w:r>
        <w:rPr>
          <w:rFonts w:cs="Times New Roman"/>
        </w:rPr>
        <w:t xml:space="preserve"> van 13 juli 2015</w:t>
      </w:r>
      <w:r w:rsidRPr="008B1EA4">
        <w:rPr>
          <w:rFonts w:cs="Times New Roman"/>
        </w:rPr>
        <w:t>, opmerkingen bij artikel 18.</w:t>
      </w:r>
    </w:p>
  </w:footnote>
  <w:footnote w:id="22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3 van het Handvest. Adv.RvS 58.954/2-3 van 29 maart 2016, algemene opmerkingen bij hoofdstuk 3, </w:t>
      </w:r>
      <w:r>
        <w:rPr>
          <w:rFonts w:cs="Times New Roman"/>
        </w:rPr>
        <w:t>nr.</w:t>
      </w:r>
      <w:r w:rsidRPr="008B1EA4">
        <w:rPr>
          <w:rFonts w:cs="Times New Roman"/>
        </w:rPr>
        <w:t xml:space="preserve"> 2.</w:t>
      </w:r>
    </w:p>
  </w:footnote>
  <w:footnote w:id="22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4 van het Handvest Adv.RvS 59.196/4</w:t>
      </w:r>
      <w:r>
        <w:rPr>
          <w:rFonts w:cs="Times New Roman"/>
        </w:rPr>
        <w:t xml:space="preserve"> van 27 april 2016</w:t>
      </w:r>
      <w:r w:rsidRPr="008B1EA4">
        <w:rPr>
          <w:rFonts w:cs="Times New Roman"/>
        </w:rPr>
        <w:t xml:space="preserve"> (bestaansmiddelen van asielzoekers in België); adv.RvS 57.124/4</w:t>
      </w:r>
      <w:r>
        <w:rPr>
          <w:rFonts w:cs="Times New Roman"/>
        </w:rPr>
        <w:t xml:space="preserve"> van 16 maart 2015</w:t>
      </w:r>
      <w:r w:rsidRPr="008B1EA4">
        <w:rPr>
          <w:rFonts w:cs="Times New Roman"/>
        </w:rPr>
        <w:t xml:space="preserve"> (non-refoulement).</w:t>
      </w:r>
    </w:p>
  </w:footnote>
  <w:footnote w:id="22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8 van het Handvest. Adv.RvS 57.517/1</w:t>
      </w:r>
      <w:r>
        <w:rPr>
          <w:rFonts w:cs="Times New Roman"/>
        </w:rPr>
        <w:t xml:space="preserve"> van 12 juni 2015</w:t>
      </w:r>
      <w:r w:rsidRPr="008B1EA4">
        <w:rPr>
          <w:rFonts w:cs="Times New Roman"/>
        </w:rPr>
        <w:t xml:space="preserve"> (gegevenswerking in de sociale sector); adv.RvS 59.029/1 </w:t>
      </w:r>
      <w:r>
        <w:rPr>
          <w:rFonts w:cs="Times New Roman"/>
        </w:rPr>
        <w:t xml:space="preserve">van 5 april 2016 </w:t>
      </w:r>
      <w:r w:rsidRPr="008B1EA4">
        <w:rPr>
          <w:rFonts w:cs="Times New Roman"/>
        </w:rPr>
        <w:t>(gegevenswerking in het onderwijs). Zie ook inzake de gegevensbewaring door telecomoperatoren, adv.RvS 58.449/4</w:t>
      </w:r>
      <w:r>
        <w:rPr>
          <w:rFonts w:cs="Times New Roman"/>
        </w:rPr>
        <w:t xml:space="preserve"> van 7 december 2015</w:t>
      </w:r>
      <w:r w:rsidRPr="008B1EA4">
        <w:rPr>
          <w:rFonts w:cs="Times New Roman"/>
        </w:rPr>
        <w:t>.</w:t>
      </w:r>
    </w:p>
  </w:footnote>
  <w:footnote w:id="22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10 Handvest. Naast het al aangehaalde adv.RvS 59.484/3 en 59.485/3 van 29 juni 2016, ook adv.RvS 57.006/AV </w:t>
      </w:r>
      <w:r>
        <w:rPr>
          <w:rFonts w:cs="Times New Roman"/>
        </w:rPr>
        <w:t>van 9 april 2015</w:t>
      </w:r>
      <w:r w:rsidRPr="008B1EA4">
        <w:rPr>
          <w:rFonts w:cs="Times New Roman"/>
        </w:rPr>
        <w:t xml:space="preserve"> (verbod op jihadistische symbolen).</w:t>
      </w:r>
    </w:p>
  </w:footnote>
  <w:footnote w:id="23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16 van het Handvest. Adv.RvS 57.057/3</w:t>
      </w:r>
      <w:r>
        <w:rPr>
          <w:rFonts w:cs="Times New Roman"/>
        </w:rPr>
        <w:t xml:space="preserve"> van 6 maart 2015</w:t>
      </w:r>
      <w:r w:rsidRPr="008B1EA4">
        <w:rPr>
          <w:rFonts w:cs="Times New Roman"/>
        </w:rPr>
        <w:t>.</w:t>
      </w:r>
    </w:p>
  </w:footnote>
  <w:footnote w:id="23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17 van het Handvest. Adv.RvS 57.057/3</w:t>
      </w:r>
      <w:r>
        <w:rPr>
          <w:rFonts w:cs="Times New Roman"/>
        </w:rPr>
        <w:t xml:space="preserve"> van 6 maart 2015</w:t>
      </w:r>
      <w:r w:rsidRPr="008B1EA4">
        <w:rPr>
          <w:rFonts w:cs="Times New Roman"/>
        </w:rPr>
        <w:t>.</w:t>
      </w:r>
    </w:p>
  </w:footnote>
  <w:footnote w:id="23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28 van het Handvest. Adv.RvS 58.793/4</w:t>
      </w:r>
      <w:r>
        <w:rPr>
          <w:rFonts w:cs="Times New Roman"/>
        </w:rPr>
        <w:t xml:space="preserve"> van 10 februari 2016</w:t>
      </w:r>
      <w:r w:rsidRPr="008B1EA4">
        <w:rPr>
          <w:rFonts w:cs="Times New Roman"/>
        </w:rPr>
        <w:t xml:space="preserve">, opmerkingen bij de artikelen 12 tot 20, </w:t>
      </w:r>
      <w:r>
        <w:rPr>
          <w:rFonts w:cs="Times New Roman"/>
        </w:rPr>
        <w:t>nr.</w:t>
      </w:r>
      <w:r w:rsidRPr="008B1EA4">
        <w:rPr>
          <w:rFonts w:cs="Times New Roman"/>
        </w:rPr>
        <w:t xml:space="preserve"> 2.</w:t>
      </w:r>
    </w:p>
  </w:footnote>
  <w:footnote w:id="23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50 van het Handvest. Adv.RvS 58.419/1 </w:t>
      </w:r>
      <w:r>
        <w:rPr>
          <w:rFonts w:cs="Times New Roman"/>
        </w:rPr>
        <w:t xml:space="preserve">van 9 december 2015 </w:t>
      </w:r>
      <w:r w:rsidRPr="008B1EA4">
        <w:rPr>
          <w:rFonts w:cs="Times New Roman"/>
        </w:rPr>
        <w:t>(samenloop strafsancties en boetes FSMA, in het licht van HvJ 7 mei 2013, C</w:t>
      </w:r>
      <w:r w:rsidRPr="008B1EA4">
        <w:rPr>
          <w:rFonts w:cs="Times New Roman"/>
        </w:rPr>
        <w:noBreakHyphen/>
        <w:t xml:space="preserve">617/10 </w:t>
      </w:r>
      <w:r w:rsidRPr="008B1EA4">
        <w:rPr>
          <w:rFonts w:cs="Times New Roman"/>
          <w:i/>
        </w:rPr>
        <w:t>Åkerberg Fransson</w:t>
      </w:r>
      <w:r w:rsidRPr="008B1EA4">
        <w:rPr>
          <w:rFonts w:cs="Times New Roman"/>
        </w:rPr>
        <w:t>); adv.RvS 57.809/2</w:t>
      </w:r>
      <w:r>
        <w:rPr>
          <w:rFonts w:cs="Times New Roman"/>
        </w:rPr>
        <w:t xml:space="preserve"> van 13 juli 2015</w:t>
      </w:r>
      <w:r w:rsidRPr="008B1EA4">
        <w:rPr>
          <w:rFonts w:cs="Times New Roman"/>
        </w:rPr>
        <w:t>, opmerkingen bij artikel 18.</w:t>
      </w:r>
    </w:p>
  </w:footnote>
  <w:footnote w:id="23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Artikel 47 van het Handvest.</w:t>
      </w:r>
    </w:p>
  </w:footnote>
  <w:footnote w:id="23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56.867/3 </w:t>
      </w:r>
      <w:r>
        <w:rPr>
          <w:rFonts w:cs="Times New Roman"/>
        </w:rPr>
        <w:t xml:space="preserve">van 29 februari 2016 </w:t>
      </w:r>
      <w:r w:rsidRPr="008B1EA4">
        <w:rPr>
          <w:rFonts w:cs="Times New Roman"/>
        </w:rPr>
        <w:t xml:space="preserve">(rolrechten); adv.RvS 57.196/VR </w:t>
      </w:r>
      <w:r>
        <w:rPr>
          <w:rFonts w:cs="Times New Roman"/>
        </w:rPr>
        <w:t xml:space="preserve">van 21 april 2015 </w:t>
      </w:r>
      <w:r w:rsidRPr="008B1EA4">
        <w:rPr>
          <w:rFonts w:cs="Times New Roman"/>
        </w:rPr>
        <w:t xml:space="preserve">(intrekken identiteitskaart terreurverdachten); adv.RvS 59.215/3 </w:t>
      </w:r>
      <w:r>
        <w:rPr>
          <w:rFonts w:cs="Times New Roman"/>
        </w:rPr>
        <w:t xml:space="preserve">van 31 mei 2016 </w:t>
      </w:r>
      <w:r w:rsidRPr="008B1EA4">
        <w:rPr>
          <w:rFonts w:cs="Times New Roman"/>
        </w:rPr>
        <w:t xml:space="preserve">(wederzijdse erkenning toezichtsmaatregelen als alternatief voor hechtenis); adv.RvS 59.217/3 </w:t>
      </w:r>
      <w:r>
        <w:rPr>
          <w:rFonts w:cs="Times New Roman"/>
        </w:rPr>
        <w:t xml:space="preserve">van 31 mei 2016 </w:t>
      </w:r>
      <w:r w:rsidRPr="008B1EA4">
        <w:rPr>
          <w:rFonts w:cs="Times New Roman"/>
        </w:rPr>
        <w:t xml:space="preserve">(Europees beschermingsbevel); adv.RvS 59.673/1/V </w:t>
      </w:r>
      <w:r w:rsidRPr="00CD53C6">
        <w:rPr>
          <w:rFonts w:cs="Times New Roman"/>
        </w:rPr>
        <w:t>van 29 juli 2016</w:t>
      </w:r>
      <w:r w:rsidRPr="008B1EA4">
        <w:rPr>
          <w:rFonts w:cs="Times New Roman"/>
        </w:rPr>
        <w:t xml:space="preserve"> (intracommunautaire afdwinging sancties bij inbreuken op detacheringsrichtlijn).</w:t>
      </w:r>
    </w:p>
  </w:footnote>
  <w:footnote w:id="23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59.673/1/V </w:t>
      </w:r>
      <w:r w:rsidRPr="00CD53C6">
        <w:rPr>
          <w:rFonts w:cs="Times New Roman"/>
        </w:rPr>
        <w:t>van 29 juli 2016</w:t>
      </w:r>
      <w:r w:rsidRPr="008B1EA4">
        <w:rPr>
          <w:rFonts w:cs="Times New Roman"/>
        </w:rPr>
        <w:t xml:space="preserve"> (procedurele rechten); adv.RvS 58.761/3 </w:t>
      </w:r>
      <w:r>
        <w:rPr>
          <w:rFonts w:cs="Times New Roman"/>
        </w:rPr>
        <w:t xml:space="preserve">van 17 februari 2016 </w:t>
      </w:r>
      <w:r w:rsidRPr="008B1EA4">
        <w:rPr>
          <w:rFonts w:cs="Times New Roman"/>
        </w:rPr>
        <w:t>(rechtsbijstand).</w:t>
      </w:r>
    </w:p>
  </w:footnote>
  <w:footnote w:id="23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59.215/3 </w:t>
      </w:r>
      <w:r>
        <w:rPr>
          <w:rFonts w:cs="Times New Roman"/>
        </w:rPr>
        <w:t xml:space="preserve">van 31 mei 2016 </w:t>
      </w:r>
      <w:r w:rsidRPr="008B1EA4">
        <w:rPr>
          <w:rFonts w:cs="Times New Roman"/>
        </w:rPr>
        <w:t>(wederzijdse erkenning toezichtsmaatregelen als alternatief voor hechtenis); adv.RvS 59.217/3</w:t>
      </w:r>
      <w:r w:rsidRPr="000A13D1">
        <w:rPr>
          <w:rFonts w:cs="Times New Roman"/>
        </w:rPr>
        <w:t xml:space="preserve"> </w:t>
      </w:r>
      <w:r>
        <w:rPr>
          <w:rFonts w:cs="Times New Roman"/>
        </w:rPr>
        <w:t xml:space="preserve">van 31 mei 2016 </w:t>
      </w:r>
      <w:r w:rsidRPr="008B1EA4">
        <w:rPr>
          <w:rFonts w:cs="Times New Roman"/>
        </w:rPr>
        <w:t>(Europees beschermingsbevel).</w:t>
      </w:r>
    </w:p>
  </w:footnote>
  <w:footnote w:id="23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Richtlijn 2006/24/EG van het Europees Parlement en de Raad van 15 maart 2006 betreffende de bewaring van gegevens die zijn gegenereerd of verwerkt in verband met het aanbieden van openbaar beschikbare elektronischecommunicatiediensten of van openbare communicatienetwerken en tot wijziging van richtlijn 2002/58/EG</w:t>
      </w:r>
    </w:p>
  </w:footnote>
  <w:footnote w:id="23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HvJ </w:t>
      </w:r>
      <w:r w:rsidRPr="008B1EA4">
        <w:rPr>
          <w:rFonts w:cs="Times New Roman"/>
          <w:color w:val="000000"/>
        </w:rPr>
        <w:t xml:space="preserve">8 april 2014, gevoegde zaken C-293/12 en C-594/12 </w:t>
      </w:r>
      <w:r w:rsidRPr="008B1EA4">
        <w:rPr>
          <w:rFonts w:cs="Times New Roman"/>
          <w:i/>
          <w:color w:val="000000"/>
        </w:rPr>
        <w:t>Digital Rights Ireland</w:t>
      </w:r>
      <w:r w:rsidRPr="008B1EA4">
        <w:rPr>
          <w:rFonts w:cs="Times New Roman"/>
          <w:color w:val="000000"/>
        </w:rPr>
        <w:t>.</w:t>
      </w:r>
    </w:p>
  </w:footnote>
  <w:footnote w:id="24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GwH nr. 84/2015 van 11 juni 2015.</w:t>
      </w:r>
    </w:p>
  </w:footnote>
  <w:footnote w:id="24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 58.449/4</w:t>
      </w:r>
      <w:r>
        <w:rPr>
          <w:rFonts w:cs="Times New Roman"/>
        </w:rPr>
        <w:t xml:space="preserve"> van 7 december 2015</w:t>
      </w:r>
      <w:r w:rsidRPr="008B1EA4">
        <w:rPr>
          <w:rFonts w:cs="Times New Roman"/>
        </w:rPr>
        <w:t xml:space="preserve">, </w:t>
      </w:r>
      <w:r>
        <w:rPr>
          <w:rFonts w:cs="Times New Roman"/>
        </w:rPr>
        <w:t>nr.</w:t>
      </w:r>
      <w:r w:rsidRPr="008B1EA4">
        <w:rPr>
          <w:rFonts w:cs="Times New Roman"/>
        </w:rPr>
        <w:t xml:space="preserve"> 3.1.4.</w:t>
      </w:r>
    </w:p>
  </w:footnote>
  <w:footnote w:id="242">
    <w:p w:rsidR="005C6007" w:rsidRPr="00262AA8" w:rsidRDefault="005C6007" w:rsidP="00CD53C6">
      <w:pPr>
        <w:pStyle w:val="Voetnoottekst"/>
        <w:tabs>
          <w:tab w:val="right" w:pos="9072"/>
        </w:tabs>
        <w:rPr>
          <w:rFonts w:cs="Times New Roman"/>
          <w:lang w:val="de-DE"/>
        </w:rPr>
      </w:pPr>
      <w:r w:rsidRPr="008B1EA4">
        <w:rPr>
          <w:rStyle w:val="Voetnootmarkering"/>
          <w:rFonts w:cs="Times New Roman"/>
        </w:rPr>
        <w:footnoteRef/>
      </w:r>
      <w:r w:rsidRPr="00262AA8">
        <w:rPr>
          <w:lang w:val="de-DE"/>
        </w:rPr>
        <w:t xml:space="preserve"> Art. 1, 3°, en art. 26, §</w:t>
      </w:r>
      <w:r w:rsidRPr="0094614F">
        <w:rPr>
          <w:lang w:val="de-DE"/>
        </w:rPr>
        <w:t xml:space="preserve"> </w:t>
      </w:r>
      <w:r w:rsidRPr="00262AA8">
        <w:rPr>
          <w:lang w:val="de-DE"/>
        </w:rPr>
        <w:t xml:space="preserve">1, 4°, </w:t>
      </w:r>
      <w:r w:rsidRPr="0094614F">
        <w:rPr>
          <w:lang w:val="de-DE"/>
        </w:rPr>
        <w:t>Bijz.W.GwH</w:t>
      </w:r>
      <w:r w:rsidRPr="00262AA8">
        <w:rPr>
          <w:lang w:val="de-DE"/>
        </w:rPr>
        <w:t>.</w:t>
      </w:r>
      <w:r w:rsidRPr="0094614F">
        <w:rPr>
          <w:lang w:val="de-DE"/>
        </w:rPr>
        <w:tab/>
      </w:r>
    </w:p>
  </w:footnote>
  <w:footnote w:id="243">
    <w:p w:rsidR="005C6007" w:rsidRPr="008B1EA4" w:rsidRDefault="005C6007" w:rsidP="008B1EA4">
      <w:pPr>
        <w:pStyle w:val="Voetnoottekst"/>
        <w:rPr>
          <w:rFonts w:cs="Times New Roman"/>
        </w:rPr>
      </w:pPr>
      <w:r w:rsidRPr="005127F0">
        <w:rPr>
          <w:rStyle w:val="Voetnootmarkering"/>
          <w:rFonts w:cs="Times New Roman"/>
        </w:rPr>
        <w:footnoteRef/>
      </w:r>
      <w:r w:rsidRPr="005127F0">
        <w:rPr>
          <w:rFonts w:cs="Times New Roman"/>
        </w:rPr>
        <w:t xml:space="preserve"> Vooral dan wanneer er geen formele verplichting bestaat inzake overleg en samenwerking, aangezien bij het bestaan van een verplichting inzake overleg en samenwerking artikel 30</w:t>
      </w:r>
      <w:r w:rsidRPr="005127F0">
        <w:rPr>
          <w:rFonts w:cs="Times New Roman"/>
          <w:i/>
        </w:rPr>
        <w:t>bis</w:t>
      </w:r>
      <w:r w:rsidRPr="005127F0">
        <w:rPr>
          <w:rFonts w:cs="Times New Roman"/>
        </w:rPr>
        <w:t xml:space="preserve"> Bijz.W.GwH (en vroeger het eraan voorafgaande artikel 124</w:t>
      </w:r>
      <w:r w:rsidRPr="005127F0">
        <w:rPr>
          <w:rFonts w:cs="Times New Roman"/>
          <w:i/>
        </w:rPr>
        <w:t>bis</w:t>
      </w:r>
      <w:r w:rsidRPr="005127F0">
        <w:rPr>
          <w:rFonts w:cs="Times New Roman"/>
        </w:rPr>
        <w:t>) al op zich een vernietigingsgrond vormt.</w:t>
      </w:r>
    </w:p>
  </w:footnote>
  <w:footnote w:id="24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58.716/1 van 30 maart 2016, nr. 4.3.</w:t>
      </w:r>
    </w:p>
  </w:footnote>
  <w:footnote w:id="24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52.303/AV van 27 november 2012, nr. 12.</w:t>
      </w:r>
    </w:p>
  </w:footnote>
  <w:footnote w:id="24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sidRPr="008B1EA4">
        <w:rPr>
          <w:rFonts w:cs="Times New Roman"/>
          <w:i/>
        </w:rPr>
        <w:t xml:space="preserve">Parl.St. </w:t>
      </w:r>
      <w:r w:rsidRPr="008B1EA4">
        <w:rPr>
          <w:rFonts w:cs="Times New Roman"/>
        </w:rPr>
        <w:t>Senaat, 2013-14, nr. 1815/5, 18.</w:t>
      </w:r>
    </w:p>
  </w:footnote>
  <w:footnote w:id="247">
    <w:p w:rsidR="005C6007" w:rsidRDefault="005C6007" w:rsidP="00CD53C6">
      <w:pPr>
        <w:autoSpaceDE w:val="0"/>
        <w:autoSpaceDN w:val="0"/>
        <w:adjustRightInd w:val="0"/>
        <w:rPr>
          <w:rFonts w:cs="Times New Roman"/>
        </w:rPr>
      </w:pPr>
      <w:r>
        <w:rPr>
          <w:rStyle w:val="Voetnootmarkering"/>
          <w:rFonts w:cs="Times New Roman"/>
          <w:sz w:val="20"/>
          <w:szCs w:val="20"/>
        </w:rPr>
        <w:footnoteRef/>
      </w:r>
      <w:r w:rsidRPr="00CD53C6">
        <w:rPr>
          <w:rFonts w:cs="Times New Roman"/>
          <w:sz w:val="20"/>
          <w:szCs w:val="20"/>
        </w:rPr>
        <w:t xml:space="preserve"> Zie bv. adv.RvS 58.102/1 van 2 oktober 2015, nr. 5 (aangezien het samenwerkingsakkoord door de </w:t>
      </w:r>
      <w:r>
        <w:rPr>
          <w:rFonts w:cs="Times New Roman"/>
          <w:sz w:val="20"/>
          <w:szCs w:val="20"/>
        </w:rPr>
        <w:t>Z</w:t>
      </w:r>
      <w:r w:rsidRPr="00CD53C6">
        <w:rPr>
          <w:rFonts w:cs="Times New Roman"/>
          <w:sz w:val="20"/>
          <w:szCs w:val="20"/>
        </w:rPr>
        <w:t xml:space="preserve">esde </w:t>
      </w:r>
      <w:r>
        <w:rPr>
          <w:rFonts w:cs="Times New Roman"/>
          <w:sz w:val="20"/>
          <w:szCs w:val="20"/>
        </w:rPr>
        <w:t>S</w:t>
      </w:r>
      <w:r w:rsidRPr="00CD53C6">
        <w:rPr>
          <w:rFonts w:cs="Times New Roman"/>
          <w:sz w:val="20"/>
          <w:szCs w:val="20"/>
        </w:rPr>
        <w:t xml:space="preserve">taatshervorming zinledig is geworden, kan het eenzijdig door het Vlaamse Gewest worden opgezegd); adv.RvS 57.287/VR van 24 april 2015, nr. 6 (een samenwerkingsakkoord zou volgens de partijen uitgewerkt zijn. Aangezien het samenwerkingsakkoord niet uitdrukkelijk voorziet dat het ophoudt uitwerking te hebben, oordeelde de Raad dat het moet worden opgeheven door middel van een afzonderlijk samenwerkingsakkoord dat moet worden gesloten door alle partijen en dat de instemming behoeft van alle parlementen. Over mogelijkheid van eenzijdige opzegging wordt met geen woord gerept, maar uit het dossier bleek dat de partijen het onderling eens waren); adv.RvS 54.817/VR van 13 januari 2014, nr. 16 (een eenzijdige opzegging “moet” worden voorzien en mag niet worden verward met het instrument van de “wijziging” van het samenwerkingsakkoord die immers een instemming van alle partijen veronderstelt); adv.RvS 45.017/VR van 23 september 2008, nr. 3 (Raad van State adviseert de Vlaamse Regering om een samenwerkingsakkoord eenzijdig op te zeggen, terwijl het samenwerkingsakkoord hier niet in voorziet), adv.RvS 45.023/2/V van 8 september 2008, blz. 18 (“Un accord de coopération ne peut être dénoncé unilatéralement par une des parties signataires : il ne se conçoit donc pas que l’OFFA puisse être dissout </w:t>
      </w:r>
      <w:r>
        <w:rPr>
          <w:rFonts w:cs="Times New Roman"/>
          <w:sz w:val="20"/>
          <w:szCs w:val="20"/>
        </w:rPr>
        <w:t>‘</w:t>
      </w:r>
      <w:r w:rsidRPr="00CD53C6">
        <w:rPr>
          <w:rFonts w:cs="Times New Roman"/>
          <w:sz w:val="20"/>
          <w:szCs w:val="20"/>
        </w:rPr>
        <w:t>en cas de dénonciation du présent accord par une des parties signataires</w:t>
      </w:r>
      <w:r>
        <w:rPr>
          <w:rFonts w:cs="Times New Roman"/>
          <w:sz w:val="20"/>
          <w:szCs w:val="20"/>
        </w:rPr>
        <w:t>’.</w:t>
      </w:r>
      <w:r w:rsidRPr="00CD53C6">
        <w:rPr>
          <w:rFonts w:cs="Times New Roman"/>
          <w:sz w:val="20"/>
          <w:szCs w:val="20"/>
        </w:rPr>
        <w:t>”) en adv.RvS 36.198/1 van 4 december 2003, nr. 2.2.4 (“Het staat niet aan de federale overheid om eenzijdig een samenwerkingsakkoord op te heffen. Wel kunnen de bevoegde organen van de onderscheiden uitvoerende machten een samenwerkingsakkoord opzeggen mits inachtneming van een redelijke opzeggingstermijn of eventueel van de in het samenwerkingsakkoord zelf bepaalde opzeggingstermijn</w:t>
      </w:r>
      <w:r>
        <w:rPr>
          <w:rFonts w:cs="Times New Roman"/>
          <w:sz w:val="20"/>
          <w:szCs w:val="20"/>
        </w:rPr>
        <w:t>.</w:t>
      </w:r>
      <w:r w:rsidRPr="00CD53C6">
        <w:rPr>
          <w:rFonts w:cs="Times New Roman"/>
          <w:sz w:val="20"/>
          <w:szCs w:val="20"/>
        </w:rPr>
        <w:t>”).</w:t>
      </w:r>
    </w:p>
  </w:footnote>
  <w:footnote w:id="24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59.829/AV van 8 september 2016, voetnoot 8.</w:t>
      </w:r>
    </w:p>
  </w:footnote>
  <w:footnote w:id="24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Vgl. met GwH 62/2016 van 28 april 2016, B.3.4 (</w:t>
      </w:r>
      <w:r>
        <w:rPr>
          <w:rFonts w:cs="Times New Roman"/>
        </w:rPr>
        <w:t>“</w:t>
      </w:r>
      <w:r w:rsidRPr="008B1EA4">
        <w:rPr>
          <w:rFonts w:cs="Times New Roman"/>
        </w:rPr>
        <w:t>De draagwijdte van de bepalingen van dat samenwerkingsakkoord kan gelet op het vereiste van artikel 3, lid 2, van het Stabiliteitsverdrag niet, zonder dat afbreuk wordt gedaan aan de federale loyauteit, op eenzijdige wijze bij een latere wetgevende norm worden gewijzigd.</w:t>
      </w:r>
      <w:r>
        <w:rPr>
          <w:rFonts w:cs="Times New Roman"/>
        </w:rPr>
        <w:t>”</w:t>
      </w:r>
      <w:r w:rsidRPr="008B1EA4">
        <w:rPr>
          <w:rFonts w:cs="Times New Roman"/>
        </w:rPr>
        <w:t xml:space="preserve">) en de bespreking ervan in M. </w:t>
      </w:r>
      <w:r w:rsidRPr="008B1EA4">
        <w:rPr>
          <w:rFonts w:cs="Times New Roman"/>
          <w:smallCaps/>
        </w:rPr>
        <w:t>El Berhoumi, L. Detroux</w:t>
      </w:r>
      <w:r w:rsidRPr="008B1EA4">
        <w:rPr>
          <w:rFonts w:cs="Times New Roman"/>
        </w:rPr>
        <w:t xml:space="preserve">, e.a. </w:t>
      </w:r>
      <w:r>
        <w:rPr>
          <w:rFonts w:cs="Times New Roman"/>
        </w:rPr>
        <w:t>“</w:t>
      </w:r>
      <w:r w:rsidRPr="008B1EA4">
        <w:rPr>
          <w:rFonts w:cs="Times New Roman"/>
        </w:rPr>
        <w:t>La Cour constitutionelle face au Pacte budgétaire européen: un arrêt sans intérêt?</w:t>
      </w:r>
      <w:r>
        <w:rPr>
          <w:rFonts w:cs="Times New Roman"/>
        </w:rPr>
        <w:t>”</w:t>
      </w:r>
      <w:r w:rsidRPr="008B1EA4">
        <w:rPr>
          <w:rFonts w:cs="Times New Roman"/>
        </w:rPr>
        <w:t xml:space="preserve">, </w:t>
      </w:r>
      <w:r w:rsidRPr="008B1EA4">
        <w:rPr>
          <w:rFonts w:cs="Times New Roman"/>
          <w:i/>
        </w:rPr>
        <w:t xml:space="preserve">J.T. </w:t>
      </w:r>
      <w:r w:rsidRPr="008B1EA4">
        <w:rPr>
          <w:rFonts w:cs="Times New Roman"/>
        </w:rPr>
        <w:t>2017</w:t>
      </w:r>
      <w:r>
        <w:rPr>
          <w:rFonts w:cs="Times New Roman"/>
        </w:rPr>
        <w:t xml:space="preserve"> (565), 568-571</w:t>
      </w:r>
      <w:r w:rsidRPr="008B1EA4">
        <w:rPr>
          <w:rFonts w:cs="Times New Roman"/>
        </w:rPr>
        <w:t xml:space="preserve"> nrs. 10-15.</w:t>
      </w:r>
    </w:p>
  </w:footnote>
  <w:footnote w:id="25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In adv.RvS 59.376/VR en 59.427/VR van 14 juni 2016 maakte de Raad van State geen opmerking bij een bepaling die voor</w:t>
      </w:r>
      <w:r>
        <w:rPr>
          <w:rFonts w:cs="Times New Roman"/>
        </w:rPr>
        <w:t>schreef</w:t>
      </w:r>
      <w:r w:rsidRPr="008B1EA4">
        <w:rPr>
          <w:rFonts w:cs="Times New Roman"/>
        </w:rPr>
        <w:t xml:space="preserve"> dat het samenwerkingsakkoord enkel kan worden opgezegd met de goedkeuring van beide partijen (art. 22)</w:t>
      </w:r>
      <w:r>
        <w:rPr>
          <w:rFonts w:cs="Times New Roman"/>
        </w:rPr>
        <w:t xml:space="preserve"> en</w:t>
      </w:r>
      <w:r w:rsidRPr="008B1EA4">
        <w:rPr>
          <w:rFonts w:cs="Times New Roman"/>
        </w:rPr>
        <w:t xml:space="preserve"> in adv.RvS. 59.829/AV van 8 september 2016 stelde de Raad van State de in het samenwerkingsakkoord voorziene mogelijkheid om het akkoord eenzijdig op te zeggen niet in vraag (art. 18), maar ging het dieper in op de vraag of een parlementaire tussenkomst vereist was.</w:t>
      </w:r>
    </w:p>
  </w:footnote>
  <w:footnote w:id="25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nr. </w:t>
      </w:r>
      <w:r w:rsidRPr="00262AA8">
        <w:rPr>
          <w:rFonts w:cs="Times New Roman"/>
          <w:highlight w:val="yellow"/>
        </w:rPr>
        <w:t>14</w:t>
      </w:r>
      <w:r w:rsidRPr="008B1EA4">
        <w:rPr>
          <w:rFonts w:cs="Times New Roman"/>
        </w:rPr>
        <w:t xml:space="preserve">. </w:t>
      </w:r>
    </w:p>
  </w:footnote>
  <w:footnote w:id="25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kroniek 2007-08, nr. 34.</w:t>
      </w:r>
    </w:p>
  </w:footnote>
  <w:footnote w:id="25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kroniek 2009-10, nr. 22 en kroniek 2007-08, nr. 36.</w:t>
      </w:r>
    </w:p>
  </w:footnote>
  <w:footnote w:id="25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kroniek 2007-08, nr. 35.</w:t>
      </w:r>
    </w:p>
  </w:footnote>
  <w:footnote w:id="25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adv.RvS 52.324/AV en 52.325/AV van 8 en 14 januari 2013, nrs. 5-6.3</w:t>
      </w:r>
      <w:r>
        <w:rPr>
          <w:rFonts w:cs="Times New Roman"/>
        </w:rPr>
        <w:t>.</w:t>
      </w:r>
    </w:p>
  </w:footnote>
  <w:footnote w:id="25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59.829/AV van 8 september 2016, nrs. 2-8.</w:t>
      </w:r>
    </w:p>
  </w:footnote>
  <w:footnote w:id="25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57.456/AV en 57.670/AV van 22 juni 2015.</w:t>
      </w:r>
    </w:p>
  </w:footnote>
  <w:footnote w:id="25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57.948/1/V van 19 augustus 2015, nrs. 4.1-4.2.</w:t>
      </w:r>
    </w:p>
  </w:footnote>
  <w:footnote w:id="25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58.291/3 van 19 oktober 2015, </w:t>
      </w:r>
      <w:r>
        <w:rPr>
          <w:rFonts w:cs="Times New Roman"/>
        </w:rPr>
        <w:t>opmerking bij de artikelen 116 tot 121, nr. 2.1</w:t>
      </w:r>
      <w:r w:rsidRPr="008B1EA4">
        <w:rPr>
          <w:rFonts w:cs="Times New Roman"/>
        </w:rPr>
        <w:t>.</w:t>
      </w:r>
    </w:p>
  </w:footnote>
  <w:footnote w:id="260">
    <w:p w:rsidR="005C6007" w:rsidRPr="008B1EA4" w:rsidRDefault="005C6007" w:rsidP="00271D31">
      <w:pPr>
        <w:pStyle w:val="Voetnoottekst"/>
        <w:rPr>
          <w:rFonts w:cs="Times New Roman"/>
        </w:rPr>
      </w:pPr>
      <w:r w:rsidRPr="008B1EA4">
        <w:rPr>
          <w:rStyle w:val="Voetnootmarkering"/>
          <w:rFonts w:cs="Times New Roman"/>
        </w:rPr>
        <w:footnoteRef/>
      </w:r>
      <w:r w:rsidRPr="008B1EA4">
        <w:rPr>
          <w:rFonts w:cs="Times New Roman"/>
        </w:rPr>
        <w:t xml:space="preserve"> Adv.RvS 58.557/VR van 7 december 2015, nr. 9; adv.RvS 60.849/VR van 31 maart 2017, nrs. </w:t>
      </w:r>
      <w:r>
        <w:rPr>
          <w:rFonts w:cs="Times New Roman"/>
        </w:rPr>
        <w:t>5</w:t>
      </w:r>
      <w:r w:rsidRPr="008B1EA4">
        <w:rPr>
          <w:rFonts w:cs="Times New Roman"/>
        </w:rPr>
        <w:t xml:space="preserve">-7 en adv.RvS 61.021/VR van 29 maart 2017, nrs. </w:t>
      </w:r>
      <w:r>
        <w:rPr>
          <w:rFonts w:cs="Times New Roman"/>
        </w:rPr>
        <w:t>3-</w:t>
      </w:r>
      <w:r w:rsidRPr="008B1EA4">
        <w:rPr>
          <w:rFonts w:cs="Times New Roman"/>
        </w:rPr>
        <w:t>5.</w:t>
      </w:r>
    </w:p>
  </w:footnote>
  <w:footnote w:id="26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59.151/3 van 20 april 2016, nr. 4.</w:t>
      </w:r>
    </w:p>
  </w:footnote>
  <w:footnote w:id="26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60.318/1 van 23 november 2016/1, nr. 5.</w:t>
      </w:r>
    </w:p>
  </w:footnote>
  <w:footnote w:id="26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Bv. adv.58.731/3 van 26 januari 2016, nr. 3 en adv.RvS 58.557/VR van 7 december 2015, nr. 10.</w:t>
      </w:r>
    </w:p>
  </w:footnote>
  <w:footnote w:id="26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 1</w:t>
      </w:r>
      <w:r w:rsidRPr="008B1EA4">
        <w:rPr>
          <w:rFonts w:cs="Times New Roman"/>
          <w:i/>
        </w:rPr>
        <w:t>bis</w:t>
      </w:r>
      <w:r w:rsidRPr="008B1EA4">
        <w:rPr>
          <w:rFonts w:cs="Times New Roman"/>
        </w:rPr>
        <w:t xml:space="preserve"> Bijz.</w:t>
      </w:r>
      <w:r w:rsidR="00837CE2">
        <w:rPr>
          <w:rFonts w:cs="Times New Roman"/>
        </w:rPr>
        <w:t>Fin.W</w:t>
      </w:r>
      <w:r w:rsidRPr="008B1EA4">
        <w:rPr>
          <w:rFonts w:cs="Times New Roman"/>
        </w:rPr>
        <w:t>.</w:t>
      </w:r>
    </w:p>
  </w:footnote>
  <w:footnote w:id="26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54.378/3 van 28 november 2013, nr. 29 en adv.RvS 52.711/3 van 19 februari 2013, nr. 16.</w:t>
      </w:r>
    </w:p>
  </w:footnote>
  <w:footnote w:id="26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Art. 84, § 3, eerste lid, RvSt-wet.</w:t>
      </w:r>
    </w:p>
  </w:footnote>
  <w:footnote w:id="26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57.369/3 van 6 mei 2015, </w:t>
      </w:r>
      <w:r>
        <w:rPr>
          <w:rFonts w:cs="Times New Roman"/>
        </w:rPr>
        <w:t>nr.</w:t>
      </w:r>
      <w:r w:rsidRPr="008B1EA4">
        <w:rPr>
          <w:rFonts w:cs="Times New Roman"/>
        </w:rPr>
        <w:t xml:space="preserve"> 4.1.</w:t>
      </w:r>
    </w:p>
  </w:footnote>
  <w:footnote w:id="26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58.344/3 van 8 februari 2016, </w:t>
      </w:r>
      <w:r>
        <w:rPr>
          <w:rFonts w:cs="Times New Roman"/>
        </w:rPr>
        <w:t>nr.</w:t>
      </w:r>
      <w:r w:rsidRPr="008B1EA4">
        <w:rPr>
          <w:rFonts w:cs="Times New Roman"/>
        </w:rPr>
        <w:t xml:space="preserve"> 15.2.</w:t>
      </w:r>
    </w:p>
  </w:footnote>
  <w:footnote w:id="26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58.996/3 van 29 maart 2016, </w:t>
      </w:r>
      <w:r>
        <w:rPr>
          <w:rFonts w:cs="Times New Roman"/>
        </w:rPr>
        <w:t>nr.</w:t>
      </w:r>
      <w:r w:rsidRPr="008B1EA4">
        <w:rPr>
          <w:rFonts w:cs="Times New Roman"/>
        </w:rPr>
        <w:t xml:space="preserve"> 3.2.</w:t>
      </w:r>
    </w:p>
  </w:footnote>
  <w:footnote w:id="27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59.360/1 van 30 mei 2016, </w:t>
      </w:r>
      <w:r>
        <w:rPr>
          <w:rFonts w:cs="Times New Roman"/>
        </w:rPr>
        <w:t>nr.</w:t>
      </w:r>
      <w:r w:rsidRPr="008B1EA4">
        <w:rPr>
          <w:rFonts w:cs="Times New Roman"/>
        </w:rPr>
        <w:t xml:space="preserve"> 2.</w:t>
      </w:r>
    </w:p>
  </w:footnote>
  <w:footnote w:id="27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59.283/1 van 13 mei 2016, </w:t>
      </w:r>
      <w:r>
        <w:rPr>
          <w:rFonts w:cs="Times New Roman"/>
        </w:rPr>
        <w:t>nr.</w:t>
      </w:r>
      <w:r w:rsidRPr="008B1EA4">
        <w:rPr>
          <w:rFonts w:cs="Times New Roman"/>
        </w:rPr>
        <w:t xml:space="preserve"> 1.</w:t>
      </w:r>
    </w:p>
  </w:footnote>
  <w:footnote w:id="27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Machtigingen aan de minister die ruim zijn geformuleerd (eventueel in weerwil van een kritisch advies van de Raad van State) moeten om die reden ook beperkend worden geïnterpreteerd. Zie adv.RvS 57.351/3 van 24 april 2015, </w:t>
      </w:r>
      <w:r>
        <w:rPr>
          <w:rFonts w:cs="Times New Roman"/>
        </w:rPr>
        <w:t>nr.</w:t>
      </w:r>
      <w:r w:rsidRPr="008B1EA4">
        <w:rPr>
          <w:rFonts w:cs="Times New Roman"/>
        </w:rPr>
        <w:t xml:space="preserve"> 4.</w:t>
      </w:r>
    </w:p>
  </w:footnote>
  <w:footnote w:id="27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59.690/3 van 29 juli 2016, opmerking 3.2. Voor een vergelijkbaar voorbeeld: adv.RvS 56.968/3 van 15 januari 2015, </w:t>
      </w:r>
      <w:r>
        <w:rPr>
          <w:rFonts w:cs="Times New Roman"/>
        </w:rPr>
        <w:t>nr.</w:t>
      </w:r>
      <w:r w:rsidRPr="008B1EA4">
        <w:rPr>
          <w:rFonts w:cs="Times New Roman"/>
        </w:rPr>
        <w:t xml:space="preserve"> 2.</w:t>
      </w:r>
    </w:p>
  </w:footnote>
  <w:footnote w:id="27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57.025/3 van 19 februari 2015, </w:t>
      </w:r>
      <w:r>
        <w:rPr>
          <w:rFonts w:cs="Times New Roman"/>
        </w:rPr>
        <w:t>nrs.</w:t>
      </w:r>
      <w:r w:rsidRPr="008B1EA4">
        <w:rPr>
          <w:rFonts w:cs="Times New Roman"/>
        </w:rPr>
        <w:t xml:space="preserve"> 2.1 en 2.2.</w:t>
      </w:r>
    </w:p>
  </w:footnote>
  <w:footnote w:id="27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daarover J. </w:t>
      </w:r>
      <w:r w:rsidRPr="008B1EA4">
        <w:rPr>
          <w:rFonts w:cs="Times New Roman"/>
          <w:smallCaps/>
        </w:rPr>
        <w:t>Van Nieuwenhove</w:t>
      </w:r>
      <w:r w:rsidRPr="008B1EA4">
        <w:rPr>
          <w:rFonts w:cs="Times New Roman"/>
        </w:rPr>
        <w:t xml:space="preserve">, </w:t>
      </w:r>
      <w:r>
        <w:rPr>
          <w:rFonts w:cs="Times New Roman"/>
        </w:rPr>
        <w:t>“</w:t>
      </w:r>
      <w:r w:rsidRPr="008B1EA4">
        <w:rPr>
          <w:rFonts w:cs="Times New Roman"/>
        </w:rPr>
        <w:t>Nieuwe wetten en hun uitvoeringsbesluiten</w:t>
      </w:r>
      <w:r>
        <w:rPr>
          <w:rFonts w:cs="Times New Roman"/>
        </w:rPr>
        <w:t>”</w:t>
      </w:r>
      <w:r w:rsidRPr="008B1EA4">
        <w:rPr>
          <w:rFonts w:cs="Times New Roman"/>
        </w:rPr>
        <w:t xml:space="preserve">, </w:t>
      </w:r>
      <w:r w:rsidRPr="008B1EA4">
        <w:rPr>
          <w:rFonts w:cs="Times New Roman"/>
          <w:i/>
        </w:rPr>
        <w:t>TvW</w:t>
      </w:r>
      <w:r w:rsidRPr="008B1EA4">
        <w:rPr>
          <w:rFonts w:cs="Times New Roman"/>
        </w:rPr>
        <w:t xml:space="preserve"> 2007, 181-183. Voor een toepassing: </w:t>
      </w:r>
      <w:r>
        <w:rPr>
          <w:rFonts w:cs="Times New Roman"/>
        </w:rPr>
        <w:t>a</w:t>
      </w:r>
      <w:r w:rsidRPr="008B1EA4">
        <w:rPr>
          <w:rFonts w:cs="Times New Roman"/>
        </w:rPr>
        <w:t xml:space="preserve">dv.RvS 57.823/1/V van 18 augustus 2015, </w:t>
      </w:r>
      <w:r>
        <w:rPr>
          <w:rFonts w:cs="Times New Roman"/>
        </w:rPr>
        <w:t>nr.</w:t>
      </w:r>
      <w:r w:rsidRPr="008B1EA4">
        <w:rPr>
          <w:rFonts w:cs="Times New Roman"/>
        </w:rPr>
        <w:t xml:space="preserve"> 3.2.</w:t>
      </w:r>
    </w:p>
  </w:footnote>
  <w:footnote w:id="27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57.704/3 van 14 juli 2015, </w:t>
      </w:r>
      <w:r>
        <w:rPr>
          <w:rFonts w:cs="Times New Roman"/>
        </w:rPr>
        <w:t>nr.</w:t>
      </w:r>
      <w:r w:rsidRPr="008B1EA4">
        <w:rPr>
          <w:rFonts w:cs="Times New Roman"/>
        </w:rPr>
        <w:t xml:space="preserve"> 3.2.2.</w:t>
      </w:r>
    </w:p>
  </w:footnote>
  <w:footnote w:id="27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56.842/3 van 17 december 2014, </w:t>
      </w:r>
      <w:r>
        <w:rPr>
          <w:rFonts w:cs="Times New Roman"/>
        </w:rPr>
        <w:t>nrs.</w:t>
      </w:r>
      <w:r w:rsidRPr="008B1EA4">
        <w:rPr>
          <w:rFonts w:cs="Times New Roman"/>
        </w:rPr>
        <w:t xml:space="preserve"> 2 en 3.</w:t>
      </w:r>
    </w:p>
  </w:footnote>
  <w:footnote w:id="27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56.967/3 van 13 januari 2015, </w:t>
      </w:r>
      <w:r>
        <w:rPr>
          <w:rFonts w:cs="Times New Roman"/>
        </w:rPr>
        <w:t xml:space="preserve">nr. </w:t>
      </w:r>
      <w:r w:rsidRPr="008B1EA4">
        <w:rPr>
          <w:rFonts w:cs="Times New Roman"/>
        </w:rPr>
        <w:t>5.1, laatste alinea. In dat geval was er wel een ontwerp van regeringsbesluit dat samen met het ontwerp van ministerieel besluit was voorgelegd, zodat de opheffingsbepaling eenvoudigweg kon worden overgeheveld naar het ontwerp van regeringsbesluit.</w:t>
      </w:r>
    </w:p>
  </w:footnote>
  <w:footnote w:id="27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57.649/3 van 1 juli 2015, </w:t>
      </w:r>
      <w:r>
        <w:rPr>
          <w:rFonts w:cs="Times New Roman"/>
        </w:rPr>
        <w:t xml:space="preserve">nr. </w:t>
      </w:r>
      <w:r w:rsidRPr="008B1EA4">
        <w:rPr>
          <w:rFonts w:cs="Times New Roman"/>
        </w:rPr>
        <w:t>2.1, laatste alinea.</w:t>
      </w:r>
    </w:p>
  </w:footnote>
  <w:footnote w:id="280">
    <w:p w:rsidR="005C6007" w:rsidRPr="00173CA2" w:rsidRDefault="005C6007">
      <w:pPr>
        <w:pStyle w:val="Voetnoottekst"/>
      </w:pPr>
      <w:r>
        <w:rPr>
          <w:rStyle w:val="Voetnootmarkering"/>
        </w:rPr>
        <w:footnoteRef/>
      </w:r>
      <w:r>
        <w:t xml:space="preserve"> Zie uitgebreider J. </w:t>
      </w:r>
      <w:r w:rsidRPr="00CD53C6">
        <w:rPr>
          <w:smallCaps/>
        </w:rPr>
        <w:t>Van Nieuwenhove</w:t>
      </w:r>
      <w:r>
        <w:t xml:space="preserve">, “Delegatie van regelgevende bevoegdheid in België”, </w:t>
      </w:r>
      <w:r>
        <w:rPr>
          <w:i/>
        </w:rPr>
        <w:t>TVW</w:t>
      </w:r>
      <w:r>
        <w:t xml:space="preserve"> 2017, </w:t>
      </w:r>
      <w:r w:rsidR="00860A7A">
        <w:t xml:space="preserve">196-211; </w:t>
      </w:r>
      <w:r w:rsidR="00860A7A">
        <w:rPr>
          <w:i/>
        </w:rPr>
        <w:t>RegelMaat</w:t>
      </w:r>
      <w:r w:rsidR="00860A7A">
        <w:t xml:space="preserve"> 2017, 216-240</w:t>
      </w:r>
      <w:r>
        <w:t>.</w:t>
      </w:r>
    </w:p>
  </w:footnote>
  <w:footnote w:id="281">
    <w:p w:rsidR="005C6007" w:rsidRPr="00B42B0A" w:rsidRDefault="005C6007">
      <w:pPr>
        <w:pStyle w:val="Voetnoottekst"/>
      </w:pPr>
      <w:r>
        <w:rPr>
          <w:rStyle w:val="Voetnootmarkering"/>
        </w:rPr>
        <w:footnoteRef/>
      </w:r>
      <w:r w:rsidRPr="0094614F">
        <w:rPr>
          <w:lang w:val="de-DE"/>
        </w:rPr>
        <w:t xml:space="preserve"> </w:t>
      </w:r>
      <w:r w:rsidRPr="00B42B0A">
        <w:t>GwH 17 juli 2003, nr. 100/2003, B.11.2; GwH 13 maart 2008, nr. 54/2008, B.16; GwH 27 mei 2008, nr. 83/2008, B.5.2.</w:t>
      </w:r>
    </w:p>
  </w:footnote>
  <w:footnote w:id="282">
    <w:p w:rsidR="005C6007" w:rsidRDefault="005C6007">
      <w:pPr>
        <w:pStyle w:val="Voetnoottekst"/>
      </w:pPr>
      <w:r>
        <w:rPr>
          <w:rStyle w:val="Voetnootmarkering"/>
        </w:rPr>
        <w:footnoteRef/>
      </w:r>
      <w:r>
        <w:t xml:space="preserve"> Bijvoorbeeld omdat het doorlopen van de parlementaire procedure te lang zou duren om ongewenste effecten te vermijden, zoals bijvoorbeeld het hamsteren van producten voor de voorgenomen verhoging van btw of accijnzen.</w:t>
      </w:r>
    </w:p>
  </w:footnote>
  <w:footnote w:id="283">
    <w:p w:rsidR="005C6007" w:rsidRPr="008B1EA4" w:rsidRDefault="005C6007" w:rsidP="00384CF6">
      <w:pPr>
        <w:pStyle w:val="Voetnoottekst"/>
        <w:rPr>
          <w:rFonts w:cs="Times New Roman"/>
        </w:rPr>
      </w:pPr>
      <w:r w:rsidRPr="008B1EA4">
        <w:rPr>
          <w:rFonts w:cs="Times New Roman"/>
          <w:vertAlign w:val="superscript"/>
        </w:rPr>
        <w:footnoteRef/>
      </w:r>
      <w:r w:rsidRPr="008B1EA4">
        <w:rPr>
          <w:rFonts w:cs="Times New Roman"/>
        </w:rPr>
        <w:t xml:space="preserve"> Adv.RvS 60.588/3 van 9 december 2016, nr. 14. </w:t>
      </w:r>
    </w:p>
  </w:footnote>
  <w:footnote w:id="284">
    <w:p w:rsidR="005C6007" w:rsidRPr="008B1EA4" w:rsidRDefault="005C6007" w:rsidP="00384CF6">
      <w:pPr>
        <w:pStyle w:val="Voetnoottekst"/>
        <w:rPr>
          <w:rFonts w:cs="Times New Roman"/>
        </w:rPr>
      </w:pPr>
      <w:r w:rsidRPr="008B1EA4">
        <w:rPr>
          <w:rFonts w:cs="Times New Roman"/>
          <w:vertAlign w:val="superscript"/>
        </w:rPr>
        <w:footnoteRef/>
      </w:r>
      <w:r w:rsidRPr="008B1EA4">
        <w:rPr>
          <w:rFonts w:cs="Times New Roman"/>
        </w:rPr>
        <w:t xml:space="preserve"> Over een wettelijke regeling van delegatie en vereiste bekrachtiging: adv.RvS 58.237/1/3 van 28 oktober 2015; adv.RvS 60.588/3 van 9 december 2016, nr. 14. Over een besluit waarbij van dergelijke machtiging gebruik wordt gemaakt: adv.RvS 56.639/3 van 1 oktober 2014, nr. 7.</w:t>
      </w:r>
    </w:p>
  </w:footnote>
  <w:footnote w:id="285">
    <w:p w:rsidR="005C6007" w:rsidRPr="008B1EA4" w:rsidRDefault="005C6007" w:rsidP="00173CA2">
      <w:pPr>
        <w:pStyle w:val="Voetnoottekst"/>
        <w:rPr>
          <w:rFonts w:cs="Times New Roman"/>
        </w:rPr>
      </w:pPr>
      <w:r w:rsidRPr="008B1EA4">
        <w:rPr>
          <w:rFonts w:cs="Times New Roman"/>
          <w:vertAlign w:val="superscript"/>
        </w:rPr>
        <w:footnoteRef/>
      </w:r>
      <w:r w:rsidRPr="008B1EA4">
        <w:rPr>
          <w:rFonts w:cs="Times New Roman"/>
        </w:rPr>
        <w:t xml:space="preserve"> Adv.RvS 58.301/3 </w:t>
      </w:r>
      <w:r>
        <w:rPr>
          <w:rFonts w:cs="Times New Roman"/>
        </w:rPr>
        <w:t xml:space="preserve">en 58.302/3 </w:t>
      </w:r>
      <w:r w:rsidRPr="008B1EA4">
        <w:rPr>
          <w:rFonts w:cs="Times New Roman"/>
        </w:rPr>
        <w:t>van 12 n</w:t>
      </w:r>
      <w:r>
        <w:rPr>
          <w:rFonts w:cs="Times New Roman"/>
        </w:rPr>
        <w:t>ovember 2015, nr. 3.2</w:t>
      </w:r>
      <w:r w:rsidRPr="008B1EA4">
        <w:rPr>
          <w:rFonts w:cs="Times New Roman"/>
        </w:rPr>
        <w:t xml:space="preserve">. </w:t>
      </w:r>
    </w:p>
  </w:footnote>
  <w:footnote w:id="286">
    <w:p w:rsidR="005C6007" w:rsidRPr="008B1EA4" w:rsidRDefault="005C6007" w:rsidP="008B12B0">
      <w:pPr>
        <w:pStyle w:val="Voetnoottekst"/>
        <w:rPr>
          <w:rFonts w:cs="Times New Roman"/>
        </w:rPr>
      </w:pPr>
      <w:r w:rsidRPr="008B1EA4">
        <w:rPr>
          <w:rFonts w:cs="Times New Roman"/>
          <w:vertAlign w:val="superscript"/>
        </w:rPr>
        <w:footnoteRef/>
      </w:r>
      <w:r>
        <w:rPr>
          <w:rFonts w:cs="Times New Roman"/>
        </w:rPr>
        <w:t xml:space="preserve"> Adv.RvS 57.455/1-2-3-4 van 11</w:t>
      </w:r>
      <w:r w:rsidRPr="008B1EA4">
        <w:rPr>
          <w:rFonts w:cs="Times New Roman"/>
        </w:rPr>
        <w:t xml:space="preserve"> mei 2015 (</w:t>
      </w:r>
      <w:r>
        <w:rPr>
          <w:rFonts w:cs="Times New Roman"/>
        </w:rPr>
        <w:t>opmerkingen bij</w:t>
      </w:r>
      <w:r w:rsidRPr="008B1EA4">
        <w:rPr>
          <w:rFonts w:cs="Times New Roman"/>
        </w:rPr>
        <w:t xml:space="preserve"> artikel 75, nr. 4.3).</w:t>
      </w:r>
    </w:p>
  </w:footnote>
  <w:footnote w:id="287">
    <w:p w:rsidR="005C6007" w:rsidRPr="008B1EA4" w:rsidRDefault="005C6007" w:rsidP="000238CC">
      <w:pPr>
        <w:pStyle w:val="Voetnoottekst"/>
        <w:rPr>
          <w:rFonts w:cs="Times New Roman"/>
        </w:rPr>
      </w:pPr>
      <w:r w:rsidRPr="008B1EA4">
        <w:rPr>
          <w:rFonts w:cs="Times New Roman"/>
          <w:vertAlign w:val="superscript"/>
        </w:rPr>
        <w:footnoteRef/>
      </w:r>
      <w:r w:rsidRPr="008B1EA4">
        <w:rPr>
          <w:rFonts w:cs="Times New Roman"/>
        </w:rPr>
        <w:t xml:space="preserve"> Adv.RvS 56.773/1/2/3/4 van 17 november 2014 (</w:t>
      </w:r>
      <w:r>
        <w:rPr>
          <w:rFonts w:cs="Times New Roman"/>
        </w:rPr>
        <w:t xml:space="preserve">opmerkingen bij </w:t>
      </w:r>
      <w:r w:rsidRPr="008B1EA4">
        <w:rPr>
          <w:rFonts w:cs="Times New Roman"/>
        </w:rPr>
        <w:t xml:space="preserve">artikelen 153 tot 155, nrs. 3-4); </w:t>
      </w:r>
    </w:p>
  </w:footnote>
  <w:footnote w:id="28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GwH 18 februari 1998, nr. 18/98, B.9.</w:t>
      </w:r>
    </w:p>
  </w:footnote>
  <w:footnote w:id="289">
    <w:p w:rsidR="005C6007" w:rsidRPr="008B1EA4" w:rsidRDefault="005C6007" w:rsidP="000238CC">
      <w:pPr>
        <w:pStyle w:val="Voetnoottekst"/>
        <w:rPr>
          <w:rFonts w:cs="Times New Roman"/>
        </w:rPr>
      </w:pPr>
      <w:r w:rsidRPr="008B1EA4">
        <w:rPr>
          <w:rFonts w:cs="Times New Roman"/>
          <w:vertAlign w:val="superscript"/>
        </w:rPr>
        <w:footnoteRef/>
      </w:r>
      <w:r w:rsidRPr="008B1EA4">
        <w:rPr>
          <w:rFonts w:cs="Times New Roman"/>
        </w:rPr>
        <w:t xml:space="preserve"> Adv.RvS 57.455/1-2-3-4 van </w:t>
      </w:r>
      <w:r>
        <w:rPr>
          <w:rFonts w:cs="Times New Roman"/>
        </w:rPr>
        <w:t>11</w:t>
      </w:r>
      <w:r w:rsidRPr="008B1EA4">
        <w:rPr>
          <w:rFonts w:cs="Times New Roman"/>
        </w:rPr>
        <w:t xml:space="preserve"> mei 2015 (</w:t>
      </w:r>
      <w:r>
        <w:rPr>
          <w:rFonts w:cs="Times New Roman"/>
        </w:rPr>
        <w:t xml:space="preserve">opmerking bij </w:t>
      </w:r>
      <w:r w:rsidRPr="008B1EA4">
        <w:rPr>
          <w:rFonts w:cs="Times New Roman"/>
        </w:rPr>
        <w:t xml:space="preserve">artikel 75, nr. 4.3). </w:t>
      </w:r>
    </w:p>
  </w:footnote>
  <w:footnote w:id="290">
    <w:p w:rsidR="005C6007" w:rsidRPr="008B1EA4" w:rsidRDefault="005C6007" w:rsidP="000238CC">
      <w:pPr>
        <w:pStyle w:val="Voetnoottekst"/>
        <w:rPr>
          <w:rFonts w:cs="Times New Roman"/>
        </w:rPr>
      </w:pPr>
      <w:r w:rsidRPr="008B1EA4">
        <w:rPr>
          <w:rFonts w:cs="Times New Roman"/>
          <w:vertAlign w:val="superscript"/>
        </w:rPr>
        <w:footnoteRef/>
      </w:r>
      <w:r w:rsidRPr="008B1EA4">
        <w:rPr>
          <w:rFonts w:cs="Times New Roman"/>
        </w:rPr>
        <w:t xml:space="preserve"> Adv.RvS 57.455/1-2-3-4 van </w:t>
      </w:r>
      <w:r>
        <w:rPr>
          <w:rFonts w:cs="Times New Roman"/>
        </w:rPr>
        <w:t>11</w:t>
      </w:r>
      <w:r w:rsidRPr="008B1EA4">
        <w:rPr>
          <w:rFonts w:cs="Times New Roman"/>
        </w:rPr>
        <w:t xml:space="preserve"> mei 2015 (</w:t>
      </w:r>
      <w:r>
        <w:rPr>
          <w:rFonts w:cs="Times New Roman"/>
        </w:rPr>
        <w:t xml:space="preserve">opmerking bij </w:t>
      </w:r>
      <w:r w:rsidRPr="008B1EA4">
        <w:rPr>
          <w:rFonts w:cs="Times New Roman"/>
        </w:rPr>
        <w:t>artikel 109, nr. 1.3).</w:t>
      </w:r>
    </w:p>
  </w:footnote>
  <w:footnote w:id="291">
    <w:p w:rsidR="005C6007" w:rsidRPr="008B1EA4" w:rsidRDefault="005C6007" w:rsidP="000238CC">
      <w:pPr>
        <w:pStyle w:val="Voetnoottekst"/>
        <w:rPr>
          <w:rFonts w:cs="Times New Roman"/>
        </w:rPr>
      </w:pPr>
      <w:r w:rsidRPr="008B1EA4">
        <w:rPr>
          <w:rFonts w:cs="Times New Roman"/>
          <w:vertAlign w:val="superscript"/>
        </w:rPr>
        <w:footnoteRef/>
      </w:r>
      <w:r w:rsidRPr="008B1EA4">
        <w:rPr>
          <w:rFonts w:cs="Times New Roman"/>
        </w:rPr>
        <w:t xml:space="preserve"> Bijvoorbeeld artikel 275, § 3, </w:t>
      </w:r>
      <w:r>
        <w:rPr>
          <w:rFonts w:cs="Times New Roman"/>
        </w:rPr>
        <w:t>WIB</w:t>
      </w:r>
      <w:r w:rsidRPr="008B1EA4">
        <w:rPr>
          <w:rFonts w:cs="Times New Roman"/>
        </w:rPr>
        <w:t xml:space="preserve"> 1992. </w:t>
      </w:r>
    </w:p>
  </w:footnote>
  <w:footnote w:id="292">
    <w:p w:rsidR="005C6007" w:rsidRPr="008B1EA4" w:rsidRDefault="005C6007" w:rsidP="000238CC">
      <w:pPr>
        <w:pStyle w:val="Voetnoottekst"/>
        <w:rPr>
          <w:rFonts w:cs="Times New Roman"/>
        </w:rPr>
      </w:pPr>
      <w:r w:rsidRPr="008B1EA4">
        <w:rPr>
          <w:rFonts w:cs="Times New Roman"/>
          <w:vertAlign w:val="superscript"/>
        </w:rPr>
        <w:footnoteRef/>
      </w:r>
      <w:r w:rsidRPr="008B1EA4">
        <w:rPr>
          <w:rFonts w:cs="Times New Roman"/>
        </w:rPr>
        <w:t xml:space="preserve"> Zie ook kroniek</w:t>
      </w:r>
      <w:r>
        <w:rPr>
          <w:rFonts w:cs="Times New Roman"/>
        </w:rPr>
        <w:t xml:space="preserve"> 2013-14</w:t>
      </w:r>
      <w:r w:rsidRPr="008B1EA4">
        <w:rPr>
          <w:rFonts w:cs="Times New Roman"/>
        </w:rPr>
        <w:t xml:space="preserve">, </w:t>
      </w:r>
      <w:r w:rsidRPr="008B1EA4">
        <w:rPr>
          <w:rFonts w:cs="Times New Roman"/>
          <w:i/>
        </w:rPr>
        <w:t xml:space="preserve">TVW </w:t>
      </w:r>
      <w:r w:rsidRPr="008B1EA4">
        <w:rPr>
          <w:rFonts w:cs="Times New Roman"/>
        </w:rPr>
        <w:t>2015, 109-147, randnr. 69.</w:t>
      </w:r>
    </w:p>
  </w:footnote>
  <w:footnote w:id="293">
    <w:p w:rsidR="005C6007" w:rsidRPr="008B1EA4" w:rsidRDefault="005C6007" w:rsidP="000238CC">
      <w:pPr>
        <w:pStyle w:val="Voetnoottekst"/>
        <w:rPr>
          <w:rFonts w:cs="Times New Roman"/>
        </w:rPr>
      </w:pPr>
      <w:r w:rsidRPr="008B1EA4">
        <w:rPr>
          <w:rFonts w:cs="Times New Roman"/>
          <w:vertAlign w:val="superscript"/>
        </w:rPr>
        <w:footnoteRef/>
      </w:r>
      <w:r w:rsidRPr="008B1EA4">
        <w:rPr>
          <w:rFonts w:cs="Times New Roman"/>
        </w:rPr>
        <w:t xml:space="preserve"> Adv.RvS 58.311/2/3 van 16 november 2015 (</w:t>
      </w:r>
      <w:r>
        <w:rPr>
          <w:rFonts w:cs="Times New Roman"/>
        </w:rPr>
        <w:t>opmerking bij</w:t>
      </w:r>
      <w:r w:rsidRPr="008B1EA4">
        <w:rPr>
          <w:rFonts w:cs="Times New Roman"/>
        </w:rPr>
        <w:t xml:space="preserve"> titel 2, hoofdstuk 1, afdeling 5); adv.RvS 59.507/2-3-4 van 27 juni 2016 (</w:t>
      </w:r>
      <w:r>
        <w:rPr>
          <w:rFonts w:cs="Times New Roman"/>
        </w:rPr>
        <w:t xml:space="preserve">opmerking bij </w:t>
      </w:r>
      <w:r w:rsidRPr="008B1EA4">
        <w:rPr>
          <w:rFonts w:cs="Times New Roman"/>
        </w:rPr>
        <w:t>titel 12).</w:t>
      </w:r>
    </w:p>
  </w:footnote>
  <w:footnote w:id="294">
    <w:p w:rsidR="005C6007" w:rsidRPr="008B1EA4" w:rsidRDefault="005C6007" w:rsidP="007D609D">
      <w:pPr>
        <w:pStyle w:val="Voetnoottekst"/>
        <w:rPr>
          <w:rFonts w:cs="Times New Roman"/>
        </w:rPr>
      </w:pPr>
      <w:r w:rsidRPr="008B1EA4">
        <w:rPr>
          <w:rFonts w:cs="Times New Roman"/>
          <w:vertAlign w:val="superscript"/>
        </w:rPr>
        <w:footnoteRef/>
      </w:r>
      <w:r w:rsidRPr="008B1EA4">
        <w:rPr>
          <w:rFonts w:cs="Times New Roman"/>
        </w:rPr>
        <w:t xml:space="preserve"> Adv.RvS 57.455/1-2-3-4 van </w:t>
      </w:r>
      <w:r>
        <w:rPr>
          <w:rFonts w:cs="Times New Roman"/>
        </w:rPr>
        <w:t>11</w:t>
      </w:r>
      <w:r w:rsidRPr="008B1EA4">
        <w:rPr>
          <w:rFonts w:cs="Times New Roman"/>
        </w:rPr>
        <w:t xml:space="preserve"> mei 2015 (bespreking van artikel 109, nr. 1.4).</w:t>
      </w:r>
    </w:p>
  </w:footnote>
  <w:footnote w:id="29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adv.RvS 51.467/1 van 21 juni 2012, 51.936/1 van 27 september 2012, 53.293/1 en 53.294/1 van 3 juni 2013 en 55.456/1 van 24 maart 2014.</w:t>
      </w:r>
    </w:p>
  </w:footnote>
  <w:footnote w:id="29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56.907/1 en 56.908/1 van 19 december 2014, </w:t>
      </w:r>
      <w:r>
        <w:rPr>
          <w:rFonts w:cs="Times New Roman"/>
        </w:rPr>
        <w:t xml:space="preserve">nr. </w:t>
      </w:r>
      <w:r w:rsidRPr="008B1EA4">
        <w:rPr>
          <w:rFonts w:cs="Times New Roman"/>
        </w:rPr>
        <w:t xml:space="preserve">4.1. Zie ook adv.RvS 58.567/1 van 7 december 2015, </w:t>
      </w:r>
      <w:r>
        <w:rPr>
          <w:rFonts w:cs="Times New Roman"/>
        </w:rPr>
        <w:t xml:space="preserve">nrs. </w:t>
      </w:r>
      <w:r w:rsidRPr="008B1EA4">
        <w:rPr>
          <w:rFonts w:cs="Times New Roman"/>
        </w:rPr>
        <w:t>4.2 en 4.3.</w:t>
      </w:r>
    </w:p>
  </w:footnote>
  <w:footnote w:id="29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57.775/1/V van 29 juli 2015, </w:t>
      </w:r>
      <w:r>
        <w:rPr>
          <w:rFonts w:cs="Times New Roman"/>
        </w:rPr>
        <w:t xml:space="preserve">nr. </w:t>
      </w:r>
      <w:r w:rsidRPr="008B1EA4">
        <w:rPr>
          <w:rFonts w:cs="Times New Roman"/>
        </w:rPr>
        <w:t xml:space="preserve">3.1 (zie ook </w:t>
      </w:r>
      <w:r w:rsidRPr="008B1EA4">
        <w:rPr>
          <w:rFonts w:cs="Times New Roman"/>
          <w:i/>
        </w:rPr>
        <w:t>TvW</w:t>
      </w:r>
      <w:r w:rsidRPr="008B1EA4">
        <w:rPr>
          <w:rFonts w:cs="Times New Roman"/>
        </w:rPr>
        <w:t xml:space="preserve"> 2015, 327-329).</w:t>
      </w:r>
    </w:p>
  </w:footnote>
  <w:footnote w:id="29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50.623/AV/3 van 17 en 24 januari 2012, </w:t>
      </w:r>
      <w:r>
        <w:rPr>
          <w:rFonts w:cs="Times New Roman"/>
        </w:rPr>
        <w:t xml:space="preserve">nrs. </w:t>
      </w:r>
      <w:r w:rsidRPr="008B1EA4">
        <w:rPr>
          <w:rFonts w:cs="Times New Roman"/>
        </w:rPr>
        <w:t>24-27</w:t>
      </w:r>
      <w:r w:rsidRPr="00CD53C6">
        <w:rPr>
          <w:rFonts w:cs="Times New Roman"/>
        </w:rPr>
        <w:t>.</w:t>
      </w:r>
    </w:p>
  </w:footnote>
  <w:footnote w:id="29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58.697/1 van 5 februari 2016, </w:t>
      </w:r>
      <w:r>
        <w:rPr>
          <w:rFonts w:cs="Times New Roman"/>
        </w:rPr>
        <w:t xml:space="preserve">nrs. </w:t>
      </w:r>
      <w:r w:rsidRPr="008B1EA4">
        <w:rPr>
          <w:rFonts w:cs="Times New Roman"/>
        </w:rPr>
        <w:t>10 en 11</w:t>
      </w:r>
      <w:r w:rsidRPr="00CD53C6">
        <w:rPr>
          <w:rFonts w:cs="Times New Roman"/>
        </w:rPr>
        <w:t>.</w:t>
      </w:r>
    </w:p>
  </w:footnote>
  <w:footnote w:id="30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60.048/1 van 23 september 2016, </w:t>
      </w:r>
      <w:r>
        <w:rPr>
          <w:rFonts w:cs="Times New Roman"/>
        </w:rPr>
        <w:t xml:space="preserve">nr. </w:t>
      </w:r>
      <w:r w:rsidRPr="008B1EA4">
        <w:rPr>
          <w:rFonts w:cs="Times New Roman"/>
        </w:rPr>
        <w:t>5</w:t>
      </w:r>
      <w:r w:rsidRPr="00CD53C6">
        <w:rPr>
          <w:rFonts w:cs="Times New Roman"/>
        </w:rPr>
        <w:t>.</w:t>
      </w:r>
    </w:p>
  </w:footnote>
  <w:footnote w:id="30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60.401/1 van 7 december 2016, </w:t>
      </w:r>
      <w:r>
        <w:rPr>
          <w:rFonts w:cs="Times New Roman"/>
        </w:rPr>
        <w:t xml:space="preserve">nr. </w:t>
      </w:r>
      <w:r w:rsidRPr="008B1EA4">
        <w:rPr>
          <w:rFonts w:cs="Times New Roman"/>
        </w:rPr>
        <w:t>6.1</w:t>
      </w:r>
      <w:r w:rsidRPr="00CD53C6">
        <w:rPr>
          <w:rFonts w:cs="Times New Roman"/>
        </w:rPr>
        <w:t>.</w:t>
      </w:r>
    </w:p>
  </w:footnote>
  <w:footnote w:id="30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o.m. GwH 15 januari 2009, nr. 8/2009, B.6.2; GwH 18 juli 2013, B.10.2 en GwH 28 april 2016, nr. 57/2016, B.24.</w:t>
      </w:r>
    </w:p>
  </w:footnote>
  <w:footnote w:id="30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60.437/4 van 12 december 2016, algemene opmerking C</w:t>
      </w:r>
      <w:r w:rsidRPr="00CD53C6">
        <w:rPr>
          <w:rFonts w:cs="Times New Roman"/>
        </w:rPr>
        <w:t>.</w:t>
      </w:r>
    </w:p>
  </w:footnote>
  <w:footnote w:id="30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57.364/1-2-3 van 29 april 2015, opmerking bij artikel 33</w:t>
      </w:r>
      <w:r w:rsidRPr="00CD53C6">
        <w:rPr>
          <w:rFonts w:cs="Times New Roman"/>
        </w:rPr>
        <w:t>.</w:t>
      </w:r>
    </w:p>
  </w:footnote>
  <w:footnote w:id="30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59.210/4 van 11 mei 2016, algemene opmerking II</w:t>
      </w:r>
      <w:r w:rsidRPr="00D47F61">
        <w:rPr>
          <w:rFonts w:cs="Times New Roman"/>
        </w:rPr>
        <w:t>.</w:t>
      </w:r>
    </w:p>
  </w:footnote>
  <w:footnote w:id="30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58.102/1 van 2 oktober 2015, </w:t>
      </w:r>
      <w:r>
        <w:rPr>
          <w:rFonts w:cs="Times New Roman"/>
        </w:rPr>
        <w:t>nrs.</w:t>
      </w:r>
      <w:r w:rsidRPr="008B1EA4">
        <w:rPr>
          <w:rFonts w:cs="Times New Roman"/>
        </w:rPr>
        <w:t xml:space="preserve"> 6.1 en 6.2</w:t>
      </w:r>
      <w:r w:rsidRPr="00CD53C6">
        <w:rPr>
          <w:rFonts w:cs="Times New Roman"/>
        </w:rPr>
        <w:t>.</w:t>
      </w:r>
    </w:p>
  </w:footnote>
  <w:footnote w:id="30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59.000/1/3 van 25 maart 2016, opmerking bij artikel 36</w:t>
      </w:r>
      <w:r w:rsidRPr="00CD53C6">
        <w:rPr>
          <w:rFonts w:cs="Times New Roman"/>
        </w:rPr>
        <w:t>.</w:t>
      </w:r>
      <w:r>
        <w:rPr>
          <w:rFonts w:cs="Times New Roman"/>
        </w:rPr>
        <w:t xml:space="preserve"> Zie ook adv.RvS 59.902/1/V van 23 september 2016, nr. 4.2 en adv.RvS 60.625/3 van 16 december 2016, opmerkingen bij amedement nr. 24, nr. 4.3.</w:t>
      </w:r>
    </w:p>
  </w:footnote>
  <w:footnote w:id="308">
    <w:p w:rsidR="005C6007" w:rsidRDefault="005C6007">
      <w:pPr>
        <w:pStyle w:val="Voetnoottekst"/>
      </w:pPr>
      <w:r>
        <w:rPr>
          <w:rStyle w:val="Voetnootmarkering"/>
        </w:rPr>
        <w:footnoteRef/>
      </w:r>
      <w:r>
        <w:t xml:space="preserve"> Zie alvast ook adv.RvS 60.769/1 van 6 januari 2017, nr. 5 en adv.RvS 61.114/1 van 16 maart 2017 (in beide gevallen weliswaar als bijkomende bedenking nadat is vastgesteld dat de ontworpen delegaties ingaan tegen artikel 23 Gw.).</w:t>
      </w:r>
    </w:p>
  </w:footnote>
  <w:footnote w:id="30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57.598/3 van 30 juni 2015, </w:t>
      </w:r>
      <w:r>
        <w:rPr>
          <w:rFonts w:cs="Times New Roman"/>
        </w:rPr>
        <w:t>nr.</w:t>
      </w:r>
      <w:r w:rsidRPr="008B1EA4">
        <w:rPr>
          <w:rFonts w:cs="Times New Roman"/>
        </w:rPr>
        <w:t xml:space="preserve"> 13; adv.RvS 58.123/3 van 28 september 2015, </w:t>
      </w:r>
      <w:r>
        <w:rPr>
          <w:rFonts w:cs="Times New Roman"/>
        </w:rPr>
        <w:t xml:space="preserve">nr. </w:t>
      </w:r>
      <w:r w:rsidRPr="008B1EA4">
        <w:rPr>
          <w:rFonts w:cs="Times New Roman"/>
        </w:rPr>
        <w:t xml:space="preserve">5; adv.RvS 59.321/1 van 23 mei 2016, </w:t>
      </w:r>
      <w:r>
        <w:rPr>
          <w:rFonts w:cs="Times New Roman"/>
        </w:rPr>
        <w:t xml:space="preserve">nr. </w:t>
      </w:r>
      <w:r w:rsidRPr="008B1EA4">
        <w:rPr>
          <w:rFonts w:cs="Times New Roman"/>
        </w:rPr>
        <w:t>7.</w:t>
      </w:r>
    </w:p>
  </w:footnote>
  <w:footnote w:id="31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57.444/1 van 26 mei 2015, </w:t>
      </w:r>
      <w:r>
        <w:rPr>
          <w:rFonts w:cs="Times New Roman"/>
        </w:rPr>
        <w:t xml:space="preserve">nr. </w:t>
      </w:r>
      <w:r w:rsidRPr="008B1EA4">
        <w:rPr>
          <w:rFonts w:cs="Times New Roman"/>
        </w:rPr>
        <w:t xml:space="preserve">4 (zie ook </w:t>
      </w:r>
      <w:r w:rsidRPr="008B1EA4">
        <w:rPr>
          <w:rFonts w:cs="Times New Roman"/>
          <w:i/>
        </w:rPr>
        <w:t>TvW</w:t>
      </w:r>
      <w:r w:rsidRPr="008B1EA4">
        <w:rPr>
          <w:rFonts w:cs="Times New Roman"/>
        </w:rPr>
        <w:t xml:space="preserve"> 2015, 268-269).</w:t>
      </w:r>
    </w:p>
  </w:footnote>
  <w:footnote w:id="31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57.739/1/V van 28 juli 2015, </w:t>
      </w:r>
      <w:r>
        <w:rPr>
          <w:rFonts w:cs="Times New Roman"/>
        </w:rPr>
        <w:t xml:space="preserve">nrs. </w:t>
      </w:r>
      <w:r w:rsidRPr="008B1EA4">
        <w:rPr>
          <w:rFonts w:cs="Times New Roman"/>
        </w:rPr>
        <w:t xml:space="preserve">3-5. Zie ook, in gelijkaardige zin, adv.RvS 57.696/3 van 6 juli 2015, </w:t>
      </w:r>
      <w:r>
        <w:rPr>
          <w:rFonts w:cs="Times New Roman"/>
        </w:rPr>
        <w:t>nr.</w:t>
      </w:r>
      <w:r w:rsidRPr="008B1EA4">
        <w:rPr>
          <w:rFonts w:cs="Times New Roman"/>
        </w:rPr>
        <w:t xml:space="preserve"> 6 (over de bevoegdheid van de raad van bestuur van de Vlaamse Vervoermaatschappij om de toezichts- en administratiekosten te bepalen die verschuldigd zijn wegens bepaalde inbreuken op de regelgeving).</w:t>
      </w:r>
    </w:p>
  </w:footnote>
  <w:footnote w:id="31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57.373/3 van 4 mei 2015, </w:t>
      </w:r>
      <w:r>
        <w:rPr>
          <w:rFonts w:cs="Times New Roman"/>
        </w:rPr>
        <w:t>nr.</w:t>
      </w:r>
      <w:r w:rsidRPr="008B1EA4">
        <w:rPr>
          <w:rFonts w:cs="Times New Roman"/>
        </w:rPr>
        <w:t xml:space="preserve"> 4.</w:t>
      </w:r>
    </w:p>
  </w:footnote>
  <w:footnote w:id="313">
    <w:p w:rsidR="005C6007" w:rsidRDefault="005C6007">
      <w:pPr>
        <w:pStyle w:val="Voetnoottekst"/>
      </w:pPr>
      <w:r>
        <w:rPr>
          <w:rStyle w:val="Voetnootmarkering"/>
        </w:rPr>
        <w:footnoteRef/>
      </w:r>
      <w:r>
        <w:t xml:space="preserve"> </w:t>
      </w:r>
      <w:r w:rsidRPr="008B1EA4">
        <w:rPr>
          <w:rFonts w:cs="Times New Roman"/>
        </w:rPr>
        <w:t>Adv.RvS 57.526/4 van 10 juni 2015, nr. 4.</w:t>
      </w:r>
    </w:p>
  </w:footnote>
  <w:footnote w:id="314">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57.369/3 van 6 mei 2015, nr. 4.1. </w:t>
      </w:r>
    </w:p>
  </w:footnote>
  <w:footnote w:id="315">
    <w:p w:rsidR="005C6007" w:rsidRDefault="005C6007">
      <w:pPr>
        <w:pStyle w:val="Voetnoottekst"/>
      </w:pPr>
      <w:r>
        <w:rPr>
          <w:rStyle w:val="Voetnootmarkering"/>
        </w:rPr>
        <w:footnoteRef/>
      </w:r>
      <w:r>
        <w:t xml:space="preserve"> Adv.RvS 57.329/1 van 10 april 2015, nrs. 2-4. Zie ook RvS 11 februari 2016, nrs. 233.796 en 233.797, </w:t>
      </w:r>
      <w:r w:rsidRPr="00CD53C6">
        <w:rPr>
          <w:i/>
        </w:rPr>
        <w:t>vzw Vogelbescherming Vlaanderen</w:t>
      </w:r>
      <w:r>
        <w:t xml:space="preserve">. </w:t>
      </w:r>
    </w:p>
  </w:footnote>
  <w:footnote w:id="316">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58.318/1 van 17 november 2015, nr. 17. </w:t>
      </w:r>
    </w:p>
  </w:footnote>
  <w:footnote w:id="317">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57.747/1/V van 29 juli 2015, nr. 3.3.</w:t>
      </w:r>
    </w:p>
  </w:footnote>
  <w:footnote w:id="31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57.127/AV van 24 maart 2015, </w:t>
      </w:r>
      <w:r>
        <w:rPr>
          <w:rFonts w:cs="Times New Roman"/>
        </w:rPr>
        <w:t>nr. 3</w:t>
      </w:r>
      <w:r w:rsidRPr="008B1EA4">
        <w:rPr>
          <w:rFonts w:cs="Times New Roman"/>
        </w:rPr>
        <w:t>.</w:t>
      </w:r>
    </w:p>
  </w:footnote>
  <w:footnote w:id="31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59.147/3 van 22 april 2016</w:t>
      </w:r>
      <w:r>
        <w:rPr>
          <w:rFonts w:cs="Times New Roman"/>
        </w:rPr>
        <w:t>, nrs. 3-6</w:t>
      </w:r>
      <w:r w:rsidRPr="008B1EA4">
        <w:rPr>
          <w:rFonts w:cs="Times New Roman"/>
        </w:rPr>
        <w:t xml:space="preserve">. Zie ook </w:t>
      </w:r>
      <w:r w:rsidR="0003630D">
        <w:rPr>
          <w:rFonts w:cs="Times New Roman"/>
        </w:rPr>
        <w:t>a</w:t>
      </w:r>
      <w:r w:rsidRPr="008B1EA4">
        <w:rPr>
          <w:rFonts w:cs="Times New Roman"/>
        </w:rPr>
        <w:t xml:space="preserve">dv.RvS 59.789/3 van 19 juli 2016 waarin de Raad van State het volgende opmerkt: </w:t>
      </w:r>
      <w:r>
        <w:rPr>
          <w:rFonts w:cs="Times New Roman"/>
        </w:rPr>
        <w:t>“</w:t>
      </w:r>
      <w:r w:rsidRPr="008B1EA4">
        <w:rPr>
          <w:rFonts w:cs="Times New Roman"/>
        </w:rPr>
        <w:t xml:space="preserve">het [aangepaste] wetsvoorstel is minder vatbaar voor de (hiervoor weergegeven) kritiek die de Raad van State bij het voorontwerp van wet heeft geformuleerd. Dat niet enkel het </w:t>
      </w:r>
      <w:r>
        <w:rPr>
          <w:rFonts w:cs="Times New Roman"/>
        </w:rPr>
        <w:t>‘</w:t>
      </w:r>
      <w:r w:rsidRPr="008B1EA4">
        <w:rPr>
          <w:rFonts w:cs="Times New Roman"/>
        </w:rPr>
        <w:t>weten</w:t>
      </w:r>
      <w:r>
        <w:rPr>
          <w:rFonts w:cs="Times New Roman"/>
        </w:rPr>
        <w:t>’</w:t>
      </w:r>
      <w:r w:rsidRPr="008B1EA4">
        <w:rPr>
          <w:rFonts w:cs="Times New Roman"/>
        </w:rPr>
        <w:t xml:space="preserve"> (dat het deelnemen aan een activiteit van een terroristische groep </w:t>
      </w:r>
      <w:r>
        <w:rPr>
          <w:rFonts w:cs="Times New Roman"/>
        </w:rPr>
        <w:t>‘</w:t>
      </w:r>
      <w:r w:rsidRPr="008B1EA4">
        <w:rPr>
          <w:rFonts w:cs="Times New Roman"/>
        </w:rPr>
        <w:t>zou kunnen bijdragen</w:t>
      </w:r>
      <w:r>
        <w:rPr>
          <w:rFonts w:cs="Times New Roman"/>
        </w:rPr>
        <w:t>’</w:t>
      </w:r>
      <w:r w:rsidRPr="008B1EA4">
        <w:rPr>
          <w:rFonts w:cs="Times New Roman"/>
        </w:rPr>
        <w:t xml:space="preserve"> tot het plegen van een misdaad of wanbedrijf door die groep) leidt tot strafbaarheid, maar ook het </w:t>
      </w:r>
      <w:r>
        <w:rPr>
          <w:rFonts w:cs="Times New Roman"/>
        </w:rPr>
        <w:t>‘</w:t>
      </w:r>
      <w:r w:rsidRPr="008B1EA4">
        <w:rPr>
          <w:rFonts w:cs="Times New Roman"/>
        </w:rPr>
        <w:t>moeten weten</w:t>
      </w:r>
      <w:r>
        <w:rPr>
          <w:rFonts w:cs="Times New Roman"/>
        </w:rPr>
        <w:t>’</w:t>
      </w:r>
      <w:r w:rsidRPr="008B1EA4">
        <w:rPr>
          <w:rFonts w:cs="Times New Roman"/>
        </w:rPr>
        <w:t xml:space="preserve">, is op zich genomen toelaatbaar op voorwaarde dat, zoals de Raad van State in advies 59.147/3 heeft opgemerkt, het </w:t>
      </w:r>
      <w:r>
        <w:rPr>
          <w:rFonts w:cs="Times New Roman"/>
        </w:rPr>
        <w:t>‘</w:t>
      </w:r>
      <w:r w:rsidRPr="008B1EA4">
        <w:rPr>
          <w:rFonts w:cs="Times New Roman"/>
        </w:rPr>
        <w:t>moeten weten</w:t>
      </w:r>
      <w:r>
        <w:rPr>
          <w:rFonts w:cs="Times New Roman"/>
        </w:rPr>
        <w:t>’</w:t>
      </w:r>
      <w:r w:rsidRPr="008B1EA4">
        <w:rPr>
          <w:rFonts w:cs="Times New Roman"/>
        </w:rPr>
        <w:t xml:space="preserve"> wordt afgeleid uit concrete elementen die kunnen worden gerelateerd aan de persoonlijke situatie van de betrokkene (en derhalve niet op basis van een abstract criterium). De voorzichtigheidsnorm is hier vooral verbonden met het inschatten van de gevolgen van de eigen daad, en minder met de aard van activiteiten die door anderen worden verricht.</w:t>
      </w:r>
      <w:r>
        <w:rPr>
          <w:rFonts w:cs="Times New Roman"/>
        </w:rPr>
        <w:t>”</w:t>
      </w:r>
    </w:p>
  </w:footnote>
  <w:footnote w:id="320">
    <w:p w:rsidR="005C6007" w:rsidRPr="008B1EA4" w:rsidRDefault="005C6007" w:rsidP="008B1EA4">
      <w:pPr>
        <w:pStyle w:val="Voetnoottekst"/>
        <w:rPr>
          <w:rFonts w:cs="Times New Roman"/>
        </w:rPr>
      </w:pPr>
      <w:r w:rsidRPr="008B1EA4">
        <w:rPr>
          <w:rStyle w:val="Voetnootmarkering"/>
          <w:rFonts w:cs="Times New Roman"/>
        </w:rPr>
        <w:footnoteRef/>
      </w:r>
      <w:r w:rsidRPr="00262AA8">
        <w:t xml:space="preserve"> Adv.RvS 59.147/3 van 22 april 2016</w:t>
      </w:r>
      <w:r w:rsidRPr="00312DCC">
        <w:t>, nrs. 10-13</w:t>
      </w:r>
      <w:r w:rsidRPr="008B1EA4">
        <w:rPr>
          <w:rFonts w:cs="Times New Roman"/>
        </w:rPr>
        <w:t xml:space="preserve">. Zie ook </w:t>
      </w:r>
      <w:r w:rsidR="0003630D">
        <w:rPr>
          <w:rFonts w:cs="Times New Roman"/>
        </w:rPr>
        <w:t>a</w:t>
      </w:r>
      <w:r w:rsidRPr="008B1EA4">
        <w:rPr>
          <w:rFonts w:cs="Times New Roman"/>
        </w:rPr>
        <w:t>dv.RvS 59.789/3 van 19 juli 2016.</w:t>
      </w:r>
    </w:p>
  </w:footnote>
  <w:footnote w:id="32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sidRPr="00312DCC">
        <w:t>Adv.RvS 59.147/3 van 22 april 2016, nrs. 16-17</w:t>
      </w:r>
      <w:r w:rsidRPr="008B1EA4">
        <w:rPr>
          <w:rFonts w:cs="Times New Roman"/>
        </w:rPr>
        <w:t>.</w:t>
      </w:r>
    </w:p>
  </w:footnote>
  <w:footnote w:id="32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kroniek 2007</w:t>
      </w:r>
      <w:r>
        <w:rPr>
          <w:rFonts w:cs="Times New Roman"/>
        </w:rPr>
        <w:t>-</w:t>
      </w:r>
      <w:r w:rsidRPr="008B1EA4">
        <w:rPr>
          <w:rFonts w:cs="Times New Roman"/>
        </w:rPr>
        <w:t>08, nr. 41 en kroniek 201314, nr. 41</w:t>
      </w:r>
      <w:r w:rsidRPr="003739CC">
        <w:rPr>
          <w:rFonts w:cs="Times New Roman"/>
        </w:rPr>
        <w:t>.</w:t>
      </w:r>
    </w:p>
  </w:footnote>
  <w:footnote w:id="32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kroniek 201314, nr. 41.</w:t>
      </w:r>
    </w:p>
  </w:footnote>
  <w:footnote w:id="32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57.369/3 van 6 mei 2015</w:t>
      </w:r>
      <w:r>
        <w:rPr>
          <w:rFonts w:cs="Times New Roman"/>
        </w:rPr>
        <w:t>, nr. 4.1</w:t>
      </w:r>
      <w:r w:rsidRPr="00023088">
        <w:rPr>
          <w:rFonts w:cs="Times New Roman"/>
        </w:rPr>
        <w:t>.</w:t>
      </w:r>
    </w:p>
  </w:footnote>
  <w:footnote w:id="325">
    <w:p w:rsidR="005C6007" w:rsidRPr="008B1EA4" w:rsidRDefault="005C6007" w:rsidP="008B1EA4">
      <w:pPr>
        <w:pStyle w:val="Voetnoottekst"/>
        <w:rPr>
          <w:rFonts w:cs="Times New Roman"/>
        </w:rPr>
      </w:pPr>
      <w:r w:rsidRPr="008B1EA4">
        <w:rPr>
          <w:rStyle w:val="Voetnootmarkering"/>
          <w:rFonts w:cs="Times New Roman"/>
        </w:rPr>
        <w:footnoteRef/>
      </w:r>
      <w:r w:rsidRPr="00262AA8">
        <w:t xml:space="preserve"> Adv.RvS 59.147/3 van 22 april 2016,</w:t>
      </w:r>
      <w:r>
        <w:rPr>
          <w:rFonts w:cs="Times New Roman"/>
        </w:rPr>
        <w:t>nr. 18</w:t>
      </w:r>
      <w:r w:rsidRPr="008B1EA4">
        <w:rPr>
          <w:rFonts w:cs="Times New Roman"/>
        </w:rPr>
        <w:t>.</w:t>
      </w:r>
    </w:p>
  </w:footnote>
  <w:footnote w:id="32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sidRPr="00CE11CC">
        <w:rPr>
          <w:rFonts w:cs="Times New Roman"/>
          <w:i/>
        </w:rPr>
        <w:t>Ibid</w:t>
      </w:r>
      <w:r w:rsidR="00CE11CC">
        <w:rPr>
          <w:rFonts w:cs="Times New Roman"/>
          <w:i/>
        </w:rPr>
        <w:t>.</w:t>
      </w:r>
    </w:p>
  </w:footnote>
  <w:footnote w:id="32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57.792/</w:t>
      </w:r>
      <w:r>
        <w:rPr>
          <w:rFonts w:cs="Times New Roman"/>
        </w:rPr>
        <w:t>1/V</w:t>
      </w:r>
      <w:r w:rsidRPr="008B1EA4">
        <w:rPr>
          <w:rFonts w:cs="Times New Roman"/>
        </w:rPr>
        <w:t xml:space="preserve"> van 23 september 2015, </w:t>
      </w:r>
      <w:r>
        <w:rPr>
          <w:rFonts w:cs="Times New Roman"/>
        </w:rPr>
        <w:t>nrs. 18-23</w:t>
      </w:r>
      <w:r w:rsidRPr="008B1EA4">
        <w:rPr>
          <w:rFonts w:cs="Times New Roman"/>
        </w:rPr>
        <w:t>.</w:t>
      </w:r>
    </w:p>
  </w:footnote>
  <w:footnote w:id="32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57.882/1/V van 14 september 2015,</w:t>
      </w:r>
      <w:r>
        <w:rPr>
          <w:rFonts w:cs="Times New Roman"/>
        </w:rPr>
        <w:t xml:space="preserve"> nr. 15</w:t>
      </w:r>
      <w:r w:rsidRPr="008B1EA4">
        <w:rPr>
          <w:rFonts w:cs="Times New Roman"/>
        </w:rPr>
        <w:t>.</w:t>
      </w:r>
    </w:p>
  </w:footnote>
  <w:footnote w:id="329">
    <w:p w:rsidR="005C6007" w:rsidRPr="00262AA8" w:rsidRDefault="005C6007" w:rsidP="008B1EA4">
      <w:pPr>
        <w:pStyle w:val="Voetnoottekst"/>
        <w:rPr>
          <w:rFonts w:cs="Times New Roman"/>
        </w:rPr>
      </w:pPr>
      <w:r w:rsidRPr="008B1EA4">
        <w:rPr>
          <w:rStyle w:val="Voetnootmarkering"/>
          <w:rFonts w:cs="Times New Roman"/>
        </w:rPr>
        <w:footnoteRef/>
      </w:r>
      <w:r w:rsidRPr="00262AA8">
        <w:t xml:space="preserve"> Adv.RvS 57.193/1 van 1 april 2015,</w:t>
      </w:r>
      <w:r w:rsidRPr="00312DCC">
        <w:t xml:space="preserve"> nr. 7</w:t>
      </w:r>
      <w:r w:rsidRPr="00262AA8">
        <w:t>.</w:t>
      </w:r>
    </w:p>
  </w:footnote>
  <w:footnote w:id="330">
    <w:p w:rsidR="005C6007" w:rsidRPr="00BC0983"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57.882/1/V van 14 september 2015,</w:t>
      </w:r>
      <w:r>
        <w:rPr>
          <w:rFonts w:cs="Times New Roman"/>
        </w:rPr>
        <w:t xml:space="preserve"> nr. 19</w:t>
      </w:r>
      <w:r w:rsidRPr="008B1EA4">
        <w:rPr>
          <w:rFonts w:cs="Times New Roman"/>
        </w:rPr>
        <w:t xml:space="preserve">. </w:t>
      </w:r>
      <w:r>
        <w:rPr>
          <w:rFonts w:cs="Times New Roman"/>
        </w:rPr>
        <w:t xml:space="preserve">Zie ook: D. </w:t>
      </w:r>
      <w:r w:rsidRPr="00CD53C6">
        <w:rPr>
          <w:rFonts w:cs="Times New Roman"/>
          <w:smallCaps/>
        </w:rPr>
        <w:t>Van Eeckhoutte</w:t>
      </w:r>
      <w:r>
        <w:rPr>
          <w:rFonts w:cs="Times New Roman"/>
        </w:rPr>
        <w:t xml:space="preserve">, “Wetgever mag afwijken van rechterlijke tussenkomst bij gedwongen uitvoering van bestuurshandelingen. Geen oprustestelling van privilège d’exécution d’office”, </w:t>
      </w:r>
      <w:r>
        <w:rPr>
          <w:rFonts w:cs="Times New Roman"/>
          <w:i/>
        </w:rPr>
        <w:t xml:space="preserve">Juristenkrant </w:t>
      </w:r>
      <w:r>
        <w:rPr>
          <w:rFonts w:cs="Times New Roman"/>
        </w:rPr>
        <w:t>2010, afl. 201, 5.</w:t>
      </w:r>
    </w:p>
  </w:footnote>
  <w:footnote w:id="33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60.634/3 van 25 januari 2017</w:t>
      </w:r>
      <w:r>
        <w:rPr>
          <w:rFonts w:cs="Times New Roman"/>
        </w:rPr>
        <w:t>, nr. 17</w:t>
      </w:r>
      <w:r w:rsidRPr="008B1EA4">
        <w:rPr>
          <w:rFonts w:cs="Times New Roman"/>
        </w:rPr>
        <w:t>.</w:t>
      </w:r>
    </w:p>
  </w:footnote>
  <w:footnote w:id="33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bv. nr. </w:t>
      </w:r>
      <w:r w:rsidRPr="00CD53C6">
        <w:rPr>
          <w:rFonts w:cs="Times New Roman"/>
          <w:highlight w:val="yellow"/>
        </w:rPr>
        <w:t>25</w:t>
      </w:r>
      <w:r w:rsidRPr="008B1EA4">
        <w:rPr>
          <w:rFonts w:cs="Times New Roman"/>
        </w:rPr>
        <w:t xml:space="preserve">; kroniek 2013-14, nrs. 71 e.v.; kroniek 2011-12, nrs. 62 e.v.; kroniek 2010-09, nrs. 57 e.v. en kroniek 2008-07, nrs. 16 e.v. </w:t>
      </w:r>
    </w:p>
  </w:footnote>
  <w:footnote w:id="33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P. </w:t>
      </w:r>
      <w:r w:rsidRPr="008B1EA4">
        <w:rPr>
          <w:rFonts w:cs="Times New Roman"/>
          <w:smallCaps/>
        </w:rPr>
        <w:t>Popelier</w:t>
      </w:r>
      <w:r w:rsidRPr="008B1EA4">
        <w:rPr>
          <w:rFonts w:cs="Times New Roman"/>
        </w:rPr>
        <w:t xml:space="preserve">, </w:t>
      </w:r>
      <w:r w:rsidRPr="008B1EA4">
        <w:rPr>
          <w:rFonts w:cs="Times New Roman"/>
          <w:i/>
        </w:rPr>
        <w:t>Rechtszekerheid als beginsel voor behoorlijke regelgeving</w:t>
      </w:r>
      <w:r w:rsidRPr="008B1EA4">
        <w:rPr>
          <w:rFonts w:cs="Times New Roman"/>
        </w:rPr>
        <w:t xml:space="preserve">, Antwerpen, Intersentia, 1997, p. 512, nr. 551; D. </w:t>
      </w:r>
      <w:r w:rsidRPr="008B1EA4">
        <w:rPr>
          <w:rFonts w:cs="Times New Roman"/>
          <w:smallCaps/>
        </w:rPr>
        <w:t>Van Eeckhoutte</w:t>
      </w:r>
      <w:r w:rsidRPr="008B1EA4">
        <w:rPr>
          <w:rFonts w:cs="Times New Roman"/>
        </w:rPr>
        <w:t xml:space="preserve">, </w:t>
      </w:r>
      <w:r>
        <w:rPr>
          <w:rFonts w:cs="Times New Roman"/>
        </w:rPr>
        <w:t>“</w:t>
      </w:r>
      <w:r w:rsidRPr="008B1EA4">
        <w:rPr>
          <w:rFonts w:cs="Times New Roman"/>
        </w:rPr>
        <w:t>Bekendmaking van verdragen: voorstel tot genezing van een zieke</w:t>
      </w:r>
      <w:r>
        <w:rPr>
          <w:rFonts w:cs="Times New Roman"/>
        </w:rPr>
        <w:t>”</w:t>
      </w:r>
      <w:r w:rsidRPr="008B1EA4">
        <w:rPr>
          <w:rFonts w:cs="Times New Roman"/>
        </w:rPr>
        <w:t xml:space="preserve"> </w:t>
      </w:r>
      <w:r w:rsidRPr="008B1EA4">
        <w:rPr>
          <w:rFonts w:cs="Times New Roman"/>
          <w:i/>
        </w:rPr>
        <w:t>TvW</w:t>
      </w:r>
      <w:r w:rsidRPr="008B1EA4">
        <w:rPr>
          <w:rFonts w:cs="Times New Roman"/>
        </w:rPr>
        <w:t xml:space="preserve"> 2002, (3), 29.</w:t>
      </w:r>
    </w:p>
  </w:footnote>
  <w:footnote w:id="33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Voor enkele </w:t>
      </w:r>
      <w:r>
        <w:rPr>
          <w:rFonts w:cs="Times New Roman"/>
        </w:rPr>
        <w:t>opmerkingen over dat laatste thema</w:t>
      </w:r>
      <w:r w:rsidRPr="008B1EA4">
        <w:rPr>
          <w:rFonts w:cs="Times New Roman"/>
        </w:rPr>
        <w:t xml:space="preserve">, zie adv.RvS 57.108/VR van 10 maart 2015, nr. 5; adv.RvS 59.537/3 van 7 juli 2016, nr. 4 (geëigende, bijzondere bekendmakingsregeling voor regels van afgeleid internationaal recht, respectievelijk van een technische normen); adv.RvS 57.301/1 van 10 april 2015, nr. 3; adv.RvS 57.970/VR van 6 oktober 2015, nrs. 2 en 3 (inpassen in de Vlaamse regeling van voorwaardelijke, voorafgaande instemming met vereenvoudigde verdragswijzigingen); adv.RvS 59.332/1 van 26 mei 2016, nr. 29; adv.RvS 59.291/3 van 19 mei 2016, nr. 5 (verwijzing naar een internationale verdragsbepaling, respectievelijk internationale aanbeveling vervangen door een omzetting ervan); adv.RvS. 58.987/VR van 1 april 2016, nr. 8 (bekendmaking van de internationale normen waarnaar verwezen in een verdrag verwezen wordt, samen het verdrag). </w:t>
      </w:r>
    </w:p>
  </w:footnote>
  <w:footnote w:id="33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ook adv.RvS 59.332/1 van 26 mei 2016, nr. 29.</w:t>
      </w:r>
    </w:p>
  </w:footnote>
  <w:footnote w:id="33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60.413/3 van 7 december 2016, nr. 6.</w:t>
      </w:r>
    </w:p>
  </w:footnote>
  <w:footnote w:id="33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Corr. Brugge 9 december 2008, O.M./Claessen e.a., nr. 2565, </w:t>
      </w:r>
      <w:r w:rsidRPr="008B1EA4">
        <w:rPr>
          <w:rFonts w:cs="Times New Roman"/>
          <w:i/>
        </w:rPr>
        <w:t>onuitg</w:t>
      </w:r>
      <w:r w:rsidRPr="008B1EA4">
        <w:rPr>
          <w:rFonts w:cs="Times New Roman"/>
        </w:rPr>
        <w:t xml:space="preserve">., hervormd door Gent 11 juni 2010, O.M./G.C. e.a., </w:t>
      </w:r>
      <w:r w:rsidRPr="008B1EA4">
        <w:rPr>
          <w:rFonts w:cs="Times New Roman"/>
          <w:i/>
        </w:rPr>
        <w:t xml:space="preserve">TMR </w:t>
      </w:r>
      <w:r w:rsidRPr="008B1EA4">
        <w:rPr>
          <w:rFonts w:cs="Times New Roman"/>
        </w:rPr>
        <w:t>2010, 275.</w:t>
      </w:r>
    </w:p>
  </w:footnote>
  <w:footnote w:id="33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60.479/VR van 27 januari 2017, nr. 4 (uitdrukkelijk); adv.RvS 57.108/VR van 10 maart 2015, nr. 5 (impliciet).</w:t>
      </w:r>
    </w:p>
  </w:footnote>
  <w:footnote w:id="33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Omdat hiermee wordt afgewe</w:t>
      </w:r>
      <w:r>
        <w:rPr>
          <w:rFonts w:cs="Times New Roman"/>
        </w:rPr>
        <w:t>k</w:t>
      </w:r>
      <w:r w:rsidRPr="008B1EA4">
        <w:rPr>
          <w:rFonts w:cs="Times New Roman"/>
        </w:rPr>
        <w:t xml:space="preserve">en van art. 8 van de wet van 31 mei 1961 </w:t>
      </w:r>
      <w:r>
        <w:rPr>
          <w:rFonts w:cs="Times New Roman"/>
        </w:rPr>
        <w:t>‘</w:t>
      </w:r>
      <w:r w:rsidRPr="008B1EA4">
        <w:rPr>
          <w:rFonts w:cs="Times New Roman"/>
        </w:rPr>
        <w:t>betreffende het gebruik der talen in wetgevingszaken, het opmaken, bekendmaken en inwerkingtreden van wetten en verordeningen</w:t>
      </w:r>
      <w:r>
        <w:rPr>
          <w:rFonts w:cs="Times New Roman"/>
        </w:rPr>
        <w:t>’</w:t>
      </w:r>
      <w:r w:rsidRPr="008B1EA4">
        <w:rPr>
          <w:rFonts w:cs="Times New Roman"/>
        </w:rPr>
        <w:t>.</w:t>
      </w:r>
    </w:p>
  </w:footnote>
  <w:footnote w:id="34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sidRPr="008B1EA4">
        <w:rPr>
          <w:rFonts w:cs="Times New Roman"/>
          <w:lang w:val="nl-NL"/>
        </w:rPr>
        <w:t xml:space="preserve">Omdat wordt afgeweken van art. 55 BWHI en art. 33 </w:t>
      </w:r>
      <w:r>
        <w:rPr>
          <w:rFonts w:cs="Times New Roman"/>
          <w:lang w:val="nl-NL"/>
        </w:rPr>
        <w:t>BWBI</w:t>
      </w:r>
      <w:r w:rsidRPr="008B1EA4">
        <w:rPr>
          <w:rFonts w:cs="Times New Roman"/>
          <w:lang w:val="nl-NL"/>
        </w:rPr>
        <w:t>. Een gewone wet volstaat dan weer voor een bijzondere bekendmakingsregeling voor de Duitstalige Gemeenschap, zie art. 47 Wet D.Gem.</w:t>
      </w:r>
    </w:p>
  </w:footnote>
  <w:footnote w:id="34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Althans in de veronderstelling dat de bijzondere bekendmakingsregeling beantwoordt aan de essentiële randvoorwaarden op het gebied van toegankelijkheid, kenbaarheid, rechtszekerheid en gelijkheid van een officiële bekendmaking zoals dit o.m. tot uitdrukking wordt gebracht in art. 190 van de Grondwet (bv. RvS nr. 60.413/3 van 7 december 2016, nr. 6 en adv.RvS 57.108/VR van 10 maart 2015, nr. 5). </w:t>
      </w:r>
    </w:p>
  </w:footnote>
  <w:footnote w:id="34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60.834/VR van 23 februari 2017, nr. 5.</w:t>
      </w:r>
    </w:p>
  </w:footnote>
  <w:footnote w:id="343">
    <w:p w:rsidR="005C6007" w:rsidRPr="0009281C"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57.371/VR van 15 juni 2015, nrs. 26.</w:t>
      </w:r>
    </w:p>
  </w:footnote>
  <w:footnote w:id="34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58.734/3 van 20 januari 2016, nr. 8.</w:t>
      </w:r>
    </w:p>
  </w:footnote>
  <w:footnote w:id="34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59.038/1 van 30 maart 2016, nr. 11 en adv.RvS 58.716/1 van 30 maart 2016, nr. 12.</w:t>
      </w:r>
    </w:p>
  </w:footnote>
  <w:footnote w:id="34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57.249/3 van 7 april 2015, </w:t>
      </w:r>
      <w:r>
        <w:rPr>
          <w:rFonts w:cs="Times New Roman"/>
        </w:rPr>
        <w:t>nr.</w:t>
      </w:r>
      <w:r w:rsidRPr="008B1EA4">
        <w:rPr>
          <w:rFonts w:cs="Times New Roman"/>
        </w:rPr>
        <w:t xml:space="preserve"> 6.</w:t>
      </w:r>
    </w:p>
  </w:footnote>
  <w:footnote w:id="34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59.085/3 van 7 april 2016, </w:t>
      </w:r>
      <w:r>
        <w:rPr>
          <w:rFonts w:cs="Times New Roman"/>
        </w:rPr>
        <w:t>nr.</w:t>
      </w:r>
      <w:r w:rsidRPr="008B1EA4">
        <w:rPr>
          <w:rFonts w:cs="Times New Roman"/>
        </w:rPr>
        <w:t xml:space="preserve"> 6.</w:t>
      </w:r>
    </w:p>
  </w:footnote>
  <w:footnote w:id="34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58.178/4 van 5 oktober 2015, opmerking bij artikel 10.</w:t>
      </w:r>
    </w:p>
  </w:footnote>
  <w:footnote w:id="34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57.580/3 van 25 juni 2015, </w:t>
      </w:r>
      <w:r>
        <w:rPr>
          <w:rFonts w:cs="Times New Roman"/>
        </w:rPr>
        <w:t>nr.</w:t>
      </w:r>
      <w:r w:rsidRPr="008B1EA4">
        <w:rPr>
          <w:rFonts w:cs="Times New Roman"/>
        </w:rPr>
        <w:t xml:space="preserve"> 4</w:t>
      </w:r>
      <w:r w:rsidRPr="00CD53C6">
        <w:rPr>
          <w:rFonts w:cs="Times New Roman"/>
        </w:rPr>
        <w:t>.</w:t>
      </w:r>
    </w:p>
  </w:footnote>
  <w:footnote w:id="35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57.095/VR van 27 april 2015, </w:t>
      </w:r>
      <w:r>
        <w:rPr>
          <w:rFonts w:cs="Times New Roman"/>
        </w:rPr>
        <w:t>nr.</w:t>
      </w:r>
      <w:r w:rsidRPr="008B1EA4">
        <w:rPr>
          <w:rFonts w:cs="Times New Roman"/>
        </w:rPr>
        <w:t xml:space="preserve"> 9</w:t>
      </w:r>
      <w:r w:rsidRPr="0041458C">
        <w:rPr>
          <w:rFonts w:cs="Times New Roman"/>
        </w:rPr>
        <w:t>.</w:t>
      </w:r>
    </w:p>
  </w:footnote>
  <w:footnote w:id="35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58.258/3 van 28 oktober 2015, </w:t>
      </w:r>
      <w:r>
        <w:rPr>
          <w:rFonts w:cs="Times New Roman"/>
        </w:rPr>
        <w:t>nrs.</w:t>
      </w:r>
      <w:r w:rsidRPr="008B1EA4">
        <w:rPr>
          <w:rFonts w:cs="Times New Roman"/>
        </w:rPr>
        <w:t xml:space="preserve"> 5.1 tot 5.5 (zie ook </w:t>
      </w:r>
      <w:r w:rsidRPr="008B1EA4">
        <w:rPr>
          <w:rFonts w:cs="Times New Roman"/>
          <w:i/>
        </w:rPr>
        <w:t>TvW</w:t>
      </w:r>
      <w:r w:rsidRPr="008B1EA4">
        <w:rPr>
          <w:rFonts w:cs="Times New Roman"/>
        </w:rPr>
        <w:t xml:space="preserve"> 2016, 94-98). Zie ook adv.RvS 58.344/3 van 8 februari 2016, </w:t>
      </w:r>
      <w:r>
        <w:rPr>
          <w:rFonts w:cs="Times New Roman"/>
        </w:rPr>
        <w:t xml:space="preserve">nr. </w:t>
      </w:r>
      <w:r w:rsidRPr="008B1EA4">
        <w:rPr>
          <w:rFonts w:cs="Times New Roman"/>
        </w:rPr>
        <w:t xml:space="preserve">8 en adv.RvS 58.592/3 van 24 december 2015, </w:t>
      </w:r>
      <w:r>
        <w:rPr>
          <w:rFonts w:cs="Times New Roman"/>
        </w:rPr>
        <w:t>nr.</w:t>
      </w:r>
      <w:r w:rsidRPr="008B1EA4">
        <w:rPr>
          <w:rFonts w:cs="Times New Roman"/>
        </w:rPr>
        <w:t xml:space="preserve"> 9.</w:t>
      </w:r>
    </w:p>
  </w:footnote>
  <w:footnote w:id="35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57.163/3 van 23 maart 2015</w:t>
      </w:r>
      <w:r>
        <w:rPr>
          <w:rFonts w:cs="Times New Roman"/>
        </w:rPr>
        <w:t>, nr. 19</w:t>
      </w:r>
      <w:r w:rsidRPr="008B1EA4">
        <w:rPr>
          <w:rFonts w:cs="Times New Roman"/>
        </w:rPr>
        <w:t>.</w:t>
      </w:r>
    </w:p>
  </w:footnote>
  <w:footnote w:id="35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Vaste rechtspraak van het Grondwettelijk Hof, zie o.m.: GwH 21 november 2013, nr. 158/2013, B.24.2; GwH 19 december 2013, nr. 172/2013, B.22; GwH 29 januari 2014, nr. 18/2014, B.10; GwH 9 oktober 2014, nr. 146/2014, B.10.1; GwH 22 januari 2015, nr. 1/2015, B.4.</w:t>
      </w:r>
    </w:p>
  </w:footnote>
  <w:footnote w:id="35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Vaste rechtspraak van het Grondwettelijk Hof. Zie bv. GwH 21 november 2013, nr. 158/2013, B.24.2; GwH 9 oktober 2014, nr. 146/2014, B.10.1. Vgl. GwH 13 juni 2013, nr. 87/2013, B.7 (waar de term </w:t>
      </w:r>
      <w:r>
        <w:rPr>
          <w:rFonts w:cs="Times New Roman"/>
        </w:rPr>
        <w:t>“</w:t>
      </w:r>
      <w:r w:rsidRPr="008B1EA4">
        <w:rPr>
          <w:rFonts w:cs="Times New Roman"/>
        </w:rPr>
        <w:t>buitengewone</w:t>
      </w:r>
      <w:r>
        <w:rPr>
          <w:rFonts w:cs="Times New Roman"/>
        </w:rPr>
        <w:t>”</w:t>
      </w:r>
      <w:r w:rsidRPr="008B1EA4">
        <w:rPr>
          <w:rFonts w:cs="Times New Roman"/>
        </w:rPr>
        <w:t xml:space="preserve"> in plaats van </w:t>
      </w:r>
      <w:r>
        <w:rPr>
          <w:rFonts w:cs="Times New Roman"/>
        </w:rPr>
        <w:t>“</w:t>
      </w:r>
      <w:r w:rsidRPr="008B1EA4">
        <w:rPr>
          <w:rFonts w:cs="Times New Roman"/>
        </w:rPr>
        <w:t>uitzonderlijke</w:t>
      </w:r>
      <w:r>
        <w:rPr>
          <w:rFonts w:cs="Times New Roman"/>
        </w:rPr>
        <w:t>”</w:t>
      </w:r>
      <w:r w:rsidRPr="008B1EA4">
        <w:rPr>
          <w:rFonts w:cs="Times New Roman"/>
        </w:rPr>
        <w:t xml:space="preserve"> is gehanteerd).</w:t>
      </w:r>
    </w:p>
  </w:footnote>
  <w:footnote w:id="35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56.944/3 van 21 januari 2015</w:t>
      </w:r>
      <w:r>
        <w:rPr>
          <w:rFonts w:cs="Times New Roman"/>
        </w:rPr>
        <w:t>, nr. 4</w:t>
      </w:r>
      <w:r w:rsidRPr="008B1EA4">
        <w:rPr>
          <w:rFonts w:cs="Times New Roman"/>
        </w:rPr>
        <w:t>.</w:t>
      </w:r>
    </w:p>
  </w:footnote>
  <w:footnote w:id="35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56.944/3 van 21 januari 2015</w:t>
      </w:r>
      <w:r>
        <w:rPr>
          <w:rFonts w:cs="Times New Roman"/>
        </w:rPr>
        <w:t>, nr. 4</w:t>
      </w:r>
      <w:r w:rsidRPr="008B1EA4">
        <w:rPr>
          <w:rFonts w:cs="Times New Roman"/>
        </w:rPr>
        <w:t>.</w:t>
      </w:r>
    </w:p>
  </w:footnote>
  <w:footnote w:id="35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Vaste rechtspraak van het Grondwettelijk Hof, zie o.m.: GwH 21 november 2013, nr. 158/2013, B.24.2; GwH 19 december 2013, nr. 172/2013, B.22; GwH 29 januari 2014, nr. 18/2014, B.10; GwH 9 oktober 2014, nr. 146/2014, B.10.1; GwH 22 januari 2015, nr. 1/2015, B.4; GwH 7 mei 2015, nr. 54/2015, B.12.</w:t>
      </w:r>
    </w:p>
  </w:footnote>
  <w:footnote w:id="35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GwH 7 mei 2015, nr. 54/2015, B.11.1.</w:t>
      </w:r>
    </w:p>
  </w:footnote>
  <w:footnote w:id="35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 59.695/1/V van 29 juli 2016</w:t>
      </w:r>
      <w:r>
        <w:rPr>
          <w:rFonts w:cs="Times New Roman"/>
        </w:rPr>
        <w:t>, nr. 9.1</w:t>
      </w:r>
      <w:r w:rsidRPr="008B1EA4">
        <w:rPr>
          <w:rFonts w:cs="Times New Roman"/>
        </w:rPr>
        <w:t>.</w:t>
      </w:r>
    </w:p>
  </w:footnote>
  <w:footnote w:id="36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 59.695/1/V van 29 juli 2016</w:t>
      </w:r>
      <w:r>
        <w:rPr>
          <w:rFonts w:cs="Times New Roman"/>
        </w:rPr>
        <w:t>, nr. 9.2</w:t>
      </w:r>
      <w:r w:rsidRPr="008B1EA4">
        <w:rPr>
          <w:rFonts w:cs="Times New Roman"/>
        </w:rPr>
        <w:t xml:space="preserve">. </w:t>
      </w:r>
    </w:p>
  </w:footnote>
  <w:footnote w:id="361">
    <w:p w:rsidR="005C6007" w:rsidRPr="00262AA8"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w:t>
      </w:r>
      <w:r>
        <w:rPr>
          <w:rFonts w:cs="Times New Roman"/>
        </w:rPr>
        <w:t>Adv.RvS 59.380/1/2/3/4 van 13 mei 2016, tweede opmerking bij de artikelen 48 en 49.</w:t>
      </w:r>
      <w:r w:rsidRPr="00262AA8">
        <w:t>.</w:t>
      </w:r>
    </w:p>
  </w:footnote>
  <w:footnote w:id="362">
    <w:p w:rsidR="005C6007" w:rsidRPr="008B1EA4" w:rsidRDefault="005C6007" w:rsidP="005E1FDB">
      <w:pPr>
        <w:pStyle w:val="Voetnoottekst"/>
        <w:rPr>
          <w:rFonts w:cs="Times New Roman"/>
        </w:rPr>
      </w:pPr>
      <w:r w:rsidRPr="008B1EA4">
        <w:rPr>
          <w:rStyle w:val="Voetnootmarkering"/>
          <w:rFonts w:cs="Times New Roman"/>
        </w:rPr>
        <w:footnoteRef/>
      </w:r>
      <w:r w:rsidRPr="008B1EA4">
        <w:rPr>
          <w:rFonts w:cs="Times New Roman"/>
        </w:rPr>
        <w:t xml:space="preserve"> Adv.RvS 60.496/3 van 16 december 2016</w:t>
      </w:r>
      <w:r>
        <w:rPr>
          <w:rFonts w:cs="Times New Roman"/>
        </w:rPr>
        <w:t>, nr. 7</w:t>
      </w:r>
      <w:r w:rsidRPr="008B1EA4">
        <w:rPr>
          <w:rFonts w:cs="Times New Roman"/>
        </w:rPr>
        <w:t>.</w:t>
      </w:r>
    </w:p>
  </w:footnote>
  <w:footnote w:id="363">
    <w:p w:rsidR="005C6007" w:rsidRPr="008B1EA4" w:rsidRDefault="005C6007" w:rsidP="005E1FDB">
      <w:pPr>
        <w:pStyle w:val="Voetnoottekst"/>
        <w:rPr>
          <w:rFonts w:cs="Times New Roman"/>
        </w:rPr>
      </w:pPr>
      <w:r w:rsidRPr="008B1EA4">
        <w:rPr>
          <w:rStyle w:val="Voetnootmarkering"/>
          <w:rFonts w:cs="Times New Roman"/>
        </w:rPr>
        <w:footnoteRef/>
      </w:r>
      <w:r w:rsidRPr="008B1EA4">
        <w:rPr>
          <w:rFonts w:cs="Times New Roman"/>
        </w:rPr>
        <w:t xml:space="preserve"> Adv.RvS 59.291/3 van 19 mei 2016</w:t>
      </w:r>
      <w:r>
        <w:rPr>
          <w:rFonts w:cs="Times New Roman"/>
        </w:rPr>
        <w:t>, nr. 6.2</w:t>
      </w:r>
      <w:r w:rsidRPr="008B1EA4">
        <w:rPr>
          <w:rFonts w:cs="Times New Roman"/>
        </w:rPr>
        <w:t>.</w:t>
      </w:r>
      <w:r>
        <w:rPr>
          <w:rFonts w:cs="Times New Roman"/>
        </w:rPr>
        <w:t xml:space="preserve"> Zie ook kroniek 2013-14, nr. 84.</w:t>
      </w:r>
    </w:p>
  </w:footnote>
  <w:footnote w:id="36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57.524/1 </w:t>
      </w:r>
      <w:r>
        <w:rPr>
          <w:rFonts w:cs="Times New Roman"/>
        </w:rPr>
        <w:t xml:space="preserve">en 57.525/1 </w:t>
      </w:r>
      <w:r w:rsidRPr="008B1EA4">
        <w:rPr>
          <w:rFonts w:cs="Times New Roman"/>
        </w:rPr>
        <w:t>van 12 juni 2015</w:t>
      </w:r>
      <w:r>
        <w:rPr>
          <w:rFonts w:cs="Times New Roman"/>
        </w:rPr>
        <w:t>, nr. 8</w:t>
      </w:r>
      <w:r w:rsidRPr="008B1EA4">
        <w:rPr>
          <w:rFonts w:cs="Times New Roman"/>
        </w:rPr>
        <w:t>.</w:t>
      </w:r>
    </w:p>
  </w:footnote>
  <w:footnote w:id="36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59.086/VR</w:t>
      </w:r>
      <w:r>
        <w:rPr>
          <w:rFonts w:cs="Times New Roman"/>
        </w:rPr>
        <w:t>/</w:t>
      </w:r>
      <w:r w:rsidRPr="008B1EA4">
        <w:rPr>
          <w:rFonts w:cs="Times New Roman"/>
        </w:rPr>
        <w:t>3 van 25 april 2016</w:t>
      </w:r>
      <w:r>
        <w:rPr>
          <w:rFonts w:cs="Times New Roman"/>
        </w:rPr>
        <w:t>, nr. 12</w:t>
      </w:r>
      <w:r w:rsidRPr="008B1EA4">
        <w:rPr>
          <w:rFonts w:cs="Times New Roman"/>
        </w:rPr>
        <w:t>.</w:t>
      </w:r>
    </w:p>
  </w:footnote>
  <w:footnote w:id="36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57.823/1/V van 18 augustus 2015</w:t>
      </w:r>
      <w:r>
        <w:rPr>
          <w:rFonts w:cs="Times New Roman"/>
        </w:rPr>
        <w:t>, nr. 6</w:t>
      </w:r>
      <w:r w:rsidRPr="008B1EA4">
        <w:rPr>
          <w:rFonts w:cs="Times New Roman"/>
        </w:rPr>
        <w:t>.</w:t>
      </w:r>
    </w:p>
  </w:footnote>
  <w:footnote w:id="36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59.951/VR/1/V van 28 september 2016</w:t>
      </w:r>
      <w:r>
        <w:rPr>
          <w:rFonts w:cs="Times New Roman"/>
        </w:rPr>
        <w:t>, nr. 9</w:t>
      </w:r>
      <w:r w:rsidRPr="008B1EA4">
        <w:rPr>
          <w:rFonts w:cs="Times New Roman"/>
        </w:rPr>
        <w:t>.</w:t>
      </w:r>
    </w:p>
  </w:footnote>
  <w:footnote w:id="368">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Zie kroniek 2013 en 2014, nr. 60 (</w:t>
      </w:r>
      <w:r>
        <w:rPr>
          <w:rFonts w:cs="Times New Roman"/>
        </w:rPr>
        <w:t>a</w:t>
      </w:r>
      <w:r w:rsidRPr="008B1EA4">
        <w:rPr>
          <w:rFonts w:cs="Times New Roman"/>
        </w:rPr>
        <w:t>dv.RvS 56.736/3 van 23 oktober 2014).</w:t>
      </w:r>
    </w:p>
  </w:footnote>
  <w:footnote w:id="36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Bv. omdat de werken op die datum nog niet waren afgerond of de aannemer de factuur niet tijdig had bezorgd.</w:t>
      </w:r>
    </w:p>
  </w:footnote>
  <w:footnote w:id="37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nr. 58.258/3 van 28 oktober 2015</w:t>
      </w:r>
      <w:r>
        <w:rPr>
          <w:rFonts w:cs="Times New Roman"/>
        </w:rPr>
        <w:t>, nr. 5</w:t>
      </w:r>
      <w:r w:rsidRPr="008B1EA4">
        <w:rPr>
          <w:rFonts w:cs="Times New Roman"/>
        </w:rPr>
        <w:t>.</w:t>
      </w:r>
    </w:p>
  </w:footnote>
  <w:footnote w:id="37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60.611/VR</w:t>
      </w:r>
      <w:r>
        <w:rPr>
          <w:rFonts w:cs="Times New Roman"/>
        </w:rPr>
        <w:t xml:space="preserve"> van 17 januari 2017</w:t>
      </w:r>
      <w:r w:rsidRPr="008B1EA4">
        <w:rPr>
          <w:rFonts w:cs="Times New Roman"/>
        </w:rPr>
        <w:t xml:space="preserve">, </w:t>
      </w:r>
      <w:r>
        <w:rPr>
          <w:rFonts w:cs="Times New Roman"/>
        </w:rPr>
        <w:t>nr.</w:t>
      </w:r>
      <w:r w:rsidRPr="008B1EA4">
        <w:rPr>
          <w:rFonts w:cs="Times New Roman"/>
        </w:rPr>
        <w:t xml:space="preserve"> 3 (richtlijn laat slechts mogelijkheid, geen verplichting, om bepaalde vreemdelingen anders te behandelen). Een heel complexe en gevoelige realiteit gaat ook schuil achter de vraag om de keuzes die gemaakt werden bij het afbakenen van de beschermde poldergraslanden te verantwoorden (adv.RvS 58.253/1</w:t>
      </w:r>
      <w:r>
        <w:rPr>
          <w:rFonts w:cs="Times New Roman"/>
        </w:rPr>
        <w:t xml:space="preserve"> van 5 november 2015</w:t>
      </w:r>
      <w:r w:rsidRPr="008B1EA4">
        <w:rPr>
          <w:rFonts w:cs="Times New Roman"/>
        </w:rPr>
        <w:t xml:space="preserve">, </w:t>
      </w:r>
      <w:r>
        <w:rPr>
          <w:rFonts w:cs="Times New Roman"/>
        </w:rPr>
        <w:t>nr.</w:t>
      </w:r>
      <w:r w:rsidRPr="008B1EA4">
        <w:rPr>
          <w:rFonts w:cs="Times New Roman"/>
        </w:rPr>
        <w:t xml:space="preserve"> 2.2).</w:t>
      </w:r>
    </w:p>
  </w:footnote>
  <w:footnote w:id="37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59.673/1/V</w:t>
      </w:r>
      <w:r w:rsidRPr="00CD53C6">
        <w:rPr>
          <w:rFonts w:cs="Times New Roman"/>
        </w:rPr>
        <w:t xml:space="preserve"> van 29 juli 2016</w:t>
      </w:r>
      <w:r w:rsidRPr="008B1EA4">
        <w:rPr>
          <w:rFonts w:cs="Times New Roman"/>
        </w:rPr>
        <w:t xml:space="preserve">, </w:t>
      </w:r>
      <w:r>
        <w:rPr>
          <w:rFonts w:cs="Times New Roman"/>
        </w:rPr>
        <w:t>nr.</w:t>
      </w:r>
      <w:r w:rsidRPr="008B1EA4">
        <w:rPr>
          <w:rFonts w:cs="Times New Roman"/>
        </w:rPr>
        <w:t xml:space="preserve"> 13 (uitbreiding tot </w:t>
      </w:r>
      <w:r>
        <w:rPr>
          <w:rFonts w:cs="Times New Roman"/>
        </w:rPr>
        <w:t xml:space="preserve">louter </w:t>
      </w:r>
      <w:r w:rsidRPr="008B1EA4">
        <w:rPr>
          <w:rFonts w:cs="Times New Roman"/>
        </w:rPr>
        <w:t>interne situaties buiten het toepassingsgebied van de detacheringsrichtlijn).</w:t>
      </w:r>
    </w:p>
  </w:footnote>
  <w:footnote w:id="37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60.504/3</w:t>
      </w:r>
      <w:r>
        <w:rPr>
          <w:rFonts w:cs="Times New Roman"/>
        </w:rPr>
        <w:t xml:space="preserve"> van 20 december 2016, nr. 4</w:t>
      </w:r>
      <w:r w:rsidRPr="008B1EA4">
        <w:rPr>
          <w:rFonts w:cs="Times New Roman"/>
        </w:rPr>
        <w:t>.</w:t>
      </w:r>
    </w:p>
  </w:footnote>
  <w:footnote w:id="374">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58.073/1</w:t>
      </w:r>
      <w:r>
        <w:rPr>
          <w:rFonts w:cs="Times New Roman"/>
        </w:rPr>
        <w:t>/</w:t>
      </w:r>
      <w:r w:rsidRPr="008B1EA4">
        <w:rPr>
          <w:rFonts w:cs="Times New Roman"/>
        </w:rPr>
        <w:t>V en 58.074/1</w:t>
      </w:r>
      <w:r>
        <w:rPr>
          <w:rFonts w:cs="Times New Roman"/>
        </w:rPr>
        <w:t>/</w:t>
      </w:r>
      <w:r w:rsidRPr="008B1EA4">
        <w:rPr>
          <w:rFonts w:cs="Times New Roman"/>
        </w:rPr>
        <w:t>V</w:t>
      </w:r>
      <w:r>
        <w:rPr>
          <w:rFonts w:cs="Times New Roman"/>
        </w:rPr>
        <w:t xml:space="preserve"> van 8 september 2015</w:t>
      </w:r>
      <w:r w:rsidRPr="008B1EA4">
        <w:rPr>
          <w:rFonts w:cs="Times New Roman"/>
        </w:rPr>
        <w:t xml:space="preserve">, </w:t>
      </w:r>
      <w:r>
        <w:rPr>
          <w:rFonts w:cs="Times New Roman"/>
        </w:rPr>
        <w:t>nr.</w:t>
      </w:r>
      <w:r w:rsidRPr="008B1EA4">
        <w:rPr>
          <w:rFonts w:cs="Times New Roman"/>
        </w:rPr>
        <w:t xml:space="preserve"> 2.</w:t>
      </w:r>
      <w:r w:rsidRPr="008B1EA4">
        <w:rPr>
          <w:rFonts w:cs="Times New Roman"/>
        </w:rPr>
        <w:tab/>
      </w:r>
    </w:p>
  </w:footnote>
  <w:footnote w:id="37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59.903/3</w:t>
      </w:r>
      <w:r>
        <w:rPr>
          <w:rFonts w:cs="Times New Roman"/>
        </w:rPr>
        <w:t xml:space="preserve"> van 19 september 2016, nrs. 5.1 tot 5.5</w:t>
      </w:r>
      <w:r w:rsidRPr="008B1EA4">
        <w:rPr>
          <w:rFonts w:cs="Times New Roman"/>
        </w:rPr>
        <w:t>.</w:t>
      </w:r>
    </w:p>
  </w:footnote>
  <w:footnote w:id="376">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Voor verpleegkundigen met een bijzondere beroepstitel bedraagt de jaarlijkse bijkomende premie 3.341,50 euro. </w:t>
      </w:r>
    </w:p>
  </w:footnote>
  <w:footnote w:id="377">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In dat verband verwijst de Raad van State naar vergelijkbare bedenkingen die hij heeft geformuleerd bij een ontwerp van besluit van de Vlaamse Regering waarbij de anciënniteit van zij-instromers in het onderwijs uit de privésector werd aangerekend, maar niet voor de reeds in dienst zijnde zij-instromers (adv.RvS 56.568/1/V van 22 augustus 2014 over een ontwerp van besluit van de Vlaamse Regering </w:t>
      </w:r>
      <w:r>
        <w:rPr>
          <w:rFonts w:cs="Times New Roman"/>
        </w:rPr>
        <w:t>‘</w:t>
      </w:r>
      <w:r w:rsidRPr="008B1EA4">
        <w:rPr>
          <w:rFonts w:cs="Times New Roman"/>
        </w:rPr>
        <w:t>tot wijziging van de regelgeving betreffende de geldelijke en sociale anciënniteit van sommige personeelsleden van het onderwijs</w:t>
      </w:r>
      <w:r>
        <w:rPr>
          <w:rFonts w:cs="Times New Roman"/>
        </w:rPr>
        <w:t>’</w:t>
      </w:r>
      <w:r w:rsidRPr="008B1EA4">
        <w:rPr>
          <w:rFonts w:cs="Times New Roman"/>
        </w:rPr>
        <w:t xml:space="preserve">, </w:t>
      </w:r>
      <w:r>
        <w:rPr>
          <w:rFonts w:cs="Times New Roman"/>
        </w:rPr>
        <w:t>nrs.</w:t>
      </w:r>
      <w:r w:rsidRPr="008B1EA4">
        <w:rPr>
          <w:rFonts w:cs="Times New Roman"/>
        </w:rPr>
        <w:t xml:space="preserve"> 8 en 9). Dit ontwerpbesluit heeft uiteindelijk geen doorgang gevonden.</w:t>
      </w:r>
    </w:p>
  </w:footnote>
  <w:footnote w:id="378">
    <w:p w:rsidR="005C6007" w:rsidRPr="008B1EA4" w:rsidRDefault="005C6007" w:rsidP="00924082">
      <w:pPr>
        <w:pStyle w:val="Voetnoottekst"/>
        <w:rPr>
          <w:rFonts w:cs="Times New Roman"/>
        </w:rPr>
      </w:pPr>
      <w:r w:rsidRPr="008B1EA4">
        <w:rPr>
          <w:rStyle w:val="Voetnootmarkering"/>
          <w:rFonts w:cs="Times New Roman"/>
        </w:rPr>
        <w:footnoteRef/>
      </w:r>
      <w:r w:rsidRPr="008B1EA4">
        <w:rPr>
          <w:rFonts w:cs="Times New Roman"/>
        </w:rPr>
        <w:t xml:space="preserve"> Adv.RvS 58.684/3</w:t>
      </w:r>
      <w:r>
        <w:rPr>
          <w:rFonts w:cs="Times New Roman"/>
        </w:rPr>
        <w:t xml:space="preserve"> van 13 januari 2016</w:t>
      </w:r>
      <w:r w:rsidRPr="008B1EA4">
        <w:rPr>
          <w:rFonts w:cs="Times New Roman"/>
        </w:rPr>
        <w:t xml:space="preserve">, </w:t>
      </w:r>
      <w:r>
        <w:rPr>
          <w:rFonts w:cs="Times New Roman"/>
        </w:rPr>
        <w:t>nr.</w:t>
      </w:r>
      <w:r w:rsidRPr="008B1EA4">
        <w:rPr>
          <w:rFonts w:cs="Times New Roman"/>
        </w:rPr>
        <w:t xml:space="preserve"> 7.</w:t>
      </w:r>
    </w:p>
  </w:footnote>
  <w:footnote w:id="379">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59.706/V</w:t>
      </w:r>
      <w:r w:rsidRPr="000A13D1">
        <w:rPr>
          <w:rFonts w:cs="Times New Roman"/>
        </w:rPr>
        <w:t xml:space="preserve"> </w:t>
      </w:r>
      <w:r>
        <w:rPr>
          <w:rFonts w:cs="Times New Roman"/>
        </w:rPr>
        <w:t>van 10 augustus 2016</w:t>
      </w:r>
      <w:r w:rsidRPr="008B1EA4">
        <w:rPr>
          <w:rFonts w:cs="Times New Roman"/>
        </w:rPr>
        <w:t>, opmerkingen bij de artikelen 53 en 54 en bij artikel 102.</w:t>
      </w:r>
    </w:p>
  </w:footnote>
  <w:footnote w:id="380">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58.578/3</w:t>
      </w:r>
      <w:r>
        <w:rPr>
          <w:rFonts w:cs="Times New Roman"/>
        </w:rPr>
        <w:t xml:space="preserve"> van 23 december 2015</w:t>
      </w:r>
      <w:r w:rsidRPr="008B1EA4">
        <w:rPr>
          <w:rFonts w:cs="Times New Roman"/>
        </w:rPr>
        <w:t xml:space="preserve">, </w:t>
      </w:r>
      <w:r>
        <w:rPr>
          <w:rFonts w:cs="Times New Roman"/>
        </w:rPr>
        <w:t>nr.</w:t>
      </w:r>
      <w:r w:rsidRPr="008B1EA4">
        <w:rPr>
          <w:rFonts w:cs="Times New Roman"/>
        </w:rPr>
        <w:t xml:space="preserve"> 6 (premies voor zero-emissievoertuigen).</w:t>
      </w:r>
    </w:p>
  </w:footnote>
  <w:footnote w:id="381">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59.426/3</w:t>
      </w:r>
      <w:r>
        <w:rPr>
          <w:rFonts w:cs="Times New Roman"/>
        </w:rPr>
        <w:t xml:space="preserve"> van 16 juni 2016</w:t>
      </w:r>
      <w:r w:rsidRPr="008B1EA4">
        <w:rPr>
          <w:rFonts w:cs="Times New Roman"/>
        </w:rPr>
        <w:t xml:space="preserve">, </w:t>
      </w:r>
      <w:r>
        <w:rPr>
          <w:rFonts w:cs="Times New Roman"/>
        </w:rPr>
        <w:t>nr.</w:t>
      </w:r>
      <w:r w:rsidRPr="008B1EA4">
        <w:rPr>
          <w:rFonts w:cs="Times New Roman"/>
        </w:rPr>
        <w:t xml:space="preserve"> 3.</w:t>
      </w:r>
    </w:p>
  </w:footnote>
  <w:footnote w:id="382">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Adv.RvS 60.507/3</w:t>
      </w:r>
      <w:r>
        <w:rPr>
          <w:rFonts w:cs="Times New Roman"/>
        </w:rPr>
        <w:t xml:space="preserve"> van 21 december 2016</w:t>
      </w:r>
      <w:r w:rsidRPr="008B1EA4">
        <w:rPr>
          <w:rFonts w:cs="Times New Roman"/>
        </w:rPr>
        <w:t xml:space="preserve">, </w:t>
      </w:r>
      <w:r>
        <w:rPr>
          <w:rFonts w:cs="Times New Roman"/>
        </w:rPr>
        <w:t>nr.</w:t>
      </w:r>
      <w:r w:rsidRPr="008B1EA4">
        <w:rPr>
          <w:rFonts w:cs="Times New Roman"/>
        </w:rPr>
        <w:t xml:space="preserve"> 2.</w:t>
      </w:r>
    </w:p>
  </w:footnote>
  <w:footnote w:id="383">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Dergelijk overleg gebeurt steeds vaker spontaan, zie adv.RvS 57.210/3</w:t>
      </w:r>
      <w:r>
        <w:rPr>
          <w:rFonts w:cs="Times New Roman"/>
        </w:rPr>
        <w:t xml:space="preserve"> van 3 april 2015</w:t>
      </w:r>
      <w:r w:rsidRPr="008B1EA4">
        <w:rPr>
          <w:rFonts w:cs="Times New Roman"/>
        </w:rPr>
        <w:t xml:space="preserve">, </w:t>
      </w:r>
      <w:r>
        <w:rPr>
          <w:rFonts w:cs="Times New Roman"/>
        </w:rPr>
        <w:t>nr.</w:t>
      </w:r>
      <w:r w:rsidRPr="008B1EA4">
        <w:rPr>
          <w:rFonts w:cs="Times New Roman"/>
        </w:rPr>
        <w:t xml:space="preserve"> 4; </w:t>
      </w:r>
      <w:r>
        <w:rPr>
          <w:rFonts w:cs="Times New Roman"/>
        </w:rPr>
        <w:t xml:space="preserve">adv.RvS </w:t>
      </w:r>
      <w:r w:rsidRPr="008B1EA4">
        <w:rPr>
          <w:rFonts w:cs="Times New Roman"/>
        </w:rPr>
        <w:t>60.525/3</w:t>
      </w:r>
      <w:r>
        <w:rPr>
          <w:rFonts w:cs="Times New Roman"/>
        </w:rPr>
        <w:t xml:space="preserve"> van 27 december 2016</w:t>
      </w:r>
      <w:r w:rsidRPr="008B1EA4">
        <w:rPr>
          <w:rFonts w:cs="Times New Roman"/>
        </w:rPr>
        <w:t xml:space="preserve">, </w:t>
      </w:r>
      <w:r>
        <w:rPr>
          <w:rFonts w:cs="Times New Roman"/>
        </w:rPr>
        <w:t>nr.</w:t>
      </w:r>
      <w:r w:rsidRPr="008B1EA4">
        <w:rPr>
          <w:rFonts w:cs="Times New Roman"/>
        </w:rPr>
        <w:t xml:space="preserve"> 7. In het geval van het afschakelplan merkte de Raad echter op dat niet enkel overleg tussen</w:t>
      </w:r>
      <w:r>
        <w:rPr>
          <w:rFonts w:cs="Times New Roman"/>
        </w:rPr>
        <w:t xml:space="preserve"> </w:t>
      </w:r>
      <w:r w:rsidRPr="008B1EA4">
        <w:rPr>
          <w:rFonts w:cs="Times New Roman"/>
        </w:rPr>
        <w:t>de federale overheid en de gewesten aangewezen was, maar ook met de buurlanden (in het bijzonder Luxemburg, nu het Belgische transmissienet tot in het Groothertogdom doorloopt), zie adv.RvS 58.065/1</w:t>
      </w:r>
      <w:r>
        <w:rPr>
          <w:rFonts w:cs="Times New Roman"/>
        </w:rPr>
        <w:t>/</w:t>
      </w:r>
      <w:r w:rsidRPr="008B1EA4">
        <w:rPr>
          <w:rFonts w:cs="Times New Roman"/>
        </w:rPr>
        <w:t>V</w:t>
      </w:r>
      <w:r>
        <w:rPr>
          <w:rFonts w:cs="Times New Roman"/>
        </w:rPr>
        <w:t xml:space="preserve"> van 9 september 2015</w:t>
      </w:r>
      <w:r w:rsidRPr="008B1EA4">
        <w:rPr>
          <w:rFonts w:cs="Times New Roman"/>
        </w:rPr>
        <w:t xml:space="preserve">, </w:t>
      </w:r>
      <w:r>
        <w:rPr>
          <w:rFonts w:cs="Times New Roman"/>
        </w:rPr>
        <w:t>nrs.</w:t>
      </w:r>
      <w:r w:rsidRPr="008B1EA4">
        <w:rPr>
          <w:rFonts w:cs="Times New Roman"/>
        </w:rPr>
        <w:t xml:space="preserve"> 5.2 en 5.3.</w:t>
      </w:r>
    </w:p>
  </w:footnote>
  <w:footnote w:id="384">
    <w:p w:rsidR="005C6007" w:rsidRPr="00CD53C6" w:rsidRDefault="005C6007" w:rsidP="00D929D6">
      <w:pPr>
        <w:rPr>
          <w:rFonts w:cs="Times New Roman"/>
          <w:sz w:val="20"/>
          <w:szCs w:val="20"/>
        </w:rPr>
      </w:pPr>
      <w:r w:rsidRPr="00CD53C6">
        <w:rPr>
          <w:rStyle w:val="Voetnootmarkering"/>
          <w:rFonts w:cs="Times New Roman"/>
          <w:sz w:val="20"/>
          <w:szCs w:val="20"/>
        </w:rPr>
        <w:footnoteRef/>
      </w:r>
      <w:r w:rsidRPr="00CD53C6">
        <w:rPr>
          <w:rFonts w:cs="Times New Roman"/>
          <w:sz w:val="20"/>
          <w:szCs w:val="20"/>
        </w:rPr>
        <w:t xml:space="preserve"> Adv.RvS 57.695/3 van 30 juli 2015 (omzetting ADR-richtlijn), waar de Raad aandringt op overleg tussen de gewesten, maar ook met de federale overheid, al is dat laatste overleg niet voorgeschreven in de bijzondere wet. Zie ook: J. </w:t>
      </w:r>
      <w:r w:rsidRPr="00CD53C6">
        <w:rPr>
          <w:rFonts w:cs="Times New Roman"/>
          <w:smallCaps/>
          <w:sz w:val="20"/>
          <w:szCs w:val="20"/>
        </w:rPr>
        <w:t>Theunis</w:t>
      </w:r>
      <w:r w:rsidRPr="00CD53C6">
        <w:rPr>
          <w:rFonts w:cs="Times New Roman"/>
          <w:sz w:val="20"/>
          <w:szCs w:val="20"/>
        </w:rPr>
        <w:t xml:space="preserve"> en D. </w:t>
      </w:r>
      <w:r w:rsidRPr="00CD53C6">
        <w:rPr>
          <w:rFonts w:cs="Times New Roman"/>
          <w:smallCaps/>
          <w:sz w:val="20"/>
          <w:szCs w:val="20"/>
        </w:rPr>
        <w:t>Van Eeckhoutte</w:t>
      </w:r>
      <w:r w:rsidRPr="00CD53C6">
        <w:rPr>
          <w:rFonts w:cs="Times New Roman"/>
          <w:sz w:val="20"/>
          <w:szCs w:val="20"/>
        </w:rPr>
        <w:t xml:space="preserve">, “Mobiliteit - Openbare werken, vervoer, verkeer en verkeersveiligheid“ in B. </w:t>
      </w:r>
      <w:r w:rsidRPr="00CD53C6">
        <w:rPr>
          <w:rFonts w:cs="Times New Roman"/>
          <w:smallCaps/>
          <w:sz w:val="20"/>
          <w:szCs w:val="20"/>
        </w:rPr>
        <w:t>Seutin</w:t>
      </w:r>
      <w:r w:rsidRPr="00CD53C6">
        <w:rPr>
          <w:rFonts w:cs="Times New Roman"/>
          <w:sz w:val="20"/>
          <w:szCs w:val="20"/>
        </w:rPr>
        <w:t xml:space="preserve"> en G. </w:t>
      </w:r>
      <w:r w:rsidRPr="00CD53C6">
        <w:rPr>
          <w:rFonts w:cs="Times New Roman"/>
          <w:smallCaps/>
          <w:sz w:val="20"/>
          <w:szCs w:val="20"/>
        </w:rPr>
        <w:t>van Haegendoren</w:t>
      </w:r>
      <w:r w:rsidRPr="00CD53C6">
        <w:rPr>
          <w:rFonts w:cs="Times New Roman"/>
          <w:sz w:val="20"/>
          <w:szCs w:val="20"/>
        </w:rPr>
        <w:t xml:space="preserve"> (eds.), </w:t>
      </w:r>
      <w:r w:rsidRPr="00CD53C6">
        <w:rPr>
          <w:rFonts w:cs="Times New Roman"/>
          <w:i/>
          <w:sz w:val="20"/>
          <w:szCs w:val="20"/>
        </w:rPr>
        <w:t>De bevoegdheden van de gewesten</w:t>
      </w:r>
      <w:r w:rsidRPr="00CD53C6">
        <w:rPr>
          <w:rFonts w:cs="Times New Roman"/>
          <w:sz w:val="20"/>
          <w:szCs w:val="20"/>
        </w:rPr>
        <w:t>, Brugge, die Keure, 2016, nrs. 874 en 884.</w:t>
      </w:r>
    </w:p>
    <w:p w:rsidR="005C6007" w:rsidRPr="008B1EA4" w:rsidRDefault="005C6007" w:rsidP="008B1EA4">
      <w:pPr>
        <w:pStyle w:val="Voetnoottekst"/>
        <w:rPr>
          <w:rFonts w:cs="Times New Roman"/>
        </w:rPr>
      </w:pPr>
    </w:p>
  </w:footnote>
  <w:footnote w:id="385">
    <w:p w:rsidR="005C6007" w:rsidRPr="008B1EA4" w:rsidRDefault="005C6007" w:rsidP="008B1EA4">
      <w:pPr>
        <w:pStyle w:val="Voetnoottekst"/>
        <w:rPr>
          <w:rFonts w:cs="Times New Roman"/>
        </w:rPr>
      </w:pPr>
      <w:r w:rsidRPr="008B1EA4">
        <w:rPr>
          <w:rStyle w:val="Voetnootmarkering"/>
          <w:rFonts w:cs="Times New Roman"/>
        </w:rPr>
        <w:footnoteRef/>
      </w:r>
      <w:r w:rsidRPr="008B1EA4">
        <w:rPr>
          <w:rFonts w:cs="Times New Roman"/>
        </w:rPr>
        <w:t xml:space="preserve"> Adv.</w:t>
      </w:r>
      <w:r>
        <w:rPr>
          <w:rFonts w:cs="Times New Roman"/>
        </w:rPr>
        <w:t>RvS</w:t>
      </w:r>
      <w:r w:rsidRPr="008B1EA4">
        <w:rPr>
          <w:rFonts w:cs="Times New Roman"/>
        </w:rPr>
        <w:t xml:space="preserve"> 59.484/3 en 59.485/3</w:t>
      </w:r>
      <w:r>
        <w:rPr>
          <w:rFonts w:cs="Times New Roman"/>
        </w:rPr>
        <w:t xml:space="preserve"> van 29 juni 2016, nr. 17</w:t>
      </w:r>
      <w:r w:rsidRPr="008B1EA4">
        <w:rPr>
          <w:rFonts w:cs="Times New Roman"/>
        </w:rPr>
        <w:t>.</w:t>
      </w:r>
    </w:p>
  </w:footnote>
  <w:footnote w:id="386">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Deze mogelijkheid is voorzien in artikel 84, § 3, van de Gecoördineerde Wetten op de Raad van State. Het beperkte onderzoek is overigens verplicht wanneer de adviesaanvrager gebruikt maakt van de spoedprocedure. </w:t>
      </w:r>
    </w:p>
  </w:footnote>
  <w:footnote w:id="387">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Zie o.m. adv.RvS 58.344/3 van 8 februari 2016, nr. 19; adv.RvS 58.716/1 van 30 maart 2016, nr. 25; 59.038/1 van 30 maart 2016, nr. 25</w:t>
      </w:r>
      <w:r>
        <w:rPr>
          <w:rFonts w:cs="Times New Roman"/>
        </w:rPr>
        <w:t xml:space="preserve"> en</w:t>
      </w:r>
      <w:r w:rsidRPr="008B1EA4">
        <w:rPr>
          <w:rFonts w:cs="Times New Roman"/>
        </w:rPr>
        <w:t xml:space="preserve"> adv.RvS 59.332/1 van 26 mei 2016, nr. 5</w:t>
      </w:r>
      <w:r>
        <w:rPr>
          <w:rFonts w:cs="Times New Roman"/>
        </w:rPr>
        <w:t>.</w:t>
      </w:r>
      <w:r w:rsidRPr="008B1EA4">
        <w:rPr>
          <w:rFonts w:cs="Times New Roman"/>
        </w:rPr>
        <w:t xml:space="preserve"> </w:t>
      </w:r>
    </w:p>
  </w:footnote>
  <w:footnote w:id="388">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Zie over deze begrippen ook: </w:t>
      </w:r>
      <w:r w:rsidRPr="008B1EA4">
        <w:rPr>
          <w:rFonts w:cs="Times New Roman"/>
          <w:smallCaps/>
        </w:rPr>
        <w:t>H. Coremans, M. Van Damme, J. Dujardin, B. Seutin</w:t>
      </w:r>
      <w:r w:rsidRPr="008B1EA4">
        <w:rPr>
          <w:rFonts w:cs="Times New Roman"/>
        </w:rPr>
        <w:t xml:space="preserve"> en </w:t>
      </w:r>
      <w:r w:rsidRPr="008B1EA4">
        <w:rPr>
          <w:rFonts w:cs="Times New Roman"/>
          <w:smallCaps/>
        </w:rPr>
        <w:t>G. Vermeylen</w:t>
      </w:r>
      <w:r w:rsidRPr="008B1EA4">
        <w:rPr>
          <w:rFonts w:cs="Times New Roman"/>
        </w:rPr>
        <w:t xml:space="preserve">, </w:t>
      </w:r>
      <w:r w:rsidRPr="008B1EA4">
        <w:rPr>
          <w:rFonts w:cs="Times New Roman"/>
          <w:i/>
        </w:rPr>
        <w:t>Beginselen van wetgevingstechniek en behoorlijke regelgeving,</w:t>
      </w:r>
      <w:r w:rsidRPr="008B1EA4">
        <w:rPr>
          <w:rFonts w:cs="Times New Roman"/>
        </w:rPr>
        <w:t xml:space="preserve"> Brugge, die Keure, 2016, nrs. 100-107. </w:t>
      </w:r>
    </w:p>
  </w:footnote>
  <w:footnote w:id="389">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47.996/VR/3 van 27 februari 2015</w:t>
      </w:r>
      <w:r>
        <w:rPr>
          <w:rFonts w:cs="Times New Roman"/>
        </w:rPr>
        <w:t>, nr. 1</w:t>
      </w:r>
      <w:r w:rsidRPr="008B1EA4">
        <w:rPr>
          <w:rFonts w:cs="Times New Roman"/>
        </w:rPr>
        <w:t xml:space="preserve">. </w:t>
      </w:r>
    </w:p>
  </w:footnote>
  <w:footnote w:id="390">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Deze bepaling wordt samen gelezen met de wet van 13 juni 1961 </w:t>
      </w:r>
      <w:r>
        <w:rPr>
          <w:rFonts w:cs="Times New Roman"/>
        </w:rPr>
        <w:t>‘</w:t>
      </w:r>
      <w:r w:rsidRPr="008B1EA4">
        <w:rPr>
          <w:rFonts w:cs="Times New Roman"/>
        </w:rPr>
        <w:t>betreffende de coördinatie en de codificatie van wetten</w:t>
      </w:r>
      <w:r>
        <w:rPr>
          <w:rFonts w:cs="Times New Roman"/>
        </w:rPr>
        <w:t>’</w:t>
      </w:r>
      <w:r w:rsidRPr="008B1EA4">
        <w:rPr>
          <w:rFonts w:cs="Times New Roman"/>
        </w:rPr>
        <w:t>.</w:t>
      </w:r>
    </w:p>
  </w:footnote>
  <w:footnote w:id="391">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i/>
        </w:rPr>
        <w:t xml:space="preserve"> Beginselen van de wetgevingstechniek. Handleiding voor het opstellen van wetgevende en reglementaire teksten</w:t>
      </w:r>
      <w:r w:rsidRPr="008B1EA4">
        <w:rPr>
          <w:rFonts w:cs="Times New Roman"/>
        </w:rPr>
        <w:t xml:space="preserve">, Raad van State, 2008, aanbeveling 220. </w:t>
      </w:r>
    </w:p>
  </w:footnote>
  <w:footnote w:id="392">
    <w:p w:rsidR="005C6007" w:rsidRPr="008B1EA4" w:rsidRDefault="005C6007" w:rsidP="00A33F35">
      <w:pPr>
        <w:pStyle w:val="Voetnoottekst"/>
        <w:rPr>
          <w:rFonts w:cs="Times New Roman"/>
        </w:rPr>
      </w:pPr>
      <w:r w:rsidRPr="008B1EA4">
        <w:rPr>
          <w:rFonts w:cs="Times New Roman"/>
          <w:vertAlign w:val="superscript"/>
        </w:rPr>
        <w:footnoteRef/>
      </w:r>
      <w:r w:rsidRPr="008B1EA4">
        <w:rPr>
          <w:rFonts w:cs="Times New Roman"/>
        </w:rPr>
        <w:t xml:space="preserve"> Adv.RvS 60.012/1 van 7 oktober 2016, nr. 20. </w:t>
      </w:r>
    </w:p>
  </w:footnote>
  <w:footnote w:id="393">
    <w:p w:rsidR="005C6007" w:rsidRDefault="005C6007">
      <w:pPr>
        <w:pStyle w:val="Voetnoottekst"/>
      </w:pPr>
      <w:r>
        <w:rPr>
          <w:rStyle w:val="Voetnootmarkering"/>
        </w:rPr>
        <w:footnoteRef/>
      </w:r>
      <w:r>
        <w:t xml:space="preserve"> </w:t>
      </w:r>
      <w:r>
        <w:rPr>
          <w:rFonts w:cs="Times New Roman"/>
        </w:rPr>
        <w:t>Adv.RvS 47.996/VR van 25 februari 2015, nrs. 2-5.</w:t>
      </w:r>
    </w:p>
  </w:footnote>
  <w:footnote w:id="394">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w:t>
      </w:r>
      <w:r w:rsidRPr="00321523">
        <w:rPr>
          <w:rFonts w:cs="Times New Roman"/>
        </w:rPr>
        <w:t>Adv.RvS 47.996/V</w:t>
      </w:r>
      <w:r>
        <w:rPr>
          <w:rFonts w:cs="Times New Roman"/>
        </w:rPr>
        <w:t>R van 25 februari 2015, nr. 6</w:t>
      </w:r>
      <w:r w:rsidRPr="00321523">
        <w:rPr>
          <w:rFonts w:cs="Times New Roman"/>
        </w:rPr>
        <w:t>.</w:t>
      </w:r>
      <w:r>
        <w:rPr>
          <w:rFonts w:cs="Times New Roman"/>
        </w:rPr>
        <w:t xml:space="preserve"> </w:t>
      </w:r>
      <w:r w:rsidRPr="008B1EA4">
        <w:rPr>
          <w:rFonts w:cs="Times New Roman"/>
        </w:rPr>
        <w:t>Zowel de federale overheid als de gemeenschappen lijken zich intussen te baseren op de wet van 10 mei 2015 en niet meer op het koninklijk besluit nr. 78. In advies 58.553/VR van 12 januari 2016 over een voorstel van wet heeft de Raad van State gesuggereerd om een wijziging aan het koninklijk besluit nr. 78 te vervangen door een wijziging aan de wet van 10 mei 2015 (</w:t>
      </w:r>
      <w:r>
        <w:rPr>
          <w:rFonts w:cs="Times New Roman"/>
        </w:rPr>
        <w:t>nr.</w:t>
      </w:r>
      <w:r w:rsidRPr="008B1EA4">
        <w:rPr>
          <w:rFonts w:cs="Times New Roman"/>
        </w:rPr>
        <w:t xml:space="preserve"> 7). De wet van 18 maart 2016 die de naam van de Rijksdienst voor Pensioenen in Federale Pensioendienst wijzigt in tal van wetten voert die naamswijziging door in zowel het koninklijk besluit nr. 78 als de wet van 10 mei 2015. </w:t>
      </w:r>
    </w:p>
  </w:footnote>
  <w:footnote w:id="395">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w:t>
      </w:r>
      <w:r>
        <w:rPr>
          <w:rFonts w:cs="Times New Roman"/>
        </w:rPr>
        <w:t>Adv.RvS 47.996/VR van 25 februari 2015, nr. 6, m</w:t>
      </w:r>
      <w:r w:rsidRPr="008B1EA4">
        <w:rPr>
          <w:rFonts w:cs="Times New Roman"/>
        </w:rPr>
        <w:t>et verwijzing naar adv.RvS 23.473/1 van 1 juni 2006 (</w:t>
      </w:r>
      <w:r>
        <w:rPr>
          <w:rFonts w:cs="Times New Roman"/>
        </w:rPr>
        <w:t>nr.</w:t>
      </w:r>
      <w:r w:rsidRPr="008B1EA4">
        <w:rPr>
          <w:rFonts w:cs="Times New Roman"/>
        </w:rPr>
        <w:t xml:space="preserve"> 3) en naar </w:t>
      </w:r>
      <w:r w:rsidRPr="008B1EA4">
        <w:rPr>
          <w:rFonts w:cs="Times New Roman"/>
          <w:smallCaps/>
        </w:rPr>
        <w:t>M. Van Damme</w:t>
      </w:r>
      <w:r w:rsidRPr="008B1EA4">
        <w:rPr>
          <w:rFonts w:cs="Times New Roman"/>
        </w:rPr>
        <w:t xml:space="preserve">, </w:t>
      </w:r>
      <w:r>
        <w:rPr>
          <w:rFonts w:cs="Times New Roman"/>
        </w:rPr>
        <w:t>“</w:t>
      </w:r>
      <w:r w:rsidRPr="008B1EA4">
        <w:rPr>
          <w:rFonts w:cs="Times New Roman"/>
        </w:rPr>
        <w:t>Coördinatie en codificatie: efficiënte instrumenten voor een betere toegankelijkheid van wetgeving?</w:t>
      </w:r>
      <w:r>
        <w:rPr>
          <w:rFonts w:cs="Times New Roman"/>
        </w:rPr>
        <w:t>”</w:t>
      </w:r>
      <w:r w:rsidRPr="008B1EA4">
        <w:rPr>
          <w:rFonts w:cs="Times New Roman"/>
        </w:rPr>
        <w:t xml:space="preserve">, in </w:t>
      </w:r>
      <w:r w:rsidRPr="00CD53C6">
        <w:rPr>
          <w:rFonts w:cs="Times New Roman"/>
        </w:rPr>
        <w:t xml:space="preserve">P. </w:t>
      </w:r>
      <w:r w:rsidRPr="00CD53C6">
        <w:rPr>
          <w:rFonts w:cs="Times New Roman"/>
          <w:smallCaps/>
        </w:rPr>
        <w:t>Popelier</w:t>
      </w:r>
      <w:r w:rsidRPr="00CD53C6">
        <w:rPr>
          <w:rFonts w:cs="Times New Roman"/>
        </w:rPr>
        <w:t xml:space="preserve"> </w:t>
      </w:r>
      <w:r>
        <w:rPr>
          <w:rFonts w:cs="Times New Roman"/>
        </w:rPr>
        <w:t>en</w:t>
      </w:r>
      <w:r w:rsidRPr="00CD53C6">
        <w:rPr>
          <w:rFonts w:cs="Times New Roman"/>
        </w:rPr>
        <w:t xml:space="preserve"> J. </w:t>
      </w:r>
      <w:r w:rsidRPr="00CD53C6">
        <w:rPr>
          <w:rFonts w:cs="Times New Roman"/>
          <w:smallCaps/>
        </w:rPr>
        <w:t>Van Nieuwenhove</w:t>
      </w:r>
      <w:r w:rsidRPr="00CD53C6">
        <w:rPr>
          <w:rFonts w:cs="Times New Roman"/>
        </w:rPr>
        <w:t xml:space="preserve"> (ed</w:t>
      </w:r>
      <w:r>
        <w:rPr>
          <w:rFonts w:cs="Times New Roman"/>
        </w:rPr>
        <w:t>s</w:t>
      </w:r>
      <w:r w:rsidRPr="00CD53C6">
        <w:rPr>
          <w:rFonts w:cs="Times New Roman"/>
        </w:rPr>
        <w:t xml:space="preserve">.), </w:t>
      </w:r>
      <w:r w:rsidRPr="008B1EA4">
        <w:rPr>
          <w:rFonts w:cs="Times New Roman"/>
          <w:i/>
        </w:rPr>
        <w:t xml:space="preserve">Toegang tot de wet, </w:t>
      </w:r>
      <w:r w:rsidRPr="008B1EA4">
        <w:rPr>
          <w:rFonts w:cs="Times New Roman"/>
        </w:rPr>
        <w:t xml:space="preserve">Brugge, die Keure, 2008, 71-72. </w:t>
      </w:r>
    </w:p>
  </w:footnote>
  <w:footnote w:id="396">
    <w:p w:rsidR="005C6007" w:rsidRPr="008B1EA4" w:rsidRDefault="005C6007" w:rsidP="00B44F75">
      <w:pPr>
        <w:pStyle w:val="Voetnoottekst"/>
        <w:rPr>
          <w:rFonts w:cs="Times New Roman"/>
        </w:rPr>
      </w:pPr>
      <w:r w:rsidRPr="008B1EA4">
        <w:rPr>
          <w:rFonts w:cs="Times New Roman"/>
          <w:vertAlign w:val="superscript"/>
        </w:rPr>
        <w:footnoteRef/>
      </w:r>
      <w:r w:rsidRPr="008B1EA4">
        <w:rPr>
          <w:rFonts w:cs="Times New Roman"/>
        </w:rPr>
        <w:t xml:space="preserve"> Adv.RvS 59.442/1 van 15 juli 2016</w:t>
      </w:r>
      <w:r>
        <w:rPr>
          <w:rFonts w:cs="Times New Roman"/>
        </w:rPr>
        <w:t>,</w:t>
      </w:r>
      <w:r w:rsidRPr="008B1EA4">
        <w:rPr>
          <w:rFonts w:cs="Times New Roman"/>
        </w:rPr>
        <w:t xml:space="preserve"> nr. 4.</w:t>
      </w:r>
    </w:p>
  </w:footnote>
  <w:footnote w:id="397">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Bijvoorbeeld: </w:t>
      </w:r>
      <w:r>
        <w:rPr>
          <w:rFonts w:cs="Times New Roman"/>
        </w:rPr>
        <w:t>“</w:t>
      </w:r>
      <w:r w:rsidRPr="008B1EA4">
        <w:rPr>
          <w:rFonts w:cs="Times New Roman"/>
        </w:rPr>
        <w:t>artikel IV.46 (van de coördinatie) heeft uitwerking met ingang van 1 januari 2007</w:t>
      </w:r>
      <w:r>
        <w:rPr>
          <w:rFonts w:cs="Times New Roman"/>
        </w:rPr>
        <w:t>”</w:t>
      </w:r>
      <w:r w:rsidRPr="008B1EA4">
        <w:rPr>
          <w:rFonts w:cs="Times New Roman"/>
        </w:rPr>
        <w:t>.</w:t>
      </w:r>
    </w:p>
  </w:footnote>
  <w:footnote w:id="398">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59.442/1 van 15 juli 2016</w:t>
      </w:r>
      <w:r>
        <w:rPr>
          <w:rFonts w:cs="Times New Roman"/>
        </w:rPr>
        <w:t>,</w:t>
      </w:r>
      <w:r w:rsidRPr="008B1EA4">
        <w:rPr>
          <w:rFonts w:cs="Times New Roman"/>
        </w:rPr>
        <w:t xml:space="preserve"> nr. 5.</w:t>
      </w:r>
    </w:p>
  </w:footnote>
  <w:footnote w:id="399">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60.083/1 van 4 november 2016, voetnoot 1. </w:t>
      </w:r>
    </w:p>
  </w:footnote>
  <w:footnote w:id="400">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60.082/1 van 4 november 2016, nr. 2.2 e.v. </w:t>
      </w:r>
    </w:p>
  </w:footnote>
  <w:footnote w:id="401">
    <w:p w:rsidR="005C6007" w:rsidRPr="008B1EA4" w:rsidRDefault="005C6007" w:rsidP="008B1EA4">
      <w:pPr>
        <w:pStyle w:val="Voetnoottekst"/>
        <w:rPr>
          <w:rFonts w:cs="Times New Roman"/>
        </w:rPr>
      </w:pPr>
      <w:r w:rsidRPr="008B1EA4">
        <w:rPr>
          <w:rFonts w:cs="Times New Roman"/>
          <w:vertAlign w:val="superscript"/>
        </w:rPr>
        <w:footnoteRef/>
      </w:r>
      <w:r w:rsidRPr="008B1EA4">
        <w:rPr>
          <w:rFonts w:cs="Times New Roman"/>
        </w:rPr>
        <w:t xml:space="preserve"> Adv.RvS 60.082/1 van 4 november 2016, nr.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007" w:rsidRDefault="005C600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17A9C"/>
    <w:multiLevelType w:val="hybridMultilevel"/>
    <w:tmpl w:val="A24A96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21B96BC9"/>
    <w:multiLevelType w:val="hybridMultilevel"/>
    <w:tmpl w:val="B31261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2AE84BED"/>
    <w:multiLevelType w:val="hybridMultilevel"/>
    <w:tmpl w:val="8D0EB8B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41DB3FA8"/>
    <w:multiLevelType w:val="hybridMultilevel"/>
    <w:tmpl w:val="EFA8805A"/>
    <w:lvl w:ilvl="0" w:tplc="23166FA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5C4D3CCD"/>
    <w:multiLevelType w:val="hybridMultilevel"/>
    <w:tmpl w:val="4E2446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6F75271B"/>
    <w:multiLevelType w:val="hybridMultilevel"/>
    <w:tmpl w:val="8F62403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7AF61105"/>
    <w:multiLevelType w:val="hybridMultilevel"/>
    <w:tmpl w:val="6008A2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09"/>
    <w:rsid w:val="0000030F"/>
    <w:rsid w:val="00000D82"/>
    <w:rsid w:val="00004722"/>
    <w:rsid w:val="00004C21"/>
    <w:rsid w:val="00004C80"/>
    <w:rsid w:val="00004ECF"/>
    <w:rsid w:val="00005900"/>
    <w:rsid w:val="000210DB"/>
    <w:rsid w:val="00023088"/>
    <w:rsid w:val="000238CC"/>
    <w:rsid w:val="0002407E"/>
    <w:rsid w:val="00033694"/>
    <w:rsid w:val="00033DF0"/>
    <w:rsid w:val="0003630D"/>
    <w:rsid w:val="00037230"/>
    <w:rsid w:val="00042DC9"/>
    <w:rsid w:val="00043F3E"/>
    <w:rsid w:val="00050E20"/>
    <w:rsid w:val="00051B0A"/>
    <w:rsid w:val="00051F37"/>
    <w:rsid w:val="000551A2"/>
    <w:rsid w:val="000579FD"/>
    <w:rsid w:val="00065096"/>
    <w:rsid w:val="0006593C"/>
    <w:rsid w:val="00067B4F"/>
    <w:rsid w:val="0007167E"/>
    <w:rsid w:val="0007344F"/>
    <w:rsid w:val="000779FC"/>
    <w:rsid w:val="0008434D"/>
    <w:rsid w:val="00085914"/>
    <w:rsid w:val="000871D6"/>
    <w:rsid w:val="000904E8"/>
    <w:rsid w:val="0009281C"/>
    <w:rsid w:val="000944A0"/>
    <w:rsid w:val="000A13D1"/>
    <w:rsid w:val="000A2574"/>
    <w:rsid w:val="000B3A65"/>
    <w:rsid w:val="000C4982"/>
    <w:rsid w:val="000E07A2"/>
    <w:rsid w:val="000E10D9"/>
    <w:rsid w:val="000E1CB9"/>
    <w:rsid w:val="000E40A8"/>
    <w:rsid w:val="000E6FD7"/>
    <w:rsid w:val="000F2D9A"/>
    <w:rsid w:val="000F5514"/>
    <w:rsid w:val="00101EC6"/>
    <w:rsid w:val="001055DF"/>
    <w:rsid w:val="00111494"/>
    <w:rsid w:val="00113337"/>
    <w:rsid w:val="00114353"/>
    <w:rsid w:val="001163AE"/>
    <w:rsid w:val="0011741C"/>
    <w:rsid w:val="00117E40"/>
    <w:rsid w:val="0012012E"/>
    <w:rsid w:val="0012130A"/>
    <w:rsid w:val="00134318"/>
    <w:rsid w:val="0013654D"/>
    <w:rsid w:val="0014132C"/>
    <w:rsid w:val="00145EDB"/>
    <w:rsid w:val="0014785D"/>
    <w:rsid w:val="0015131B"/>
    <w:rsid w:val="00152B00"/>
    <w:rsid w:val="001537E7"/>
    <w:rsid w:val="00154946"/>
    <w:rsid w:val="00154958"/>
    <w:rsid w:val="00156B2C"/>
    <w:rsid w:val="00157669"/>
    <w:rsid w:val="001617B0"/>
    <w:rsid w:val="00163F44"/>
    <w:rsid w:val="00173CA2"/>
    <w:rsid w:val="00176D20"/>
    <w:rsid w:val="001849C6"/>
    <w:rsid w:val="00187B15"/>
    <w:rsid w:val="00187BE4"/>
    <w:rsid w:val="00191821"/>
    <w:rsid w:val="00193897"/>
    <w:rsid w:val="001A2CA1"/>
    <w:rsid w:val="001A61FA"/>
    <w:rsid w:val="001A760D"/>
    <w:rsid w:val="001B6036"/>
    <w:rsid w:val="001D12B7"/>
    <w:rsid w:val="001D1423"/>
    <w:rsid w:val="001D252D"/>
    <w:rsid w:val="001D2C83"/>
    <w:rsid w:val="001D770D"/>
    <w:rsid w:val="001E4C5A"/>
    <w:rsid w:val="001E4FF9"/>
    <w:rsid w:val="001E546A"/>
    <w:rsid w:val="001F0259"/>
    <w:rsid w:val="001F0F15"/>
    <w:rsid w:val="001F294A"/>
    <w:rsid w:val="002046B8"/>
    <w:rsid w:val="002103AB"/>
    <w:rsid w:val="00217716"/>
    <w:rsid w:val="00224E00"/>
    <w:rsid w:val="00226575"/>
    <w:rsid w:val="00227FCC"/>
    <w:rsid w:val="00233F56"/>
    <w:rsid w:val="002451BF"/>
    <w:rsid w:val="00245222"/>
    <w:rsid w:val="00246C39"/>
    <w:rsid w:val="00262AA8"/>
    <w:rsid w:val="00271D31"/>
    <w:rsid w:val="0027478E"/>
    <w:rsid w:val="00274AED"/>
    <w:rsid w:val="00284717"/>
    <w:rsid w:val="00293837"/>
    <w:rsid w:val="00294803"/>
    <w:rsid w:val="00294FB9"/>
    <w:rsid w:val="002971D3"/>
    <w:rsid w:val="002A25FC"/>
    <w:rsid w:val="002A3614"/>
    <w:rsid w:val="002A7EE6"/>
    <w:rsid w:val="002B12CE"/>
    <w:rsid w:val="002B54D3"/>
    <w:rsid w:val="002C2F0B"/>
    <w:rsid w:val="002C447E"/>
    <w:rsid w:val="002C770E"/>
    <w:rsid w:val="002D72FE"/>
    <w:rsid w:val="002D7F28"/>
    <w:rsid w:val="002E4C11"/>
    <w:rsid w:val="002E4E73"/>
    <w:rsid w:val="00312DCC"/>
    <w:rsid w:val="003148EB"/>
    <w:rsid w:val="00315140"/>
    <w:rsid w:val="00321523"/>
    <w:rsid w:val="00330DA2"/>
    <w:rsid w:val="00331231"/>
    <w:rsid w:val="00335849"/>
    <w:rsid w:val="003406BB"/>
    <w:rsid w:val="00343596"/>
    <w:rsid w:val="003538FB"/>
    <w:rsid w:val="00354817"/>
    <w:rsid w:val="0036232F"/>
    <w:rsid w:val="00363785"/>
    <w:rsid w:val="00363F54"/>
    <w:rsid w:val="00372A42"/>
    <w:rsid w:val="003739CC"/>
    <w:rsid w:val="0037734E"/>
    <w:rsid w:val="00384CF6"/>
    <w:rsid w:val="00386D41"/>
    <w:rsid w:val="0038761E"/>
    <w:rsid w:val="00391861"/>
    <w:rsid w:val="00392C2D"/>
    <w:rsid w:val="00393F21"/>
    <w:rsid w:val="0039624B"/>
    <w:rsid w:val="003A1E62"/>
    <w:rsid w:val="003A5140"/>
    <w:rsid w:val="003B28C2"/>
    <w:rsid w:val="003C06E2"/>
    <w:rsid w:val="003C0959"/>
    <w:rsid w:val="003D055F"/>
    <w:rsid w:val="003D196B"/>
    <w:rsid w:val="003D3743"/>
    <w:rsid w:val="003D7F70"/>
    <w:rsid w:val="003E1A91"/>
    <w:rsid w:val="003E2053"/>
    <w:rsid w:val="003E36B3"/>
    <w:rsid w:val="003F06EE"/>
    <w:rsid w:val="003F2559"/>
    <w:rsid w:val="003F302B"/>
    <w:rsid w:val="003F45F4"/>
    <w:rsid w:val="003F47E3"/>
    <w:rsid w:val="003F6220"/>
    <w:rsid w:val="00401D9A"/>
    <w:rsid w:val="004070B5"/>
    <w:rsid w:val="004103EA"/>
    <w:rsid w:val="00412133"/>
    <w:rsid w:val="0041458C"/>
    <w:rsid w:val="004168E0"/>
    <w:rsid w:val="004254F3"/>
    <w:rsid w:val="00426838"/>
    <w:rsid w:val="0042771F"/>
    <w:rsid w:val="00431095"/>
    <w:rsid w:val="00432C70"/>
    <w:rsid w:val="00436667"/>
    <w:rsid w:val="004429FE"/>
    <w:rsid w:val="00444669"/>
    <w:rsid w:val="00444EA1"/>
    <w:rsid w:val="00446C2B"/>
    <w:rsid w:val="004475FD"/>
    <w:rsid w:val="00451149"/>
    <w:rsid w:val="00453665"/>
    <w:rsid w:val="0045475F"/>
    <w:rsid w:val="004559BE"/>
    <w:rsid w:val="00456598"/>
    <w:rsid w:val="0046054A"/>
    <w:rsid w:val="00464737"/>
    <w:rsid w:val="004676DA"/>
    <w:rsid w:val="0047002E"/>
    <w:rsid w:val="00472E12"/>
    <w:rsid w:val="00474B74"/>
    <w:rsid w:val="00480F3E"/>
    <w:rsid w:val="00482419"/>
    <w:rsid w:val="00482E41"/>
    <w:rsid w:val="00486202"/>
    <w:rsid w:val="00487A25"/>
    <w:rsid w:val="00491910"/>
    <w:rsid w:val="0049301E"/>
    <w:rsid w:val="00497B03"/>
    <w:rsid w:val="004A16BF"/>
    <w:rsid w:val="004A438B"/>
    <w:rsid w:val="004A529A"/>
    <w:rsid w:val="004A7C60"/>
    <w:rsid w:val="004B3198"/>
    <w:rsid w:val="004B4815"/>
    <w:rsid w:val="004B594C"/>
    <w:rsid w:val="004B66ED"/>
    <w:rsid w:val="004C165C"/>
    <w:rsid w:val="004C4087"/>
    <w:rsid w:val="004D105B"/>
    <w:rsid w:val="004D2C3C"/>
    <w:rsid w:val="004E15FC"/>
    <w:rsid w:val="004E1DCE"/>
    <w:rsid w:val="004E1E35"/>
    <w:rsid w:val="004E3F5D"/>
    <w:rsid w:val="004E7AAB"/>
    <w:rsid w:val="004F15A2"/>
    <w:rsid w:val="004F5878"/>
    <w:rsid w:val="004F631F"/>
    <w:rsid w:val="0050144E"/>
    <w:rsid w:val="00501567"/>
    <w:rsid w:val="005076F6"/>
    <w:rsid w:val="00507894"/>
    <w:rsid w:val="00510D21"/>
    <w:rsid w:val="005114F8"/>
    <w:rsid w:val="005127F0"/>
    <w:rsid w:val="0051404B"/>
    <w:rsid w:val="005175A1"/>
    <w:rsid w:val="00536823"/>
    <w:rsid w:val="005445B6"/>
    <w:rsid w:val="00545FD7"/>
    <w:rsid w:val="005515A9"/>
    <w:rsid w:val="00551AE8"/>
    <w:rsid w:val="00552C85"/>
    <w:rsid w:val="0055458D"/>
    <w:rsid w:val="00555E93"/>
    <w:rsid w:val="00565054"/>
    <w:rsid w:val="005676F6"/>
    <w:rsid w:val="00576240"/>
    <w:rsid w:val="00576CC7"/>
    <w:rsid w:val="00581127"/>
    <w:rsid w:val="00581C30"/>
    <w:rsid w:val="00582F4D"/>
    <w:rsid w:val="0058592F"/>
    <w:rsid w:val="00585AC2"/>
    <w:rsid w:val="0059575C"/>
    <w:rsid w:val="00596414"/>
    <w:rsid w:val="00596EBE"/>
    <w:rsid w:val="005A2263"/>
    <w:rsid w:val="005A4CDA"/>
    <w:rsid w:val="005A6167"/>
    <w:rsid w:val="005C3B27"/>
    <w:rsid w:val="005C6007"/>
    <w:rsid w:val="005D2D87"/>
    <w:rsid w:val="005E1247"/>
    <w:rsid w:val="005E1FDB"/>
    <w:rsid w:val="005E5306"/>
    <w:rsid w:val="005E5C93"/>
    <w:rsid w:val="005E5EF4"/>
    <w:rsid w:val="005E6093"/>
    <w:rsid w:val="005E673B"/>
    <w:rsid w:val="005E7DE7"/>
    <w:rsid w:val="005F16CC"/>
    <w:rsid w:val="005F2BCD"/>
    <w:rsid w:val="005F3523"/>
    <w:rsid w:val="005F4DF3"/>
    <w:rsid w:val="005F6504"/>
    <w:rsid w:val="00600488"/>
    <w:rsid w:val="00600824"/>
    <w:rsid w:val="00601553"/>
    <w:rsid w:val="00602320"/>
    <w:rsid w:val="00603B81"/>
    <w:rsid w:val="00607CF5"/>
    <w:rsid w:val="00610CCC"/>
    <w:rsid w:val="00614327"/>
    <w:rsid w:val="00621165"/>
    <w:rsid w:val="00621745"/>
    <w:rsid w:val="00622584"/>
    <w:rsid w:val="006240C5"/>
    <w:rsid w:val="00625BF5"/>
    <w:rsid w:val="00631229"/>
    <w:rsid w:val="00631E7D"/>
    <w:rsid w:val="00632717"/>
    <w:rsid w:val="0063680B"/>
    <w:rsid w:val="00640A12"/>
    <w:rsid w:val="00640AA2"/>
    <w:rsid w:val="00641A4C"/>
    <w:rsid w:val="006508BC"/>
    <w:rsid w:val="006709F5"/>
    <w:rsid w:val="00672A44"/>
    <w:rsid w:val="006739FB"/>
    <w:rsid w:val="006766A6"/>
    <w:rsid w:val="006815E3"/>
    <w:rsid w:val="00682D58"/>
    <w:rsid w:val="006846AC"/>
    <w:rsid w:val="00686122"/>
    <w:rsid w:val="00696009"/>
    <w:rsid w:val="0069688A"/>
    <w:rsid w:val="006A167D"/>
    <w:rsid w:val="006B1B76"/>
    <w:rsid w:val="006B228A"/>
    <w:rsid w:val="006B3F5A"/>
    <w:rsid w:val="006C1BC8"/>
    <w:rsid w:val="006C304C"/>
    <w:rsid w:val="006D120D"/>
    <w:rsid w:val="006D7229"/>
    <w:rsid w:val="006E3115"/>
    <w:rsid w:val="006E7F56"/>
    <w:rsid w:val="006F0604"/>
    <w:rsid w:val="006F2FB0"/>
    <w:rsid w:val="006F77DF"/>
    <w:rsid w:val="006F7F2E"/>
    <w:rsid w:val="00700204"/>
    <w:rsid w:val="00701969"/>
    <w:rsid w:val="00701A1B"/>
    <w:rsid w:val="00701BC5"/>
    <w:rsid w:val="00705BE8"/>
    <w:rsid w:val="00711364"/>
    <w:rsid w:val="00711970"/>
    <w:rsid w:val="007137C3"/>
    <w:rsid w:val="00717903"/>
    <w:rsid w:val="00726BC0"/>
    <w:rsid w:val="00732113"/>
    <w:rsid w:val="007327DD"/>
    <w:rsid w:val="007334DD"/>
    <w:rsid w:val="007373BF"/>
    <w:rsid w:val="00742136"/>
    <w:rsid w:val="00751161"/>
    <w:rsid w:val="00754D78"/>
    <w:rsid w:val="00755CCC"/>
    <w:rsid w:val="00763AE9"/>
    <w:rsid w:val="00765A8D"/>
    <w:rsid w:val="007715D5"/>
    <w:rsid w:val="007767C1"/>
    <w:rsid w:val="007811F5"/>
    <w:rsid w:val="0078204C"/>
    <w:rsid w:val="00782AC6"/>
    <w:rsid w:val="007851C9"/>
    <w:rsid w:val="007852D7"/>
    <w:rsid w:val="00787F55"/>
    <w:rsid w:val="007910CD"/>
    <w:rsid w:val="0079131D"/>
    <w:rsid w:val="00791518"/>
    <w:rsid w:val="00792140"/>
    <w:rsid w:val="00796D2C"/>
    <w:rsid w:val="007A4112"/>
    <w:rsid w:val="007A4B6F"/>
    <w:rsid w:val="007A7C50"/>
    <w:rsid w:val="007B2B28"/>
    <w:rsid w:val="007B5253"/>
    <w:rsid w:val="007C7C4C"/>
    <w:rsid w:val="007D06D0"/>
    <w:rsid w:val="007D1381"/>
    <w:rsid w:val="007D3DB6"/>
    <w:rsid w:val="007D5AD8"/>
    <w:rsid w:val="007D609D"/>
    <w:rsid w:val="007E034F"/>
    <w:rsid w:val="007E3890"/>
    <w:rsid w:val="007E65F2"/>
    <w:rsid w:val="007E7693"/>
    <w:rsid w:val="007F3570"/>
    <w:rsid w:val="007F3630"/>
    <w:rsid w:val="007F3796"/>
    <w:rsid w:val="007F5E07"/>
    <w:rsid w:val="00801569"/>
    <w:rsid w:val="00805C3E"/>
    <w:rsid w:val="00810E17"/>
    <w:rsid w:val="00813C43"/>
    <w:rsid w:val="008150E3"/>
    <w:rsid w:val="008241E5"/>
    <w:rsid w:val="00827B22"/>
    <w:rsid w:val="0083082B"/>
    <w:rsid w:val="00836FFF"/>
    <w:rsid w:val="00837CE2"/>
    <w:rsid w:val="0084196E"/>
    <w:rsid w:val="0084200F"/>
    <w:rsid w:val="008428E8"/>
    <w:rsid w:val="00842967"/>
    <w:rsid w:val="0084692B"/>
    <w:rsid w:val="00851D65"/>
    <w:rsid w:val="008539A6"/>
    <w:rsid w:val="00854734"/>
    <w:rsid w:val="00856FA5"/>
    <w:rsid w:val="00860A7A"/>
    <w:rsid w:val="0086404D"/>
    <w:rsid w:val="008670CF"/>
    <w:rsid w:val="008718C9"/>
    <w:rsid w:val="008820B8"/>
    <w:rsid w:val="00882991"/>
    <w:rsid w:val="00895691"/>
    <w:rsid w:val="008A03DC"/>
    <w:rsid w:val="008A3A26"/>
    <w:rsid w:val="008A3D5B"/>
    <w:rsid w:val="008A779B"/>
    <w:rsid w:val="008B12B0"/>
    <w:rsid w:val="008B1EA4"/>
    <w:rsid w:val="008C1356"/>
    <w:rsid w:val="008C3E1F"/>
    <w:rsid w:val="008C4CBD"/>
    <w:rsid w:val="008D124B"/>
    <w:rsid w:val="008D1F27"/>
    <w:rsid w:val="008E0F6A"/>
    <w:rsid w:val="008E1392"/>
    <w:rsid w:val="008E32E2"/>
    <w:rsid w:val="008E7D24"/>
    <w:rsid w:val="008F1866"/>
    <w:rsid w:val="009069BC"/>
    <w:rsid w:val="009071AC"/>
    <w:rsid w:val="00911059"/>
    <w:rsid w:val="00912134"/>
    <w:rsid w:val="00920132"/>
    <w:rsid w:val="00920F7B"/>
    <w:rsid w:val="00924082"/>
    <w:rsid w:val="00924FF0"/>
    <w:rsid w:val="009303C5"/>
    <w:rsid w:val="00937A2E"/>
    <w:rsid w:val="00942801"/>
    <w:rsid w:val="0094614F"/>
    <w:rsid w:val="0096113B"/>
    <w:rsid w:val="009619E2"/>
    <w:rsid w:val="00963891"/>
    <w:rsid w:val="009657FF"/>
    <w:rsid w:val="0096602B"/>
    <w:rsid w:val="009670CD"/>
    <w:rsid w:val="00972157"/>
    <w:rsid w:val="00972CCC"/>
    <w:rsid w:val="00976EAA"/>
    <w:rsid w:val="00977CDC"/>
    <w:rsid w:val="00983C4E"/>
    <w:rsid w:val="00983D8D"/>
    <w:rsid w:val="0098518F"/>
    <w:rsid w:val="00986898"/>
    <w:rsid w:val="00991239"/>
    <w:rsid w:val="00997570"/>
    <w:rsid w:val="009A2A0F"/>
    <w:rsid w:val="009A45E4"/>
    <w:rsid w:val="009A6C19"/>
    <w:rsid w:val="009B186C"/>
    <w:rsid w:val="009B297B"/>
    <w:rsid w:val="009C18F1"/>
    <w:rsid w:val="009C350F"/>
    <w:rsid w:val="009C5288"/>
    <w:rsid w:val="009C55AF"/>
    <w:rsid w:val="009D5207"/>
    <w:rsid w:val="009D7978"/>
    <w:rsid w:val="009E2B71"/>
    <w:rsid w:val="009E5783"/>
    <w:rsid w:val="009F4B34"/>
    <w:rsid w:val="009F5A1D"/>
    <w:rsid w:val="00A00E31"/>
    <w:rsid w:val="00A011D4"/>
    <w:rsid w:val="00A01319"/>
    <w:rsid w:val="00A0210E"/>
    <w:rsid w:val="00A02961"/>
    <w:rsid w:val="00A037E8"/>
    <w:rsid w:val="00A03BFF"/>
    <w:rsid w:val="00A06A7F"/>
    <w:rsid w:val="00A11FC2"/>
    <w:rsid w:val="00A121A7"/>
    <w:rsid w:val="00A17BD3"/>
    <w:rsid w:val="00A20803"/>
    <w:rsid w:val="00A23885"/>
    <w:rsid w:val="00A24A7C"/>
    <w:rsid w:val="00A24C10"/>
    <w:rsid w:val="00A25815"/>
    <w:rsid w:val="00A26A1A"/>
    <w:rsid w:val="00A33049"/>
    <w:rsid w:val="00A33F35"/>
    <w:rsid w:val="00A37119"/>
    <w:rsid w:val="00A4036C"/>
    <w:rsid w:val="00A413C7"/>
    <w:rsid w:val="00A41FED"/>
    <w:rsid w:val="00A4336F"/>
    <w:rsid w:val="00A447D2"/>
    <w:rsid w:val="00A52F3E"/>
    <w:rsid w:val="00A555EC"/>
    <w:rsid w:val="00A5649F"/>
    <w:rsid w:val="00A60C24"/>
    <w:rsid w:val="00A67AFC"/>
    <w:rsid w:val="00A806A7"/>
    <w:rsid w:val="00A8163F"/>
    <w:rsid w:val="00A9041D"/>
    <w:rsid w:val="00A93C05"/>
    <w:rsid w:val="00A95A77"/>
    <w:rsid w:val="00AA2410"/>
    <w:rsid w:val="00AB46B0"/>
    <w:rsid w:val="00AC04FA"/>
    <w:rsid w:val="00AC6A3A"/>
    <w:rsid w:val="00AD29CB"/>
    <w:rsid w:val="00AE0901"/>
    <w:rsid w:val="00AE2FAE"/>
    <w:rsid w:val="00AE4E90"/>
    <w:rsid w:val="00AF66A7"/>
    <w:rsid w:val="00B12E6E"/>
    <w:rsid w:val="00B2012F"/>
    <w:rsid w:val="00B24C51"/>
    <w:rsid w:val="00B27AA0"/>
    <w:rsid w:val="00B35392"/>
    <w:rsid w:val="00B42B0A"/>
    <w:rsid w:val="00B44F75"/>
    <w:rsid w:val="00B462B8"/>
    <w:rsid w:val="00B46C7F"/>
    <w:rsid w:val="00B46F71"/>
    <w:rsid w:val="00B47357"/>
    <w:rsid w:val="00B5271E"/>
    <w:rsid w:val="00B6067C"/>
    <w:rsid w:val="00B62305"/>
    <w:rsid w:val="00B66EAA"/>
    <w:rsid w:val="00B72A89"/>
    <w:rsid w:val="00B733FB"/>
    <w:rsid w:val="00B734EF"/>
    <w:rsid w:val="00B81107"/>
    <w:rsid w:val="00B8262D"/>
    <w:rsid w:val="00B831A5"/>
    <w:rsid w:val="00B835D0"/>
    <w:rsid w:val="00B85566"/>
    <w:rsid w:val="00B90724"/>
    <w:rsid w:val="00B90ED0"/>
    <w:rsid w:val="00B92F12"/>
    <w:rsid w:val="00BB3CAE"/>
    <w:rsid w:val="00BC0983"/>
    <w:rsid w:val="00BC4A0F"/>
    <w:rsid w:val="00BD16D6"/>
    <w:rsid w:val="00BD1850"/>
    <w:rsid w:val="00BE0248"/>
    <w:rsid w:val="00BE515D"/>
    <w:rsid w:val="00BE6364"/>
    <w:rsid w:val="00C04131"/>
    <w:rsid w:val="00C079BE"/>
    <w:rsid w:val="00C12B3E"/>
    <w:rsid w:val="00C13F3D"/>
    <w:rsid w:val="00C21279"/>
    <w:rsid w:val="00C24875"/>
    <w:rsid w:val="00C26AE7"/>
    <w:rsid w:val="00C34138"/>
    <w:rsid w:val="00C35458"/>
    <w:rsid w:val="00C3550F"/>
    <w:rsid w:val="00C432B2"/>
    <w:rsid w:val="00C43BE5"/>
    <w:rsid w:val="00C43E5F"/>
    <w:rsid w:val="00C44FFE"/>
    <w:rsid w:val="00C51622"/>
    <w:rsid w:val="00C577EA"/>
    <w:rsid w:val="00C72DE1"/>
    <w:rsid w:val="00C81C10"/>
    <w:rsid w:val="00C83919"/>
    <w:rsid w:val="00C95C98"/>
    <w:rsid w:val="00C97939"/>
    <w:rsid w:val="00CA25BF"/>
    <w:rsid w:val="00CA5E1A"/>
    <w:rsid w:val="00CB1A24"/>
    <w:rsid w:val="00CB5584"/>
    <w:rsid w:val="00CB5615"/>
    <w:rsid w:val="00CC10B6"/>
    <w:rsid w:val="00CC6947"/>
    <w:rsid w:val="00CD31AE"/>
    <w:rsid w:val="00CD53C6"/>
    <w:rsid w:val="00CE0302"/>
    <w:rsid w:val="00CE0DA1"/>
    <w:rsid w:val="00CE11CC"/>
    <w:rsid w:val="00CE1FBF"/>
    <w:rsid w:val="00CE594E"/>
    <w:rsid w:val="00CF3316"/>
    <w:rsid w:val="00D01016"/>
    <w:rsid w:val="00D05FEE"/>
    <w:rsid w:val="00D236EC"/>
    <w:rsid w:val="00D262C8"/>
    <w:rsid w:val="00D32EFC"/>
    <w:rsid w:val="00D32F50"/>
    <w:rsid w:val="00D37406"/>
    <w:rsid w:val="00D37ED4"/>
    <w:rsid w:val="00D40F4D"/>
    <w:rsid w:val="00D41DF6"/>
    <w:rsid w:val="00D42B46"/>
    <w:rsid w:val="00D47F61"/>
    <w:rsid w:val="00D52688"/>
    <w:rsid w:val="00D526A5"/>
    <w:rsid w:val="00D53FD0"/>
    <w:rsid w:val="00D55622"/>
    <w:rsid w:val="00D55C69"/>
    <w:rsid w:val="00D64212"/>
    <w:rsid w:val="00D8238C"/>
    <w:rsid w:val="00D84F72"/>
    <w:rsid w:val="00D907FB"/>
    <w:rsid w:val="00D90982"/>
    <w:rsid w:val="00D91A4D"/>
    <w:rsid w:val="00D929D6"/>
    <w:rsid w:val="00D955AC"/>
    <w:rsid w:val="00DA0DF3"/>
    <w:rsid w:val="00DB62F2"/>
    <w:rsid w:val="00DC04F4"/>
    <w:rsid w:val="00DC6FFC"/>
    <w:rsid w:val="00DE0AFF"/>
    <w:rsid w:val="00DE3866"/>
    <w:rsid w:val="00DF0532"/>
    <w:rsid w:val="00DF564D"/>
    <w:rsid w:val="00DF58E6"/>
    <w:rsid w:val="00DF632C"/>
    <w:rsid w:val="00E00786"/>
    <w:rsid w:val="00E01411"/>
    <w:rsid w:val="00E13DF0"/>
    <w:rsid w:val="00E1491A"/>
    <w:rsid w:val="00E14EC8"/>
    <w:rsid w:val="00E17E84"/>
    <w:rsid w:val="00E202FC"/>
    <w:rsid w:val="00E219CD"/>
    <w:rsid w:val="00E252DA"/>
    <w:rsid w:val="00E26853"/>
    <w:rsid w:val="00E279CE"/>
    <w:rsid w:val="00E30D04"/>
    <w:rsid w:val="00E34117"/>
    <w:rsid w:val="00E41A9A"/>
    <w:rsid w:val="00E430F3"/>
    <w:rsid w:val="00E44815"/>
    <w:rsid w:val="00E44B6D"/>
    <w:rsid w:val="00E46BF9"/>
    <w:rsid w:val="00E47B14"/>
    <w:rsid w:val="00E50FB7"/>
    <w:rsid w:val="00E52AAB"/>
    <w:rsid w:val="00E5546F"/>
    <w:rsid w:val="00E56CED"/>
    <w:rsid w:val="00E60379"/>
    <w:rsid w:val="00E63B66"/>
    <w:rsid w:val="00E63CAB"/>
    <w:rsid w:val="00E66433"/>
    <w:rsid w:val="00E66C93"/>
    <w:rsid w:val="00E67B43"/>
    <w:rsid w:val="00E74BDE"/>
    <w:rsid w:val="00E7776A"/>
    <w:rsid w:val="00E85CCF"/>
    <w:rsid w:val="00E947A4"/>
    <w:rsid w:val="00E961B7"/>
    <w:rsid w:val="00EA1774"/>
    <w:rsid w:val="00EA54DB"/>
    <w:rsid w:val="00EA55C4"/>
    <w:rsid w:val="00EA59A8"/>
    <w:rsid w:val="00EB5D0C"/>
    <w:rsid w:val="00EB6DBE"/>
    <w:rsid w:val="00EB70DF"/>
    <w:rsid w:val="00EC011C"/>
    <w:rsid w:val="00EC3F6E"/>
    <w:rsid w:val="00EC418B"/>
    <w:rsid w:val="00ED377F"/>
    <w:rsid w:val="00ED561E"/>
    <w:rsid w:val="00ED6927"/>
    <w:rsid w:val="00EE09FF"/>
    <w:rsid w:val="00EF0598"/>
    <w:rsid w:val="00EF08DE"/>
    <w:rsid w:val="00EF13D7"/>
    <w:rsid w:val="00EF24CC"/>
    <w:rsid w:val="00EF5CD2"/>
    <w:rsid w:val="00EF7725"/>
    <w:rsid w:val="00F007CD"/>
    <w:rsid w:val="00F018E4"/>
    <w:rsid w:val="00F03DE7"/>
    <w:rsid w:val="00F044D5"/>
    <w:rsid w:val="00F05178"/>
    <w:rsid w:val="00F0530F"/>
    <w:rsid w:val="00F13252"/>
    <w:rsid w:val="00F17EDB"/>
    <w:rsid w:val="00F24D29"/>
    <w:rsid w:val="00F313FB"/>
    <w:rsid w:val="00F316A0"/>
    <w:rsid w:val="00F3557F"/>
    <w:rsid w:val="00F364F3"/>
    <w:rsid w:val="00F44C09"/>
    <w:rsid w:val="00F46FC9"/>
    <w:rsid w:val="00F50F67"/>
    <w:rsid w:val="00F632ED"/>
    <w:rsid w:val="00F63379"/>
    <w:rsid w:val="00F67B75"/>
    <w:rsid w:val="00F71278"/>
    <w:rsid w:val="00F71740"/>
    <w:rsid w:val="00F842BB"/>
    <w:rsid w:val="00F85292"/>
    <w:rsid w:val="00FA2027"/>
    <w:rsid w:val="00FA4B11"/>
    <w:rsid w:val="00FA50A2"/>
    <w:rsid w:val="00FA72AF"/>
    <w:rsid w:val="00FC028C"/>
    <w:rsid w:val="00FC7574"/>
    <w:rsid w:val="00FD0733"/>
    <w:rsid w:val="00FD188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2C2D"/>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3151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15140"/>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rsid w:val="00782AC6"/>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3743"/>
    <w:pPr>
      <w:ind w:left="720"/>
      <w:contextualSpacing/>
    </w:pPr>
  </w:style>
  <w:style w:type="paragraph" w:styleId="Ballontekst">
    <w:name w:val="Balloon Text"/>
    <w:basedOn w:val="Standaard"/>
    <w:link w:val="BallontekstChar"/>
    <w:uiPriority w:val="99"/>
    <w:semiHidden/>
    <w:unhideWhenUsed/>
    <w:rsid w:val="003D3743"/>
    <w:rPr>
      <w:rFonts w:ascii="Tahoma" w:hAnsi="Tahoma" w:cs="Tahoma"/>
      <w:sz w:val="16"/>
      <w:szCs w:val="16"/>
    </w:rPr>
  </w:style>
  <w:style w:type="character" w:customStyle="1" w:styleId="BallontekstChar">
    <w:name w:val="Ballontekst Char"/>
    <w:basedOn w:val="Standaardalinea-lettertype"/>
    <w:link w:val="Ballontekst"/>
    <w:uiPriority w:val="99"/>
    <w:semiHidden/>
    <w:rsid w:val="003D3743"/>
    <w:rPr>
      <w:rFonts w:ascii="Tahoma" w:hAnsi="Tahoma" w:cs="Tahoma"/>
      <w:sz w:val="16"/>
      <w:szCs w:val="16"/>
    </w:rPr>
  </w:style>
  <w:style w:type="paragraph" w:styleId="Voetnoottekst">
    <w:name w:val="footnote text"/>
    <w:aliases w:val="tekst,Footnote Text Char,DTE-Voetnoottekst,Car Char,Car,Char,5_G,DTE-V,Footnote Tex"/>
    <w:basedOn w:val="Standaard"/>
    <w:link w:val="VoetnoottekstChar"/>
    <w:unhideWhenUsed/>
    <w:qFormat/>
    <w:rsid w:val="008B1EA4"/>
    <w:pPr>
      <w:spacing w:after="120"/>
    </w:pPr>
    <w:rPr>
      <w:sz w:val="20"/>
      <w:szCs w:val="20"/>
    </w:rPr>
  </w:style>
  <w:style w:type="character" w:customStyle="1" w:styleId="VoetnoottekstChar">
    <w:name w:val="Voetnoottekst Char"/>
    <w:aliases w:val="tekst Char,Footnote Text Char Char,DTE-Voetnoottekst Char,Car Char Char,Car Char1,Char Char,5_G Char,DTE-V Char,Footnote Tex Char"/>
    <w:basedOn w:val="Standaardalinea-lettertype"/>
    <w:link w:val="Voetnoottekst"/>
    <w:rsid w:val="008B1EA4"/>
    <w:rPr>
      <w:rFonts w:ascii="Times New Roman" w:hAnsi="Times New Roman"/>
      <w:sz w:val="20"/>
      <w:szCs w:val="20"/>
    </w:rPr>
  </w:style>
  <w:style w:type="character" w:styleId="Voetnootmarkering">
    <w:name w:val="footnote reference"/>
    <w:aliases w:val="4_G"/>
    <w:basedOn w:val="Standaardalinea-lettertype"/>
    <w:unhideWhenUsed/>
    <w:rsid w:val="00581C30"/>
    <w:rPr>
      <w:vertAlign w:val="superscript"/>
    </w:rPr>
  </w:style>
  <w:style w:type="paragraph" w:styleId="Titel">
    <w:name w:val="Title"/>
    <w:basedOn w:val="Standaard"/>
    <w:next w:val="Standaard"/>
    <w:link w:val="TitelChar"/>
    <w:uiPriority w:val="10"/>
    <w:qFormat/>
    <w:rsid w:val="003151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15140"/>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315140"/>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315140"/>
    <w:rPr>
      <w:sz w:val="16"/>
      <w:szCs w:val="16"/>
    </w:rPr>
  </w:style>
  <w:style w:type="paragraph" w:styleId="Tekstopmerking">
    <w:name w:val="annotation text"/>
    <w:basedOn w:val="Standaard"/>
    <w:link w:val="TekstopmerkingChar"/>
    <w:uiPriority w:val="99"/>
    <w:semiHidden/>
    <w:unhideWhenUsed/>
    <w:rsid w:val="00315140"/>
    <w:rPr>
      <w:sz w:val="20"/>
      <w:szCs w:val="20"/>
    </w:rPr>
  </w:style>
  <w:style w:type="character" w:customStyle="1" w:styleId="TekstopmerkingChar">
    <w:name w:val="Tekst opmerking Char"/>
    <w:basedOn w:val="Standaardalinea-lettertype"/>
    <w:link w:val="Tekstopmerking"/>
    <w:uiPriority w:val="99"/>
    <w:semiHidden/>
    <w:rsid w:val="00315140"/>
    <w:rPr>
      <w:sz w:val="20"/>
      <w:szCs w:val="20"/>
    </w:rPr>
  </w:style>
  <w:style w:type="character" w:customStyle="1" w:styleId="Kop2Char">
    <w:name w:val="Kop 2 Char"/>
    <w:basedOn w:val="Standaardalinea-lettertype"/>
    <w:link w:val="Kop2"/>
    <w:uiPriority w:val="9"/>
    <w:rsid w:val="00315140"/>
    <w:rPr>
      <w:rFonts w:asciiTheme="majorHAnsi" w:eastAsiaTheme="majorEastAsia" w:hAnsiTheme="majorHAnsi" w:cstheme="majorBidi"/>
      <w:b/>
      <w:bCs/>
      <w:color w:val="4F81BD" w:themeColor="accent1"/>
      <w:sz w:val="26"/>
      <w:szCs w:val="26"/>
      <w:lang w:val="en-US"/>
    </w:rPr>
  </w:style>
  <w:style w:type="paragraph" w:styleId="Geenafstand">
    <w:name w:val="No Spacing"/>
    <w:uiPriority w:val="1"/>
    <w:qFormat/>
    <w:rsid w:val="00315140"/>
    <w:pPr>
      <w:spacing w:after="0" w:line="240" w:lineRule="auto"/>
    </w:pPr>
  </w:style>
  <w:style w:type="character" w:customStyle="1" w:styleId="Kop3Char">
    <w:name w:val="Kop 3 Char"/>
    <w:basedOn w:val="Standaardalinea-lettertype"/>
    <w:link w:val="Kop3"/>
    <w:uiPriority w:val="9"/>
    <w:rsid w:val="00782AC6"/>
    <w:rPr>
      <w:rFonts w:asciiTheme="majorHAnsi" w:eastAsiaTheme="majorEastAsia" w:hAnsiTheme="majorHAnsi" w:cstheme="majorBidi"/>
      <w:b/>
      <w:bCs/>
      <w:color w:val="4F81BD" w:themeColor="accent1"/>
    </w:rPr>
  </w:style>
  <w:style w:type="paragraph" w:styleId="Normaalweb">
    <w:name w:val="Normal (Web)"/>
    <w:basedOn w:val="Standaard"/>
    <w:uiPriority w:val="99"/>
    <w:rsid w:val="00D32F50"/>
    <w:pPr>
      <w:spacing w:beforeLines="1" w:afterLines="1"/>
    </w:pPr>
    <w:rPr>
      <w:rFonts w:ascii="Times" w:hAnsi="Times"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7D1381"/>
    <w:rPr>
      <w:b/>
      <w:bCs/>
    </w:rPr>
  </w:style>
  <w:style w:type="character" w:customStyle="1" w:styleId="OnderwerpvanopmerkingChar">
    <w:name w:val="Onderwerp van opmerking Char"/>
    <w:basedOn w:val="TekstopmerkingChar"/>
    <w:link w:val="Onderwerpvanopmerking"/>
    <w:uiPriority w:val="99"/>
    <w:semiHidden/>
    <w:rsid w:val="007D1381"/>
    <w:rPr>
      <w:rFonts w:ascii="Times New Roman" w:hAnsi="Times New Roman"/>
      <w:b/>
      <w:bCs/>
      <w:sz w:val="20"/>
      <w:szCs w:val="20"/>
    </w:rPr>
  </w:style>
  <w:style w:type="paragraph" w:styleId="Koptekst">
    <w:name w:val="header"/>
    <w:basedOn w:val="Standaard"/>
    <w:link w:val="KoptekstChar"/>
    <w:uiPriority w:val="99"/>
    <w:semiHidden/>
    <w:unhideWhenUsed/>
    <w:rsid w:val="00DF632C"/>
    <w:pPr>
      <w:tabs>
        <w:tab w:val="center" w:pos="4536"/>
        <w:tab w:val="right" w:pos="9072"/>
      </w:tabs>
    </w:pPr>
  </w:style>
  <w:style w:type="character" w:customStyle="1" w:styleId="KoptekstChar">
    <w:name w:val="Koptekst Char"/>
    <w:basedOn w:val="Standaardalinea-lettertype"/>
    <w:link w:val="Koptekst"/>
    <w:uiPriority w:val="99"/>
    <w:semiHidden/>
    <w:rsid w:val="00DF632C"/>
    <w:rPr>
      <w:rFonts w:ascii="Times New Roman" w:hAnsi="Times New Roman"/>
      <w:sz w:val="24"/>
    </w:rPr>
  </w:style>
  <w:style w:type="paragraph" w:styleId="Voettekst">
    <w:name w:val="footer"/>
    <w:basedOn w:val="Standaard"/>
    <w:link w:val="VoettekstChar"/>
    <w:uiPriority w:val="99"/>
    <w:semiHidden/>
    <w:unhideWhenUsed/>
    <w:rsid w:val="00DF632C"/>
    <w:pPr>
      <w:tabs>
        <w:tab w:val="center" w:pos="4536"/>
        <w:tab w:val="right" w:pos="9072"/>
      </w:tabs>
    </w:pPr>
  </w:style>
  <w:style w:type="character" w:customStyle="1" w:styleId="VoettekstChar">
    <w:name w:val="Voettekst Char"/>
    <w:basedOn w:val="Standaardalinea-lettertype"/>
    <w:link w:val="Voettekst"/>
    <w:uiPriority w:val="99"/>
    <w:semiHidden/>
    <w:rsid w:val="00DF632C"/>
    <w:rPr>
      <w:rFonts w:ascii="Times New Roman" w:hAnsi="Times New Roman"/>
      <w:sz w:val="24"/>
    </w:rPr>
  </w:style>
  <w:style w:type="paragraph" w:styleId="Documentstructuur">
    <w:name w:val="Document Map"/>
    <w:basedOn w:val="Standaard"/>
    <w:link w:val="DocumentstructuurChar"/>
    <w:uiPriority w:val="99"/>
    <w:semiHidden/>
    <w:unhideWhenUsed/>
    <w:rsid w:val="00456598"/>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456598"/>
    <w:rPr>
      <w:rFonts w:ascii="Tahoma" w:hAnsi="Tahoma" w:cs="Tahoma"/>
      <w:sz w:val="16"/>
      <w:szCs w:val="16"/>
    </w:rPr>
  </w:style>
  <w:style w:type="paragraph" w:styleId="Revisie">
    <w:name w:val="Revision"/>
    <w:hidden/>
    <w:uiPriority w:val="99"/>
    <w:semiHidden/>
    <w:rsid w:val="001D2C83"/>
    <w:pPr>
      <w:spacing w:after="0" w:line="240" w:lineRule="auto"/>
    </w:pPr>
    <w:rPr>
      <w:rFonts w:ascii="Times New Roman" w:hAnsi="Times New Roman"/>
      <w:sz w:val="24"/>
    </w:rPr>
  </w:style>
  <w:style w:type="paragraph" w:styleId="Kopvaninhoudsopgave">
    <w:name w:val="TOC Heading"/>
    <w:basedOn w:val="Kop1"/>
    <w:next w:val="Standaard"/>
    <w:uiPriority w:val="39"/>
    <w:semiHidden/>
    <w:unhideWhenUsed/>
    <w:qFormat/>
    <w:rsid w:val="007A7C50"/>
    <w:pPr>
      <w:spacing w:line="276" w:lineRule="auto"/>
      <w:jc w:val="left"/>
      <w:outlineLvl w:val="9"/>
    </w:pPr>
    <w:rPr>
      <w:lang w:eastAsia="nl-BE"/>
    </w:rPr>
  </w:style>
  <w:style w:type="paragraph" w:styleId="Inhopg1">
    <w:name w:val="toc 1"/>
    <w:basedOn w:val="Standaard"/>
    <w:next w:val="Standaard"/>
    <w:autoRedefine/>
    <w:uiPriority w:val="39"/>
    <w:unhideWhenUsed/>
    <w:rsid w:val="007A7C50"/>
    <w:pPr>
      <w:spacing w:after="100"/>
    </w:pPr>
  </w:style>
  <w:style w:type="paragraph" w:styleId="Inhopg2">
    <w:name w:val="toc 2"/>
    <w:basedOn w:val="Standaard"/>
    <w:next w:val="Standaard"/>
    <w:autoRedefine/>
    <w:uiPriority w:val="39"/>
    <w:unhideWhenUsed/>
    <w:rsid w:val="007A7C50"/>
    <w:pPr>
      <w:spacing w:after="100"/>
      <w:ind w:left="240"/>
    </w:pPr>
  </w:style>
  <w:style w:type="paragraph" w:styleId="Inhopg3">
    <w:name w:val="toc 3"/>
    <w:basedOn w:val="Standaard"/>
    <w:next w:val="Standaard"/>
    <w:autoRedefine/>
    <w:uiPriority w:val="39"/>
    <w:unhideWhenUsed/>
    <w:rsid w:val="007A7C50"/>
    <w:pPr>
      <w:spacing w:after="100"/>
      <w:ind w:left="480"/>
    </w:pPr>
  </w:style>
  <w:style w:type="character" w:styleId="Hyperlink">
    <w:name w:val="Hyperlink"/>
    <w:basedOn w:val="Standaardalinea-lettertype"/>
    <w:uiPriority w:val="99"/>
    <w:unhideWhenUsed/>
    <w:rsid w:val="007A7C5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92C2D"/>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3151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315140"/>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Kop3">
    <w:name w:val="heading 3"/>
    <w:basedOn w:val="Standaard"/>
    <w:next w:val="Standaard"/>
    <w:link w:val="Kop3Char"/>
    <w:uiPriority w:val="9"/>
    <w:unhideWhenUsed/>
    <w:qFormat/>
    <w:rsid w:val="00782AC6"/>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D3743"/>
    <w:pPr>
      <w:ind w:left="720"/>
      <w:contextualSpacing/>
    </w:pPr>
  </w:style>
  <w:style w:type="paragraph" w:styleId="Ballontekst">
    <w:name w:val="Balloon Text"/>
    <w:basedOn w:val="Standaard"/>
    <w:link w:val="BallontekstChar"/>
    <w:uiPriority w:val="99"/>
    <w:semiHidden/>
    <w:unhideWhenUsed/>
    <w:rsid w:val="003D3743"/>
    <w:rPr>
      <w:rFonts w:ascii="Tahoma" w:hAnsi="Tahoma" w:cs="Tahoma"/>
      <w:sz w:val="16"/>
      <w:szCs w:val="16"/>
    </w:rPr>
  </w:style>
  <w:style w:type="character" w:customStyle="1" w:styleId="BallontekstChar">
    <w:name w:val="Ballontekst Char"/>
    <w:basedOn w:val="Standaardalinea-lettertype"/>
    <w:link w:val="Ballontekst"/>
    <w:uiPriority w:val="99"/>
    <w:semiHidden/>
    <w:rsid w:val="003D3743"/>
    <w:rPr>
      <w:rFonts w:ascii="Tahoma" w:hAnsi="Tahoma" w:cs="Tahoma"/>
      <w:sz w:val="16"/>
      <w:szCs w:val="16"/>
    </w:rPr>
  </w:style>
  <w:style w:type="paragraph" w:styleId="Voetnoottekst">
    <w:name w:val="footnote text"/>
    <w:aliases w:val="tekst,Footnote Text Char,DTE-Voetnoottekst,Car Char,Car,Char,5_G,DTE-V,Footnote Tex"/>
    <w:basedOn w:val="Standaard"/>
    <w:link w:val="VoetnoottekstChar"/>
    <w:unhideWhenUsed/>
    <w:qFormat/>
    <w:rsid w:val="008B1EA4"/>
    <w:pPr>
      <w:spacing w:after="120"/>
    </w:pPr>
    <w:rPr>
      <w:sz w:val="20"/>
      <w:szCs w:val="20"/>
    </w:rPr>
  </w:style>
  <w:style w:type="character" w:customStyle="1" w:styleId="VoetnoottekstChar">
    <w:name w:val="Voetnoottekst Char"/>
    <w:aliases w:val="tekst Char,Footnote Text Char Char,DTE-Voetnoottekst Char,Car Char Char,Car Char1,Char Char,5_G Char,DTE-V Char,Footnote Tex Char"/>
    <w:basedOn w:val="Standaardalinea-lettertype"/>
    <w:link w:val="Voetnoottekst"/>
    <w:rsid w:val="008B1EA4"/>
    <w:rPr>
      <w:rFonts w:ascii="Times New Roman" w:hAnsi="Times New Roman"/>
      <w:sz w:val="20"/>
      <w:szCs w:val="20"/>
    </w:rPr>
  </w:style>
  <w:style w:type="character" w:styleId="Voetnootmarkering">
    <w:name w:val="footnote reference"/>
    <w:aliases w:val="4_G"/>
    <w:basedOn w:val="Standaardalinea-lettertype"/>
    <w:unhideWhenUsed/>
    <w:rsid w:val="00581C30"/>
    <w:rPr>
      <w:vertAlign w:val="superscript"/>
    </w:rPr>
  </w:style>
  <w:style w:type="paragraph" w:styleId="Titel">
    <w:name w:val="Title"/>
    <w:basedOn w:val="Standaard"/>
    <w:next w:val="Standaard"/>
    <w:link w:val="TitelChar"/>
    <w:uiPriority w:val="10"/>
    <w:qFormat/>
    <w:rsid w:val="0031514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15140"/>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315140"/>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315140"/>
    <w:rPr>
      <w:sz w:val="16"/>
      <w:szCs w:val="16"/>
    </w:rPr>
  </w:style>
  <w:style w:type="paragraph" w:styleId="Tekstopmerking">
    <w:name w:val="annotation text"/>
    <w:basedOn w:val="Standaard"/>
    <w:link w:val="TekstopmerkingChar"/>
    <w:uiPriority w:val="99"/>
    <w:semiHidden/>
    <w:unhideWhenUsed/>
    <w:rsid w:val="00315140"/>
    <w:rPr>
      <w:sz w:val="20"/>
      <w:szCs w:val="20"/>
    </w:rPr>
  </w:style>
  <w:style w:type="character" w:customStyle="1" w:styleId="TekstopmerkingChar">
    <w:name w:val="Tekst opmerking Char"/>
    <w:basedOn w:val="Standaardalinea-lettertype"/>
    <w:link w:val="Tekstopmerking"/>
    <w:uiPriority w:val="99"/>
    <w:semiHidden/>
    <w:rsid w:val="00315140"/>
    <w:rPr>
      <w:sz w:val="20"/>
      <w:szCs w:val="20"/>
    </w:rPr>
  </w:style>
  <w:style w:type="character" w:customStyle="1" w:styleId="Kop2Char">
    <w:name w:val="Kop 2 Char"/>
    <w:basedOn w:val="Standaardalinea-lettertype"/>
    <w:link w:val="Kop2"/>
    <w:uiPriority w:val="9"/>
    <w:rsid w:val="00315140"/>
    <w:rPr>
      <w:rFonts w:asciiTheme="majorHAnsi" w:eastAsiaTheme="majorEastAsia" w:hAnsiTheme="majorHAnsi" w:cstheme="majorBidi"/>
      <w:b/>
      <w:bCs/>
      <w:color w:val="4F81BD" w:themeColor="accent1"/>
      <w:sz w:val="26"/>
      <w:szCs w:val="26"/>
      <w:lang w:val="en-US"/>
    </w:rPr>
  </w:style>
  <w:style w:type="paragraph" w:styleId="Geenafstand">
    <w:name w:val="No Spacing"/>
    <w:uiPriority w:val="1"/>
    <w:qFormat/>
    <w:rsid w:val="00315140"/>
    <w:pPr>
      <w:spacing w:after="0" w:line="240" w:lineRule="auto"/>
    </w:pPr>
  </w:style>
  <w:style w:type="character" w:customStyle="1" w:styleId="Kop3Char">
    <w:name w:val="Kop 3 Char"/>
    <w:basedOn w:val="Standaardalinea-lettertype"/>
    <w:link w:val="Kop3"/>
    <w:uiPriority w:val="9"/>
    <w:rsid w:val="00782AC6"/>
    <w:rPr>
      <w:rFonts w:asciiTheme="majorHAnsi" w:eastAsiaTheme="majorEastAsia" w:hAnsiTheme="majorHAnsi" w:cstheme="majorBidi"/>
      <w:b/>
      <w:bCs/>
      <w:color w:val="4F81BD" w:themeColor="accent1"/>
    </w:rPr>
  </w:style>
  <w:style w:type="paragraph" w:styleId="Normaalweb">
    <w:name w:val="Normal (Web)"/>
    <w:basedOn w:val="Standaard"/>
    <w:uiPriority w:val="99"/>
    <w:rsid w:val="00D32F50"/>
    <w:pPr>
      <w:spacing w:beforeLines="1" w:afterLines="1"/>
    </w:pPr>
    <w:rPr>
      <w:rFonts w:ascii="Times" w:hAnsi="Times"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7D1381"/>
    <w:rPr>
      <w:b/>
      <w:bCs/>
    </w:rPr>
  </w:style>
  <w:style w:type="character" w:customStyle="1" w:styleId="OnderwerpvanopmerkingChar">
    <w:name w:val="Onderwerp van opmerking Char"/>
    <w:basedOn w:val="TekstopmerkingChar"/>
    <w:link w:val="Onderwerpvanopmerking"/>
    <w:uiPriority w:val="99"/>
    <w:semiHidden/>
    <w:rsid w:val="007D1381"/>
    <w:rPr>
      <w:rFonts w:ascii="Times New Roman" w:hAnsi="Times New Roman"/>
      <w:b/>
      <w:bCs/>
      <w:sz w:val="20"/>
      <w:szCs w:val="20"/>
    </w:rPr>
  </w:style>
  <w:style w:type="paragraph" w:styleId="Koptekst">
    <w:name w:val="header"/>
    <w:basedOn w:val="Standaard"/>
    <w:link w:val="KoptekstChar"/>
    <w:uiPriority w:val="99"/>
    <w:semiHidden/>
    <w:unhideWhenUsed/>
    <w:rsid w:val="00DF632C"/>
    <w:pPr>
      <w:tabs>
        <w:tab w:val="center" w:pos="4536"/>
        <w:tab w:val="right" w:pos="9072"/>
      </w:tabs>
    </w:pPr>
  </w:style>
  <w:style w:type="character" w:customStyle="1" w:styleId="KoptekstChar">
    <w:name w:val="Koptekst Char"/>
    <w:basedOn w:val="Standaardalinea-lettertype"/>
    <w:link w:val="Koptekst"/>
    <w:uiPriority w:val="99"/>
    <w:semiHidden/>
    <w:rsid w:val="00DF632C"/>
    <w:rPr>
      <w:rFonts w:ascii="Times New Roman" w:hAnsi="Times New Roman"/>
      <w:sz w:val="24"/>
    </w:rPr>
  </w:style>
  <w:style w:type="paragraph" w:styleId="Voettekst">
    <w:name w:val="footer"/>
    <w:basedOn w:val="Standaard"/>
    <w:link w:val="VoettekstChar"/>
    <w:uiPriority w:val="99"/>
    <w:semiHidden/>
    <w:unhideWhenUsed/>
    <w:rsid w:val="00DF632C"/>
    <w:pPr>
      <w:tabs>
        <w:tab w:val="center" w:pos="4536"/>
        <w:tab w:val="right" w:pos="9072"/>
      </w:tabs>
    </w:pPr>
  </w:style>
  <w:style w:type="character" w:customStyle="1" w:styleId="VoettekstChar">
    <w:name w:val="Voettekst Char"/>
    <w:basedOn w:val="Standaardalinea-lettertype"/>
    <w:link w:val="Voettekst"/>
    <w:uiPriority w:val="99"/>
    <w:semiHidden/>
    <w:rsid w:val="00DF632C"/>
    <w:rPr>
      <w:rFonts w:ascii="Times New Roman" w:hAnsi="Times New Roman"/>
      <w:sz w:val="24"/>
    </w:rPr>
  </w:style>
  <w:style w:type="paragraph" w:styleId="Documentstructuur">
    <w:name w:val="Document Map"/>
    <w:basedOn w:val="Standaard"/>
    <w:link w:val="DocumentstructuurChar"/>
    <w:uiPriority w:val="99"/>
    <w:semiHidden/>
    <w:unhideWhenUsed/>
    <w:rsid w:val="00456598"/>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456598"/>
    <w:rPr>
      <w:rFonts w:ascii="Tahoma" w:hAnsi="Tahoma" w:cs="Tahoma"/>
      <w:sz w:val="16"/>
      <w:szCs w:val="16"/>
    </w:rPr>
  </w:style>
  <w:style w:type="paragraph" w:styleId="Revisie">
    <w:name w:val="Revision"/>
    <w:hidden/>
    <w:uiPriority w:val="99"/>
    <w:semiHidden/>
    <w:rsid w:val="001D2C83"/>
    <w:pPr>
      <w:spacing w:after="0" w:line="240" w:lineRule="auto"/>
    </w:pPr>
    <w:rPr>
      <w:rFonts w:ascii="Times New Roman" w:hAnsi="Times New Roman"/>
      <w:sz w:val="24"/>
    </w:rPr>
  </w:style>
  <w:style w:type="paragraph" w:styleId="Kopvaninhoudsopgave">
    <w:name w:val="TOC Heading"/>
    <w:basedOn w:val="Kop1"/>
    <w:next w:val="Standaard"/>
    <w:uiPriority w:val="39"/>
    <w:semiHidden/>
    <w:unhideWhenUsed/>
    <w:qFormat/>
    <w:rsid w:val="007A7C50"/>
    <w:pPr>
      <w:spacing w:line="276" w:lineRule="auto"/>
      <w:jc w:val="left"/>
      <w:outlineLvl w:val="9"/>
    </w:pPr>
    <w:rPr>
      <w:lang w:eastAsia="nl-BE"/>
    </w:rPr>
  </w:style>
  <w:style w:type="paragraph" w:styleId="Inhopg1">
    <w:name w:val="toc 1"/>
    <w:basedOn w:val="Standaard"/>
    <w:next w:val="Standaard"/>
    <w:autoRedefine/>
    <w:uiPriority w:val="39"/>
    <w:unhideWhenUsed/>
    <w:rsid w:val="007A7C50"/>
    <w:pPr>
      <w:spacing w:after="100"/>
    </w:pPr>
  </w:style>
  <w:style w:type="paragraph" w:styleId="Inhopg2">
    <w:name w:val="toc 2"/>
    <w:basedOn w:val="Standaard"/>
    <w:next w:val="Standaard"/>
    <w:autoRedefine/>
    <w:uiPriority w:val="39"/>
    <w:unhideWhenUsed/>
    <w:rsid w:val="007A7C50"/>
    <w:pPr>
      <w:spacing w:after="100"/>
      <w:ind w:left="240"/>
    </w:pPr>
  </w:style>
  <w:style w:type="paragraph" w:styleId="Inhopg3">
    <w:name w:val="toc 3"/>
    <w:basedOn w:val="Standaard"/>
    <w:next w:val="Standaard"/>
    <w:autoRedefine/>
    <w:uiPriority w:val="39"/>
    <w:unhideWhenUsed/>
    <w:rsid w:val="007A7C50"/>
    <w:pPr>
      <w:spacing w:after="100"/>
      <w:ind w:left="480"/>
    </w:pPr>
  </w:style>
  <w:style w:type="character" w:styleId="Hyperlink">
    <w:name w:val="Hyperlink"/>
    <w:basedOn w:val="Standaardalinea-lettertype"/>
    <w:uiPriority w:val="99"/>
    <w:unhideWhenUsed/>
    <w:rsid w:val="007A7C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577010">
      <w:bodyDiv w:val="1"/>
      <w:marLeft w:val="0"/>
      <w:marRight w:val="0"/>
      <w:marTop w:val="0"/>
      <w:marBottom w:val="0"/>
      <w:divBdr>
        <w:top w:val="none" w:sz="0" w:space="0" w:color="auto"/>
        <w:left w:val="none" w:sz="0" w:space="0" w:color="auto"/>
        <w:bottom w:val="none" w:sz="0" w:space="0" w:color="auto"/>
        <w:right w:val="none" w:sz="0" w:space="0" w:color="auto"/>
      </w:divBdr>
    </w:div>
    <w:div w:id="168022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E2E84-4EE4-49D4-897B-28E9BEFB255F}">
  <ds:schemaRefs>
    <ds:schemaRef ds:uri="http://schemas.openxmlformats.org/officeDocument/2006/bibliography"/>
  </ds:schemaRefs>
</ds:datastoreItem>
</file>

<file path=customXml/itemProps2.xml><?xml version="1.0" encoding="utf-8"?>
<ds:datastoreItem xmlns:ds="http://schemas.openxmlformats.org/officeDocument/2006/customXml" ds:itemID="{96A3B225-D82C-42CA-8FD9-47BDF6AD4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73</Pages>
  <Words>30217</Words>
  <Characters>166198</Characters>
  <Application>Microsoft Office Word</Application>
  <DocSecurity>0</DocSecurity>
  <Lines>1384</Lines>
  <Paragraphs>392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Van Nieuwenhove</dc:creator>
  <cp:lastModifiedBy>Jeroen Van Nieuwenhove</cp:lastModifiedBy>
  <cp:revision>8</cp:revision>
  <dcterms:created xsi:type="dcterms:W3CDTF">2017-10-13T15:06:00Z</dcterms:created>
  <dcterms:modified xsi:type="dcterms:W3CDTF">2017-10-13T15:12:00Z</dcterms:modified>
</cp:coreProperties>
</file>