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8777EB" w14:textId="126F1AD9" w:rsidR="00C44AC6" w:rsidRDefault="00907D2D" w:rsidP="00907D2D">
      <w:pPr>
        <w:pStyle w:val="Titre"/>
        <w:jc w:val="center"/>
      </w:pPr>
      <w:r>
        <w:t xml:space="preserve">Le </w:t>
      </w:r>
      <w:r w:rsidR="00F448A8">
        <w:t xml:space="preserve">nouveau </w:t>
      </w:r>
      <w:r>
        <w:t>droit de propriété</w:t>
      </w:r>
    </w:p>
    <w:p w14:paraId="11A149C9" w14:textId="6B1573D2" w:rsidR="00907D2D" w:rsidRDefault="00907D2D" w:rsidP="00907D2D"/>
    <w:p w14:paraId="310939DF" w14:textId="3B9D7C54" w:rsidR="00907D2D" w:rsidRDefault="000B2E29" w:rsidP="000B2E29">
      <w:pPr>
        <w:jc w:val="right"/>
      </w:pPr>
      <w:r>
        <w:t>Candice Roussieau</w:t>
      </w:r>
    </w:p>
    <w:p w14:paraId="23B7863F" w14:textId="1843635D" w:rsidR="000B2E29" w:rsidRPr="000B2E29" w:rsidRDefault="000B2E29" w:rsidP="000B2E29">
      <w:pPr>
        <w:jc w:val="right"/>
        <w:rPr>
          <w:i/>
          <w:iCs/>
        </w:rPr>
      </w:pPr>
      <w:r>
        <w:rPr>
          <w:i/>
          <w:iCs/>
        </w:rPr>
        <w:t>Assistante à l’UCLouvain</w:t>
      </w:r>
    </w:p>
    <w:p w14:paraId="30586701" w14:textId="77777777" w:rsidR="00907D2D" w:rsidRDefault="00907D2D" w:rsidP="00907D2D"/>
    <w:p w14:paraId="6F0DBDE3" w14:textId="28C22F04" w:rsidR="00907D2D" w:rsidRDefault="00907D2D" w:rsidP="00907D2D">
      <w:pPr>
        <w:pStyle w:val="Paragraphedeliste"/>
        <w:rPr>
          <w:b/>
          <w:bCs/>
          <w:sz w:val="28"/>
          <w:szCs w:val="28"/>
          <w:u w:val="single"/>
        </w:rPr>
      </w:pPr>
      <w:r>
        <w:rPr>
          <w:b/>
          <w:bCs/>
          <w:sz w:val="28"/>
          <w:szCs w:val="28"/>
          <w:u w:val="single"/>
        </w:rPr>
        <w:t>Introduction</w:t>
      </w:r>
    </w:p>
    <w:p w14:paraId="514A26BE" w14:textId="77777777" w:rsidR="00075431" w:rsidRDefault="00075431" w:rsidP="00907D2D"/>
    <w:p w14:paraId="5260576B" w14:textId="2496361F" w:rsidR="005B7167" w:rsidRDefault="00695A39" w:rsidP="00907D2D">
      <w:r>
        <w:rPr>
          <w:b/>
          <w:bCs/>
        </w:rPr>
        <w:t>1</w:t>
      </w:r>
      <w:r w:rsidR="002B18D2">
        <w:rPr>
          <w:b/>
          <w:bCs/>
        </w:rPr>
        <w:t>.</w:t>
      </w:r>
      <w:r w:rsidR="005923CF">
        <w:rPr>
          <w:b/>
          <w:bCs/>
        </w:rPr>
        <w:t xml:space="preserve"> </w:t>
      </w:r>
      <w:r w:rsidR="003B7F9D" w:rsidRPr="006E500C">
        <w:t xml:space="preserve">On ne saurait </w:t>
      </w:r>
      <w:r w:rsidR="00F448A8">
        <w:t xml:space="preserve">mieux </w:t>
      </w:r>
      <w:r w:rsidR="003B7F9D" w:rsidRPr="006E500C">
        <w:t>mettre en évidence l’importance du droit de propriété que les auteurs de la loi</w:t>
      </w:r>
      <w:r w:rsidR="00150348">
        <w:t xml:space="preserve"> du 4 février 2020</w:t>
      </w:r>
      <w:r w:rsidR="00150348">
        <w:rPr>
          <w:rStyle w:val="Appelnotedebasdep"/>
        </w:rPr>
        <w:footnoteReference w:id="1"/>
      </w:r>
      <w:r w:rsidR="003B7F9D" w:rsidRPr="006E500C">
        <w:t xml:space="preserve"> l’ont </w:t>
      </w:r>
      <w:r w:rsidR="006E500C">
        <w:t>eux-même</w:t>
      </w:r>
      <w:r w:rsidR="00576CA8">
        <w:t>s</w:t>
      </w:r>
      <w:r w:rsidR="006E500C">
        <w:t xml:space="preserve"> </w:t>
      </w:r>
      <w:r w:rsidR="003B7F9D" w:rsidRPr="006E500C">
        <w:t xml:space="preserve">fait : </w:t>
      </w:r>
      <w:r w:rsidR="00576CA8">
        <w:t>dans les travaux préparatoires, l</w:t>
      </w:r>
      <w:r w:rsidR="006E500C">
        <w:t>e droit</w:t>
      </w:r>
      <w:r w:rsidR="00576CA8">
        <w:t xml:space="preserve"> de propriété</w:t>
      </w:r>
      <w:r w:rsidR="00FD28F0" w:rsidRPr="00780855">
        <w:t xml:space="preserve"> </w:t>
      </w:r>
      <w:r w:rsidR="00881F59">
        <w:t xml:space="preserve">est qualifié </w:t>
      </w:r>
      <w:r w:rsidR="00FD28F0" w:rsidRPr="00780855">
        <w:t>de</w:t>
      </w:r>
      <w:r w:rsidR="00BC176D" w:rsidRPr="00780855">
        <w:t xml:space="preserve"> « pièce maîtres</w:t>
      </w:r>
      <w:r w:rsidR="005D38F8" w:rsidRPr="00780855">
        <w:t>se</w:t>
      </w:r>
      <w:r w:rsidR="00BC176D" w:rsidRPr="00780855">
        <w:t> </w:t>
      </w:r>
      <w:r w:rsidR="00FD28F0" w:rsidRPr="00780855">
        <w:t xml:space="preserve">des droits réels </w:t>
      </w:r>
      <w:r w:rsidR="00BC176D" w:rsidRPr="00780855">
        <w:t>»</w:t>
      </w:r>
      <w:r w:rsidR="005D38F8" w:rsidRPr="00780855">
        <w:rPr>
          <w:rStyle w:val="Appelnotedebasdep"/>
        </w:rPr>
        <w:footnoteReference w:id="2"/>
      </w:r>
      <w:r w:rsidR="00BC176D" w:rsidRPr="00780855">
        <w:t xml:space="preserve"> </w:t>
      </w:r>
      <w:r w:rsidR="00FD28F0" w:rsidRPr="00780855">
        <w:t>et sa définition</w:t>
      </w:r>
      <w:r w:rsidR="006E500C">
        <w:t xml:space="preserve"> y </w:t>
      </w:r>
      <w:r w:rsidR="00A524CA" w:rsidRPr="00780855">
        <w:t xml:space="preserve">est reconnue comme la </w:t>
      </w:r>
      <w:r w:rsidR="00F417D8" w:rsidRPr="00780855">
        <w:t>« pierre angulaire »</w:t>
      </w:r>
      <w:r w:rsidR="001310DF" w:rsidRPr="00780855">
        <w:t>, non seulement</w:t>
      </w:r>
      <w:r w:rsidR="00F417D8" w:rsidRPr="00780855">
        <w:t xml:space="preserve"> </w:t>
      </w:r>
      <w:r w:rsidR="00BC176D" w:rsidRPr="00780855">
        <w:t>du</w:t>
      </w:r>
      <w:r w:rsidR="00BC176D">
        <w:t xml:space="preserve"> droit des biens</w:t>
      </w:r>
      <w:r w:rsidR="009D66E1">
        <w:t xml:space="preserve">, mais </w:t>
      </w:r>
      <w:r w:rsidR="00510791">
        <w:t xml:space="preserve">plus largement </w:t>
      </w:r>
      <w:r w:rsidR="009D66E1">
        <w:t>du Code civil</w:t>
      </w:r>
      <w:r w:rsidR="009D66E1">
        <w:rPr>
          <w:rStyle w:val="Appelnotedebasdep"/>
        </w:rPr>
        <w:footnoteReference w:id="3"/>
      </w:r>
      <w:r w:rsidR="00F417D8">
        <w:t xml:space="preserve">. C’est ainsi naturellement que le </w:t>
      </w:r>
      <w:r w:rsidR="00150348">
        <w:t xml:space="preserve">législateur </w:t>
      </w:r>
      <w:r w:rsidR="004A3029">
        <w:t xml:space="preserve">réglemente </w:t>
      </w:r>
      <w:r w:rsidR="00D841AE">
        <w:t xml:space="preserve">la propriété </w:t>
      </w:r>
      <w:r w:rsidR="004A3029">
        <w:t xml:space="preserve">avant tout autre droit réel, juste après avoir présenté </w:t>
      </w:r>
      <w:r w:rsidR="007C5CB5">
        <w:t>les dispositions générales (titre 1</w:t>
      </w:r>
      <w:r w:rsidR="007C5CB5" w:rsidRPr="007C5CB5">
        <w:rPr>
          <w:vertAlign w:val="superscript"/>
        </w:rPr>
        <w:t>er</w:t>
      </w:r>
      <w:r w:rsidR="007C5CB5">
        <w:t xml:space="preserve">) et les classifications des biens (titre 2) qui, ensemble, forment la « boîte à outils » </w:t>
      </w:r>
      <w:r w:rsidR="005B7167">
        <w:t>du droit des biens.</w:t>
      </w:r>
    </w:p>
    <w:p w14:paraId="73A75115" w14:textId="77777777" w:rsidR="005B7167" w:rsidRDefault="005B7167" w:rsidP="00907D2D"/>
    <w:p w14:paraId="088800BF" w14:textId="282A48E7" w:rsidR="00B71DCE" w:rsidRDefault="00CB3934" w:rsidP="00907D2D">
      <w:r>
        <w:t>C’est ainsi dans l</w:t>
      </w:r>
      <w:r w:rsidR="00FA0F53">
        <w:t xml:space="preserve">e titre 3 du </w:t>
      </w:r>
      <w:r w:rsidR="00510791">
        <w:t>li</w:t>
      </w:r>
      <w:r w:rsidR="00FA0F53">
        <w:t>vre 3</w:t>
      </w:r>
      <w:r w:rsidR="00A62E48">
        <w:t xml:space="preserve"> </w:t>
      </w:r>
      <w:r w:rsidR="00967772">
        <w:t>que se trouvent</w:t>
      </w:r>
      <w:r w:rsidR="00A62E48">
        <w:t xml:space="preserve"> dorénavant </w:t>
      </w:r>
      <w:r w:rsidR="00F9030B">
        <w:t>les dispositions applicables</w:t>
      </w:r>
      <w:r w:rsidR="00FA0F53">
        <w:t xml:space="preserve"> </w:t>
      </w:r>
      <w:r w:rsidR="005B7167">
        <w:t xml:space="preserve">au droit de propriété. </w:t>
      </w:r>
      <w:r w:rsidR="0095442F">
        <w:t xml:space="preserve">Ce titre 3 </w:t>
      </w:r>
      <w:r w:rsidR="00550096">
        <w:t xml:space="preserve">présente </w:t>
      </w:r>
      <w:r w:rsidR="00190770">
        <w:t>trois sous-titres</w:t>
      </w:r>
      <w:r w:rsidR="009E3C4C">
        <w:t>, organisé</w:t>
      </w:r>
      <w:r w:rsidR="008E7D43">
        <w:t>s</w:t>
      </w:r>
      <w:r w:rsidR="009E3C4C">
        <w:t xml:space="preserve"> autour de la distinction entre les meubles et les immeubles. </w:t>
      </w:r>
      <w:r w:rsidR="008E7D43">
        <w:t>Le</w:t>
      </w:r>
      <w:r w:rsidR="00E449C7">
        <w:t xml:space="preserve"> premier sous-titre consacre</w:t>
      </w:r>
      <w:r w:rsidR="008E7D43">
        <w:t xml:space="preserve"> d’abord</w:t>
      </w:r>
      <w:r w:rsidR="00E449C7">
        <w:t xml:space="preserve"> les disposition</w:t>
      </w:r>
      <w:r w:rsidR="008E7D43">
        <w:t>s</w:t>
      </w:r>
      <w:r w:rsidR="00E449C7">
        <w:t xml:space="preserve"> générales, applicables au droit de propriété quel que soit son objet (C. civ., art. 3.50 à 3.55). </w:t>
      </w:r>
      <w:r w:rsidR="008E7D43">
        <w:t>L</w:t>
      </w:r>
      <w:r w:rsidR="00640F51">
        <w:t>e deuxième sous-titre</w:t>
      </w:r>
      <w:r w:rsidR="00413E2F">
        <w:t xml:space="preserve"> </w:t>
      </w:r>
      <w:r w:rsidR="00E449C7">
        <w:t>énonce</w:t>
      </w:r>
      <w:r w:rsidR="008E7D43">
        <w:t xml:space="preserve"> ensuite</w:t>
      </w:r>
      <w:r w:rsidR="00E449C7">
        <w:t xml:space="preserve"> les</w:t>
      </w:r>
      <w:r w:rsidR="00413E2F">
        <w:t xml:space="preserve"> dispositions relatives à la propriété mobilière</w:t>
      </w:r>
      <w:r w:rsidR="008E25FF">
        <w:t xml:space="preserve"> </w:t>
      </w:r>
      <w:r w:rsidR="00B71DCE">
        <w:t>(C. civ., art. 3.56 à 3.60)</w:t>
      </w:r>
      <w:r w:rsidR="00400236">
        <w:t xml:space="preserve"> et, e</w:t>
      </w:r>
      <w:r w:rsidR="00640F51">
        <w:t>nfin, le troisième sous-titre</w:t>
      </w:r>
      <w:r w:rsidR="007B348C">
        <w:t xml:space="preserve"> régit la propriété immobilière </w:t>
      </w:r>
      <w:r w:rsidR="00886EF9">
        <w:t xml:space="preserve">et organise le régime foncier du droit de propriété (C. civ., art. </w:t>
      </w:r>
      <w:r w:rsidR="00B71DCE">
        <w:t>3.61 à 3.67).</w:t>
      </w:r>
      <w:r w:rsidR="008E3631">
        <w:t xml:space="preserve"> </w:t>
      </w:r>
    </w:p>
    <w:p w14:paraId="1A9E70AD" w14:textId="4B555977" w:rsidR="00363BDC" w:rsidRDefault="00363BDC" w:rsidP="00907D2D"/>
    <w:p w14:paraId="28418704" w14:textId="5A751FE8" w:rsidR="00DC6FD3" w:rsidRDefault="00695A39" w:rsidP="00907D2D">
      <w:r>
        <w:rPr>
          <w:b/>
          <w:bCs/>
        </w:rPr>
        <w:t>2</w:t>
      </w:r>
      <w:r w:rsidR="00363BDC">
        <w:rPr>
          <w:b/>
          <w:bCs/>
        </w:rPr>
        <w:t xml:space="preserve">. </w:t>
      </w:r>
      <w:r w:rsidR="00F9030B">
        <w:t xml:space="preserve">Dans la présente contribution, nous </w:t>
      </w:r>
      <w:r w:rsidR="00386155">
        <w:t xml:space="preserve">avons fait le choix </w:t>
      </w:r>
      <w:r w:rsidR="00F9030B">
        <w:t>de nous écarter quelque peu de</w:t>
      </w:r>
      <w:r w:rsidR="00D43128">
        <w:t xml:space="preserve"> cette structure</w:t>
      </w:r>
      <w:r w:rsidR="008405FF">
        <w:t>, de sorte à présenter la matière par thématique</w:t>
      </w:r>
      <w:r w:rsidR="00C036A1">
        <w:t>s</w:t>
      </w:r>
      <w:r w:rsidR="008405FF">
        <w:t xml:space="preserve"> plutôt que dans l’ordre chronologique des dispositions</w:t>
      </w:r>
      <w:r w:rsidR="008405FF">
        <w:rPr>
          <w:rStyle w:val="Appelnotedebasdep"/>
        </w:rPr>
        <w:footnoteReference w:id="4"/>
      </w:r>
      <w:r w:rsidR="008405FF">
        <w:t>.</w:t>
      </w:r>
      <w:r w:rsidR="00BA740E">
        <w:t xml:space="preserve"> </w:t>
      </w:r>
    </w:p>
    <w:p w14:paraId="208D130E" w14:textId="77777777" w:rsidR="00DC6FD3" w:rsidRDefault="00DC6FD3" w:rsidP="00907D2D"/>
    <w:p w14:paraId="351418E4" w14:textId="793B8C63" w:rsidR="00DC6FD3" w:rsidRDefault="00BA740E" w:rsidP="00907D2D">
      <w:r>
        <w:t xml:space="preserve">Dans un premier chapitre, nous </w:t>
      </w:r>
      <w:r w:rsidR="00386155">
        <w:t>étudier</w:t>
      </w:r>
      <w:r>
        <w:t xml:space="preserve">ons les contours du droit de propriété, </w:t>
      </w:r>
      <w:r w:rsidR="00AE55C5">
        <w:t xml:space="preserve">en structurant notre analyse </w:t>
      </w:r>
      <w:r>
        <w:t xml:space="preserve">autour de quatre axes : </w:t>
      </w:r>
      <w:r w:rsidR="00753A84">
        <w:t xml:space="preserve">la définition et les prérogatives </w:t>
      </w:r>
      <w:r w:rsidR="00AA45E3">
        <w:t>attachées à la propriété</w:t>
      </w:r>
      <w:r w:rsidR="00753A84">
        <w:t>, les caractéristique</w:t>
      </w:r>
      <w:r w:rsidR="00DC6FD3">
        <w:t>s</w:t>
      </w:r>
      <w:r w:rsidR="00753A84">
        <w:t xml:space="preserve"> du droit de propriété, les limites apportées à celui-ci par le titre 3 du </w:t>
      </w:r>
      <w:r w:rsidR="00510791">
        <w:t>l</w:t>
      </w:r>
      <w:r w:rsidR="00753A84">
        <w:t>ivre 3 du Code civil et</w:t>
      </w:r>
      <w:r w:rsidR="00DC6FD3">
        <w:t>, enfin, les actions offertes au propriétaire ainsi que les modes de preuve de son droit.</w:t>
      </w:r>
    </w:p>
    <w:p w14:paraId="616E50FD" w14:textId="77777777" w:rsidR="00DC6FD3" w:rsidRDefault="00DC6FD3" w:rsidP="00907D2D"/>
    <w:p w14:paraId="2456020C" w14:textId="4A456C1C" w:rsidR="00363BDC" w:rsidRDefault="00753A84" w:rsidP="00907D2D">
      <w:r>
        <w:lastRenderedPageBreak/>
        <w:t xml:space="preserve"> </w:t>
      </w:r>
      <w:r w:rsidR="00DC6FD3">
        <w:t xml:space="preserve">Dans le deuxième chapitre, nous aborderons différents conflits </w:t>
      </w:r>
      <w:r w:rsidR="00742BD7">
        <w:t xml:space="preserve">potentiels </w:t>
      </w:r>
      <w:r w:rsidR="00967772">
        <w:t>entre propriétaires</w:t>
      </w:r>
      <w:r w:rsidR="00742BD7">
        <w:t xml:space="preserve"> auxquels</w:t>
      </w:r>
      <w:r w:rsidR="00DC6FD3">
        <w:t xml:space="preserve"> le législateur a expressément </w:t>
      </w:r>
      <w:r w:rsidR="00742BD7">
        <w:t xml:space="preserve">apporté une solution </w:t>
      </w:r>
      <w:r w:rsidR="00DC6FD3">
        <w:t xml:space="preserve">dans les dispositions du titre 3. </w:t>
      </w:r>
      <w:r w:rsidR="00F62E42">
        <w:t xml:space="preserve">Nous exposerons ainsi les </w:t>
      </w:r>
      <w:r w:rsidR="005B55B2">
        <w:t>nouvelles règle</w:t>
      </w:r>
      <w:r w:rsidR="00F62E42">
        <w:t xml:space="preserve">s régissant les limites horizontales de la propriété (bornage et droit de se clore), </w:t>
      </w:r>
      <w:r w:rsidR="00E677C5">
        <w:t>l’accession (tant mobilière qu’immobilière), l’empiètement et la transformation d’un bien meuble.</w:t>
      </w:r>
    </w:p>
    <w:p w14:paraId="1E8A5C3E" w14:textId="3D0180C7" w:rsidR="00E677C5" w:rsidRDefault="00E677C5" w:rsidP="00907D2D"/>
    <w:p w14:paraId="7DB62C5A" w14:textId="354603F3" w:rsidR="00E677C5" w:rsidRDefault="005B55B2" w:rsidP="00907D2D">
      <w:r>
        <w:t>Enfin, l</w:t>
      </w:r>
      <w:r w:rsidR="00E677C5">
        <w:t xml:space="preserve">e troisième chapitre sera l’occasion de présenter le sort réservé aux biens trouvés, </w:t>
      </w:r>
      <w:r w:rsidR="00E22D2A">
        <w:t>aux biens sans maître (meubles ou immeubles) et aux choses confiées à un détenteur et</w:t>
      </w:r>
      <w:r w:rsidR="00097DAC">
        <w:t xml:space="preserve"> </w:t>
      </w:r>
      <w:r w:rsidR="00E22D2A">
        <w:t>non enlevées</w:t>
      </w:r>
      <w:r w:rsidR="004C23EF">
        <w:t xml:space="preserve"> par leur propriétaire</w:t>
      </w:r>
      <w:r w:rsidR="00E22D2A">
        <w:t>.</w:t>
      </w:r>
    </w:p>
    <w:p w14:paraId="047A189A" w14:textId="5B0E78C1" w:rsidR="00097DAC" w:rsidRDefault="00097DAC" w:rsidP="00907D2D"/>
    <w:p w14:paraId="553B6669" w14:textId="2EF80F89" w:rsidR="00097DAC" w:rsidRPr="00363BDC" w:rsidRDefault="004C23EF" w:rsidP="00907D2D">
      <w:r>
        <w:t>No</w:t>
      </w:r>
      <w:r w:rsidR="00097DAC">
        <w:t xml:space="preserve">us conclurons </w:t>
      </w:r>
      <w:r>
        <w:t xml:space="preserve">finalement </w:t>
      </w:r>
      <w:r w:rsidR="00097DAC">
        <w:t xml:space="preserve">par quelques </w:t>
      </w:r>
      <w:r w:rsidR="00A83636">
        <w:t xml:space="preserve">réflexions d’ensemble en évoquant, notamment, l’application du droit transitoire aux dispositions </w:t>
      </w:r>
      <w:r w:rsidR="00757016">
        <w:t>présentées.</w:t>
      </w:r>
    </w:p>
    <w:p w14:paraId="2BE2595C" w14:textId="77777777" w:rsidR="00907D2D" w:rsidRDefault="00907D2D" w:rsidP="00907D2D"/>
    <w:p w14:paraId="4A10987D" w14:textId="1F09D744" w:rsidR="00907D2D" w:rsidRDefault="00C94160" w:rsidP="00907D2D">
      <w:pPr>
        <w:pStyle w:val="Paragraphedeliste"/>
        <w:numPr>
          <w:ilvl w:val="0"/>
          <w:numId w:val="1"/>
        </w:numPr>
        <w:rPr>
          <w:b/>
          <w:bCs/>
          <w:sz w:val="28"/>
          <w:szCs w:val="28"/>
          <w:u w:val="single"/>
        </w:rPr>
      </w:pPr>
      <w:r>
        <w:rPr>
          <w:b/>
          <w:bCs/>
          <w:sz w:val="28"/>
          <w:szCs w:val="28"/>
          <w:u w:val="single"/>
        </w:rPr>
        <w:t>Les c</w:t>
      </w:r>
      <w:r w:rsidR="00907D2D" w:rsidRPr="00907D2D">
        <w:rPr>
          <w:b/>
          <w:bCs/>
          <w:sz w:val="28"/>
          <w:szCs w:val="28"/>
          <w:u w:val="single"/>
        </w:rPr>
        <w:t>ontours du droit de propriété</w:t>
      </w:r>
    </w:p>
    <w:p w14:paraId="6C7648A2" w14:textId="77777777" w:rsidR="00907D2D" w:rsidRPr="00907D2D" w:rsidRDefault="00907D2D" w:rsidP="00907D2D"/>
    <w:p w14:paraId="7EB76F55" w14:textId="7EC0A54A" w:rsidR="00907D2D" w:rsidRDefault="00753A84" w:rsidP="00907D2D">
      <w:pPr>
        <w:pStyle w:val="Paragraphedeliste"/>
        <w:numPr>
          <w:ilvl w:val="1"/>
          <w:numId w:val="1"/>
        </w:numPr>
        <w:rPr>
          <w:b/>
          <w:bCs/>
          <w:sz w:val="24"/>
          <w:szCs w:val="24"/>
        </w:rPr>
      </w:pPr>
      <w:r>
        <w:rPr>
          <w:b/>
          <w:bCs/>
          <w:sz w:val="24"/>
          <w:szCs w:val="24"/>
        </w:rPr>
        <w:t>Définition</w:t>
      </w:r>
      <w:r w:rsidR="00907D2D" w:rsidRPr="00907D2D">
        <w:rPr>
          <w:b/>
          <w:bCs/>
          <w:sz w:val="24"/>
          <w:szCs w:val="24"/>
        </w:rPr>
        <w:t xml:space="preserve"> </w:t>
      </w:r>
      <w:r w:rsidR="00D0259C">
        <w:rPr>
          <w:b/>
          <w:bCs/>
          <w:sz w:val="24"/>
          <w:szCs w:val="24"/>
        </w:rPr>
        <w:t xml:space="preserve">de la propriété </w:t>
      </w:r>
      <w:r w:rsidR="00907D2D" w:rsidRPr="00907D2D">
        <w:rPr>
          <w:b/>
          <w:bCs/>
          <w:sz w:val="24"/>
          <w:szCs w:val="24"/>
        </w:rPr>
        <w:t>et prérogatives du propriétaire</w:t>
      </w:r>
    </w:p>
    <w:p w14:paraId="62B9E1C1" w14:textId="77777777" w:rsidR="00485479" w:rsidRDefault="00485479" w:rsidP="009D20D5"/>
    <w:p w14:paraId="4490D6CE" w14:textId="2F9E066A" w:rsidR="00907D2D" w:rsidRDefault="00695A39" w:rsidP="00907D2D">
      <w:r>
        <w:rPr>
          <w:b/>
          <w:bCs/>
        </w:rPr>
        <w:t>3</w:t>
      </w:r>
      <w:r w:rsidR="00DE2315" w:rsidRPr="00BC27AD">
        <w:rPr>
          <w:b/>
          <w:bCs/>
        </w:rPr>
        <w:t>.</w:t>
      </w:r>
      <w:r w:rsidR="0063486B" w:rsidRPr="00BC27AD">
        <w:rPr>
          <w:b/>
          <w:bCs/>
        </w:rPr>
        <w:t xml:space="preserve"> </w:t>
      </w:r>
      <w:r w:rsidR="0063486B" w:rsidRPr="00BC27AD">
        <w:t>L</w:t>
      </w:r>
      <w:r w:rsidR="00266D1A" w:rsidRPr="00BC27AD">
        <w:t xml:space="preserve">e titre 3 s’ouvre sur un </w:t>
      </w:r>
      <w:r w:rsidR="0063486B" w:rsidRPr="00BC27AD">
        <w:t xml:space="preserve">article </w:t>
      </w:r>
      <w:r w:rsidR="00266D1A" w:rsidRPr="00BC27AD">
        <w:t xml:space="preserve">3.50, contenant </w:t>
      </w:r>
      <w:r w:rsidR="0061537A">
        <w:t>la</w:t>
      </w:r>
      <w:r w:rsidR="00266D1A" w:rsidRPr="00BC27AD">
        <w:t xml:space="preserve"> définition d</w:t>
      </w:r>
      <w:r w:rsidR="00677E2F" w:rsidRPr="00BC27AD">
        <w:t>u droit de propriété</w:t>
      </w:r>
      <w:r w:rsidR="0061537A">
        <w:t>.</w:t>
      </w:r>
      <w:r w:rsidR="00677E2F" w:rsidRPr="00BC27AD">
        <w:t xml:space="preserve"> </w:t>
      </w:r>
      <w:r w:rsidR="0061537A">
        <w:t xml:space="preserve">Elle est </w:t>
      </w:r>
      <w:r w:rsidR="00677E2F" w:rsidRPr="00BC27AD">
        <w:t>énoncée comme suit : «</w:t>
      </w:r>
      <w:r w:rsidR="00BC27AD" w:rsidRPr="00BC27AD">
        <w:t xml:space="preserve"> </w:t>
      </w:r>
      <w:r w:rsidR="0061537A">
        <w:t>l</w:t>
      </w:r>
      <w:r w:rsidR="00BC27AD" w:rsidRPr="00BC27AD">
        <w:t>e droit de propriété confère directement au propriétaire le droit d'user de ce qui fait l'objet de son droit, d'en avoir la jouissance et d'en disposer. Le propriétaire a la plénitude des prérogatives, sous réserve des restrictions imposées par les lois, les règlements ou par les droits de tiers »</w:t>
      </w:r>
      <w:r w:rsidR="00677E2F" w:rsidRPr="00BC27AD">
        <w:t xml:space="preserve">. </w:t>
      </w:r>
    </w:p>
    <w:p w14:paraId="24D00368" w14:textId="15B1FB9A" w:rsidR="00847F28" w:rsidRDefault="00847F28" w:rsidP="00907D2D"/>
    <w:p w14:paraId="680E0F98" w14:textId="73F8F7EF" w:rsidR="00751F97" w:rsidRDefault="0024087D" w:rsidP="00907D2D">
      <w:r>
        <w:t xml:space="preserve">Observons, tout d’abord, que cette définition est impérative, en vertu de l’article </w:t>
      </w:r>
      <w:r w:rsidR="0024733A">
        <w:t>3.1 du Code civil</w:t>
      </w:r>
      <w:r w:rsidR="0024733A">
        <w:rPr>
          <w:rStyle w:val="Appelnotedebasdep"/>
        </w:rPr>
        <w:footnoteReference w:id="5"/>
      </w:r>
      <w:r w:rsidR="0024733A">
        <w:t>.</w:t>
      </w:r>
      <w:r w:rsidR="00E447D1">
        <w:t xml:space="preserve"> Les parties ne peuvent donc </w:t>
      </w:r>
      <w:r w:rsidR="007270EC">
        <w:t xml:space="preserve">déroger par convention </w:t>
      </w:r>
      <w:r w:rsidR="001523E7">
        <w:t>aux contours</w:t>
      </w:r>
      <w:r w:rsidR="007270EC">
        <w:t xml:space="preserve"> que le Code assigne au droit de propriété.</w:t>
      </w:r>
    </w:p>
    <w:p w14:paraId="5564E63C" w14:textId="1AE1700E" w:rsidR="007270EC" w:rsidRDefault="007270EC" w:rsidP="00907D2D"/>
    <w:p w14:paraId="55947DE9" w14:textId="23A7FB22" w:rsidR="007270EC" w:rsidRDefault="00C06F9C" w:rsidP="00907D2D">
      <w:r>
        <w:t>Ensuite, q</w:t>
      </w:r>
      <w:r w:rsidR="00720D11">
        <w:t>uant à la définition elle-même, elle met en évidence l’approche fonctionnelle</w:t>
      </w:r>
      <w:r w:rsidR="00720D11">
        <w:rPr>
          <w:rStyle w:val="Appelnotedebasdep"/>
        </w:rPr>
        <w:footnoteReference w:id="6"/>
      </w:r>
      <w:r w:rsidR="00720D11">
        <w:t xml:space="preserve"> chère aux auteurs de la loi. </w:t>
      </w:r>
      <w:r w:rsidR="00821B6D">
        <w:t xml:space="preserve">Le droit de propriété est défini par les prérogatives </w:t>
      </w:r>
      <w:r w:rsidR="00E91BC4">
        <w:t>qu’il confère</w:t>
      </w:r>
      <w:r w:rsidR="007E45F3">
        <w:t>, abstraction faite de</w:t>
      </w:r>
      <w:r w:rsidR="005778F9">
        <w:t xml:space="preserve"> </w:t>
      </w:r>
      <w:r w:rsidR="007E45F3">
        <w:t>c</w:t>
      </w:r>
      <w:r w:rsidR="005778F9">
        <w:t>onsidérations conceptuelles</w:t>
      </w:r>
      <w:r w:rsidR="0016471A">
        <w:rPr>
          <w:rStyle w:val="Appelnotedebasdep"/>
        </w:rPr>
        <w:footnoteReference w:id="7"/>
      </w:r>
      <w:r w:rsidR="006F5D3E">
        <w:t xml:space="preserve">. </w:t>
      </w:r>
      <w:r w:rsidR="00F342DE">
        <w:t>Le</w:t>
      </w:r>
      <w:r w:rsidR="000B351D">
        <w:t xml:space="preserve"> Code civil adopte ainsi une position neutre</w:t>
      </w:r>
      <w:r w:rsidR="005E0C74">
        <w:t xml:space="preserve"> et, p</w:t>
      </w:r>
      <w:r w:rsidR="007B31A4">
        <w:t>eut</w:t>
      </w:r>
      <w:r w:rsidR="005E0C74">
        <w:t>-on dire, respectueuse des sensibilités de chacun.</w:t>
      </w:r>
      <w:r w:rsidR="00F342DE">
        <w:t xml:space="preserve"> La définition </w:t>
      </w:r>
      <w:r w:rsidR="00943395">
        <w:t xml:space="preserve">précitée </w:t>
      </w:r>
      <w:r w:rsidR="00B21CD8">
        <w:t>se veut</w:t>
      </w:r>
      <w:r w:rsidR="00943395">
        <w:t xml:space="preserve"> </w:t>
      </w:r>
      <w:r w:rsidR="00326CD7">
        <w:t xml:space="preserve">également </w:t>
      </w:r>
      <w:r>
        <w:t>sans parti pris q</w:t>
      </w:r>
      <w:r w:rsidR="00943395">
        <w:t xml:space="preserve">uant à </w:t>
      </w:r>
      <w:r>
        <w:t xml:space="preserve">ce en quoi peut consister </w:t>
      </w:r>
      <w:r w:rsidR="00943395">
        <w:t>l’objet du droit de propriété</w:t>
      </w:r>
      <w:r w:rsidR="00326CD7">
        <w:t xml:space="preserve"> et n’entend pas trancher la question de savoir, notamment, </w:t>
      </w:r>
      <w:r w:rsidR="000E0E51">
        <w:t>si la propriété peut avoir pour objet un droit réel démembré ou une créance</w:t>
      </w:r>
      <w:r w:rsidR="00B37ABB">
        <w:rPr>
          <w:rStyle w:val="Appelnotedebasdep"/>
        </w:rPr>
        <w:footnoteReference w:id="8"/>
      </w:r>
      <w:r w:rsidR="000E0E51">
        <w:t>.</w:t>
      </w:r>
    </w:p>
    <w:p w14:paraId="36CF7923" w14:textId="7E59F9ED" w:rsidR="00320845" w:rsidRDefault="00320845" w:rsidP="00907D2D"/>
    <w:p w14:paraId="5CD5EA3D" w14:textId="4F7CC3D0" w:rsidR="00C06F9C" w:rsidRDefault="00C06F9C" w:rsidP="00907D2D">
      <w:r>
        <w:t>Enfin,</w:t>
      </w:r>
      <w:r w:rsidR="00A46A26">
        <w:t xml:space="preserve"> le droit de propriété ne s’exerce plus « de la manière la plus absolue », selon la formule empruntée à l’article 544 de l’ancien Code civil. Le Code reconnaît dorénavant au propriétaire </w:t>
      </w:r>
      <w:r w:rsidR="00A46A26" w:rsidRPr="00797E92">
        <w:t>« la plénitude des prérogatives », ceci « sous réserve des restrictions imposées par les lois, les règlements ou par les droits de tiers ».</w:t>
      </w:r>
      <w:r w:rsidR="00A46A26">
        <w:t xml:space="preserve"> Nous y reviendrons </w:t>
      </w:r>
      <w:r w:rsidR="00A46A26">
        <w:rPr>
          <w:i/>
          <w:iCs/>
        </w:rPr>
        <w:t>infra</w:t>
      </w:r>
      <w:r w:rsidR="00A46A26">
        <w:t xml:space="preserve"> (n° </w:t>
      </w:r>
      <w:r w:rsidR="00E37190">
        <w:t xml:space="preserve">6 </w:t>
      </w:r>
      <w:r w:rsidR="00A46A26">
        <w:t>et s.).</w:t>
      </w:r>
    </w:p>
    <w:p w14:paraId="1F12BF0D" w14:textId="2F386D58" w:rsidR="00C06F9C" w:rsidRDefault="00C06F9C" w:rsidP="00907D2D"/>
    <w:p w14:paraId="1977B52E" w14:textId="71C79A87" w:rsidR="00320845" w:rsidRDefault="005E17C0" w:rsidP="00907D2D">
      <w:r>
        <w:rPr>
          <w:b/>
          <w:bCs/>
        </w:rPr>
        <w:lastRenderedPageBreak/>
        <w:t>4</w:t>
      </w:r>
      <w:r w:rsidR="0006210B" w:rsidRPr="0006210B">
        <w:rPr>
          <w:b/>
          <w:bCs/>
        </w:rPr>
        <w:t xml:space="preserve">. </w:t>
      </w:r>
      <w:r w:rsidR="00E61BA3">
        <w:t>Les</w:t>
      </w:r>
      <w:r w:rsidR="00320845">
        <w:t xml:space="preserve"> prérogatives </w:t>
      </w:r>
      <w:r w:rsidR="005B21E7">
        <w:t>du propriétaire n’en demeurent pas moins larges puisqu</w:t>
      </w:r>
      <w:r w:rsidR="00266D36">
        <w:t>’il</w:t>
      </w:r>
      <w:r w:rsidR="00E731C0">
        <w:t xml:space="preserve"> se voit confier</w:t>
      </w:r>
      <w:r w:rsidR="00950AB5">
        <w:t xml:space="preserve"> « la plénitude » de celles-ci et, plus précisément,</w:t>
      </w:r>
      <w:r w:rsidR="00320845">
        <w:t xml:space="preserve"> l’usage, la jouissance et la disposition d’un bien. </w:t>
      </w:r>
      <w:r w:rsidR="0051416C">
        <w:t xml:space="preserve">Fort utilement, ces notions </w:t>
      </w:r>
      <w:r w:rsidR="00D17422">
        <w:t xml:space="preserve">sont définies </w:t>
      </w:r>
      <w:r w:rsidR="006B3BCD">
        <w:t>dans</w:t>
      </w:r>
      <w:r w:rsidR="00D17422">
        <w:t xml:space="preserve"> les travaux préparatoires</w:t>
      </w:r>
      <w:r w:rsidR="0006210B">
        <w:t>.</w:t>
      </w:r>
      <w:r w:rsidR="00D17422">
        <w:t xml:space="preserve"> Sans doute peut-on </w:t>
      </w:r>
      <w:r w:rsidR="006B3BCD">
        <w:t xml:space="preserve">simplement </w:t>
      </w:r>
      <w:r w:rsidR="00D17422">
        <w:t>regretter que ces développements n’aient pas trouvé place dans le texte de loi.</w:t>
      </w:r>
    </w:p>
    <w:p w14:paraId="53316A0D" w14:textId="29BE48DE" w:rsidR="00D17422" w:rsidRDefault="00D17422" w:rsidP="00907D2D"/>
    <w:p w14:paraId="03FE45D1" w14:textId="17A3BC17" w:rsidR="00D17422" w:rsidRDefault="00D17422" w:rsidP="00907D2D">
      <w:r>
        <w:t xml:space="preserve">L’usage « englobe des actes matériels qui ne diminuent pas </w:t>
      </w:r>
      <w:r w:rsidR="00FA17EB">
        <w:t>la valeur du bien ou des actes juridiques qui ne modifient pas le statut du droit réel du bien »</w:t>
      </w:r>
      <w:r w:rsidR="006506FA">
        <w:rPr>
          <w:rStyle w:val="Appelnotedebasdep"/>
        </w:rPr>
        <w:footnoteReference w:id="9"/>
      </w:r>
      <w:r w:rsidR="00FA17EB">
        <w:t>.</w:t>
      </w:r>
      <w:r w:rsidR="0044084F">
        <w:t xml:space="preserve"> </w:t>
      </w:r>
      <w:r w:rsidR="00BE3797">
        <w:t>Par exemple,</w:t>
      </w:r>
      <w:r w:rsidR="00061117">
        <w:t xml:space="preserve"> </w:t>
      </w:r>
      <w:r w:rsidR="00BE3797">
        <w:t>la réalisation d’ouvrages ou de plantations qui ne dévaluent pas le bien sont</w:t>
      </w:r>
      <w:r w:rsidR="00061117">
        <w:t xml:space="preserve"> des actes d’usage. </w:t>
      </w:r>
      <w:r w:rsidR="001B5776">
        <w:t>L</w:t>
      </w:r>
      <w:r w:rsidR="00061117">
        <w:t xml:space="preserve">’article 3.63, alinéa 2, du Code civil indique </w:t>
      </w:r>
      <w:r w:rsidR="001B5776">
        <w:t xml:space="preserve">par ailleurs que ces ouvrages et plantations peuvent être réalisés </w:t>
      </w:r>
      <w:r w:rsidR="00061117">
        <w:t>sur, au-dessus ou en dessous du fonds.</w:t>
      </w:r>
    </w:p>
    <w:p w14:paraId="21F89956" w14:textId="591F317C" w:rsidR="00FA17EB" w:rsidRDefault="00FA17EB" w:rsidP="00907D2D"/>
    <w:p w14:paraId="1CBA598F" w14:textId="0070EB2B" w:rsidR="00FA17EB" w:rsidRDefault="00FA17EB" w:rsidP="00907D2D">
      <w:r>
        <w:t>La jouissance « donne droit aux fruits d’un bien »</w:t>
      </w:r>
      <w:r w:rsidR="006506FA">
        <w:rPr>
          <w:rStyle w:val="Appelnotedebasdep"/>
        </w:rPr>
        <w:footnoteReference w:id="10"/>
      </w:r>
      <w:r>
        <w:t xml:space="preserve">. </w:t>
      </w:r>
      <w:r w:rsidR="00CA63C4">
        <w:t xml:space="preserve"> </w:t>
      </w:r>
      <w:r w:rsidR="00D8053A">
        <w:t>C</w:t>
      </w:r>
      <w:r w:rsidR="00CA63C4">
        <w:t>e droit aux fruits</w:t>
      </w:r>
      <w:r w:rsidR="00E32AD8">
        <w:rPr>
          <w:rStyle w:val="Appelnotedebasdep"/>
        </w:rPr>
        <w:footnoteReference w:id="11"/>
      </w:r>
      <w:r w:rsidR="00CA63C4">
        <w:t xml:space="preserve"> est encore consacré expressément à l’article 3.54</w:t>
      </w:r>
      <w:r w:rsidR="00122280">
        <w:t xml:space="preserve"> du Code civil</w:t>
      </w:r>
      <w:r w:rsidR="00D8053A">
        <w:t xml:space="preserve"> qui</w:t>
      </w:r>
      <w:r w:rsidR="00122280">
        <w:t xml:space="preserve"> </w:t>
      </w:r>
      <w:r w:rsidR="006506FA">
        <w:t>ajoute</w:t>
      </w:r>
      <w:r w:rsidR="008F4346">
        <w:t xml:space="preserve"> que dans l’exercice de ce droit, le propriétaire </w:t>
      </w:r>
      <w:r w:rsidR="002A1615">
        <w:t xml:space="preserve">ne peut </w:t>
      </w:r>
      <w:r w:rsidR="002A1615" w:rsidRPr="00F4162C">
        <w:t>«</w:t>
      </w:r>
      <w:r w:rsidR="00F4162C" w:rsidRPr="00F4162C">
        <w:t xml:space="preserve"> porter atteinte aux droits des tiers, dont ceux visés à l'article 3.29 »</w:t>
      </w:r>
      <w:r w:rsidR="00265C29">
        <w:t>, à savoir le droit aux fruits</w:t>
      </w:r>
      <w:r w:rsidR="00F03785">
        <w:t xml:space="preserve"> qu’a le</w:t>
      </w:r>
      <w:r w:rsidR="00265C29">
        <w:t xml:space="preserve"> possesseur dans certaines circonstances</w:t>
      </w:r>
      <w:r w:rsidR="00016DF5">
        <w:rPr>
          <w:rStyle w:val="Appelnotedebasdep"/>
        </w:rPr>
        <w:footnoteReference w:id="12"/>
      </w:r>
      <w:r w:rsidR="00F4162C">
        <w:t>.</w:t>
      </w:r>
      <w:r w:rsidR="0092521D">
        <w:t xml:space="preserve"> </w:t>
      </w:r>
      <w:r w:rsidR="000F4BEA">
        <w:t>A propos des fruits, N</w:t>
      </w:r>
      <w:r w:rsidR="008601A7">
        <w:t>.</w:t>
      </w:r>
      <w:r w:rsidR="000F4BEA">
        <w:t xml:space="preserve"> Bernard </w:t>
      </w:r>
      <w:r w:rsidR="005047A8">
        <w:t>observ</w:t>
      </w:r>
      <w:r w:rsidR="000F4BEA">
        <w:t xml:space="preserve">e encore que </w:t>
      </w:r>
      <w:r w:rsidR="005047A8">
        <w:t>l’article 548 du Code civil</w:t>
      </w:r>
      <w:r w:rsidR="0054721D">
        <w:t>, qui prévoyait le rem</w:t>
      </w:r>
      <w:r w:rsidR="00F33CC3">
        <w:t>boursement</w:t>
      </w:r>
      <w:r w:rsidR="004B5B90">
        <w:t xml:space="preserve"> par le propriétaire</w:t>
      </w:r>
      <w:r w:rsidR="00F33CC3">
        <w:t xml:space="preserve"> des </w:t>
      </w:r>
      <w:r w:rsidR="00F33CC3" w:rsidRPr="00F33CC3">
        <w:t>« frais des labours, travaux et semences faits par des tiers</w:t>
      </w:r>
      <w:r w:rsidR="00F33CC3">
        <w:t xml:space="preserve"> » </w:t>
      </w:r>
      <w:r w:rsidR="005047A8">
        <w:t xml:space="preserve">disparait sans </w:t>
      </w:r>
      <w:r w:rsidR="0054721D">
        <w:t>laisser de successeur</w:t>
      </w:r>
      <w:r w:rsidR="00F33CC3">
        <w:t xml:space="preserve">, mais que </w:t>
      </w:r>
      <w:r w:rsidR="004B5B90">
        <w:t>son enseignement devrait néanmoins perdurer</w:t>
      </w:r>
      <w:r w:rsidR="004B5B90">
        <w:rPr>
          <w:rStyle w:val="Appelnotedebasdep"/>
        </w:rPr>
        <w:footnoteReference w:id="13"/>
      </w:r>
      <w:r w:rsidR="004B5B90">
        <w:t xml:space="preserve">. </w:t>
      </w:r>
      <w:r w:rsidR="00A542D7">
        <w:t>Les</w:t>
      </w:r>
      <w:r w:rsidR="004B5B90">
        <w:t xml:space="preserve"> principes du droit des obligations ou des contrats</w:t>
      </w:r>
      <w:r w:rsidR="00CE68F5">
        <w:t xml:space="preserve"> seront sans doute d’un secours suffisant à cet égard.</w:t>
      </w:r>
    </w:p>
    <w:p w14:paraId="537965CB" w14:textId="3A23E97D" w:rsidR="00E447D1" w:rsidRDefault="00E447D1" w:rsidP="00907D2D"/>
    <w:p w14:paraId="68324555" w14:textId="1945D8E3" w:rsidR="00EF1138" w:rsidRDefault="008D52B5" w:rsidP="00907D2D">
      <w:r>
        <w:t>L</w:t>
      </w:r>
      <w:r w:rsidR="00962626">
        <w:t>e pouvoir de</w:t>
      </w:r>
      <w:r>
        <w:t xml:space="preserve"> disposition, enfin, « inclut des actes matériels qui diminuent la valeur du bien ou des actes juridiques qui modifient le statut de droit réel du bien »</w:t>
      </w:r>
      <w:r w:rsidR="006506FA">
        <w:rPr>
          <w:rStyle w:val="Appelnotedebasdep"/>
        </w:rPr>
        <w:footnoteReference w:id="14"/>
      </w:r>
      <w:r>
        <w:t>.</w:t>
      </w:r>
      <w:r w:rsidR="000F61D8">
        <w:t xml:space="preserve"> </w:t>
      </w:r>
      <w:r w:rsidR="00C41EF8">
        <w:t>Sont</w:t>
      </w:r>
      <w:r w:rsidR="000F61D8">
        <w:t xml:space="preserve"> ainsi visé</w:t>
      </w:r>
      <w:r w:rsidR="00C41EF8">
        <w:t>s</w:t>
      </w:r>
      <w:r w:rsidR="000F61D8">
        <w:t xml:space="preserve"> la perception des produits (également consacrée expressément à l’article 3.54 du Code civil), la destruction du bien</w:t>
      </w:r>
      <w:r w:rsidR="005F2327">
        <w:t>, la constitution d’un droit réel sur celui-ci</w:t>
      </w:r>
      <w:r w:rsidR="000F61D8">
        <w:t xml:space="preserve"> ou </w:t>
      </w:r>
      <w:r w:rsidR="00C41EF8">
        <w:t>l’</w:t>
      </w:r>
      <w:r w:rsidR="000F61D8">
        <w:t>aliénation juridique</w:t>
      </w:r>
      <w:r w:rsidR="00C41EF8">
        <w:t xml:space="preserve"> du bien</w:t>
      </w:r>
      <w:r w:rsidR="000F61D8">
        <w:t xml:space="preserve"> </w:t>
      </w:r>
      <w:r w:rsidR="005F2327">
        <w:t>(par une vente ou une donation, par exemple).</w:t>
      </w:r>
    </w:p>
    <w:p w14:paraId="5FFB6C59" w14:textId="651EA2FA" w:rsidR="00B4350F" w:rsidRDefault="00B4350F" w:rsidP="00907D2D"/>
    <w:p w14:paraId="635F3393" w14:textId="54EE2368" w:rsidR="008E6526" w:rsidRPr="008E6526" w:rsidRDefault="008E6526" w:rsidP="008E6526">
      <w:pPr>
        <w:pStyle w:val="Paragraphedeliste"/>
        <w:numPr>
          <w:ilvl w:val="1"/>
          <w:numId w:val="1"/>
        </w:numPr>
        <w:rPr>
          <w:b/>
          <w:bCs/>
          <w:sz w:val="24"/>
          <w:szCs w:val="24"/>
        </w:rPr>
      </w:pPr>
      <w:r>
        <w:rPr>
          <w:b/>
          <w:bCs/>
          <w:sz w:val="24"/>
          <w:szCs w:val="24"/>
        </w:rPr>
        <w:t>Caractéristiques du droit de propriété</w:t>
      </w:r>
    </w:p>
    <w:p w14:paraId="01DE098F" w14:textId="77777777" w:rsidR="008E6526" w:rsidRDefault="008E6526" w:rsidP="00907D2D"/>
    <w:p w14:paraId="672816A7" w14:textId="7A084E33" w:rsidR="00B4350F" w:rsidRDefault="00100DEF" w:rsidP="00907D2D">
      <w:r>
        <w:rPr>
          <w:b/>
          <w:bCs/>
        </w:rPr>
        <w:t>5</w:t>
      </w:r>
      <w:r w:rsidR="00B4350F" w:rsidRPr="003D4630">
        <w:rPr>
          <w:b/>
          <w:bCs/>
        </w:rPr>
        <w:t>.</w:t>
      </w:r>
      <w:r w:rsidR="00B4350F">
        <w:t xml:space="preserve"> </w:t>
      </w:r>
      <w:r w:rsidR="00CD4CDA">
        <w:t>Sans plus prétendre à l’absolutisme</w:t>
      </w:r>
      <w:r w:rsidR="00014E51">
        <w:t>,</w:t>
      </w:r>
      <w:r w:rsidR="00A16556">
        <w:t xml:space="preserve"> le droit de propriété se voit </w:t>
      </w:r>
      <w:r w:rsidR="00CD4CDA">
        <w:t xml:space="preserve">néanmoins </w:t>
      </w:r>
      <w:r w:rsidR="003D4630">
        <w:t xml:space="preserve">reconnaître </w:t>
      </w:r>
      <w:r w:rsidR="00CD4CDA">
        <w:t>d</w:t>
      </w:r>
      <w:r w:rsidR="00A16556">
        <w:t xml:space="preserve">es caractéristiques </w:t>
      </w:r>
      <w:r w:rsidR="00CD4CDA">
        <w:t>importan</w:t>
      </w:r>
      <w:r w:rsidR="00A16556">
        <w:t>tes : il est résidu</w:t>
      </w:r>
      <w:r w:rsidR="001754C0">
        <w:t>aire</w:t>
      </w:r>
      <w:r w:rsidR="00A16556">
        <w:t xml:space="preserve">, exclusif et </w:t>
      </w:r>
      <w:r w:rsidR="001766F4">
        <w:t>perpétuel</w:t>
      </w:r>
      <w:r w:rsidR="00B4350F">
        <w:t>.</w:t>
      </w:r>
    </w:p>
    <w:p w14:paraId="0FC3B54F" w14:textId="61F9D82A" w:rsidR="00A16556" w:rsidRDefault="00A16556" w:rsidP="00907D2D"/>
    <w:p w14:paraId="48E6A8EF" w14:textId="7A69F010" w:rsidR="003F5131" w:rsidRDefault="0014489F" w:rsidP="006B2ADB">
      <w:r>
        <w:lastRenderedPageBreak/>
        <w:t>Le droit de propriété</w:t>
      </w:r>
      <w:r w:rsidR="00542DB0">
        <w:t xml:space="preserve"> est tout d’abord</w:t>
      </w:r>
      <w:r>
        <w:t xml:space="preserve"> un droit</w:t>
      </w:r>
      <w:r w:rsidR="00316D8E">
        <w:t xml:space="preserve"> </w:t>
      </w:r>
      <w:r w:rsidR="00F704DE">
        <w:t>offrant des pouvoirs</w:t>
      </w:r>
      <w:r>
        <w:t xml:space="preserve"> </w:t>
      </w:r>
      <w:r w:rsidR="006F3749">
        <w:t>« </w:t>
      </w:r>
      <w:r>
        <w:t>résiduaire</w:t>
      </w:r>
      <w:r w:rsidR="00F704DE">
        <w:t>s</w:t>
      </w:r>
      <w:r w:rsidR="006F3749">
        <w:t> »</w:t>
      </w:r>
      <w:r w:rsidR="00F704DE">
        <w:rPr>
          <w:rStyle w:val="Appelnotedebasdep"/>
        </w:rPr>
        <w:footnoteReference w:id="15"/>
      </w:r>
      <w:r w:rsidR="00CD4CDA">
        <w:t>,</w:t>
      </w:r>
      <w:r w:rsidR="001754C0">
        <w:t xml:space="preserve"> en ce sens</w:t>
      </w:r>
      <w:r w:rsidR="00EC1327">
        <w:t xml:space="preserve"> que</w:t>
      </w:r>
      <w:r w:rsidR="006B2ADB">
        <w:t xml:space="preserve"> </w:t>
      </w:r>
      <w:r w:rsidR="00EC1327">
        <w:t>« </w:t>
      </w:r>
      <w:r w:rsidR="006B2ADB">
        <w:t>le propriétaire a le droit de tout faire sauf exceptions, résultant de la loi (au sens large) ou du contrat</w:t>
      </w:r>
      <w:r w:rsidR="004E7C7C">
        <w:t> »</w:t>
      </w:r>
      <w:r w:rsidR="004E7C7C">
        <w:rPr>
          <w:rStyle w:val="Appelnotedebasdep"/>
        </w:rPr>
        <w:footnoteReference w:id="16"/>
      </w:r>
      <w:r w:rsidR="004E7C7C">
        <w:t>.</w:t>
      </w:r>
      <w:r w:rsidR="00F73336">
        <w:t xml:space="preserve"> Comme l’observe N</w:t>
      </w:r>
      <w:r w:rsidR="008601A7">
        <w:t>.</w:t>
      </w:r>
      <w:r w:rsidR="00F73336">
        <w:t xml:space="preserve"> Bernard, « par contraste sont associés aux droits réels d’usage </w:t>
      </w:r>
      <w:r w:rsidR="00C51E4A">
        <w:t>des prérogatives soigneusement circonscrites »</w:t>
      </w:r>
      <w:r w:rsidR="00C51E4A">
        <w:rPr>
          <w:rStyle w:val="Appelnotedebasdep"/>
        </w:rPr>
        <w:footnoteReference w:id="17"/>
      </w:r>
      <w:r w:rsidR="00C51E4A">
        <w:t>.</w:t>
      </w:r>
      <w:r w:rsidR="0013476B">
        <w:t xml:space="preserve"> </w:t>
      </w:r>
      <w:r w:rsidR="00593C2C">
        <w:t xml:space="preserve">Le </w:t>
      </w:r>
      <w:r w:rsidR="00C32E28">
        <w:t>corol</w:t>
      </w:r>
      <w:r w:rsidR="003D11E4">
        <w:t>l</w:t>
      </w:r>
      <w:r w:rsidR="00C32E28">
        <w:t>aire</w:t>
      </w:r>
      <w:r w:rsidR="00593C2C">
        <w:t xml:space="preserve"> de ce caractè</w:t>
      </w:r>
      <w:r w:rsidR="00671166">
        <w:t>re résiduaire est que l</w:t>
      </w:r>
      <w:r w:rsidR="00AD7C1A">
        <w:t>e propriétaire a vocation à recueillir les prérogatives</w:t>
      </w:r>
      <w:r w:rsidR="00671166">
        <w:t xml:space="preserve"> de tiers</w:t>
      </w:r>
      <w:r w:rsidR="00AD7C1A">
        <w:t xml:space="preserve"> </w:t>
      </w:r>
      <w:r w:rsidR="00671166">
        <w:t xml:space="preserve">sur son bien qui ont été </w:t>
      </w:r>
      <w:r w:rsidR="00AD7C1A">
        <w:t xml:space="preserve">abandonnées </w:t>
      </w:r>
      <w:r w:rsidR="00F63636">
        <w:t xml:space="preserve">ou éteintes, </w:t>
      </w:r>
      <w:r w:rsidR="003D11E4">
        <w:t>afin de</w:t>
      </w:r>
      <w:r w:rsidR="00F63636">
        <w:t xml:space="preserve"> reconstituer la plénitude des prérogatives</w:t>
      </w:r>
      <w:r w:rsidR="00F63636">
        <w:rPr>
          <w:rStyle w:val="Appelnotedebasdep"/>
        </w:rPr>
        <w:footnoteReference w:id="18"/>
      </w:r>
      <w:r w:rsidR="00F63636">
        <w:t>.</w:t>
      </w:r>
    </w:p>
    <w:p w14:paraId="7F92F137" w14:textId="60EC1E68" w:rsidR="00A16556" w:rsidRDefault="00A16556" w:rsidP="00907D2D"/>
    <w:p w14:paraId="5D575804" w14:textId="1A836A49" w:rsidR="00C51E4A" w:rsidRDefault="003D11E4" w:rsidP="00907D2D">
      <w:r>
        <w:t>Ensuite</w:t>
      </w:r>
      <w:r w:rsidR="00E03374">
        <w:t>, le droit de propriété demeure un droit exclusif</w:t>
      </w:r>
      <w:r w:rsidR="009826E0">
        <w:rPr>
          <w:rStyle w:val="Appelnotedebasdep"/>
        </w:rPr>
        <w:footnoteReference w:id="19"/>
      </w:r>
      <w:r w:rsidR="00E03374">
        <w:t xml:space="preserve">, </w:t>
      </w:r>
      <w:r w:rsidR="009718A3">
        <w:t xml:space="preserve">en ce sens que le propriétaire </w:t>
      </w:r>
      <w:r w:rsidR="005D4C78">
        <w:t>peut prétendre seul à l’ensemble des prérogatives relatives à un bien (dimension interne) et peut en exclure les tiers (dimension externe)</w:t>
      </w:r>
      <w:r w:rsidR="005D4C78">
        <w:rPr>
          <w:rStyle w:val="Appelnotedebasdep"/>
        </w:rPr>
        <w:footnoteReference w:id="20"/>
      </w:r>
      <w:r w:rsidR="005D4C78">
        <w:t xml:space="preserve">. Pour le législateur, </w:t>
      </w:r>
      <w:r w:rsidR="004012A2">
        <w:t>« ces deux dimensions sont intégrées dans la plénitude des prérogatives accordées au propriétaire »</w:t>
      </w:r>
      <w:r w:rsidR="00256B40">
        <w:t>, sans qu’il n’ait été jugé nécessaire de consacrer expressément le caractère exclusif du droit de propriété</w:t>
      </w:r>
      <w:r w:rsidR="004012A2">
        <w:rPr>
          <w:rStyle w:val="Appelnotedebasdep"/>
        </w:rPr>
        <w:footnoteReference w:id="21"/>
      </w:r>
      <w:r w:rsidR="00256B40">
        <w:t>.</w:t>
      </w:r>
      <w:r w:rsidR="00800C36">
        <w:t xml:space="preserve"> </w:t>
      </w:r>
    </w:p>
    <w:p w14:paraId="58D81D68" w14:textId="75ED0D86" w:rsidR="00256B40" w:rsidRDefault="00256B40" w:rsidP="00907D2D"/>
    <w:p w14:paraId="425B8283" w14:textId="2AB296DC" w:rsidR="000F4002" w:rsidRPr="0005108D" w:rsidRDefault="00256B40" w:rsidP="00907D2D">
      <w:r>
        <w:t xml:space="preserve">Enfin, le droit de propriété est </w:t>
      </w:r>
      <w:r w:rsidR="005F6F42">
        <w:t>perpétuel</w:t>
      </w:r>
      <w:r w:rsidR="003B43AE">
        <w:t xml:space="preserve"> en ce sens qu’il n’est pas susceptible d’extinction par non-usage</w:t>
      </w:r>
      <w:r>
        <w:t>.</w:t>
      </w:r>
      <w:r w:rsidR="006B773A">
        <w:t xml:space="preserve"> Cette caractéristique, qui n’était </w:t>
      </w:r>
      <w:r w:rsidR="00EA4B87">
        <w:t>pas discutée</w:t>
      </w:r>
      <w:r w:rsidR="006B773A">
        <w:t xml:space="preserve">, se trouve renforcée dans la réforme, puisqu’elle figure dorénavant </w:t>
      </w:r>
      <w:r w:rsidR="00800C36">
        <w:t>expressément dans le Code civil</w:t>
      </w:r>
      <w:r w:rsidR="00800C36">
        <w:rPr>
          <w:rStyle w:val="Appelnotedebasdep"/>
        </w:rPr>
        <w:footnoteReference w:id="22"/>
      </w:r>
      <w:r w:rsidR="00D33455">
        <w:t>, à l’article 3.51, alinéa 2 : « </w:t>
      </w:r>
      <w:r w:rsidR="009E7915">
        <w:t>l</w:t>
      </w:r>
      <w:r w:rsidR="009E7915" w:rsidRPr="009E7915">
        <w:t>e droit de propriété et les actions qui sanctionnent ce droit ne s'éteignent pas par non-usage »</w:t>
      </w:r>
      <w:r w:rsidR="00800C36" w:rsidRPr="009E7915">
        <w:t>.</w:t>
      </w:r>
      <w:r w:rsidR="00F768E9">
        <w:t xml:space="preserve"> </w:t>
      </w:r>
      <w:r w:rsidR="0075773B">
        <w:t>Comme</w:t>
      </w:r>
      <w:r w:rsidR="00F768E9">
        <w:t xml:space="preserve"> le</w:t>
      </w:r>
      <w:r w:rsidR="0075773B">
        <w:t xml:space="preserve"> </w:t>
      </w:r>
      <w:r w:rsidR="00365E5D">
        <w:t>constate</w:t>
      </w:r>
      <w:r w:rsidR="0075773B">
        <w:t xml:space="preserve"> le</w:t>
      </w:r>
      <w:r w:rsidR="00F768E9">
        <w:t xml:space="preserve"> législateur, si l’on désire donner un effet utile à la prescription acquisitive, il est nécessaire d’exclure le jeu de la prescription extinctive </w:t>
      </w:r>
      <w:r w:rsidR="009373A7">
        <w:t>en matière de droit de propriété</w:t>
      </w:r>
      <w:r w:rsidR="0075773B">
        <w:rPr>
          <w:rStyle w:val="Appelnotedebasdep"/>
        </w:rPr>
        <w:footnoteReference w:id="23"/>
      </w:r>
      <w:r w:rsidR="00F768E9">
        <w:t xml:space="preserve">. A défaut, après trente ans de non-usage, le </w:t>
      </w:r>
      <w:r w:rsidR="00EE3CEB">
        <w:t xml:space="preserve">bien deviendrait la propriété de l’Etat, avant même qu’un tiers ait pu prétendre </w:t>
      </w:r>
      <w:r w:rsidR="00B3537B">
        <w:t>en prescrire la propriété.</w:t>
      </w:r>
      <w:r w:rsidR="00AD7C1A">
        <w:t xml:space="preserve"> </w:t>
      </w:r>
    </w:p>
    <w:p w14:paraId="27F8D765" w14:textId="77777777" w:rsidR="009016DC" w:rsidRPr="00907D2D" w:rsidRDefault="009016DC" w:rsidP="0005108D"/>
    <w:p w14:paraId="25B58087" w14:textId="769CDEB7" w:rsidR="00907D2D" w:rsidRDefault="00907D2D" w:rsidP="008E6526">
      <w:pPr>
        <w:pStyle w:val="Paragraphedeliste"/>
        <w:numPr>
          <w:ilvl w:val="1"/>
          <w:numId w:val="1"/>
        </w:numPr>
        <w:rPr>
          <w:b/>
          <w:bCs/>
          <w:sz w:val="24"/>
          <w:szCs w:val="24"/>
        </w:rPr>
      </w:pPr>
      <w:r w:rsidRPr="00907D2D">
        <w:rPr>
          <w:b/>
          <w:bCs/>
          <w:sz w:val="24"/>
          <w:szCs w:val="24"/>
        </w:rPr>
        <w:t xml:space="preserve">Limites </w:t>
      </w:r>
      <w:r w:rsidR="00B8616D">
        <w:rPr>
          <w:b/>
          <w:bCs/>
          <w:sz w:val="24"/>
          <w:szCs w:val="24"/>
        </w:rPr>
        <w:t>a</w:t>
      </w:r>
      <w:r w:rsidRPr="00907D2D">
        <w:rPr>
          <w:b/>
          <w:bCs/>
          <w:sz w:val="24"/>
          <w:szCs w:val="24"/>
        </w:rPr>
        <w:t>u droit de propriété</w:t>
      </w:r>
      <w:r w:rsidR="008C3F63">
        <w:rPr>
          <w:b/>
          <w:bCs/>
          <w:sz w:val="24"/>
          <w:szCs w:val="24"/>
        </w:rPr>
        <w:t xml:space="preserve"> </w:t>
      </w:r>
    </w:p>
    <w:p w14:paraId="1E5B5412" w14:textId="6F67B01B" w:rsidR="00C24DB4" w:rsidRDefault="00C24DB4" w:rsidP="00C24DB4"/>
    <w:p w14:paraId="77DBEF58" w14:textId="6AC6C11D" w:rsidR="00AC19B8" w:rsidRPr="00B1265E" w:rsidRDefault="00B1265E" w:rsidP="00C24DB4">
      <w:pPr>
        <w:pStyle w:val="Paragraphedeliste"/>
        <w:numPr>
          <w:ilvl w:val="2"/>
          <w:numId w:val="1"/>
        </w:numPr>
        <w:rPr>
          <w:b/>
          <w:bCs/>
          <w:i/>
          <w:iCs/>
          <w:sz w:val="24"/>
          <w:szCs w:val="24"/>
        </w:rPr>
      </w:pPr>
      <w:r>
        <w:rPr>
          <w:b/>
          <w:bCs/>
          <w:i/>
          <w:iCs/>
          <w:sz w:val="24"/>
          <w:szCs w:val="24"/>
        </w:rPr>
        <w:t>Considérations générales</w:t>
      </w:r>
    </w:p>
    <w:p w14:paraId="23627A87" w14:textId="77777777" w:rsidR="00AC19B8" w:rsidRDefault="00AC19B8" w:rsidP="00C24DB4"/>
    <w:p w14:paraId="005A1110" w14:textId="766E457C" w:rsidR="00D0259C" w:rsidRDefault="00100DEF" w:rsidP="00D0259C">
      <w:r>
        <w:rPr>
          <w:b/>
          <w:bCs/>
        </w:rPr>
        <w:t>6</w:t>
      </w:r>
      <w:r w:rsidR="00D0259C">
        <w:rPr>
          <w:b/>
          <w:bCs/>
        </w:rPr>
        <w:t>.</w:t>
      </w:r>
      <w:r w:rsidR="00D530E1">
        <w:t> N</w:t>
      </w:r>
      <w:r w:rsidR="003C2DB8">
        <w:t xml:space="preserve">ous avons vu que le droit de propriété </w:t>
      </w:r>
      <w:r w:rsidR="00CE2878">
        <w:t>n’est plus présenté comme un droit</w:t>
      </w:r>
      <w:r w:rsidR="00A50E54">
        <w:t xml:space="preserve"> absolu</w:t>
      </w:r>
      <w:r w:rsidR="00597C1E">
        <w:t xml:space="preserve">. Ce faisant, les auteurs de la loi ont entendu consacrer « l’évolution du droit de propriété intervenue au cours des </w:t>
      </w:r>
      <w:r w:rsidR="00597C1E">
        <w:lastRenderedPageBreak/>
        <w:t>dernières décennies, mettant sans cesse davantage l’accent sur l’impact social de l’exercice de la propriété »</w:t>
      </w:r>
      <w:r w:rsidR="00597C1E">
        <w:rPr>
          <w:rStyle w:val="Appelnotedebasdep"/>
        </w:rPr>
        <w:footnoteReference w:id="24"/>
      </w:r>
      <w:r w:rsidR="00597C1E">
        <w:t xml:space="preserve">. </w:t>
      </w:r>
      <w:r w:rsidR="00FC37A0">
        <w:t xml:space="preserve"> </w:t>
      </w:r>
      <w:r w:rsidR="002029B3">
        <w:t>Rappelons, d</w:t>
      </w:r>
      <w:r w:rsidR="00FC37A0">
        <w:t xml:space="preserve">ans cette perspective, </w:t>
      </w:r>
      <w:r w:rsidR="002029B3">
        <w:t xml:space="preserve">que </w:t>
      </w:r>
      <w:r w:rsidR="00FC37A0">
        <w:t>l’</w:t>
      </w:r>
      <w:r w:rsidR="003C2DB8">
        <w:t>article 3.50 du Code civil</w:t>
      </w:r>
      <w:r w:rsidR="00597C1E">
        <w:t xml:space="preserve"> consacre que</w:t>
      </w:r>
      <w:r w:rsidR="003C2DB8">
        <w:t xml:space="preserve"> les prérogatives du propriétaire s’exercent </w:t>
      </w:r>
      <w:r w:rsidR="003F4B81">
        <w:t>« </w:t>
      </w:r>
      <w:r w:rsidR="003F4B81" w:rsidRPr="00BC27AD">
        <w:t>sous réserve des restrictions imposées par les lois, les règlements ou par les droits de tiers</w:t>
      </w:r>
      <w:r w:rsidR="003F4B81">
        <w:t> ».</w:t>
      </w:r>
    </w:p>
    <w:p w14:paraId="1275C6C1" w14:textId="77777777" w:rsidR="001C45F3" w:rsidRDefault="001C45F3" w:rsidP="00D0259C"/>
    <w:p w14:paraId="33617081" w14:textId="588EA84B" w:rsidR="005E3BF3" w:rsidRDefault="00D0259C" w:rsidP="00D0259C">
      <w:r>
        <w:t>Les travaux préparatoires précisent que la notion de « loi » dont fait usage l’article 3.50 englobe « toute norme contraignante »</w:t>
      </w:r>
      <w:r w:rsidR="00434885">
        <w:t>. Les restrictions issues de la loi sont légions</w:t>
      </w:r>
      <w:r w:rsidR="00731D0F">
        <w:t xml:space="preserve"> et </w:t>
      </w:r>
      <w:r w:rsidR="00461A40">
        <w:t>les travaux préparatoires</w:t>
      </w:r>
      <w:r w:rsidR="003F4B81">
        <w:t xml:space="preserve"> citent </w:t>
      </w:r>
      <w:r w:rsidR="00461A40">
        <w:t>en exemples</w:t>
      </w:r>
      <w:r w:rsidR="003F4B81">
        <w:t xml:space="preserve"> l’abus de droit ou les troubles de voisinage</w:t>
      </w:r>
      <w:r w:rsidR="003F4B81">
        <w:rPr>
          <w:rStyle w:val="Appelnotedebasdep"/>
        </w:rPr>
        <w:footnoteReference w:id="25"/>
      </w:r>
      <w:r w:rsidR="003F4B81">
        <w:t xml:space="preserve">. </w:t>
      </w:r>
      <w:r w:rsidR="00731D0F">
        <w:t>Songeons également</w:t>
      </w:r>
      <w:r w:rsidR="003F4B81">
        <w:t xml:space="preserve"> aux exigences urbanistiques ou environnementales imposées à la faveur de l’intérêt général.</w:t>
      </w:r>
      <w:r w:rsidR="00731D0F">
        <w:t xml:space="preserve"> Enfin, l</w:t>
      </w:r>
      <w:r w:rsidR="005E3BF3">
        <w:t xml:space="preserve">e titre 3 du livre 3 du Code civil, objet de cette contribution, est lui-même porteur de telles limites, ainsi que nous le verrons </w:t>
      </w:r>
      <w:r w:rsidR="005E3BF3">
        <w:rPr>
          <w:i/>
          <w:iCs/>
        </w:rPr>
        <w:t xml:space="preserve">infra </w:t>
      </w:r>
      <w:r w:rsidR="005E3BF3">
        <w:t>(n°</w:t>
      </w:r>
      <w:r w:rsidR="00E37190">
        <w:t xml:space="preserve"> 8</w:t>
      </w:r>
      <w:r w:rsidR="005E3BF3">
        <w:t xml:space="preserve"> et s.).</w:t>
      </w:r>
    </w:p>
    <w:p w14:paraId="149568CA" w14:textId="77777777" w:rsidR="005E3BF3" w:rsidRDefault="005E3BF3" w:rsidP="00D0259C"/>
    <w:p w14:paraId="0F78F338" w14:textId="588B9C74" w:rsidR="00D0259C" w:rsidRPr="00D0259C" w:rsidRDefault="00D0259C" w:rsidP="00D0259C">
      <w:pPr>
        <w:rPr>
          <w:b/>
          <w:bCs/>
        </w:rPr>
      </w:pPr>
      <w:r>
        <w:t>Quant aux droits des tiers</w:t>
      </w:r>
      <w:r w:rsidR="000D7AA1">
        <w:t xml:space="preserve"> visés à l’article 3.50</w:t>
      </w:r>
      <w:r>
        <w:t xml:space="preserve">, ils incluent notamment « la clause d’inaliénabilité, les droits d’usage personnels et, dans les limites du principe du </w:t>
      </w:r>
      <w:r>
        <w:rPr>
          <w:i/>
          <w:iCs/>
        </w:rPr>
        <w:t>numerus clausus</w:t>
      </w:r>
      <w:r>
        <w:t>, les droits réels d’usage auxquels s’est engagé le propriétaire en faveur d’un tiers »</w:t>
      </w:r>
      <w:r>
        <w:rPr>
          <w:rStyle w:val="Appelnotedebasdep"/>
        </w:rPr>
        <w:footnoteReference w:id="26"/>
      </w:r>
      <w:r>
        <w:t xml:space="preserve">. Le respect de droits concédés par autrui pourrait selon nous également être imposé au propriétaire, dès lors que l’article 3.17 du Code civil indique que </w:t>
      </w:r>
      <w:r w:rsidRPr="006A69D8">
        <w:t>« la renonciation, la révocation, la résolution pour inexécution, la résiliation de commun accord, la confusion et la déchéance ne portent pas atteinte aux droits des tiers qui sont acquis, de bonne foi, sur le droit réel anéanti »</w:t>
      </w:r>
      <w:r w:rsidR="00426D2B">
        <w:rPr>
          <w:rStyle w:val="Appelnotedebasdep"/>
        </w:rPr>
        <w:footnoteReference w:id="27"/>
      </w:r>
      <w:r w:rsidRPr="006A69D8">
        <w:t>.</w:t>
      </w:r>
      <w:r>
        <w:t xml:space="preserve"> Ainsi, par exemple, si un usufruitier concède un contrat de bail à un tiers puis renonce à son droit d’usufruit, le bail s’imposera au propriétaire de la même manière que si l’usufruit avait subsisté. </w:t>
      </w:r>
      <w:r w:rsidR="00426D2B">
        <w:t>Enfin,</w:t>
      </w:r>
      <w:r>
        <w:t xml:space="preserve"> les travaux préparatoires indiquent encore que la notion de tiers englobe « non seulement les personnes qui ont un lien contractuel avec le propriétaire (locataire, emphytéote, usufruitier, titulaire d’une servitude, emprunteur, superficiaire, </w:t>
      </w:r>
      <w:r>
        <w:rPr>
          <w:i/>
          <w:iCs/>
        </w:rPr>
        <w:t>etc.</w:t>
      </w:r>
      <w:r>
        <w:t xml:space="preserve">), mais également les tiers avec lesquels il n’a aucun lien juridique (autorité, voisins, </w:t>
      </w:r>
      <w:r>
        <w:rPr>
          <w:i/>
          <w:iCs/>
        </w:rPr>
        <w:t>etc.</w:t>
      </w:r>
      <w:r>
        <w:t>) »</w:t>
      </w:r>
      <w:r>
        <w:rPr>
          <w:rStyle w:val="Appelnotedebasdep"/>
        </w:rPr>
        <w:footnoteReference w:id="28"/>
      </w:r>
      <w:r>
        <w:t>.</w:t>
      </w:r>
    </w:p>
    <w:p w14:paraId="5B4185B0" w14:textId="5526FC8B" w:rsidR="00B13C38" w:rsidRDefault="00B13C38" w:rsidP="00C24DB4"/>
    <w:p w14:paraId="53B3370A" w14:textId="422F47EA" w:rsidR="00712D4C" w:rsidRDefault="00100DEF" w:rsidP="00C24DB4">
      <w:r>
        <w:rPr>
          <w:b/>
          <w:bCs/>
        </w:rPr>
        <w:t>7</w:t>
      </w:r>
      <w:r w:rsidR="000C65F5">
        <w:rPr>
          <w:b/>
          <w:bCs/>
        </w:rPr>
        <w:t xml:space="preserve">. </w:t>
      </w:r>
      <w:r w:rsidR="00DA5FF9">
        <w:t>Notons, enfin,</w:t>
      </w:r>
      <w:r w:rsidR="00712D4C">
        <w:t xml:space="preserve"> que le législateur n’a pas retenu une disposition </w:t>
      </w:r>
      <w:r w:rsidR="007D07C2">
        <w:t xml:space="preserve">de la proposition de loi destinée </w:t>
      </w:r>
      <w:r w:rsidR="00DB5FB0">
        <w:t>à consacrer que tout</w:t>
      </w:r>
      <w:r w:rsidR="004C4519">
        <w:t xml:space="preserve"> retrait du droit de propriété ou toute</w:t>
      </w:r>
      <w:r w:rsidR="00DB5FB0">
        <w:t xml:space="preserve"> limite </w:t>
      </w:r>
      <w:r w:rsidR="004C4519">
        <w:t>apportée à celui-ci</w:t>
      </w:r>
      <w:r w:rsidR="006F1B60">
        <w:t xml:space="preserve"> d</w:t>
      </w:r>
      <w:r w:rsidR="00A50E56">
        <w:t>evra</w:t>
      </w:r>
      <w:r w:rsidR="006F1B60">
        <w:t>it se faire dans le respect de l’article 16 de la Constitution, de l’article 1</w:t>
      </w:r>
      <w:r w:rsidR="00365135">
        <w:rPr>
          <w:vertAlign w:val="superscript"/>
        </w:rPr>
        <w:t xml:space="preserve">er </w:t>
      </w:r>
      <w:r w:rsidR="00365135">
        <w:t>du Premier Protocole additionnel à la CEDH et du principe de l’égalité des citoyens devant les charges publiques</w:t>
      </w:r>
      <w:r w:rsidR="00482DF7">
        <w:rPr>
          <w:rStyle w:val="Appelnotedebasdep"/>
        </w:rPr>
        <w:footnoteReference w:id="29"/>
      </w:r>
      <w:r w:rsidR="00365135">
        <w:t>.</w:t>
      </w:r>
      <w:r w:rsidR="00A50E56">
        <w:t xml:space="preserve"> L</w:t>
      </w:r>
      <w:r w:rsidR="000B0F79">
        <w:t xml:space="preserve">’avis </w:t>
      </w:r>
      <w:r w:rsidR="00BA158E">
        <w:t xml:space="preserve">rendu par la Section </w:t>
      </w:r>
      <w:r w:rsidR="005E2CD0">
        <w:t>de législation du</w:t>
      </w:r>
      <w:r w:rsidR="000B0F79">
        <w:t xml:space="preserve"> Conseil d’Etat </w:t>
      </w:r>
      <w:r w:rsidR="00BA158E">
        <w:t xml:space="preserve">invitait à omettre cette disposition, jugeant </w:t>
      </w:r>
      <w:r w:rsidR="009A61AD">
        <w:t>inopportun</w:t>
      </w:r>
      <w:r w:rsidR="00BA158E">
        <w:t xml:space="preserve"> de se référer à des </w:t>
      </w:r>
      <w:r w:rsidR="00BA158E">
        <w:lastRenderedPageBreak/>
        <w:t>normes supérieures</w:t>
      </w:r>
      <w:r w:rsidR="00BA158E">
        <w:rPr>
          <w:rStyle w:val="Appelnotedebasdep"/>
        </w:rPr>
        <w:footnoteReference w:id="30"/>
      </w:r>
      <w:r w:rsidR="007842EF">
        <w:t>.</w:t>
      </w:r>
      <w:r w:rsidR="00BA158E">
        <w:t xml:space="preserve"> </w:t>
      </w:r>
      <w:r w:rsidR="007842EF">
        <w:t>L</w:t>
      </w:r>
      <w:r w:rsidR="00A50E56">
        <w:t>es par</w:t>
      </w:r>
      <w:r w:rsidR="005A5038">
        <w:t xml:space="preserve">lementaires à l’origine de l’amendement </w:t>
      </w:r>
      <w:r w:rsidR="007842EF">
        <w:t>qui a abouti</w:t>
      </w:r>
      <w:r w:rsidR="005A5038">
        <w:t xml:space="preserve"> à supprimer </w:t>
      </w:r>
      <w:r w:rsidR="00BA158E">
        <w:t>la</w:t>
      </w:r>
      <w:r w:rsidR="005A5038">
        <w:t xml:space="preserve"> disposition </w:t>
      </w:r>
      <w:r w:rsidR="001906AA">
        <w:t>indiquent</w:t>
      </w:r>
      <w:r w:rsidR="00AF090C">
        <w:t>, quant à eux,</w:t>
      </w:r>
      <w:r w:rsidR="001906AA">
        <w:t xml:space="preserve"> que </w:t>
      </w:r>
      <w:r w:rsidR="00DD4284">
        <w:t>sa suppression n</w:t>
      </w:r>
      <w:r w:rsidR="00F64731">
        <w:t>e</w:t>
      </w:r>
      <w:r w:rsidR="00DD4284">
        <w:t xml:space="preserve"> change rien au fond</w:t>
      </w:r>
      <w:r w:rsidR="003802DB">
        <w:rPr>
          <w:rStyle w:val="Appelnotedebasdep"/>
        </w:rPr>
        <w:footnoteReference w:id="31"/>
      </w:r>
      <w:r w:rsidR="00BA158E">
        <w:t>.</w:t>
      </w:r>
      <w:r w:rsidR="0098348B">
        <w:t xml:space="preserve"> </w:t>
      </w:r>
    </w:p>
    <w:p w14:paraId="118FCDC2" w14:textId="54D55940" w:rsidR="00B1265E" w:rsidRDefault="00B1265E" w:rsidP="00C24DB4"/>
    <w:p w14:paraId="17CDDAEC" w14:textId="0FBF2F72" w:rsidR="00B1265E" w:rsidRPr="00B1265E" w:rsidRDefault="00B1265E" w:rsidP="00B1265E">
      <w:pPr>
        <w:pStyle w:val="Paragraphedeliste"/>
        <w:numPr>
          <w:ilvl w:val="2"/>
          <w:numId w:val="1"/>
        </w:numPr>
        <w:rPr>
          <w:b/>
          <w:bCs/>
          <w:i/>
          <w:iCs/>
          <w:sz w:val="24"/>
          <w:szCs w:val="24"/>
        </w:rPr>
      </w:pPr>
      <w:r>
        <w:rPr>
          <w:b/>
          <w:bCs/>
          <w:i/>
          <w:iCs/>
          <w:sz w:val="24"/>
          <w:szCs w:val="24"/>
        </w:rPr>
        <w:t xml:space="preserve">Limites spécifiques </w:t>
      </w:r>
      <w:r w:rsidR="0030213C">
        <w:rPr>
          <w:b/>
          <w:bCs/>
          <w:i/>
          <w:iCs/>
          <w:sz w:val="24"/>
          <w:szCs w:val="24"/>
        </w:rPr>
        <w:t>énoncées dans le titre 3 du livre 3</w:t>
      </w:r>
    </w:p>
    <w:p w14:paraId="6E690D08" w14:textId="77777777" w:rsidR="002B195C" w:rsidRDefault="002B195C" w:rsidP="00C24DB4"/>
    <w:p w14:paraId="0BC31725" w14:textId="0F43F967" w:rsidR="00EC18FA" w:rsidRDefault="00100DEF" w:rsidP="00C24DB4">
      <w:r>
        <w:rPr>
          <w:b/>
          <w:bCs/>
        </w:rPr>
        <w:t>8</w:t>
      </w:r>
      <w:r w:rsidR="001F38C5">
        <w:rPr>
          <w:b/>
          <w:bCs/>
        </w:rPr>
        <w:t xml:space="preserve">. </w:t>
      </w:r>
      <w:r w:rsidR="004D116C">
        <w:t xml:space="preserve">Au sein même du titre 3 du livre 3 du Code civil, </w:t>
      </w:r>
      <w:r w:rsidR="00533222">
        <w:t xml:space="preserve">plusieurs dispositions </w:t>
      </w:r>
      <w:r w:rsidR="00030E07">
        <w:t xml:space="preserve">encadrent le droit de propriété et </w:t>
      </w:r>
      <w:r w:rsidR="00533222">
        <w:t>limitent les prérogatives du propriétaire. L</w:t>
      </w:r>
      <w:r w:rsidR="00997F38">
        <w:t>a première</w:t>
      </w:r>
      <w:r w:rsidR="00533222">
        <w:t xml:space="preserve"> de ces</w:t>
      </w:r>
      <w:r w:rsidR="00997F38">
        <w:t xml:space="preserve"> disposition</w:t>
      </w:r>
      <w:r w:rsidR="00533222">
        <w:t>s</w:t>
      </w:r>
      <w:r w:rsidR="002B195C">
        <w:t xml:space="preserve"> est l’article </w:t>
      </w:r>
      <w:r w:rsidR="00964D7A">
        <w:t>3</w:t>
      </w:r>
      <w:r w:rsidR="002B195C">
        <w:t>.63</w:t>
      </w:r>
      <w:r w:rsidR="009B54BF">
        <w:t>, alinéa 1</w:t>
      </w:r>
      <w:r w:rsidR="009B54BF" w:rsidRPr="009B54BF">
        <w:rPr>
          <w:vertAlign w:val="superscript"/>
        </w:rPr>
        <w:t>er</w:t>
      </w:r>
      <w:r w:rsidR="005E529E">
        <w:t xml:space="preserve">, </w:t>
      </w:r>
      <w:r w:rsidR="009B54BF">
        <w:t>du Code civil</w:t>
      </w:r>
      <w:r w:rsidR="00030E07">
        <w:t xml:space="preserve"> qui </w:t>
      </w:r>
      <w:r w:rsidR="005E529E">
        <w:t xml:space="preserve">limite l’étendue verticale de la propriété </w:t>
      </w:r>
      <w:r w:rsidR="00406F3A" w:rsidRPr="00406F3A">
        <w:t>«</w:t>
      </w:r>
      <w:r w:rsidR="00406F3A">
        <w:t xml:space="preserve"> </w:t>
      </w:r>
      <w:r w:rsidR="00406F3A" w:rsidRPr="00406F3A">
        <w:t>à une hauteur au-dessus ou une profondeur en dessous du fonds qui peut être utile à l'exercice des prérogatives du propriétaire</w:t>
      </w:r>
      <w:r w:rsidR="00406F3A">
        <w:t> »</w:t>
      </w:r>
      <w:r w:rsidR="009A5C49">
        <w:t xml:space="preserve">. </w:t>
      </w:r>
      <w:r w:rsidR="008A2D40">
        <w:t>Cette hauteur et cette profondeur sont qualifiées de « fonctionnelles » dans les travaux préparatoires</w:t>
      </w:r>
      <w:r w:rsidR="008A2D40">
        <w:rPr>
          <w:rStyle w:val="Appelnotedebasdep"/>
        </w:rPr>
        <w:footnoteReference w:id="32"/>
      </w:r>
      <w:r w:rsidR="00165F8A">
        <w:t xml:space="preserve">, </w:t>
      </w:r>
      <w:r w:rsidR="00E92EE9">
        <w:t>en ce sens que « la propriété ne se voit pas limitée de manière mathématique</w:t>
      </w:r>
      <w:r w:rsidR="001F6A98">
        <w:t xml:space="preserve"> mais est déterminée en fonction de la destination et de la situation du fonds, elle-même appréciée en tenant compte des possibilités d’exploitation réelles ou potentielles dans le chef du propriétaire lui-même</w:t>
      </w:r>
      <w:r w:rsidR="004171FE">
        <w:t>, à la lumière des données économiques, urbanistiques et de construction physique du fonds</w:t>
      </w:r>
      <w:r w:rsidR="001F6A98">
        <w:t> »</w:t>
      </w:r>
      <w:r w:rsidR="004171FE">
        <w:rPr>
          <w:rStyle w:val="Appelnotedebasdep"/>
        </w:rPr>
        <w:footnoteReference w:id="33"/>
      </w:r>
      <w:r w:rsidR="001F6A98">
        <w:t>.</w:t>
      </w:r>
    </w:p>
    <w:p w14:paraId="1260873A" w14:textId="77777777" w:rsidR="00EC18FA" w:rsidRDefault="00EC18FA" w:rsidP="00C24DB4"/>
    <w:p w14:paraId="26ACCF01" w14:textId="3DC38D2E" w:rsidR="00A06DCE" w:rsidRDefault="00A1220B" w:rsidP="00C24DB4">
      <w:r>
        <w:t>L’article 3.63, alinéa 1</w:t>
      </w:r>
      <w:r w:rsidRPr="00A1220B">
        <w:rPr>
          <w:vertAlign w:val="superscript"/>
        </w:rPr>
        <w:t>er</w:t>
      </w:r>
      <w:r>
        <w:t>, se poursuit en tirant de ce qui précède la conséquence suivante</w:t>
      </w:r>
      <w:r w:rsidR="009A5C49">
        <w:t xml:space="preserve"> : </w:t>
      </w:r>
      <w:r w:rsidR="009A5C49" w:rsidRPr="009A5C49">
        <w:t>« </w:t>
      </w:r>
      <w:r>
        <w:t>[le propriétaire]</w:t>
      </w:r>
      <w:r w:rsidR="009A5C49" w:rsidRPr="009A5C49">
        <w:t xml:space="preserve"> ne peut dès lors pas s'opposer à un usage par un tiers à une hauteur ou une profondeur à laquelle il ne pourrait raisonnablement exercer sa prérogative d'usage, vu la destination et la situation du fonds ».</w:t>
      </w:r>
      <w:r w:rsidR="00C431FB">
        <w:t xml:space="preserve"> </w:t>
      </w:r>
      <w:r w:rsidR="00AC4767">
        <w:t xml:space="preserve">Les travaux préparatoires fournissent l’exemple d’une grue de chantier </w:t>
      </w:r>
      <w:r w:rsidR="004115DC">
        <w:t xml:space="preserve">qui passerait </w:t>
      </w:r>
      <w:r w:rsidR="00AC4767">
        <w:t>au-dessus d</w:t>
      </w:r>
      <w:r w:rsidR="004115DC">
        <w:t>u</w:t>
      </w:r>
      <w:r w:rsidR="00AC4767">
        <w:t xml:space="preserve"> fonds </w:t>
      </w:r>
      <w:r w:rsidR="00D5658A">
        <w:t>pendant un bref moment à une hauteur que le propriétaire n</w:t>
      </w:r>
      <w:r w:rsidR="004115DC">
        <w:t xml:space="preserve">e peut de toute façon pas utiliser </w:t>
      </w:r>
      <w:r w:rsidR="00D5658A">
        <w:t>au même moment</w:t>
      </w:r>
      <w:r w:rsidR="00C42C84">
        <w:rPr>
          <w:rStyle w:val="Appelnotedebasdep"/>
        </w:rPr>
        <w:footnoteReference w:id="34"/>
      </w:r>
      <w:r w:rsidR="00D5658A">
        <w:t>.</w:t>
      </w:r>
      <w:r w:rsidR="00C42C84">
        <w:t xml:space="preserve"> </w:t>
      </w:r>
    </w:p>
    <w:p w14:paraId="3FF047D5" w14:textId="77777777" w:rsidR="00A06DCE" w:rsidRDefault="00A06DCE" w:rsidP="00C24DB4"/>
    <w:p w14:paraId="0BEEF287" w14:textId="07AAA922" w:rsidR="00E621B5" w:rsidRPr="00997F38" w:rsidRDefault="00F54403" w:rsidP="00C24DB4">
      <w:r>
        <w:t>C</w:t>
      </w:r>
      <w:r w:rsidR="00A06DCE">
        <w:t xml:space="preserve">ette disposition, qui traduit </w:t>
      </w:r>
      <w:r w:rsidR="001323DD">
        <w:t>certainement la</w:t>
      </w:r>
      <w:r w:rsidR="00347F3F">
        <w:t xml:space="preserve"> dimension sociale de la propriété, </w:t>
      </w:r>
      <w:r w:rsidR="00B76DE4">
        <w:t xml:space="preserve">ne devrait toutefois pas </w:t>
      </w:r>
      <w:r w:rsidR="00D97295">
        <w:t xml:space="preserve">empêcher le propriétaire qui subirait </w:t>
      </w:r>
      <w:r w:rsidR="00462E0F">
        <w:t xml:space="preserve">un trouble </w:t>
      </w:r>
      <w:r w:rsidR="0010734D">
        <w:t xml:space="preserve">anormal ou un dommage du fait d’un usage </w:t>
      </w:r>
      <w:r w:rsidR="001323DD">
        <w:t xml:space="preserve">de son fonds par un tiers à une hauteur ou </w:t>
      </w:r>
      <w:r w:rsidR="006B3510">
        <w:t xml:space="preserve">une </w:t>
      </w:r>
      <w:r w:rsidR="001323DD">
        <w:t xml:space="preserve">profondeur </w:t>
      </w:r>
      <w:r w:rsidR="006B3510">
        <w:t xml:space="preserve">jugée </w:t>
      </w:r>
      <w:r w:rsidR="001323DD">
        <w:t xml:space="preserve">non utile, </w:t>
      </w:r>
      <w:r w:rsidR="0010734D">
        <w:t xml:space="preserve">d’avoir recours aux troubles de voisinage ou à la responsabilité </w:t>
      </w:r>
      <w:r w:rsidR="00A2479C">
        <w:t>civile (dans cette dernière hypothèse, en cas de faute du tiers usager).</w:t>
      </w:r>
    </w:p>
    <w:p w14:paraId="2EB417DC" w14:textId="6708778F" w:rsidR="00E621B5" w:rsidRDefault="00E621B5" w:rsidP="00C24DB4">
      <w:pPr>
        <w:rPr>
          <w:b/>
          <w:bCs/>
        </w:rPr>
      </w:pPr>
    </w:p>
    <w:p w14:paraId="4ADFA81A" w14:textId="6586DE67" w:rsidR="0098161F" w:rsidRPr="00F54403" w:rsidRDefault="00F54403" w:rsidP="00C24DB4">
      <w:r>
        <w:t>Notons encore que l’article 3.63, alinéa 1</w:t>
      </w:r>
      <w:r w:rsidRPr="00F54403">
        <w:rPr>
          <w:vertAlign w:val="superscript"/>
        </w:rPr>
        <w:t>er</w:t>
      </w:r>
      <w:r>
        <w:t xml:space="preserve">, du Code civil ne modifie pas la réglementation actuelle en matière d’impétrants. </w:t>
      </w:r>
      <w:r w:rsidR="00FC3AB1">
        <w:t xml:space="preserve">La disposition contenait à l’origine un troisième alinéa </w:t>
      </w:r>
      <w:r w:rsidR="00BB5D75">
        <w:t xml:space="preserve">énonçant que les câbles et conduites </w:t>
      </w:r>
      <w:r w:rsidR="00713BDA">
        <w:t>étaient la propriété de l’installateur compétent ou de son ayant droit</w:t>
      </w:r>
      <w:r w:rsidR="00BB5D75" w:rsidRPr="000552BE">
        <w:rPr>
          <w:rStyle w:val="Appelnotedebasdep"/>
        </w:rPr>
        <w:footnoteReference w:id="35"/>
      </w:r>
      <w:r w:rsidR="004A6870">
        <w:t xml:space="preserve">, mais les parlementaires ont préféré </w:t>
      </w:r>
      <w:r w:rsidR="00D760DD">
        <w:t>maintenir les solutions sectorielles en vigueur</w:t>
      </w:r>
      <w:r w:rsidR="00D760DD">
        <w:rPr>
          <w:rStyle w:val="Appelnotedebasdep"/>
        </w:rPr>
        <w:footnoteReference w:id="36"/>
      </w:r>
      <w:r w:rsidR="00A84352">
        <w:t xml:space="preserve"> et supprimer cet alinéa</w:t>
      </w:r>
      <w:r w:rsidR="00A84352">
        <w:rPr>
          <w:rStyle w:val="Appelnotedebasdep"/>
        </w:rPr>
        <w:footnoteReference w:id="37"/>
      </w:r>
      <w:r w:rsidR="00D760DD">
        <w:t>.</w:t>
      </w:r>
    </w:p>
    <w:p w14:paraId="2E915D07" w14:textId="77777777" w:rsidR="0098161F" w:rsidRDefault="0098161F" w:rsidP="00C24DB4">
      <w:pPr>
        <w:rPr>
          <w:b/>
          <w:bCs/>
        </w:rPr>
      </w:pPr>
    </w:p>
    <w:p w14:paraId="7D8D7032" w14:textId="680B845F" w:rsidR="001F38C5" w:rsidRDefault="00100DEF" w:rsidP="00C24DB4">
      <w:r>
        <w:rPr>
          <w:b/>
          <w:bCs/>
        </w:rPr>
        <w:lastRenderedPageBreak/>
        <w:t>9</w:t>
      </w:r>
      <w:r w:rsidR="00E621B5">
        <w:rPr>
          <w:b/>
          <w:bCs/>
        </w:rPr>
        <w:t xml:space="preserve">. </w:t>
      </w:r>
      <w:r w:rsidR="003129CF">
        <w:t xml:space="preserve">Une seconde disposition du titre 3 limite le droit du propriétaire en lui imposant </w:t>
      </w:r>
      <w:r w:rsidR="00E949C8">
        <w:t xml:space="preserve">de « tolérer » certaines choses. </w:t>
      </w:r>
      <w:r w:rsidR="00544AEF">
        <w:t>Il s’agit de l</w:t>
      </w:r>
      <w:r w:rsidR="00E949C8">
        <w:t xml:space="preserve">’article 3.67 du Code civil </w:t>
      </w:r>
      <w:r w:rsidR="00544AEF">
        <w:t>qui énonce</w:t>
      </w:r>
      <w:r w:rsidR="00E949C8">
        <w:t xml:space="preserve"> </w:t>
      </w:r>
      <w:r w:rsidR="00B22030">
        <w:t>trois « </w:t>
      </w:r>
      <w:r w:rsidR="00604ECD">
        <w:t xml:space="preserve">simples </w:t>
      </w:r>
      <w:r w:rsidR="00B22030">
        <w:t>tolérances du propriétaire »</w:t>
      </w:r>
      <w:r w:rsidR="00884420">
        <w:t xml:space="preserve"> (selon son titre)</w:t>
      </w:r>
      <w:r w:rsidR="00AF5A62">
        <w:t>, chacune faisant l’objet d’un paragraphe distinct.</w:t>
      </w:r>
    </w:p>
    <w:p w14:paraId="7929AF36" w14:textId="4F33A3C7" w:rsidR="00F91C73" w:rsidRDefault="00F91C73" w:rsidP="00C24DB4"/>
    <w:p w14:paraId="1C1CEC2E" w14:textId="32FA2756" w:rsidR="00477AB4" w:rsidRDefault="00884420" w:rsidP="00C24DB4">
      <w:r>
        <w:t xml:space="preserve">D’abord, </w:t>
      </w:r>
      <w:r w:rsidRPr="00884420">
        <w:t>« si une chose ou un animal se trouve involontairement sur un immeuble voisin, le propriétaire de cet immeuble doit les restituer ou permettre que le propriétaire de cette chose ou de cet animal vienne les récupérer</w:t>
      </w:r>
      <w:r>
        <w:t> » (</w:t>
      </w:r>
      <w:r w:rsidR="00EC0805">
        <w:t xml:space="preserve">C. civ., art. 3.67, </w:t>
      </w:r>
      <w:r>
        <w:t>§ 1</w:t>
      </w:r>
      <w:r w:rsidRPr="00884420">
        <w:rPr>
          <w:vertAlign w:val="superscript"/>
        </w:rPr>
        <w:t>er</w:t>
      </w:r>
      <w:r>
        <w:t>)</w:t>
      </w:r>
      <w:r w:rsidR="00807723">
        <w:rPr>
          <w:rStyle w:val="Appelnotedebasdep"/>
        </w:rPr>
        <w:footnoteReference w:id="38"/>
      </w:r>
      <w:r>
        <w:t xml:space="preserve">. </w:t>
      </w:r>
    </w:p>
    <w:p w14:paraId="5D4009C0" w14:textId="77777777" w:rsidR="00477AB4" w:rsidRDefault="00477AB4" w:rsidP="00C24DB4"/>
    <w:p w14:paraId="747B66C8" w14:textId="4DAF2B1B" w:rsidR="009A0227" w:rsidRDefault="00884420" w:rsidP="00C24DB4">
      <w:r>
        <w:t xml:space="preserve">Ensuite, </w:t>
      </w:r>
      <w:r w:rsidRPr="00477AB4">
        <w:t>« </w:t>
      </w:r>
      <w:r w:rsidR="00477AB4">
        <w:t>l</w:t>
      </w:r>
      <w:r w:rsidR="00477AB4" w:rsidRPr="00477AB4">
        <w:t>e propriétaire d'un immeuble doit, après notification préalable, tolérer que son voisin ait accès à ce bien immeuble si cela est nécessaire pour l'exécution de travaux de construction ou de réparation ou pour réparer ou entretenir la clôture non mitoyenne, sauf si le propriétaire fait valoir des motifs légitimes pour refuser cet accès</w:t>
      </w:r>
      <w:r w:rsidR="00477AB4">
        <w:t> » (</w:t>
      </w:r>
      <w:r w:rsidR="00EC0805">
        <w:t xml:space="preserve">C. civ., art. 3.67, </w:t>
      </w:r>
      <w:r w:rsidR="00477AB4">
        <w:t>§ 2</w:t>
      </w:r>
      <w:r w:rsidR="007944C7">
        <w:t>, al. 1</w:t>
      </w:r>
      <w:r w:rsidR="007944C7" w:rsidRPr="007944C7">
        <w:rPr>
          <w:vertAlign w:val="superscript"/>
        </w:rPr>
        <w:t>er</w:t>
      </w:r>
      <w:r w:rsidR="00477AB4">
        <w:t>)</w:t>
      </w:r>
      <w:r w:rsidR="00477AB4" w:rsidRPr="00477AB4">
        <w:t>.</w:t>
      </w:r>
      <w:r w:rsidR="00444D4A">
        <w:t xml:space="preserve"> Aux termes des travaux préparatoires, </w:t>
      </w:r>
      <w:r w:rsidR="00A91FCA">
        <w:t>il s’agit de « la reproduction du droit de tour d’échelle – qui est actuellement considéré comme une servitude – de l’article 31 du Code rural »</w:t>
      </w:r>
      <w:r w:rsidR="00A91FCA">
        <w:rPr>
          <w:rStyle w:val="Appelnotedebasdep"/>
        </w:rPr>
        <w:footnoteReference w:id="39"/>
      </w:r>
      <w:r w:rsidR="00A91FCA">
        <w:t>.</w:t>
      </w:r>
      <w:r w:rsidR="00243949">
        <w:t xml:space="preserve"> Une lecture </w:t>
      </w:r>
      <w:r w:rsidR="005663D6">
        <w:t xml:space="preserve">littérale de la disposition révèle pourtant </w:t>
      </w:r>
      <w:r w:rsidR="00F95140">
        <w:t>un champ d’application potentiel</w:t>
      </w:r>
      <w:r w:rsidR="001A4FBD">
        <w:t>lement</w:t>
      </w:r>
      <w:r w:rsidR="00F95140">
        <w:t xml:space="preserve"> plus large que celui de l’</w:t>
      </w:r>
      <w:r w:rsidR="00F91E39">
        <w:t xml:space="preserve">ancien </w:t>
      </w:r>
      <w:r w:rsidR="00F95140">
        <w:t>article 31 du Code rural</w:t>
      </w:r>
      <w:r w:rsidR="00F95140">
        <w:rPr>
          <w:rStyle w:val="Appelnotedebasdep"/>
        </w:rPr>
        <w:footnoteReference w:id="40"/>
      </w:r>
      <w:r w:rsidR="00F95140" w:rsidRPr="00F95140">
        <w:rPr>
          <w:vertAlign w:val="superscript"/>
        </w:rPr>
        <w:t>,</w:t>
      </w:r>
      <w:r w:rsidR="00F95140">
        <w:rPr>
          <w:rStyle w:val="Appelnotedebasdep"/>
        </w:rPr>
        <w:footnoteReference w:id="41"/>
      </w:r>
      <w:r w:rsidR="00F95140">
        <w:t>.</w:t>
      </w:r>
      <w:r w:rsidR="00316505">
        <w:t xml:space="preserve"> </w:t>
      </w:r>
      <w:r w:rsidR="001A4FBD">
        <w:t>La jurisprudence</w:t>
      </w:r>
      <w:r w:rsidR="003B48E1">
        <w:t xml:space="preserve"> récente</w:t>
      </w:r>
      <w:r w:rsidR="001A4FBD">
        <w:t xml:space="preserve"> </w:t>
      </w:r>
      <w:r w:rsidR="00E06B94">
        <w:t>appliquait par exemple la servitude de tour d’échelle a</w:t>
      </w:r>
      <w:r w:rsidR="003B48E1">
        <w:t>ux travaux d’isolation d’un mur existant</w:t>
      </w:r>
      <w:r w:rsidR="003B48E1">
        <w:rPr>
          <w:rStyle w:val="Appelnotedebasdep"/>
        </w:rPr>
        <w:footnoteReference w:id="42"/>
      </w:r>
      <w:r w:rsidR="003B48E1">
        <w:t xml:space="preserve">, mais non à un mur </w:t>
      </w:r>
      <w:r w:rsidR="00095930">
        <w:t>en cours de construction</w:t>
      </w:r>
      <w:r w:rsidR="00095930">
        <w:rPr>
          <w:rStyle w:val="Appelnotedebasdep"/>
        </w:rPr>
        <w:footnoteReference w:id="43"/>
      </w:r>
      <w:r w:rsidR="00095930">
        <w:t xml:space="preserve">. Dans cette dernière hypothèse, </w:t>
      </w:r>
      <w:r w:rsidR="00037826">
        <w:t xml:space="preserve">il est permis de penser que </w:t>
      </w:r>
      <w:r w:rsidR="00095930">
        <w:t xml:space="preserve">les termes de l’article 3.67, § 2, du Code civil </w:t>
      </w:r>
      <w:r w:rsidR="00995239">
        <w:t>permettraient au contraire</w:t>
      </w:r>
      <w:r w:rsidR="00095930">
        <w:t xml:space="preserve"> </w:t>
      </w:r>
      <w:r w:rsidR="00BB40AE">
        <w:t>l’installation d’un échafaudage temporaire sur un fonds voisin</w:t>
      </w:r>
      <w:r w:rsidR="00685431">
        <w:t xml:space="preserve">, dès lors que la nouvelle </w:t>
      </w:r>
      <w:r w:rsidR="00B17423">
        <w:t>tolérance de tour d’échelle vise les travaux de construction à côté de ceux de réparation.</w:t>
      </w:r>
      <w:r w:rsidR="007944C7">
        <w:t xml:space="preserve"> </w:t>
      </w:r>
      <w:r w:rsidR="005175EF">
        <w:t>La finale du paragraphe</w:t>
      </w:r>
      <w:r w:rsidR="00783D30">
        <w:t xml:space="preserve"> encadre </w:t>
      </w:r>
      <w:r w:rsidR="009A0227">
        <w:t xml:space="preserve">toutefois </w:t>
      </w:r>
      <w:r w:rsidR="00783D30">
        <w:t xml:space="preserve">ce droit en précisant, d’une part, que s’il </w:t>
      </w:r>
      <w:r w:rsidR="00783D30" w:rsidRPr="005175EF">
        <w:t>« est autorisé, il doit être exercé de la manière la moins dommageable pour le voisin » et</w:t>
      </w:r>
      <w:r w:rsidR="005175EF" w:rsidRPr="005175EF">
        <w:t>, d’autre part,</w:t>
      </w:r>
      <w:r w:rsidR="00783D30" w:rsidRPr="005175EF">
        <w:t xml:space="preserve"> que </w:t>
      </w:r>
      <w:r w:rsidR="005175EF" w:rsidRPr="005175EF">
        <w:t>« </w:t>
      </w:r>
      <w:r w:rsidR="00783D30" w:rsidRPr="005175EF">
        <w:t>Le propriétaire a droit à une compensation s'il a subi un dommage</w:t>
      </w:r>
      <w:r w:rsidR="005175EF" w:rsidRPr="005175EF">
        <w:t> »</w:t>
      </w:r>
      <w:r w:rsidR="009A0227">
        <w:t xml:space="preserve"> (</w:t>
      </w:r>
      <w:r w:rsidR="00EC0805">
        <w:t xml:space="preserve">C. civ., art. 3.67, </w:t>
      </w:r>
      <w:r w:rsidR="009A0227">
        <w:t>§ 2, al. 2)</w:t>
      </w:r>
      <w:r w:rsidR="005175EF" w:rsidRPr="005175EF">
        <w:t>.</w:t>
      </w:r>
    </w:p>
    <w:p w14:paraId="633803D7" w14:textId="76F839A7" w:rsidR="00BC1EC3" w:rsidRDefault="00BC1EC3" w:rsidP="00C24DB4"/>
    <w:p w14:paraId="2BC8A0BF" w14:textId="2F7736A4" w:rsidR="00BC1EC3" w:rsidRPr="00EC0805" w:rsidRDefault="00BF0A2D" w:rsidP="00C24DB4">
      <w:r>
        <w:t xml:space="preserve">Enfin, </w:t>
      </w:r>
      <w:r w:rsidR="00E31E36">
        <w:t>le</w:t>
      </w:r>
      <w:r w:rsidR="00C7041A">
        <w:t xml:space="preserve"> troisième paragraphe consacre </w:t>
      </w:r>
      <w:r w:rsidR="005C5329">
        <w:t xml:space="preserve">pour tout un chacun </w:t>
      </w:r>
      <w:r w:rsidR="00C7041A">
        <w:t>un droit nouveau</w:t>
      </w:r>
      <w:r w:rsidR="005C5329">
        <w:t> : « le droit de flâner sur un terrain vague »</w:t>
      </w:r>
      <w:r w:rsidR="004D219B">
        <w:t>, selon des termes empruntés à N. Bernard</w:t>
      </w:r>
      <w:r w:rsidR="005C5329">
        <w:rPr>
          <w:rStyle w:val="Appelnotedebasdep"/>
        </w:rPr>
        <w:footnoteReference w:id="44"/>
      </w:r>
      <w:r w:rsidR="005C5329">
        <w:t>.</w:t>
      </w:r>
      <w:r w:rsidR="007417A2">
        <w:t xml:space="preserve"> Plus précisément,</w:t>
      </w:r>
      <w:r w:rsidR="009811F9">
        <w:t xml:space="preserve"> cette disposition</w:t>
      </w:r>
      <w:r w:rsidR="007417A2">
        <w:t xml:space="preserve"> permet à « quiconque » de se rendre </w:t>
      </w:r>
      <w:r w:rsidR="007B37BF">
        <w:t>sur un immeuble qui n’est ni bâti, ni cultivé, ni clôturé</w:t>
      </w:r>
      <w:r w:rsidR="00C94C3B">
        <w:t xml:space="preserve"> et dont le propriétaire n’a pas fait savoir de manière claire qu’il en interdisait l’accès, </w:t>
      </w:r>
      <w:r w:rsidR="0022699F" w:rsidRPr="0022699F">
        <w:t>« sauf si cela engendre un dommage ou nuit au propriétaire de cette parcelle</w:t>
      </w:r>
      <w:r w:rsidR="00C94C3B">
        <w:t xml:space="preserve"> </w:t>
      </w:r>
      <w:r w:rsidR="0022699F" w:rsidRPr="0022699F">
        <w:t>»</w:t>
      </w:r>
      <w:r w:rsidR="005A2953">
        <w:t xml:space="preserve"> (</w:t>
      </w:r>
      <w:r w:rsidR="00EC0805">
        <w:t xml:space="preserve">C. civ., art. 3.67, </w:t>
      </w:r>
      <w:r w:rsidR="005A2953">
        <w:t>§ 3</w:t>
      </w:r>
      <w:r w:rsidR="009811F9">
        <w:t xml:space="preserve">, </w:t>
      </w:r>
      <w:r w:rsidR="009811F9">
        <w:rPr>
          <w:i/>
          <w:iCs/>
        </w:rPr>
        <w:t>ab initio</w:t>
      </w:r>
      <w:r w:rsidR="005A2953">
        <w:t xml:space="preserve">). </w:t>
      </w:r>
      <w:r w:rsidR="009811F9">
        <w:t>La disposition</w:t>
      </w:r>
      <w:r w:rsidR="00277D03">
        <w:t xml:space="preserve"> ne </w:t>
      </w:r>
      <w:r w:rsidR="00277D03">
        <w:lastRenderedPageBreak/>
        <w:t xml:space="preserve">précise pas ce qu’il est permis de faire sur </w:t>
      </w:r>
      <w:r w:rsidR="008F6E36">
        <w:t>un tel immeuble</w:t>
      </w:r>
      <w:r w:rsidR="00277D03">
        <w:t>, de sorte</w:t>
      </w:r>
      <w:r w:rsidR="00A9205E">
        <w:t>, sans doute, que toute activité</w:t>
      </w:r>
      <w:r w:rsidR="00505B2A">
        <w:t xml:space="preserve"> temporaire</w:t>
      </w:r>
      <w:r w:rsidR="00A9205E">
        <w:t xml:space="preserve"> que la loi n’interdit pas et qui n’engendre pas de dommage ni ne nuit au propriétaire peut s’y dérouler.</w:t>
      </w:r>
      <w:r w:rsidR="00965F07">
        <w:t xml:space="preserve"> Les travaux préparatoires</w:t>
      </w:r>
      <w:r w:rsidR="008630DB" w:rsidRPr="008630DB">
        <w:t xml:space="preserve"> </w:t>
      </w:r>
      <w:r w:rsidR="008630DB">
        <w:t>proposent en guise d’illustrations d’activité</w:t>
      </w:r>
      <w:r w:rsidR="00505B2A">
        <w:t>s</w:t>
      </w:r>
      <w:r w:rsidR="008630DB">
        <w:t xml:space="preserve"> pouvant </w:t>
      </w:r>
      <w:r w:rsidR="00355200">
        <w:t>se dérouler sur le fonds, le fait d’y passer, d’y flâner ou d’y jouer quelques heures</w:t>
      </w:r>
      <w:r w:rsidR="008F6E36">
        <w:rPr>
          <w:rStyle w:val="Appelnotedebasdep"/>
        </w:rPr>
        <w:footnoteReference w:id="45"/>
      </w:r>
      <w:r w:rsidR="00355200">
        <w:t>. Il</w:t>
      </w:r>
      <w:r w:rsidR="003C4702">
        <w:t>s</w:t>
      </w:r>
      <w:r w:rsidR="00965F07">
        <w:t xml:space="preserve"> </w:t>
      </w:r>
      <w:r w:rsidR="00596821">
        <w:t xml:space="preserve">insistent </w:t>
      </w:r>
      <w:r w:rsidR="003C4702">
        <w:t>également</w:t>
      </w:r>
      <w:r w:rsidR="00596821">
        <w:t xml:space="preserve"> sur l</w:t>
      </w:r>
      <w:r w:rsidR="003C4702">
        <w:t>e caractère</w:t>
      </w:r>
      <w:r w:rsidR="00596821">
        <w:t xml:space="preserve"> temporaire de l’</w:t>
      </w:r>
      <w:r w:rsidR="008630DB">
        <w:t>accès à l’immeuble</w:t>
      </w:r>
      <w:r w:rsidR="008F6E36">
        <w:rPr>
          <w:rStyle w:val="Appelnotedebasdep"/>
        </w:rPr>
        <w:footnoteReference w:id="46"/>
      </w:r>
      <w:r w:rsidR="003C4702">
        <w:t>.</w:t>
      </w:r>
      <w:r w:rsidR="002C01A7">
        <w:t xml:space="preserve"> </w:t>
      </w:r>
      <w:r w:rsidR="00DC1745">
        <w:t xml:space="preserve">En ce sens, </w:t>
      </w:r>
      <w:r w:rsidR="00F64AAC">
        <w:t xml:space="preserve">P. </w:t>
      </w:r>
      <w:r w:rsidR="00F64AAC">
        <w:rPr>
          <w:smallCaps/>
        </w:rPr>
        <w:t xml:space="preserve">Lecocq </w:t>
      </w:r>
      <w:r w:rsidR="00F64AAC">
        <w:t>indique que « se rendre » sur le fonds, c’est « plus que seulement y passer, [mais] moins que l’occuper »</w:t>
      </w:r>
      <w:r w:rsidR="00DC1745">
        <w:rPr>
          <w:rStyle w:val="Appelnotedebasdep"/>
        </w:rPr>
        <w:footnoteReference w:id="47"/>
      </w:r>
      <w:r w:rsidR="00F64AAC">
        <w:t xml:space="preserve">. </w:t>
      </w:r>
      <w:r w:rsidR="002C01A7">
        <w:t>Notons</w:t>
      </w:r>
      <w:r w:rsidR="00DC1745">
        <w:t>, enfin,</w:t>
      </w:r>
      <w:r w:rsidR="002C01A7">
        <w:t xml:space="preserve"> que dans l’exercice de ce droit, le tiers qui se rend sur le fonds ne peut invoquer ni </w:t>
      </w:r>
      <w:r w:rsidR="007620B4">
        <w:t xml:space="preserve">le bénéfice de </w:t>
      </w:r>
      <w:r w:rsidR="002C01A7">
        <w:t xml:space="preserve">l’article 3.26 </w:t>
      </w:r>
      <w:r w:rsidR="007620B4">
        <w:t xml:space="preserve">du Code civil </w:t>
      </w:r>
      <w:r w:rsidR="002C01A7">
        <w:t>(</w:t>
      </w:r>
      <w:r w:rsidR="002E7D5E">
        <w:t>prescription acquisitive du fonds</w:t>
      </w:r>
      <w:r w:rsidR="00CC59A4">
        <w:rPr>
          <w:rStyle w:val="Appelnotedebasdep"/>
        </w:rPr>
        <w:footnoteReference w:id="48"/>
      </w:r>
      <w:r w:rsidR="002E7D5E">
        <w:t>), ni</w:t>
      </w:r>
      <w:r w:rsidR="007620B4">
        <w:t xml:space="preserve"> celui</w:t>
      </w:r>
      <w:r w:rsidR="00BB2D65">
        <w:t xml:space="preserve"> de</w:t>
      </w:r>
      <w:r w:rsidR="002E7D5E">
        <w:t xml:space="preserve"> l’article 3.59</w:t>
      </w:r>
      <w:r w:rsidR="000A76EC">
        <w:t xml:space="preserve"> </w:t>
      </w:r>
      <w:r w:rsidR="00BB2D65">
        <w:t xml:space="preserve">du Code civil </w:t>
      </w:r>
      <w:r w:rsidR="000A76EC">
        <w:t>(acquisition d’un bien trouvé</w:t>
      </w:r>
      <w:r w:rsidR="00BB2D65">
        <w:rPr>
          <w:rStyle w:val="Appelnotedebasdep"/>
        </w:rPr>
        <w:footnoteReference w:id="49"/>
      </w:r>
      <w:r w:rsidR="000A76EC">
        <w:t>) (</w:t>
      </w:r>
      <w:r w:rsidR="00EC0805">
        <w:t xml:space="preserve">C. civ., art. 3.67, § 3, </w:t>
      </w:r>
      <w:r w:rsidR="00EC0805">
        <w:rPr>
          <w:i/>
          <w:iCs/>
        </w:rPr>
        <w:t>in fine</w:t>
      </w:r>
      <w:r w:rsidR="00EC0805">
        <w:t>).</w:t>
      </w:r>
    </w:p>
    <w:p w14:paraId="1FEB4CB1" w14:textId="6407265D" w:rsidR="00AF5A62" w:rsidRDefault="00AF5A62" w:rsidP="00C24DB4"/>
    <w:p w14:paraId="2E6FA020" w14:textId="0CD3FC93" w:rsidR="00826099" w:rsidRDefault="00F03202" w:rsidP="00826099">
      <w:r>
        <w:t xml:space="preserve">D’une manière générale, </w:t>
      </w:r>
      <w:r w:rsidR="00F452FC">
        <w:t xml:space="preserve">les travaux préparatoires indiquent que </w:t>
      </w:r>
      <w:r>
        <w:t>l’article 3.67</w:t>
      </w:r>
      <w:r w:rsidR="00813853">
        <w:t xml:space="preserve"> du Code civil </w:t>
      </w:r>
      <w:r w:rsidR="00181756">
        <w:t>règle les rapports entre le propriétaire et les tiers</w:t>
      </w:r>
      <w:r w:rsidR="00E721C0">
        <w:t>, qu’ils soient des voisins ou non</w:t>
      </w:r>
      <w:r w:rsidR="00E721C0">
        <w:rPr>
          <w:rStyle w:val="Appelnotedebasdep"/>
        </w:rPr>
        <w:footnoteReference w:id="50"/>
      </w:r>
      <w:r w:rsidR="00181756">
        <w:t xml:space="preserve">. </w:t>
      </w:r>
      <w:r w:rsidR="00F452FC">
        <w:t>A cet égard, D. Gruyaert regrette que les paragraphes 1</w:t>
      </w:r>
      <w:r w:rsidR="00F452FC" w:rsidRPr="003C54C0">
        <w:rPr>
          <w:vertAlign w:val="superscript"/>
        </w:rPr>
        <w:t>er</w:t>
      </w:r>
      <w:r w:rsidR="00F452FC">
        <w:t xml:space="preserve"> et 2 de la disposition ne visent que le voisinage</w:t>
      </w:r>
      <w:r w:rsidR="00F452FC">
        <w:rPr>
          <w:rStyle w:val="Appelnotedebasdep"/>
        </w:rPr>
        <w:footnoteReference w:id="51"/>
      </w:r>
      <w:r w:rsidR="00F452FC">
        <w:t xml:space="preserve">. </w:t>
      </w:r>
      <w:r w:rsidR="005F09B9">
        <w:t>Les</w:t>
      </w:r>
      <w:r w:rsidR="00810F57">
        <w:t xml:space="preserve"> travaux préparatoires ajoutent </w:t>
      </w:r>
      <w:r w:rsidR="0080179C">
        <w:t xml:space="preserve">encore </w:t>
      </w:r>
      <w:r w:rsidR="005F09B9">
        <w:t xml:space="preserve">qu’un lien doit être établi avec </w:t>
      </w:r>
      <w:r w:rsidR="00AE5D69">
        <w:t>les dispositions relatives aux</w:t>
      </w:r>
      <w:r w:rsidR="005F09B9">
        <w:t xml:space="preserve"> troubles de voisinage </w:t>
      </w:r>
      <w:r w:rsidR="00AE5D69">
        <w:t>(C. civ., art. 3.101 et 3.102</w:t>
      </w:r>
      <w:r w:rsidR="007C720A">
        <w:rPr>
          <w:rStyle w:val="Appelnotedebasdep"/>
        </w:rPr>
        <w:footnoteReference w:id="52"/>
      </w:r>
      <w:r w:rsidR="00AE5D69">
        <w:t>), en ce sens que l’article 3.67 établit</w:t>
      </w:r>
      <w:r w:rsidR="00810F57">
        <w:t xml:space="preserve"> « un critère minimal pour les cas dans lesquels un voi</w:t>
      </w:r>
      <w:r w:rsidR="00AE5D69">
        <w:t>s</w:t>
      </w:r>
      <w:r w:rsidR="00810F57">
        <w:t xml:space="preserve">in fait usage </w:t>
      </w:r>
      <w:r w:rsidR="00754B9E">
        <w:t>d’une parcelle sans créer aucun trouble »</w:t>
      </w:r>
      <w:r w:rsidR="00BE303C">
        <w:rPr>
          <w:rStyle w:val="Appelnotedebasdep"/>
        </w:rPr>
        <w:footnoteReference w:id="53"/>
      </w:r>
      <w:r w:rsidR="00754B9E">
        <w:t>.</w:t>
      </w:r>
      <w:r w:rsidR="00E40F5D">
        <w:t xml:space="preserve"> </w:t>
      </w:r>
      <w:r w:rsidR="00C23F72">
        <w:t>Si te</w:t>
      </w:r>
      <w:r w:rsidR="00616321">
        <w:t>l</w:t>
      </w:r>
      <w:r w:rsidR="00C23F72">
        <w:t>l</w:t>
      </w:r>
      <w:r w:rsidR="00616321">
        <w:t>e</w:t>
      </w:r>
      <w:r w:rsidR="00C23F72">
        <w:t xml:space="preserve"> était l’</w:t>
      </w:r>
      <w:r w:rsidR="00616321">
        <w:t>intention</w:t>
      </w:r>
      <w:r w:rsidR="00C23F72">
        <w:t xml:space="preserve"> du législateur</w:t>
      </w:r>
      <w:r w:rsidR="0084791F">
        <w:t xml:space="preserve">, sans doute </w:t>
      </w:r>
      <w:r w:rsidR="00616321">
        <w:t xml:space="preserve">peut-on </w:t>
      </w:r>
      <w:r w:rsidR="0084791F">
        <w:t>regrett</w:t>
      </w:r>
      <w:r w:rsidR="00616321">
        <w:t>er</w:t>
      </w:r>
      <w:r w:rsidR="0084791F">
        <w:t xml:space="preserve"> pour la lisibilité du Code civil que l’article 3.101 ne </w:t>
      </w:r>
      <w:r w:rsidR="00E4758C">
        <w:t>contienne aucune</w:t>
      </w:r>
      <w:r w:rsidR="0084791F">
        <w:t xml:space="preserve"> référence à l’article 3.67</w:t>
      </w:r>
      <w:r w:rsidR="003E169F">
        <w:rPr>
          <w:rStyle w:val="Appelnotedebasdep"/>
        </w:rPr>
        <w:footnoteReference w:id="54"/>
      </w:r>
      <w:r w:rsidR="0084791F">
        <w:t>.</w:t>
      </w:r>
    </w:p>
    <w:p w14:paraId="5912ACE1" w14:textId="3C7F288D" w:rsidR="003A653C" w:rsidRDefault="003A653C" w:rsidP="00826099"/>
    <w:p w14:paraId="7D753CA8" w14:textId="4CB7D397" w:rsidR="00311705" w:rsidRDefault="007522E0" w:rsidP="00826099">
      <w:r>
        <w:rPr>
          <w:b/>
          <w:bCs/>
        </w:rPr>
        <w:t>1</w:t>
      </w:r>
      <w:r w:rsidR="00100DEF">
        <w:rPr>
          <w:b/>
          <w:bCs/>
        </w:rPr>
        <w:t>0</w:t>
      </w:r>
      <w:r w:rsidR="003A653C">
        <w:rPr>
          <w:b/>
          <w:bCs/>
        </w:rPr>
        <w:t>.</w:t>
      </w:r>
      <w:r w:rsidR="00B12762">
        <w:rPr>
          <w:b/>
          <w:bCs/>
        </w:rPr>
        <w:t xml:space="preserve"> </w:t>
      </w:r>
      <w:r w:rsidR="007D13F6">
        <w:t>Les articles 3.63 et 3.67 du Code civil que nous venons d’examiner limitent</w:t>
      </w:r>
      <w:r w:rsidR="0018430D">
        <w:t xml:space="preserve"> la portée du droit du propriétaire dans l’intérêt général</w:t>
      </w:r>
      <w:r w:rsidR="00336D47">
        <w:t>.</w:t>
      </w:r>
      <w:r w:rsidR="00101E50">
        <w:t xml:space="preserve"> A côté de ces dispositions, le titre 3 du livre 3 du Code civil</w:t>
      </w:r>
      <w:r w:rsidR="0018430D">
        <w:t xml:space="preserve"> contient également </w:t>
      </w:r>
      <w:r w:rsidR="00C23513">
        <w:t>un article 3.53</w:t>
      </w:r>
      <w:r w:rsidR="002B2F4B">
        <w:t xml:space="preserve"> qui, à l’inverse,</w:t>
      </w:r>
      <w:r w:rsidR="0018430D">
        <w:t xml:space="preserve"> </w:t>
      </w:r>
      <w:r w:rsidR="00117250">
        <w:t>limit</w:t>
      </w:r>
      <w:r w:rsidR="002B2F4B">
        <w:t>e</w:t>
      </w:r>
      <w:r w:rsidR="00117250">
        <w:t xml:space="preserve"> les restrictions que le propriétaire peut lui-même apporter à son droit</w:t>
      </w:r>
      <w:r w:rsidR="00653D35">
        <w:t xml:space="preserve"> et plus particulièrement </w:t>
      </w:r>
      <w:r w:rsidR="002B2F4B">
        <w:t>à son</w:t>
      </w:r>
      <w:r w:rsidR="00167332">
        <w:t xml:space="preserve"> pouvoir de disposition.</w:t>
      </w:r>
      <w:r w:rsidR="002B2F4B">
        <w:t xml:space="preserve"> </w:t>
      </w:r>
    </w:p>
    <w:p w14:paraId="7641F5CC" w14:textId="77777777" w:rsidR="00311705" w:rsidRDefault="00311705" w:rsidP="00826099"/>
    <w:p w14:paraId="089328C7" w14:textId="0BFC1256" w:rsidR="00B02926" w:rsidRDefault="00FA3ED8" w:rsidP="00826099">
      <w:r>
        <w:t>Pour rappel</w:t>
      </w:r>
      <w:r w:rsidR="009344A7">
        <w:t xml:space="preserve"> (</w:t>
      </w:r>
      <w:r w:rsidR="009344A7">
        <w:rPr>
          <w:i/>
          <w:iCs/>
        </w:rPr>
        <w:t>supra</w:t>
      </w:r>
      <w:r w:rsidR="009344A7">
        <w:t xml:space="preserve">, n° </w:t>
      </w:r>
      <w:r w:rsidR="00E37190">
        <w:t>4</w:t>
      </w:r>
      <w:r w:rsidR="009344A7">
        <w:t>)</w:t>
      </w:r>
      <w:r>
        <w:t xml:space="preserve">, </w:t>
      </w:r>
      <w:r w:rsidR="00F0135C">
        <w:t>selon les travaux préparatoires, l</w:t>
      </w:r>
      <w:r w:rsidR="00FE2CA9">
        <w:t>e pouvoir de disposition</w:t>
      </w:r>
      <w:r>
        <w:t xml:space="preserve"> e</w:t>
      </w:r>
      <w:r w:rsidR="00FE2CA9">
        <w:t>st</w:t>
      </w:r>
      <w:r w:rsidR="00F0135C">
        <w:t xml:space="preserve"> </w:t>
      </w:r>
      <w:r w:rsidR="00311705">
        <w:t xml:space="preserve">la faculté </w:t>
      </w:r>
      <w:r w:rsidR="00F0135C">
        <w:t>qu’a le propriétaire de faire</w:t>
      </w:r>
      <w:r w:rsidR="003947A5">
        <w:t xml:space="preserve"> « des actes matériels qui diminuent la valeur du bien ou des actes juridiques qui modifient le statut de droit réel du bien »</w:t>
      </w:r>
      <w:r w:rsidR="00F0135C" w:rsidRPr="00F0135C">
        <w:rPr>
          <w:rStyle w:val="Appelnotedebasdep"/>
        </w:rPr>
        <w:t xml:space="preserve"> </w:t>
      </w:r>
      <w:r w:rsidR="00F0135C">
        <w:rPr>
          <w:rStyle w:val="Appelnotedebasdep"/>
        </w:rPr>
        <w:footnoteReference w:id="55"/>
      </w:r>
      <w:r w:rsidR="009344A7">
        <w:t>.</w:t>
      </w:r>
    </w:p>
    <w:p w14:paraId="33984E31" w14:textId="74FC707C" w:rsidR="00C23513" w:rsidRDefault="00C23513" w:rsidP="00826099"/>
    <w:p w14:paraId="3FE879A4" w14:textId="3A0B5D53" w:rsidR="00762C59" w:rsidRDefault="00C23513" w:rsidP="00826099">
      <w:r>
        <w:t xml:space="preserve">L’article 3.53 du Code civil reconnaît au propriétaire le droit de </w:t>
      </w:r>
      <w:r w:rsidR="00FE2CA9">
        <w:t>restreindre son</w:t>
      </w:r>
      <w:r>
        <w:t xml:space="preserve"> pouvoir de disposition sur </w:t>
      </w:r>
      <w:r w:rsidR="001D5801">
        <w:t>un</w:t>
      </w:r>
      <w:r>
        <w:t xml:space="preserve"> bien, m</w:t>
      </w:r>
      <w:r w:rsidR="000F1F74">
        <w:t xml:space="preserve">ais impose pour ce faire deux conditions : </w:t>
      </w:r>
      <w:r w:rsidR="00392C1A">
        <w:t xml:space="preserve">la </w:t>
      </w:r>
      <w:r w:rsidR="001D5801">
        <w:t>restrict</w:t>
      </w:r>
      <w:r w:rsidR="00392C1A">
        <w:t>ion doit</w:t>
      </w:r>
      <w:r w:rsidR="00E0373B">
        <w:t>, d’une part,</w:t>
      </w:r>
      <w:r w:rsidR="00392C1A">
        <w:t xml:space="preserve"> être limitée dans le temps</w:t>
      </w:r>
      <w:r w:rsidR="00E0373B">
        <w:t xml:space="preserve"> </w:t>
      </w:r>
      <w:r w:rsidR="00392C1A">
        <w:t>et</w:t>
      </w:r>
      <w:r w:rsidR="00E0373B">
        <w:t>, d’autre part,</w:t>
      </w:r>
      <w:r w:rsidR="00392C1A">
        <w:t xml:space="preserve"> répondre à un intérêt légitime. Ce faisant, </w:t>
      </w:r>
      <w:r w:rsidR="00343ADB">
        <w:t xml:space="preserve">le législateur fournit une base légale </w:t>
      </w:r>
      <w:r w:rsidR="00D21BC8">
        <w:t>aux</w:t>
      </w:r>
      <w:r w:rsidR="00343ADB">
        <w:t xml:space="preserve"> clauses d’inaliénabilité en usage, ces deux conditions étant admises de longue date.</w:t>
      </w:r>
    </w:p>
    <w:p w14:paraId="0526C703" w14:textId="77777777" w:rsidR="00343ADB" w:rsidRDefault="00343ADB" w:rsidP="00826099">
      <w:pPr>
        <w:rPr>
          <w:bCs/>
        </w:rPr>
      </w:pPr>
    </w:p>
    <w:p w14:paraId="11210578" w14:textId="0C353E50" w:rsidR="00F879B3" w:rsidRDefault="00762C59" w:rsidP="00826099">
      <w:pPr>
        <w:rPr>
          <w:bCs/>
        </w:rPr>
      </w:pPr>
      <w:r>
        <w:rPr>
          <w:bCs/>
        </w:rPr>
        <w:t>L</w:t>
      </w:r>
      <w:r w:rsidR="0090722E">
        <w:rPr>
          <w:bCs/>
        </w:rPr>
        <w:t>’article 3.53 du Code civil indique que l</w:t>
      </w:r>
      <w:r>
        <w:rPr>
          <w:bCs/>
        </w:rPr>
        <w:t>es deux conditions mentionnées sont de nature impérative</w:t>
      </w:r>
      <w:r w:rsidR="0090722E">
        <w:rPr>
          <w:bCs/>
        </w:rPr>
        <w:t>.</w:t>
      </w:r>
      <w:r>
        <w:rPr>
          <w:bCs/>
        </w:rPr>
        <w:t xml:space="preserve"> </w:t>
      </w:r>
      <w:r w:rsidR="00561991">
        <w:rPr>
          <w:bCs/>
        </w:rPr>
        <w:t xml:space="preserve">Ces conditions </w:t>
      </w:r>
      <w:r>
        <w:rPr>
          <w:bCs/>
        </w:rPr>
        <w:t xml:space="preserve">trouvent </w:t>
      </w:r>
      <w:r w:rsidR="00561991">
        <w:rPr>
          <w:bCs/>
        </w:rPr>
        <w:t xml:space="preserve">en effet </w:t>
      </w:r>
      <w:r>
        <w:rPr>
          <w:bCs/>
        </w:rPr>
        <w:t>leur raison d’être dans la protection de la libre disposition des biens jugée désirable à deux titres : elle permet au propriétaire d’une valeur patrimoniale d’en bénéficier et elle assure</w:t>
      </w:r>
      <w:r w:rsidR="00D21BC8">
        <w:rPr>
          <w:bCs/>
        </w:rPr>
        <w:t>,</w:t>
      </w:r>
      <w:r>
        <w:rPr>
          <w:bCs/>
        </w:rPr>
        <w:t xml:space="preserve"> en principe</w:t>
      </w:r>
      <w:r w:rsidR="00D21BC8">
        <w:rPr>
          <w:bCs/>
        </w:rPr>
        <w:t>,</w:t>
      </w:r>
      <w:r>
        <w:rPr>
          <w:bCs/>
        </w:rPr>
        <w:t xml:space="preserve"> que le bien revienne à la personne qui le valorise le plus</w:t>
      </w:r>
      <w:r>
        <w:rPr>
          <w:rStyle w:val="Appelnotedebasdep"/>
          <w:bCs/>
        </w:rPr>
        <w:t xml:space="preserve"> </w:t>
      </w:r>
      <w:r>
        <w:rPr>
          <w:rStyle w:val="Appelnotedebasdep"/>
          <w:bCs/>
        </w:rPr>
        <w:footnoteReference w:id="56"/>
      </w:r>
      <w:r>
        <w:rPr>
          <w:bCs/>
        </w:rPr>
        <w:t>.</w:t>
      </w:r>
      <w:r w:rsidR="008010C8">
        <w:rPr>
          <w:bCs/>
        </w:rPr>
        <w:t xml:space="preserve"> </w:t>
      </w:r>
    </w:p>
    <w:p w14:paraId="137950F2" w14:textId="77777777" w:rsidR="00F879B3" w:rsidRDefault="00F879B3" w:rsidP="00826099">
      <w:pPr>
        <w:rPr>
          <w:bCs/>
        </w:rPr>
      </w:pPr>
    </w:p>
    <w:p w14:paraId="1CA28A54" w14:textId="157C4EE3" w:rsidR="00762C59" w:rsidRDefault="00EA3E3A" w:rsidP="00826099">
      <w:pPr>
        <w:rPr>
          <w:bCs/>
        </w:rPr>
      </w:pPr>
      <w:r>
        <w:t xml:space="preserve">Le législateur n’offre pas plus de précision quant à l’interprétation à donner à ces deux conditions, tant et si bien qu’il faut avoir égard aux acquis doctrinaux et jurisprudentiels en la matière et notamment au fait que </w:t>
      </w:r>
      <w:r w:rsidR="00B26855">
        <w:t xml:space="preserve">l’articulation des deux conditions se fait de la manière suivante : </w:t>
      </w:r>
      <w:r>
        <w:t xml:space="preserve">la durée </w:t>
      </w:r>
      <w:r w:rsidR="00B26855">
        <w:rPr>
          <w:bCs/>
        </w:rPr>
        <w:t xml:space="preserve">de la limitation ne peut excéder le temps requis par la poursuite de </w:t>
      </w:r>
      <w:r w:rsidR="00A52A6A">
        <w:rPr>
          <w:bCs/>
        </w:rPr>
        <w:t>l’intérêt légitime</w:t>
      </w:r>
      <w:r w:rsidR="00F879B3">
        <w:rPr>
          <w:rStyle w:val="Appelnotedebasdep"/>
        </w:rPr>
        <w:footnoteReference w:id="57"/>
      </w:r>
      <w:r w:rsidR="00A52A6A">
        <w:rPr>
          <w:bCs/>
        </w:rPr>
        <w:t>.</w:t>
      </w:r>
    </w:p>
    <w:p w14:paraId="4916E735" w14:textId="0EB0A982" w:rsidR="00762836" w:rsidRDefault="00762836" w:rsidP="00826099">
      <w:pPr>
        <w:rPr>
          <w:bCs/>
        </w:rPr>
      </w:pPr>
    </w:p>
    <w:p w14:paraId="2708150F" w14:textId="43436B9C" w:rsidR="003E169F" w:rsidRDefault="00627B86" w:rsidP="00826099">
      <w:r w:rsidRPr="008F259A">
        <w:t>Notons</w:t>
      </w:r>
      <w:r w:rsidR="00934CBA">
        <w:t xml:space="preserve"> qu’au moment </w:t>
      </w:r>
      <w:r w:rsidR="00E723F4">
        <w:t xml:space="preserve">où </w:t>
      </w:r>
      <w:r w:rsidR="00403DE7">
        <w:t>la réforme fut pensée</w:t>
      </w:r>
      <w:r w:rsidRPr="008F259A">
        <w:t>, le t</w:t>
      </w:r>
      <w:r>
        <w:t xml:space="preserve">exte de l’article 3.53 concordait avec </w:t>
      </w:r>
      <w:r w:rsidR="00AC41C0">
        <w:t xml:space="preserve">celui de </w:t>
      </w:r>
      <w:r>
        <w:t>l’article 510 du Code des sociétés</w:t>
      </w:r>
      <w:r>
        <w:rPr>
          <w:rStyle w:val="Appelnotedebasdep"/>
        </w:rPr>
        <w:footnoteReference w:id="58"/>
      </w:r>
      <w:r>
        <w:t>.</w:t>
      </w:r>
      <w:r w:rsidR="00FD1104">
        <w:t xml:space="preserve"> </w:t>
      </w:r>
      <w:r w:rsidR="00B6592B">
        <w:t>La réforme du droit</w:t>
      </w:r>
      <w:r w:rsidR="00FD1104">
        <w:t xml:space="preserve"> des sociétés a </w:t>
      </w:r>
      <w:r w:rsidR="00B6592B">
        <w:t>toutefois</w:t>
      </w:r>
      <w:r w:rsidR="00FD1104">
        <w:t xml:space="preserve"> donné lieu à une nouvelle formulation, différente de celle du Code civil</w:t>
      </w:r>
      <w:r w:rsidR="00053660">
        <w:rPr>
          <w:rStyle w:val="Appelnotedebasdep"/>
        </w:rPr>
        <w:footnoteReference w:id="59"/>
      </w:r>
      <w:r w:rsidR="00555FA2">
        <w:t xml:space="preserve">. Aux termes de l’article </w:t>
      </w:r>
      <w:proofErr w:type="gramStart"/>
      <w:r w:rsidR="00555FA2">
        <w:t>7:</w:t>
      </w:r>
      <w:proofErr w:type="gramEnd"/>
      <w:r w:rsidR="00555FA2">
        <w:t xml:space="preserve">78 </w:t>
      </w:r>
      <w:r w:rsidR="00403DE7">
        <w:t>d</w:t>
      </w:r>
      <w:r w:rsidR="00F879B3">
        <w:t>u</w:t>
      </w:r>
      <w:r w:rsidR="00403DE7">
        <w:t xml:space="preserve"> Code</w:t>
      </w:r>
      <w:r w:rsidR="00F879B3">
        <w:t xml:space="preserve"> des sociétés et des associations</w:t>
      </w:r>
      <w:r w:rsidR="00555FA2">
        <w:t>,</w:t>
      </w:r>
      <w:r w:rsidR="00094484">
        <w:t xml:space="preserve"> </w:t>
      </w:r>
      <w:r w:rsidR="00555FA2" w:rsidRPr="00555FA2">
        <w:t>« </w:t>
      </w:r>
      <w:r w:rsidR="00F879B3">
        <w:t>l</w:t>
      </w:r>
      <w:r w:rsidR="00555FA2" w:rsidRPr="00555FA2">
        <w:t>es clauses d'inaliénabilité doivent être justifiées par un intérêt légitime, notamment en ce qui concerne leur durée. Les clauses d'inaliénabilité d'une durée indéterminée peuvent à tout moment être dénoncées moyennant le respect d'un préavis raisonnable ».</w:t>
      </w:r>
      <w:r w:rsidR="00243682">
        <w:t xml:space="preserve"> Cette différence </w:t>
      </w:r>
      <w:r w:rsidR="00A054CB">
        <w:t xml:space="preserve">de formulation induit selon nous une importante différence de fond, dès lors </w:t>
      </w:r>
      <w:r w:rsidR="00172A0D">
        <w:t>qu</w:t>
      </w:r>
      <w:r w:rsidR="005F066F">
        <w:t>’</w:t>
      </w:r>
      <w:r w:rsidR="00172A0D">
        <w:t>une</w:t>
      </w:r>
      <w:r w:rsidR="00A054CB">
        <w:t xml:space="preserve"> clause </w:t>
      </w:r>
      <w:r w:rsidR="006D1AFD">
        <w:t xml:space="preserve">à durée indéterminée </w:t>
      </w:r>
      <w:r w:rsidR="00172A0D">
        <w:t xml:space="preserve">violerait l’article 3.53 du Code civil </w:t>
      </w:r>
      <w:r w:rsidR="005F066F">
        <w:t>et</w:t>
      </w:r>
      <w:r w:rsidR="00F04383">
        <w:t xml:space="preserve"> serait, en l’état des textes, nulle, et non résiliable moyennant un délai de préavis comme le prévoit l’article </w:t>
      </w:r>
      <w:proofErr w:type="gramStart"/>
      <w:r w:rsidR="00F04383">
        <w:t>7:</w:t>
      </w:r>
      <w:proofErr w:type="gramEnd"/>
      <w:r w:rsidR="00F04383">
        <w:t>78 du Codes des sociétés et des associations.</w:t>
      </w:r>
    </w:p>
    <w:p w14:paraId="2ADCD334" w14:textId="749F437C" w:rsidR="00F04383" w:rsidRDefault="00F04383" w:rsidP="00826099"/>
    <w:p w14:paraId="1CECE4D5" w14:textId="3097E6A9" w:rsidR="00F04383" w:rsidRDefault="003E243A" w:rsidP="00826099">
      <w:r>
        <w:t>Enfin, quant au champ d’application de l’article 3.53 du Code civil, l</w:t>
      </w:r>
      <w:r w:rsidR="007C2133">
        <w:t xml:space="preserve">es travaux préparatoires fournissent divers exemples de clauses </w:t>
      </w:r>
      <w:r w:rsidR="001A3D66">
        <w:t xml:space="preserve">rencontrées en pratique </w:t>
      </w:r>
      <w:r w:rsidR="007C2133">
        <w:t xml:space="preserve">qui doivent être interprétées comme des limitations au pouvoir de disposition </w:t>
      </w:r>
      <w:r w:rsidR="00402186">
        <w:t xml:space="preserve">du propriétaire </w:t>
      </w:r>
      <w:r w:rsidR="00AA5728">
        <w:t>et</w:t>
      </w:r>
      <w:r w:rsidR="00402186">
        <w:t xml:space="preserve"> qui</w:t>
      </w:r>
      <w:r w:rsidR="00AA5728">
        <w:t xml:space="preserve">, </w:t>
      </w:r>
      <w:r w:rsidR="00402186">
        <w:t>de ce fait</w:t>
      </w:r>
      <w:r w:rsidR="00AA5728">
        <w:t xml:space="preserve">, </w:t>
      </w:r>
      <w:r w:rsidR="00402186">
        <w:t>doivent répondre</w:t>
      </w:r>
      <w:r w:rsidR="00AA5728">
        <w:t xml:space="preserve"> aux deux conditions impératives </w:t>
      </w:r>
      <w:r w:rsidR="00C85DCD">
        <w:t>énoncé</w:t>
      </w:r>
      <w:r w:rsidR="00AA5728">
        <w:t>es</w:t>
      </w:r>
      <w:r w:rsidR="00402186">
        <w:t xml:space="preserve"> : </w:t>
      </w:r>
      <w:r w:rsidR="006E1E87">
        <w:t>sont mentionnées les</w:t>
      </w:r>
      <w:r w:rsidR="00E03FD0">
        <w:t xml:space="preserve"> sûretés négatives</w:t>
      </w:r>
      <w:r w:rsidR="004439AD">
        <w:rPr>
          <w:rStyle w:val="Appelnotedebasdep"/>
        </w:rPr>
        <w:footnoteReference w:id="60"/>
      </w:r>
      <w:r w:rsidR="00E03FD0">
        <w:t xml:space="preserve">, </w:t>
      </w:r>
      <w:r w:rsidR="006E1E87">
        <w:t>l</w:t>
      </w:r>
      <w:r w:rsidR="00E03FD0">
        <w:t>es interdictions d’aliénation</w:t>
      </w:r>
      <w:r w:rsidR="001A3D66">
        <w:t xml:space="preserve"> </w:t>
      </w:r>
      <w:r w:rsidR="006E1E87">
        <w:t xml:space="preserve">contenues dans les actes de donation </w:t>
      </w:r>
      <w:r w:rsidR="001A3D66">
        <w:t xml:space="preserve">et </w:t>
      </w:r>
      <w:r w:rsidR="004439AD">
        <w:t>le</w:t>
      </w:r>
      <w:r w:rsidR="001A3D66">
        <w:t>s exigences d’autorisation</w:t>
      </w:r>
      <w:r w:rsidR="006E1E87">
        <w:t xml:space="preserve"> </w:t>
      </w:r>
      <w:r w:rsidR="001A3D66">
        <w:t>en cas de cession d’emphytéose ou de superficie</w:t>
      </w:r>
      <w:r w:rsidR="004439AD">
        <w:rPr>
          <w:rStyle w:val="Appelnotedebasdep"/>
        </w:rPr>
        <w:footnoteReference w:id="61"/>
      </w:r>
      <w:r w:rsidR="001A3D66">
        <w:t>.</w:t>
      </w:r>
      <w:r w:rsidR="001D759F">
        <w:t xml:space="preserve"> </w:t>
      </w:r>
    </w:p>
    <w:p w14:paraId="05078DFD" w14:textId="77777777" w:rsidR="009618FD" w:rsidRPr="000718D6" w:rsidRDefault="009618FD" w:rsidP="00B55685"/>
    <w:p w14:paraId="009101DC" w14:textId="11B94272" w:rsidR="00907D2D" w:rsidRDefault="00C24DB4" w:rsidP="008E6526">
      <w:pPr>
        <w:pStyle w:val="Paragraphedeliste"/>
        <w:numPr>
          <w:ilvl w:val="1"/>
          <w:numId w:val="1"/>
        </w:numPr>
        <w:rPr>
          <w:b/>
          <w:bCs/>
          <w:sz w:val="24"/>
          <w:szCs w:val="24"/>
        </w:rPr>
      </w:pPr>
      <w:r>
        <w:rPr>
          <w:b/>
          <w:bCs/>
          <w:sz w:val="24"/>
          <w:szCs w:val="24"/>
        </w:rPr>
        <w:t>Actions</w:t>
      </w:r>
      <w:r w:rsidR="00881FB7">
        <w:rPr>
          <w:b/>
          <w:bCs/>
          <w:sz w:val="24"/>
          <w:szCs w:val="24"/>
        </w:rPr>
        <w:t xml:space="preserve"> du propriétaire</w:t>
      </w:r>
      <w:r>
        <w:rPr>
          <w:b/>
          <w:bCs/>
          <w:sz w:val="24"/>
          <w:szCs w:val="24"/>
        </w:rPr>
        <w:t xml:space="preserve"> et p</w:t>
      </w:r>
      <w:r w:rsidR="00907D2D" w:rsidRPr="00907D2D">
        <w:rPr>
          <w:b/>
          <w:bCs/>
          <w:sz w:val="24"/>
          <w:szCs w:val="24"/>
        </w:rPr>
        <w:t>reuve de la propriété</w:t>
      </w:r>
    </w:p>
    <w:p w14:paraId="3ECC707B" w14:textId="7D3BD592" w:rsidR="009A1DE8" w:rsidRDefault="009A1DE8" w:rsidP="009A1DE8"/>
    <w:p w14:paraId="7B7D2FBB" w14:textId="1928F386" w:rsidR="009A1DE8" w:rsidRDefault="007522E0" w:rsidP="009A1DE8">
      <w:r>
        <w:rPr>
          <w:b/>
          <w:bCs/>
        </w:rPr>
        <w:t>1</w:t>
      </w:r>
      <w:r w:rsidR="00100DEF">
        <w:rPr>
          <w:b/>
          <w:bCs/>
        </w:rPr>
        <w:t>1</w:t>
      </w:r>
      <w:r w:rsidR="00B93C10">
        <w:rPr>
          <w:b/>
          <w:bCs/>
        </w:rPr>
        <w:t xml:space="preserve">. </w:t>
      </w:r>
      <w:r w:rsidR="00346702">
        <w:t xml:space="preserve">Directement après avoir défini le droit de propriété, le Code civil consacre une disposition </w:t>
      </w:r>
      <w:r w:rsidR="00DB439D">
        <w:t>aux actions qui s’y attachent (C. civ., art. 3.51</w:t>
      </w:r>
      <w:r w:rsidR="00481CD7">
        <w:rPr>
          <w:rStyle w:val="Appelnotedebasdep"/>
        </w:rPr>
        <w:footnoteReference w:id="62"/>
      </w:r>
      <w:r w:rsidR="00DB439D">
        <w:t>).</w:t>
      </w:r>
      <w:r w:rsidR="00C30323">
        <w:t xml:space="preserve"> </w:t>
      </w:r>
      <w:r w:rsidR="003E3069">
        <w:t xml:space="preserve">Cela n’a rien d’anodin dès lors que, ce faisant, le législateur </w:t>
      </w:r>
      <w:r w:rsidR="003E3069">
        <w:lastRenderedPageBreak/>
        <w:t>entend</w:t>
      </w:r>
      <w:r w:rsidR="00C4332B">
        <w:t>, comme à l’article 3.50,</w:t>
      </w:r>
      <w:r w:rsidR="003E3069">
        <w:t xml:space="preserve"> </w:t>
      </w:r>
      <w:r w:rsidR="00C4332B">
        <w:t xml:space="preserve">attirer l’attention davantage sur le contenu du droit </w:t>
      </w:r>
      <w:r w:rsidR="00FA1CC8">
        <w:t xml:space="preserve">de propriété </w:t>
      </w:r>
      <w:r w:rsidR="00C4332B">
        <w:t xml:space="preserve">et la manière de le protéger que sur </w:t>
      </w:r>
      <w:r w:rsidR="00A108A2">
        <w:t>sa nature et les discussions qu’elle suscite</w:t>
      </w:r>
      <w:r w:rsidR="00A108A2">
        <w:rPr>
          <w:rStyle w:val="Appelnotedebasdep"/>
        </w:rPr>
        <w:footnoteReference w:id="63"/>
      </w:r>
      <w:r w:rsidR="00A108A2">
        <w:t>.</w:t>
      </w:r>
      <w:r w:rsidR="00C4332B">
        <w:t xml:space="preserve"> </w:t>
      </w:r>
      <w:r w:rsidR="00FA1CC8">
        <w:t>Rappelons encore que c’est au second alinéa de l’article 3.51 du Code civil qu</w:t>
      </w:r>
      <w:r w:rsidR="001F2FA5">
        <w:t>’est consacré le caractère perpétuel du droit de propriété</w:t>
      </w:r>
      <w:r w:rsidR="007D7E50">
        <w:t xml:space="preserve"> et que cette même disposition indique que les actions qui y sont attachées ne s’éteignent pas non plus </w:t>
      </w:r>
      <w:r w:rsidR="00972A7E">
        <w:t>par non-usage.</w:t>
      </w:r>
    </w:p>
    <w:p w14:paraId="478D2BFD" w14:textId="7D3360E7" w:rsidR="00A108A2" w:rsidRDefault="00A108A2" w:rsidP="009A1DE8"/>
    <w:p w14:paraId="371968C4" w14:textId="1DA95E29" w:rsidR="00A108A2" w:rsidRPr="00A108A2" w:rsidRDefault="007522E0" w:rsidP="009A1DE8">
      <w:r>
        <w:rPr>
          <w:b/>
          <w:bCs/>
        </w:rPr>
        <w:t>1</w:t>
      </w:r>
      <w:r w:rsidR="00100DEF">
        <w:rPr>
          <w:b/>
          <w:bCs/>
        </w:rPr>
        <w:t>2</w:t>
      </w:r>
      <w:r w:rsidR="00A108A2">
        <w:rPr>
          <w:b/>
          <w:bCs/>
        </w:rPr>
        <w:t xml:space="preserve">. </w:t>
      </w:r>
      <w:r w:rsidR="00A108A2">
        <w:t>Le propriétaire</w:t>
      </w:r>
      <w:r w:rsidR="001A772C">
        <w:t xml:space="preserve"> se voit armé</w:t>
      </w:r>
      <w:r w:rsidR="00A108A2">
        <w:t xml:space="preserve"> de deux actions spécifiques : l’action en revendication et l’action reconnaissance</w:t>
      </w:r>
      <w:r w:rsidR="00972A7E">
        <w:t xml:space="preserve"> (C. civ., art. 3.51, al. 1</w:t>
      </w:r>
      <w:r w:rsidR="00972A7E" w:rsidRPr="00972A7E">
        <w:rPr>
          <w:vertAlign w:val="superscript"/>
        </w:rPr>
        <w:t>er</w:t>
      </w:r>
      <w:r w:rsidR="00972A7E">
        <w:t>)</w:t>
      </w:r>
      <w:r w:rsidR="00A108A2">
        <w:t>.</w:t>
      </w:r>
      <w:r w:rsidR="00EC27C1">
        <w:t xml:space="preserve"> L</w:t>
      </w:r>
      <w:r w:rsidR="00481CD7">
        <w:t xml:space="preserve">a première « vise à remettre la chose sous le contrôle </w:t>
      </w:r>
      <w:r w:rsidR="007F210B">
        <w:t>du propriétaire » et la seconde « à fixer juridiquement le droit de propriété et – en conséquence – à rejeter les prétentions concurrentes de tiers »</w:t>
      </w:r>
      <w:r w:rsidR="007F210B">
        <w:rPr>
          <w:rStyle w:val="Appelnotedebasdep"/>
        </w:rPr>
        <w:footnoteReference w:id="64"/>
      </w:r>
      <w:r w:rsidR="007F210B">
        <w:t>.</w:t>
      </w:r>
      <w:r w:rsidR="00F33A99">
        <w:t xml:space="preserve"> </w:t>
      </w:r>
      <w:r w:rsidR="007116E1">
        <w:t>C</w:t>
      </w:r>
      <w:r w:rsidR="00F33A99">
        <w:t xml:space="preserve">es actions se cumulent aux autres </w:t>
      </w:r>
      <w:r w:rsidR="008634BA">
        <w:t xml:space="preserve">atouts que présente le droit de propriété, tel le droit de suite (C. civ., art. </w:t>
      </w:r>
      <w:r w:rsidR="00C458A5">
        <w:t>3.4) et la subrogation réelle (</w:t>
      </w:r>
      <w:r w:rsidR="007116E1">
        <w:t xml:space="preserve">C. civ., art. 3.10), de sorte, par exemple, que le propriétaire pourrait revendiquer </w:t>
      </w:r>
      <w:r w:rsidR="008D6188">
        <w:t>un bien qui s’est subrogé au bien dont il était initialement le propriétaire</w:t>
      </w:r>
      <w:r w:rsidR="008D6188">
        <w:rPr>
          <w:rStyle w:val="Appelnotedebasdep"/>
        </w:rPr>
        <w:footnoteReference w:id="65"/>
      </w:r>
      <w:r w:rsidR="008D6188">
        <w:t>.</w:t>
      </w:r>
    </w:p>
    <w:p w14:paraId="39FED408" w14:textId="0018F6FA" w:rsidR="005C2224" w:rsidRDefault="005C2224" w:rsidP="009A1DE8"/>
    <w:p w14:paraId="58C7848C" w14:textId="1954B2F7" w:rsidR="005C2224" w:rsidRDefault="001D25DF" w:rsidP="009A1DE8">
      <w:r>
        <w:rPr>
          <w:b/>
          <w:bCs/>
        </w:rPr>
        <w:t>1</w:t>
      </w:r>
      <w:r w:rsidR="00100DEF">
        <w:rPr>
          <w:b/>
          <w:bCs/>
        </w:rPr>
        <w:t>3</w:t>
      </w:r>
      <w:r w:rsidR="00B90E2C">
        <w:rPr>
          <w:b/>
          <w:bCs/>
        </w:rPr>
        <w:t>.</w:t>
      </w:r>
      <w:r w:rsidR="00B90E2C">
        <w:t xml:space="preserve"> </w:t>
      </w:r>
      <w:r w:rsidR="00692825">
        <w:t xml:space="preserve">Conscient que les actions en revendication peuvent donner lieu à de difficiles questions de preuve, le législateur a consacré une disposition </w:t>
      </w:r>
      <w:r w:rsidR="002F29E7">
        <w:t>à la hiérarchisation d</w:t>
      </w:r>
      <w:r w:rsidR="00A06DCB">
        <w:t>es modes de preuve de la propriété</w:t>
      </w:r>
      <w:r w:rsidR="00366CC2">
        <w:t xml:space="preserve"> (</w:t>
      </w:r>
      <w:r w:rsidR="00E37D23">
        <w:t xml:space="preserve">C. </w:t>
      </w:r>
      <w:r w:rsidR="002F29E7">
        <w:t>ci</w:t>
      </w:r>
      <w:r w:rsidR="00E37D23">
        <w:t xml:space="preserve">v., </w:t>
      </w:r>
      <w:r w:rsidR="00366CC2">
        <w:t>art. 3.52</w:t>
      </w:r>
      <w:r w:rsidR="00366CC2">
        <w:rPr>
          <w:rStyle w:val="Appelnotedebasdep"/>
        </w:rPr>
        <w:footnoteReference w:id="66"/>
      </w:r>
      <w:r w:rsidR="00366CC2">
        <w:t>).</w:t>
      </w:r>
    </w:p>
    <w:p w14:paraId="45B26140" w14:textId="6749B5E1" w:rsidR="00852FB0" w:rsidRDefault="00852FB0" w:rsidP="009A1DE8"/>
    <w:p w14:paraId="11D36C95" w14:textId="1C14FF09" w:rsidR="00852FB0" w:rsidRDefault="009C7AC7" w:rsidP="009A1DE8">
      <w:r>
        <w:t>D</w:t>
      </w:r>
      <w:r w:rsidR="001E4006">
        <w:t>’abord, l’emporte celui qui peut établir à son profit un mode originaire d’acquérir</w:t>
      </w:r>
      <w:r w:rsidR="00805FD7">
        <w:t xml:space="preserve"> (C. civ., art. 3.52, 1°)</w:t>
      </w:r>
      <w:r w:rsidR="00D64194">
        <w:t>. Si chacun des prétendants à la propriété établit un tel mode, le dernier en date prévaut</w:t>
      </w:r>
      <w:r w:rsidR="002F10B5">
        <w:t xml:space="preserve"> </w:t>
      </w:r>
      <w:r w:rsidR="00074D10">
        <w:t>puisque ces modes</w:t>
      </w:r>
      <w:r w:rsidR="002F10B5">
        <w:t xml:space="preserve"> </w:t>
      </w:r>
      <w:r w:rsidR="00074D10">
        <w:t>d’acquisition ont la particularité de purger</w:t>
      </w:r>
      <w:r w:rsidR="002F10B5">
        <w:t xml:space="preserve"> le bien des droits antérieurs</w:t>
      </w:r>
      <w:r w:rsidR="00EB3496">
        <w:rPr>
          <w:rStyle w:val="Appelnotedebasdep"/>
        </w:rPr>
        <w:footnoteReference w:id="67"/>
      </w:r>
      <w:r w:rsidR="002F10B5">
        <w:t>.</w:t>
      </w:r>
    </w:p>
    <w:p w14:paraId="65B640E6" w14:textId="1BE4A2B4" w:rsidR="00D34C5A" w:rsidRDefault="00D34C5A" w:rsidP="009A1DE8"/>
    <w:p w14:paraId="2D42A37E" w14:textId="47EA09EF" w:rsidR="00D34C5A" w:rsidRDefault="00D34C5A" w:rsidP="009A1DE8">
      <w:r>
        <w:t xml:space="preserve">Ensuite, et à défaut de pouvoir se prévaloir d’un mode originaire d’acquisition, </w:t>
      </w:r>
      <w:r w:rsidR="00743719">
        <w:t xml:space="preserve">l’emporte celui qui </w:t>
      </w:r>
      <w:r w:rsidR="00541205">
        <w:t>« a un titre, à première vue, valable »</w:t>
      </w:r>
      <w:r w:rsidR="00805FD7">
        <w:t xml:space="preserve"> (C. civ., art. 3.52, 2°)</w:t>
      </w:r>
      <w:r w:rsidR="00541205">
        <w:t>.</w:t>
      </w:r>
      <w:r w:rsidR="005F1720">
        <w:t xml:space="preserve"> On peut s’interroger sur l</w:t>
      </w:r>
      <w:r w:rsidR="00E54F70">
        <w:t>’interprétation que le juge devra donner aux termes « à première vue »</w:t>
      </w:r>
      <w:r w:rsidR="00C16304">
        <w:t>, lorsqu’il rend sa décision.</w:t>
      </w:r>
      <w:r w:rsidR="008D3288">
        <w:t xml:space="preserve"> </w:t>
      </w:r>
      <w:r w:rsidR="00E909DB">
        <w:t>En tout état de cause</w:t>
      </w:r>
      <w:r w:rsidR="00CF289B">
        <w:t>,</w:t>
      </w:r>
      <w:r w:rsidR="00E262CC">
        <w:t xml:space="preserve"> il nous semble que</w:t>
      </w:r>
      <w:r w:rsidR="00F358FF">
        <w:t xml:space="preserve"> </w:t>
      </w:r>
      <w:r w:rsidR="00324ECD">
        <w:t>comme l’a</w:t>
      </w:r>
      <w:r w:rsidR="00045A00">
        <w:t xml:space="preserve">vait noté S. Boufflette lors des auditions </w:t>
      </w:r>
      <w:r w:rsidR="00DB382B">
        <w:t>à la Chambre, « </w:t>
      </w:r>
      <w:r w:rsidR="00871F30">
        <w:t>s</w:t>
      </w:r>
      <w:r w:rsidR="00E909DB">
        <w:t>i le titre n’est pas valide, il ne peut servir de preuve de la propriété »</w:t>
      </w:r>
      <w:r w:rsidR="00E909DB">
        <w:rPr>
          <w:rStyle w:val="Appelnotedebasdep"/>
        </w:rPr>
        <w:footnoteReference w:id="68"/>
      </w:r>
      <w:r w:rsidR="00E909DB">
        <w:t>.</w:t>
      </w:r>
    </w:p>
    <w:p w14:paraId="11C96481" w14:textId="7621610E" w:rsidR="0084755D" w:rsidRDefault="0084755D" w:rsidP="009A1DE8"/>
    <w:p w14:paraId="79955F20" w14:textId="22EBA555" w:rsidR="0084755D" w:rsidRDefault="0084755D" w:rsidP="009A1DE8">
      <w:r>
        <w:t xml:space="preserve">Enfin, </w:t>
      </w:r>
      <w:r w:rsidR="00B64909">
        <w:t xml:space="preserve">à défaut et </w:t>
      </w:r>
      <w:r w:rsidR="008C63FF">
        <w:t>sous réserve</w:t>
      </w:r>
      <w:r w:rsidR="00B64909">
        <w:t xml:space="preserve"> que la propriété appartien</w:t>
      </w:r>
      <w:r w:rsidR="000B370B">
        <w:t>ne</w:t>
      </w:r>
      <w:r w:rsidR="00B64909">
        <w:t xml:space="preserve"> nécessairement à l’une des parties au procès, c’est </w:t>
      </w:r>
      <w:r w:rsidR="00330E22">
        <w:t>la possession qui prévaut</w:t>
      </w:r>
      <w:r w:rsidR="00805FD7">
        <w:t xml:space="preserve"> (C. civ., art. 3.52, 3°)</w:t>
      </w:r>
      <w:r w:rsidR="00330E22">
        <w:t xml:space="preserve">. </w:t>
      </w:r>
      <w:r w:rsidR="000B370B">
        <w:t xml:space="preserve">Les travaux préparatoires indiquent que </w:t>
      </w:r>
      <w:r w:rsidR="000B370B">
        <w:lastRenderedPageBreak/>
        <w:t xml:space="preserve">la possession </w:t>
      </w:r>
      <w:r w:rsidR="008B76BD">
        <w:t xml:space="preserve">dont question </w:t>
      </w:r>
      <w:r w:rsidR="000B370B">
        <w:t>doit être utile</w:t>
      </w:r>
      <w:r w:rsidR="008B76BD">
        <w:rPr>
          <w:rStyle w:val="Appelnotedebasdep"/>
        </w:rPr>
        <w:footnoteReference w:id="69"/>
      </w:r>
      <w:r w:rsidR="000B370B">
        <w:t xml:space="preserve">, </w:t>
      </w:r>
      <w:r w:rsidR="008B76BD">
        <w:t>ce que le texte de loi ne précise pas, mais qui pourrait découler de l’article 3.21 du Code civil</w:t>
      </w:r>
      <w:r w:rsidR="008B76BD">
        <w:rPr>
          <w:rStyle w:val="Appelnotedebasdep"/>
        </w:rPr>
        <w:footnoteReference w:id="70"/>
      </w:r>
      <w:r w:rsidR="008B76BD" w:rsidRPr="008B76BD">
        <w:rPr>
          <w:vertAlign w:val="superscript"/>
        </w:rPr>
        <w:t>,</w:t>
      </w:r>
      <w:r w:rsidR="008B76BD">
        <w:rPr>
          <w:rStyle w:val="Appelnotedebasdep"/>
        </w:rPr>
        <w:footnoteReference w:id="71"/>
      </w:r>
      <w:r w:rsidR="008B76BD">
        <w:t>.</w:t>
      </w:r>
    </w:p>
    <w:p w14:paraId="18D343C9" w14:textId="0E74EC26" w:rsidR="00901032" w:rsidRDefault="00901032" w:rsidP="009A1DE8"/>
    <w:p w14:paraId="082B0988" w14:textId="2B50C01D" w:rsidR="00942A36" w:rsidRDefault="000E52DE" w:rsidP="00116F0C">
      <w:r>
        <w:t>La</w:t>
      </w:r>
      <w:r w:rsidR="00693714">
        <w:t xml:space="preserve"> hiérarchie</w:t>
      </w:r>
      <w:r>
        <w:t xml:space="preserve"> présentée</w:t>
      </w:r>
      <w:r w:rsidR="00693714">
        <w:t xml:space="preserve"> ne vaut </w:t>
      </w:r>
      <w:r w:rsidR="009271DC">
        <w:t xml:space="preserve">toutefois que </w:t>
      </w:r>
      <w:r w:rsidR="00693714">
        <w:t xml:space="preserve">dans des </w:t>
      </w:r>
      <w:r w:rsidR="008A6E6A">
        <w:t>situations strictement définies</w:t>
      </w:r>
      <w:r w:rsidR="00693714">
        <w:t>, lorsque deux personnes affirment être propriétaires d’un bien indépendamment l’une de l’autre, alors qu’elles ne sont pas tenues l’une envers l’autre par un acte juridique</w:t>
      </w:r>
      <w:r w:rsidR="00693714">
        <w:rPr>
          <w:rStyle w:val="Appelnotedebasdep"/>
        </w:rPr>
        <w:footnoteReference w:id="72"/>
      </w:r>
      <w:r w:rsidR="00693714">
        <w:t xml:space="preserve">. Si un acte les lie, ce sont en effet les règles de preuve en matière d’actes juridiques qui priment. </w:t>
      </w:r>
      <w:r w:rsidR="00693714" w:rsidRPr="00726659">
        <w:t xml:space="preserve">L’article 3.52 du Code civil </w:t>
      </w:r>
      <w:r w:rsidR="00BC6F45">
        <w:t>indique par ailleurs</w:t>
      </w:r>
      <w:r w:rsidR="00693714" w:rsidRPr="00726659">
        <w:t xml:space="preserve"> qu’il ne porte pas préjudice aux règles des articles 3.23</w:t>
      </w:r>
      <w:r w:rsidR="00470E48">
        <w:rPr>
          <w:rStyle w:val="Appelnotedebasdep"/>
        </w:rPr>
        <w:footnoteReference w:id="73"/>
      </w:r>
      <w:r w:rsidR="00693714" w:rsidRPr="00726659">
        <w:t xml:space="preserve"> et 3.24</w:t>
      </w:r>
      <w:r w:rsidR="00470E48">
        <w:rPr>
          <w:rStyle w:val="Appelnotedebasdep"/>
        </w:rPr>
        <w:footnoteReference w:id="74"/>
      </w:r>
      <w:r w:rsidR="00693714" w:rsidRPr="00726659">
        <w:t xml:space="preserve"> du Code civil</w:t>
      </w:r>
      <w:r w:rsidR="00693714" w:rsidRPr="002D5E73">
        <w:t>, ce dont il résulte que le possesseur qui peut s’en prévaloir maintient son avantag</w:t>
      </w:r>
      <w:r w:rsidR="00726659" w:rsidRPr="002D5E73">
        <w:t>e.</w:t>
      </w:r>
      <w:r w:rsidR="00726659">
        <w:t xml:space="preserve"> </w:t>
      </w:r>
      <w:r w:rsidR="00807E2F">
        <w:t>Dans quelle mesure toutefois ?</w:t>
      </w:r>
      <w:r w:rsidR="002D5E73">
        <w:t xml:space="preserve"> </w:t>
      </w:r>
      <w:r w:rsidR="00871F30">
        <w:t>S</w:t>
      </w:r>
      <w:r w:rsidR="00C952AE">
        <w:t>i l</w:t>
      </w:r>
      <w:r w:rsidR="00062971">
        <w:t>es articles 3.23 et 3.24</w:t>
      </w:r>
      <w:r w:rsidR="00022E83">
        <w:t xml:space="preserve"> </w:t>
      </w:r>
      <w:r w:rsidR="00062971">
        <w:t>font</w:t>
      </w:r>
      <w:r w:rsidR="00022E83">
        <w:t xml:space="preserve"> certainement</w:t>
      </w:r>
      <w:r w:rsidR="00062971">
        <w:t xml:space="preserve"> peser la charge de la preuve sur celui qui n’est pas possesseur</w:t>
      </w:r>
      <w:r w:rsidR="00C952AE">
        <w:t xml:space="preserve"> (</w:t>
      </w:r>
      <w:r w:rsidR="004F54B3">
        <w:t>ce que confirme l’article 3.52, 3°</w:t>
      </w:r>
      <w:r w:rsidR="00022E83">
        <w:t>,</w:t>
      </w:r>
      <w:r w:rsidR="004F54B3">
        <w:t xml:space="preserve"> en </w:t>
      </w:r>
      <w:r w:rsidR="00B226AF">
        <w:t>préconisant l’attribution de</w:t>
      </w:r>
      <w:r w:rsidR="004F54B3">
        <w:t xml:space="preserve"> la propriété </w:t>
      </w:r>
      <w:r w:rsidR="00B226AF">
        <w:t xml:space="preserve">au possesseur </w:t>
      </w:r>
      <w:r w:rsidR="004F54B3">
        <w:t>en dernier recours</w:t>
      </w:r>
      <w:r w:rsidR="00C952AE">
        <w:t xml:space="preserve">), </w:t>
      </w:r>
      <w:r w:rsidR="008B09ED">
        <w:t xml:space="preserve">on peut se demander si </w:t>
      </w:r>
      <w:r w:rsidR="00C952AE">
        <w:t>l</w:t>
      </w:r>
      <w:r w:rsidR="00AE464D">
        <w:t xml:space="preserve">a présomption de titre </w:t>
      </w:r>
      <w:r w:rsidR="008B09ED">
        <w:t>contenue à</w:t>
      </w:r>
      <w:r w:rsidR="00AE464D">
        <w:t xml:space="preserve"> l’</w:t>
      </w:r>
      <w:r w:rsidR="00C952AE">
        <w:t>article 3.24</w:t>
      </w:r>
      <w:r w:rsidR="008B09ED">
        <w:t xml:space="preserve"> a</w:t>
      </w:r>
      <w:r w:rsidR="00942A36">
        <w:t xml:space="preserve"> (ou non)</w:t>
      </w:r>
      <w:r w:rsidR="00B226AF">
        <w:t>,</w:t>
      </w:r>
      <w:r w:rsidR="00C952AE">
        <w:t xml:space="preserve"> en plus</w:t>
      </w:r>
      <w:r w:rsidR="00B226AF">
        <w:t>,</w:t>
      </w:r>
      <w:r w:rsidR="00C952AE">
        <w:t xml:space="preserve"> pour effet </w:t>
      </w:r>
      <w:r w:rsidR="006B5389">
        <w:t xml:space="preserve">de permettre au possesseur </w:t>
      </w:r>
      <w:r w:rsidR="00035D22">
        <w:t xml:space="preserve">d’un meuble de l’emporter sur pied de l’article 3.52, </w:t>
      </w:r>
      <w:r w:rsidR="00523D55">
        <w:t>2</w:t>
      </w:r>
      <w:r w:rsidR="00035D22">
        <w:t>°, du Code civil</w:t>
      </w:r>
      <w:r w:rsidR="008B09ED">
        <w:t>.</w:t>
      </w:r>
    </w:p>
    <w:p w14:paraId="0603942A" w14:textId="5257C043" w:rsidR="00942A36" w:rsidRDefault="00942A36" w:rsidP="00116F0C"/>
    <w:p w14:paraId="2EB84D28" w14:textId="41E68E63" w:rsidR="005D0C50" w:rsidRDefault="001D25DF" w:rsidP="00116F0C">
      <w:r>
        <w:rPr>
          <w:b/>
          <w:bCs/>
        </w:rPr>
        <w:t>1</w:t>
      </w:r>
      <w:r w:rsidR="00100DEF">
        <w:rPr>
          <w:b/>
          <w:bCs/>
        </w:rPr>
        <w:t>4</w:t>
      </w:r>
      <w:r w:rsidR="00942A36" w:rsidRPr="00942A36">
        <w:rPr>
          <w:b/>
          <w:bCs/>
        </w:rPr>
        <w:t>.</w:t>
      </w:r>
      <w:r w:rsidR="00942A36">
        <w:rPr>
          <w:b/>
          <w:bCs/>
        </w:rPr>
        <w:t xml:space="preserve"> </w:t>
      </w:r>
      <w:r w:rsidR="005A1117">
        <w:t>Une hiérarchie dans les modes de preuve est également instaurée à l’article 3.61, § 2, du Code civil,</w:t>
      </w:r>
      <w:r w:rsidR="005A064C">
        <w:t xml:space="preserve"> mais elle vise une hypothèse différente de celle de l’article 3.52 du Code civil : celle où des voisins </w:t>
      </w:r>
      <w:r w:rsidR="005D0C50">
        <w:t>peinent à déterminer la</w:t>
      </w:r>
      <w:r w:rsidR="005A1117">
        <w:t xml:space="preserve"> </w:t>
      </w:r>
      <w:r w:rsidR="000C3725">
        <w:t>limite</w:t>
      </w:r>
      <w:r w:rsidR="00BC6F45">
        <w:t xml:space="preserve"> </w:t>
      </w:r>
      <w:r w:rsidR="005D0C50">
        <w:t>entre leurs</w:t>
      </w:r>
      <w:r w:rsidR="000C3725">
        <w:t xml:space="preserve"> propriété</w:t>
      </w:r>
      <w:r w:rsidR="005D0C50">
        <w:t>s</w:t>
      </w:r>
      <w:r w:rsidR="000C3725">
        <w:t>.</w:t>
      </w:r>
    </w:p>
    <w:p w14:paraId="291A7B82" w14:textId="7800FD22" w:rsidR="005D0C50" w:rsidRDefault="005D0C50" w:rsidP="00116F0C"/>
    <w:p w14:paraId="58FBEDCF" w14:textId="0A333ACE" w:rsidR="005D0C50" w:rsidRDefault="005D0C50" w:rsidP="00DD0111">
      <w:r>
        <w:t xml:space="preserve">L’article 3.61, § 2, du Code civil </w:t>
      </w:r>
      <w:r w:rsidR="00DD0111">
        <w:t>donne dans ce cas priorité à la prescription acqui</w:t>
      </w:r>
      <w:r w:rsidR="00B8650E">
        <w:t>se à l’u</w:t>
      </w:r>
      <w:r w:rsidR="00DD0111">
        <w:t xml:space="preserve">n des propriétaires. </w:t>
      </w:r>
      <w:r w:rsidR="00950CD5">
        <w:t xml:space="preserve">A </w:t>
      </w:r>
      <w:r w:rsidR="00DD0111">
        <w:t xml:space="preserve">défaut, </w:t>
      </w:r>
      <w:r w:rsidR="00BD0387">
        <w:t xml:space="preserve">la disposition indique que </w:t>
      </w:r>
      <w:r w:rsidR="00DD0111">
        <w:t>c’est l’acte authentique de bornage</w:t>
      </w:r>
      <w:r w:rsidR="000670AA">
        <w:rPr>
          <w:rStyle w:val="Appelnotedebasdep"/>
        </w:rPr>
        <w:footnoteReference w:id="75"/>
      </w:r>
      <w:r w:rsidR="00DD0111">
        <w:t xml:space="preserve"> qui détermine </w:t>
      </w:r>
      <w:r w:rsidR="00555813">
        <w:t>les limites de la parcelle</w:t>
      </w:r>
      <w:r w:rsidR="00062D9B">
        <w:t>.</w:t>
      </w:r>
      <w:r w:rsidR="005C67A3">
        <w:t xml:space="preserve"> </w:t>
      </w:r>
      <w:r w:rsidR="00062D9B">
        <w:t>A</w:t>
      </w:r>
      <w:r w:rsidR="00555813">
        <w:t xml:space="preserve"> défaut encore, ces limites sont établies à partir d</w:t>
      </w:r>
      <w:r w:rsidR="00062D9B">
        <w:t xml:space="preserve">u contenu des </w:t>
      </w:r>
      <w:r w:rsidR="00555813">
        <w:t>titres de propriété</w:t>
      </w:r>
      <w:r w:rsidR="0002336F">
        <w:t xml:space="preserve"> et les travaux préparatoires ajoutent que </w:t>
      </w:r>
      <w:r w:rsidR="000338F3">
        <w:t>cela vise également le titre par lequel une clôture est rendue mitoyenne, par exemple</w:t>
      </w:r>
      <w:r w:rsidR="000338F3">
        <w:rPr>
          <w:rStyle w:val="Appelnotedebasdep"/>
        </w:rPr>
        <w:footnoteReference w:id="76"/>
      </w:r>
      <w:r w:rsidR="00555813">
        <w:t xml:space="preserve">. </w:t>
      </w:r>
      <w:r w:rsidR="00062D9B">
        <w:t>Enfin, s</w:t>
      </w:r>
      <w:r w:rsidR="00555813">
        <w:t xml:space="preserve">i </w:t>
      </w:r>
      <w:r w:rsidR="00950CD5">
        <w:t>ces documents</w:t>
      </w:r>
      <w:r w:rsidR="009D5890">
        <w:t xml:space="preserve"> </w:t>
      </w:r>
      <w:r w:rsidR="00B8650E">
        <w:t>ne sont pas déterminants</w:t>
      </w:r>
      <w:r w:rsidR="009D5890">
        <w:t xml:space="preserve">, </w:t>
      </w:r>
      <w:r w:rsidR="00062D9B">
        <w:t>les limites sont</w:t>
      </w:r>
      <w:r w:rsidR="007F21B3">
        <w:t xml:space="preserve"> </w:t>
      </w:r>
      <w:r w:rsidR="00B8650E">
        <w:t>fix</w:t>
      </w:r>
      <w:r w:rsidR="007F21B3">
        <w:t>ées « selon l'état de la possession et les autres indices de fait, parmi lesquels la clôture de fait et les documents cadastraux ».</w:t>
      </w:r>
    </w:p>
    <w:p w14:paraId="6D411656" w14:textId="7502CE56" w:rsidR="00950CD5" w:rsidRDefault="00950CD5" w:rsidP="00DD0111"/>
    <w:p w14:paraId="07B2A511" w14:textId="451420D5" w:rsidR="00950CD5" w:rsidRPr="00587D90" w:rsidRDefault="004C7244" w:rsidP="00DD0111">
      <w:r>
        <w:t>Notons que si l</w:t>
      </w:r>
      <w:r w:rsidR="00674A72">
        <w:t xml:space="preserve">’on reconnaît </w:t>
      </w:r>
      <w:r w:rsidR="00DB0BD3">
        <w:t xml:space="preserve">de grandes similitudes entre cette hiérarchie et celle </w:t>
      </w:r>
      <w:r w:rsidR="003E0EE1">
        <w:t>établie</w:t>
      </w:r>
      <w:r w:rsidR="00674A72">
        <w:t xml:space="preserve"> à l’article 3.52 du Code</w:t>
      </w:r>
      <w:r w:rsidR="00DB0BD3">
        <w:t xml:space="preserve"> civil, </w:t>
      </w:r>
      <w:r w:rsidR="00BC6F45">
        <w:t>elles</w:t>
      </w:r>
      <w:r w:rsidR="003E0EE1">
        <w:t xml:space="preserve"> ne sont </w:t>
      </w:r>
      <w:r w:rsidR="00BC6F45">
        <w:t xml:space="preserve">néanmoins </w:t>
      </w:r>
      <w:r w:rsidR="003E0EE1">
        <w:t xml:space="preserve">pas </w:t>
      </w:r>
      <w:r w:rsidR="00287183">
        <w:t xml:space="preserve">strictement </w:t>
      </w:r>
      <w:r w:rsidR="003E0EE1">
        <w:t xml:space="preserve">identiques. </w:t>
      </w:r>
      <w:r w:rsidR="00587D90">
        <w:t xml:space="preserve">En tant que </w:t>
      </w:r>
      <w:r w:rsidR="00587D90">
        <w:rPr>
          <w:i/>
          <w:iCs/>
        </w:rPr>
        <w:t>lex specialis</w:t>
      </w:r>
      <w:r w:rsidR="00587D90">
        <w:t xml:space="preserve">, c’est l’article 3.61 du Code civil qui doit primer lorsqu’il </w:t>
      </w:r>
      <w:r w:rsidR="006B1A61">
        <w:t xml:space="preserve">trouve à </w:t>
      </w:r>
      <w:r w:rsidR="00587D90">
        <w:t>s’applique</w:t>
      </w:r>
      <w:r w:rsidR="006B1A61">
        <w:t>r</w:t>
      </w:r>
      <w:r w:rsidR="00587D90">
        <w:t>.</w:t>
      </w:r>
    </w:p>
    <w:p w14:paraId="66249294" w14:textId="77777777" w:rsidR="00942A36" w:rsidRPr="00942A36" w:rsidRDefault="00942A36" w:rsidP="00116F0C"/>
    <w:p w14:paraId="369E469A" w14:textId="0E412AB6" w:rsidR="00907D2D" w:rsidRDefault="00907D2D" w:rsidP="00907D2D">
      <w:pPr>
        <w:pStyle w:val="Paragraphedeliste"/>
        <w:numPr>
          <w:ilvl w:val="0"/>
          <w:numId w:val="1"/>
        </w:numPr>
        <w:rPr>
          <w:b/>
          <w:bCs/>
          <w:sz w:val="28"/>
          <w:szCs w:val="28"/>
          <w:u w:val="single"/>
        </w:rPr>
      </w:pPr>
      <w:r w:rsidRPr="00907D2D">
        <w:rPr>
          <w:b/>
          <w:bCs/>
          <w:sz w:val="28"/>
          <w:szCs w:val="28"/>
          <w:u w:val="single"/>
        </w:rPr>
        <w:t>Les conflits entre propriétaires</w:t>
      </w:r>
    </w:p>
    <w:p w14:paraId="75103299" w14:textId="18E0D59E" w:rsidR="00147530" w:rsidRDefault="00147530" w:rsidP="00147530"/>
    <w:p w14:paraId="046FBC69" w14:textId="77911BAF" w:rsidR="00147530" w:rsidRDefault="001D25DF" w:rsidP="00147530">
      <w:r>
        <w:rPr>
          <w:b/>
          <w:bCs/>
        </w:rPr>
        <w:t>1</w:t>
      </w:r>
      <w:r w:rsidR="00100DEF">
        <w:rPr>
          <w:b/>
          <w:bCs/>
        </w:rPr>
        <w:t>5</w:t>
      </w:r>
      <w:r w:rsidR="00147530">
        <w:rPr>
          <w:b/>
          <w:bCs/>
        </w:rPr>
        <w:t xml:space="preserve">. </w:t>
      </w:r>
      <w:r w:rsidR="00D53488">
        <w:t xml:space="preserve">Le titre 3 ne se limite pas à établir des </w:t>
      </w:r>
      <w:r w:rsidR="00147530">
        <w:t xml:space="preserve">règles de preuve </w:t>
      </w:r>
      <w:r w:rsidR="00D53488">
        <w:t>en cas de conflit entre propriétaires potentiels</w:t>
      </w:r>
      <w:r w:rsidR="0025686A">
        <w:t> ; i</w:t>
      </w:r>
      <w:r w:rsidR="009734C7">
        <w:t>l</w:t>
      </w:r>
      <w:r w:rsidR="006410A8">
        <w:t xml:space="preserve"> arbitre </w:t>
      </w:r>
      <w:r w:rsidR="00360708">
        <w:t>nombre de ces conflits</w:t>
      </w:r>
      <w:r w:rsidR="0025686A">
        <w:t>, ainsi que nous allons le voir.</w:t>
      </w:r>
    </w:p>
    <w:p w14:paraId="1D4DA8DD" w14:textId="4753FB07" w:rsidR="0025686A" w:rsidRDefault="0025686A" w:rsidP="00147530"/>
    <w:p w14:paraId="7BD22616" w14:textId="74AD5A13" w:rsidR="0025686A" w:rsidRDefault="00AB3166" w:rsidP="00147530">
      <w:r>
        <w:t>L</w:t>
      </w:r>
      <w:r w:rsidR="0025686A">
        <w:t xml:space="preserve">’article 3.61 </w:t>
      </w:r>
      <w:r w:rsidR="00DF0C27">
        <w:t xml:space="preserve">du Code civil établit des règles destinées à </w:t>
      </w:r>
      <w:r w:rsidR="00860E65">
        <w:t xml:space="preserve">régler les </w:t>
      </w:r>
      <w:r w:rsidR="00A257FF">
        <w:t>difficultés posées par</w:t>
      </w:r>
      <w:r w:rsidR="00860E65">
        <w:t xml:space="preserve"> les limites horizontales entre fonds (section 1). Les articles 3.</w:t>
      </w:r>
      <w:r w:rsidR="00C03975">
        <w:t xml:space="preserve">55, 3.57, 3.64 et </w:t>
      </w:r>
      <w:r w:rsidR="00786C15">
        <w:t xml:space="preserve">3.65 du Code </w:t>
      </w:r>
      <w:r w:rsidR="00FA67DA">
        <w:t>commandent la manière de départager les propriétaires en matière d’</w:t>
      </w:r>
      <w:r w:rsidR="00786C15">
        <w:t>accession (section 2)</w:t>
      </w:r>
      <w:r w:rsidR="00FA67DA">
        <w:t xml:space="preserve"> et l’article 3.</w:t>
      </w:r>
      <w:r w:rsidR="007660A6">
        <w:t xml:space="preserve">62 fait de même </w:t>
      </w:r>
      <w:r w:rsidR="00487F2B">
        <w:t>dans l’hypothèse d’un</w:t>
      </w:r>
      <w:r w:rsidR="00C86B43">
        <w:t xml:space="preserve"> </w:t>
      </w:r>
      <w:r w:rsidR="007660A6">
        <w:t>empiètement (section 3)</w:t>
      </w:r>
      <w:r w:rsidR="00FA67DA">
        <w:t>.</w:t>
      </w:r>
      <w:r w:rsidR="007660A6">
        <w:t xml:space="preserve"> Enfin, l’article </w:t>
      </w:r>
      <w:r w:rsidR="000E2169">
        <w:t xml:space="preserve">3.56 du Code civil traite de l’effet </w:t>
      </w:r>
      <w:r w:rsidR="00A007E2">
        <w:t>qu’a</w:t>
      </w:r>
      <w:r w:rsidR="000E2169">
        <w:t xml:space="preserve"> la transformation d’un bien par un tiers</w:t>
      </w:r>
      <w:r w:rsidR="00A007E2">
        <w:t xml:space="preserve"> sur le droit de propriété</w:t>
      </w:r>
      <w:r w:rsidR="000E2169">
        <w:t xml:space="preserve"> (section 4).</w:t>
      </w:r>
    </w:p>
    <w:p w14:paraId="5FB20110" w14:textId="4ADF9E86" w:rsidR="000E2169" w:rsidRDefault="000E2169" w:rsidP="00147530"/>
    <w:p w14:paraId="7FD1611A" w14:textId="6BD408AB" w:rsidR="000E2169" w:rsidRPr="00147530" w:rsidRDefault="005540A7" w:rsidP="00147530">
      <w:r>
        <w:t>Notons que le</w:t>
      </w:r>
      <w:r w:rsidR="000E2169">
        <w:t xml:space="preserve"> Code</w:t>
      </w:r>
      <w:r w:rsidR="00585630">
        <w:t xml:space="preserve"> attribue encore la propriété </w:t>
      </w:r>
      <w:r w:rsidR="00153190">
        <w:t xml:space="preserve">d’un bien </w:t>
      </w:r>
      <w:r w:rsidR="004A5CE8">
        <w:t>à son « trouveur » à certaines conditions (C. civ., art. 3.59)</w:t>
      </w:r>
      <w:r w:rsidR="00ED19D0">
        <w:t>. Cette disposition sera étudiée à l’occasion du dernier chapitre</w:t>
      </w:r>
      <w:r w:rsidR="00216E88">
        <w:t>, en même temps que la procédure et les exigences qui l’accompagnent.</w:t>
      </w:r>
      <w:r w:rsidR="00ED19D0">
        <w:t xml:space="preserve"> </w:t>
      </w:r>
      <w:r w:rsidR="004A5CE8">
        <w:t xml:space="preserve"> </w:t>
      </w:r>
    </w:p>
    <w:p w14:paraId="39016615" w14:textId="77777777" w:rsidR="007925A2" w:rsidRPr="00FB1AB1" w:rsidRDefault="007925A2" w:rsidP="00FB1AB1"/>
    <w:p w14:paraId="70BF4540" w14:textId="7C93577C" w:rsidR="00907D2D" w:rsidRDefault="00907D2D" w:rsidP="00907D2D">
      <w:pPr>
        <w:pStyle w:val="Paragraphedeliste"/>
        <w:numPr>
          <w:ilvl w:val="1"/>
          <w:numId w:val="1"/>
        </w:numPr>
        <w:rPr>
          <w:b/>
          <w:bCs/>
          <w:sz w:val="24"/>
          <w:szCs w:val="24"/>
        </w:rPr>
      </w:pPr>
      <w:r w:rsidRPr="00907D2D">
        <w:rPr>
          <w:b/>
          <w:bCs/>
          <w:sz w:val="24"/>
          <w:szCs w:val="24"/>
        </w:rPr>
        <w:t>Limites horizontales de la propriété</w:t>
      </w:r>
    </w:p>
    <w:p w14:paraId="3B9036EB" w14:textId="2B774D91" w:rsidR="00CB6384" w:rsidRDefault="00CB6384" w:rsidP="00757C80"/>
    <w:p w14:paraId="1AE77D2F" w14:textId="0B21B44E" w:rsidR="005F1939" w:rsidRDefault="001D25DF" w:rsidP="00757C80">
      <w:r>
        <w:rPr>
          <w:b/>
          <w:bCs/>
        </w:rPr>
        <w:t>1</w:t>
      </w:r>
      <w:r w:rsidR="00100DEF">
        <w:rPr>
          <w:b/>
          <w:bCs/>
        </w:rPr>
        <w:t>6</w:t>
      </w:r>
      <w:r w:rsidR="002E1F4B" w:rsidRPr="002E1F4B">
        <w:rPr>
          <w:b/>
          <w:bCs/>
        </w:rPr>
        <w:t>.</w:t>
      </w:r>
      <w:r w:rsidR="002E1F4B">
        <w:rPr>
          <w:b/>
          <w:bCs/>
        </w:rPr>
        <w:t xml:space="preserve"> </w:t>
      </w:r>
      <w:r w:rsidR="00F00C2F">
        <w:t xml:space="preserve">Les limites horizontales </w:t>
      </w:r>
      <w:r w:rsidR="00A23AD8">
        <w:t xml:space="preserve">de </w:t>
      </w:r>
      <w:r w:rsidR="000500E0">
        <w:t xml:space="preserve">fonds contigus peuvent donner lieu à des </w:t>
      </w:r>
      <w:r w:rsidR="008F26AD">
        <w:t>conflits entre propriétaires lorsqu’elles n’ont pas été clairement définie</w:t>
      </w:r>
      <w:r w:rsidR="00923303">
        <w:t>s</w:t>
      </w:r>
      <w:r w:rsidR="008F26AD">
        <w:t xml:space="preserve">. </w:t>
      </w:r>
      <w:r w:rsidR="00923303">
        <w:t>C’est ainsi que p</w:t>
      </w:r>
      <w:r w:rsidR="008F26AD">
        <w:t xml:space="preserve">our </w:t>
      </w:r>
      <w:r w:rsidR="00834819">
        <w:t>déterminer ces limites, le Code civil</w:t>
      </w:r>
      <w:r w:rsidR="008F26AD">
        <w:t xml:space="preserve"> organise le </w:t>
      </w:r>
      <w:r w:rsidR="00A23AD8">
        <w:t>bornage à l’article 3.61,</w:t>
      </w:r>
      <w:r w:rsidR="00290E27">
        <w:t xml:space="preserve"> </w:t>
      </w:r>
      <w:r w:rsidR="00A23AD8">
        <w:t>§</w:t>
      </w:r>
      <w:r w:rsidR="008C62CE">
        <w:t>§</w:t>
      </w:r>
      <w:r w:rsidR="00AF3F17">
        <w:t xml:space="preserve"> 3 à 5,</w:t>
      </w:r>
      <w:r w:rsidR="003B4D84">
        <w:t xml:space="preserve"> </w:t>
      </w:r>
      <w:r w:rsidR="0048143A">
        <w:t>et abroge les anciens articles 38 et 39 du Code rural qui en traitaient antérieurement</w:t>
      </w:r>
      <w:r w:rsidR="0071137A">
        <w:rPr>
          <w:rStyle w:val="Appelnotedebasdep"/>
        </w:rPr>
        <w:footnoteReference w:id="77"/>
      </w:r>
      <w:r w:rsidR="00AF3F17">
        <w:t>.</w:t>
      </w:r>
      <w:r w:rsidR="00F74E11">
        <w:t xml:space="preserve"> </w:t>
      </w:r>
      <w:r w:rsidR="00A674AF">
        <w:t xml:space="preserve">Rappelons que l’acte de bornage </w:t>
      </w:r>
      <w:r w:rsidR="00780BF2">
        <w:t xml:space="preserve">est le mode de preuve </w:t>
      </w:r>
      <w:r w:rsidR="00417F6B">
        <w:t>privilégié des limites horizontales d’un fonds, qu’est seule susceptible de contrarier une prescription acquisitive (C. civ., art. 3.61, § 2</w:t>
      </w:r>
      <w:r w:rsidR="00DC2956">
        <w:t xml:space="preserve"> – </w:t>
      </w:r>
      <w:r w:rsidR="00DC2956">
        <w:rPr>
          <w:i/>
          <w:iCs/>
        </w:rPr>
        <w:t>supra</w:t>
      </w:r>
      <w:r w:rsidR="00DC2956">
        <w:t xml:space="preserve">, n° </w:t>
      </w:r>
      <w:r w:rsidR="00800F0A">
        <w:t>14</w:t>
      </w:r>
      <w:r w:rsidR="00DC2956">
        <w:t>)</w:t>
      </w:r>
      <w:r w:rsidR="00417F6B">
        <w:t>.</w:t>
      </w:r>
    </w:p>
    <w:p w14:paraId="6668A5C8" w14:textId="1C4679FF" w:rsidR="003B4D84" w:rsidRDefault="003B4D84" w:rsidP="00757C80"/>
    <w:p w14:paraId="56C2E2B5" w14:textId="77D3D84A" w:rsidR="003B4D84" w:rsidRDefault="005B205F" w:rsidP="00757C80">
      <w:r>
        <w:t>Le Code envisage d’abord le bornage amiable</w:t>
      </w:r>
      <w:r w:rsidR="00353DA6">
        <w:t xml:space="preserve"> (C. civ., art. 3.61, §</w:t>
      </w:r>
      <w:r w:rsidR="001C6112">
        <w:t xml:space="preserve"> </w:t>
      </w:r>
      <w:r w:rsidR="00353DA6">
        <w:t>3).</w:t>
      </w:r>
      <w:r w:rsidR="003617B0">
        <w:t xml:space="preserve"> </w:t>
      </w:r>
      <w:r w:rsidR="00353DA6">
        <w:t>Il peut être mu par</w:t>
      </w:r>
      <w:r w:rsidR="003617B0">
        <w:t xml:space="preserve"> le propriétaire d’une parcelle</w:t>
      </w:r>
      <w:r w:rsidR="00353DA6">
        <w:t xml:space="preserve"> ou par le titulaire d’un droit réel d’usage sur celle-ci, moyennant </w:t>
      </w:r>
      <w:r w:rsidR="005F591E">
        <w:t>l</w:t>
      </w:r>
      <w:r w:rsidR="000938E0">
        <w:t xml:space="preserve">’intervention du propriétaire. </w:t>
      </w:r>
      <w:r w:rsidR="003505E7">
        <w:t>Le bornage doit être fixé dans un acte authentique, qui sera transcrit</w:t>
      </w:r>
      <w:r w:rsidR="00867149">
        <w:rPr>
          <w:rStyle w:val="Appelnotedebasdep"/>
        </w:rPr>
        <w:footnoteReference w:id="78"/>
      </w:r>
      <w:r w:rsidR="00CC738D">
        <w:t>, et est matérialisé par des signes extérieurs</w:t>
      </w:r>
      <w:r w:rsidR="003505E7">
        <w:t>.</w:t>
      </w:r>
      <w:r w:rsidR="00DC0AF7">
        <w:t xml:space="preserve"> Plusieurs auteurs ajoutent que même si </w:t>
      </w:r>
      <w:r w:rsidR="00D7153D">
        <w:t>l’exigence</w:t>
      </w:r>
      <w:r w:rsidR="0031215A">
        <w:t xml:space="preserve"> inscrite dans le Code rural</w:t>
      </w:r>
      <w:r w:rsidR="00D7153D">
        <w:t xml:space="preserve"> </w:t>
      </w:r>
      <w:r w:rsidR="00DC0AF7">
        <w:t>d’avoir recours à des plans c</w:t>
      </w:r>
      <w:r w:rsidR="00D7153D">
        <w:t>o</w:t>
      </w:r>
      <w:r w:rsidR="00DC0AF7">
        <w:t>tés</w:t>
      </w:r>
      <w:r w:rsidR="0031215A">
        <w:t xml:space="preserve"> </w:t>
      </w:r>
      <w:r w:rsidR="003A1A17">
        <w:t>disparait dans le Code civil, l’usage de ceux-ci devrait se maintenir p</w:t>
      </w:r>
      <w:r w:rsidR="005E1CB2">
        <w:t>ar nécessité pratique</w:t>
      </w:r>
      <w:r w:rsidR="005E1CB2">
        <w:rPr>
          <w:rStyle w:val="Appelnotedebasdep"/>
        </w:rPr>
        <w:footnoteReference w:id="79"/>
      </w:r>
      <w:r w:rsidR="005E1CB2">
        <w:t>.</w:t>
      </w:r>
      <w:r w:rsidR="003A1A17">
        <w:t xml:space="preserve"> </w:t>
      </w:r>
      <w:r w:rsidR="00A01692">
        <w:t>Les travaux préparatoires ajoutent que le Code civil n’entend pas porter a</w:t>
      </w:r>
      <w:r w:rsidR="00034279">
        <w:t>tteinte aux règles applicables à l’exécution matérielle du bornage</w:t>
      </w:r>
      <w:r w:rsidR="007A784B">
        <w:t xml:space="preserve"> ou au rôle réservé au</w:t>
      </w:r>
      <w:r w:rsidR="006624EC">
        <w:t>x</w:t>
      </w:r>
      <w:r w:rsidR="007A784B">
        <w:t xml:space="preserve"> géomètre-expert</w:t>
      </w:r>
      <w:r w:rsidR="006624EC">
        <w:t>s</w:t>
      </w:r>
      <w:r w:rsidR="006624EC">
        <w:rPr>
          <w:rStyle w:val="Appelnotedebasdep"/>
        </w:rPr>
        <w:footnoteReference w:id="80"/>
      </w:r>
      <w:r w:rsidR="007A784B">
        <w:t>.</w:t>
      </w:r>
    </w:p>
    <w:p w14:paraId="08E01026" w14:textId="16D827B9" w:rsidR="00BB3B59" w:rsidRDefault="00BB3B59" w:rsidP="00757C80"/>
    <w:p w14:paraId="7D78943C" w14:textId="1F3C2B5A" w:rsidR="00BB3B59" w:rsidRPr="00F00C2F" w:rsidRDefault="00BB3B59" w:rsidP="00757C80">
      <w:r>
        <w:t xml:space="preserve">Dans son quatrième paragraphe, l’article 3.61 </w:t>
      </w:r>
      <w:r w:rsidR="00BB5796">
        <w:t xml:space="preserve">détaille ensuite la procédure à suivre pour demander un bornage judiciaire, si l’une des parties est récalcitrante. </w:t>
      </w:r>
      <w:r w:rsidR="00AD2B86">
        <w:t>La personne désireuse</w:t>
      </w:r>
      <w:r w:rsidR="008813CA">
        <w:t xml:space="preserve"> de réaliser un bornage doit inviter son voisin par lettre recommandée à procéder à un bornage amiable.</w:t>
      </w:r>
      <w:r w:rsidR="00952E01">
        <w:t xml:space="preserve"> A défaut de réponse </w:t>
      </w:r>
      <w:r w:rsidR="00952E01">
        <w:lastRenderedPageBreak/>
        <w:t>dans les trois mois</w:t>
      </w:r>
      <w:r w:rsidR="00BD769C">
        <w:rPr>
          <w:rStyle w:val="Appelnotedebasdep"/>
        </w:rPr>
        <w:footnoteReference w:id="81"/>
      </w:r>
      <w:r w:rsidR="00952E01">
        <w:t>, le bornage peut être demandé en justice</w:t>
      </w:r>
      <w:r w:rsidR="006643EC">
        <w:t xml:space="preserve"> par la partie la plus diligente, par requête contradictoire.</w:t>
      </w:r>
      <w:r w:rsidR="00A55348">
        <w:t xml:space="preserve"> Le jugement, comme l</w:t>
      </w:r>
      <w:r w:rsidR="00832C8D">
        <w:t>’acte authentique de bornage amiable, sera transcrit (sur requête de la partie la plus diligente).</w:t>
      </w:r>
    </w:p>
    <w:p w14:paraId="4BAB5945" w14:textId="135BE619" w:rsidR="00AE212C" w:rsidRDefault="00AE212C" w:rsidP="00CB6384"/>
    <w:p w14:paraId="4796F5FE" w14:textId="7E7B650A" w:rsidR="007171CD" w:rsidRDefault="007171CD" w:rsidP="00CB6384">
      <w:r>
        <w:t>Enfin, le cinquième et dernier paragraphe de l’article 3.61 du Code civil indique </w:t>
      </w:r>
      <w:r w:rsidRPr="00796F9A">
        <w:t>que «</w:t>
      </w:r>
      <w:r w:rsidR="00796F9A" w:rsidRPr="00796F9A">
        <w:t xml:space="preserve"> les propriétaires supportent tous les frais de bornage à parts égales, sans préjudice de l'application des règles relatives à la responsabilité extracontractuelle ».</w:t>
      </w:r>
      <w:r w:rsidR="00444517">
        <w:t xml:space="preserve"> </w:t>
      </w:r>
      <w:r w:rsidR="00796B20">
        <w:t xml:space="preserve">La majorité des auteurs ayant commenté cette disposition estime que </w:t>
      </w:r>
      <w:r w:rsidR="006B06E6">
        <w:t xml:space="preserve">ce partage par moitié ne vise pas les </w:t>
      </w:r>
      <w:r w:rsidR="001A211C">
        <w:t>coûts de la procédure judiciaire pour lesquels le Code judiciaire prime</w:t>
      </w:r>
      <w:r w:rsidR="00A4298D">
        <w:t>, en application du principe de subsidiarité (C. civ., art. 3.2)</w:t>
      </w:r>
      <w:r w:rsidR="001A211C" w:rsidRPr="001A211C">
        <w:rPr>
          <w:rStyle w:val="Appelnotedebasdep"/>
        </w:rPr>
        <w:footnoteReference w:id="82"/>
      </w:r>
      <w:r w:rsidR="001A211C">
        <w:t>.</w:t>
      </w:r>
    </w:p>
    <w:p w14:paraId="4B91AF5B" w14:textId="2F011226" w:rsidR="00D83F9D" w:rsidRDefault="00D83F9D" w:rsidP="00CB6384"/>
    <w:p w14:paraId="41C6C706" w14:textId="13B7D40B" w:rsidR="0075533A" w:rsidRDefault="001D25DF" w:rsidP="00CB6384">
      <w:r>
        <w:rPr>
          <w:b/>
          <w:bCs/>
        </w:rPr>
        <w:t>1</w:t>
      </w:r>
      <w:r w:rsidR="00100DEF">
        <w:rPr>
          <w:b/>
          <w:bCs/>
        </w:rPr>
        <w:t>7</w:t>
      </w:r>
      <w:r w:rsidR="00D83F9D">
        <w:rPr>
          <w:b/>
          <w:bCs/>
        </w:rPr>
        <w:t>.</w:t>
      </w:r>
      <w:r w:rsidR="00D83F9D">
        <w:t xml:space="preserve"> </w:t>
      </w:r>
      <w:r w:rsidR="00D12517">
        <w:t>En plus de réglementer le bornage et d’organiser les modes de preuve des limites horizontales de propriété (</w:t>
      </w:r>
      <w:r w:rsidR="00D12517">
        <w:rPr>
          <w:i/>
          <w:iCs/>
        </w:rPr>
        <w:t>supra</w:t>
      </w:r>
      <w:r w:rsidR="00D12517">
        <w:t xml:space="preserve">, n° </w:t>
      </w:r>
      <w:r w:rsidR="00FE714B">
        <w:t>14</w:t>
      </w:r>
      <w:r w:rsidR="00D12517">
        <w:t xml:space="preserve">), l’article 3.61 du Code civil consacre le droit pour tout propriétaire </w:t>
      </w:r>
      <w:r w:rsidR="003A7B71">
        <w:t>de clore sa parcelle dans le respect</w:t>
      </w:r>
      <w:r w:rsidR="008B5CFF">
        <w:t xml:space="preserve"> non seulement</w:t>
      </w:r>
      <w:r w:rsidR="003A7B71">
        <w:t xml:space="preserve"> des prescriptions légales et réglementaires</w:t>
      </w:r>
      <w:r w:rsidR="008B5CFF">
        <w:t>, mais également</w:t>
      </w:r>
      <w:r w:rsidR="003A7B71">
        <w:t xml:space="preserve"> </w:t>
      </w:r>
      <w:r w:rsidR="008D0EE6">
        <w:t>des droits des tiers (</w:t>
      </w:r>
      <w:r w:rsidR="00F80451">
        <w:t>qu</w:t>
      </w:r>
      <w:r w:rsidR="00F857D5">
        <w:t>e ces droits</w:t>
      </w:r>
      <w:r w:rsidR="00F80451">
        <w:t xml:space="preserve"> soient réels ou personnels</w:t>
      </w:r>
      <w:r w:rsidR="00F80451">
        <w:rPr>
          <w:rStyle w:val="Appelnotedebasdep"/>
        </w:rPr>
        <w:footnoteReference w:id="83"/>
      </w:r>
      <w:r w:rsidR="00F80451">
        <w:t>).</w:t>
      </w:r>
      <w:r w:rsidR="00865622">
        <w:t xml:space="preserve"> L</w:t>
      </w:r>
      <w:r w:rsidR="00DC3B64">
        <w:t xml:space="preserve">a disposition indique que la </w:t>
      </w:r>
      <w:r w:rsidR="0022295E">
        <w:t>clôture</w:t>
      </w:r>
      <w:r w:rsidR="00DC3B64">
        <w:t xml:space="preserve"> peut être placée « jusqu’à la limite</w:t>
      </w:r>
      <w:r w:rsidR="0022295E">
        <w:t xml:space="preserve"> </w:t>
      </w:r>
      <w:r w:rsidR="00DC3B64">
        <w:t>»</w:t>
      </w:r>
      <w:r w:rsidR="0022295E">
        <w:t xml:space="preserve"> de la parcelle, ce </w:t>
      </w:r>
      <w:r w:rsidR="008F5DCC">
        <w:t>qui inspire à N. Bernard deux observation</w:t>
      </w:r>
      <w:r w:rsidR="009A231B">
        <w:t xml:space="preserve">s : d’une part, </w:t>
      </w:r>
      <w:r w:rsidR="001E2D96">
        <w:t>la clôture ne doit pas nécessairement se trouver tout au bord du fonds du propriétaire</w:t>
      </w:r>
      <w:r w:rsidR="00F44CDA">
        <w:rPr>
          <w:rStyle w:val="Appelnotedebasdep"/>
        </w:rPr>
        <w:footnoteReference w:id="84"/>
      </w:r>
      <w:r w:rsidR="00610050">
        <w:t xml:space="preserve"> et, d’autre part, elle peut se trouver jusqu’à ce bord, mais non </w:t>
      </w:r>
      <w:r w:rsidR="00610050">
        <w:rPr>
          <w:i/>
          <w:iCs/>
        </w:rPr>
        <w:t>sur</w:t>
      </w:r>
      <w:r w:rsidR="00610050">
        <w:t xml:space="preserve"> la limite, au contraire d</w:t>
      </w:r>
      <w:r w:rsidR="00E4081E">
        <w:t>u bornage</w:t>
      </w:r>
      <w:r w:rsidR="00F857D5">
        <w:rPr>
          <w:rStyle w:val="Appelnotedebasdep"/>
        </w:rPr>
        <w:footnoteReference w:id="85"/>
      </w:r>
      <w:r w:rsidR="00E4081E">
        <w:t>.</w:t>
      </w:r>
    </w:p>
    <w:p w14:paraId="44433380" w14:textId="77777777" w:rsidR="00C018BD" w:rsidRPr="00C018BD" w:rsidRDefault="00C018BD" w:rsidP="00B55685"/>
    <w:p w14:paraId="383BB9BD" w14:textId="46A8964A" w:rsidR="00907D2D" w:rsidRDefault="00907D2D" w:rsidP="00907D2D">
      <w:pPr>
        <w:pStyle w:val="Paragraphedeliste"/>
        <w:numPr>
          <w:ilvl w:val="1"/>
          <w:numId w:val="1"/>
        </w:numPr>
        <w:rPr>
          <w:b/>
          <w:bCs/>
          <w:sz w:val="24"/>
          <w:szCs w:val="24"/>
        </w:rPr>
      </w:pPr>
      <w:r w:rsidRPr="00907D2D">
        <w:rPr>
          <w:b/>
          <w:bCs/>
          <w:sz w:val="24"/>
          <w:szCs w:val="24"/>
        </w:rPr>
        <w:t>Accession</w:t>
      </w:r>
    </w:p>
    <w:p w14:paraId="4C9A6249" w14:textId="26C57951" w:rsidR="00624376" w:rsidRDefault="00624376" w:rsidP="00B55685"/>
    <w:p w14:paraId="00CBD1AD" w14:textId="3396C1C9" w:rsidR="00E01896" w:rsidRPr="006B54F7" w:rsidRDefault="001D25DF" w:rsidP="00624376">
      <w:r>
        <w:rPr>
          <w:b/>
          <w:bCs/>
        </w:rPr>
        <w:t>1</w:t>
      </w:r>
      <w:r w:rsidR="00100DEF">
        <w:rPr>
          <w:b/>
          <w:bCs/>
        </w:rPr>
        <w:t>8</w:t>
      </w:r>
      <w:r w:rsidR="00E01896">
        <w:rPr>
          <w:b/>
          <w:bCs/>
        </w:rPr>
        <w:t xml:space="preserve">. </w:t>
      </w:r>
      <w:r w:rsidR="00997D84">
        <w:t xml:space="preserve">La structure du titre 3 </w:t>
      </w:r>
      <w:r w:rsidR="000730D6">
        <w:t xml:space="preserve">du livre 3 </w:t>
      </w:r>
      <w:r w:rsidR="00997D84">
        <w:t>du Code civil</w:t>
      </w:r>
      <w:r w:rsidR="005B2F5A">
        <w:t xml:space="preserve"> induit un éclatement des dispositions relatives à l’acce</w:t>
      </w:r>
      <w:r w:rsidR="00BB4F72">
        <w:t>s</w:t>
      </w:r>
      <w:r w:rsidR="005B2F5A">
        <w:t>sion. P</w:t>
      </w:r>
      <w:r w:rsidR="00EE1CFB">
        <w:t>our rappel (</w:t>
      </w:r>
      <w:r w:rsidR="00EE1CFB">
        <w:rPr>
          <w:i/>
          <w:iCs/>
        </w:rPr>
        <w:t>supra</w:t>
      </w:r>
      <w:r w:rsidR="00EE1CFB">
        <w:t xml:space="preserve">, n° </w:t>
      </w:r>
      <w:r w:rsidR="00FE714B">
        <w:t>1</w:t>
      </w:r>
      <w:r w:rsidR="00EE1CFB">
        <w:t xml:space="preserve">), </w:t>
      </w:r>
      <w:r w:rsidR="00E077DE">
        <w:t xml:space="preserve">le titre 3 </w:t>
      </w:r>
      <w:r w:rsidR="00EE1CFB">
        <w:t xml:space="preserve">comprend </w:t>
      </w:r>
      <w:r w:rsidR="008D778F">
        <w:t>trois sous-titres consacrés respectivement aux dispositions générale</w:t>
      </w:r>
      <w:r w:rsidR="006F5CF1">
        <w:t>s</w:t>
      </w:r>
      <w:r w:rsidR="008D778F">
        <w:t xml:space="preserve"> </w:t>
      </w:r>
      <w:r w:rsidR="005B2F5A">
        <w:t>relatives au droit de propriété,</w:t>
      </w:r>
      <w:r w:rsidR="00E077DE">
        <w:t xml:space="preserve"> </w:t>
      </w:r>
      <w:r w:rsidR="00743B3F">
        <w:t>à la propriété mobilière et, enfin</w:t>
      </w:r>
      <w:r w:rsidR="00BB4F72">
        <w:t>,</w:t>
      </w:r>
      <w:r w:rsidR="00743B3F">
        <w:t xml:space="preserve"> à la propriété immobilière. </w:t>
      </w:r>
      <w:r w:rsidR="006F5CF1">
        <w:t>Traduisant parfaitement cette structure, l’article 3.</w:t>
      </w:r>
      <w:r w:rsidR="00BF44B8">
        <w:t>55 du Code civil expose d’une manière générale le mécanisme de l’accession, l’article 3.</w:t>
      </w:r>
      <w:r w:rsidR="00C079BA">
        <w:t xml:space="preserve">57 traite </w:t>
      </w:r>
      <w:r w:rsidR="00BB4F72">
        <w:t>plus spécifiquement</w:t>
      </w:r>
      <w:r w:rsidR="00C079BA">
        <w:t xml:space="preserve"> de l’accession mobilière </w:t>
      </w:r>
      <w:r w:rsidR="00F57441">
        <w:t xml:space="preserve">et les articles </w:t>
      </w:r>
      <w:r w:rsidR="00A12303">
        <w:t xml:space="preserve">3.64 et 3.65 </w:t>
      </w:r>
      <w:r w:rsidR="004704B2">
        <w:t xml:space="preserve">s’intéressent à </w:t>
      </w:r>
      <w:r w:rsidR="00A12303">
        <w:t>l’accession immobilière</w:t>
      </w:r>
      <w:r w:rsidR="00FD2B3A">
        <w:t>.</w:t>
      </w:r>
      <w:r w:rsidR="006B54F7">
        <w:t xml:space="preserve"> Nous proposons de les étudier </w:t>
      </w:r>
      <w:r w:rsidR="004E3FF8">
        <w:t>dans l’ordre de leur apparition dans le Code.</w:t>
      </w:r>
    </w:p>
    <w:p w14:paraId="69E71B83" w14:textId="62175AFC" w:rsidR="00BB4F72" w:rsidRDefault="00BB4F72" w:rsidP="00624376"/>
    <w:p w14:paraId="350A730E" w14:textId="61400B2D" w:rsidR="00BB4F72" w:rsidRDefault="00100DEF" w:rsidP="00624376">
      <w:r>
        <w:rPr>
          <w:b/>
          <w:bCs/>
        </w:rPr>
        <w:t>19</w:t>
      </w:r>
      <w:r w:rsidR="00BB4F72">
        <w:rPr>
          <w:b/>
          <w:bCs/>
        </w:rPr>
        <w:t xml:space="preserve">. </w:t>
      </w:r>
      <w:r w:rsidR="00BF1C2F">
        <w:t xml:space="preserve">La règle générale en matière d’accession est énoncée </w:t>
      </w:r>
      <w:r w:rsidR="00BF1C2F" w:rsidRPr="00BF1C2F">
        <w:t xml:space="preserve">comme suit : « Le propriétaire d'un bien est également propriétaire de toutes les composantes inhérentes de ce bien, conformément à l'article 3.8, § 2. Si un bien devient, naturellement ou par le fait de l'homme, une composante inhérente d'un autre </w:t>
      </w:r>
      <w:r w:rsidR="00BF1C2F" w:rsidRPr="00BF1C2F">
        <w:lastRenderedPageBreak/>
        <w:t>bien, l'accession produit ses effets immédiatement et de plein droit, sous réserve d'autres dispositions du présent Livre » (C. civ., art. 3.55).</w:t>
      </w:r>
      <w:r w:rsidR="00BF7508">
        <w:t xml:space="preserve"> </w:t>
      </w:r>
      <w:r w:rsidR="00713A4F">
        <w:t>Cette disposition appelle trois remarques.</w:t>
      </w:r>
    </w:p>
    <w:p w14:paraId="026E0555" w14:textId="51CF45B3" w:rsidR="00CF02CE" w:rsidRDefault="00CF02CE" w:rsidP="00624376"/>
    <w:p w14:paraId="17B1CA3C" w14:textId="49822D47" w:rsidR="00CF02CE" w:rsidRDefault="00713A4F" w:rsidP="00624376">
      <w:r>
        <w:t>D’abord, l’article 3.55</w:t>
      </w:r>
      <w:r w:rsidR="00444A93">
        <w:t xml:space="preserve"> uniformise le critère de </w:t>
      </w:r>
      <w:r w:rsidR="00FB351A">
        <w:t>l’</w:t>
      </w:r>
      <w:r w:rsidR="00444A93">
        <w:t>accession</w:t>
      </w:r>
      <w:r w:rsidR="003A5B6A">
        <w:t xml:space="preserve"> quel</w:t>
      </w:r>
      <w:r w:rsidR="00057C22">
        <w:t>s que soient les biens concernés</w:t>
      </w:r>
      <w:r w:rsidR="00057C22">
        <w:rPr>
          <w:rStyle w:val="Appelnotedebasdep"/>
        </w:rPr>
        <w:footnoteReference w:id="86"/>
      </w:r>
      <w:r w:rsidR="00FB351A">
        <w:t xml:space="preserve"> </w:t>
      </w:r>
      <w:r w:rsidR="00BF7508">
        <w:t>: lorsqu’un bien devient une « composante inhérente</w:t>
      </w:r>
      <w:r w:rsidR="00946C59">
        <w:t> » d’un autre bien</w:t>
      </w:r>
      <w:r w:rsidR="00691B6B">
        <w:t>,</w:t>
      </w:r>
      <w:r w:rsidR="00946C59">
        <w:t xml:space="preserve"> l’accession joue. </w:t>
      </w:r>
      <w:r w:rsidR="00D135D2">
        <w:t>L</w:t>
      </w:r>
      <w:r w:rsidR="00946C59">
        <w:t>a notion</w:t>
      </w:r>
      <w:r w:rsidR="00946C59" w:rsidRPr="00377DF5">
        <w:t xml:space="preserve"> de composante inhérente </w:t>
      </w:r>
      <w:r w:rsidR="008156D5">
        <w:t>se trouve</w:t>
      </w:r>
      <w:r w:rsidR="00D135D2" w:rsidRPr="00377DF5">
        <w:t xml:space="preserve"> </w:t>
      </w:r>
      <w:r w:rsidR="008156D5">
        <w:t>précisé</w:t>
      </w:r>
      <w:r w:rsidR="00D135D2" w:rsidRPr="00377DF5">
        <w:t>e</w:t>
      </w:r>
      <w:r w:rsidR="00946C59" w:rsidRPr="00377DF5">
        <w:t xml:space="preserve"> à l’article 3.8</w:t>
      </w:r>
      <w:r w:rsidR="00D135D2" w:rsidRPr="00377DF5">
        <w:t>, § 2,</w:t>
      </w:r>
      <w:r w:rsidR="00946C59" w:rsidRPr="00377DF5">
        <w:t xml:space="preserve"> du Code civil</w:t>
      </w:r>
      <w:r w:rsidR="00EB4C14">
        <w:t xml:space="preserve"> qui énonce qu</w:t>
      </w:r>
      <w:proofErr w:type="gramStart"/>
      <w:r w:rsidR="00EB4C14">
        <w:t>’</w:t>
      </w:r>
      <w:r w:rsidR="00377DF5" w:rsidRPr="00377DF5">
        <w:t>«</w:t>
      </w:r>
      <w:proofErr w:type="gramEnd"/>
      <w:r w:rsidR="00377DF5" w:rsidRPr="00377DF5">
        <w:t> une composante inhérente d'un bien est un élément nécessaire de ce bien qui ne peut en être séparé sans porter atteinte à la substance physique ou fonctionnelle de ce bien »</w:t>
      </w:r>
      <w:r w:rsidR="00BD3828">
        <w:rPr>
          <w:rStyle w:val="Appelnotedebasdep"/>
        </w:rPr>
        <w:footnoteReference w:id="87"/>
      </w:r>
      <w:r w:rsidR="00AD03C6" w:rsidRPr="00AD03C6">
        <w:rPr>
          <w:vertAlign w:val="superscript"/>
        </w:rPr>
        <w:t>,</w:t>
      </w:r>
      <w:r w:rsidR="00AD03C6">
        <w:rPr>
          <w:rStyle w:val="Appelnotedebasdep"/>
        </w:rPr>
        <w:footnoteReference w:id="88"/>
      </w:r>
      <w:r w:rsidR="00D41C3C">
        <w:t>.</w:t>
      </w:r>
      <w:r w:rsidR="00A22E6B">
        <w:t xml:space="preserve"> </w:t>
      </w:r>
      <w:r w:rsidR="002219AE">
        <w:t xml:space="preserve">Fort de ce critère, le législateur </w:t>
      </w:r>
      <w:r w:rsidR="00F57418">
        <w:t>limite l’accession aux « cas dans lesquels il est question de constitution de composantes qui donne lieu à un conflit de propriété entre deux ou plusieurs personnes »</w:t>
      </w:r>
      <w:r w:rsidR="00F57418">
        <w:rPr>
          <w:rStyle w:val="Appelnotedebasdep"/>
        </w:rPr>
        <w:footnoteReference w:id="89"/>
      </w:r>
      <w:r w:rsidR="00BF2CA4">
        <w:t xml:space="preserve"> et écarte </w:t>
      </w:r>
      <w:r w:rsidR="00B014AC">
        <w:t xml:space="preserve">le concept d’accession </w:t>
      </w:r>
      <w:r w:rsidR="00A658A6">
        <w:t>en cas de séparation des fruits et produits. On y voyait parfois une hypothèse d’accession naturelle, ce que les auteurs de la loi ont voulu démentir, la séparation des fruits et produits n</w:t>
      </w:r>
      <w:r w:rsidR="00B150F2">
        <w:t>’étant pas à l’origine d’une composante inhérente du bien</w:t>
      </w:r>
      <w:r w:rsidR="00B150F2">
        <w:rPr>
          <w:rStyle w:val="Appelnotedebasdep"/>
        </w:rPr>
        <w:footnoteReference w:id="90"/>
      </w:r>
      <w:r w:rsidR="00B150F2">
        <w:t>.</w:t>
      </w:r>
      <w:r w:rsidR="00DC2514">
        <w:t xml:space="preserve"> Observons, enfin, que le législateur a recours à la </w:t>
      </w:r>
      <w:r w:rsidR="00EB46A6">
        <w:t xml:space="preserve">même </w:t>
      </w:r>
      <w:r w:rsidR="00DC2514">
        <w:t>notion de composante inhérente pour conclure à l’immobilisation par incorporation d’un bien (C. civ., art. 3.47)</w:t>
      </w:r>
      <w:r w:rsidR="00DC2514">
        <w:rPr>
          <w:rStyle w:val="Appelnotedebasdep"/>
        </w:rPr>
        <w:footnoteReference w:id="91"/>
      </w:r>
      <w:r w:rsidR="00DC2514">
        <w:t xml:space="preserve">, ce qui permet à </w:t>
      </w:r>
      <w:r w:rsidR="00EB46A6">
        <w:t>l’accession</w:t>
      </w:r>
      <w:r w:rsidR="00DC2514">
        <w:t xml:space="preserve"> de coïncider avec l’</w:t>
      </w:r>
      <w:r w:rsidR="00EB46A6">
        <w:t>immobilisation</w:t>
      </w:r>
      <w:r w:rsidR="00DC2514">
        <w:rPr>
          <w:rStyle w:val="Appelnotedebasdep"/>
        </w:rPr>
        <w:footnoteReference w:id="92"/>
      </w:r>
      <w:r w:rsidR="00DC2514">
        <w:t>.</w:t>
      </w:r>
    </w:p>
    <w:p w14:paraId="4F8F5A97" w14:textId="4993438C" w:rsidR="00200084" w:rsidRDefault="00200084" w:rsidP="00624376"/>
    <w:p w14:paraId="39EA5FD6" w14:textId="16A6E7B8" w:rsidR="007A4B46" w:rsidRDefault="00200084" w:rsidP="00624376">
      <w:r>
        <w:t xml:space="preserve">Ensuite, </w:t>
      </w:r>
      <w:r w:rsidR="007A4B46">
        <w:t xml:space="preserve">l’accession joue </w:t>
      </w:r>
      <w:r w:rsidR="00B82367">
        <w:t xml:space="preserve">quel que soit </w:t>
      </w:r>
      <w:r w:rsidR="00572D12">
        <w:t>le moyen par lequel le bien</w:t>
      </w:r>
      <w:r w:rsidR="00F06331">
        <w:t xml:space="preserve"> est</w:t>
      </w:r>
      <w:r w:rsidR="000A4825">
        <w:t xml:space="preserve"> devenu une composante inhérente</w:t>
      </w:r>
      <w:r w:rsidR="00B82367">
        <w:t xml:space="preserve">. Plus précisément, l’article 3.55 du Code civil précise </w:t>
      </w:r>
      <w:r w:rsidR="00244E4E">
        <w:t xml:space="preserve">que cela peut être intervenu « naturellement ou par le fait de l’homme », et nous verrons qu’en matière immobilière, </w:t>
      </w:r>
      <w:r w:rsidR="006D5464">
        <w:t>le Code consacre une disposition à chacune de ces</w:t>
      </w:r>
      <w:r w:rsidR="00D8547F">
        <w:t xml:space="preserve"> cause</w:t>
      </w:r>
      <w:r w:rsidR="006D5464">
        <w:t>s</w:t>
      </w:r>
      <w:r w:rsidR="002705B6">
        <w:t xml:space="preserve"> d’accession</w:t>
      </w:r>
      <w:r w:rsidR="006D5464">
        <w:t>.</w:t>
      </w:r>
      <w:r w:rsidR="008D6977">
        <w:t xml:space="preserve"> </w:t>
      </w:r>
    </w:p>
    <w:p w14:paraId="06A96560" w14:textId="77777777" w:rsidR="007A4B46" w:rsidRDefault="007A4B46" w:rsidP="00624376"/>
    <w:p w14:paraId="5258619E" w14:textId="2889781F" w:rsidR="00BA4D63" w:rsidRDefault="006D5464" w:rsidP="00D73A10">
      <w:r>
        <w:t xml:space="preserve">Enfin, </w:t>
      </w:r>
      <w:r w:rsidR="00983561">
        <w:t>l</w:t>
      </w:r>
      <w:r w:rsidR="00C81CB8">
        <w:t xml:space="preserve">e législateur opte expressément </w:t>
      </w:r>
      <w:r w:rsidR="001222FA">
        <w:t>en faveur d’un effet immédiat de l’accession, « de plein droit », ajoute-t-il</w:t>
      </w:r>
      <w:r w:rsidR="00DE2309">
        <w:t xml:space="preserve">, sauf </w:t>
      </w:r>
      <w:r w:rsidR="00917D57">
        <w:t>si une disposition légale prévoit le contraire</w:t>
      </w:r>
      <w:r w:rsidR="00163719">
        <w:rPr>
          <w:rStyle w:val="Appelnotedebasdep"/>
        </w:rPr>
        <w:footnoteReference w:id="93"/>
      </w:r>
      <w:r w:rsidR="001222FA">
        <w:t>.</w:t>
      </w:r>
      <w:r w:rsidR="00802BE3">
        <w:t xml:space="preserve"> </w:t>
      </w:r>
      <w:r w:rsidR="00E377C2">
        <w:t xml:space="preserve">Les exceptions légales sont toutefois nombreuses. </w:t>
      </w:r>
      <w:r w:rsidR="00277517">
        <w:t>D’une part</w:t>
      </w:r>
      <w:r w:rsidR="00E377C2">
        <w:t>,</w:t>
      </w:r>
      <w:r w:rsidR="00207992">
        <w:t xml:space="preserve"> les articles </w:t>
      </w:r>
      <w:r w:rsidR="007F71D2">
        <w:t xml:space="preserve">3.160, 3.176 et 3.188 du Code civil diffèrent l’accession à l’extinction du droit </w:t>
      </w:r>
      <w:r w:rsidR="00B36709">
        <w:t>réel d’usage en matière respectivement d’usufruit, d’emphytéose et de superficie.</w:t>
      </w:r>
      <w:r w:rsidR="00FD4B6D">
        <w:t xml:space="preserve"> </w:t>
      </w:r>
      <w:r w:rsidR="00445D9C">
        <w:t>D’autre part, et p</w:t>
      </w:r>
      <w:r w:rsidR="00FD4B6D">
        <w:t xml:space="preserve">lus largement, </w:t>
      </w:r>
      <w:r w:rsidR="000A4DA1">
        <w:t>toute superficie</w:t>
      </w:r>
      <w:r w:rsidR="00445D9C">
        <w:t>,</w:t>
      </w:r>
      <w:r w:rsidR="000A4DA1">
        <w:t xml:space="preserve"> principale ou conséquence, diffère l’accession à l’extinction du droit de </w:t>
      </w:r>
      <w:r w:rsidR="008464F5">
        <w:t>son titulaire</w:t>
      </w:r>
      <w:r w:rsidR="00FF21C2">
        <w:rPr>
          <w:rStyle w:val="Appelnotedebasdep"/>
        </w:rPr>
        <w:footnoteReference w:id="94"/>
      </w:r>
      <w:r w:rsidR="008464F5">
        <w:t xml:space="preserve">. </w:t>
      </w:r>
      <w:r w:rsidR="00FF21C2">
        <w:t>Rappelons que la superficie</w:t>
      </w:r>
      <w:r w:rsidR="00CC6D94">
        <w:t xml:space="preserve">-conséquence </w:t>
      </w:r>
      <w:r w:rsidR="00D73A10">
        <w:t>est le droit de superficie qui nait « </w:t>
      </w:r>
      <w:r w:rsidR="00D73A10" w:rsidRPr="00D73A10">
        <w:t>comme la conséquence d'un droit d'usage sur un immeuble qui confère le pouvoir d'y réaliser des ouvrages ou plantations »</w:t>
      </w:r>
      <w:r w:rsidR="00D73A10">
        <w:t xml:space="preserve"> (C. civ., art. 3.1</w:t>
      </w:r>
      <w:r w:rsidR="00C01DF5">
        <w:t>82, al. 1</w:t>
      </w:r>
      <w:r w:rsidR="00C01DF5" w:rsidRPr="00C01DF5">
        <w:rPr>
          <w:vertAlign w:val="superscript"/>
        </w:rPr>
        <w:t>er</w:t>
      </w:r>
      <w:r w:rsidR="00C01DF5">
        <w:t>)</w:t>
      </w:r>
      <w:r w:rsidR="00D73A10" w:rsidRPr="00D73A10">
        <w:t>.</w:t>
      </w:r>
      <w:r w:rsidR="00D73A10">
        <w:rPr>
          <w:b/>
          <w:bCs/>
          <w:color w:val="000000"/>
          <w:sz w:val="27"/>
          <w:szCs w:val="27"/>
        </w:rPr>
        <w:t xml:space="preserve"> </w:t>
      </w:r>
      <w:r w:rsidR="009C32BF">
        <w:t xml:space="preserve">Elle </w:t>
      </w:r>
      <w:r w:rsidR="00D73A10">
        <w:t xml:space="preserve">peut </w:t>
      </w:r>
      <w:r w:rsidR="009C32BF">
        <w:t>être la conséquence</w:t>
      </w:r>
      <w:r w:rsidR="00F03ABD">
        <w:t xml:space="preserve"> d’un droit réel, </w:t>
      </w:r>
      <w:r w:rsidR="00277517">
        <w:t xml:space="preserve">d’un droit </w:t>
      </w:r>
      <w:r w:rsidR="00F03ABD">
        <w:t xml:space="preserve">personnel ou </w:t>
      </w:r>
      <w:r w:rsidR="00BA4D63">
        <w:t>d’une prérogative de droit administratif</w:t>
      </w:r>
      <w:r w:rsidR="00BA4D63">
        <w:rPr>
          <w:rStyle w:val="Appelnotedebasdep"/>
        </w:rPr>
        <w:footnoteReference w:id="95"/>
      </w:r>
      <w:r w:rsidR="00277517">
        <w:t xml:space="preserve">. Il en résulte, </w:t>
      </w:r>
      <w:r w:rsidR="00BA4D63">
        <w:t>par exemple, qu</w:t>
      </w:r>
      <w:r w:rsidR="00264A75">
        <w:t>e</w:t>
      </w:r>
      <w:r w:rsidR="00BA1505">
        <w:t xml:space="preserve"> si</w:t>
      </w:r>
      <w:r w:rsidR="00264A75">
        <w:t xml:space="preserve"> le </w:t>
      </w:r>
      <w:r w:rsidR="00BA1505">
        <w:t>locataire</w:t>
      </w:r>
      <w:r w:rsidR="00264A75">
        <w:t xml:space="preserve"> d’un fonds</w:t>
      </w:r>
      <w:r w:rsidR="00BA1505">
        <w:t xml:space="preserve"> réalise</w:t>
      </w:r>
      <w:r w:rsidR="00264A75">
        <w:t xml:space="preserve"> des ouvrages et plantations</w:t>
      </w:r>
      <w:r w:rsidR="00023699">
        <w:t xml:space="preserve"> en ayant le pouvoir de le faire, le propriétaire n’en </w:t>
      </w:r>
      <w:r w:rsidR="009E7B82">
        <w:t xml:space="preserve">acquerra </w:t>
      </w:r>
      <w:r w:rsidR="00C7546D">
        <w:t xml:space="preserve">pas immédiatement </w:t>
      </w:r>
      <w:r w:rsidR="009E7B82">
        <w:t>la propriété</w:t>
      </w:r>
      <w:r w:rsidR="00C7546D">
        <w:t xml:space="preserve">. </w:t>
      </w:r>
    </w:p>
    <w:p w14:paraId="4A4A4A73" w14:textId="1F16F871" w:rsidR="0069729B" w:rsidRDefault="0069729B" w:rsidP="00D73A10"/>
    <w:p w14:paraId="4F45D8A6" w14:textId="67BD0EFA" w:rsidR="0069729B" w:rsidRDefault="0022381B" w:rsidP="00D73A10">
      <w:r>
        <w:lastRenderedPageBreak/>
        <w:t xml:space="preserve">Quoique cela ne figure pas </w:t>
      </w:r>
      <w:r w:rsidR="007A29BA">
        <w:t xml:space="preserve">expressément </w:t>
      </w:r>
      <w:r>
        <w:t xml:space="preserve">à l’article 3.55 du Code civil, </w:t>
      </w:r>
      <w:r w:rsidR="00AE569B">
        <w:t xml:space="preserve">on peut </w:t>
      </w:r>
      <w:r>
        <w:t xml:space="preserve">encore </w:t>
      </w:r>
      <w:r w:rsidR="00AE569B">
        <w:t xml:space="preserve">relever, d’une manière générale, que </w:t>
      </w:r>
      <w:r w:rsidR="00E64598">
        <w:t xml:space="preserve">toute indemnisation due </w:t>
      </w:r>
      <w:r w:rsidR="00663C98">
        <w:t>à raison de l’</w:t>
      </w:r>
      <w:r w:rsidR="00D56820">
        <w:t xml:space="preserve">accession est réglée par les règles de </w:t>
      </w:r>
      <w:r w:rsidR="002976B1">
        <w:t>« </w:t>
      </w:r>
      <w:r w:rsidR="00D56820">
        <w:t>l’enrichissement injustifié</w:t>
      </w:r>
      <w:r w:rsidR="002976B1">
        <w:t> »</w:t>
      </w:r>
      <w:r w:rsidR="007331F0">
        <w:rPr>
          <w:rStyle w:val="Appelnotedebasdep"/>
        </w:rPr>
        <w:footnoteReference w:id="96"/>
      </w:r>
      <w:r w:rsidR="002976B1" w:rsidRPr="002976B1">
        <w:rPr>
          <w:vertAlign w:val="superscript"/>
        </w:rPr>
        <w:t>,</w:t>
      </w:r>
      <w:r w:rsidR="002976B1">
        <w:rPr>
          <w:rStyle w:val="Appelnotedebasdep"/>
        </w:rPr>
        <w:footnoteReference w:id="97"/>
      </w:r>
      <w:r w:rsidR="004F0727">
        <w:t>.</w:t>
      </w:r>
      <w:r w:rsidR="00BF083F">
        <w:t xml:space="preserve"> </w:t>
      </w:r>
      <w:r w:rsidR="00277A73">
        <w:t>Cette uniformité favorise la transparence et rend plus fonctionnel le droit des biens</w:t>
      </w:r>
      <w:r w:rsidR="003542CA">
        <w:rPr>
          <w:rStyle w:val="Appelnotedebasdep"/>
        </w:rPr>
        <w:footnoteReference w:id="98"/>
      </w:r>
      <w:r w:rsidR="00277A73">
        <w:t xml:space="preserve">. </w:t>
      </w:r>
    </w:p>
    <w:p w14:paraId="2C34C1CC" w14:textId="7EFB6CFF" w:rsidR="00D27049" w:rsidRDefault="00D27049" w:rsidP="00D73A10"/>
    <w:p w14:paraId="292C0770" w14:textId="332112FD" w:rsidR="00BC6A3B" w:rsidRDefault="004A66E4" w:rsidP="00D73A10">
      <w:r>
        <w:rPr>
          <w:b/>
          <w:bCs/>
        </w:rPr>
        <w:t>2</w:t>
      </w:r>
      <w:r w:rsidR="00100DEF">
        <w:rPr>
          <w:b/>
          <w:bCs/>
        </w:rPr>
        <w:t>0</w:t>
      </w:r>
      <w:r w:rsidR="00B642C7">
        <w:rPr>
          <w:b/>
          <w:bCs/>
        </w:rPr>
        <w:t>.</w:t>
      </w:r>
      <w:r w:rsidR="00B642C7">
        <w:t xml:space="preserve"> </w:t>
      </w:r>
      <w:r w:rsidR="00AA6C93">
        <w:t xml:space="preserve">L’accession mobilière est réglée à l’article 3.57 du Code civil. </w:t>
      </w:r>
      <w:r w:rsidR="009A3770">
        <w:t>Son champ d’application vise les hypothèses dans lesquelles</w:t>
      </w:r>
      <w:r w:rsidR="00BC6A3B">
        <w:t xml:space="preserve"> </w:t>
      </w:r>
      <w:r w:rsidR="00C36624">
        <w:t>« </w:t>
      </w:r>
      <w:r w:rsidR="00BC6A3B">
        <w:t xml:space="preserve">deux biens </w:t>
      </w:r>
      <w:r w:rsidR="00C36624">
        <w:t>mobiliers sont réunis</w:t>
      </w:r>
      <w:r w:rsidR="001526F8">
        <w:t xml:space="preserve"> de manière telle qu’ils deviennent des composantes inhérentes d’un bien </w:t>
      </w:r>
      <w:r w:rsidR="00C36624">
        <w:t xml:space="preserve">plus ample » (C. civ., art. 3.57, </w:t>
      </w:r>
      <w:r w:rsidR="00C36624">
        <w:rPr>
          <w:i/>
          <w:iCs/>
        </w:rPr>
        <w:t>ab initio</w:t>
      </w:r>
      <w:r w:rsidR="00C36624">
        <w:t xml:space="preserve">). </w:t>
      </w:r>
      <w:r w:rsidR="00BD43F8">
        <w:t>La mention du</w:t>
      </w:r>
      <w:r w:rsidR="006E3890">
        <w:t xml:space="preserve"> nombre </w:t>
      </w:r>
      <w:r w:rsidR="00D0003E">
        <w:t>« </w:t>
      </w:r>
      <w:r w:rsidR="006E3890">
        <w:t>deux</w:t>
      </w:r>
      <w:r w:rsidR="00D0003E">
        <w:t> »</w:t>
      </w:r>
      <w:r w:rsidR="006E3890">
        <w:t xml:space="preserve"> </w:t>
      </w:r>
      <w:r w:rsidR="00BD43F8">
        <w:t>ne devrait évidemment pas empêcher l’application de la disposition</w:t>
      </w:r>
      <w:r w:rsidR="00D0003E">
        <w:t xml:space="preserve"> si plus de deux biens meubles sont réunis.</w:t>
      </w:r>
    </w:p>
    <w:p w14:paraId="642F9971" w14:textId="77777777" w:rsidR="00BC6A3B" w:rsidRDefault="00BC6A3B" w:rsidP="00D73A10"/>
    <w:p w14:paraId="7E6ABD30" w14:textId="77777777" w:rsidR="00E84353" w:rsidRDefault="005E4967" w:rsidP="00D73A10">
      <w:r>
        <w:t xml:space="preserve">On estimait traditionnellement que ces situations étaient rares, mais le législateur de 2020 dément cette idée, estimant </w:t>
      </w:r>
      <w:r w:rsidR="009C0EA8">
        <w:t>au contraire qu’elles</w:t>
      </w:r>
      <w:r>
        <w:t xml:space="preserve"> sont croissantes en pratique, du fait notamment de mécanisme</w:t>
      </w:r>
      <w:r w:rsidR="009C0EA8">
        <w:t>s</w:t>
      </w:r>
      <w:r>
        <w:t xml:space="preserve"> tel</w:t>
      </w:r>
      <w:r w:rsidR="009C0EA8">
        <w:t>s</w:t>
      </w:r>
      <w:r>
        <w:t xml:space="preserve"> que la réserve de propriété</w:t>
      </w:r>
      <w:r>
        <w:rPr>
          <w:rStyle w:val="Appelnotedebasdep"/>
        </w:rPr>
        <w:footnoteReference w:id="99"/>
      </w:r>
      <w:r>
        <w:t xml:space="preserve">. </w:t>
      </w:r>
      <w:r w:rsidR="009C0EA8">
        <w:t>En effet, p</w:t>
      </w:r>
      <w:r>
        <w:t xml:space="preserve">ar exemple, si un véhicule </w:t>
      </w:r>
      <w:r w:rsidR="0033773A">
        <w:t>acheté à crédit fait l’objet d’une réserve de propriété en faveur</w:t>
      </w:r>
      <w:r>
        <w:t xml:space="preserve"> du prêteur </w:t>
      </w:r>
      <w:r w:rsidR="00E84353">
        <w:t xml:space="preserve">et </w:t>
      </w:r>
      <w:r>
        <w:t xml:space="preserve">est réparé aux frais de l’emprunteur, les pièces qui y sont ajoutées sont soumises à accession (à condition de constituer une composante inhérente du véhicule). </w:t>
      </w:r>
    </w:p>
    <w:p w14:paraId="018349A4" w14:textId="77777777" w:rsidR="00E84353" w:rsidRDefault="00E84353" w:rsidP="00D73A10"/>
    <w:p w14:paraId="0E917431" w14:textId="5062DED8" w:rsidR="00D27049" w:rsidRDefault="0064208E" w:rsidP="00D73A10">
      <w:r>
        <w:t>L’article 3.57 rompt par ailleurs avec l’ancien Code civil</w:t>
      </w:r>
      <w:r w:rsidR="00531A72">
        <w:rPr>
          <w:rStyle w:val="Appelnotedebasdep"/>
        </w:rPr>
        <w:footnoteReference w:id="100"/>
      </w:r>
      <w:r>
        <w:t xml:space="preserve"> en posant des critères « mécaniques » de nature à déterminer à qui revient la propriété du bien plus ample en cas de conflit</w:t>
      </w:r>
      <w:r w:rsidR="00792796">
        <w:rPr>
          <w:rStyle w:val="Appelnotedebasdep"/>
        </w:rPr>
        <w:footnoteReference w:id="101"/>
      </w:r>
      <w:r>
        <w:t>.</w:t>
      </w:r>
      <w:r w:rsidR="00531A72">
        <w:t xml:space="preserve"> </w:t>
      </w:r>
      <w:r w:rsidR="0049494A">
        <w:t>Dans la nouvelle disposition, l</w:t>
      </w:r>
      <w:r w:rsidR="00AF3286">
        <w:t xml:space="preserve">a propriété du tout est attribuée au propriétaire du bien principal, </w:t>
      </w:r>
      <w:r w:rsidR="00D84C0D">
        <w:t>le bien principal étant</w:t>
      </w:r>
      <w:r w:rsidR="00AF3286">
        <w:t xml:space="preserve"> celui qui « est nécessaire sur le plan fonctionnel </w:t>
      </w:r>
      <w:r w:rsidR="00767334">
        <w:t>ou, en cas d’équivalenc</w:t>
      </w:r>
      <w:r w:rsidR="006C6DED">
        <w:t>e fonctionnelle, [celui qui] excède la valeur de l’autre »</w:t>
      </w:r>
      <w:r w:rsidR="009120BF">
        <w:t xml:space="preserve"> (C. civ., art. 3.57, al. 1</w:t>
      </w:r>
      <w:r w:rsidR="009120BF" w:rsidRPr="009120BF">
        <w:rPr>
          <w:vertAlign w:val="superscript"/>
        </w:rPr>
        <w:t>er</w:t>
      </w:r>
      <w:r w:rsidR="009120BF">
        <w:t xml:space="preserve">, </w:t>
      </w:r>
      <w:r w:rsidR="009120BF">
        <w:rPr>
          <w:i/>
          <w:iCs/>
        </w:rPr>
        <w:t>in fine</w:t>
      </w:r>
      <w:r w:rsidR="009120BF">
        <w:t>)</w:t>
      </w:r>
      <w:r w:rsidR="006C6DED">
        <w:t>.</w:t>
      </w:r>
      <w:r w:rsidR="00D84C0D">
        <w:t xml:space="preserve"> On regardera </w:t>
      </w:r>
      <w:r w:rsidR="00E610C8">
        <w:t>d</w:t>
      </w:r>
      <w:r w:rsidR="00E5429F">
        <w:t>onc d</w:t>
      </w:r>
      <w:r w:rsidR="00E610C8">
        <w:t>’abord si un</w:t>
      </w:r>
      <w:r w:rsidR="00E5429F">
        <w:t xml:space="preserve"> </w:t>
      </w:r>
      <w:r w:rsidR="00716701">
        <w:t xml:space="preserve">des </w:t>
      </w:r>
      <w:r w:rsidR="00E5429F">
        <w:t>bien</w:t>
      </w:r>
      <w:r w:rsidR="00716701">
        <w:t>s</w:t>
      </w:r>
      <w:r w:rsidR="00E5429F">
        <w:t xml:space="preserve"> est </w:t>
      </w:r>
      <w:r w:rsidR="009F3D39">
        <w:t>nécessaire sur le plan fonctionnel</w:t>
      </w:r>
      <w:r w:rsidR="00807AC5">
        <w:t xml:space="preserve"> (s</w:t>
      </w:r>
      <w:r w:rsidR="009F3D39">
        <w:t>ongeons à la voiture dans l’exemple susmentionné</w:t>
      </w:r>
      <w:r w:rsidR="00807AC5">
        <w:t>)</w:t>
      </w:r>
      <w:r w:rsidR="009F60DC">
        <w:t>.</w:t>
      </w:r>
      <w:r w:rsidR="009F3D39">
        <w:t xml:space="preserve"> </w:t>
      </w:r>
      <w:r w:rsidR="009F60DC">
        <w:t>S</w:t>
      </w:r>
      <w:r w:rsidR="00A9311D">
        <w:t>i tous deux le sont</w:t>
      </w:r>
      <w:r w:rsidR="00807AC5">
        <w:t xml:space="preserve"> – </w:t>
      </w:r>
      <w:r w:rsidR="003B6246">
        <w:t xml:space="preserve">de manière </w:t>
      </w:r>
      <w:r w:rsidR="003B6246" w:rsidRPr="009F60DC">
        <w:rPr>
          <w:i/>
          <w:iCs/>
        </w:rPr>
        <w:t xml:space="preserve">équivalente </w:t>
      </w:r>
      <w:r w:rsidR="003B6246">
        <w:t xml:space="preserve">serait-on tenté de penser à </w:t>
      </w:r>
      <w:r w:rsidR="009F60DC">
        <w:t xml:space="preserve">la lecture de </w:t>
      </w:r>
      <w:r w:rsidR="003B6246">
        <w:t>l’article 3.57</w:t>
      </w:r>
      <w:r w:rsidR="0044472F">
        <w:rPr>
          <w:rStyle w:val="Appelnotedebasdep"/>
        </w:rPr>
        <w:footnoteReference w:id="102"/>
      </w:r>
      <w:r w:rsidR="00807AC5">
        <w:t xml:space="preserve"> –, il </w:t>
      </w:r>
      <w:r w:rsidR="004B5F32">
        <w:t>convient de déterminer</w:t>
      </w:r>
      <w:r w:rsidR="009F3D39">
        <w:t xml:space="preserve"> si </w:t>
      </w:r>
      <w:r w:rsidR="00716701">
        <w:t>l’</w:t>
      </w:r>
      <w:r w:rsidR="009F3D39">
        <w:t>un</w:t>
      </w:r>
      <w:r w:rsidR="00716701">
        <w:t xml:space="preserve"> d’eux présente une valeur supérieure</w:t>
      </w:r>
      <w:r w:rsidR="0044472F">
        <w:t xml:space="preserve"> et, dans l’affirmative, le tout reviendra à son propriétaire</w:t>
      </w:r>
      <w:r w:rsidR="00716701">
        <w:t xml:space="preserve">. </w:t>
      </w:r>
      <w:r w:rsidR="004B5F32">
        <w:t xml:space="preserve">Enfin, si aucun des biens n’est à considérer comme le bien principal </w:t>
      </w:r>
      <w:r w:rsidR="004B5F32">
        <w:lastRenderedPageBreak/>
        <w:t>(</w:t>
      </w:r>
      <w:r w:rsidR="00AB70E9">
        <w:t xml:space="preserve">équivalence fonctionnelle et valeurs équivalentes), le bien </w:t>
      </w:r>
      <w:r w:rsidR="0044472F">
        <w:t>revient en</w:t>
      </w:r>
      <w:r w:rsidR="00AB70E9">
        <w:t xml:space="preserve"> copropriété f</w:t>
      </w:r>
      <w:r w:rsidR="00951823">
        <w:t xml:space="preserve">ortuite </w:t>
      </w:r>
      <w:r w:rsidR="0044472F">
        <w:t>aux</w:t>
      </w:r>
      <w:r w:rsidR="00951823">
        <w:t xml:space="preserve"> propriétaires, chacun </w:t>
      </w:r>
      <w:r w:rsidR="00704FF6">
        <w:t xml:space="preserve">pour une </w:t>
      </w:r>
      <w:r w:rsidR="00951823">
        <w:t>part égale</w:t>
      </w:r>
      <w:r w:rsidR="009120BF">
        <w:t xml:space="preserve"> (C. civ., art. 3.57, al. 2)</w:t>
      </w:r>
      <w:r w:rsidR="00951823">
        <w:t>.</w:t>
      </w:r>
    </w:p>
    <w:p w14:paraId="01913553" w14:textId="3AB75259" w:rsidR="00F13E08" w:rsidRDefault="00F13E08" w:rsidP="00D73A10"/>
    <w:p w14:paraId="75039212" w14:textId="07547482" w:rsidR="00541116" w:rsidRDefault="00B752A0" w:rsidP="00624376">
      <w:r>
        <w:t>Quant à l’indemnisation du propriétaire évincé, l</w:t>
      </w:r>
      <w:r w:rsidR="00C53FD6">
        <w:t>e troisième alinéa de l’article 3.57 du Code civil précise</w:t>
      </w:r>
      <w:r>
        <w:t xml:space="preserve"> </w:t>
      </w:r>
      <w:r w:rsidR="00C53FD6" w:rsidRPr="00F150E1">
        <w:t xml:space="preserve">que </w:t>
      </w:r>
      <w:r w:rsidR="00F150E1" w:rsidRPr="00F150E1">
        <w:t>« celui qui, sur la base de la présente disposition, perd son droit de propriété, peut prétendre à une indemnité en se fondant sur l'enrichissement injustifié ».</w:t>
      </w:r>
      <w:r w:rsidR="0004518A">
        <w:t xml:space="preserve"> En vertu de l’article 5.137 en projet du Code civil, cette indemnité sera égale à « la moindre des deux valeurs de l’enrichissement et de l’appauvrissement, estimées au moment de l’indemnisation »</w:t>
      </w:r>
      <w:r w:rsidR="009E06AC">
        <w:rPr>
          <w:rStyle w:val="Appelnotedebasdep"/>
        </w:rPr>
        <w:footnoteReference w:id="103"/>
      </w:r>
      <w:r w:rsidR="0004518A">
        <w:t>.</w:t>
      </w:r>
    </w:p>
    <w:p w14:paraId="7D6F55C8" w14:textId="333ADB95" w:rsidR="002E6541" w:rsidRDefault="002E6541" w:rsidP="00624376"/>
    <w:p w14:paraId="7406BBC4" w14:textId="1AC1F55B" w:rsidR="002E6541" w:rsidRDefault="002E6541" w:rsidP="00624376">
      <w:r>
        <w:t xml:space="preserve">Les travaux </w:t>
      </w:r>
      <w:r w:rsidR="00B752A0">
        <w:t xml:space="preserve">préparatoires rappellent </w:t>
      </w:r>
      <w:r w:rsidR="00BD30C8">
        <w:t>q</w:t>
      </w:r>
      <w:r w:rsidR="00B752A0">
        <w:t xml:space="preserve">ue </w:t>
      </w:r>
      <w:r w:rsidR="00BD30C8">
        <w:t>l’ensemble de l’article 3.57 du Code civil</w:t>
      </w:r>
      <w:r w:rsidR="009E06AC">
        <w:t xml:space="preserve"> ne vaut qu’à défaut de dérogation conventionnelle entre les parties, conformément à l’article 3.1 du Code civil</w:t>
      </w:r>
      <w:r w:rsidR="009E06AC">
        <w:rPr>
          <w:rStyle w:val="Appelnotedebasdep"/>
        </w:rPr>
        <w:footnoteReference w:id="104"/>
      </w:r>
      <w:r w:rsidR="009E06AC">
        <w:t>.</w:t>
      </w:r>
    </w:p>
    <w:p w14:paraId="3C7302BA" w14:textId="233C7FB3" w:rsidR="00BD30C8" w:rsidRDefault="00BD30C8" w:rsidP="00624376"/>
    <w:p w14:paraId="62FBBF9B" w14:textId="74A6E2CC" w:rsidR="00BD30C8" w:rsidRDefault="00BD30C8" w:rsidP="00624376">
      <w:r>
        <w:t xml:space="preserve">Enfin, le législateur a veillé à </w:t>
      </w:r>
      <w:r w:rsidR="00BA5710">
        <w:t>la concordance</w:t>
      </w:r>
      <w:r w:rsidR="004260F1">
        <w:t xml:space="preserve"> </w:t>
      </w:r>
      <w:r w:rsidR="00BA5710">
        <w:t>du</w:t>
      </w:r>
      <w:r w:rsidR="004260F1">
        <w:t xml:space="preserve"> Code civil </w:t>
      </w:r>
      <w:r w:rsidR="002D2370">
        <w:t xml:space="preserve">avec le </w:t>
      </w:r>
      <w:r w:rsidR="00AF1D03">
        <w:t>titre relatif aux sûretés réelles mobilières</w:t>
      </w:r>
      <w:r w:rsidR="002D2370">
        <w:t xml:space="preserve"> d</w:t>
      </w:r>
      <w:r w:rsidR="00AF1D03">
        <w:t>e</w:t>
      </w:r>
      <w:r w:rsidR="002D2370">
        <w:t xml:space="preserve"> l’ancien Code civil</w:t>
      </w:r>
      <w:r w:rsidR="004260F1">
        <w:t xml:space="preserve">. En son article 18, </w:t>
      </w:r>
      <w:r w:rsidR="00AF1D03">
        <w:t>le chapitre relatif au gage</w:t>
      </w:r>
      <w:r w:rsidR="004260F1">
        <w:t xml:space="preserve"> </w:t>
      </w:r>
      <w:r w:rsidR="000050D1">
        <w:t xml:space="preserve">figurant sous ce titre </w:t>
      </w:r>
      <w:r w:rsidR="004260F1">
        <w:t>a recours à la notion de « bien principal » en cas de</w:t>
      </w:r>
      <w:r w:rsidR="00BA5710">
        <w:t xml:space="preserve"> transformation des biens mis en gage</w:t>
      </w:r>
      <w:r w:rsidR="000050D1">
        <w:t>. C</w:t>
      </w:r>
      <w:r w:rsidR="00BA5710">
        <w:t xml:space="preserve">ette notion sera dorénavant </w:t>
      </w:r>
      <w:r w:rsidR="0026300E">
        <w:t>comprise « au sens de l’article 3.57 du Code civil »</w:t>
      </w:r>
      <w:r w:rsidR="0026300E">
        <w:rPr>
          <w:rStyle w:val="Appelnotedebasdep"/>
        </w:rPr>
        <w:footnoteReference w:id="105"/>
      </w:r>
      <w:r w:rsidR="0026300E">
        <w:t>.</w:t>
      </w:r>
    </w:p>
    <w:p w14:paraId="735DA192" w14:textId="6A0C5F4A" w:rsidR="0004518A" w:rsidRDefault="0004518A" w:rsidP="00624376"/>
    <w:p w14:paraId="1328AC05" w14:textId="015DA0FB" w:rsidR="0074109A" w:rsidRDefault="004A66E4" w:rsidP="00624376">
      <w:r>
        <w:rPr>
          <w:b/>
          <w:bCs/>
        </w:rPr>
        <w:t>2</w:t>
      </w:r>
      <w:r w:rsidR="00100DEF">
        <w:rPr>
          <w:b/>
          <w:bCs/>
        </w:rPr>
        <w:t>1</w:t>
      </w:r>
      <w:r w:rsidR="0004518A">
        <w:rPr>
          <w:b/>
          <w:bCs/>
        </w:rPr>
        <w:t>.</w:t>
      </w:r>
      <w:r w:rsidR="0004518A">
        <w:t xml:space="preserve"> </w:t>
      </w:r>
      <w:r w:rsidR="00953BE4">
        <w:t>L’accession immobilière fait l’objet de deux dispositions </w:t>
      </w:r>
      <w:r w:rsidR="007F1CE5">
        <w:t xml:space="preserve">dans le Code civil </w:t>
      </w:r>
      <w:r w:rsidR="00953BE4">
        <w:t>: l’article 3.6</w:t>
      </w:r>
      <w:r w:rsidR="005253B8">
        <w:t>4</w:t>
      </w:r>
      <w:r w:rsidR="007F1CE5">
        <w:t xml:space="preserve">, consacré à l’accession dite « artificielle » (c’est-à-dire, par référence aux termes </w:t>
      </w:r>
      <w:r w:rsidR="0093736F">
        <w:t>employés à</w:t>
      </w:r>
      <w:r w:rsidR="007F1CE5">
        <w:t xml:space="preserve"> l’article 3.55</w:t>
      </w:r>
      <w:r w:rsidR="0093736F">
        <w:t>,</w:t>
      </w:r>
      <w:r w:rsidR="007F1CE5">
        <w:t xml:space="preserve"> celle qui est le fait de l’homme)</w:t>
      </w:r>
      <w:r w:rsidR="0093736F">
        <w:t xml:space="preserve"> et l’article 3.6</w:t>
      </w:r>
      <w:r w:rsidR="005253B8">
        <w:t>5</w:t>
      </w:r>
      <w:r w:rsidR="0093736F">
        <w:t xml:space="preserve">, relatif à l’accession naturelle. </w:t>
      </w:r>
    </w:p>
    <w:p w14:paraId="6DFDAAE0" w14:textId="37915587" w:rsidR="00316494" w:rsidRDefault="00316494" w:rsidP="00624376"/>
    <w:p w14:paraId="5D8AE326" w14:textId="127B7FCD" w:rsidR="00316494" w:rsidRPr="00C34DDD" w:rsidRDefault="004A66E4" w:rsidP="00624376">
      <w:r>
        <w:rPr>
          <w:b/>
          <w:bCs/>
        </w:rPr>
        <w:t>2</w:t>
      </w:r>
      <w:r w:rsidR="00100DEF">
        <w:rPr>
          <w:b/>
          <w:bCs/>
        </w:rPr>
        <w:t>2</w:t>
      </w:r>
      <w:r w:rsidR="00F73EB6">
        <w:rPr>
          <w:b/>
          <w:bCs/>
        </w:rPr>
        <w:t xml:space="preserve">. </w:t>
      </w:r>
      <w:r w:rsidR="00316494">
        <w:t>L’article 3.6</w:t>
      </w:r>
      <w:r w:rsidR="00F469CD">
        <w:t>4</w:t>
      </w:r>
      <w:r w:rsidR="00316494">
        <w:t xml:space="preserve"> du Code civil fait tout d’abord présumer que </w:t>
      </w:r>
      <w:r w:rsidR="008230F0">
        <w:t xml:space="preserve">les ouvrages et </w:t>
      </w:r>
      <w:r w:rsidR="008230F0" w:rsidRPr="006D473D">
        <w:t xml:space="preserve">plantations </w:t>
      </w:r>
      <w:r w:rsidR="006D473D" w:rsidRPr="006D473D">
        <w:t>réalisés sur, au-dessus ou en dessous d'un fonds appartiennent à son propriétaire</w:t>
      </w:r>
      <w:r w:rsidR="006D473D">
        <w:t xml:space="preserve"> (C. civ., art. 3.6</w:t>
      </w:r>
      <w:r w:rsidR="00F469CD">
        <w:t>4</w:t>
      </w:r>
      <w:r w:rsidR="006D473D">
        <w:t>, § 1</w:t>
      </w:r>
      <w:r w:rsidR="006D473D" w:rsidRPr="006D473D">
        <w:rPr>
          <w:vertAlign w:val="superscript"/>
        </w:rPr>
        <w:t>er</w:t>
      </w:r>
      <w:r w:rsidR="006D473D">
        <w:t>, al. 1</w:t>
      </w:r>
      <w:r w:rsidR="006D473D" w:rsidRPr="006D473D">
        <w:rPr>
          <w:vertAlign w:val="superscript"/>
        </w:rPr>
        <w:t>er</w:t>
      </w:r>
      <w:r w:rsidR="006D473D">
        <w:t>)</w:t>
      </w:r>
      <w:r w:rsidR="006D473D" w:rsidRPr="006D473D">
        <w:t>.</w:t>
      </w:r>
      <w:r w:rsidR="00A114A3">
        <w:t xml:space="preserve"> La disposition poursuit en indiquant que cette présomption peut être renversée par la loi ou par un acte juridique</w:t>
      </w:r>
      <w:r w:rsidR="008649C6">
        <w:t>, auquel cas</w:t>
      </w:r>
      <w:r w:rsidR="006C3CBA">
        <w:t xml:space="preserve"> c’est </w:t>
      </w:r>
      <w:r w:rsidR="00046870">
        <w:t>au terme</w:t>
      </w:r>
      <w:r w:rsidR="006C3CBA">
        <w:t xml:space="preserve"> </w:t>
      </w:r>
      <w:r w:rsidR="00881FAC">
        <w:t>du titre légal ou contractuel du tiers que le propriétaire sera</w:t>
      </w:r>
      <w:r w:rsidR="00046870">
        <w:t>,</w:t>
      </w:r>
      <w:r w:rsidR="00881FAC">
        <w:t xml:space="preserve"> le cas échéant</w:t>
      </w:r>
      <w:r w:rsidR="00046870">
        <w:t>,</w:t>
      </w:r>
      <w:r w:rsidR="00881FAC">
        <w:t xml:space="preserve"> redevable d’une indemnité </w:t>
      </w:r>
      <w:r w:rsidR="007712AD">
        <w:t xml:space="preserve">conformément </w:t>
      </w:r>
      <w:r w:rsidR="0009119E">
        <w:t xml:space="preserve">aux </w:t>
      </w:r>
      <w:r w:rsidR="00C34DDD">
        <w:t>principes applicables</w:t>
      </w:r>
      <w:r w:rsidR="00881FAC">
        <w:t xml:space="preserve"> au titre éteint </w:t>
      </w:r>
      <w:r w:rsidR="007712AD">
        <w:t>(C. civ., art. 3.6</w:t>
      </w:r>
      <w:r w:rsidR="005253B8">
        <w:t>4</w:t>
      </w:r>
      <w:r w:rsidR="007712AD">
        <w:t>, § 1</w:t>
      </w:r>
      <w:r w:rsidR="007712AD" w:rsidRPr="007712AD">
        <w:rPr>
          <w:vertAlign w:val="superscript"/>
        </w:rPr>
        <w:t>er</w:t>
      </w:r>
      <w:r w:rsidR="007712AD">
        <w:t>, al. 2)</w:t>
      </w:r>
      <w:r w:rsidR="00E104EE">
        <w:t>.</w:t>
      </w:r>
      <w:r w:rsidR="008649C6">
        <w:t xml:space="preserve"> Les travaux préparatoires </w:t>
      </w:r>
      <w:r w:rsidR="00B7118F">
        <w:t>ajout</w:t>
      </w:r>
      <w:r w:rsidR="008649C6">
        <w:t>ent qu’à défaut de tel</w:t>
      </w:r>
      <w:r w:rsidR="00C34DDD">
        <w:t>s principes, c’est</w:t>
      </w:r>
      <w:r w:rsidR="00704FF6">
        <w:t xml:space="preserve"> à</w:t>
      </w:r>
      <w:r w:rsidR="00C34DDD">
        <w:t xml:space="preserve"> l’article 3.6</w:t>
      </w:r>
      <w:r w:rsidR="005253B8">
        <w:t>4</w:t>
      </w:r>
      <w:r w:rsidR="00C34DDD">
        <w:t>, § 4, du Code civil (</w:t>
      </w:r>
      <w:r w:rsidR="00C34DDD">
        <w:rPr>
          <w:i/>
          <w:iCs/>
        </w:rPr>
        <w:t>infra</w:t>
      </w:r>
      <w:r w:rsidR="00C34DDD">
        <w:t xml:space="preserve">) </w:t>
      </w:r>
      <w:r w:rsidR="00704FF6">
        <w:t>qu’</w:t>
      </w:r>
      <w:r w:rsidR="00B7118F">
        <w:t>il y a lieu de se référer</w:t>
      </w:r>
      <w:r w:rsidR="00B7118F">
        <w:rPr>
          <w:rStyle w:val="Appelnotedebasdep"/>
        </w:rPr>
        <w:footnoteReference w:id="106"/>
      </w:r>
      <w:r w:rsidR="00CF1D5F">
        <w:t>.</w:t>
      </w:r>
    </w:p>
    <w:p w14:paraId="557070FA" w14:textId="13F23AD5" w:rsidR="0074109A" w:rsidRDefault="0074109A" w:rsidP="00624376"/>
    <w:p w14:paraId="4EC7CB27" w14:textId="07CE84A3" w:rsidR="00E104EE" w:rsidRPr="003724E8" w:rsidRDefault="00B7118F" w:rsidP="00624376">
      <w:r>
        <w:t>En son se</w:t>
      </w:r>
      <w:r w:rsidR="00D73629">
        <w:t>cond paragraphe, l’article 3.6</w:t>
      </w:r>
      <w:r w:rsidR="005253B8">
        <w:t>4</w:t>
      </w:r>
      <w:r w:rsidR="00D73629">
        <w:t xml:space="preserve"> complète la présomption mentionnée ci-dessus par deux autres </w:t>
      </w:r>
      <w:r w:rsidR="00CA748E">
        <w:t xml:space="preserve">présomptions </w:t>
      </w:r>
      <w:r w:rsidR="00D73629">
        <w:t xml:space="preserve">: </w:t>
      </w:r>
      <w:r w:rsidR="009D3D14" w:rsidRPr="009D3D14">
        <w:t>les ouvrages et plantations réalisés sur, au-dessus ou en dessous d'un fonds sont présumés</w:t>
      </w:r>
      <w:r w:rsidR="009D3D14">
        <w:t xml:space="preserve"> avoir été réalisés 1° </w:t>
      </w:r>
      <w:r w:rsidR="009D3D14">
        <w:rPr>
          <w:i/>
          <w:iCs/>
        </w:rPr>
        <w:t xml:space="preserve">par </w:t>
      </w:r>
      <w:r w:rsidR="009D3D14">
        <w:t xml:space="preserve">le propriétaire </w:t>
      </w:r>
      <w:r w:rsidR="003724E8">
        <w:t xml:space="preserve">du fonds </w:t>
      </w:r>
      <w:r w:rsidR="009D3D14">
        <w:t xml:space="preserve">et 2° </w:t>
      </w:r>
      <w:r w:rsidR="009D3D14">
        <w:rPr>
          <w:i/>
          <w:iCs/>
        </w:rPr>
        <w:t>à ses frais.</w:t>
      </w:r>
      <w:r w:rsidR="003724E8">
        <w:t xml:space="preserve"> </w:t>
      </w:r>
      <w:r w:rsidR="00345A28">
        <w:t>C</w:t>
      </w:r>
      <w:r w:rsidR="003724E8">
        <w:t>es présomptions</w:t>
      </w:r>
      <w:r w:rsidR="00525DB8">
        <w:t>, qui sont réfragables,</w:t>
      </w:r>
      <w:r w:rsidR="003724E8">
        <w:t xml:space="preserve"> </w:t>
      </w:r>
      <w:r w:rsidR="004B61FC">
        <w:t xml:space="preserve">ont pour effet </w:t>
      </w:r>
      <w:r w:rsidR="00525DB8">
        <w:t>de faire peser la charge de la preuve s</w:t>
      </w:r>
      <w:r w:rsidR="00BA4E8C">
        <w:t>oit s</w:t>
      </w:r>
      <w:r w:rsidR="00525DB8">
        <w:t>ur le</w:t>
      </w:r>
      <w:r w:rsidR="004B61FC">
        <w:t xml:space="preserve"> tiers</w:t>
      </w:r>
      <w:r w:rsidR="00F95ADE">
        <w:t>,</w:t>
      </w:r>
      <w:r w:rsidR="004B61FC">
        <w:t xml:space="preserve"> </w:t>
      </w:r>
      <w:r w:rsidR="00E86705">
        <w:t>s’il</w:t>
      </w:r>
      <w:r w:rsidR="004B61FC">
        <w:t xml:space="preserve"> prétend que ce n’est pas le propriétaire qui a construit </w:t>
      </w:r>
      <w:r w:rsidR="00826115">
        <w:t xml:space="preserve">ou qu’il ne l’a pas fait </w:t>
      </w:r>
      <w:r w:rsidR="004B61FC">
        <w:t>à ses frais</w:t>
      </w:r>
      <w:r w:rsidR="00F95ADE">
        <w:t xml:space="preserve">, </w:t>
      </w:r>
      <w:r w:rsidR="00BA4E8C">
        <w:t>soit</w:t>
      </w:r>
      <w:r w:rsidR="00F95ADE">
        <w:t xml:space="preserve"> sur le propriétaire lui-même,</w:t>
      </w:r>
      <w:r w:rsidR="00E86705">
        <w:t xml:space="preserve"> s’il veut démontrer qu’un tiers a construit sur son terrain</w:t>
      </w:r>
      <w:r w:rsidR="00AF417A">
        <w:t>.</w:t>
      </w:r>
    </w:p>
    <w:p w14:paraId="6E57F21B" w14:textId="77777777" w:rsidR="0074109A" w:rsidRDefault="0074109A" w:rsidP="00624376"/>
    <w:p w14:paraId="2F2A94BD" w14:textId="45DE9A63" w:rsidR="0074109A" w:rsidRDefault="005253B8" w:rsidP="00624376">
      <w:r>
        <w:t>La suite de la disposition règle deux hypothèses distinctes : celle où le propriétaire a construit lui-même, mais avec les matériaux d’autrui (</w:t>
      </w:r>
      <w:r w:rsidR="008656C0">
        <w:t xml:space="preserve">renversement de la présomption </w:t>
      </w:r>
      <w:r w:rsidR="009D1012">
        <w:t xml:space="preserve">visée au </w:t>
      </w:r>
      <w:r w:rsidR="008656C0">
        <w:t>2°</w:t>
      </w:r>
      <w:r w:rsidR="00F73EB6">
        <w:t xml:space="preserve"> –</w:t>
      </w:r>
      <w:r w:rsidR="00DC0A68">
        <w:t xml:space="preserve"> C. civ., art. 3.64, § 3</w:t>
      </w:r>
      <w:r w:rsidR="008656C0">
        <w:t>)</w:t>
      </w:r>
      <w:r w:rsidR="009D1012">
        <w:t>,</w:t>
      </w:r>
      <w:r w:rsidR="008656C0">
        <w:t xml:space="preserve"> et celle où </w:t>
      </w:r>
      <w:r w:rsidR="009D1012">
        <w:t>un tiers a construit sur le fonds du propriétaire</w:t>
      </w:r>
      <w:r w:rsidR="00F22F33">
        <w:t xml:space="preserve"> </w:t>
      </w:r>
      <w:r w:rsidR="009D1012">
        <w:t>(renversement de la présomption visée au 1°</w:t>
      </w:r>
      <w:r w:rsidR="00F73EB6">
        <w:t xml:space="preserve"> – </w:t>
      </w:r>
      <w:r w:rsidR="00DC0A68">
        <w:t>C. civ., art. 3.64, § 4</w:t>
      </w:r>
      <w:r w:rsidR="009D1012">
        <w:t>).</w:t>
      </w:r>
      <w:r w:rsidR="00B55559">
        <w:t xml:space="preserve"> Les travaux préparatoires indiquent que </w:t>
      </w:r>
      <w:r w:rsidR="00154E85">
        <w:t xml:space="preserve">dans une hypothèse comme </w:t>
      </w:r>
      <w:r w:rsidR="00154E85">
        <w:lastRenderedPageBreak/>
        <w:t>dans l’autre, la qualité du tiers importe peu, en ce sens qu’</w:t>
      </w:r>
      <w:r w:rsidR="00326322">
        <w:t xml:space="preserve">il </w:t>
      </w:r>
      <w:r w:rsidR="00043C2E">
        <w:t>désigne « toute autre personne que le propriétaire du fonds »</w:t>
      </w:r>
      <w:r w:rsidR="00043C2E">
        <w:rPr>
          <w:rStyle w:val="Appelnotedebasdep"/>
        </w:rPr>
        <w:footnoteReference w:id="107"/>
      </w:r>
      <w:r w:rsidR="00043C2E">
        <w:t>.</w:t>
      </w:r>
    </w:p>
    <w:p w14:paraId="74B9B82C" w14:textId="13DB536B" w:rsidR="00B74E00" w:rsidRDefault="00B74E00" w:rsidP="00624376"/>
    <w:p w14:paraId="601BE4D8" w14:textId="18C31DAF" w:rsidR="00B74E00" w:rsidRDefault="00713B44" w:rsidP="00624376">
      <w:r>
        <w:t>Si l</w:t>
      </w:r>
      <w:r w:rsidR="004E5BF4">
        <w:t>’ouvrage a été réalisé par le propriétaire, au moyen de</w:t>
      </w:r>
      <w:r w:rsidR="00BA4E8C">
        <w:t>s</w:t>
      </w:r>
      <w:r w:rsidR="004E5BF4">
        <w:t xml:space="preserve"> matériaux d’un tiers</w:t>
      </w:r>
      <w:r w:rsidR="00224E95">
        <w:t>, nul ne peut exiger l’enlèvement des matériaux</w:t>
      </w:r>
      <w:r w:rsidR="00773317">
        <w:t xml:space="preserve"> (C. civ., art. 3.64, </w:t>
      </w:r>
      <w:r w:rsidR="00187653">
        <w:t xml:space="preserve">§ 3, </w:t>
      </w:r>
      <w:r w:rsidR="0083134E">
        <w:rPr>
          <w:i/>
          <w:iCs/>
        </w:rPr>
        <w:t>ab initio</w:t>
      </w:r>
      <w:r w:rsidR="0083134E">
        <w:t>)</w:t>
      </w:r>
      <w:r w:rsidR="00773317">
        <w:t>.</w:t>
      </w:r>
      <w:r w:rsidR="00187653">
        <w:t xml:space="preserve"> </w:t>
      </w:r>
      <w:r w:rsidR="00B74E00">
        <w:t xml:space="preserve">Plus exactement, le propriétaire </w:t>
      </w:r>
      <w:r w:rsidR="00392213">
        <w:t>pourra les enlever</w:t>
      </w:r>
      <w:r w:rsidR="00B74E00">
        <w:t xml:space="preserve"> s’il le désire</w:t>
      </w:r>
      <w:r w:rsidR="00187653">
        <w:t>,</w:t>
      </w:r>
      <w:r w:rsidR="00B74E00">
        <w:t xml:space="preserve"> puisqu’il en est </w:t>
      </w:r>
      <w:r w:rsidR="00392213">
        <w:t xml:space="preserve">devenu </w:t>
      </w:r>
      <w:r w:rsidR="00B74E00">
        <w:t>propriétaire</w:t>
      </w:r>
      <w:r w:rsidR="00392213">
        <w:t xml:space="preserve"> par accession</w:t>
      </w:r>
      <w:r w:rsidR="00B74E00">
        <w:t xml:space="preserve">, mais il ne pourra forcer le tiers à les récupérer. </w:t>
      </w:r>
      <w:r w:rsidR="005926A7">
        <w:t>En toute hypothèse, le tiers</w:t>
      </w:r>
      <w:r w:rsidR="0075495E">
        <w:t xml:space="preserve"> à qui appartenaient les matériaux</w:t>
      </w:r>
      <w:r w:rsidR="005926A7">
        <w:t xml:space="preserve"> </w:t>
      </w:r>
      <w:proofErr w:type="gramStart"/>
      <w:r w:rsidR="005926A7">
        <w:t>a</w:t>
      </w:r>
      <w:proofErr w:type="gramEnd"/>
      <w:r w:rsidR="005926A7">
        <w:t xml:space="preserve"> droit à une indemnité fondée sur l’enrichissement injustifié</w:t>
      </w:r>
      <w:r w:rsidR="009A7161">
        <w:t>, sans préjudice des règles relatives à la responsabilité extracontractuelle</w:t>
      </w:r>
      <w:r w:rsidR="005926A7">
        <w:t xml:space="preserve"> (</w:t>
      </w:r>
      <w:r w:rsidR="009A7161">
        <w:t>C</w:t>
      </w:r>
      <w:r w:rsidR="0092138C">
        <w:t>.</w:t>
      </w:r>
      <w:r w:rsidR="009A7161">
        <w:t xml:space="preserve"> civ., art. 3.64, § 3, </w:t>
      </w:r>
      <w:r w:rsidR="009A7161">
        <w:rPr>
          <w:i/>
          <w:iCs/>
        </w:rPr>
        <w:t>in fine</w:t>
      </w:r>
      <w:r w:rsidR="009A7161">
        <w:t>).</w:t>
      </w:r>
    </w:p>
    <w:p w14:paraId="4A8E24A8" w14:textId="4A212C7A" w:rsidR="0075495E" w:rsidRDefault="0075495E" w:rsidP="00624376"/>
    <w:p w14:paraId="75B4304A" w14:textId="1D742597" w:rsidR="0075495E" w:rsidRDefault="0087177E" w:rsidP="00624376">
      <w:r>
        <w:t xml:space="preserve">Si, au contraire, c’est un tiers qui a construit sur le fonds du propriétaire (à l’aide de </w:t>
      </w:r>
      <w:r w:rsidR="00D62EFC">
        <w:t>s</w:t>
      </w:r>
      <w:r>
        <w:t xml:space="preserve">es propres </w:t>
      </w:r>
      <w:r w:rsidR="00D62EFC">
        <w:t>matériaux</w:t>
      </w:r>
      <w:r>
        <w:t xml:space="preserve"> ou même de ceux d’un autre</w:t>
      </w:r>
      <w:r>
        <w:rPr>
          <w:rStyle w:val="Appelnotedebasdep"/>
        </w:rPr>
        <w:footnoteReference w:id="108"/>
      </w:r>
      <w:r>
        <w:t xml:space="preserve">), </w:t>
      </w:r>
      <w:r w:rsidR="00831375">
        <w:t>le Code invite à distinguer selon que le constructeur a agi de bonne</w:t>
      </w:r>
      <w:r w:rsidR="003A0F2A">
        <w:t xml:space="preserve"> ou de mauvaise foi (c’est-à-dire </w:t>
      </w:r>
      <w:r w:rsidR="00630ADA">
        <w:t>selon qu’il</w:t>
      </w:r>
      <w:r w:rsidR="00C87FFC">
        <w:t xml:space="preserve"> ignorait ou selon qu’il</w:t>
      </w:r>
      <w:r w:rsidR="00630ADA">
        <w:t xml:space="preserve"> savait ou devait savoir qu’il n’était pas propriétaire du fonds</w:t>
      </w:r>
      <w:r w:rsidR="00C87FFC">
        <w:rPr>
          <w:rStyle w:val="Appelnotedebasdep"/>
        </w:rPr>
        <w:footnoteReference w:id="109"/>
      </w:r>
      <w:r w:rsidR="00C87FFC">
        <w:t>)</w:t>
      </w:r>
      <w:r w:rsidR="00E50EF5">
        <w:t>.</w:t>
      </w:r>
    </w:p>
    <w:p w14:paraId="0BD2CC61" w14:textId="30F75365" w:rsidR="003D6D0F" w:rsidRDefault="003D6D0F" w:rsidP="00624376"/>
    <w:p w14:paraId="1B471F56" w14:textId="09AD9EEE" w:rsidR="003D6D0F" w:rsidRDefault="003D6D0F" w:rsidP="00624376">
      <w:r>
        <w:t xml:space="preserve">S’il était de bonne foi, les principes applicables sont les mêmes que ceux </w:t>
      </w:r>
      <w:r w:rsidR="001B5E0B">
        <w:t xml:space="preserve">exposés ci-dessus. L’article 3.64, § 4, du Code civil indique que le propriétaire ne peut exiger l’enlèvement et qu’il </w:t>
      </w:r>
      <w:r w:rsidR="00F511BB">
        <w:t>doit une indemnité</w:t>
      </w:r>
      <w:r w:rsidR="00E87ADB">
        <w:t xml:space="preserve"> fondée sur l’enrichissement injustifié au constructeur. </w:t>
      </w:r>
      <w:r w:rsidR="00655D2A">
        <w:t xml:space="preserve">Quant à la question de savoir si le constructeur lui-même pourrait exiger l’enlèvement des matériaux, elle semble appeler une réponse négative malgré le silence de la loi, car </w:t>
      </w:r>
      <w:r w:rsidR="00AC7151">
        <w:t xml:space="preserve">comme le souligne A. Despret, </w:t>
      </w:r>
      <w:r w:rsidR="00630C09">
        <w:t>le propriétaire du fonds est devenu propriétaire des biens</w:t>
      </w:r>
      <w:r w:rsidR="00AC7151">
        <w:t xml:space="preserve"> conformément à l’effet immédiat de l’accession établi à l’article 3.55 du Code (</w:t>
      </w:r>
      <w:r w:rsidR="00AC7151">
        <w:rPr>
          <w:i/>
          <w:iCs/>
        </w:rPr>
        <w:t>supra</w:t>
      </w:r>
      <w:r w:rsidR="00AC7151">
        <w:t xml:space="preserve">, n° </w:t>
      </w:r>
      <w:r w:rsidR="006F6248">
        <w:t>19</w:t>
      </w:r>
      <w:r w:rsidR="00AC7151">
        <w:t>)</w:t>
      </w:r>
      <w:r w:rsidR="00AC7151">
        <w:rPr>
          <w:rStyle w:val="Appelnotedebasdep"/>
        </w:rPr>
        <w:footnoteReference w:id="110"/>
      </w:r>
      <w:r w:rsidR="00AC7151">
        <w:t>.</w:t>
      </w:r>
    </w:p>
    <w:p w14:paraId="3213503C" w14:textId="29F9E2EB" w:rsidR="007A16A5" w:rsidRDefault="007A16A5" w:rsidP="00624376"/>
    <w:p w14:paraId="0F3B9BFA" w14:textId="2A24EE8E" w:rsidR="00065FE3" w:rsidRDefault="007A16A5" w:rsidP="00624376">
      <w:r>
        <w:t xml:space="preserve">Si, à l’inverse, le tiers constructeur était de mauvaise foi, </w:t>
      </w:r>
      <w:r w:rsidR="00DD696E">
        <w:t xml:space="preserve">l’article 3.64, § 4, du Code civil autorise </w:t>
      </w:r>
      <w:r w:rsidR="00912A1E">
        <w:t xml:space="preserve">le propriétaire </w:t>
      </w:r>
      <w:r w:rsidR="00DD696E">
        <w:t>à exiger l’enlèvement de l’ouvrage</w:t>
      </w:r>
      <w:r w:rsidR="00912A1E">
        <w:t xml:space="preserve"> aux frais </w:t>
      </w:r>
      <w:r w:rsidR="0044589E">
        <w:t>du</w:t>
      </w:r>
      <w:r w:rsidR="00912A1E">
        <w:t xml:space="preserve"> tiers, quoique les travaux préparatoires rappellent que ce droit ne pourra </w:t>
      </w:r>
      <w:r w:rsidR="003D4E3F">
        <w:t xml:space="preserve">pas </w:t>
      </w:r>
      <w:r w:rsidR="00912A1E">
        <w:t xml:space="preserve">être exercé </w:t>
      </w:r>
      <w:r w:rsidR="003D4E3F">
        <w:t>de manière abusive, ni s’il y a</w:t>
      </w:r>
      <w:r w:rsidR="007330CC">
        <w:t xml:space="preserve"> impossibilité technique d’enlèvement</w:t>
      </w:r>
      <w:r w:rsidR="003D4E3F">
        <w:rPr>
          <w:rStyle w:val="Appelnotedebasdep"/>
        </w:rPr>
        <w:footnoteReference w:id="111"/>
      </w:r>
      <w:r w:rsidR="007330CC">
        <w:t>.</w:t>
      </w:r>
      <w:r w:rsidR="00D007C7">
        <w:t xml:space="preserve"> Si les ouvrages ne sont pas enlevés</w:t>
      </w:r>
      <w:r w:rsidR="009B15F4">
        <w:t xml:space="preserve"> (que ce soit par choix ou non, semble-t-il)</w:t>
      </w:r>
      <w:r w:rsidR="00D007C7">
        <w:t>, le propriétaire est tenu d’indemniser le tiers de mauvaise foi sur pied de l’enrichissement injustifié.</w:t>
      </w:r>
    </w:p>
    <w:p w14:paraId="65E07DCC" w14:textId="77777777" w:rsidR="009B15F4" w:rsidRDefault="009B15F4" w:rsidP="00624376"/>
    <w:p w14:paraId="7A3E106D" w14:textId="51429D92" w:rsidR="00520431" w:rsidRDefault="00933CF2" w:rsidP="00624376">
      <w:r>
        <w:t>Clôturons ces quelques mots sur l’accession immobilière artificielle en soulignant que l</w:t>
      </w:r>
      <w:r w:rsidR="00C10C45">
        <w:t xml:space="preserve">’article 3.64 du Code civil ne </w:t>
      </w:r>
      <w:r>
        <w:t>s’applique pas aux</w:t>
      </w:r>
      <w:r w:rsidR="00380956">
        <w:t xml:space="preserve"> cas</w:t>
      </w:r>
      <w:r>
        <w:t xml:space="preserve"> d’empiètement, </w:t>
      </w:r>
      <w:r w:rsidR="00E402D8">
        <w:t>lesquels disposent d’une réglementation propre à l’</w:t>
      </w:r>
      <w:r w:rsidR="00380956">
        <w:t>article 3.62</w:t>
      </w:r>
      <w:r w:rsidR="00E402D8">
        <w:t xml:space="preserve"> du Code civil</w:t>
      </w:r>
      <w:r w:rsidR="00380956">
        <w:t xml:space="preserve"> (</w:t>
      </w:r>
      <w:r w:rsidR="00380956">
        <w:rPr>
          <w:i/>
          <w:iCs/>
        </w:rPr>
        <w:t>infra</w:t>
      </w:r>
      <w:r w:rsidR="00380956">
        <w:t xml:space="preserve">, n° </w:t>
      </w:r>
      <w:r w:rsidR="006F6248">
        <w:t>24</w:t>
      </w:r>
      <w:r w:rsidR="00380956">
        <w:t>).</w:t>
      </w:r>
    </w:p>
    <w:p w14:paraId="333E8D86" w14:textId="01C81A30" w:rsidR="00B251CF" w:rsidRDefault="00B251CF" w:rsidP="00624376"/>
    <w:p w14:paraId="7403BC40" w14:textId="251027D1" w:rsidR="006831A9" w:rsidRDefault="005E15C7" w:rsidP="00624376">
      <w:r>
        <w:rPr>
          <w:b/>
          <w:bCs/>
        </w:rPr>
        <w:t>2</w:t>
      </w:r>
      <w:r w:rsidR="00100DEF">
        <w:rPr>
          <w:b/>
          <w:bCs/>
        </w:rPr>
        <w:t>3</w:t>
      </w:r>
      <w:r w:rsidR="00B251CF">
        <w:rPr>
          <w:b/>
          <w:bCs/>
        </w:rPr>
        <w:t>.</w:t>
      </w:r>
      <w:r w:rsidR="00771480">
        <w:rPr>
          <w:b/>
          <w:bCs/>
        </w:rPr>
        <w:t xml:space="preserve"> </w:t>
      </w:r>
      <w:r w:rsidR="00771480">
        <w:t>L’accession immobilière peut encore être « naturelle »</w:t>
      </w:r>
      <w:r w:rsidR="00281B75">
        <w:t>, en ce sens qu’elle résulte de l’</w:t>
      </w:r>
      <w:r w:rsidR="00AD4EE5">
        <w:t xml:space="preserve">écoulement </w:t>
      </w:r>
      <w:r w:rsidR="00281B75">
        <w:t xml:space="preserve">naturel </w:t>
      </w:r>
      <w:r w:rsidR="00AD4EE5">
        <w:t xml:space="preserve">de l’eau. </w:t>
      </w:r>
      <w:r w:rsidR="00B527BF">
        <w:t>Une seule disposition</w:t>
      </w:r>
      <w:r w:rsidR="00E03889">
        <w:t>, l’article 3.65</w:t>
      </w:r>
      <w:r w:rsidR="0092138C">
        <w:t xml:space="preserve"> du Code civil</w:t>
      </w:r>
      <w:r w:rsidR="00E03889">
        <w:t>,</w:t>
      </w:r>
      <w:r w:rsidR="00B527BF">
        <w:t xml:space="preserve"> vient remplacer les articles 556 à </w:t>
      </w:r>
      <w:r w:rsidR="00D24FAF">
        <w:t>563 qui, dans l’ancien Code civil,</w:t>
      </w:r>
      <w:r w:rsidR="003B5769">
        <w:t xml:space="preserve"> organisaient la matière. L’heure est à la simplification, </w:t>
      </w:r>
      <w:r w:rsidR="0005670D">
        <w:t>par l’énonciation de deux principes</w:t>
      </w:r>
      <w:r w:rsidR="00FB4441">
        <w:t xml:space="preserve">. </w:t>
      </w:r>
    </w:p>
    <w:p w14:paraId="67B17F52" w14:textId="77777777" w:rsidR="006831A9" w:rsidRDefault="006831A9" w:rsidP="00624376"/>
    <w:p w14:paraId="6AED032E" w14:textId="27A6598E" w:rsidR="0005670D" w:rsidRDefault="0005670D" w:rsidP="00624376">
      <w:r>
        <w:lastRenderedPageBreak/>
        <w:t>Le premier concerne les</w:t>
      </w:r>
      <w:r w:rsidR="00922ACB">
        <w:t xml:space="preserve"> phénomènes d</w:t>
      </w:r>
      <w:r w:rsidR="00495B5A">
        <w:t>’alluvion</w:t>
      </w:r>
      <w:r>
        <w:t>.</w:t>
      </w:r>
      <w:r w:rsidR="00495B5A">
        <w:t xml:space="preserve"> </w:t>
      </w:r>
      <w:r>
        <w:t>L</w:t>
      </w:r>
      <w:r w:rsidR="00FB4441">
        <w:t xml:space="preserve">’article 3.65 du Code civil </w:t>
      </w:r>
      <w:r w:rsidR="00495B5A">
        <w:t xml:space="preserve">détermine que </w:t>
      </w:r>
      <w:r w:rsidR="007B5C51" w:rsidRPr="00495B5A">
        <w:t>«</w:t>
      </w:r>
      <w:r w:rsidR="00495B5A" w:rsidRPr="00495B5A">
        <w:t xml:space="preserve"> l</w:t>
      </w:r>
      <w:r w:rsidR="007B5C51" w:rsidRPr="00495B5A">
        <w:t xml:space="preserve">a propriété s'étend aux parcelles qui se libèrent ou s'accroissent par l'effet durable de l'eau sans intervention du propriétaire riverain concerné, pour autant que le droit de propriété ne soit pas exercé d'une manière incompatible avec la </w:t>
      </w:r>
      <w:r w:rsidR="007B5C51" w:rsidRPr="00814982">
        <w:t>destination publique du cours d'eau »</w:t>
      </w:r>
      <w:r w:rsidR="006831A9" w:rsidRPr="00814982">
        <w:t xml:space="preserve"> (</w:t>
      </w:r>
      <w:r w:rsidR="00814982">
        <w:t xml:space="preserve">C. civ., art. 3.65, </w:t>
      </w:r>
      <w:r w:rsidR="006831A9" w:rsidRPr="00814982">
        <w:t>al. 1</w:t>
      </w:r>
      <w:r w:rsidR="006831A9" w:rsidRPr="00814982">
        <w:rPr>
          <w:vertAlign w:val="superscript"/>
        </w:rPr>
        <w:t>er</w:t>
      </w:r>
      <w:r w:rsidR="006831A9" w:rsidRPr="00814982">
        <w:t xml:space="preserve">). </w:t>
      </w:r>
      <w:r>
        <w:t xml:space="preserve">Autrement dit, </w:t>
      </w:r>
      <w:r w:rsidR="00B55791">
        <w:t xml:space="preserve">chaque propriétaire riverain d’un cours d’eau </w:t>
      </w:r>
      <w:r>
        <w:t>«</w:t>
      </w:r>
      <w:r w:rsidR="00BC6C78">
        <w:t xml:space="preserve"> supporte le risque ou la chance des circonstances naturelles qui ont une influence sur son droit de propriété, pour autant évidemment qu’elles ne lui soient pas imputables »</w:t>
      </w:r>
      <w:r w:rsidR="00BC6C78">
        <w:rPr>
          <w:rStyle w:val="Appelnotedebasdep"/>
        </w:rPr>
        <w:footnoteReference w:id="112"/>
      </w:r>
      <w:r w:rsidR="00BC6C78">
        <w:t>.</w:t>
      </w:r>
    </w:p>
    <w:p w14:paraId="0E7F5524" w14:textId="77777777" w:rsidR="0005670D" w:rsidRDefault="0005670D" w:rsidP="00624376"/>
    <w:p w14:paraId="74A14201" w14:textId="4EA80A1D" w:rsidR="00B251CF" w:rsidRPr="00771480" w:rsidRDefault="00BC6C78" w:rsidP="00624376">
      <w:r>
        <w:t xml:space="preserve">Le second concerne les </w:t>
      </w:r>
      <w:r w:rsidR="006831A9" w:rsidRPr="00814982">
        <w:t>îles</w:t>
      </w:r>
      <w:r w:rsidR="00814982" w:rsidRPr="00814982">
        <w:t xml:space="preserve"> qui se forment dans le lit d’un cours d’eau</w:t>
      </w:r>
      <w:r>
        <w:t>.</w:t>
      </w:r>
      <w:r w:rsidR="006831A9" w:rsidRPr="00814982">
        <w:t xml:space="preserve"> </w:t>
      </w:r>
      <w:r>
        <w:t>En principe, celles-ci</w:t>
      </w:r>
      <w:r w:rsidR="00814982" w:rsidRPr="00814982">
        <w:t xml:space="preserve"> </w:t>
      </w:r>
      <w:r w:rsidR="006831A9" w:rsidRPr="00814982">
        <w:t>« </w:t>
      </w:r>
      <w:r w:rsidR="00814982" w:rsidRPr="00814982">
        <w:t>appartiennent à celui qui est propriétaire du cours d'eau au milieu duquel elles se sont formées », sous une réserve : « si un cours d'eau, en formant un bras nouveau, coupe le terrain d'un propriétaire riverain, et en fait une île, ce propriétaire conserve la propriété de son terrain » (</w:t>
      </w:r>
      <w:r w:rsidR="00814982">
        <w:t xml:space="preserve">C. civ., art. 3.65, </w:t>
      </w:r>
      <w:r w:rsidR="00814982" w:rsidRPr="00814982">
        <w:t>al. 2).</w:t>
      </w:r>
    </w:p>
    <w:p w14:paraId="6C3873D9" w14:textId="77777777" w:rsidR="009B15F4" w:rsidRPr="009B15F4" w:rsidRDefault="009B15F4" w:rsidP="00B55685"/>
    <w:p w14:paraId="3B570DF5" w14:textId="75017F83" w:rsidR="00907D2D" w:rsidRDefault="00907D2D" w:rsidP="00907D2D">
      <w:pPr>
        <w:pStyle w:val="Paragraphedeliste"/>
        <w:numPr>
          <w:ilvl w:val="1"/>
          <w:numId w:val="1"/>
        </w:numPr>
        <w:rPr>
          <w:b/>
          <w:bCs/>
          <w:sz w:val="24"/>
          <w:szCs w:val="24"/>
        </w:rPr>
      </w:pPr>
      <w:r w:rsidRPr="00907D2D">
        <w:rPr>
          <w:b/>
          <w:bCs/>
          <w:sz w:val="24"/>
          <w:szCs w:val="24"/>
        </w:rPr>
        <w:t>Empiètement</w:t>
      </w:r>
    </w:p>
    <w:p w14:paraId="296F9DAA" w14:textId="77777777" w:rsidR="001538D4" w:rsidRDefault="001538D4" w:rsidP="00B55685"/>
    <w:p w14:paraId="03224C93" w14:textId="06129471" w:rsidR="00EC41FC" w:rsidRPr="00BA680F" w:rsidRDefault="005E15C7" w:rsidP="00A82D5C">
      <w:r>
        <w:rPr>
          <w:b/>
          <w:bCs/>
        </w:rPr>
        <w:t>2</w:t>
      </w:r>
      <w:r w:rsidR="00100DEF">
        <w:rPr>
          <w:b/>
          <w:bCs/>
        </w:rPr>
        <w:t>4</w:t>
      </w:r>
      <w:r w:rsidR="0080200D">
        <w:rPr>
          <w:b/>
          <w:bCs/>
        </w:rPr>
        <w:t xml:space="preserve">. </w:t>
      </w:r>
      <w:r w:rsidR="000A0E28">
        <w:t xml:space="preserve">L’empiètement, c’est-à-dire l’hypothèse dans laquelle </w:t>
      </w:r>
      <w:r w:rsidR="000A0E28" w:rsidRPr="00EA31C0">
        <w:t>« </w:t>
      </w:r>
      <w:r w:rsidR="00EA31C0" w:rsidRPr="00EA31C0">
        <w:t xml:space="preserve">un ouvrage est réalisé </w:t>
      </w:r>
      <w:r w:rsidR="00EA31C0" w:rsidRPr="008C4BD0">
        <w:rPr>
          <w:i/>
          <w:iCs/>
        </w:rPr>
        <w:t>en partie</w:t>
      </w:r>
      <w:r w:rsidR="00EA31C0" w:rsidRPr="00EA31C0">
        <w:t xml:space="preserve"> sur, au-dessus ou en dessous du fonds du voisin</w:t>
      </w:r>
      <w:r w:rsidR="00EA31C0">
        <w:t> »</w:t>
      </w:r>
      <w:r w:rsidR="00EA31C0">
        <w:rPr>
          <w:rStyle w:val="Appelnotedebasdep"/>
        </w:rPr>
        <w:footnoteReference w:id="113"/>
      </w:r>
      <w:r w:rsidR="00C45CFF">
        <w:t xml:space="preserve">, fait l’objet d’une réglementation </w:t>
      </w:r>
      <w:r w:rsidR="00DC4038">
        <w:t xml:space="preserve">spécifique </w:t>
      </w:r>
      <w:r w:rsidR="00C45CFF">
        <w:t>à l’article 3.62 du Code civil</w:t>
      </w:r>
      <w:r w:rsidR="00E517E4">
        <w:t xml:space="preserve">. Celle-ci constitue </w:t>
      </w:r>
      <w:r w:rsidR="00C45CFF">
        <w:t xml:space="preserve">une </w:t>
      </w:r>
      <w:r w:rsidR="00C45CFF" w:rsidRPr="008C4BD0">
        <w:rPr>
          <w:i/>
          <w:iCs/>
        </w:rPr>
        <w:t>lex specialis</w:t>
      </w:r>
      <w:r w:rsidR="00C45CFF">
        <w:t xml:space="preserve"> </w:t>
      </w:r>
      <w:r w:rsidR="00DC4038">
        <w:t xml:space="preserve">dérogatoire </w:t>
      </w:r>
      <w:r w:rsidR="00BA680F">
        <w:t>aux règles de l’accession immobilière énoncées ci-dessus (</w:t>
      </w:r>
      <w:r w:rsidR="00BA680F" w:rsidRPr="006F6248">
        <w:rPr>
          <w:i/>
          <w:iCs/>
        </w:rPr>
        <w:t>supra</w:t>
      </w:r>
      <w:r w:rsidR="00BA680F">
        <w:t xml:space="preserve">, n° </w:t>
      </w:r>
      <w:r w:rsidR="00BC3966">
        <w:t>22</w:t>
      </w:r>
      <w:r w:rsidR="00BA680F">
        <w:t>)</w:t>
      </w:r>
      <w:r w:rsidR="00BA680F">
        <w:rPr>
          <w:rStyle w:val="Appelnotedebasdep"/>
        </w:rPr>
        <w:footnoteReference w:id="114"/>
      </w:r>
      <w:r w:rsidR="00BA680F">
        <w:t>.</w:t>
      </w:r>
    </w:p>
    <w:p w14:paraId="18DC79A6" w14:textId="725104BB" w:rsidR="00EC41FC" w:rsidRDefault="00EC41FC" w:rsidP="00A82D5C">
      <w:pPr>
        <w:rPr>
          <w:b/>
          <w:bCs/>
        </w:rPr>
      </w:pPr>
    </w:p>
    <w:p w14:paraId="292F6B4D" w14:textId="043267E8" w:rsidR="00F215F4" w:rsidRDefault="000948CF" w:rsidP="00A82D5C">
      <w:r>
        <w:t>En principe, le propriétaire qui subit l’empiètement peut en exiger l’enlèvement (C. civ., art. 3.62, § 1</w:t>
      </w:r>
      <w:r w:rsidRPr="000948CF">
        <w:rPr>
          <w:vertAlign w:val="superscript"/>
        </w:rPr>
        <w:t>er</w:t>
      </w:r>
      <w:r>
        <w:t>, al. 1</w:t>
      </w:r>
      <w:r w:rsidRPr="000948CF">
        <w:rPr>
          <w:vertAlign w:val="superscript"/>
        </w:rPr>
        <w:t>er</w:t>
      </w:r>
      <w:r>
        <w:t xml:space="preserve"> et § 2, al. 1</w:t>
      </w:r>
      <w:r w:rsidRPr="000948CF">
        <w:rPr>
          <w:vertAlign w:val="superscript"/>
        </w:rPr>
        <w:t>er</w:t>
      </w:r>
      <w:r>
        <w:t>).</w:t>
      </w:r>
      <w:r w:rsidR="00D608B7">
        <w:t xml:space="preserve"> Ce principe connait toutefois</w:t>
      </w:r>
      <w:r w:rsidR="00150619">
        <w:t xml:space="preserve"> deux</w:t>
      </w:r>
      <w:r w:rsidR="00D608B7">
        <w:t xml:space="preserve"> exceptions.</w:t>
      </w:r>
    </w:p>
    <w:p w14:paraId="32A9E960" w14:textId="3B6AE6A9" w:rsidR="00D608B7" w:rsidRDefault="00D608B7" w:rsidP="00A82D5C"/>
    <w:p w14:paraId="0F1FB29F" w14:textId="27BB59EC" w:rsidR="00D608B7" w:rsidRDefault="00150619" w:rsidP="00A82D5C">
      <w:r>
        <w:t>D’une part</w:t>
      </w:r>
      <w:r w:rsidR="00D608B7">
        <w:t xml:space="preserve">, si </w:t>
      </w:r>
      <w:r w:rsidR="00156751">
        <w:t>l’</w:t>
      </w:r>
      <w:r w:rsidR="0004690B">
        <w:t xml:space="preserve">empiètement est fondé sur </w:t>
      </w:r>
      <w:r w:rsidR="00156751">
        <w:t>un titre</w:t>
      </w:r>
      <w:r w:rsidR="0004690B">
        <w:t xml:space="preserve"> légal</w:t>
      </w:r>
      <w:r w:rsidR="00A90D48">
        <w:rPr>
          <w:rStyle w:val="Appelnotedebasdep"/>
        </w:rPr>
        <w:footnoteReference w:id="115"/>
      </w:r>
      <w:r w:rsidR="0004690B">
        <w:t xml:space="preserve"> ou conventionnel</w:t>
      </w:r>
      <w:r w:rsidR="00A90D48">
        <w:rPr>
          <w:rStyle w:val="Appelnotedebasdep"/>
        </w:rPr>
        <w:footnoteReference w:id="116"/>
      </w:r>
      <w:r w:rsidR="0004690B">
        <w:t xml:space="preserve">, </w:t>
      </w:r>
      <w:r w:rsidR="00BA087E">
        <w:t xml:space="preserve">l’enlèvement ne peut </w:t>
      </w:r>
      <w:r w:rsidR="00216E4E">
        <w:t xml:space="preserve">pas </w:t>
      </w:r>
      <w:r w:rsidR="00BA087E">
        <w:t xml:space="preserve">être exigé et c’est le propriétaire empiétant </w:t>
      </w:r>
      <w:r w:rsidR="001E7F85">
        <w:t>que la loi désigne comme</w:t>
      </w:r>
      <w:r w:rsidR="005375CF">
        <w:t xml:space="preserve"> propriétaire de</w:t>
      </w:r>
      <w:r w:rsidR="00DD7731">
        <w:t>s ouvrages</w:t>
      </w:r>
      <w:r w:rsidR="005375CF">
        <w:t xml:space="preserve"> pour la durée de son titre</w:t>
      </w:r>
      <w:r w:rsidR="001E7F85">
        <w:t xml:space="preserve"> </w:t>
      </w:r>
      <w:r w:rsidR="002300FC">
        <w:t xml:space="preserve">si ces ouvrages constituent une composante inhérente </w:t>
      </w:r>
      <w:r w:rsidR="0097692E">
        <w:t xml:space="preserve">d’un ouvrage lui appartenant </w:t>
      </w:r>
      <w:r w:rsidR="001E7F85">
        <w:t>(C. civ., art. 3.62, § 1</w:t>
      </w:r>
      <w:r w:rsidR="001E7F85" w:rsidRPr="001E7F85">
        <w:rPr>
          <w:vertAlign w:val="superscript"/>
        </w:rPr>
        <w:t>er</w:t>
      </w:r>
      <w:r w:rsidR="001E7F85">
        <w:t>)</w:t>
      </w:r>
      <w:r w:rsidR="005375CF">
        <w:t>.</w:t>
      </w:r>
    </w:p>
    <w:p w14:paraId="64ED120C" w14:textId="75DA384A" w:rsidR="00150619" w:rsidRDefault="00150619" w:rsidP="00A82D5C"/>
    <w:p w14:paraId="4FAE583B" w14:textId="40F0D00E" w:rsidR="00150619" w:rsidRDefault="00150619" w:rsidP="00A82D5C">
      <w:r>
        <w:t xml:space="preserve">D’autre part, même si l’empiètement </w:t>
      </w:r>
      <w:r w:rsidR="00AC1556">
        <w:t xml:space="preserve">a </w:t>
      </w:r>
      <w:r w:rsidR="004906E4">
        <w:t>lieu</w:t>
      </w:r>
      <w:r w:rsidR="00AC1556">
        <w:t xml:space="preserve"> </w:t>
      </w:r>
      <w:r w:rsidR="009322B2">
        <w:t xml:space="preserve">sans titre ni droit, </w:t>
      </w:r>
      <w:r w:rsidR="00631B05">
        <w:t>le législateur a voulu prémunir le propriétaire empiétant de l’exercice abusif du droit d’enlèvement que pourrait faire son voisin</w:t>
      </w:r>
      <w:r w:rsidR="00517C1A">
        <w:t>. Le critère pour conclure à l’abus de droit sera différent selon que l’empi</w:t>
      </w:r>
      <w:r w:rsidR="00BB73F6">
        <w:t>è</w:t>
      </w:r>
      <w:r w:rsidR="00517C1A">
        <w:t xml:space="preserve">tement ait été fait de bonne ou de mauvaise foi. Si l’empiètement a </w:t>
      </w:r>
      <w:r w:rsidR="00D57494">
        <w:t xml:space="preserve">eu lieu de bonne foi, le voisin ne pourra pas exiger l’enlèvement </w:t>
      </w:r>
      <w:r w:rsidR="00B8373B">
        <w:t>si</w:t>
      </w:r>
      <w:r w:rsidR="00D57494">
        <w:t xml:space="preserve"> </w:t>
      </w:r>
      <w:r w:rsidR="004E6AA2">
        <w:t>l’empiétant s</w:t>
      </w:r>
      <w:r w:rsidR="00632C4C">
        <w:t>’</w:t>
      </w:r>
      <w:r w:rsidR="004E6AA2">
        <w:t>e</w:t>
      </w:r>
      <w:r w:rsidR="00632C4C">
        <w:t>n</w:t>
      </w:r>
      <w:r w:rsidR="004E6AA2">
        <w:t xml:space="preserve"> trouve « lésé de </w:t>
      </w:r>
      <w:r w:rsidR="00587C8F">
        <w:t>façon</w:t>
      </w:r>
      <w:r w:rsidR="004E6AA2">
        <w:t xml:space="preserve"> disproportionnée »</w:t>
      </w:r>
      <w:r w:rsidR="00587C8F">
        <w:t>. Si</w:t>
      </w:r>
      <w:r w:rsidR="00632C4C">
        <w:t>,</w:t>
      </w:r>
      <w:r w:rsidR="00587C8F">
        <w:t xml:space="preserve"> au contraire, l’empi</w:t>
      </w:r>
      <w:r w:rsidR="00BB73F6">
        <w:t>è</w:t>
      </w:r>
      <w:r w:rsidR="00587C8F">
        <w:t>tement a été fait de mauvaise foi,</w:t>
      </w:r>
      <w:r w:rsidR="00847194">
        <w:t xml:space="preserve"> ce n’est que s</w:t>
      </w:r>
      <w:r w:rsidR="00740898">
        <w:t>’</w:t>
      </w:r>
      <w:r w:rsidR="00847194">
        <w:t xml:space="preserve">il </w:t>
      </w:r>
      <w:r w:rsidR="00847194" w:rsidRPr="00847194">
        <w:t xml:space="preserve">n’y a « ni emprise considérable, ni préjudice potentiel dans </w:t>
      </w:r>
      <w:r w:rsidR="009E300E">
        <w:t>[son]</w:t>
      </w:r>
      <w:r w:rsidR="00847194" w:rsidRPr="00847194">
        <w:t xml:space="preserve"> chef</w:t>
      </w:r>
      <w:r w:rsidR="009E300E">
        <w:t> »</w:t>
      </w:r>
      <w:r w:rsidR="00587C8F">
        <w:t xml:space="preserve"> </w:t>
      </w:r>
      <w:r w:rsidR="009E300E">
        <w:t>que le propriétaire sera privé du droit d’exiger l’enlèvement.</w:t>
      </w:r>
      <w:r w:rsidR="002420CF">
        <w:t xml:space="preserve"> L’empiètement qui </w:t>
      </w:r>
      <w:r w:rsidR="001F617B">
        <w:t>ne serait pas « considérable »</w:t>
      </w:r>
      <w:r w:rsidR="002420CF">
        <w:t xml:space="preserve"> n’a volontairement pas été déterminé de </w:t>
      </w:r>
      <w:r w:rsidR="00216E4E">
        <w:t>manière</w:t>
      </w:r>
      <w:r w:rsidR="002420CF">
        <w:t xml:space="preserve"> mathématique par le législateur, qui trouve plus judicieux que soient appréciées les circonstances de chaque cas d’espèce</w:t>
      </w:r>
      <w:r w:rsidR="002420CF">
        <w:rPr>
          <w:rStyle w:val="Appelnotedebasdep"/>
        </w:rPr>
        <w:footnoteReference w:id="117"/>
      </w:r>
      <w:r w:rsidR="002420CF">
        <w:t>.</w:t>
      </w:r>
      <w:r w:rsidR="009E300E">
        <w:t xml:space="preserve"> </w:t>
      </w:r>
      <w:r w:rsidR="00FB0743">
        <w:t xml:space="preserve">Enfin, </w:t>
      </w:r>
      <w:r w:rsidR="00293BD0">
        <w:t xml:space="preserve">si </w:t>
      </w:r>
      <w:r w:rsidR="00293BD0">
        <w:lastRenderedPageBreak/>
        <w:t>l’enlèvement n’a pas lieu</w:t>
      </w:r>
      <w:r w:rsidR="00D86C03">
        <w:t xml:space="preserve"> car il serait</w:t>
      </w:r>
      <w:r w:rsidR="004906E4">
        <w:t xml:space="preserve"> jugé</w:t>
      </w:r>
      <w:r w:rsidR="00D86C03">
        <w:t xml:space="preserve"> abusif</w:t>
      </w:r>
      <w:r w:rsidR="0041260E">
        <w:t xml:space="preserve">, </w:t>
      </w:r>
      <w:r w:rsidR="00BA0FBA">
        <w:t xml:space="preserve">le propriétaire </w:t>
      </w:r>
      <w:r w:rsidR="00FB0743">
        <w:t>victime</w:t>
      </w:r>
      <w:r w:rsidR="005067F8">
        <w:t xml:space="preserve"> de l’empi</w:t>
      </w:r>
      <w:r w:rsidR="00BB73F6">
        <w:t>è</w:t>
      </w:r>
      <w:r w:rsidR="005067F8">
        <w:t>tement</w:t>
      </w:r>
      <w:r w:rsidR="00BA0FBA">
        <w:t xml:space="preserve"> a le choix</w:t>
      </w:r>
      <w:r w:rsidR="00BC3966">
        <w:t xml:space="preserve"> </w:t>
      </w:r>
      <w:r w:rsidR="00BA0FBA">
        <w:t>de concéder un droit de superficie pour la durée de l’existence de la construction</w:t>
      </w:r>
      <w:r w:rsidR="00AF6362">
        <w:rPr>
          <w:rStyle w:val="Appelnotedebasdep"/>
        </w:rPr>
        <w:footnoteReference w:id="118"/>
      </w:r>
      <w:r w:rsidR="00BA0FBA">
        <w:t xml:space="preserve"> ou de céder la partie de la parcelle nécessaire</w:t>
      </w:r>
      <w:r w:rsidR="007E1B4E">
        <w:t xml:space="preserve">, </w:t>
      </w:r>
      <w:r w:rsidR="00F271D0">
        <w:t xml:space="preserve">dans un cas comme dans l’autre, contre </w:t>
      </w:r>
      <w:r w:rsidR="007E1B4E">
        <w:t>une indemnité fondée sur l’enrichissement sans cause</w:t>
      </w:r>
      <w:r w:rsidR="008F1942">
        <w:t xml:space="preserve"> (C. civ., art. 3.62, § 2)</w:t>
      </w:r>
      <w:r w:rsidR="007E1B4E">
        <w:t>.</w:t>
      </w:r>
      <w:r w:rsidR="00AA2DD4">
        <w:t xml:space="preserve"> </w:t>
      </w:r>
    </w:p>
    <w:p w14:paraId="7D261C83" w14:textId="77777777" w:rsidR="00F97E49" w:rsidRPr="007042F8" w:rsidRDefault="00F97E49" w:rsidP="00B55685"/>
    <w:p w14:paraId="6AD48F51" w14:textId="4D3C3DD3" w:rsidR="00907D2D" w:rsidRDefault="00907D2D" w:rsidP="00907D2D">
      <w:pPr>
        <w:pStyle w:val="Paragraphedeliste"/>
        <w:numPr>
          <w:ilvl w:val="1"/>
          <w:numId w:val="1"/>
        </w:numPr>
        <w:rPr>
          <w:b/>
          <w:bCs/>
          <w:sz w:val="24"/>
          <w:szCs w:val="24"/>
        </w:rPr>
      </w:pPr>
      <w:r w:rsidRPr="00907D2D">
        <w:rPr>
          <w:b/>
          <w:bCs/>
          <w:sz w:val="24"/>
          <w:szCs w:val="24"/>
        </w:rPr>
        <w:t>Transformation</w:t>
      </w:r>
    </w:p>
    <w:p w14:paraId="1F75C4F7" w14:textId="2AE2B08D" w:rsidR="003306E5" w:rsidRDefault="003306E5" w:rsidP="00A85B31"/>
    <w:p w14:paraId="41226347" w14:textId="3FAC0DE8" w:rsidR="003306E5" w:rsidRDefault="005E15C7" w:rsidP="00A85B31">
      <w:r w:rsidRPr="005E15C7">
        <w:rPr>
          <w:b/>
          <w:bCs/>
        </w:rPr>
        <w:t>2</w:t>
      </w:r>
      <w:r w:rsidR="00100DEF">
        <w:rPr>
          <w:b/>
          <w:bCs/>
        </w:rPr>
        <w:t>5</w:t>
      </w:r>
      <w:r w:rsidRPr="005E15C7">
        <w:rPr>
          <w:b/>
          <w:bCs/>
        </w:rPr>
        <w:t>.</w:t>
      </w:r>
      <w:r>
        <w:t xml:space="preserve"> </w:t>
      </w:r>
      <w:r w:rsidR="002129DE">
        <w:t xml:space="preserve">Le </w:t>
      </w:r>
      <w:r w:rsidR="00C171D4">
        <w:t>titre 3 tranche encore un dernier conflit entre propriétaires potentiel</w:t>
      </w:r>
      <w:r w:rsidR="00173932">
        <w:t>s : celui qui oppose le propriétaire d’un bien à la personne qui a transformé ce bien de telle sorte qu’un bien nouveau est créé.</w:t>
      </w:r>
    </w:p>
    <w:p w14:paraId="490C018F" w14:textId="6CA4B040" w:rsidR="00AA5333" w:rsidRDefault="00AA5333" w:rsidP="00A85B31"/>
    <w:p w14:paraId="2B93ADC5" w14:textId="30EAAE6D" w:rsidR="000A0D08" w:rsidRDefault="00A4275B" w:rsidP="00A85B31">
      <w:r>
        <w:t>Pour ce faire, l</w:t>
      </w:r>
      <w:r w:rsidR="00EE0726">
        <w:t xml:space="preserve">’article 3.56 du Code civil rappelle </w:t>
      </w:r>
      <w:r w:rsidR="00466A8A">
        <w:t xml:space="preserve">tout </w:t>
      </w:r>
      <w:r w:rsidR="00EE0726">
        <w:t xml:space="preserve">d’abord </w:t>
      </w:r>
      <w:r w:rsidR="00CC4C60">
        <w:t>un</w:t>
      </w:r>
      <w:r w:rsidR="00466A8A">
        <w:t xml:space="preserve"> principe et </w:t>
      </w:r>
      <w:r w:rsidR="00CC4C60">
        <w:t xml:space="preserve">une </w:t>
      </w:r>
      <w:r w:rsidR="00466A8A">
        <w:t>exception</w:t>
      </w:r>
      <w:r w:rsidR="00724628">
        <w:t xml:space="preserve"> </w:t>
      </w:r>
      <w:r w:rsidR="002F7E47">
        <w:t>déjà énoncé</w:t>
      </w:r>
      <w:r w:rsidR="00662651">
        <w:t>s</w:t>
      </w:r>
      <w:r w:rsidR="00724628">
        <w:t xml:space="preserve"> </w:t>
      </w:r>
      <w:r w:rsidR="00B14FF5">
        <w:t xml:space="preserve">préalablement </w:t>
      </w:r>
      <w:r w:rsidR="00AF6721">
        <w:t xml:space="preserve">dans le Code </w:t>
      </w:r>
      <w:r w:rsidR="00662651">
        <w:t>à l’</w:t>
      </w:r>
      <w:r w:rsidR="00724628">
        <w:t>article 3.11</w:t>
      </w:r>
      <w:r w:rsidR="00435882">
        <w:rPr>
          <w:rStyle w:val="Appelnotedebasdep"/>
        </w:rPr>
        <w:footnoteReference w:id="119"/>
      </w:r>
      <w:r w:rsidR="00435882">
        <w:t xml:space="preserve">. </w:t>
      </w:r>
      <w:r w:rsidR="0022755C">
        <w:t xml:space="preserve"> </w:t>
      </w:r>
      <w:r w:rsidR="00B14FF5">
        <w:t>Le principe est que le</w:t>
      </w:r>
      <w:r w:rsidR="003A369D">
        <w:t xml:space="preserve"> droit de propriété </w:t>
      </w:r>
      <w:r w:rsidR="003351DA">
        <w:t>sur le bien d’origine</w:t>
      </w:r>
      <w:r w:rsidR="003A369D">
        <w:t xml:space="preserve"> </w:t>
      </w:r>
      <w:r w:rsidR="00B14FF5">
        <w:t xml:space="preserve">s’éteint </w:t>
      </w:r>
      <w:r w:rsidR="003351DA">
        <w:t>lorsque celui-ci</w:t>
      </w:r>
      <w:r w:rsidR="00B14FF5">
        <w:t xml:space="preserve"> est transformé </w:t>
      </w:r>
      <w:r w:rsidR="002F20F6">
        <w:t>au point de</w:t>
      </w:r>
      <w:r w:rsidR="00B14FF5">
        <w:t xml:space="preserve"> former un nouveau bien ; </w:t>
      </w:r>
      <w:r w:rsidR="003A369D">
        <w:t xml:space="preserve">l’exception </w:t>
      </w:r>
      <w:r w:rsidR="00B14FF5">
        <w:t>est qu’</w:t>
      </w:r>
      <w:r w:rsidR="00B53440">
        <w:t>au contraire,</w:t>
      </w:r>
      <w:r w:rsidR="003A369D">
        <w:t xml:space="preserve"> le droit subsiste si l</w:t>
      </w:r>
      <w:r w:rsidR="00186E1A">
        <w:t>a valeur du bien excède manifestement le coût du travail et des matériaux de transformation</w:t>
      </w:r>
      <w:r w:rsidR="00165D0D">
        <w:t xml:space="preserve"> et il se reporte </w:t>
      </w:r>
      <w:r w:rsidR="00200AE9">
        <w:t xml:space="preserve">alors </w:t>
      </w:r>
      <w:r w:rsidR="00165D0D">
        <w:t>sur le bien nouveau</w:t>
      </w:r>
      <w:r w:rsidR="00B14FF5">
        <w:t xml:space="preserve"> (C. civ., art. </w:t>
      </w:r>
      <w:r w:rsidR="00165D0D">
        <w:t xml:space="preserve">3.11 </w:t>
      </w:r>
      <w:r w:rsidR="00165D0D">
        <w:rPr>
          <w:i/>
          <w:iCs/>
        </w:rPr>
        <w:t xml:space="preserve">juncto </w:t>
      </w:r>
      <w:r w:rsidR="00B14FF5">
        <w:t>3.56,</w:t>
      </w:r>
      <w:r w:rsidR="000B1943">
        <w:t xml:space="preserve"> </w:t>
      </w:r>
      <w:r w:rsidR="00B14FF5">
        <w:t>al. 1</w:t>
      </w:r>
      <w:r w:rsidR="00B14FF5" w:rsidRPr="00B14FF5">
        <w:rPr>
          <w:vertAlign w:val="superscript"/>
        </w:rPr>
        <w:t>er</w:t>
      </w:r>
      <w:r w:rsidR="000B1943">
        <w:t xml:space="preserve">, </w:t>
      </w:r>
      <w:r w:rsidR="000B1943">
        <w:rPr>
          <w:i/>
          <w:iCs/>
        </w:rPr>
        <w:t>ab initio</w:t>
      </w:r>
      <w:r w:rsidR="000B1943">
        <w:t>)</w:t>
      </w:r>
      <w:r w:rsidR="00186E1A">
        <w:t xml:space="preserve">. </w:t>
      </w:r>
    </w:p>
    <w:p w14:paraId="1169C06F" w14:textId="2108246A" w:rsidR="000A0D08" w:rsidRDefault="000A0D08" w:rsidP="00A85B31"/>
    <w:p w14:paraId="02CA647D" w14:textId="6148E6A1" w:rsidR="00F069F7" w:rsidRDefault="000A0D08" w:rsidP="006C5CAE">
      <w:r>
        <w:t xml:space="preserve">Si le principe est appliqué, il </w:t>
      </w:r>
      <w:r w:rsidR="001223DF">
        <w:t>faut</w:t>
      </w:r>
      <w:r>
        <w:t xml:space="preserve"> considér</w:t>
      </w:r>
      <w:r w:rsidR="00541424">
        <w:t>er</w:t>
      </w:r>
      <w:r>
        <w:t xml:space="preserve"> que la personne qui a transformé le bien en devient propriétaire. </w:t>
      </w:r>
      <w:r w:rsidR="001C2394">
        <w:t xml:space="preserve">La disposition ne le consacre pas expressément, mais cela </w:t>
      </w:r>
      <w:r w:rsidR="0032688A">
        <w:t xml:space="preserve">transparait </w:t>
      </w:r>
      <w:r w:rsidR="002C7FF4">
        <w:t>d</w:t>
      </w:r>
      <w:r w:rsidR="002C7248">
        <w:t>e son second alinéa</w:t>
      </w:r>
      <w:r w:rsidR="0032688A">
        <w:t xml:space="preserve">. Ce dernier indique, en effet, </w:t>
      </w:r>
      <w:r w:rsidR="002C7FF4">
        <w:t xml:space="preserve">que celui qui a transformé le bien peut en devenir propriétaire « en application </w:t>
      </w:r>
      <w:r w:rsidR="00274AAA">
        <w:t>de l’alinéa 1</w:t>
      </w:r>
      <w:r w:rsidR="00274AAA" w:rsidRPr="00274AAA">
        <w:rPr>
          <w:vertAlign w:val="superscript"/>
        </w:rPr>
        <w:t>er</w:t>
      </w:r>
      <w:r w:rsidR="00274AAA">
        <w:t> »</w:t>
      </w:r>
      <w:r w:rsidR="0032688A">
        <w:t xml:space="preserve">, donnant à penser que cette attribution </w:t>
      </w:r>
      <w:r w:rsidR="00724628">
        <w:t xml:space="preserve">est </w:t>
      </w:r>
      <w:r w:rsidR="007A7C7E">
        <w:t xml:space="preserve">sous-entendue </w:t>
      </w:r>
      <w:r w:rsidR="00724628">
        <w:t>par l’extinction du droit du propriétaire originaire</w:t>
      </w:r>
      <w:r w:rsidR="00274AAA">
        <w:t>.</w:t>
      </w:r>
      <w:r w:rsidR="00DB2455">
        <w:t xml:space="preserve"> La lecture des travaux préparatoires </w:t>
      </w:r>
      <w:r w:rsidR="006D5967">
        <w:t>confirme</w:t>
      </w:r>
      <w:r w:rsidR="00DB2455">
        <w:t xml:space="preserve"> cette attribution à la personne qui a transformé le bien</w:t>
      </w:r>
      <w:r w:rsidR="00076877">
        <w:t xml:space="preserve">, insistant sur le fait que cette solution, inverse à celle qui prévalait antérieurement, </w:t>
      </w:r>
      <w:r w:rsidR="0037571A">
        <w:t>va dans le sens d’une importante économie de services</w:t>
      </w:r>
      <w:r w:rsidR="006C5CAE">
        <w:rPr>
          <w:rStyle w:val="Appelnotedebasdep"/>
        </w:rPr>
        <w:footnoteReference w:id="120"/>
      </w:r>
      <w:r w:rsidR="00DB2455">
        <w:t>.</w:t>
      </w:r>
      <w:r w:rsidR="006C5CAE">
        <w:t xml:space="preserve"> On peut toutefois </w:t>
      </w:r>
      <w:r w:rsidR="00887D1B">
        <w:t>se demander comment cette disposition se conjugue avec celle relative aux choses trouvées (</w:t>
      </w:r>
      <w:r w:rsidR="00887D1B">
        <w:rPr>
          <w:i/>
          <w:iCs/>
        </w:rPr>
        <w:t>infra</w:t>
      </w:r>
      <w:r w:rsidR="00887D1B">
        <w:t xml:space="preserve">, n° </w:t>
      </w:r>
      <w:r w:rsidR="00BC3966">
        <w:t>26 et s.</w:t>
      </w:r>
      <w:r w:rsidR="00887D1B">
        <w:t>)</w:t>
      </w:r>
      <w:r w:rsidR="006C3B85">
        <w:t>.</w:t>
      </w:r>
    </w:p>
    <w:p w14:paraId="424BFEF4" w14:textId="7880AFE1" w:rsidR="002F0909" w:rsidRDefault="002F0909" w:rsidP="006C5CAE"/>
    <w:p w14:paraId="7BE83163" w14:textId="5DC314F0" w:rsidR="002F0909" w:rsidRDefault="007F3164" w:rsidP="006C5CAE">
      <w:r>
        <w:t>Si c’est l’exception qui s’applique, car la valeur du bien</w:t>
      </w:r>
      <w:r w:rsidR="009E4CFB">
        <w:t xml:space="preserve"> </w:t>
      </w:r>
      <w:r w:rsidR="009E4CFB" w:rsidRPr="009E4CFB">
        <w:t>initial dépasse manifestement le coût du travail et des matériaux de la transformation</w:t>
      </w:r>
      <w:r w:rsidR="009E4CFB">
        <w:t xml:space="preserve">, </w:t>
      </w:r>
      <w:r w:rsidR="002379CB">
        <w:t>l</w:t>
      </w:r>
      <w:r w:rsidR="00ED17A9">
        <w:t>e propriétaire du bien initial devient propriétaire du nouveau bien (C. civ., art. 3.56, al. 1</w:t>
      </w:r>
      <w:r w:rsidR="00ED17A9" w:rsidRPr="00ED17A9">
        <w:rPr>
          <w:vertAlign w:val="superscript"/>
        </w:rPr>
        <w:t>er</w:t>
      </w:r>
      <w:r w:rsidR="00ED17A9">
        <w:t xml:space="preserve">, </w:t>
      </w:r>
      <w:r w:rsidR="00ED17A9">
        <w:rPr>
          <w:i/>
          <w:iCs/>
        </w:rPr>
        <w:t>in fine</w:t>
      </w:r>
      <w:r w:rsidR="00ED17A9">
        <w:t>).</w:t>
      </w:r>
    </w:p>
    <w:p w14:paraId="2007181A" w14:textId="4B3459E9" w:rsidR="00054FF6" w:rsidRDefault="00054FF6" w:rsidP="006C5CAE"/>
    <w:p w14:paraId="326A2FE3" w14:textId="2CC210F8" w:rsidR="00054FF6" w:rsidRPr="00ED17A9" w:rsidRDefault="006C3B85" w:rsidP="006C5CAE">
      <w:r>
        <w:t>En toute hypothèse, celui à</w:t>
      </w:r>
      <w:r w:rsidR="00054FF6">
        <w:t xml:space="preserve"> qui est attribuée la propriété du nouveau bien est redevable à l’autre d’une indemnité fondée sur </w:t>
      </w:r>
      <w:r w:rsidR="00BF2944">
        <w:t>la convention (si les parties en ont conclu une et y ont envisagé un régime d’indemnisation) ou, à défaut, sur base de l’enrichissement injustifié (C. civ., art. 3.56, al. 2).</w:t>
      </w:r>
    </w:p>
    <w:p w14:paraId="7AD5A105" w14:textId="77777777" w:rsidR="002B0341" w:rsidRPr="00A52E6D" w:rsidRDefault="002B0341" w:rsidP="00B55685"/>
    <w:p w14:paraId="3E18140B" w14:textId="056DF4F8" w:rsidR="00F42EE4" w:rsidRDefault="00907D2D" w:rsidP="00F42EE4">
      <w:pPr>
        <w:pStyle w:val="Paragraphedeliste"/>
        <w:numPr>
          <w:ilvl w:val="0"/>
          <w:numId w:val="1"/>
        </w:numPr>
        <w:rPr>
          <w:b/>
          <w:bCs/>
          <w:sz w:val="28"/>
          <w:szCs w:val="28"/>
          <w:u w:val="single"/>
        </w:rPr>
      </w:pPr>
      <w:r w:rsidRPr="00907D2D">
        <w:rPr>
          <w:b/>
          <w:bCs/>
          <w:sz w:val="28"/>
          <w:szCs w:val="28"/>
          <w:u w:val="single"/>
        </w:rPr>
        <w:t>Le sort des choses trouvées</w:t>
      </w:r>
      <w:r w:rsidR="007D2474">
        <w:rPr>
          <w:b/>
          <w:bCs/>
          <w:sz w:val="28"/>
          <w:szCs w:val="28"/>
          <w:u w:val="single"/>
        </w:rPr>
        <w:t>, sans maître</w:t>
      </w:r>
      <w:r w:rsidRPr="00907D2D">
        <w:rPr>
          <w:b/>
          <w:bCs/>
          <w:sz w:val="28"/>
          <w:szCs w:val="28"/>
          <w:u w:val="single"/>
        </w:rPr>
        <w:t xml:space="preserve"> et non enlevées</w:t>
      </w:r>
    </w:p>
    <w:p w14:paraId="665B87DD" w14:textId="77777777" w:rsidR="005923CF" w:rsidRPr="005923CF" w:rsidRDefault="005923CF" w:rsidP="005923CF"/>
    <w:p w14:paraId="60B6B001" w14:textId="61C6CB6F" w:rsidR="00907D2D" w:rsidRDefault="00907D2D" w:rsidP="00907D2D">
      <w:pPr>
        <w:pStyle w:val="Paragraphedeliste"/>
        <w:numPr>
          <w:ilvl w:val="1"/>
          <w:numId w:val="1"/>
        </w:numPr>
        <w:rPr>
          <w:b/>
          <w:bCs/>
          <w:sz w:val="24"/>
          <w:szCs w:val="24"/>
        </w:rPr>
      </w:pPr>
      <w:r w:rsidRPr="00907D2D">
        <w:rPr>
          <w:b/>
          <w:bCs/>
          <w:sz w:val="24"/>
          <w:szCs w:val="24"/>
        </w:rPr>
        <w:t>Choses trouvées</w:t>
      </w:r>
    </w:p>
    <w:p w14:paraId="22775877" w14:textId="2A665871" w:rsidR="00040206" w:rsidRDefault="00040206" w:rsidP="00F42EE4"/>
    <w:p w14:paraId="335BAAB6" w14:textId="43D74E0E" w:rsidR="00F42EE4" w:rsidRDefault="00A35E37" w:rsidP="00F42EE4">
      <w:r>
        <w:rPr>
          <w:b/>
          <w:bCs/>
        </w:rPr>
        <w:t>2</w:t>
      </w:r>
      <w:r w:rsidR="00100DEF">
        <w:rPr>
          <w:b/>
          <w:bCs/>
        </w:rPr>
        <w:t>6</w:t>
      </w:r>
      <w:r w:rsidR="008C3877" w:rsidRPr="008C3877">
        <w:rPr>
          <w:b/>
          <w:bCs/>
        </w:rPr>
        <w:t xml:space="preserve">. </w:t>
      </w:r>
      <w:r w:rsidR="00F577BD">
        <w:t>L</w:t>
      </w:r>
      <w:r w:rsidR="001B01F5">
        <w:t>e législateur consacre deux dispositions aux choses mobilières trouvées : l’article 3.58 du Code civil, qui décrit les obligations qui pèsent sur le trouveur</w:t>
      </w:r>
      <w:r w:rsidR="004B7EBD">
        <w:t>,</w:t>
      </w:r>
      <w:r w:rsidR="001B01F5">
        <w:t xml:space="preserve"> et l’article 3.59 du Code civil, qui</w:t>
      </w:r>
      <w:r w:rsidR="000656AA">
        <w:t xml:space="preserve"> règle l</w:t>
      </w:r>
      <w:r w:rsidR="00BE08A2">
        <w:t>’attribution de la propriété du bien trouvé.</w:t>
      </w:r>
    </w:p>
    <w:p w14:paraId="76A81CD0" w14:textId="0349A1A2" w:rsidR="00F42EE4" w:rsidRDefault="00F42EE4" w:rsidP="00F42EE4"/>
    <w:p w14:paraId="2222B9CE" w14:textId="10D38D4B" w:rsidR="00EF7E0A" w:rsidRDefault="00A35E37" w:rsidP="00F42EE4">
      <w:r>
        <w:rPr>
          <w:b/>
          <w:bCs/>
        </w:rPr>
        <w:t>2</w:t>
      </w:r>
      <w:r w:rsidR="00100DEF">
        <w:rPr>
          <w:b/>
          <w:bCs/>
        </w:rPr>
        <w:t>7</w:t>
      </w:r>
      <w:r w:rsidR="008C3877" w:rsidRPr="008C3877">
        <w:rPr>
          <w:b/>
          <w:bCs/>
        </w:rPr>
        <w:t xml:space="preserve">. </w:t>
      </w:r>
      <w:r w:rsidR="000A4506">
        <w:t xml:space="preserve">Les obligations décrites à l’article 3.58 s’appliquent </w:t>
      </w:r>
      <w:r w:rsidR="00694F1B">
        <w:t>à</w:t>
      </w:r>
      <w:r w:rsidR="00CF734E">
        <w:t xml:space="preserve"> tout bien meuble trouvé,</w:t>
      </w:r>
      <w:r w:rsidR="00865780">
        <w:t xml:space="preserve"> en ce compris </w:t>
      </w:r>
      <w:r w:rsidR="000768DD">
        <w:t>aux</w:t>
      </w:r>
      <w:r w:rsidR="00865780">
        <w:t xml:space="preserve"> biens </w:t>
      </w:r>
      <w:r w:rsidR="00865780" w:rsidRPr="00447E5B">
        <w:t>que la commune a dû enlever pour des raisons de sécurité ou de commodité de passage et aux biens mis sur la voie publique en exécution de jugements d'expulsion</w:t>
      </w:r>
      <w:r w:rsidR="00865780">
        <w:t>.</w:t>
      </w:r>
      <w:r w:rsidR="00892B0C">
        <w:t xml:space="preserve"> Il importe par ailleurs peu que ces biens aient été trouvés sur une propriété privée ou sur le domaine public</w:t>
      </w:r>
      <w:r w:rsidR="00D13A8D">
        <w:rPr>
          <w:rStyle w:val="Appelnotedebasdep"/>
        </w:rPr>
        <w:footnoteReference w:id="121"/>
      </w:r>
      <w:r w:rsidR="00892B0C">
        <w:t>. Seuls</w:t>
      </w:r>
      <w:r w:rsidR="00CF734E">
        <w:t xml:space="preserve"> </w:t>
      </w:r>
      <w:r w:rsidR="00865780">
        <w:t>l</w:t>
      </w:r>
      <w:r w:rsidR="000F5BDF">
        <w:t xml:space="preserve">es </w:t>
      </w:r>
      <w:r w:rsidR="000F5BDF" w:rsidRPr="000F5BDF">
        <w:t>biens placés en dehors d'une habitation aux fins d'enlèvement ou d'être jetés aux immondices</w:t>
      </w:r>
      <w:r w:rsidR="00D206F9">
        <w:t xml:space="preserve"> </w:t>
      </w:r>
      <w:r w:rsidR="00892B0C">
        <w:t>échappent au</w:t>
      </w:r>
      <w:r w:rsidR="007D3845">
        <w:t xml:space="preserve"> champ d’application </w:t>
      </w:r>
      <w:r w:rsidR="00892B0C">
        <w:t xml:space="preserve">de l’article 3.58 </w:t>
      </w:r>
      <w:r w:rsidR="00D206F9">
        <w:t>(C. civ., art. 3.58, § 1</w:t>
      </w:r>
      <w:r w:rsidR="00D206F9" w:rsidRPr="00D206F9">
        <w:rPr>
          <w:vertAlign w:val="superscript"/>
        </w:rPr>
        <w:t>er</w:t>
      </w:r>
      <w:r w:rsidR="00D206F9">
        <w:t>, al. 2</w:t>
      </w:r>
      <w:r w:rsidR="00202949">
        <w:t>).</w:t>
      </w:r>
      <w:r w:rsidR="00A37AC2">
        <w:t xml:space="preserve"> </w:t>
      </w:r>
    </w:p>
    <w:p w14:paraId="3423FD0B" w14:textId="63AF54AD" w:rsidR="00865780" w:rsidRDefault="00865780" w:rsidP="00F42EE4"/>
    <w:p w14:paraId="58506E34" w14:textId="037C9413" w:rsidR="00865780" w:rsidRDefault="007D3845" w:rsidP="00F42EE4">
      <w:r>
        <w:t>L</w:t>
      </w:r>
      <w:r w:rsidR="00461A26">
        <w:t>es obligations</w:t>
      </w:r>
      <w:r>
        <w:t xml:space="preserve"> de l’article 3.58 du Code civil</w:t>
      </w:r>
      <w:r w:rsidR="007205F0">
        <w:t xml:space="preserve"> encadrent </w:t>
      </w:r>
      <w:r w:rsidR="00B102C2">
        <w:t xml:space="preserve">les formalités </w:t>
      </w:r>
      <w:r w:rsidR="006704DC">
        <w:t xml:space="preserve">de déclaration </w:t>
      </w:r>
      <w:r w:rsidR="00C30697">
        <w:t xml:space="preserve">de la </w:t>
      </w:r>
      <w:r w:rsidR="00B102C2">
        <w:t>découverte (C. civ., art. 3.58, § 1</w:t>
      </w:r>
      <w:r w:rsidR="00B102C2" w:rsidRPr="00B102C2">
        <w:rPr>
          <w:vertAlign w:val="superscript"/>
        </w:rPr>
        <w:t>er</w:t>
      </w:r>
      <w:r w:rsidR="00C30697">
        <w:t xml:space="preserve">, </w:t>
      </w:r>
      <w:r w:rsidR="00B102C2">
        <w:t xml:space="preserve">et </w:t>
      </w:r>
      <w:r w:rsidR="00B102C2">
        <w:rPr>
          <w:i/>
          <w:iCs/>
        </w:rPr>
        <w:t>infra</w:t>
      </w:r>
      <w:r w:rsidR="00B102C2">
        <w:t xml:space="preserve">, n° </w:t>
      </w:r>
      <w:r w:rsidR="00BC3966">
        <w:t>28</w:t>
      </w:r>
      <w:r w:rsidR="00B102C2">
        <w:t xml:space="preserve">), </w:t>
      </w:r>
      <w:r w:rsidR="00C30697">
        <w:t xml:space="preserve">la conservation de la chose (C. civ., art. 3.58, § 2, et </w:t>
      </w:r>
      <w:r w:rsidR="00C30697">
        <w:rPr>
          <w:i/>
          <w:iCs/>
        </w:rPr>
        <w:t>infra</w:t>
      </w:r>
      <w:r w:rsidR="00C30697">
        <w:t xml:space="preserve">, n° </w:t>
      </w:r>
      <w:r w:rsidR="00BC3966">
        <w:t>29</w:t>
      </w:r>
      <w:r w:rsidR="00C30697">
        <w:t xml:space="preserve">) et </w:t>
      </w:r>
      <w:r w:rsidR="009F7D29">
        <w:t xml:space="preserve">la manière dont la personne qui en assure la conservation peut en disposer (C. civ., art. 3.58, § 3, et </w:t>
      </w:r>
      <w:r w:rsidR="009F7D29">
        <w:rPr>
          <w:i/>
          <w:iCs/>
        </w:rPr>
        <w:t>infra</w:t>
      </w:r>
      <w:r w:rsidR="009F7D29">
        <w:t xml:space="preserve">, n° </w:t>
      </w:r>
      <w:r w:rsidR="00BC3966">
        <w:t>30</w:t>
      </w:r>
      <w:r w:rsidR="009F7D29">
        <w:t>)</w:t>
      </w:r>
      <w:r w:rsidR="00461A26">
        <w:t>.</w:t>
      </w:r>
    </w:p>
    <w:p w14:paraId="18E09D41" w14:textId="7BFD75E4" w:rsidR="00461A26" w:rsidRDefault="00461A26" w:rsidP="00F42EE4"/>
    <w:p w14:paraId="45A09D45" w14:textId="17FB37E6" w:rsidR="00461A26" w:rsidRDefault="00A35E37" w:rsidP="00F42EE4">
      <w:r>
        <w:rPr>
          <w:b/>
          <w:bCs/>
        </w:rPr>
        <w:t>2</w:t>
      </w:r>
      <w:r w:rsidR="00100DEF">
        <w:rPr>
          <w:b/>
          <w:bCs/>
        </w:rPr>
        <w:t>8</w:t>
      </w:r>
      <w:r w:rsidR="009F7D29" w:rsidRPr="009F7D29">
        <w:rPr>
          <w:b/>
          <w:bCs/>
        </w:rPr>
        <w:t xml:space="preserve">. </w:t>
      </w:r>
      <w:r w:rsidR="00A40F33">
        <w:t>La personne qui a trouvé un bien doit tout d’abord</w:t>
      </w:r>
      <w:r w:rsidR="00461A26">
        <w:t xml:space="preserve"> </w:t>
      </w:r>
      <w:r w:rsidR="007504B3" w:rsidRPr="007504B3">
        <w:t>« raisonnablement s'efforcer » de trouver le propriétaire du bien (C. civ., art. 3.58, § 1</w:t>
      </w:r>
      <w:r w:rsidR="007504B3" w:rsidRPr="00A40F33">
        <w:rPr>
          <w:vertAlign w:val="superscript"/>
        </w:rPr>
        <w:t>er</w:t>
      </w:r>
      <w:r w:rsidR="007504B3" w:rsidRPr="007504B3">
        <w:t>, al. 1</w:t>
      </w:r>
      <w:r w:rsidR="007504B3" w:rsidRPr="00A40F33">
        <w:rPr>
          <w:vertAlign w:val="superscript"/>
        </w:rPr>
        <w:t>er</w:t>
      </w:r>
      <w:r w:rsidR="007504B3" w:rsidRPr="007504B3">
        <w:t>).</w:t>
      </w:r>
      <w:r w:rsidR="007504B3">
        <w:t xml:space="preserve"> </w:t>
      </w:r>
      <w:r w:rsidR="00CB12C0">
        <w:t xml:space="preserve">Le législateur n’encadre pas davantage cette recherche et </w:t>
      </w:r>
      <w:r w:rsidR="008404DE">
        <w:t xml:space="preserve">la doctrine s’interroge déjà sur la teneur de cette obligation, mais également sur la preuve qui pourra en être faite </w:t>
      </w:r>
      <w:r w:rsidR="006E3EBD">
        <w:rPr>
          <w:i/>
          <w:iCs/>
        </w:rPr>
        <w:t>a posteriori</w:t>
      </w:r>
      <w:r w:rsidR="006E3EBD" w:rsidRPr="00A42BD2">
        <w:rPr>
          <w:rStyle w:val="Appelnotedebasdep"/>
        </w:rPr>
        <w:footnoteReference w:id="122"/>
      </w:r>
      <w:r w:rsidR="006E3EBD">
        <w:t>.</w:t>
      </w:r>
      <w:r w:rsidR="00AF052B">
        <w:t xml:space="preserve"> </w:t>
      </w:r>
      <w:r w:rsidR="00DD6AC3">
        <w:t xml:space="preserve">On peut imaginer, par exemple, que les réseaux sociaux </w:t>
      </w:r>
      <w:r w:rsidR="003F2616">
        <w:t>seront</w:t>
      </w:r>
      <w:r w:rsidR="00DD6AC3">
        <w:t xml:space="preserve"> des outils utiles aux fins de tenter au mieux de remplir cette obligation.</w:t>
      </w:r>
      <w:r w:rsidR="00AA6475">
        <w:t xml:space="preserve"> Notons toutefois, avec N. Bernard, que si le trouveur est intéressé par l’objet dont il a fait la découverte, il </w:t>
      </w:r>
      <w:r w:rsidR="0059072F">
        <w:t>pourra être tenté de ne remplir que médiocrement son obligation</w:t>
      </w:r>
      <w:r w:rsidR="0059072F">
        <w:rPr>
          <w:rStyle w:val="Appelnotedebasdep"/>
        </w:rPr>
        <w:footnoteReference w:id="123"/>
      </w:r>
      <w:r w:rsidR="0059072F">
        <w:t>.</w:t>
      </w:r>
    </w:p>
    <w:p w14:paraId="25311F83" w14:textId="6892BAAE" w:rsidR="00CA3CA9" w:rsidRDefault="00CA3CA9" w:rsidP="00F42EE4"/>
    <w:p w14:paraId="0D40DBEF" w14:textId="0FC74899" w:rsidR="000C55BA" w:rsidRDefault="00B8055D" w:rsidP="00F42EE4">
      <w:r>
        <w:t>S</w:t>
      </w:r>
      <w:r w:rsidR="00CA3CA9">
        <w:t xml:space="preserve">i </w:t>
      </w:r>
      <w:r>
        <w:t>s</w:t>
      </w:r>
      <w:r w:rsidR="00CA3CA9">
        <w:t xml:space="preserve">a recherche est infructueuse, le </w:t>
      </w:r>
      <w:r w:rsidR="0049358F">
        <w:t xml:space="preserve">trouveur </w:t>
      </w:r>
      <w:r w:rsidR="00E4631A">
        <w:t xml:space="preserve">doit déclarer </w:t>
      </w:r>
      <w:r>
        <w:t xml:space="preserve">sa découverte dans les sept jours </w:t>
      </w:r>
      <w:r w:rsidR="00BC2D53">
        <w:t xml:space="preserve">suivants celle-ci </w:t>
      </w:r>
      <w:r w:rsidR="00E4631A">
        <w:t>à la commune</w:t>
      </w:r>
      <w:r w:rsidR="00A51A37">
        <w:t xml:space="preserve"> de son choix</w:t>
      </w:r>
      <w:r w:rsidR="000C55BA">
        <w:t xml:space="preserve"> (C. civ., art. 3.58, § 1</w:t>
      </w:r>
      <w:r w:rsidR="000C55BA" w:rsidRPr="000C55BA">
        <w:rPr>
          <w:vertAlign w:val="superscript"/>
        </w:rPr>
        <w:t>er</w:t>
      </w:r>
      <w:r w:rsidR="000C55BA">
        <w:t>, al. 2)</w:t>
      </w:r>
      <w:r w:rsidR="00E4631A">
        <w:t>.</w:t>
      </w:r>
      <w:r w:rsidR="000C55BA">
        <w:t xml:space="preserve"> </w:t>
      </w:r>
    </w:p>
    <w:p w14:paraId="5E21E030" w14:textId="77777777" w:rsidR="000C55BA" w:rsidRDefault="000C55BA" w:rsidP="00F42EE4"/>
    <w:p w14:paraId="245E7B8E" w14:textId="13455CE8" w:rsidR="00E305F5" w:rsidRDefault="0063747B" w:rsidP="00F42EE4">
      <w:r>
        <w:t xml:space="preserve">La commune a alors l’obligation d’enregistrer cette déclaration dans un registre </w:t>
      </w:r>
      <w:r>
        <w:rPr>
          <w:i/>
          <w:iCs/>
        </w:rPr>
        <w:t>ad hoc</w:t>
      </w:r>
      <w:r w:rsidR="00B12DC4">
        <w:t>. De plus,</w:t>
      </w:r>
      <w:r>
        <w:t xml:space="preserve"> si elle connaît l</w:t>
      </w:r>
      <w:r w:rsidR="00B12DC4">
        <w:t>’identité du</w:t>
      </w:r>
      <w:r>
        <w:t xml:space="preserve"> propriétaire, </w:t>
      </w:r>
      <w:r w:rsidR="00B12DC4">
        <w:t xml:space="preserve">elle doit l’inviter à </w:t>
      </w:r>
      <w:r w:rsidR="00376129">
        <w:t xml:space="preserve">venir rechercher son bien ou le produit de la vente </w:t>
      </w:r>
      <w:r w:rsidR="00376129">
        <w:lastRenderedPageBreak/>
        <w:t>de celui-ci</w:t>
      </w:r>
      <w:r w:rsidR="00F634E9">
        <w:t xml:space="preserve"> par le biais d’un recommandé envoyé dans le mois de la réception de la déclaration du trouveur</w:t>
      </w:r>
      <w:r w:rsidR="006A1948">
        <w:rPr>
          <w:rStyle w:val="Appelnotedebasdep"/>
        </w:rPr>
        <w:footnoteReference w:id="124"/>
      </w:r>
      <w:r w:rsidR="000C55BA">
        <w:t xml:space="preserve"> (C. civ., art. 3.58, § 1</w:t>
      </w:r>
      <w:r w:rsidR="000C55BA" w:rsidRPr="000C55BA">
        <w:rPr>
          <w:vertAlign w:val="superscript"/>
        </w:rPr>
        <w:t>er</w:t>
      </w:r>
      <w:r w:rsidR="000C55BA">
        <w:t>, al. 2)</w:t>
      </w:r>
      <w:r w:rsidR="00F634E9">
        <w:t>.</w:t>
      </w:r>
    </w:p>
    <w:p w14:paraId="187F6DFE" w14:textId="6BAB71E0" w:rsidR="000C55BA" w:rsidRDefault="000C55BA" w:rsidP="00F42EE4"/>
    <w:p w14:paraId="2B3C9EF4" w14:textId="454A51B9" w:rsidR="000C55BA" w:rsidRDefault="000C55BA" w:rsidP="00F42EE4">
      <w:r>
        <w:t xml:space="preserve">Enfin, l’article 3.58, </w:t>
      </w:r>
      <w:r w:rsidR="00455F8A">
        <w:t xml:space="preserve">§ </w:t>
      </w:r>
      <w:r>
        <w:t>1</w:t>
      </w:r>
      <w:r w:rsidRPr="000C55BA">
        <w:rPr>
          <w:vertAlign w:val="superscript"/>
        </w:rPr>
        <w:t>er</w:t>
      </w:r>
      <w:r>
        <w:t xml:space="preserve">, alinéa 2, du Code civil indique </w:t>
      </w:r>
      <w:r w:rsidR="009A5061">
        <w:t xml:space="preserve">que </w:t>
      </w:r>
      <w:r w:rsidR="009A5061" w:rsidRPr="009A5061">
        <w:t>« </w:t>
      </w:r>
      <w:r w:rsidR="009A5061">
        <w:t>s</w:t>
      </w:r>
      <w:r w:rsidR="009A5061" w:rsidRPr="009A5061">
        <w:t>i la chose est retrouvée dans la propriété d'autrui, le trouveur doit en informer le propriétaire dans le même délai par envoi recommandé</w:t>
      </w:r>
      <w:r w:rsidR="009A5061">
        <w:t xml:space="preserve"> ». On peut regretter le renvoi au « même délai », dont on ignore s’il vise le délai de </w:t>
      </w:r>
      <w:proofErr w:type="gramStart"/>
      <w:r w:rsidR="00F95717">
        <w:t>sept</w:t>
      </w:r>
      <w:r w:rsidR="009A5061">
        <w:t xml:space="preserve"> jours </w:t>
      </w:r>
      <w:r w:rsidR="006E0E0D">
        <w:t>applicable</w:t>
      </w:r>
      <w:proofErr w:type="gramEnd"/>
      <w:r w:rsidR="006E0E0D">
        <w:t xml:space="preserve"> </w:t>
      </w:r>
      <w:r w:rsidR="005E393E">
        <w:t>au trouveur pour sa déclaration</w:t>
      </w:r>
      <w:r w:rsidR="006E0E0D">
        <w:t xml:space="preserve"> et figurant au début de l’alinéa ou celui d’un mois applicable à la commune et figurant au milieu de ce même alinéa.</w:t>
      </w:r>
    </w:p>
    <w:p w14:paraId="547B9C11" w14:textId="251F21FA" w:rsidR="00486CE1" w:rsidRDefault="00486CE1" w:rsidP="00F42EE4"/>
    <w:p w14:paraId="0ED36EBD" w14:textId="5D803D13" w:rsidR="0028177B" w:rsidRDefault="00100DEF" w:rsidP="00F42EE4">
      <w:r>
        <w:rPr>
          <w:b/>
          <w:bCs/>
        </w:rPr>
        <w:t>29</w:t>
      </w:r>
      <w:r w:rsidR="0085256B">
        <w:rPr>
          <w:b/>
          <w:bCs/>
        </w:rPr>
        <w:t xml:space="preserve">. </w:t>
      </w:r>
      <w:r w:rsidR="00C32C0D">
        <w:t xml:space="preserve">Le second paragraphe de l’article 3.58 du Code civil </w:t>
      </w:r>
      <w:r w:rsidR="00F13FBD">
        <w:t xml:space="preserve">traite de la conservation de la chose et indique </w:t>
      </w:r>
      <w:r w:rsidR="00650DFE">
        <w:t xml:space="preserve">que le trouveur peut choisir </w:t>
      </w:r>
      <w:r w:rsidR="0085256B">
        <w:t xml:space="preserve">soit </w:t>
      </w:r>
      <w:r w:rsidR="00650DFE">
        <w:t xml:space="preserve">de </w:t>
      </w:r>
      <w:r w:rsidR="00F13FBD">
        <w:t>la garder</w:t>
      </w:r>
      <w:r w:rsidR="0085256B">
        <w:t>, soit</w:t>
      </w:r>
      <w:r w:rsidR="00650DFE">
        <w:t xml:space="preserve"> de l</w:t>
      </w:r>
      <w:r w:rsidR="00F13FBD">
        <w:t>a</w:t>
      </w:r>
      <w:r w:rsidR="00650DFE">
        <w:t xml:space="preserve"> remettre à la commune</w:t>
      </w:r>
      <w:r w:rsidR="008C3877">
        <w:t>, ce qu’il fera vraisemblablement pour les biens de faible valeur</w:t>
      </w:r>
      <w:r w:rsidR="008C3877">
        <w:rPr>
          <w:rStyle w:val="Appelnotedebasdep"/>
        </w:rPr>
        <w:footnoteReference w:id="125"/>
      </w:r>
      <w:r w:rsidR="00650DFE">
        <w:t xml:space="preserve">. </w:t>
      </w:r>
    </w:p>
    <w:p w14:paraId="5C17DEC7" w14:textId="77777777" w:rsidR="0028177B" w:rsidRDefault="0028177B" w:rsidP="00F42EE4"/>
    <w:p w14:paraId="60F3FA8B" w14:textId="4561244C" w:rsidR="0028177B" w:rsidRDefault="00B246CC" w:rsidP="00F42EE4">
      <w:r>
        <w:t>L</w:t>
      </w:r>
      <w:r w:rsidR="00455F8A">
        <w:t>a disposition</w:t>
      </w:r>
      <w:r>
        <w:t xml:space="preserve"> ajoute que </w:t>
      </w:r>
      <w:r w:rsidR="008C3877">
        <w:t>le trouveur ou la commune agit en qualité de dépositaire</w:t>
      </w:r>
      <w:r w:rsidR="007549F7">
        <w:t xml:space="preserve"> </w:t>
      </w:r>
      <w:r w:rsidR="008A7A39">
        <w:t>nécessaire</w:t>
      </w:r>
      <w:r w:rsidR="008A7A39">
        <w:rPr>
          <w:rStyle w:val="Appelnotedebasdep"/>
        </w:rPr>
        <w:footnoteReference w:id="126"/>
      </w:r>
      <w:r w:rsidR="008A7A39">
        <w:t xml:space="preserve"> </w:t>
      </w:r>
      <w:r w:rsidR="007549F7">
        <w:t>(C. civ., art. 3.58, § 2, al. 1</w:t>
      </w:r>
      <w:r w:rsidR="007549F7" w:rsidRPr="007549F7">
        <w:rPr>
          <w:vertAlign w:val="superscript"/>
        </w:rPr>
        <w:t>er</w:t>
      </w:r>
      <w:r w:rsidR="007549F7">
        <w:t xml:space="preserve">, </w:t>
      </w:r>
      <w:r w:rsidR="007549F7">
        <w:rPr>
          <w:i/>
          <w:iCs/>
        </w:rPr>
        <w:t>in fine</w:t>
      </w:r>
      <w:r w:rsidR="007549F7">
        <w:t>)</w:t>
      </w:r>
      <w:r>
        <w:t xml:space="preserve"> aussi longtemps qu’il</w:t>
      </w:r>
      <w:r w:rsidR="00710F78">
        <w:t>/elle n’est pas devenu(e)</w:t>
      </w:r>
      <w:r>
        <w:t xml:space="preserve"> propriétaire</w:t>
      </w:r>
      <w:r w:rsidR="00DA21B9">
        <w:t xml:space="preserve"> du bien</w:t>
      </w:r>
      <w:r w:rsidR="00722D1B">
        <w:t xml:space="preserve"> par application de l’article 3.59 du Code civil (</w:t>
      </w:r>
      <w:r w:rsidR="00722D1B">
        <w:rPr>
          <w:i/>
          <w:iCs/>
        </w:rPr>
        <w:t>infra</w:t>
      </w:r>
      <w:r w:rsidR="00722D1B">
        <w:t xml:space="preserve">, n° </w:t>
      </w:r>
      <w:r w:rsidR="00BC3966">
        <w:t>31</w:t>
      </w:r>
      <w:r w:rsidR="00722D1B">
        <w:t>)</w:t>
      </w:r>
      <w:r w:rsidR="008C3877">
        <w:t>.</w:t>
      </w:r>
      <w:r w:rsidR="00A36D21">
        <w:t xml:space="preserve"> </w:t>
      </w:r>
    </w:p>
    <w:p w14:paraId="400B1E36" w14:textId="77777777" w:rsidR="0028177B" w:rsidRDefault="0028177B" w:rsidP="00F42EE4"/>
    <w:p w14:paraId="36673994" w14:textId="4E0DD932" w:rsidR="00486CE1" w:rsidRDefault="00DA21B9" w:rsidP="00F42EE4">
      <w:r>
        <w:t>Enfin, la disposition</w:t>
      </w:r>
      <w:r w:rsidR="00A36D21">
        <w:t xml:space="preserve"> indique q</w:t>
      </w:r>
      <w:r w:rsidR="00675E92">
        <w:t>u</w:t>
      </w:r>
      <w:proofErr w:type="gramStart"/>
      <w:r w:rsidR="00675E92">
        <w:t>’</w:t>
      </w:r>
      <w:r w:rsidR="00675E92" w:rsidRPr="00675E92">
        <w:t>«</w:t>
      </w:r>
      <w:proofErr w:type="gramEnd"/>
      <w:r w:rsidR="00675E92" w:rsidRPr="00675E92">
        <w:t> </w:t>
      </w:r>
      <w:r w:rsidR="00675E92">
        <w:t>a</w:t>
      </w:r>
      <w:r w:rsidR="00675E92" w:rsidRPr="00675E92">
        <w:t>u cas où la commune du dépôt n'est pas celle de la découverte de la chose, son administration avise sans délai cette dernière, qui en fait mention dans le registre visé au paragraphe 1</w:t>
      </w:r>
      <w:r w:rsidR="00675E92" w:rsidRPr="00675E92">
        <w:rPr>
          <w:vertAlign w:val="superscript"/>
        </w:rPr>
        <w:t>er</w:t>
      </w:r>
      <w:r w:rsidR="00675E92" w:rsidRPr="00675E92">
        <w:t>, alinéa 1</w:t>
      </w:r>
      <w:r w:rsidR="00675E92" w:rsidRPr="00675E92">
        <w:rPr>
          <w:vertAlign w:val="superscript"/>
        </w:rPr>
        <w:t>er</w:t>
      </w:r>
      <w:r w:rsidR="00675E92">
        <w:rPr>
          <w:vertAlign w:val="superscript"/>
        </w:rPr>
        <w:t xml:space="preserve"> </w:t>
      </w:r>
      <w:r w:rsidR="00675E92">
        <w:t>» (C. civ., art. 3.58, § 2, al. 2). La structure générale de l’article 3.58</w:t>
      </w:r>
      <w:r w:rsidR="002E7723">
        <w:t xml:space="preserve"> </w:t>
      </w:r>
      <w:r w:rsidR="00675E92">
        <w:t>ainsi que la référence</w:t>
      </w:r>
      <w:r w:rsidR="0028177B">
        <w:t xml:space="preserve"> faite</w:t>
      </w:r>
      <w:r w:rsidR="00675E92">
        <w:t xml:space="preserve"> à la « commune du dépôt » </w:t>
      </w:r>
      <w:r w:rsidR="00AE7F9D">
        <w:t>donnent à pense</w:t>
      </w:r>
      <w:r w:rsidR="00675E92">
        <w:t xml:space="preserve">r que cette obligation ne s’applique que lorsque le bien est remis à la commune par le trouveur, et non quand ce dernier </w:t>
      </w:r>
      <w:r w:rsidR="007D175B">
        <w:t xml:space="preserve">choisit de le </w:t>
      </w:r>
      <w:r w:rsidR="00852867">
        <w:t>conserver lui-même. Si tel est le cas, ce choix du législateur nous semble regrettable.</w:t>
      </w:r>
    </w:p>
    <w:p w14:paraId="4BDC8C0A" w14:textId="64535C84" w:rsidR="00AF052B" w:rsidRDefault="00AF052B" w:rsidP="00F42EE4"/>
    <w:p w14:paraId="6D11191B" w14:textId="5EE7CF59" w:rsidR="002E7723" w:rsidRDefault="00A35E37" w:rsidP="00F42EE4">
      <w:r>
        <w:rPr>
          <w:b/>
          <w:bCs/>
        </w:rPr>
        <w:t>3</w:t>
      </w:r>
      <w:r w:rsidR="00100DEF">
        <w:rPr>
          <w:b/>
          <w:bCs/>
        </w:rPr>
        <w:t>0</w:t>
      </w:r>
      <w:r w:rsidR="0028177B">
        <w:rPr>
          <w:b/>
          <w:bCs/>
        </w:rPr>
        <w:t>.</w:t>
      </w:r>
      <w:r w:rsidR="0028177B">
        <w:t xml:space="preserve"> Le troisième </w:t>
      </w:r>
      <w:r w:rsidR="00584A93">
        <w:t xml:space="preserve">paragraphe </w:t>
      </w:r>
      <w:r w:rsidR="00AE0C9E">
        <w:t xml:space="preserve">de </w:t>
      </w:r>
      <w:r w:rsidR="00AE7F9D">
        <w:t>l’article 3.58 du Code civil</w:t>
      </w:r>
      <w:r w:rsidR="00AE0C9E">
        <w:t xml:space="preserve"> autorise le dépositaire du bien à </w:t>
      </w:r>
      <w:r w:rsidR="006074B3">
        <w:t xml:space="preserve">en disposer au terme d’un délai de 6 mois prenant cours </w:t>
      </w:r>
      <w:r w:rsidR="006074B3" w:rsidRPr="00365B8C">
        <w:t>le jour de la découverte</w:t>
      </w:r>
      <w:r w:rsidR="00287665">
        <w:t xml:space="preserve"> (C. civ., art. 3.58, § 3, al. 1</w:t>
      </w:r>
      <w:r w:rsidR="00287665" w:rsidRPr="00365B8C">
        <w:rPr>
          <w:vertAlign w:val="superscript"/>
        </w:rPr>
        <w:t>er</w:t>
      </w:r>
      <w:r w:rsidR="00287665">
        <w:t>)</w:t>
      </w:r>
      <w:r w:rsidR="004E7D57" w:rsidRPr="00365B8C">
        <w:t>.</w:t>
      </w:r>
      <w:r w:rsidR="00D34411" w:rsidRPr="00365B8C">
        <w:t xml:space="preserve"> Ce délai est réduit à trois mois pour les </w:t>
      </w:r>
      <w:r w:rsidR="008A2817" w:rsidRPr="00365B8C">
        <w:t>bicyclettes</w:t>
      </w:r>
      <w:r w:rsidR="00287665">
        <w:t xml:space="preserve"> (C. civ., art. 3.58, § 3, al. 1</w:t>
      </w:r>
      <w:r w:rsidR="00287665" w:rsidRPr="00365B8C">
        <w:rPr>
          <w:vertAlign w:val="superscript"/>
        </w:rPr>
        <w:t>er</w:t>
      </w:r>
      <w:r w:rsidR="00287665">
        <w:t>, 2°)</w:t>
      </w:r>
      <w:r w:rsidR="00FC3BEE" w:rsidRPr="00365B8C">
        <w:t>. Par ailleurs, il n’est pas applicable aux choses qui sont « </w:t>
      </w:r>
      <w:r w:rsidR="00365B8C" w:rsidRPr="00365B8C">
        <w:t>périssables, sujettes à une dépréciation rapide ou préjudiciables à l'hygiène, à la santé ou à la sécurité publiques »</w:t>
      </w:r>
      <w:r w:rsidR="00365B8C">
        <w:t xml:space="preserve"> (C. civ., art. 3.58, § 3, al</w:t>
      </w:r>
      <w:r w:rsidR="00287665">
        <w:t xml:space="preserve">. </w:t>
      </w:r>
      <w:r w:rsidR="00365B8C">
        <w:t>1</w:t>
      </w:r>
      <w:r w:rsidR="00365B8C" w:rsidRPr="00365B8C">
        <w:rPr>
          <w:vertAlign w:val="superscript"/>
        </w:rPr>
        <w:t>er</w:t>
      </w:r>
      <w:r w:rsidR="00365B8C">
        <w:t>, 1°)</w:t>
      </w:r>
      <w:r w:rsidR="00365B8C" w:rsidRPr="00365B8C">
        <w:t>.</w:t>
      </w:r>
    </w:p>
    <w:p w14:paraId="1BE9EB5F" w14:textId="77F75C8C" w:rsidR="00AB60AA" w:rsidRDefault="00AB60AA" w:rsidP="00F42EE4"/>
    <w:p w14:paraId="67A65A2C" w14:textId="29C98E91" w:rsidR="00AB60AA" w:rsidRDefault="00AB60AA" w:rsidP="00F42EE4">
      <w:r>
        <w:t xml:space="preserve">Le dépositaire doit </w:t>
      </w:r>
      <w:r w:rsidRPr="00B42B8F">
        <w:t xml:space="preserve">disposer du bien </w:t>
      </w:r>
      <w:r w:rsidR="00B42B8F" w:rsidRPr="00B42B8F">
        <w:t>« de bonne foi et d'une manière économiquement justifiée » (C. civ., art. 3.58, § 3, al. 1</w:t>
      </w:r>
      <w:r w:rsidR="00B42B8F" w:rsidRPr="00B42B8F">
        <w:rPr>
          <w:vertAlign w:val="superscript"/>
        </w:rPr>
        <w:t>er</w:t>
      </w:r>
      <w:r w:rsidR="00B42B8F" w:rsidRPr="00B42B8F">
        <w:t>)</w:t>
      </w:r>
      <w:r w:rsidR="00B42B8F">
        <w:t>.</w:t>
      </w:r>
      <w:r w:rsidR="00F40588">
        <w:t xml:space="preserve"> L’acte de disposition peut consister en une vente (publique ou de gré à gré</w:t>
      </w:r>
      <w:r w:rsidR="00F40588">
        <w:rPr>
          <w:rStyle w:val="Appelnotedebasdep"/>
        </w:rPr>
        <w:footnoteReference w:id="127"/>
      </w:r>
      <w:r w:rsidR="00F40588">
        <w:t>)</w:t>
      </w:r>
      <w:r w:rsidR="00791E97">
        <w:t xml:space="preserve">, mais </w:t>
      </w:r>
      <w:r w:rsidR="004A743A">
        <w:t>rien ne semble exclure</w:t>
      </w:r>
      <w:r w:rsidR="00525F90">
        <w:t xml:space="preserve"> </w:t>
      </w:r>
      <w:r w:rsidR="00A73117">
        <w:t xml:space="preserve">une donation (à une association, par exemple) pour des </w:t>
      </w:r>
      <w:r w:rsidR="004A743A">
        <w:t xml:space="preserve">biens de faible </w:t>
      </w:r>
      <w:r w:rsidR="004A743A">
        <w:lastRenderedPageBreak/>
        <w:t xml:space="preserve">valeur </w:t>
      </w:r>
      <w:r w:rsidR="00A330CD">
        <w:t xml:space="preserve">et </w:t>
      </w:r>
      <w:r w:rsidR="004A743A">
        <w:t>diffi</w:t>
      </w:r>
      <w:r w:rsidR="001F6337">
        <w:t>cilement susceptibles d’être vendu</w:t>
      </w:r>
      <w:r w:rsidR="008A7393">
        <w:t>s</w:t>
      </w:r>
      <w:r w:rsidR="001F6337">
        <w:t>, voire même une destruction matérielle</w:t>
      </w:r>
      <w:r w:rsidR="008A7393">
        <w:t>, à condition que ces actes soient posés de bonne foi et d’une manière économiquement justifiée</w:t>
      </w:r>
      <w:r w:rsidR="001F6337">
        <w:t>.</w:t>
      </w:r>
      <w:r w:rsidR="00FF2060">
        <w:t xml:space="preserve"> Cette conclusion est </w:t>
      </w:r>
      <w:r w:rsidR="00787DEE">
        <w:t>soutenue par le second alinéa du troisième paragraphe de la disposition qui indique que ce n’est qu</w:t>
      </w:r>
      <w:proofErr w:type="gramStart"/>
      <w:r w:rsidR="00181738">
        <w:t>’«</w:t>
      </w:r>
      <w:proofErr w:type="gramEnd"/>
      <w:r w:rsidR="00181738">
        <w:t> </w:t>
      </w:r>
      <w:r w:rsidR="00181738">
        <w:rPr>
          <w:i/>
          <w:iCs/>
        </w:rPr>
        <w:t>en cas de vente</w:t>
      </w:r>
      <w:r w:rsidR="00181738" w:rsidRPr="00181738">
        <w:rPr>
          <w:rStyle w:val="Appelnotedebasdep"/>
        </w:rPr>
        <w:footnoteReference w:id="128"/>
      </w:r>
      <w:r w:rsidR="00181738">
        <w:t>,</w:t>
      </w:r>
      <w:r w:rsidR="00215892">
        <w:t xml:space="preserve"> [que</w:t>
      </w:r>
      <w:r w:rsidR="00215892" w:rsidRPr="00215892">
        <w:t>]</w:t>
      </w:r>
      <w:r w:rsidR="00181738" w:rsidRPr="00215892">
        <w:t xml:space="preserve"> </w:t>
      </w:r>
      <w:r w:rsidR="008A7393" w:rsidRPr="00215892">
        <w:t xml:space="preserve"> </w:t>
      </w:r>
      <w:r w:rsidR="00215892" w:rsidRPr="00215892">
        <w:t>le produit est tenu à la disposition du propriétaire ou de ses ayants cause jusqu'à l'expiration du délai nécessaire pour l'acquisition visée à l'article 3.59 »</w:t>
      </w:r>
      <w:r w:rsidR="00215892">
        <w:t>.</w:t>
      </w:r>
    </w:p>
    <w:p w14:paraId="6128E21A" w14:textId="7876EA84" w:rsidR="004F0509" w:rsidRDefault="004F0509" w:rsidP="00F42EE4"/>
    <w:p w14:paraId="050FB973" w14:textId="07251033" w:rsidR="004F0509" w:rsidRDefault="00A35E37" w:rsidP="00F42EE4">
      <w:r>
        <w:rPr>
          <w:b/>
          <w:bCs/>
        </w:rPr>
        <w:t>3</w:t>
      </w:r>
      <w:r w:rsidR="00100DEF">
        <w:rPr>
          <w:b/>
          <w:bCs/>
        </w:rPr>
        <w:t>1</w:t>
      </w:r>
      <w:r w:rsidR="004F0509" w:rsidRPr="004F0509">
        <w:rPr>
          <w:b/>
          <w:bCs/>
        </w:rPr>
        <w:t>.</w:t>
      </w:r>
      <w:r w:rsidR="004F0509">
        <w:rPr>
          <w:b/>
          <w:bCs/>
        </w:rPr>
        <w:t xml:space="preserve"> </w:t>
      </w:r>
      <w:r w:rsidR="00CA69FA">
        <w:t xml:space="preserve">L’article 3.59 du Code civil traite ensuite </w:t>
      </w:r>
      <w:r w:rsidR="004B0F08">
        <w:t xml:space="preserve">de l’attribution de la propriété du bien. </w:t>
      </w:r>
      <w:r w:rsidR="00AB14E6">
        <w:t>Si la chose trouvée a un propriétaire, celui-ci en conserve la propriété</w:t>
      </w:r>
      <w:r w:rsidR="00E95072">
        <w:t xml:space="preserve"> pendant un délai de cinq ans à compter de la mention </w:t>
      </w:r>
      <w:r w:rsidR="00D93E06">
        <w:t xml:space="preserve">dans le registre de la commune où la déclaration a été faite. Pendant ces cinq années, il peut revendiquer son </w:t>
      </w:r>
      <w:r w:rsidR="001C29A1">
        <w:t>bien ou le produit de la vente de celui-ci</w:t>
      </w:r>
      <w:r w:rsidR="002B50F8">
        <w:rPr>
          <w:rStyle w:val="Appelnotedebasdep"/>
        </w:rPr>
        <w:footnoteReference w:id="129"/>
      </w:r>
      <w:r w:rsidR="001C29A1">
        <w:t xml:space="preserve"> dans les mains du trouveur ou de la commune</w:t>
      </w:r>
      <w:r w:rsidR="00AE25DE">
        <w:t xml:space="preserve">. Le dépositaire dispose toutefois d’un droit de rétention aussi longtemps que le propriétaire ne lui a </w:t>
      </w:r>
      <w:r w:rsidR="00C064AD">
        <w:t xml:space="preserve">pas </w:t>
      </w:r>
      <w:r w:rsidR="00C30E58">
        <w:t>remboursé « les frais raisonnables de conservation, de garde</w:t>
      </w:r>
      <w:r w:rsidR="00BD08B0">
        <w:t xml:space="preserve"> et de recherche »</w:t>
      </w:r>
      <w:r w:rsidR="00CA69FA">
        <w:t xml:space="preserve"> (C. civ., art. 3.59</w:t>
      </w:r>
      <w:r w:rsidR="00490D39">
        <w:t>, § 1</w:t>
      </w:r>
      <w:r w:rsidR="00490D39" w:rsidRPr="00490D39">
        <w:rPr>
          <w:vertAlign w:val="superscript"/>
        </w:rPr>
        <w:t>er</w:t>
      </w:r>
      <w:r w:rsidR="00490D39">
        <w:t>)</w:t>
      </w:r>
      <w:r w:rsidR="00BD08B0">
        <w:t>.</w:t>
      </w:r>
      <w:r w:rsidR="007E6533">
        <w:t xml:space="preserve"> </w:t>
      </w:r>
      <w:r w:rsidR="00D555BC">
        <w:t>Notons encore que le paragraphe 4 de la disposition indique que « </w:t>
      </w:r>
      <w:r w:rsidR="00582222">
        <w:t xml:space="preserve">le trouveur qui ne devient pas propriétaire et qui a rempli les obligations qui reposaient sur lui a droit, de la part du propriétaire, à une récompense raisonnable eu égard aux circonstances ». </w:t>
      </w:r>
      <w:r w:rsidR="002B50F8">
        <w:t>Plusieurs</w:t>
      </w:r>
      <w:r w:rsidR="00582222">
        <w:t xml:space="preserve"> auteurs s’interrogent sur la teneur de cette récompense et, plus encore, sur son possible cumul avec le</w:t>
      </w:r>
      <w:r w:rsidR="001441DD">
        <w:t xml:space="preserve"> remboursement des frais </w:t>
      </w:r>
      <w:r w:rsidR="00032B62">
        <w:t xml:space="preserve">prévu </w:t>
      </w:r>
      <w:r w:rsidR="001441DD">
        <w:t>au paragraphe 1</w:t>
      </w:r>
      <w:r w:rsidR="001441DD" w:rsidRPr="001441DD">
        <w:rPr>
          <w:vertAlign w:val="superscript"/>
        </w:rPr>
        <w:t>er</w:t>
      </w:r>
      <w:r w:rsidR="00907BB7">
        <w:rPr>
          <w:rStyle w:val="Appelnotedebasdep"/>
        </w:rPr>
        <w:footnoteReference w:id="130"/>
      </w:r>
      <w:r w:rsidR="001441DD">
        <w:t>. Ainsi, le trouveur a-t-il droit en toute hypothèse à cette récompense, en plus du remboursement de ce qui lui est dû, ou ne percevra-t-il celle-ci que lorsque l’indemnité visée au paragraphe 1</w:t>
      </w:r>
      <w:r w:rsidR="001441DD" w:rsidRPr="001441DD">
        <w:rPr>
          <w:vertAlign w:val="superscript"/>
        </w:rPr>
        <w:t>er</w:t>
      </w:r>
      <w:r w:rsidR="001441DD">
        <w:t xml:space="preserve"> revient à la commune qui a </w:t>
      </w:r>
      <w:r w:rsidR="00907BB7">
        <w:t>agi</w:t>
      </w:r>
      <w:r w:rsidR="002B50F8">
        <w:t xml:space="preserve"> </w:t>
      </w:r>
      <w:r w:rsidR="00907BB7">
        <w:t>en dépositaire du bien ?</w:t>
      </w:r>
      <w:r w:rsidR="00907BB7">
        <w:rPr>
          <w:rStyle w:val="Appelnotedebasdep"/>
        </w:rPr>
        <w:footnoteReference w:id="131"/>
      </w:r>
    </w:p>
    <w:p w14:paraId="2A6FEDFB" w14:textId="230983E3" w:rsidR="00CA69FA" w:rsidRDefault="00CA69FA" w:rsidP="00F42EE4"/>
    <w:p w14:paraId="3F155CCD" w14:textId="22D870D4" w:rsidR="00CA69FA" w:rsidRDefault="00AB2D20" w:rsidP="00F42EE4">
      <w:r>
        <w:t xml:space="preserve">Si </w:t>
      </w:r>
      <w:r w:rsidR="00AE51FD">
        <w:t xml:space="preserve">au terme des cinq ans le propriétaire ne s’est pas fait connaître, le trouveur ou la commune </w:t>
      </w:r>
      <w:r w:rsidR="0097348C">
        <w:t>à laquelle la chose a été remise devient propriétaire du bien (ou du produit de la vente)</w:t>
      </w:r>
      <w:r w:rsidR="00C361A5">
        <w:t>, à condition que les obligations de l’article 3.58 du Code civil ai</w:t>
      </w:r>
      <w:r w:rsidR="00EF3560">
        <w:t>en</w:t>
      </w:r>
      <w:r w:rsidR="00C361A5">
        <w:t>t bien été respectées.</w:t>
      </w:r>
      <w:r w:rsidR="00DB050B">
        <w:t xml:space="preserve"> </w:t>
      </w:r>
      <w:r w:rsidR="00D65AF7">
        <w:t>Les travaux préparatoires indiquent q</w:t>
      </w:r>
      <w:r w:rsidR="00DF0AAA">
        <w:t>ue cette attribution profite même au trouveur de mauvaise foi</w:t>
      </w:r>
      <w:r w:rsidR="00B95C86">
        <w:rPr>
          <w:rStyle w:val="Appelnotedebasdep"/>
        </w:rPr>
        <w:footnoteReference w:id="132"/>
      </w:r>
      <w:r w:rsidR="00287A8F">
        <w:t xml:space="preserve">. </w:t>
      </w:r>
    </w:p>
    <w:p w14:paraId="3E957364" w14:textId="0678977A" w:rsidR="00B54B6B" w:rsidRDefault="00B54B6B" w:rsidP="00F42EE4"/>
    <w:p w14:paraId="5B57D61F" w14:textId="6BA14F06" w:rsidR="00B54B6B" w:rsidRPr="004E6FF8" w:rsidRDefault="00B54B6B" w:rsidP="00F42EE4">
      <w:r>
        <w:t xml:space="preserve">L’article 3.59 du Code civil envisage encore l’hypothèse où la chose trouvée </w:t>
      </w:r>
      <w:r w:rsidR="008A1EC4">
        <w:t xml:space="preserve">est une </w:t>
      </w:r>
      <w:r w:rsidR="008A1EC4">
        <w:rPr>
          <w:i/>
          <w:iCs/>
        </w:rPr>
        <w:t xml:space="preserve">res nullius </w:t>
      </w:r>
      <w:r w:rsidR="008A1EC4">
        <w:t xml:space="preserve">et </w:t>
      </w:r>
      <w:r>
        <w:t>n’a</w:t>
      </w:r>
      <w:r w:rsidR="008A1EC4">
        <w:t xml:space="preserve"> en réalité</w:t>
      </w:r>
      <w:r>
        <w:t xml:space="preserve"> pas de propriétaire</w:t>
      </w:r>
      <w:r w:rsidR="00436260">
        <w:t xml:space="preserve">. Nous </w:t>
      </w:r>
      <w:r w:rsidR="00EF3560">
        <w:t>renvoyons à ce propos le lecteur à la section suivante</w:t>
      </w:r>
      <w:r w:rsidR="00915FAA">
        <w:t xml:space="preserve"> (</w:t>
      </w:r>
      <w:r w:rsidR="00BC3966">
        <w:rPr>
          <w:i/>
          <w:iCs/>
        </w:rPr>
        <w:t>infra</w:t>
      </w:r>
      <w:r w:rsidR="00BC3966">
        <w:t xml:space="preserve">, </w:t>
      </w:r>
      <w:r w:rsidR="00915FAA">
        <w:t>n°</w:t>
      </w:r>
      <w:r w:rsidR="00BC3966">
        <w:t xml:space="preserve"> 32 et s.</w:t>
      </w:r>
      <w:r w:rsidR="00915FAA">
        <w:t>).</w:t>
      </w:r>
    </w:p>
    <w:p w14:paraId="0354BE15" w14:textId="69C6D15C" w:rsidR="001F4932" w:rsidRPr="00040206" w:rsidRDefault="001F4932" w:rsidP="00040206">
      <w:pPr>
        <w:rPr>
          <w:sz w:val="24"/>
          <w:szCs w:val="24"/>
        </w:rPr>
      </w:pPr>
    </w:p>
    <w:p w14:paraId="44CEC768" w14:textId="5B12026C" w:rsidR="00907D2D" w:rsidRDefault="00907D2D" w:rsidP="00907D2D">
      <w:pPr>
        <w:pStyle w:val="Paragraphedeliste"/>
        <w:numPr>
          <w:ilvl w:val="1"/>
          <w:numId w:val="1"/>
        </w:numPr>
        <w:rPr>
          <w:b/>
          <w:bCs/>
          <w:sz w:val="24"/>
          <w:szCs w:val="24"/>
        </w:rPr>
      </w:pPr>
      <w:r w:rsidRPr="00907D2D">
        <w:rPr>
          <w:b/>
          <w:bCs/>
          <w:sz w:val="24"/>
          <w:szCs w:val="24"/>
        </w:rPr>
        <w:t>Choses sans maître</w:t>
      </w:r>
    </w:p>
    <w:p w14:paraId="5CF3CE2A" w14:textId="77777777" w:rsidR="00A466A5" w:rsidRPr="00A466A5" w:rsidRDefault="00A466A5" w:rsidP="006266B4"/>
    <w:p w14:paraId="3768A774" w14:textId="483F00DD" w:rsidR="00907D2D" w:rsidRDefault="00907D2D" w:rsidP="00907D2D">
      <w:pPr>
        <w:pStyle w:val="Paragraphedeliste"/>
        <w:numPr>
          <w:ilvl w:val="2"/>
          <w:numId w:val="1"/>
        </w:numPr>
        <w:rPr>
          <w:b/>
          <w:bCs/>
          <w:i/>
          <w:iCs/>
          <w:sz w:val="24"/>
          <w:szCs w:val="24"/>
        </w:rPr>
      </w:pPr>
      <w:r w:rsidRPr="00907D2D">
        <w:rPr>
          <w:b/>
          <w:bCs/>
          <w:i/>
          <w:iCs/>
          <w:sz w:val="24"/>
          <w:szCs w:val="24"/>
        </w:rPr>
        <w:t>Meubles</w:t>
      </w:r>
    </w:p>
    <w:p w14:paraId="3410FFD8" w14:textId="2167A21B" w:rsidR="00A466A5" w:rsidRDefault="00A466A5" w:rsidP="00F82DD6"/>
    <w:p w14:paraId="73001D54" w14:textId="35C6BE09" w:rsidR="006775D0" w:rsidRDefault="00A35E37" w:rsidP="00F82DD6">
      <w:r>
        <w:rPr>
          <w:b/>
          <w:bCs/>
        </w:rPr>
        <w:t>3</w:t>
      </w:r>
      <w:r w:rsidR="00100DEF">
        <w:rPr>
          <w:b/>
          <w:bCs/>
        </w:rPr>
        <w:t>2</w:t>
      </w:r>
      <w:r w:rsidR="00BC2EFD">
        <w:rPr>
          <w:b/>
          <w:bCs/>
        </w:rPr>
        <w:t xml:space="preserve">. </w:t>
      </w:r>
      <w:r w:rsidR="00BC2EFD">
        <w:t>L</w:t>
      </w:r>
      <w:r w:rsidR="00F46221">
        <w:t>a personne qui trouve un bien meuble qui n’a</w:t>
      </w:r>
      <w:r w:rsidR="00BC2EFD">
        <w:t xml:space="preserve"> pas de maître</w:t>
      </w:r>
      <w:r w:rsidR="00F46221">
        <w:t xml:space="preserve"> est soumise aux mêmes obligations que si celui-ci en avait un (C. civ., art. 3.58 ; voy. </w:t>
      </w:r>
      <w:proofErr w:type="gramStart"/>
      <w:r w:rsidR="00F46221">
        <w:rPr>
          <w:i/>
          <w:iCs/>
        </w:rPr>
        <w:t>supra</w:t>
      </w:r>
      <w:proofErr w:type="gramEnd"/>
      <w:r w:rsidR="00F46221">
        <w:t xml:space="preserve">, n° </w:t>
      </w:r>
      <w:r w:rsidR="00B13389">
        <w:t>27</w:t>
      </w:r>
      <w:r w:rsidR="008E6A60">
        <w:t xml:space="preserve"> et s.</w:t>
      </w:r>
      <w:r w:rsidR="00F46221">
        <w:t>).</w:t>
      </w:r>
      <w:r w:rsidR="006775D0">
        <w:t xml:space="preserve"> Cela s’explique par le fait que la personne qui découvre un bien ignore le plus souvent si celui-ci a ou non un propriétaire</w:t>
      </w:r>
      <w:r w:rsidR="00E0766E">
        <w:rPr>
          <w:rStyle w:val="Appelnotedebasdep"/>
        </w:rPr>
        <w:footnoteReference w:id="133"/>
      </w:r>
      <w:r w:rsidR="006775D0">
        <w:t>.</w:t>
      </w:r>
      <w:r w:rsidR="003F0863">
        <w:t xml:space="preserve"> </w:t>
      </w:r>
      <w:r w:rsidR="003F0863">
        <w:lastRenderedPageBreak/>
        <w:t xml:space="preserve">Malheureusement, </w:t>
      </w:r>
      <w:r w:rsidR="007E1A33">
        <w:t>cette incertitude</w:t>
      </w:r>
      <w:r w:rsidR="00B01CC5">
        <w:t xml:space="preserve"> subsistera </w:t>
      </w:r>
      <w:r w:rsidR="007E1A33">
        <w:t>le plus souvent</w:t>
      </w:r>
      <w:r w:rsidR="00B01CC5">
        <w:t xml:space="preserve"> après l’investigation du trouveur,</w:t>
      </w:r>
      <w:r w:rsidR="007E1A33">
        <w:t xml:space="preserve"> de sorte </w:t>
      </w:r>
      <w:r w:rsidR="00C06FCA">
        <w:t>qu’à titre liminaire</w:t>
      </w:r>
      <w:r w:rsidR="007E1A33">
        <w:t xml:space="preserve">, il faut observer qu’il sera </w:t>
      </w:r>
      <w:r w:rsidR="00110EB4">
        <w:t xml:space="preserve">toujours </w:t>
      </w:r>
      <w:r w:rsidR="007E1A33">
        <w:t>difficile d</w:t>
      </w:r>
      <w:r w:rsidR="00C06FCA">
        <w:t>’établir si les règles sur les biens meubles sans maître trouvent ou non à s’appliquer</w:t>
      </w:r>
      <w:r w:rsidR="0039177D">
        <w:t xml:space="preserve">. </w:t>
      </w:r>
      <w:r w:rsidR="008E6A60">
        <w:t>Par conséquent, l</w:t>
      </w:r>
      <w:r w:rsidR="0039177D">
        <w:t>e plus souvent, le</w:t>
      </w:r>
      <w:r w:rsidR="00B01CC5">
        <w:t xml:space="preserve"> spectre d</w:t>
      </w:r>
      <w:r w:rsidR="00032B62">
        <w:t>’</w:t>
      </w:r>
      <w:r w:rsidR="00B01CC5">
        <w:t>u</w:t>
      </w:r>
      <w:r w:rsidR="00032B62">
        <w:t>n</w:t>
      </w:r>
      <w:r w:rsidR="00B01CC5">
        <w:t xml:space="preserve"> retour d</w:t>
      </w:r>
      <w:r w:rsidR="00032B62">
        <w:t>u</w:t>
      </w:r>
      <w:r w:rsidR="00B01CC5">
        <w:t xml:space="preserve"> </w:t>
      </w:r>
      <w:r w:rsidR="00B01CC5">
        <w:rPr>
          <w:i/>
          <w:iCs/>
        </w:rPr>
        <w:t xml:space="preserve">verus dominus </w:t>
      </w:r>
      <w:r w:rsidR="0039177D">
        <w:t>planera</w:t>
      </w:r>
      <w:r w:rsidR="00110EB4">
        <w:t xml:space="preserve"> </w:t>
      </w:r>
      <w:r w:rsidR="008E6A60">
        <w:t>p</w:t>
      </w:r>
      <w:r w:rsidR="00B01CC5">
        <w:t xml:space="preserve">endant </w:t>
      </w:r>
      <w:r w:rsidR="008E6A60">
        <w:t>cinq</w:t>
      </w:r>
      <w:r w:rsidR="00B01CC5">
        <w:t xml:space="preserve"> ans</w:t>
      </w:r>
      <w:r w:rsidR="00031CA8">
        <w:t xml:space="preserve"> </w:t>
      </w:r>
      <w:r w:rsidR="0039177D">
        <w:t>au-dessus de la tête du trouveur, même pour les biens</w:t>
      </w:r>
      <w:r w:rsidR="006F4C9B">
        <w:t xml:space="preserve"> sans maître</w:t>
      </w:r>
      <w:r w:rsidR="009A7C41">
        <w:rPr>
          <w:rStyle w:val="Appelnotedebasdep"/>
        </w:rPr>
        <w:footnoteReference w:id="134"/>
      </w:r>
      <w:r w:rsidR="0039177D">
        <w:t>.</w:t>
      </w:r>
    </w:p>
    <w:p w14:paraId="01B418CA" w14:textId="7F8A0F03" w:rsidR="00E0766E" w:rsidRDefault="00E0766E" w:rsidP="00F82DD6"/>
    <w:p w14:paraId="4CA4C0B2" w14:textId="50AD49BB" w:rsidR="006F7F39" w:rsidRDefault="00A35E37" w:rsidP="00F82DD6">
      <w:r>
        <w:rPr>
          <w:b/>
          <w:bCs/>
        </w:rPr>
        <w:t>3</w:t>
      </w:r>
      <w:r w:rsidR="00100DEF">
        <w:rPr>
          <w:b/>
          <w:bCs/>
        </w:rPr>
        <w:t>3</w:t>
      </w:r>
      <w:r w:rsidR="002E7F73" w:rsidRPr="002E7F73">
        <w:rPr>
          <w:b/>
          <w:bCs/>
        </w:rPr>
        <w:t>.</w:t>
      </w:r>
      <w:r w:rsidR="002E7F73">
        <w:t xml:space="preserve"> </w:t>
      </w:r>
      <w:r w:rsidR="00275ACF">
        <w:t xml:space="preserve">Moyennant le respect des obligations </w:t>
      </w:r>
      <w:r w:rsidR="00C45F24">
        <w:t>visées</w:t>
      </w:r>
      <w:r w:rsidR="006D7EE7">
        <w:t xml:space="preserve"> </w:t>
      </w:r>
      <w:r w:rsidR="00C45F24">
        <w:t xml:space="preserve">à </w:t>
      </w:r>
      <w:r w:rsidR="00275ACF">
        <w:t xml:space="preserve">l’article 3.58 du Code civil, </w:t>
      </w:r>
      <w:r w:rsidR="0095758B">
        <w:t>la</w:t>
      </w:r>
      <w:r w:rsidR="00E702D5">
        <w:t xml:space="preserve"> propriété de la chose mobilière trouvée qui n’a pas de maître est attribuée</w:t>
      </w:r>
      <w:r w:rsidR="00562FA4">
        <w:t xml:space="preserve"> immédiatement</w:t>
      </w:r>
      <w:r w:rsidR="00EB1271">
        <w:t xml:space="preserve"> à son </w:t>
      </w:r>
      <w:r w:rsidR="00EB1271" w:rsidRPr="008F149F">
        <w:rPr>
          <w:i/>
          <w:iCs/>
        </w:rPr>
        <w:t>possesseur</w:t>
      </w:r>
      <w:r w:rsidR="00EB1271">
        <w:t xml:space="preserve"> (C. civ., art. 3.59, § 2)</w:t>
      </w:r>
      <w:r w:rsidR="008F149F">
        <w:t xml:space="preserve">. </w:t>
      </w:r>
      <w:r w:rsidR="006F7F39">
        <w:t>Cette règle appelle trois remarques.</w:t>
      </w:r>
    </w:p>
    <w:p w14:paraId="4B87E1E9" w14:textId="36F297F7" w:rsidR="006F7F39" w:rsidRDefault="006F7F39" w:rsidP="00F82DD6"/>
    <w:p w14:paraId="273EE0AB" w14:textId="77777777" w:rsidR="00117B2D" w:rsidRDefault="006F7F39" w:rsidP="000456FC">
      <w:r>
        <w:t xml:space="preserve">D’abord, </w:t>
      </w:r>
      <w:r w:rsidR="00B91D93">
        <w:t xml:space="preserve">il faut déterminer </w:t>
      </w:r>
      <w:r w:rsidR="000456FC">
        <w:t>qui est visé par le terme « possesseur »</w:t>
      </w:r>
      <w:r w:rsidR="00B91D93">
        <w:t>.</w:t>
      </w:r>
      <w:r w:rsidR="000456FC">
        <w:t xml:space="preserve"> Si le trouveur a conservé le bien en application de l’article 3.58, § 2, du Code civil, c’est évidemment lui. Mais qu’en est-il s’il a choisi de confier le bien à la commune comme le lui permet cette même disposition ? </w:t>
      </w:r>
      <w:r w:rsidR="00B7215E">
        <w:t>A notre sens, c’est alors la commune qui devient possesseur du bien, le trouveur faisant abandon de celui-ci.</w:t>
      </w:r>
    </w:p>
    <w:p w14:paraId="06B208A4" w14:textId="77777777" w:rsidR="00117B2D" w:rsidRDefault="00117B2D" w:rsidP="000456FC"/>
    <w:p w14:paraId="05118FD6" w14:textId="385221B4" w:rsidR="000456FC" w:rsidRDefault="00117B2D" w:rsidP="000456FC">
      <w:r>
        <w:t xml:space="preserve">Ensuite, </w:t>
      </w:r>
      <w:r w:rsidR="00495ECE">
        <w:t xml:space="preserve">on peut se demander si le renvoi à l’article 3.58 du Code civil signifie que </w:t>
      </w:r>
      <w:r w:rsidR="00451EE5">
        <w:t xml:space="preserve">l’ensemble de la disposition doit être observée par la personne qui entend </w:t>
      </w:r>
      <w:r w:rsidR="008B6758">
        <w:t>devenir propriétaire. A notre sens, tel n’est pas le cas et seul</w:t>
      </w:r>
      <w:r w:rsidR="001F35EA">
        <w:t>s</w:t>
      </w:r>
      <w:r w:rsidR="008B6758">
        <w:t xml:space="preserve"> </w:t>
      </w:r>
      <w:r w:rsidR="00B75872">
        <w:t xml:space="preserve">les deux premiers paragraphes </w:t>
      </w:r>
      <w:r w:rsidR="008B6758">
        <w:t xml:space="preserve">de la disposition </w:t>
      </w:r>
      <w:r w:rsidR="00B75872">
        <w:t>son</w:t>
      </w:r>
      <w:r w:rsidR="008B6758">
        <w:t>t visé</w:t>
      </w:r>
      <w:r w:rsidR="00B75872">
        <w:t>s, à l’exclusion du troisième</w:t>
      </w:r>
      <w:r w:rsidR="00B75872">
        <w:rPr>
          <w:rStyle w:val="Appelnotedebasdep"/>
        </w:rPr>
        <w:footnoteReference w:id="135"/>
      </w:r>
      <w:r w:rsidR="008B6758">
        <w:t xml:space="preserve">. Ainsi, </w:t>
      </w:r>
      <w:r w:rsidR="00E55C18">
        <w:t>si le trouveur entend acquérir la propriété du bien, il doit</w:t>
      </w:r>
      <w:r w:rsidR="004D5BC1">
        <w:t xml:space="preserve"> raisonnablement s’</w:t>
      </w:r>
      <w:r w:rsidR="00B75872">
        <w:t>e</w:t>
      </w:r>
      <w:r w:rsidR="004D5BC1">
        <w:t xml:space="preserve">fforcer de trouver le </w:t>
      </w:r>
      <w:r w:rsidR="00E55C18">
        <w:rPr>
          <w:i/>
          <w:iCs/>
        </w:rPr>
        <w:t>verus dominus</w:t>
      </w:r>
      <w:r w:rsidR="00E55C18">
        <w:t>,</w:t>
      </w:r>
      <w:r w:rsidR="004D5BC1">
        <w:t xml:space="preserve"> déclarer </w:t>
      </w:r>
      <w:r w:rsidR="00286C27">
        <w:t xml:space="preserve">dans les sept jours </w:t>
      </w:r>
      <w:r w:rsidR="004D5BC1">
        <w:t xml:space="preserve">sa découverte à la commune </w:t>
      </w:r>
      <w:r w:rsidR="00C64843">
        <w:t xml:space="preserve">et prévenir par recommandé le propriétaire du fonds où il a trouvé le bien </w:t>
      </w:r>
      <w:r w:rsidR="00E55C18">
        <w:t>si sa découverte a eu lieu dans le fonds d’autrui</w:t>
      </w:r>
      <w:r w:rsidR="008E6D25">
        <w:t>. Si</w:t>
      </w:r>
      <w:r w:rsidR="003E1E88">
        <w:t>,</w:t>
      </w:r>
      <w:r w:rsidR="008E6D25">
        <w:t xml:space="preserve"> au contraire, c’est la commune qui peut prétendre à la propriété du bien, </w:t>
      </w:r>
      <w:r w:rsidR="003E1E88">
        <w:t xml:space="preserve">elle veillera quant à </w:t>
      </w:r>
      <w:r w:rsidR="008E6D25">
        <w:t>elle</w:t>
      </w:r>
      <w:r w:rsidR="001F35EA">
        <w:t xml:space="preserve"> </w:t>
      </w:r>
      <w:r w:rsidR="003E1E88">
        <w:t>à</w:t>
      </w:r>
      <w:r w:rsidR="00286C27">
        <w:t xml:space="preserve"> enregistrer la déclaration</w:t>
      </w:r>
      <w:r w:rsidR="007042BE">
        <w:t xml:space="preserve"> de l’administré</w:t>
      </w:r>
      <w:r w:rsidR="008E6D25">
        <w:t xml:space="preserve"> et</w:t>
      </w:r>
      <w:r w:rsidR="007042BE">
        <w:t xml:space="preserve"> à</w:t>
      </w:r>
      <w:r w:rsidR="008E6D25">
        <w:t xml:space="preserve"> </w:t>
      </w:r>
      <w:r w:rsidR="00E01C95">
        <w:t>aviser la commune où a eu lieu la découverte si celle-ci a</w:t>
      </w:r>
      <w:r w:rsidR="00286C27">
        <w:t xml:space="preserve"> </w:t>
      </w:r>
      <w:r w:rsidR="007042BE">
        <w:t>été faite en dehors de son propre territoire.</w:t>
      </w:r>
    </w:p>
    <w:p w14:paraId="67B0DB0E" w14:textId="0A7E3966" w:rsidR="006F7F39" w:rsidRDefault="006F7F39" w:rsidP="00F82DD6"/>
    <w:p w14:paraId="276CA6F8" w14:textId="3894B76B" w:rsidR="006616BE" w:rsidRPr="000C2BDF" w:rsidRDefault="006616BE" w:rsidP="00F82DD6">
      <w:r>
        <w:t xml:space="preserve">Enfin, </w:t>
      </w:r>
      <w:r w:rsidR="000C2BDF">
        <w:t xml:space="preserve">l’article 3.59, § 2, du Code civil indique que le possesseur devient </w:t>
      </w:r>
      <w:r w:rsidR="000C2BDF">
        <w:rPr>
          <w:i/>
          <w:iCs/>
        </w:rPr>
        <w:t>immédiatement</w:t>
      </w:r>
      <w:r w:rsidR="00981E68">
        <w:t xml:space="preserve"> </w:t>
      </w:r>
      <w:r w:rsidR="00F82FDA">
        <w:t>propriétaire du bien</w:t>
      </w:r>
      <w:r w:rsidR="00981817">
        <w:t xml:space="preserve">, soit, semble-t-il, dès </w:t>
      </w:r>
      <w:r w:rsidR="004005A6">
        <w:t xml:space="preserve">son </w:t>
      </w:r>
      <w:r w:rsidR="00981817">
        <w:t>entrée en possession</w:t>
      </w:r>
      <w:r w:rsidR="00B21EE1">
        <w:t>. On</w:t>
      </w:r>
      <w:r w:rsidR="004005A6">
        <w:t xml:space="preserve"> peut</w:t>
      </w:r>
      <w:r w:rsidR="00B21EE1">
        <w:t xml:space="preserve"> toutefois</w:t>
      </w:r>
      <w:r w:rsidR="004005A6">
        <w:t xml:space="preserve"> se demander si l’attribution de la propriété </w:t>
      </w:r>
      <w:r w:rsidR="00114BB3">
        <w:t xml:space="preserve">peut avoir lieu avant </w:t>
      </w:r>
      <w:r w:rsidR="00CE64A9">
        <w:t xml:space="preserve">même </w:t>
      </w:r>
      <w:r w:rsidR="00114BB3">
        <w:t xml:space="preserve">l’exécution des obligations imposées par l’article 3.58 </w:t>
      </w:r>
      <w:r w:rsidR="00CE64A9">
        <w:t>du Code civil, ou non</w:t>
      </w:r>
      <w:r w:rsidR="00377978">
        <w:rPr>
          <w:rStyle w:val="Appelnotedebasdep"/>
        </w:rPr>
        <w:footnoteReference w:id="136"/>
      </w:r>
      <w:r w:rsidR="00F82FDA">
        <w:t>.</w:t>
      </w:r>
    </w:p>
    <w:p w14:paraId="19460787" w14:textId="77777777" w:rsidR="00570CEF" w:rsidRDefault="00570CEF" w:rsidP="00F82DD6"/>
    <w:p w14:paraId="3DF8E0DF" w14:textId="48642DDA" w:rsidR="00653ACA" w:rsidRDefault="00A35E37" w:rsidP="00075726">
      <w:r>
        <w:rPr>
          <w:b/>
          <w:bCs/>
        </w:rPr>
        <w:t>3</w:t>
      </w:r>
      <w:r w:rsidR="00100DEF">
        <w:rPr>
          <w:b/>
          <w:bCs/>
        </w:rPr>
        <w:t>4</w:t>
      </w:r>
      <w:r w:rsidR="001A1E4D" w:rsidRPr="00BF0FD3">
        <w:rPr>
          <w:b/>
          <w:bCs/>
        </w:rPr>
        <w:t>.</w:t>
      </w:r>
      <w:r w:rsidR="001A1E4D">
        <w:t xml:space="preserve"> Notons</w:t>
      </w:r>
      <w:r w:rsidR="00653ACA">
        <w:t>,</w:t>
      </w:r>
      <w:r w:rsidR="001A1E4D">
        <w:t xml:space="preserve"> enfin</w:t>
      </w:r>
      <w:r w:rsidR="00653ACA">
        <w:t>,</w:t>
      </w:r>
      <w:r w:rsidR="001A1E4D">
        <w:t xml:space="preserve"> </w:t>
      </w:r>
      <w:r w:rsidR="00142259">
        <w:t xml:space="preserve">que les biens </w:t>
      </w:r>
      <w:r w:rsidR="00747458">
        <w:t>qui n’ont pas de maître et qui ont été</w:t>
      </w:r>
      <w:r w:rsidR="00142259">
        <w:t xml:space="preserve"> </w:t>
      </w:r>
      <w:r w:rsidR="00142259" w:rsidRPr="00142259">
        <w:rPr>
          <w:i/>
          <w:iCs/>
        </w:rPr>
        <w:t>caché</w:t>
      </w:r>
      <w:r w:rsidR="00747458">
        <w:rPr>
          <w:i/>
          <w:iCs/>
        </w:rPr>
        <w:t>s</w:t>
      </w:r>
      <w:r w:rsidR="00142259">
        <w:t xml:space="preserve"> font l’objet d’une réglementation particulière à l’article 3.59, § 3</w:t>
      </w:r>
      <w:r w:rsidR="00653ACA">
        <w:t>,</w:t>
      </w:r>
      <w:r w:rsidR="00142259">
        <w:t xml:space="preserve"> du Code civil. </w:t>
      </w:r>
      <w:r w:rsidR="0059076B">
        <w:t xml:space="preserve">Si le </w:t>
      </w:r>
      <w:r w:rsidR="0067165C">
        <w:t xml:space="preserve">bien est trouvé par le propriétaire du fonds où il était caché, ce dernier en devient immédiatement propriétaire, moyennant le respect des obligations </w:t>
      </w:r>
      <w:r w:rsidR="00CA017A">
        <w:t xml:space="preserve">visées à l’article 3.58 du Code civil, tandis que si </w:t>
      </w:r>
      <w:r w:rsidR="00E736F1">
        <w:t xml:space="preserve">ce même bien est trouvé </w:t>
      </w:r>
      <w:r w:rsidR="00E736F1">
        <w:rPr>
          <w:i/>
          <w:iCs/>
        </w:rPr>
        <w:t>fortuitement</w:t>
      </w:r>
      <w:r w:rsidR="00E736F1">
        <w:t xml:space="preserve"> par le titulaire d’un droit personnel ou réel d’usage sur le fonds d’autrui, le bien </w:t>
      </w:r>
      <w:r w:rsidR="00940987">
        <w:t>e</w:t>
      </w:r>
      <w:r w:rsidR="005918DE">
        <w:t xml:space="preserve">st attribué </w:t>
      </w:r>
      <w:r w:rsidR="00940987">
        <w:t xml:space="preserve">en </w:t>
      </w:r>
      <w:r w:rsidR="00940987">
        <w:lastRenderedPageBreak/>
        <w:t xml:space="preserve">copropriété fortuite </w:t>
      </w:r>
      <w:r w:rsidR="005918DE">
        <w:t xml:space="preserve">au </w:t>
      </w:r>
      <w:r w:rsidR="00E736F1">
        <w:t xml:space="preserve">trouveur et </w:t>
      </w:r>
      <w:r w:rsidR="005918DE">
        <w:t>au propriétaire du fonds, chacun pour moitié (C. civ., art. 3.59, § 3).</w:t>
      </w:r>
      <w:r w:rsidR="00940987">
        <w:t xml:space="preserve"> </w:t>
      </w:r>
    </w:p>
    <w:p w14:paraId="5EB3DE24" w14:textId="77777777" w:rsidR="00653ACA" w:rsidRDefault="00653ACA" w:rsidP="00075726"/>
    <w:p w14:paraId="76477CB0" w14:textId="394740AF" w:rsidR="00F3312A" w:rsidRDefault="00940987" w:rsidP="00075726">
      <w:r>
        <w:t xml:space="preserve">La disposition </w:t>
      </w:r>
      <w:r w:rsidR="00617F1B">
        <w:t xml:space="preserve">est </w:t>
      </w:r>
      <w:proofErr w:type="gramStart"/>
      <w:r w:rsidR="00032B62">
        <w:t>par contre</w:t>
      </w:r>
      <w:proofErr w:type="gramEnd"/>
      <w:r w:rsidR="00617F1B">
        <w:t xml:space="preserve"> muette sur la solution à appliquer si le tiers trouveur </w:t>
      </w:r>
      <w:r w:rsidR="00DB5AD0">
        <w:t xml:space="preserve">ne remplit pas </w:t>
      </w:r>
      <w:r w:rsidR="00653ACA">
        <w:t>une des</w:t>
      </w:r>
      <w:r w:rsidR="00DB5AD0">
        <w:t xml:space="preserve"> conditions</w:t>
      </w:r>
      <w:r w:rsidR="00653ACA">
        <w:t xml:space="preserve"> énoncées</w:t>
      </w:r>
      <w:r w:rsidR="00DB5AD0">
        <w:t>, notamment s’il n’a pas trouvé le bien par hasard ou s’il ne dispose pas d’un droit d</w:t>
      </w:r>
      <w:r w:rsidR="008F5C50">
        <w:t>’usage sur le fonds</w:t>
      </w:r>
      <w:r w:rsidR="006E430D">
        <w:rPr>
          <w:rStyle w:val="Appelnotedebasdep"/>
        </w:rPr>
        <w:footnoteReference w:id="137"/>
      </w:r>
      <w:r w:rsidR="008F5C50">
        <w:t>.</w:t>
      </w:r>
      <w:r w:rsidR="00997682">
        <w:t xml:space="preserve"> </w:t>
      </w:r>
      <w:r w:rsidR="00F3312A">
        <w:t xml:space="preserve">Pour </w:t>
      </w:r>
      <w:r w:rsidR="008601A7">
        <w:t>A.</w:t>
      </w:r>
      <w:r w:rsidR="00F3312A">
        <w:t xml:space="preserve"> Despret, </w:t>
      </w:r>
      <w:r w:rsidR="008526E6">
        <w:t>c’est alors le</w:t>
      </w:r>
      <w:r w:rsidR="00F3312A">
        <w:t xml:space="preserve"> propriétaire du fonds</w:t>
      </w:r>
      <w:r w:rsidR="008526E6">
        <w:t xml:space="preserve"> qui devient propriétaire du bien</w:t>
      </w:r>
      <w:r w:rsidR="008526E6">
        <w:rPr>
          <w:rStyle w:val="Appelnotedebasdep"/>
        </w:rPr>
        <w:footnoteReference w:id="138"/>
      </w:r>
      <w:r w:rsidR="00F3312A">
        <w:t>.</w:t>
      </w:r>
    </w:p>
    <w:p w14:paraId="7541A161" w14:textId="77777777" w:rsidR="00F3312A" w:rsidRDefault="00F3312A" w:rsidP="00075726"/>
    <w:p w14:paraId="70394A7F" w14:textId="2FA66325" w:rsidR="00ED1B2D" w:rsidRPr="00C324CC" w:rsidRDefault="008526E6" w:rsidP="00075726">
      <w:r>
        <w:t>Dans ce</w:t>
      </w:r>
      <w:r w:rsidR="00EA1EA1">
        <w:t xml:space="preserve"> dernier cas, </w:t>
      </w:r>
      <w:r w:rsidR="00997682">
        <w:t>on peut se demander si le trouveur peut</w:t>
      </w:r>
      <w:r w:rsidR="0098302B">
        <w:t xml:space="preserve"> </w:t>
      </w:r>
      <w:r w:rsidR="008D6C86">
        <w:t>réclamer au nouveau propriétaire</w:t>
      </w:r>
      <w:r w:rsidR="00997682">
        <w:t xml:space="preserve"> une récompense</w:t>
      </w:r>
      <w:r w:rsidR="0098302B">
        <w:t xml:space="preserve"> en application de l’article 3.5</w:t>
      </w:r>
      <w:r w:rsidR="00EA1EA1">
        <w:t>9</w:t>
      </w:r>
      <w:r w:rsidR="0098302B">
        <w:t>, § 4, du Code civil</w:t>
      </w:r>
      <w:r w:rsidR="00997682">
        <w:t xml:space="preserve">. </w:t>
      </w:r>
      <w:r w:rsidR="00A43CC2">
        <w:t xml:space="preserve">Cette disposition, examinée </w:t>
      </w:r>
      <w:r w:rsidR="00A43CC2">
        <w:rPr>
          <w:i/>
          <w:iCs/>
        </w:rPr>
        <w:t>supra (</w:t>
      </w:r>
      <w:r w:rsidR="00A43CC2">
        <w:t xml:space="preserve">n° </w:t>
      </w:r>
      <w:r w:rsidR="007E2732">
        <w:t>31</w:t>
      </w:r>
      <w:r w:rsidR="00A43CC2">
        <w:t xml:space="preserve">), prévoit en effet que </w:t>
      </w:r>
      <w:r w:rsidR="008C259E">
        <w:t>« le trouveur qui ne devient pas propriétaire et qui a rempli les obligations qui reposaient sur lui a droit, de la part du propriétaire, à une récompense raisonnable eu égard aux circonstances ».</w:t>
      </w:r>
      <w:r w:rsidR="0098302B">
        <w:t xml:space="preserve"> La disposition vise certainement le propriétaire </w:t>
      </w:r>
      <w:r w:rsidR="001B5A52">
        <w:t xml:space="preserve">antérieur du bien, lorsqu’il y en a un, mais </w:t>
      </w:r>
      <w:r w:rsidR="0080660A">
        <w:t>la place qu’occupe ce paragraphe dans l’article 3.5</w:t>
      </w:r>
      <w:r w:rsidR="00EA1EA1">
        <w:t>9</w:t>
      </w:r>
      <w:r w:rsidR="0080660A">
        <w:t>, juste après les dispositions relatives aux biens sans maître, ne permet pas d’exclure que le propriétaire dont question puisse être le nouveau propriétaire du bien.</w:t>
      </w:r>
    </w:p>
    <w:p w14:paraId="03FE40B1" w14:textId="77777777" w:rsidR="00DD45B4" w:rsidRPr="00075726" w:rsidRDefault="00DD45B4" w:rsidP="00075726">
      <w:pPr>
        <w:rPr>
          <w:sz w:val="24"/>
          <w:szCs w:val="24"/>
        </w:rPr>
      </w:pPr>
    </w:p>
    <w:p w14:paraId="7E54AD7D" w14:textId="7DD83FD6" w:rsidR="00907D2D" w:rsidRDefault="00907D2D" w:rsidP="00907D2D">
      <w:pPr>
        <w:pStyle w:val="Paragraphedeliste"/>
        <w:numPr>
          <w:ilvl w:val="2"/>
          <w:numId w:val="1"/>
        </w:numPr>
        <w:rPr>
          <w:b/>
          <w:bCs/>
          <w:i/>
          <w:iCs/>
          <w:sz w:val="24"/>
          <w:szCs w:val="24"/>
        </w:rPr>
      </w:pPr>
      <w:r w:rsidRPr="00907D2D">
        <w:rPr>
          <w:b/>
          <w:bCs/>
          <w:i/>
          <w:iCs/>
          <w:sz w:val="24"/>
          <w:szCs w:val="24"/>
        </w:rPr>
        <w:t>Immeubles</w:t>
      </w:r>
    </w:p>
    <w:p w14:paraId="6C15EBF3" w14:textId="6C6F6281" w:rsidR="006C46E8" w:rsidRDefault="006C46E8" w:rsidP="006C46E8"/>
    <w:p w14:paraId="3DF7CA16" w14:textId="1A7AF95A" w:rsidR="00DD0ABC" w:rsidRDefault="00A35E37" w:rsidP="00836BAF">
      <w:r>
        <w:rPr>
          <w:b/>
          <w:bCs/>
        </w:rPr>
        <w:t>3</w:t>
      </w:r>
      <w:r w:rsidR="00100DEF">
        <w:rPr>
          <w:b/>
          <w:bCs/>
        </w:rPr>
        <w:t>5</w:t>
      </w:r>
      <w:r w:rsidR="004F0509" w:rsidRPr="004F0509">
        <w:rPr>
          <w:b/>
          <w:bCs/>
        </w:rPr>
        <w:t xml:space="preserve">. </w:t>
      </w:r>
      <w:r w:rsidR="00DD0ABC">
        <w:t>L’article</w:t>
      </w:r>
      <w:r w:rsidR="00C324CC">
        <w:t xml:space="preserve"> 3.66 du Code</w:t>
      </w:r>
      <w:r w:rsidR="00AA5F1C">
        <w:t xml:space="preserve"> </w:t>
      </w:r>
      <w:r w:rsidR="00C324CC">
        <w:t>civil attribue la propriété</w:t>
      </w:r>
      <w:r w:rsidR="00DD0ABC">
        <w:t xml:space="preserve"> des immeubles sans maître</w:t>
      </w:r>
      <w:r w:rsidR="00C324CC">
        <w:t xml:space="preserve"> </w:t>
      </w:r>
      <w:r w:rsidR="00764A4C">
        <w:t>à l’Etat</w:t>
      </w:r>
      <w:r w:rsidR="00C324CC">
        <w:t>, confirmant ainsi l’option prise par l’ancien Code civil</w:t>
      </w:r>
      <w:r w:rsidR="004C432D">
        <w:t xml:space="preserve">. </w:t>
      </w:r>
      <w:r w:rsidR="00C324CC">
        <w:t xml:space="preserve">Ces immeubles </w:t>
      </w:r>
      <w:r w:rsidR="004C432D">
        <w:t>reviennent</w:t>
      </w:r>
      <w:r w:rsidR="003E67A1">
        <w:t xml:space="preserve"> </w:t>
      </w:r>
      <w:r w:rsidR="00C324CC">
        <w:t xml:space="preserve">à l’Etat </w:t>
      </w:r>
      <w:r w:rsidR="003E67A1">
        <w:t>de plein droit, sans qu’il n’y ait lieu à prescription</w:t>
      </w:r>
      <w:r w:rsidR="003E67A1">
        <w:rPr>
          <w:rStyle w:val="Appelnotedebasdep"/>
        </w:rPr>
        <w:footnoteReference w:id="139"/>
      </w:r>
      <w:r w:rsidR="00630228">
        <w:t xml:space="preserve">. </w:t>
      </w:r>
    </w:p>
    <w:p w14:paraId="20ED626F" w14:textId="77777777" w:rsidR="00DD0ABC" w:rsidRDefault="00DD0ABC" w:rsidP="00836BAF"/>
    <w:p w14:paraId="0822D0F3" w14:textId="4BE37E7C" w:rsidR="006C46E8" w:rsidRDefault="00630228" w:rsidP="00836BAF">
      <w:r>
        <w:t xml:space="preserve">L’article 3.66 ajoute que </w:t>
      </w:r>
      <w:r w:rsidR="00F736F3">
        <w:t xml:space="preserve">cette attribution </w:t>
      </w:r>
      <w:r w:rsidR="00836BAF">
        <w:t xml:space="preserve">ne porte pas préjudice au droit </w:t>
      </w:r>
      <w:r w:rsidR="004205EE">
        <w:t xml:space="preserve">dont dispose </w:t>
      </w:r>
      <w:r w:rsidR="00836BAF">
        <w:t xml:space="preserve">l’Etat d'introduire une action en responsabilité contre le propriétaire précédent pour « d'éventuelles obligations, dépréciations ou dégradations relatives au bien immeuble ». </w:t>
      </w:r>
      <w:r w:rsidR="003151BA">
        <w:t xml:space="preserve">Ce recours </w:t>
      </w:r>
      <w:r w:rsidR="004205EE">
        <w:t>se fonde sur le</w:t>
      </w:r>
      <w:r w:rsidR="00ED1D4B">
        <w:t xml:space="preserve"> droit des obligations et pourrait</w:t>
      </w:r>
      <w:r w:rsidR="009C7C5C">
        <w:t>,</w:t>
      </w:r>
      <w:r w:rsidR="00ED1D4B">
        <w:t xml:space="preserve"> par exemple</w:t>
      </w:r>
      <w:r w:rsidR="009C7C5C">
        <w:t>,</w:t>
      </w:r>
      <w:r w:rsidR="00ED1D4B">
        <w:t xml:space="preserve"> viser le propriétaire </w:t>
      </w:r>
      <w:r w:rsidR="004205EE">
        <w:t>qui a</w:t>
      </w:r>
      <w:r w:rsidR="00ED1D4B">
        <w:t xml:space="preserve"> pollué </w:t>
      </w:r>
      <w:r w:rsidR="004205EE">
        <w:t>u</w:t>
      </w:r>
      <w:r w:rsidR="00ED1D4B">
        <w:t xml:space="preserve">n fonds avant </w:t>
      </w:r>
      <w:r w:rsidR="00EA75C5">
        <w:t>d’en faire abandon</w:t>
      </w:r>
      <w:r w:rsidR="00ED1D4B">
        <w:rPr>
          <w:rStyle w:val="Appelnotedebasdep"/>
        </w:rPr>
        <w:footnoteReference w:id="140"/>
      </w:r>
      <w:r w:rsidR="00ED1D4B">
        <w:t>.</w:t>
      </w:r>
    </w:p>
    <w:p w14:paraId="0BE1660D" w14:textId="77777777" w:rsidR="006C46E8" w:rsidRPr="006C46E8" w:rsidRDefault="006C46E8" w:rsidP="00836BAF"/>
    <w:p w14:paraId="5AE86B6E" w14:textId="6A32FA29" w:rsidR="00907D2D" w:rsidRPr="00907D2D" w:rsidRDefault="00907D2D" w:rsidP="00907D2D">
      <w:pPr>
        <w:pStyle w:val="Paragraphedeliste"/>
        <w:numPr>
          <w:ilvl w:val="1"/>
          <w:numId w:val="1"/>
        </w:numPr>
        <w:rPr>
          <w:b/>
          <w:bCs/>
          <w:sz w:val="24"/>
          <w:szCs w:val="24"/>
        </w:rPr>
      </w:pPr>
      <w:r w:rsidRPr="00907D2D">
        <w:rPr>
          <w:b/>
          <w:bCs/>
          <w:sz w:val="24"/>
          <w:szCs w:val="24"/>
        </w:rPr>
        <w:t>Choses non enlevées</w:t>
      </w:r>
    </w:p>
    <w:p w14:paraId="0A65F48E" w14:textId="77777777" w:rsidR="00EA75C5" w:rsidRDefault="00EA75C5" w:rsidP="00EA75C5"/>
    <w:p w14:paraId="7F6F1CBC" w14:textId="31EE3C99" w:rsidR="00EA75C5" w:rsidRDefault="00A35E37" w:rsidP="00EA75C5">
      <w:r>
        <w:rPr>
          <w:b/>
          <w:bCs/>
        </w:rPr>
        <w:t>3</w:t>
      </w:r>
      <w:r w:rsidR="00100DEF">
        <w:rPr>
          <w:b/>
          <w:bCs/>
        </w:rPr>
        <w:t>6</w:t>
      </w:r>
      <w:r w:rsidR="004F0509" w:rsidRPr="004F0509">
        <w:rPr>
          <w:b/>
          <w:bCs/>
        </w:rPr>
        <w:t xml:space="preserve">. </w:t>
      </w:r>
      <w:r w:rsidR="00566C2C">
        <w:t>Comme pour les biens trouvés, le Code instaure une procédure pour les choses</w:t>
      </w:r>
      <w:r w:rsidR="003969BA">
        <w:t xml:space="preserve"> mobilières</w:t>
      </w:r>
      <w:r w:rsidR="00566C2C">
        <w:t xml:space="preserve"> </w:t>
      </w:r>
      <w:r w:rsidR="00C56B27">
        <w:t xml:space="preserve">qui ont été </w:t>
      </w:r>
      <w:r w:rsidR="00004E1B">
        <w:t xml:space="preserve">confiées à un détenteur et non enlevées par le propriétaire. </w:t>
      </w:r>
      <w:r w:rsidR="00E71973">
        <w:t>Cette réglementation, qui figure à l’article 3.60</w:t>
      </w:r>
      <w:r w:rsidR="00CD7684">
        <w:t xml:space="preserve"> du Code civil, remplace </w:t>
      </w:r>
      <w:r w:rsidR="001C0831">
        <w:t xml:space="preserve">celle de </w:t>
      </w:r>
      <w:r w:rsidR="00CD7684">
        <w:t>la loi du 21 février 1983 relative à la vente de certains objets abandonnés</w:t>
      </w:r>
      <w:r w:rsidR="00CD7684">
        <w:rPr>
          <w:rStyle w:val="Appelnotedebasdep"/>
        </w:rPr>
        <w:footnoteReference w:id="141"/>
      </w:r>
      <w:r w:rsidR="00CD7684">
        <w:t xml:space="preserve">, </w:t>
      </w:r>
      <w:r w:rsidR="00FF7B7C">
        <w:t xml:space="preserve">qui se trouve par conséquent </w:t>
      </w:r>
      <w:r w:rsidR="00CD7684">
        <w:t>abrogée</w:t>
      </w:r>
      <w:r w:rsidR="00CD7684">
        <w:rPr>
          <w:rStyle w:val="Appelnotedebasdep"/>
        </w:rPr>
        <w:footnoteReference w:id="142"/>
      </w:r>
      <w:r w:rsidR="00CD7684">
        <w:t>.</w:t>
      </w:r>
    </w:p>
    <w:p w14:paraId="24976940" w14:textId="5FAD84A1" w:rsidR="00396DA2" w:rsidRDefault="00396DA2" w:rsidP="00EA75C5"/>
    <w:p w14:paraId="1EC6002A" w14:textId="2D520908" w:rsidR="00396DA2" w:rsidRDefault="00172851" w:rsidP="00EA75C5">
      <w:r>
        <w:t>L’article 3.60 du Code civil</w:t>
      </w:r>
      <w:r w:rsidR="00396DA2">
        <w:t xml:space="preserve"> </w:t>
      </w:r>
      <w:r>
        <w:t>s’applique aux</w:t>
      </w:r>
      <w:r w:rsidR="00396DA2">
        <w:t xml:space="preserve"> choses mobilières</w:t>
      </w:r>
      <w:r w:rsidR="001B5F21">
        <w:rPr>
          <w:rStyle w:val="Appelnotedebasdep"/>
        </w:rPr>
        <w:footnoteReference w:id="143"/>
      </w:r>
      <w:r w:rsidR="00396DA2">
        <w:t xml:space="preserve"> confiées </w:t>
      </w:r>
      <w:r w:rsidR="002E06F5">
        <w:t>« </w:t>
      </w:r>
      <w:r w:rsidR="00396DA2">
        <w:t>par un propriétaire ou un non-propriétaire</w:t>
      </w:r>
      <w:r w:rsidR="002E06F5">
        <w:t> »</w:t>
      </w:r>
      <w:r w:rsidR="00396DA2">
        <w:t xml:space="preserve"> </w:t>
      </w:r>
      <w:r w:rsidR="002E06F5">
        <w:t xml:space="preserve">à un détenteur, </w:t>
      </w:r>
      <w:r w:rsidR="002E06F5" w:rsidRPr="002E06F5">
        <w:t>« aux fins de conservation, de travaux, de réparation ou de nettoyage »</w:t>
      </w:r>
      <w:r>
        <w:t xml:space="preserve">. </w:t>
      </w:r>
    </w:p>
    <w:p w14:paraId="19F0C970" w14:textId="456C7E3E" w:rsidR="00172851" w:rsidRDefault="00172851" w:rsidP="00EA75C5"/>
    <w:p w14:paraId="6E33DEF9" w14:textId="707B330B" w:rsidR="00172851" w:rsidRDefault="00172851" w:rsidP="00EA75C5">
      <w:r>
        <w:t>Si celles-ci n’ont pas été récupérées, le détenteur a l’obligation d’</w:t>
      </w:r>
      <w:r w:rsidR="00FE59BD">
        <w:t xml:space="preserve">inviter le propriétaire à le faire, par le biais d’un envoi recommandé adressé </w:t>
      </w:r>
      <w:r w:rsidR="003969BA">
        <w:t xml:space="preserve">à son dernier </w:t>
      </w:r>
      <w:r w:rsidR="00FE59BD">
        <w:t>domicile connu (C. civ., art. 3.60, al. 1</w:t>
      </w:r>
      <w:r w:rsidR="00FE59BD" w:rsidRPr="00FE59BD">
        <w:rPr>
          <w:vertAlign w:val="superscript"/>
        </w:rPr>
        <w:t>er</w:t>
      </w:r>
      <w:r w:rsidR="00FE59BD">
        <w:t>).</w:t>
      </w:r>
      <w:r w:rsidR="004B1AF9">
        <w:t xml:space="preserve"> </w:t>
      </w:r>
      <w:r w:rsidR="0049061D">
        <w:t xml:space="preserve">Ce recommandé ne doit pas être adressé au co-contractant </w:t>
      </w:r>
      <w:r w:rsidR="009A5B72">
        <w:t>ou à la personne qui a remis le bien a</w:t>
      </w:r>
      <w:r w:rsidR="0049061D">
        <w:t>u détenteur, mais bien au propriétaire du bien</w:t>
      </w:r>
      <w:r w:rsidR="009A5B72">
        <w:t>, selon les termes de l’article 3.60</w:t>
      </w:r>
      <w:r w:rsidR="0049061D">
        <w:t>.</w:t>
      </w:r>
      <w:r w:rsidR="00A253A5">
        <w:t xml:space="preserve"> Toutefois, dans l’hypothèse où</w:t>
      </w:r>
      <w:r w:rsidR="004B1AF9">
        <w:t xml:space="preserve"> ce n’est pas le propriétaire qui a confié le bien et </w:t>
      </w:r>
      <w:r w:rsidR="00095A2B">
        <w:t xml:space="preserve">où l’identité du propriétaire est inconnue </w:t>
      </w:r>
      <w:r w:rsidR="009C7C5C">
        <w:t>du</w:t>
      </w:r>
      <w:r w:rsidR="00095A2B">
        <w:t xml:space="preserve"> détenteur</w:t>
      </w:r>
      <w:r w:rsidR="004B1AF9">
        <w:t xml:space="preserve">, </w:t>
      </w:r>
      <w:r w:rsidR="0049061D">
        <w:t>on peut penser qu</w:t>
      </w:r>
      <w:r w:rsidR="003969BA">
        <w:t xml:space="preserve">e </w:t>
      </w:r>
      <w:r w:rsidR="00095A2B">
        <w:t>ce dernier</w:t>
      </w:r>
      <w:r w:rsidR="003969BA">
        <w:t xml:space="preserve"> </w:t>
      </w:r>
      <w:r w:rsidR="00B365BB">
        <w:t>s’acquittera au mieux de son obligation en adressant le recommandé à la personne</w:t>
      </w:r>
      <w:r w:rsidR="00E63B59">
        <w:t xml:space="preserve"> qui lui a </w:t>
      </w:r>
      <w:r w:rsidR="002D2912">
        <w:t>remis</w:t>
      </w:r>
      <w:r w:rsidR="00E63B59">
        <w:t xml:space="preserve"> le bien.</w:t>
      </w:r>
    </w:p>
    <w:p w14:paraId="4ED832CC" w14:textId="5721926D" w:rsidR="00E63B59" w:rsidRDefault="00E63B59" w:rsidP="00EA75C5"/>
    <w:p w14:paraId="3DFB4307" w14:textId="0F951F41" w:rsidR="00E63B59" w:rsidRDefault="00B32356" w:rsidP="00EA75C5">
      <w:r>
        <w:t>Dans sa mouture d’origine, l’article 3.60 du Code civil prévoyait qu’</w:t>
      </w:r>
      <w:r w:rsidR="00526E1B">
        <w:t xml:space="preserve">un an après l’envoi du recommandé, la chose confiée au détenteur </w:t>
      </w:r>
      <w:r w:rsidR="006D0FFE">
        <w:t xml:space="preserve">devait être considérée comme une chose trouvée au sens </w:t>
      </w:r>
      <w:r w:rsidR="002D2912">
        <w:t>d</w:t>
      </w:r>
      <w:r w:rsidR="006D0FFE">
        <w:t>u Code civil</w:t>
      </w:r>
      <w:r w:rsidR="000C6CC3">
        <w:t>. Ce n’est finalement pas la solution retenue</w:t>
      </w:r>
      <w:r w:rsidR="009739E1">
        <w:t>, l’article 3.60 ayant été profondément revu à la suite d’un amendement parlementaire</w:t>
      </w:r>
      <w:r w:rsidR="009739E1">
        <w:rPr>
          <w:rStyle w:val="Appelnotedebasdep"/>
        </w:rPr>
        <w:footnoteReference w:id="144"/>
      </w:r>
      <w:r w:rsidR="009739E1">
        <w:t>.</w:t>
      </w:r>
    </w:p>
    <w:p w14:paraId="60149CA3" w14:textId="11CA00B2" w:rsidR="00B5751C" w:rsidRDefault="00B5751C" w:rsidP="00EA75C5"/>
    <w:p w14:paraId="0D895A39" w14:textId="19FC8C6C" w:rsidR="00B5751C" w:rsidRDefault="00B5751C" w:rsidP="00EA75C5">
      <w:r>
        <w:t>Au terme d’un délai d’un an</w:t>
      </w:r>
      <w:r w:rsidR="004756F7">
        <w:rPr>
          <w:rStyle w:val="Appelnotedebasdep"/>
        </w:rPr>
        <w:footnoteReference w:id="145"/>
      </w:r>
      <w:r>
        <w:t xml:space="preserve"> à compter de l’envoi recommandé, le détenteur peut faire vendre la chose </w:t>
      </w:r>
      <w:r w:rsidR="006E3C46">
        <w:t xml:space="preserve">« aux conditions prévues à l’article 3.58, § 3 » (C. civ., art. 3.60, al. 2), c’est-à-dire </w:t>
      </w:r>
      <w:r w:rsidR="00D02F4B">
        <w:t>« </w:t>
      </w:r>
      <w:r w:rsidR="00D02F4B" w:rsidRPr="00D02F4B">
        <w:t>de bonne foi et d'une manière économiquement justifiée</w:t>
      </w:r>
      <w:r w:rsidR="00D02F4B">
        <w:t> » (C. civ., art. 3.58, § 3).</w:t>
      </w:r>
      <w:r w:rsidR="00FF7B7C">
        <w:t xml:space="preserve"> A ces conditions, la vente peut avoir lieu de gré à gré</w:t>
      </w:r>
      <w:r w:rsidR="00A66DCA">
        <w:rPr>
          <w:rStyle w:val="Appelnotedebasdep"/>
        </w:rPr>
        <w:footnoteReference w:id="146"/>
      </w:r>
      <w:r w:rsidR="00057FF4">
        <w:t>.</w:t>
      </w:r>
      <w:r w:rsidR="00391902">
        <w:t xml:space="preserve"> L</w:t>
      </w:r>
      <w:r w:rsidR="00050C61">
        <w:t xml:space="preserve">’autre condition de l’article 3.58, § 3, du Code civil, </w:t>
      </w:r>
      <w:r w:rsidR="007F61CC">
        <w:t>à savoir</w:t>
      </w:r>
      <w:r w:rsidR="00050C61">
        <w:t xml:space="preserve"> le respect d’un délai de six mois à compter de la </w:t>
      </w:r>
      <w:r w:rsidR="002A79E8">
        <w:t>découverte, ne devrait pas s’appliquer dès lors qu’un délai d’un an est déjà imposé par l’article 3.60 du Code</w:t>
      </w:r>
      <w:r w:rsidR="007F61CC">
        <w:t xml:space="preserve"> au détenteur</w:t>
      </w:r>
      <w:r w:rsidR="002A79E8">
        <w:rPr>
          <w:rStyle w:val="Appelnotedebasdep"/>
        </w:rPr>
        <w:footnoteReference w:id="147"/>
      </w:r>
      <w:r w:rsidR="002A79E8">
        <w:t>.</w:t>
      </w:r>
    </w:p>
    <w:p w14:paraId="072E144A" w14:textId="0DCD2225" w:rsidR="00D47FD8" w:rsidRDefault="00D47FD8" w:rsidP="00EA75C5"/>
    <w:p w14:paraId="11A38EF4" w14:textId="6DD52E84" w:rsidR="00D47FD8" w:rsidRDefault="00D47FD8" w:rsidP="00EA75C5">
      <w:r>
        <w:t>Le troisième alinéa</w:t>
      </w:r>
      <w:r w:rsidR="00F92A0D">
        <w:t xml:space="preserve"> de l’article 3.60</w:t>
      </w:r>
      <w:r>
        <w:t xml:space="preserve"> </w:t>
      </w:r>
      <w:r w:rsidR="007F61CC">
        <w:t>indique</w:t>
      </w:r>
      <w:r>
        <w:t xml:space="preserve"> que le produit de la vente est transmis</w:t>
      </w:r>
      <w:r>
        <w:rPr>
          <w:rStyle w:val="Appelnotedebasdep"/>
        </w:rPr>
        <w:footnoteReference w:id="148"/>
      </w:r>
      <w:r>
        <w:t xml:space="preserve"> au détenteur</w:t>
      </w:r>
      <w:r w:rsidR="005F370B">
        <w:t xml:space="preserve"> qui</w:t>
      </w:r>
      <w:r w:rsidR="000A61FE">
        <w:t xml:space="preserve"> en </w:t>
      </w:r>
      <w:r w:rsidR="00433C4B">
        <w:t>reme</w:t>
      </w:r>
      <w:r w:rsidR="000A61FE">
        <w:t xml:space="preserve">t le solde au propriétaire </w:t>
      </w:r>
      <w:r w:rsidR="005F370B">
        <w:t>après avoir prélevé le montant de sa créance</w:t>
      </w:r>
      <w:r w:rsidR="001E2BB4">
        <w:t xml:space="preserve">. Au cours des débats parlementaires, il fut précisé que cette créance </w:t>
      </w:r>
      <w:r w:rsidR="000A61FE">
        <w:t xml:space="preserve">inclut « les frais de conservation mais aussi la </w:t>
      </w:r>
      <w:r w:rsidR="000A61FE">
        <w:lastRenderedPageBreak/>
        <w:t>rémunération de tous les services prestés à l’égard des choses »</w:t>
      </w:r>
      <w:r w:rsidR="000A61FE">
        <w:rPr>
          <w:rStyle w:val="Appelnotedebasdep"/>
        </w:rPr>
        <w:footnoteReference w:id="149"/>
      </w:r>
      <w:r w:rsidR="000A61FE">
        <w:t>. Cette précision aurait pu utilement figurer dans le texte de loi.</w:t>
      </w:r>
      <w:r w:rsidR="00C23D2B">
        <w:t xml:space="preserve"> Si le </w:t>
      </w:r>
      <w:r w:rsidR="00707D89">
        <w:t>propriétaire n’a pas de domicile ou de résidence connu</w:t>
      </w:r>
      <w:r w:rsidR="008601A7">
        <w:t>(e)</w:t>
      </w:r>
      <w:r w:rsidR="00707D89">
        <w:t>, le solde est versé sur un compte bancaire séparé</w:t>
      </w:r>
      <w:r w:rsidR="001F5628">
        <w:t>, mentionnant le nom du propriétaire</w:t>
      </w:r>
      <w:r w:rsidR="00323D0D">
        <w:t xml:space="preserve">. Après cinq ans, </w:t>
      </w:r>
      <w:r w:rsidR="0082692A">
        <w:t>le montant de ce compte est acquis au Trésor</w:t>
      </w:r>
      <w:r w:rsidR="007F1056">
        <w:t xml:space="preserve"> public</w:t>
      </w:r>
      <w:r w:rsidR="0082692A">
        <w:t xml:space="preserve"> s’il n’a pas été réclamé par le propriétaire.</w:t>
      </w:r>
    </w:p>
    <w:p w14:paraId="6F5BAA01" w14:textId="2A95E5CB" w:rsidR="0082692A" w:rsidRDefault="0082692A" w:rsidP="00EA75C5"/>
    <w:p w14:paraId="2DCC934A" w14:textId="28D627A2" w:rsidR="002E62B9" w:rsidRDefault="008601A7" w:rsidP="002E62B9">
      <w:r>
        <w:t>Comme le fait observer</w:t>
      </w:r>
      <w:r w:rsidR="0082692A" w:rsidRPr="00815452">
        <w:t xml:space="preserve"> Ch. </w:t>
      </w:r>
      <w:r w:rsidR="0082692A" w:rsidRPr="0082692A">
        <w:t>De Wulf, il faut a</w:t>
      </w:r>
      <w:r w:rsidR="0082692A">
        <w:t>dmettre que l</w:t>
      </w:r>
      <w:r w:rsidR="00F92A0D">
        <w:t xml:space="preserve">a procédure décrite impose un grand nombre d’initiatives à un détenteur qui, en définitive, </w:t>
      </w:r>
      <w:r w:rsidR="007D090A">
        <w:t>n’en tirera pas réellement avantage</w:t>
      </w:r>
      <w:r w:rsidR="00E636F4">
        <w:rPr>
          <w:rStyle w:val="Appelnotedebasdep"/>
        </w:rPr>
        <w:footnoteReference w:id="150"/>
      </w:r>
      <w:r w:rsidR="007D090A">
        <w:t>.</w:t>
      </w:r>
      <w:r w:rsidR="00190C5F">
        <w:t xml:space="preserve"> Cette procédure est par ailleurs particulièrement lourde </w:t>
      </w:r>
      <w:r w:rsidR="0061517C">
        <w:t>lorsque le</w:t>
      </w:r>
      <w:r w:rsidR="00190C5F">
        <w:t xml:space="preserve">s biens </w:t>
      </w:r>
      <w:r w:rsidR="00442CBF">
        <w:t>présentent une faible valeur (songeons aux chaussures oubliées chez un cordonnier).</w:t>
      </w:r>
      <w:r w:rsidR="000633A7">
        <w:t xml:space="preserve"> </w:t>
      </w:r>
      <w:r w:rsidR="0061517C">
        <w:t>En définitive, l</w:t>
      </w:r>
      <w:r w:rsidR="0043348E">
        <w:t xml:space="preserve">’avenir révèlera si </w:t>
      </w:r>
      <w:r w:rsidR="0061517C">
        <w:t>l’article 3.60 du Code civil fait l’objet d’une application scrupuleuse</w:t>
      </w:r>
      <w:r w:rsidR="0043348E">
        <w:t xml:space="preserve"> en pratique.</w:t>
      </w:r>
    </w:p>
    <w:p w14:paraId="1A36E52E" w14:textId="3AF6AF23" w:rsidR="00017111" w:rsidRDefault="00017111" w:rsidP="00907D2D"/>
    <w:p w14:paraId="24A99D65" w14:textId="43995CB5" w:rsidR="00A47508" w:rsidRPr="00A47508" w:rsidRDefault="00A47508" w:rsidP="00944335">
      <w:pPr>
        <w:pStyle w:val="Paragraphedeliste"/>
        <w:numPr>
          <w:ilvl w:val="0"/>
          <w:numId w:val="1"/>
        </w:numPr>
        <w:rPr>
          <w:b/>
          <w:bCs/>
          <w:sz w:val="24"/>
          <w:szCs w:val="24"/>
          <w:u w:val="single"/>
        </w:rPr>
      </w:pPr>
      <w:r w:rsidRPr="00A47508">
        <w:rPr>
          <w:b/>
          <w:bCs/>
          <w:sz w:val="28"/>
          <w:szCs w:val="28"/>
          <w:u w:val="single"/>
        </w:rPr>
        <w:t>Conclusion</w:t>
      </w:r>
    </w:p>
    <w:p w14:paraId="3DA9E808" w14:textId="77777777" w:rsidR="00A47508" w:rsidRDefault="00A47508" w:rsidP="00907D2D"/>
    <w:p w14:paraId="10F6ED80" w14:textId="3654ECE7" w:rsidR="00C15576" w:rsidRDefault="00A35E37" w:rsidP="00907D2D">
      <w:r>
        <w:rPr>
          <w:b/>
          <w:bCs/>
        </w:rPr>
        <w:t>3</w:t>
      </w:r>
      <w:r w:rsidR="00100DEF">
        <w:rPr>
          <w:b/>
          <w:bCs/>
        </w:rPr>
        <w:t>7</w:t>
      </w:r>
      <w:r w:rsidR="00DC7B87">
        <w:rPr>
          <w:b/>
          <w:bCs/>
        </w:rPr>
        <w:t xml:space="preserve">. </w:t>
      </w:r>
      <w:r w:rsidR="00654726">
        <w:t>Le droit de propriété présentera un nouveau visage</w:t>
      </w:r>
      <w:r w:rsidR="00D6467D">
        <w:t xml:space="preserve"> </w:t>
      </w:r>
      <w:r w:rsidR="00F03AC2">
        <w:t>à partir du 1</w:t>
      </w:r>
      <w:r w:rsidR="00F03AC2" w:rsidRPr="000F3982">
        <w:rPr>
          <w:vertAlign w:val="superscript"/>
        </w:rPr>
        <w:t>er</w:t>
      </w:r>
      <w:r w:rsidR="00F03AC2">
        <w:t xml:space="preserve"> septembre 2021, </w:t>
      </w:r>
      <w:r w:rsidR="009E1682">
        <w:t xml:space="preserve">à tout le moins </w:t>
      </w:r>
      <w:r w:rsidR="00D6467D">
        <w:t>pour les droits nés à compter de cette date. Les</w:t>
      </w:r>
      <w:r w:rsidR="00654726">
        <w:t xml:space="preserve"> </w:t>
      </w:r>
      <w:r w:rsidR="00886624">
        <w:t xml:space="preserve">dispositions transitoires de la </w:t>
      </w:r>
      <w:r w:rsidR="008B70DB">
        <w:t>loi du 4 février 2020</w:t>
      </w:r>
      <w:r w:rsidR="008B70DB">
        <w:rPr>
          <w:rStyle w:val="Appelnotedebasdep"/>
        </w:rPr>
        <w:footnoteReference w:id="151"/>
      </w:r>
      <w:r w:rsidR="008B70DB">
        <w:t xml:space="preserve"> </w:t>
      </w:r>
      <w:r w:rsidR="00B3307F">
        <w:t xml:space="preserve">indiquent en effet que la </w:t>
      </w:r>
      <w:r w:rsidR="009A3C3A">
        <w:t>nouvelle r</w:t>
      </w:r>
      <w:r w:rsidR="00E4498A">
        <w:t>é</w:t>
      </w:r>
      <w:r w:rsidR="009A3C3A">
        <w:t xml:space="preserve">glementation </w:t>
      </w:r>
      <w:r w:rsidR="00B3307F">
        <w:t xml:space="preserve">est applicable </w:t>
      </w:r>
      <w:r w:rsidR="007E46AB">
        <w:t xml:space="preserve">aux actes et aux faits juridiques </w:t>
      </w:r>
      <w:r w:rsidR="007E1CA9">
        <w:t>qui ont lieu après son entrée en vigueur</w:t>
      </w:r>
      <w:r w:rsidR="005B02A1">
        <w:t>,</w:t>
      </w:r>
      <w:r w:rsidR="007E1CA9">
        <w:t xml:space="preserve"> avec</w:t>
      </w:r>
      <w:r w:rsidR="005B02A1">
        <w:t xml:space="preserve"> toutefois</w:t>
      </w:r>
      <w:r w:rsidR="007E1CA9">
        <w:t xml:space="preserve"> une exception notable : elle ne</w:t>
      </w:r>
      <w:r w:rsidR="006D089F">
        <w:t xml:space="preserve"> s’applique pas à ce</w:t>
      </w:r>
      <w:r w:rsidR="0011158C">
        <w:t>s</w:t>
      </w:r>
      <w:r w:rsidR="006D089F">
        <w:t xml:space="preserve"> actes et faits juridiques </w:t>
      </w:r>
      <w:r w:rsidR="009E1682">
        <w:t xml:space="preserve">s’ils se rapportent à des droits réels découlant d’un acte ou d’un fait juridique survenu </w:t>
      </w:r>
      <w:r w:rsidR="0035504F">
        <w:t>avant son entrée en vigueur</w:t>
      </w:r>
      <w:r w:rsidR="0011158C">
        <w:t>, sauf si les parties conviennent du contraire</w:t>
      </w:r>
      <w:r w:rsidR="009E1682">
        <w:t>.</w:t>
      </w:r>
    </w:p>
    <w:p w14:paraId="70CBD380" w14:textId="77777777" w:rsidR="006D089F" w:rsidRPr="00633BD9" w:rsidRDefault="006D089F" w:rsidP="00907D2D"/>
    <w:p w14:paraId="26A0D0FB" w14:textId="3F3EB67D" w:rsidR="00C15576" w:rsidRDefault="00550AA8" w:rsidP="00907D2D">
      <w:r>
        <w:t xml:space="preserve">Ainsi, </w:t>
      </w:r>
      <w:r w:rsidR="000B3CFD">
        <w:t xml:space="preserve">la personne qui </w:t>
      </w:r>
      <w:r w:rsidR="00B77DC9">
        <w:t>a acheté</w:t>
      </w:r>
      <w:r w:rsidR="000B3CFD">
        <w:t xml:space="preserve"> un terrain le 31 </w:t>
      </w:r>
      <w:r w:rsidR="00D12F26">
        <w:t xml:space="preserve">août 2021 dispose d’un droit </w:t>
      </w:r>
      <w:r w:rsidR="00177D8C">
        <w:t>de propriété soumis à l’ancien Code civil pour toute sa durée</w:t>
      </w:r>
      <w:r w:rsidR="003A0EA6">
        <w:t xml:space="preserve">. Au contraire, </w:t>
      </w:r>
      <w:r w:rsidR="003114D2">
        <w:t>le même achat fait le lendemain, à savoir le 1</w:t>
      </w:r>
      <w:r w:rsidR="003114D2" w:rsidRPr="003114D2">
        <w:rPr>
          <w:vertAlign w:val="superscript"/>
        </w:rPr>
        <w:t>er</w:t>
      </w:r>
      <w:r w:rsidR="003114D2">
        <w:t xml:space="preserve"> septembre 202</w:t>
      </w:r>
      <w:r w:rsidR="00F866EE">
        <w:t xml:space="preserve">1, </w:t>
      </w:r>
      <w:r w:rsidR="003A0EA6">
        <w:t>a donné</w:t>
      </w:r>
      <w:r w:rsidR="00F866EE">
        <w:t xml:space="preserve"> lieu à un droit de propriété différent, car soumis au nouveau </w:t>
      </w:r>
      <w:r w:rsidR="003A0EA6">
        <w:t>livre 3 du Code civil</w:t>
      </w:r>
      <w:r w:rsidR="00F866EE">
        <w:t>.</w:t>
      </w:r>
    </w:p>
    <w:p w14:paraId="688F4B26" w14:textId="5C42EAA3" w:rsidR="00F866EE" w:rsidRDefault="00F866EE" w:rsidP="00907D2D"/>
    <w:p w14:paraId="0E305665" w14:textId="53CE41D3" w:rsidR="00F866EE" w:rsidRDefault="00DE5483" w:rsidP="00907D2D">
      <w:r>
        <w:t xml:space="preserve">Si </w:t>
      </w:r>
      <w:r w:rsidR="003A0EA6">
        <w:t>le</w:t>
      </w:r>
      <w:r>
        <w:t xml:space="preserve"> terrain </w:t>
      </w:r>
      <w:r w:rsidR="003A0EA6">
        <w:t xml:space="preserve">acheté le 31 août 2021 </w:t>
      </w:r>
      <w:r>
        <w:t>n’est ni bâti, ni cultivé, ni clôturé, c</w:t>
      </w:r>
      <w:r w:rsidR="003F73B1">
        <w:t xml:space="preserve">ela signifie-t-il que </w:t>
      </w:r>
      <w:r w:rsidR="005F32F3">
        <w:t>l</w:t>
      </w:r>
      <w:r>
        <w:t xml:space="preserve">es tiers </w:t>
      </w:r>
      <w:r w:rsidR="005F32F3">
        <w:t>qui s</w:t>
      </w:r>
      <w:r w:rsidR="003A0EA6">
        <w:t>’y</w:t>
      </w:r>
      <w:r w:rsidR="005F32F3">
        <w:t xml:space="preserve"> promèneraient au printemps 2022 ne pourraient pas s’y rendre en application de l’article 3.67 du Code civil</w:t>
      </w:r>
      <w:r w:rsidR="00281FE3">
        <w:t xml:space="preserve">, tandis qu’ils le pourraient s’il a été </w:t>
      </w:r>
      <w:r w:rsidR="00475CB9">
        <w:t xml:space="preserve">acheté </w:t>
      </w:r>
      <w:r w:rsidR="00427621">
        <w:t>à compter du</w:t>
      </w:r>
      <w:r w:rsidR="00475CB9">
        <w:t xml:space="preserve"> 1</w:t>
      </w:r>
      <w:r w:rsidR="00475CB9" w:rsidRPr="00475CB9">
        <w:rPr>
          <w:vertAlign w:val="superscript"/>
        </w:rPr>
        <w:t>er</w:t>
      </w:r>
      <w:r w:rsidR="00475CB9">
        <w:t xml:space="preserve"> septembre 2021</w:t>
      </w:r>
      <w:r w:rsidR="00281FE3">
        <w:t xml:space="preserve"> ? </w:t>
      </w:r>
      <w:r w:rsidR="000D6B7C">
        <w:t xml:space="preserve">C’est ce que semble </w:t>
      </w:r>
      <w:r w:rsidR="00F4722F">
        <w:t>impliquer le droit transitoire</w:t>
      </w:r>
      <w:r w:rsidR="000D6B7C">
        <w:t xml:space="preserve">, même si concrètement, </w:t>
      </w:r>
      <w:r w:rsidR="00CD51D4">
        <w:t xml:space="preserve">on peut se demander </w:t>
      </w:r>
      <w:r w:rsidR="00F4722F">
        <w:t>par quel biais</w:t>
      </w:r>
      <w:r w:rsidR="00CD51D4">
        <w:t xml:space="preserve"> ces </w:t>
      </w:r>
      <w:r w:rsidR="00BF008C">
        <w:t xml:space="preserve">promeneurs </w:t>
      </w:r>
      <w:r w:rsidR="00F4722F">
        <w:t>sera</w:t>
      </w:r>
      <w:r w:rsidR="00BF008C">
        <w:t xml:space="preserve">ient </w:t>
      </w:r>
      <w:r w:rsidR="00F4722F">
        <w:t xml:space="preserve">à même de </w:t>
      </w:r>
      <w:r w:rsidR="004A0C43">
        <w:t xml:space="preserve">connaitre </w:t>
      </w:r>
      <w:r w:rsidR="00BF008C">
        <w:t>le régime du bien qu’ils longent.</w:t>
      </w:r>
    </w:p>
    <w:p w14:paraId="79ED84B4" w14:textId="2808F96F" w:rsidR="00BF008C" w:rsidRDefault="00BF008C" w:rsidP="00907D2D"/>
    <w:p w14:paraId="7B55DD87" w14:textId="35FD0B42" w:rsidR="00BF008C" w:rsidRDefault="004A0C43" w:rsidP="00907D2D">
      <w:r>
        <w:t xml:space="preserve">Il s’agit là d’un exemple des difficultés concrètes auxquelles </w:t>
      </w:r>
      <w:r w:rsidR="00096D68">
        <w:t>la coexistence des deux régimes donnera lieu e</w:t>
      </w:r>
      <w:r w:rsidR="0035504F">
        <w:t>n pratique e</w:t>
      </w:r>
      <w:r w:rsidR="00096D68">
        <w:t>t il est en tout cas certain que tout juriste sera amené pendant longtemps encore à « jongler » avec le</w:t>
      </w:r>
      <w:r w:rsidR="006718C7">
        <w:t>s droits ancien et nouveau.</w:t>
      </w:r>
    </w:p>
    <w:p w14:paraId="28E885F7" w14:textId="7B6828DF" w:rsidR="007A51C3" w:rsidRDefault="007A51C3" w:rsidP="00907D2D"/>
    <w:p w14:paraId="51EB735E" w14:textId="3C839358" w:rsidR="007A5F07" w:rsidRDefault="00A35E37" w:rsidP="00907D2D">
      <w:r>
        <w:rPr>
          <w:b/>
          <w:bCs/>
        </w:rPr>
        <w:t>3</w:t>
      </w:r>
      <w:r w:rsidR="00100DEF">
        <w:rPr>
          <w:b/>
          <w:bCs/>
        </w:rPr>
        <w:t>8</w:t>
      </w:r>
      <w:r w:rsidR="007A51C3">
        <w:rPr>
          <w:b/>
          <w:bCs/>
        </w:rPr>
        <w:t xml:space="preserve">. </w:t>
      </w:r>
      <w:r w:rsidR="006B7885" w:rsidRPr="006B7885">
        <w:t>Qu</w:t>
      </w:r>
      <w:r w:rsidR="00C409D8">
        <w:t>ant aux propriétaires qui ont fait l’acquisition d’un bien depuis le 1</w:t>
      </w:r>
      <w:r w:rsidR="00C409D8" w:rsidRPr="00C409D8">
        <w:rPr>
          <w:vertAlign w:val="superscript"/>
        </w:rPr>
        <w:t>er</w:t>
      </w:r>
      <w:r w:rsidR="00C409D8">
        <w:t xml:space="preserve"> septembre 2021, qu’ils </w:t>
      </w:r>
      <w:r w:rsidR="0070144F" w:rsidRPr="0070144F">
        <w:t>se rassurent</w:t>
      </w:r>
      <w:r w:rsidR="00097433">
        <w:t xml:space="preserve"> </w:t>
      </w:r>
      <w:r w:rsidR="0070144F" w:rsidRPr="0070144F">
        <w:t xml:space="preserve">: </w:t>
      </w:r>
      <w:r w:rsidR="005F3B6C">
        <w:t xml:space="preserve">si le visage que présente la propriété se trouve changé, </w:t>
      </w:r>
      <w:r w:rsidR="00C24552">
        <w:t xml:space="preserve">il n’en est pas moins reconnaissable. </w:t>
      </w:r>
    </w:p>
    <w:p w14:paraId="34495958" w14:textId="7CF5591C" w:rsidR="007A5F07" w:rsidRDefault="007A5F07" w:rsidP="00907D2D"/>
    <w:p w14:paraId="20F7D01A" w14:textId="58790E32" w:rsidR="00DC7B87" w:rsidRDefault="00352942" w:rsidP="00DC7B87">
      <w:r>
        <w:t>Au terme de l’examen que nous avons pu faire</w:t>
      </w:r>
      <w:r w:rsidR="00097433">
        <w:t xml:space="preserve"> de </w:t>
      </w:r>
      <w:r w:rsidR="00EF217E">
        <w:t>l</w:t>
      </w:r>
      <w:r w:rsidR="00097433">
        <w:t xml:space="preserve">a </w:t>
      </w:r>
      <w:r w:rsidR="00EF217E">
        <w:t xml:space="preserve">nouvelle </w:t>
      </w:r>
      <w:r w:rsidR="00097433">
        <w:t>réglementation</w:t>
      </w:r>
      <w:r w:rsidR="00EF217E">
        <w:t xml:space="preserve"> du droit de propriété</w:t>
      </w:r>
      <w:r>
        <w:t xml:space="preserve">, </w:t>
      </w:r>
      <w:r w:rsidR="00177BE6">
        <w:t xml:space="preserve">il nous semble que le changement le plus important, mais aussi le plus appréciable, réside dans la plus </w:t>
      </w:r>
      <w:r w:rsidR="00177BE6">
        <w:lastRenderedPageBreak/>
        <w:t>grande lisibilité</w:t>
      </w:r>
      <w:r w:rsidR="006B35D5">
        <w:t xml:space="preserve"> qu</w:t>
      </w:r>
      <w:r w:rsidR="00EC6C84">
        <w:t>i</w:t>
      </w:r>
      <w:r w:rsidR="006B35D5">
        <w:t xml:space="preserve"> </w:t>
      </w:r>
      <w:r w:rsidR="00EC6C84">
        <w:t xml:space="preserve">est </w:t>
      </w:r>
      <w:r w:rsidR="006B35D5">
        <w:t>conf</w:t>
      </w:r>
      <w:r w:rsidR="00EC6C84">
        <w:t>érée</w:t>
      </w:r>
      <w:r w:rsidR="006B35D5">
        <w:t xml:space="preserve"> </w:t>
      </w:r>
      <w:r w:rsidR="0035504F">
        <w:t>à la</w:t>
      </w:r>
      <w:r w:rsidR="006B35D5">
        <w:t xml:space="preserve"> propriété </w:t>
      </w:r>
      <w:r w:rsidR="00EC6C84">
        <w:t xml:space="preserve">par </w:t>
      </w:r>
      <w:r w:rsidR="006B35D5">
        <w:t>son nouveau régime</w:t>
      </w:r>
      <w:r w:rsidR="0070416C">
        <w:t xml:space="preserve"> </w:t>
      </w:r>
      <w:r w:rsidR="00716E87">
        <w:t>: en plus d’intégrer</w:t>
      </w:r>
      <w:r w:rsidR="00880CE2">
        <w:t>, d’une part,</w:t>
      </w:r>
      <w:r w:rsidR="00716E87">
        <w:t xml:space="preserve"> certains acquis doctrinaux et jurisprudentiels</w:t>
      </w:r>
      <w:r w:rsidR="00716E87">
        <w:rPr>
          <w:rStyle w:val="Appelnotedebasdep"/>
        </w:rPr>
        <w:footnoteReference w:id="152"/>
      </w:r>
      <w:r w:rsidR="00FE0D62">
        <w:t xml:space="preserve"> et</w:t>
      </w:r>
      <w:r w:rsidR="00880CE2">
        <w:t>, d’autre part,</w:t>
      </w:r>
      <w:r w:rsidR="00FE0D62">
        <w:t xml:space="preserve"> des dispositions qui se trouvaient antérieurement éparpillées dans des lois particulières</w:t>
      </w:r>
      <w:r w:rsidR="005468E5">
        <w:rPr>
          <w:rStyle w:val="Appelnotedebasdep"/>
        </w:rPr>
        <w:footnoteReference w:id="153"/>
      </w:r>
      <w:r w:rsidR="00CE792F">
        <w:t xml:space="preserve">, </w:t>
      </w:r>
      <w:r w:rsidR="00FE0D62">
        <w:t>les nouveaux articles sont écrits</w:t>
      </w:r>
      <w:r w:rsidR="00183818">
        <w:t xml:space="preserve"> dans des termes </w:t>
      </w:r>
      <w:r w:rsidR="00FB7660">
        <w:t xml:space="preserve">clairs et adaptés à la vie </w:t>
      </w:r>
      <w:r w:rsidR="00045AFE">
        <w:t>a</w:t>
      </w:r>
      <w:r w:rsidR="00FB7660">
        <w:t>u XXI</w:t>
      </w:r>
      <w:r w:rsidR="00FB7660" w:rsidRPr="00FB7660">
        <w:rPr>
          <w:vertAlign w:val="superscript"/>
        </w:rPr>
        <w:t>e</w:t>
      </w:r>
      <w:r w:rsidR="00FB7660">
        <w:t xml:space="preserve"> siècle.</w:t>
      </w:r>
      <w:r w:rsidR="004048BE">
        <w:t xml:space="preserve"> Nous ne pouvons que nous en réjouir, en </w:t>
      </w:r>
      <w:r w:rsidR="005E31BA">
        <w:t xml:space="preserve">notre </w:t>
      </w:r>
      <w:r w:rsidR="004048BE">
        <w:t>qualité de juriste, mais également de citoyenne.</w:t>
      </w:r>
    </w:p>
    <w:p w14:paraId="6659511C" w14:textId="6457E4ED" w:rsidR="002A7640" w:rsidRPr="00907D2D" w:rsidRDefault="002A7640" w:rsidP="00907D2D"/>
    <w:sectPr w:rsidR="002A7640" w:rsidRPr="00907D2D">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10F45A" w14:textId="77777777" w:rsidR="00984685" w:rsidRDefault="00984685" w:rsidP="0024733A">
      <w:pPr>
        <w:spacing w:line="240" w:lineRule="auto"/>
      </w:pPr>
      <w:r>
        <w:separator/>
      </w:r>
    </w:p>
  </w:endnote>
  <w:endnote w:type="continuationSeparator" w:id="0">
    <w:p w14:paraId="498E2F94" w14:textId="77777777" w:rsidR="00984685" w:rsidRDefault="00984685" w:rsidP="0024733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05541488"/>
      <w:docPartObj>
        <w:docPartGallery w:val="Page Numbers (Bottom of Page)"/>
        <w:docPartUnique/>
      </w:docPartObj>
    </w:sdtPr>
    <w:sdtEndPr/>
    <w:sdtContent>
      <w:p w14:paraId="10A405FD" w14:textId="77777777" w:rsidR="00881FB7" w:rsidRDefault="00881FB7">
        <w:pPr>
          <w:pStyle w:val="Pieddepage"/>
          <w:jc w:val="right"/>
        </w:pPr>
      </w:p>
      <w:p w14:paraId="2AE3CF09" w14:textId="15950315" w:rsidR="00881FB7" w:rsidRDefault="00881FB7">
        <w:pPr>
          <w:pStyle w:val="Pieddepage"/>
          <w:jc w:val="right"/>
        </w:pPr>
        <w:r>
          <w:fldChar w:fldCharType="begin"/>
        </w:r>
        <w:r>
          <w:instrText>PAGE   \* MERGEFORMAT</w:instrText>
        </w:r>
        <w:r>
          <w:fldChar w:fldCharType="separate"/>
        </w:r>
        <w:r>
          <w:rPr>
            <w:lang w:val="fr-FR"/>
          </w:rPr>
          <w:t>2</w:t>
        </w:r>
        <w:r>
          <w:fldChar w:fldCharType="end"/>
        </w:r>
      </w:p>
    </w:sdtContent>
  </w:sdt>
  <w:p w14:paraId="675290AB" w14:textId="77777777" w:rsidR="00881FB7" w:rsidRDefault="00881FB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E47C44" w14:textId="77777777" w:rsidR="00984685" w:rsidRDefault="00984685" w:rsidP="0024733A">
      <w:pPr>
        <w:spacing w:line="240" w:lineRule="auto"/>
      </w:pPr>
      <w:r>
        <w:separator/>
      </w:r>
    </w:p>
  </w:footnote>
  <w:footnote w:type="continuationSeparator" w:id="0">
    <w:p w14:paraId="062A587A" w14:textId="77777777" w:rsidR="00984685" w:rsidRDefault="00984685" w:rsidP="0024733A">
      <w:pPr>
        <w:spacing w:line="240" w:lineRule="auto"/>
      </w:pPr>
      <w:r>
        <w:continuationSeparator/>
      </w:r>
    </w:p>
  </w:footnote>
  <w:footnote w:id="1">
    <w:p w14:paraId="617E91E6" w14:textId="22A16A7D" w:rsidR="00150348" w:rsidRDefault="00150348">
      <w:pPr>
        <w:pStyle w:val="Notedebasdepage"/>
      </w:pPr>
      <w:r>
        <w:rPr>
          <w:rStyle w:val="Appelnotedebasdep"/>
        </w:rPr>
        <w:footnoteRef/>
      </w:r>
      <w:r>
        <w:t xml:space="preserve"> </w:t>
      </w:r>
      <w:r w:rsidR="003A0535">
        <w:t>L</w:t>
      </w:r>
      <w:r w:rsidR="003A0535" w:rsidRPr="006B3855">
        <w:t xml:space="preserve">oi du 4 février 2020 portant le livre 3 </w:t>
      </w:r>
      <w:r w:rsidR="003A0535">
        <w:t>« </w:t>
      </w:r>
      <w:r w:rsidR="003A0535" w:rsidRPr="006B3855">
        <w:t>Les biens</w:t>
      </w:r>
      <w:r w:rsidR="003A0535">
        <w:t> »</w:t>
      </w:r>
      <w:r w:rsidR="003A0535" w:rsidRPr="006B3855">
        <w:t xml:space="preserve"> du Code civil</w:t>
      </w:r>
      <w:r w:rsidR="003A0535">
        <w:t xml:space="preserve">, </w:t>
      </w:r>
      <w:r w:rsidR="003A0535">
        <w:rPr>
          <w:i/>
          <w:iCs/>
        </w:rPr>
        <w:t>M.B.</w:t>
      </w:r>
      <w:r w:rsidR="003A0535">
        <w:t>, 17 mars 2020, p. 15753.</w:t>
      </w:r>
    </w:p>
  </w:footnote>
  <w:footnote w:id="2">
    <w:p w14:paraId="3EAF4648" w14:textId="57178651" w:rsidR="005D38F8" w:rsidRDefault="005D38F8">
      <w:pPr>
        <w:pStyle w:val="Notedebasdepage"/>
      </w:pPr>
      <w:r>
        <w:rPr>
          <w:rStyle w:val="Appelnotedebasdep"/>
        </w:rPr>
        <w:footnoteRef/>
      </w:r>
      <w:r>
        <w:t xml:space="preserve"> </w:t>
      </w:r>
      <w:r w:rsidR="00707504">
        <w:t xml:space="preserve">Proposition de loi du 16 juillet 2019, </w:t>
      </w:r>
      <w:r w:rsidR="007369C7">
        <w:t xml:space="preserve">portant insertion du livre 3 « Les biens » dans le nouveau Code civil (ci-après « Proposition de loi du 16 juillet 2019 »), Commentaire des articles, </w:t>
      </w:r>
      <w:r w:rsidR="007369C7">
        <w:rPr>
          <w:i/>
          <w:iCs/>
        </w:rPr>
        <w:t xml:space="preserve">Doc. </w:t>
      </w:r>
      <w:proofErr w:type="gramStart"/>
      <w:r w:rsidR="007369C7">
        <w:rPr>
          <w:i/>
          <w:iCs/>
        </w:rPr>
        <w:t>parl</w:t>
      </w:r>
      <w:proofErr w:type="gramEnd"/>
      <w:r w:rsidR="007369C7">
        <w:rPr>
          <w:i/>
          <w:iCs/>
        </w:rPr>
        <w:t>.</w:t>
      </w:r>
      <w:r w:rsidR="007369C7">
        <w:t xml:space="preserve">, Ch. Repr., sess. </w:t>
      </w:r>
      <w:proofErr w:type="gramStart"/>
      <w:r w:rsidR="007369C7">
        <w:t>extraord</w:t>
      </w:r>
      <w:proofErr w:type="gramEnd"/>
      <w:r w:rsidR="007369C7">
        <w:t xml:space="preserve">. 2019, </w:t>
      </w:r>
      <w:r w:rsidR="00707504">
        <w:t>p.</w:t>
      </w:r>
      <w:r w:rsidR="003B7F9D">
        <w:t xml:space="preserve"> 123.</w:t>
      </w:r>
    </w:p>
  </w:footnote>
  <w:footnote w:id="3">
    <w:p w14:paraId="355E70C2" w14:textId="6B98445C" w:rsidR="009D66E1" w:rsidRDefault="009D66E1">
      <w:pPr>
        <w:pStyle w:val="Notedebasdepage"/>
      </w:pPr>
      <w:r>
        <w:rPr>
          <w:rStyle w:val="Appelnotedebasdep"/>
        </w:rPr>
        <w:footnoteRef/>
      </w:r>
      <w:r>
        <w:t xml:space="preserve"> </w:t>
      </w:r>
      <w:r w:rsidR="00707504">
        <w:t>Proposition de loi du 16 juillet 2019, Commentaire des articles, n° 55-0173/001, p. 125.</w:t>
      </w:r>
    </w:p>
  </w:footnote>
  <w:footnote w:id="4">
    <w:p w14:paraId="6D2F684E" w14:textId="6B0AF64E" w:rsidR="008405FF" w:rsidRDefault="008405FF">
      <w:pPr>
        <w:pStyle w:val="Notedebasdepage"/>
      </w:pPr>
      <w:r>
        <w:rPr>
          <w:rStyle w:val="Appelnotedebasdep"/>
        </w:rPr>
        <w:footnoteRef/>
      </w:r>
      <w:r>
        <w:t xml:space="preserve"> Pour des études </w:t>
      </w:r>
      <w:r w:rsidR="00757016">
        <w:t>ayant fait le choix d’une structure respectant celle du Code civil</w:t>
      </w:r>
      <w:r w:rsidR="00BA740E">
        <w:t xml:space="preserve">, voy. </w:t>
      </w:r>
      <w:r w:rsidR="00757016">
        <w:t xml:space="preserve">N. </w:t>
      </w:r>
      <w:r w:rsidR="00757016">
        <w:rPr>
          <w:smallCaps/>
        </w:rPr>
        <w:t xml:space="preserve">Bernard, </w:t>
      </w:r>
      <w:r w:rsidR="00757016">
        <w:t xml:space="preserve">« Titre 3. Le droit de propriété », </w:t>
      </w:r>
      <w:r w:rsidR="00757016">
        <w:rPr>
          <w:i/>
          <w:iCs/>
        </w:rPr>
        <w:t xml:space="preserve">in </w:t>
      </w:r>
      <w:r w:rsidR="00757016" w:rsidRPr="00B15C97">
        <w:t>P. Lecocq</w:t>
      </w:r>
      <w:r w:rsidR="00757016">
        <w:t xml:space="preserve">, I. Durant, N. Bernard, B. Michaux, J.-Fr. Romain (dir.), </w:t>
      </w:r>
      <w:r w:rsidR="00757016">
        <w:rPr>
          <w:i/>
          <w:iCs/>
        </w:rPr>
        <w:t>Le nouveau droit des biens</w:t>
      </w:r>
      <w:r w:rsidR="00757016">
        <w:t>, Bruxelles, Larcier, 2020, p</w:t>
      </w:r>
      <w:r w:rsidR="00CA5346">
        <w:t xml:space="preserve">p. </w:t>
      </w:r>
      <w:r w:rsidR="006E69E7">
        <w:t xml:space="preserve">85-139 ; </w:t>
      </w:r>
      <w:r w:rsidR="005F6494">
        <w:t xml:space="preserve">N. </w:t>
      </w:r>
      <w:r w:rsidR="005F6494">
        <w:rPr>
          <w:smallCaps/>
        </w:rPr>
        <w:t xml:space="preserve">Bernard, </w:t>
      </w:r>
      <w:r w:rsidR="00EC3A4F">
        <w:rPr>
          <w:i/>
          <w:iCs/>
        </w:rPr>
        <w:t xml:space="preserve">Le droit des biens après la réforme de </w:t>
      </w:r>
      <w:r w:rsidR="00EC3A4F" w:rsidRPr="00EC3A4F">
        <w:rPr>
          <w:i/>
          <w:iCs/>
        </w:rPr>
        <w:t>2020</w:t>
      </w:r>
      <w:r w:rsidR="00EC3A4F">
        <w:t xml:space="preserve">, Limal, Anthemis, 2020, pp. </w:t>
      </w:r>
      <w:r w:rsidR="003E0962">
        <w:t>309-</w:t>
      </w:r>
      <w:r w:rsidR="005D728F">
        <w:t>426 (qui présente, en parallèle, l</w:t>
      </w:r>
      <w:r w:rsidR="008359F5">
        <w:t>es</w:t>
      </w:r>
      <w:r w:rsidR="005D728F">
        <w:t xml:space="preserve"> droit</w:t>
      </w:r>
      <w:r w:rsidR="008359F5">
        <w:t>s ancien et nouveau</w:t>
      </w:r>
      <w:r w:rsidR="005D728F">
        <w:t xml:space="preserve">) ; </w:t>
      </w:r>
      <w:r w:rsidR="0033170F" w:rsidRPr="00EC3A4F">
        <w:t>A</w:t>
      </w:r>
      <w:r w:rsidR="0033170F">
        <w:t>. D</w:t>
      </w:r>
      <w:r w:rsidR="0033170F" w:rsidRPr="001048C9">
        <w:rPr>
          <w:smallCaps/>
        </w:rPr>
        <w:t>espret</w:t>
      </w:r>
      <w:r w:rsidR="0033170F">
        <w:t xml:space="preserve">, « Le droit de propriété et le droit d’usufruit réformés », </w:t>
      </w:r>
      <w:r w:rsidR="0033170F">
        <w:rPr>
          <w:i/>
          <w:iCs/>
        </w:rPr>
        <w:t xml:space="preserve">in </w:t>
      </w:r>
      <w:r w:rsidR="0033170F">
        <w:t xml:space="preserve">N. Bernard (dir.), </w:t>
      </w:r>
      <w:r w:rsidR="0033170F">
        <w:rPr>
          <w:i/>
          <w:iCs/>
        </w:rPr>
        <w:t>Le droit des biens réformé</w:t>
      </w:r>
      <w:r w:rsidR="0033170F">
        <w:t>, Bruxelles, Larcier, 2020, pp. 81</w:t>
      </w:r>
      <w:r w:rsidR="001E0E2E">
        <w:t xml:space="preserve">-155, spéc. pp. </w:t>
      </w:r>
      <w:r w:rsidR="00FB61D7">
        <w:t>82-114</w:t>
      </w:r>
      <w:r w:rsidR="006E69E7">
        <w:t>.</w:t>
      </w:r>
    </w:p>
  </w:footnote>
  <w:footnote w:id="5">
    <w:p w14:paraId="4720AA5C" w14:textId="654F5FB7" w:rsidR="0024733A" w:rsidRPr="0024733A" w:rsidRDefault="0024733A" w:rsidP="00E447D1">
      <w:pPr>
        <w:pStyle w:val="Notedebasdepage"/>
      </w:pPr>
      <w:r w:rsidRPr="0024733A">
        <w:rPr>
          <w:rStyle w:val="Appelnotedebasdep"/>
        </w:rPr>
        <w:footnoteRef/>
      </w:r>
      <w:r w:rsidRPr="0024733A">
        <w:t xml:space="preserve"> « </w:t>
      </w:r>
      <w:r w:rsidRPr="0024733A">
        <w:rPr>
          <w:color w:val="000000"/>
        </w:rPr>
        <w:t>Les parties peuvent déroger aux dispositions du présent Livre, sauf s'il s'agit de définitions ou si la loi en dispose autrement ».</w:t>
      </w:r>
    </w:p>
  </w:footnote>
  <w:footnote w:id="6">
    <w:p w14:paraId="0E99F761" w14:textId="7790C390" w:rsidR="00720D11" w:rsidRDefault="00720D11">
      <w:pPr>
        <w:pStyle w:val="Notedebasdepage"/>
      </w:pPr>
      <w:r>
        <w:rPr>
          <w:rStyle w:val="Appelnotedebasdep"/>
        </w:rPr>
        <w:footnoteRef/>
      </w:r>
      <w:r>
        <w:t xml:space="preserve"> </w:t>
      </w:r>
      <w:r w:rsidR="002C3A1A">
        <w:t>Voy. Proposition de loi du 16 juillet 2019</w:t>
      </w:r>
      <w:r w:rsidR="007369C7">
        <w:t xml:space="preserve">, Commentaire des articles, </w:t>
      </w:r>
      <w:r w:rsidR="002C3A1A">
        <w:t>n° 55-0173/001, pp. 6-7.</w:t>
      </w:r>
    </w:p>
  </w:footnote>
  <w:footnote w:id="7">
    <w:p w14:paraId="79D6C6C7" w14:textId="7FECEA2B" w:rsidR="0016471A" w:rsidRDefault="0016471A">
      <w:pPr>
        <w:pStyle w:val="Notedebasdepage"/>
      </w:pPr>
      <w:r>
        <w:rPr>
          <w:rStyle w:val="Appelnotedebasdep"/>
        </w:rPr>
        <w:footnoteRef/>
      </w:r>
      <w:r>
        <w:t xml:space="preserve"> </w:t>
      </w:r>
      <w:r w:rsidR="002C3A1A">
        <w:t xml:space="preserve">Proposition de loi du 16 juillet 2019, Commentaire des articles, n° 55-0173/001, </w:t>
      </w:r>
      <w:r w:rsidR="00A75FAE">
        <w:t>p</w:t>
      </w:r>
      <w:r w:rsidR="00613B83">
        <w:t>p</w:t>
      </w:r>
      <w:r w:rsidR="00A75FAE">
        <w:t>.</w:t>
      </w:r>
      <w:r w:rsidR="00613B83">
        <w:t xml:space="preserve"> 123 et</w:t>
      </w:r>
      <w:r w:rsidR="00A75FAE">
        <w:t xml:space="preserve"> 126.</w:t>
      </w:r>
    </w:p>
  </w:footnote>
  <w:footnote w:id="8">
    <w:p w14:paraId="7939AEBD" w14:textId="46925125" w:rsidR="00B37ABB" w:rsidRDefault="00B37ABB">
      <w:pPr>
        <w:pStyle w:val="Notedebasdepage"/>
      </w:pPr>
      <w:r>
        <w:rPr>
          <w:rStyle w:val="Appelnotedebasdep"/>
        </w:rPr>
        <w:footnoteRef/>
      </w:r>
      <w:r>
        <w:t xml:space="preserve"> </w:t>
      </w:r>
      <w:r w:rsidR="00993F89">
        <w:t>Proposition de loi du 16 juillet 2019, Commentaire des articles, n° 55-0173/001, p. 126.</w:t>
      </w:r>
      <w:r w:rsidR="00943D76">
        <w:t xml:space="preserve"> Pour J.-Fr. Romain, </w:t>
      </w:r>
    </w:p>
  </w:footnote>
  <w:footnote w:id="9">
    <w:p w14:paraId="7F73865C" w14:textId="140E5F90" w:rsidR="006506FA" w:rsidRDefault="006506FA">
      <w:pPr>
        <w:pStyle w:val="Notedebasdepage"/>
      </w:pPr>
      <w:r>
        <w:rPr>
          <w:rStyle w:val="Appelnotedebasdep"/>
        </w:rPr>
        <w:footnoteRef/>
      </w:r>
      <w:r>
        <w:t xml:space="preserve"> Proposition de loi du 16 juillet 2019, Commentaire des articles, n° 55-0173/001, p. 126.</w:t>
      </w:r>
    </w:p>
  </w:footnote>
  <w:footnote w:id="10">
    <w:p w14:paraId="4CD053CF" w14:textId="06776DE3" w:rsidR="006506FA" w:rsidRDefault="006506FA">
      <w:pPr>
        <w:pStyle w:val="Notedebasdepage"/>
      </w:pPr>
      <w:r>
        <w:rPr>
          <w:rStyle w:val="Appelnotedebasdep"/>
        </w:rPr>
        <w:footnoteRef/>
      </w:r>
      <w:r>
        <w:t xml:space="preserve"> Proposition de loi du 16 juillet 2019, Commentaire des articles, n° 55-0173/001, p. 126.</w:t>
      </w:r>
    </w:p>
  </w:footnote>
  <w:footnote w:id="11">
    <w:p w14:paraId="007AC9E3" w14:textId="3F2361DD" w:rsidR="00E32AD8" w:rsidRDefault="00E32AD8">
      <w:pPr>
        <w:pStyle w:val="Notedebasdepage"/>
      </w:pPr>
      <w:r>
        <w:rPr>
          <w:rStyle w:val="Appelnotedebasdep"/>
        </w:rPr>
        <w:footnoteRef/>
      </w:r>
      <w:r w:rsidR="002A4831">
        <w:t xml:space="preserve"> Les fruits sont définis à l’article 3.42, alinéa 1</w:t>
      </w:r>
      <w:r w:rsidR="002A4831" w:rsidRPr="002A4831">
        <w:rPr>
          <w:vertAlign w:val="superscript"/>
        </w:rPr>
        <w:t>er</w:t>
      </w:r>
      <w:r w:rsidR="002A4831">
        <w:t>, du Code civil comme suit : «</w:t>
      </w:r>
      <w:r w:rsidR="00065948">
        <w:t xml:space="preserve"> </w:t>
      </w:r>
      <w:r w:rsidR="002A4831" w:rsidRPr="00065948">
        <w:t>Les fruits d'un bien sont ce que ce bien génère, périodiquement, sans altération de sa substance, que ce soit spontanément ou à la suite de sa valorisation</w:t>
      </w:r>
      <w:r w:rsidR="00065948" w:rsidRPr="00065948">
        <w:t xml:space="preserve"> ». Voy. </w:t>
      </w:r>
      <w:proofErr w:type="gramStart"/>
      <w:r w:rsidR="00E37190">
        <w:t>dans</w:t>
      </w:r>
      <w:proofErr w:type="gramEnd"/>
      <w:r w:rsidR="00E37190">
        <w:t xml:space="preserve"> cet ouvrage la </w:t>
      </w:r>
      <w:r w:rsidR="00065948" w:rsidRPr="00065948">
        <w:t>contribution d</w:t>
      </w:r>
      <w:r w:rsidR="00BB44D1">
        <w:t>e N</w:t>
      </w:r>
      <w:r w:rsidR="00BB44D1" w:rsidRPr="007B5F70">
        <w:rPr>
          <w:smallCaps/>
        </w:rPr>
        <w:t>. Bernard</w:t>
      </w:r>
      <w:r w:rsidR="00065948" w:rsidRPr="00065948">
        <w:t>.</w:t>
      </w:r>
    </w:p>
  </w:footnote>
  <w:footnote w:id="12">
    <w:p w14:paraId="26D43E6C" w14:textId="65754F5A" w:rsidR="00016DF5" w:rsidRPr="00694B6C" w:rsidRDefault="00016DF5" w:rsidP="00694B6C">
      <w:pPr>
        <w:spacing w:line="240" w:lineRule="auto"/>
        <w:rPr>
          <w:sz w:val="20"/>
          <w:szCs w:val="20"/>
        </w:rPr>
      </w:pPr>
      <w:r>
        <w:rPr>
          <w:rStyle w:val="Appelnotedebasdep"/>
        </w:rPr>
        <w:footnoteRef/>
      </w:r>
      <w:r>
        <w:t xml:space="preserve"> </w:t>
      </w:r>
      <w:r w:rsidR="00601114">
        <w:rPr>
          <w:sz w:val="20"/>
          <w:szCs w:val="20"/>
        </w:rPr>
        <w:t>C. civ., art. 3.29 :</w:t>
      </w:r>
      <w:r w:rsidR="00694B6C" w:rsidRPr="00694B6C">
        <w:rPr>
          <w:sz w:val="20"/>
          <w:szCs w:val="20"/>
        </w:rPr>
        <w:t xml:space="preserve"> </w:t>
      </w:r>
      <w:r w:rsidRPr="00694B6C">
        <w:rPr>
          <w:sz w:val="20"/>
          <w:szCs w:val="20"/>
        </w:rPr>
        <w:t>« Le possesseur tenu de restituer la chose peut conserver les fruits et produits que le droit possédé lui permettait, légalement ou contractuellement, d'acquérir, s'ils ont été perçus de bonne foi. Il les conserve sans aucune indemnisation pour les frais engagés.</w:t>
      </w:r>
    </w:p>
    <w:p w14:paraId="61AC18F9" w14:textId="79315F0B" w:rsidR="00016DF5" w:rsidRDefault="00016DF5" w:rsidP="00694B6C">
      <w:pPr>
        <w:spacing w:line="240" w:lineRule="auto"/>
      </w:pPr>
      <w:r w:rsidRPr="00694B6C">
        <w:rPr>
          <w:sz w:val="20"/>
          <w:szCs w:val="20"/>
        </w:rPr>
        <w:t>  Le possesseur qui est devenu titulaire du droit possédé par un mode originaire d'acquisition ne doit pas restituer les fruits perçus de mauvaise foi. En revanche, il doit restituer les produits, ou leur équivalent, perçus de mauvaise foi ».</w:t>
      </w:r>
      <w:r w:rsidR="00601114">
        <w:rPr>
          <w:sz w:val="20"/>
          <w:szCs w:val="20"/>
        </w:rPr>
        <w:t xml:space="preserve"> Voy.</w:t>
      </w:r>
      <w:r w:rsidR="00601114" w:rsidRPr="00E37190">
        <w:rPr>
          <w:sz w:val="20"/>
          <w:szCs w:val="20"/>
        </w:rPr>
        <w:t xml:space="preserve"> </w:t>
      </w:r>
      <w:proofErr w:type="gramStart"/>
      <w:r w:rsidR="00E37190" w:rsidRPr="00E37190">
        <w:rPr>
          <w:sz w:val="20"/>
          <w:szCs w:val="20"/>
        </w:rPr>
        <w:t>dans</w:t>
      </w:r>
      <w:proofErr w:type="gramEnd"/>
      <w:r w:rsidR="00E37190" w:rsidRPr="00E37190">
        <w:rPr>
          <w:sz w:val="20"/>
          <w:szCs w:val="20"/>
        </w:rPr>
        <w:t xml:space="preserve"> cet ouvrage </w:t>
      </w:r>
      <w:r w:rsidR="00601114" w:rsidRPr="00E37190">
        <w:rPr>
          <w:sz w:val="20"/>
          <w:szCs w:val="20"/>
        </w:rPr>
        <w:t xml:space="preserve">la contribution </w:t>
      </w:r>
      <w:r w:rsidR="00601114">
        <w:rPr>
          <w:sz w:val="20"/>
          <w:szCs w:val="20"/>
        </w:rPr>
        <w:t>de</w:t>
      </w:r>
      <w:r w:rsidR="00BB44D1">
        <w:rPr>
          <w:sz w:val="20"/>
          <w:szCs w:val="20"/>
        </w:rPr>
        <w:t xml:space="preserve"> </w:t>
      </w:r>
      <w:r w:rsidR="007B5F70">
        <w:rPr>
          <w:sz w:val="20"/>
          <w:szCs w:val="20"/>
        </w:rPr>
        <w:t xml:space="preserve">S. </w:t>
      </w:r>
      <w:r w:rsidR="007B5F70" w:rsidRPr="007B5F70">
        <w:rPr>
          <w:smallCaps/>
          <w:sz w:val="20"/>
          <w:szCs w:val="20"/>
        </w:rPr>
        <w:t xml:space="preserve">Boufflette </w:t>
      </w:r>
      <w:r w:rsidR="007B5F70" w:rsidRPr="007B5F70">
        <w:rPr>
          <w:sz w:val="20"/>
          <w:szCs w:val="20"/>
        </w:rPr>
        <w:t>et</w:t>
      </w:r>
      <w:r w:rsidR="007B5F70" w:rsidRPr="007B5F70">
        <w:rPr>
          <w:smallCaps/>
          <w:sz w:val="20"/>
          <w:szCs w:val="20"/>
        </w:rPr>
        <w:t xml:space="preserve"> A. Salvé</w:t>
      </w:r>
      <w:r w:rsidR="00601114">
        <w:rPr>
          <w:sz w:val="20"/>
          <w:szCs w:val="20"/>
        </w:rPr>
        <w:t>.</w:t>
      </w:r>
    </w:p>
  </w:footnote>
  <w:footnote w:id="13">
    <w:p w14:paraId="0598073A" w14:textId="0A85FAE8" w:rsidR="004B5B90" w:rsidRPr="00B046BF" w:rsidRDefault="004B5B90">
      <w:pPr>
        <w:pStyle w:val="Notedebasdepage"/>
        <w:rPr>
          <w:smallCaps/>
        </w:rPr>
      </w:pPr>
      <w:r>
        <w:rPr>
          <w:rStyle w:val="Appelnotedebasdep"/>
        </w:rPr>
        <w:footnoteRef/>
      </w:r>
      <w:r>
        <w:t xml:space="preserve"> </w:t>
      </w:r>
      <w:r w:rsidR="00CE68F5">
        <w:t xml:space="preserve">N. </w:t>
      </w:r>
      <w:r w:rsidR="00CE68F5">
        <w:rPr>
          <w:smallCaps/>
        </w:rPr>
        <w:t xml:space="preserve">Bernard, </w:t>
      </w:r>
      <w:r w:rsidR="00CE68F5">
        <w:t>« </w:t>
      </w:r>
      <w:r w:rsidR="008A3187">
        <w:t>Titre 3. Le droit de propriété »</w:t>
      </w:r>
      <w:r w:rsidR="00B15C97">
        <w:t xml:space="preserve">, </w:t>
      </w:r>
      <w:r w:rsidR="00B15C97">
        <w:rPr>
          <w:i/>
          <w:iCs/>
        </w:rPr>
        <w:t xml:space="preserve">in </w:t>
      </w:r>
      <w:r w:rsidR="00B15C97" w:rsidRPr="00B15C97">
        <w:t>P. Lecocq</w:t>
      </w:r>
      <w:r w:rsidR="00B15C97">
        <w:t xml:space="preserve">, I. Durant, N. Bernard, </w:t>
      </w:r>
      <w:r w:rsidR="00B046BF">
        <w:t xml:space="preserve">B. Michaux, J.-Fr. Romain (dir.), </w:t>
      </w:r>
      <w:r w:rsidR="00B046BF">
        <w:rPr>
          <w:i/>
          <w:iCs/>
        </w:rPr>
        <w:t>Le nouveau droit des biens</w:t>
      </w:r>
      <w:r w:rsidR="00B046BF">
        <w:t>, Bruxelles, Larcier, 2020, p. 97, n° 23.</w:t>
      </w:r>
    </w:p>
  </w:footnote>
  <w:footnote w:id="14">
    <w:p w14:paraId="7C492274" w14:textId="4D01523A" w:rsidR="006506FA" w:rsidRDefault="006506FA">
      <w:pPr>
        <w:pStyle w:val="Notedebasdepage"/>
      </w:pPr>
      <w:r>
        <w:rPr>
          <w:rStyle w:val="Appelnotedebasdep"/>
        </w:rPr>
        <w:footnoteRef/>
      </w:r>
      <w:r>
        <w:t xml:space="preserve"> Proposition de loi du 16 juillet 2019, Commentaire des articles, n° 55-0173/001, p. 126.</w:t>
      </w:r>
    </w:p>
  </w:footnote>
  <w:footnote w:id="15">
    <w:p w14:paraId="6E5A7761" w14:textId="5A353C96" w:rsidR="00F704DE" w:rsidRDefault="00F704DE">
      <w:pPr>
        <w:pStyle w:val="Notedebasdepage"/>
      </w:pPr>
      <w:r>
        <w:rPr>
          <w:rStyle w:val="Appelnotedebasdep"/>
        </w:rPr>
        <w:footnoteRef/>
      </w:r>
      <w:r>
        <w:t xml:space="preserve"> Proposition de loi du 16 juillet 2019, Commentaire des articles, n° 55-0173/001, p. 127.</w:t>
      </w:r>
    </w:p>
  </w:footnote>
  <w:footnote w:id="16">
    <w:p w14:paraId="2C9AB01E" w14:textId="0AACCD00" w:rsidR="004E7C7C" w:rsidRPr="00F5728C" w:rsidRDefault="004E7C7C">
      <w:pPr>
        <w:pStyle w:val="Notedebasdepage"/>
        <w:rPr>
          <w:smallCaps/>
        </w:rPr>
      </w:pPr>
      <w:r>
        <w:rPr>
          <w:rStyle w:val="Appelnotedebasdep"/>
        </w:rPr>
        <w:footnoteRef/>
      </w:r>
      <w:r>
        <w:t xml:space="preserve"> </w:t>
      </w:r>
      <w:r w:rsidR="00746987">
        <w:t xml:space="preserve">P. </w:t>
      </w:r>
      <w:r w:rsidR="00746987">
        <w:rPr>
          <w:smallCaps/>
        </w:rPr>
        <w:t xml:space="preserve">Lecocq, </w:t>
      </w:r>
      <w:r w:rsidR="00746987">
        <w:t>« L’étendue de la propriété immobilière : évolutions présentes, et à venir ? »,</w:t>
      </w:r>
      <w:r w:rsidR="00D750B1">
        <w:t xml:space="preserve"> </w:t>
      </w:r>
      <w:r w:rsidR="00D750B1">
        <w:rPr>
          <w:i/>
          <w:iCs/>
        </w:rPr>
        <w:t xml:space="preserve">in </w:t>
      </w:r>
      <w:r w:rsidR="00D750B1">
        <w:t xml:space="preserve">P. Lecocq (dir.), </w:t>
      </w:r>
      <w:r w:rsidR="00D750B1">
        <w:rPr>
          <w:i/>
          <w:iCs/>
        </w:rPr>
        <w:t>Biens, propriété et copropriété : controverses et réforme</w:t>
      </w:r>
      <w:r w:rsidR="00D750B1">
        <w:t xml:space="preserve">, </w:t>
      </w:r>
      <w:r w:rsidR="0017630E">
        <w:t>Limal, Anthemis, 2019,</w:t>
      </w:r>
      <w:r w:rsidR="00746987">
        <w:t xml:space="preserve"> p. 81, n° 5. </w:t>
      </w:r>
      <w:r w:rsidR="006B2ADB">
        <w:t xml:space="preserve">Voy. </w:t>
      </w:r>
      <w:proofErr w:type="gramStart"/>
      <w:r w:rsidR="006B2ADB">
        <w:t>ég</w:t>
      </w:r>
      <w:proofErr w:type="gramEnd"/>
      <w:r w:rsidR="006B2ADB">
        <w:t xml:space="preserve">. </w:t>
      </w:r>
      <w:r>
        <w:t xml:space="preserve">N. </w:t>
      </w:r>
      <w:r>
        <w:rPr>
          <w:smallCaps/>
        </w:rPr>
        <w:t xml:space="preserve">Bernard, </w:t>
      </w:r>
      <w:r>
        <w:t xml:space="preserve">« Titre 3. Le droit de propriété », </w:t>
      </w:r>
      <w:r>
        <w:rPr>
          <w:i/>
          <w:iCs/>
        </w:rPr>
        <w:t xml:space="preserve">in </w:t>
      </w:r>
      <w:r w:rsidRPr="00B15C97">
        <w:t>P. Lecocq</w:t>
      </w:r>
      <w:r>
        <w:t xml:space="preserve">, I. Durant, N. Bernard, B. Michaux, J.-Fr. Romain (dir.), </w:t>
      </w:r>
      <w:r>
        <w:rPr>
          <w:i/>
          <w:iCs/>
        </w:rPr>
        <w:t>Le nouveau droit des biens</w:t>
      </w:r>
      <w:r>
        <w:t>, Bruxelles, Larcier, 2020, p. 91, n° 13.</w:t>
      </w:r>
      <w:r w:rsidR="00F5728C">
        <w:t xml:space="preserve"> </w:t>
      </w:r>
    </w:p>
  </w:footnote>
  <w:footnote w:id="17">
    <w:p w14:paraId="04B07E39" w14:textId="7311F6F2" w:rsidR="00C51E4A" w:rsidRPr="00144255" w:rsidRDefault="00C51E4A">
      <w:pPr>
        <w:pStyle w:val="Notedebasdepage"/>
        <w:rPr>
          <w:lang w:val="nl-BE"/>
        </w:rPr>
      </w:pPr>
      <w:r>
        <w:rPr>
          <w:rStyle w:val="Appelnotedebasdep"/>
        </w:rPr>
        <w:footnoteRef/>
      </w:r>
      <w:r>
        <w:t xml:space="preserve"> N. </w:t>
      </w:r>
      <w:r>
        <w:rPr>
          <w:smallCaps/>
        </w:rPr>
        <w:t xml:space="preserve">Bernard, </w:t>
      </w:r>
      <w:r>
        <w:t xml:space="preserve">« Titre 3. Le droit de propriété », </w:t>
      </w:r>
      <w:r>
        <w:rPr>
          <w:i/>
          <w:iCs/>
        </w:rPr>
        <w:t xml:space="preserve">in </w:t>
      </w:r>
      <w:r w:rsidRPr="00B15C97">
        <w:t>P. Lecocq</w:t>
      </w:r>
      <w:r>
        <w:t xml:space="preserve">, I. Durant, N. Bernard, B. Michaux, J.-Fr. Romain (dir.), </w:t>
      </w:r>
      <w:r>
        <w:rPr>
          <w:i/>
          <w:iCs/>
        </w:rPr>
        <w:t>Le nouveau droit des biens</w:t>
      </w:r>
      <w:r>
        <w:t>, Bruxelles, Larcier, 2020, p. 91, n° 13.</w:t>
      </w:r>
      <w:r w:rsidR="00144255">
        <w:t xml:space="preserve"> </w:t>
      </w:r>
      <w:r w:rsidR="00144255" w:rsidRPr="00144255">
        <w:rPr>
          <w:lang w:val="nl-BE"/>
        </w:rPr>
        <w:t xml:space="preserve">En ce sens ég., voy. D. </w:t>
      </w:r>
      <w:r w:rsidR="00144255" w:rsidRPr="00144255">
        <w:rPr>
          <w:smallCaps/>
          <w:lang w:val="nl-BE"/>
        </w:rPr>
        <w:t>Gruyaert, « </w:t>
      </w:r>
      <w:r w:rsidR="00144255" w:rsidRPr="00144255">
        <w:rPr>
          <w:lang w:val="nl-BE"/>
        </w:rPr>
        <w:t xml:space="preserve">Eigendom », </w:t>
      </w:r>
      <w:r w:rsidR="00144255" w:rsidRPr="00144255">
        <w:rPr>
          <w:i/>
          <w:iCs/>
          <w:lang w:val="nl-BE"/>
        </w:rPr>
        <w:t xml:space="preserve">in </w:t>
      </w:r>
      <w:r w:rsidR="007C6D8F">
        <w:rPr>
          <w:lang w:val="nl-BE"/>
        </w:rPr>
        <w:t xml:space="preserve">V. Sagaert, </w:t>
      </w:r>
      <w:r w:rsidR="00684139">
        <w:rPr>
          <w:lang w:val="nl-BE"/>
        </w:rPr>
        <w:t xml:space="preserve">J. Baeck, N. Carette, P. Lecocq, </w:t>
      </w:r>
      <w:r w:rsidR="00E35716">
        <w:rPr>
          <w:lang w:val="nl-BE"/>
        </w:rPr>
        <w:t xml:space="preserve">M. Muylle, </w:t>
      </w:r>
      <w:r w:rsidR="00684139">
        <w:rPr>
          <w:lang w:val="nl-BE"/>
        </w:rPr>
        <w:t xml:space="preserve">A. Wylleman (dir.), </w:t>
      </w:r>
      <w:r w:rsidR="00144255" w:rsidRPr="00144255">
        <w:rPr>
          <w:i/>
          <w:iCs/>
          <w:lang w:val="nl-BE"/>
        </w:rPr>
        <w:t>Het n</w:t>
      </w:r>
      <w:r w:rsidR="00144255">
        <w:rPr>
          <w:i/>
          <w:iCs/>
          <w:lang w:val="nl-BE"/>
        </w:rPr>
        <w:t>ieuwe goederenrecht</w:t>
      </w:r>
      <w:r w:rsidR="00144255">
        <w:rPr>
          <w:lang w:val="nl-BE"/>
        </w:rPr>
        <w:t xml:space="preserve">, </w:t>
      </w:r>
      <w:r w:rsidR="006A1E70">
        <w:rPr>
          <w:lang w:val="nl-BE"/>
        </w:rPr>
        <w:t>Anvers, Intersentia, 2021, p.</w:t>
      </w:r>
      <w:r w:rsidR="007C6D8F">
        <w:rPr>
          <w:lang w:val="nl-BE"/>
        </w:rPr>
        <w:t xml:space="preserve"> 263, n° 25.</w:t>
      </w:r>
    </w:p>
  </w:footnote>
  <w:footnote w:id="18">
    <w:p w14:paraId="647D107D" w14:textId="27514EA0" w:rsidR="00F63636" w:rsidRDefault="00F63636">
      <w:pPr>
        <w:pStyle w:val="Notedebasdepage"/>
      </w:pPr>
      <w:r>
        <w:rPr>
          <w:rStyle w:val="Appelnotedebasdep"/>
        </w:rPr>
        <w:footnoteRef/>
      </w:r>
      <w:r>
        <w:t xml:space="preserve"> Proposition de loi du 16 juillet 2019, Commentaire des articles, n° 55-0173/001, p. 130.</w:t>
      </w:r>
    </w:p>
  </w:footnote>
  <w:footnote w:id="19">
    <w:p w14:paraId="3E913222" w14:textId="3001653F" w:rsidR="009826E0" w:rsidRPr="00384CA3" w:rsidRDefault="009826E0">
      <w:pPr>
        <w:pStyle w:val="Notedebasdepage"/>
      </w:pPr>
      <w:r>
        <w:rPr>
          <w:rStyle w:val="Appelnotedebasdep"/>
        </w:rPr>
        <w:footnoteRef/>
      </w:r>
      <w:r>
        <w:t xml:space="preserve"> </w:t>
      </w:r>
      <w:r w:rsidR="00A85348">
        <w:t xml:space="preserve">Relativisant ce caractère, estimant que </w:t>
      </w:r>
      <w:r w:rsidR="00515E9E">
        <w:t>l’exclusivité est un terme polysémique et controversé, voy.</w:t>
      </w:r>
      <w:r w:rsidR="003B43AE">
        <w:t xml:space="preserve"> </w:t>
      </w:r>
      <w:proofErr w:type="gramStart"/>
      <w:r w:rsidR="003B43AE">
        <w:t>toutefois</w:t>
      </w:r>
      <w:proofErr w:type="gramEnd"/>
      <w:r w:rsidR="00515E9E">
        <w:t xml:space="preserve"> P. </w:t>
      </w:r>
      <w:r w:rsidR="00515E9E">
        <w:rPr>
          <w:smallCaps/>
        </w:rPr>
        <w:t>Lecocq</w:t>
      </w:r>
      <w:r w:rsidR="00094FD4">
        <w:rPr>
          <w:smallCaps/>
        </w:rPr>
        <w:t xml:space="preserve"> </w:t>
      </w:r>
      <w:r w:rsidR="00094FD4">
        <w:rPr>
          <w:i/>
          <w:iCs/>
        </w:rPr>
        <w:t>et al.</w:t>
      </w:r>
      <w:r w:rsidR="00515E9E">
        <w:rPr>
          <w:smallCaps/>
        </w:rPr>
        <w:t xml:space="preserve">, </w:t>
      </w:r>
      <w:r w:rsidR="00515E9E">
        <w:t>« L</w:t>
      </w:r>
      <w:r w:rsidR="00094FD4">
        <w:t>a r</w:t>
      </w:r>
      <w:r w:rsidR="00515E9E">
        <w:t>é</w:t>
      </w:r>
      <w:r w:rsidR="00094FD4">
        <w:t>forme du droit des biens. Aspects notariaux</w:t>
      </w:r>
      <w:r w:rsidR="00515E9E">
        <w:t> »</w:t>
      </w:r>
      <w:r w:rsidR="00384CA3">
        <w:t xml:space="preserve">, </w:t>
      </w:r>
      <w:r w:rsidR="00384CA3">
        <w:rPr>
          <w:i/>
          <w:iCs/>
        </w:rPr>
        <w:t xml:space="preserve">in </w:t>
      </w:r>
      <w:r w:rsidR="002E41F8">
        <w:t xml:space="preserve">Y.-H. </w:t>
      </w:r>
      <w:r w:rsidR="002E41F8">
        <w:rPr>
          <w:smallCaps/>
        </w:rPr>
        <w:t>Leleu (</w:t>
      </w:r>
      <w:r w:rsidR="002E41F8">
        <w:t xml:space="preserve">dir.), </w:t>
      </w:r>
      <w:r w:rsidR="00384CA3">
        <w:rPr>
          <w:i/>
          <w:iCs/>
        </w:rPr>
        <w:t xml:space="preserve">Chroniques notariales, </w:t>
      </w:r>
      <w:r w:rsidR="00384CA3">
        <w:t>vol. 72,</w:t>
      </w:r>
      <w:r w:rsidR="002E41F8">
        <w:t xml:space="preserve"> Bruxelles, Larcier, 2021, p. 79, n° 53.</w:t>
      </w:r>
    </w:p>
  </w:footnote>
  <w:footnote w:id="20">
    <w:p w14:paraId="6D53920E" w14:textId="2559B774" w:rsidR="005D4C78" w:rsidRPr="004012A2" w:rsidRDefault="005D4C78">
      <w:pPr>
        <w:pStyle w:val="Notedebasdepage"/>
        <w:rPr>
          <w:lang w:val="nl-BE"/>
        </w:rPr>
      </w:pPr>
      <w:r>
        <w:rPr>
          <w:rStyle w:val="Appelnotedebasdep"/>
        </w:rPr>
        <w:footnoteRef/>
      </w:r>
      <w:r>
        <w:t xml:space="preserve"> </w:t>
      </w:r>
      <w:r w:rsidR="004012A2">
        <w:t xml:space="preserve">Proposition de loi du 16 juillet 2019, Commentaire des articles, n° 55-0173/001, p. 127. </w:t>
      </w:r>
      <w:r w:rsidR="004012A2" w:rsidRPr="004012A2">
        <w:rPr>
          <w:lang w:val="nl-BE"/>
        </w:rPr>
        <w:t xml:space="preserve">Sur ceci, voy. </w:t>
      </w:r>
      <w:r w:rsidR="004012A2" w:rsidRPr="00144255">
        <w:rPr>
          <w:lang w:val="nl-BE"/>
        </w:rPr>
        <w:t xml:space="preserve">D. </w:t>
      </w:r>
      <w:r w:rsidR="004012A2" w:rsidRPr="00144255">
        <w:rPr>
          <w:smallCaps/>
          <w:lang w:val="nl-BE"/>
        </w:rPr>
        <w:t>Gruyaert, « </w:t>
      </w:r>
      <w:r w:rsidR="004012A2" w:rsidRPr="00144255">
        <w:rPr>
          <w:lang w:val="nl-BE"/>
        </w:rPr>
        <w:t xml:space="preserve">Eigendom », </w:t>
      </w:r>
      <w:r w:rsidR="004012A2" w:rsidRPr="00144255">
        <w:rPr>
          <w:i/>
          <w:iCs/>
          <w:lang w:val="nl-BE"/>
        </w:rPr>
        <w:t xml:space="preserve">in </w:t>
      </w:r>
      <w:r w:rsidR="004012A2">
        <w:rPr>
          <w:lang w:val="nl-BE"/>
        </w:rPr>
        <w:t xml:space="preserve">V. Sagaert, J. Baeck, N. Carette, P. Lecocq, M. Muylle, A. Wylleman (dir.), </w:t>
      </w:r>
      <w:r w:rsidR="004012A2" w:rsidRPr="00144255">
        <w:rPr>
          <w:i/>
          <w:iCs/>
          <w:lang w:val="nl-BE"/>
        </w:rPr>
        <w:t>Het n</w:t>
      </w:r>
      <w:r w:rsidR="004012A2">
        <w:rPr>
          <w:i/>
          <w:iCs/>
          <w:lang w:val="nl-BE"/>
        </w:rPr>
        <w:t>ieuwe goederenrecht</w:t>
      </w:r>
      <w:r w:rsidR="004012A2">
        <w:rPr>
          <w:lang w:val="nl-BE"/>
        </w:rPr>
        <w:t>, Anvers, Intersentia, 2021, p</w:t>
      </w:r>
      <w:r w:rsidR="007F6BCA">
        <w:rPr>
          <w:lang w:val="nl-BE"/>
        </w:rPr>
        <w:t>p</w:t>
      </w:r>
      <w:r w:rsidR="004012A2">
        <w:rPr>
          <w:lang w:val="nl-BE"/>
        </w:rPr>
        <w:t>. 26</w:t>
      </w:r>
      <w:r w:rsidR="007F6BCA">
        <w:rPr>
          <w:lang w:val="nl-BE"/>
        </w:rPr>
        <w:t>2-265</w:t>
      </w:r>
      <w:r w:rsidR="004012A2">
        <w:rPr>
          <w:lang w:val="nl-BE"/>
        </w:rPr>
        <w:t>, n° 2</w:t>
      </w:r>
      <w:r w:rsidR="007F6BCA">
        <w:rPr>
          <w:lang w:val="nl-BE"/>
        </w:rPr>
        <w:t>4 et s.</w:t>
      </w:r>
    </w:p>
  </w:footnote>
  <w:footnote w:id="21">
    <w:p w14:paraId="268A2A47" w14:textId="343DC53E" w:rsidR="004012A2" w:rsidRDefault="004012A2">
      <w:pPr>
        <w:pStyle w:val="Notedebasdepage"/>
      </w:pPr>
      <w:r>
        <w:rPr>
          <w:rStyle w:val="Appelnotedebasdep"/>
        </w:rPr>
        <w:footnoteRef/>
      </w:r>
      <w:r>
        <w:t xml:space="preserve"> Proposition de loi du 16 juillet 2019, Commentaire des articles, n° 55-0173/001, p. 127.</w:t>
      </w:r>
    </w:p>
  </w:footnote>
  <w:footnote w:id="22">
    <w:p w14:paraId="15110984" w14:textId="5BC330B0" w:rsidR="00800C36" w:rsidRDefault="00800C36">
      <w:pPr>
        <w:pStyle w:val="Notedebasdepage"/>
      </w:pPr>
      <w:r>
        <w:rPr>
          <w:rStyle w:val="Appelnotedebasdep"/>
        </w:rPr>
        <w:footnoteRef/>
      </w:r>
      <w:r>
        <w:t xml:space="preserve"> </w:t>
      </w:r>
      <w:r w:rsidR="007A5315">
        <w:t xml:space="preserve">N. </w:t>
      </w:r>
      <w:r w:rsidR="007A5315">
        <w:rPr>
          <w:smallCaps/>
        </w:rPr>
        <w:t xml:space="preserve">Bernard, </w:t>
      </w:r>
      <w:r w:rsidR="007A5315">
        <w:t xml:space="preserve">« Titre 3. Le droit de propriété », </w:t>
      </w:r>
      <w:r w:rsidR="007A5315">
        <w:rPr>
          <w:i/>
          <w:iCs/>
        </w:rPr>
        <w:t xml:space="preserve">in </w:t>
      </w:r>
      <w:r w:rsidR="007A5315" w:rsidRPr="00B15C97">
        <w:t>P. Lecocq</w:t>
      </w:r>
      <w:r w:rsidR="007A5315">
        <w:t xml:space="preserve">, I. Durant, N. Bernard, B. Michaux, J.-Fr. Romain (dir.), </w:t>
      </w:r>
      <w:r w:rsidR="007A5315">
        <w:rPr>
          <w:i/>
          <w:iCs/>
        </w:rPr>
        <w:t>Le nouveau droit des biens</w:t>
      </w:r>
      <w:r w:rsidR="007A5315">
        <w:t xml:space="preserve">, Bruxelles, Larcier, 2020, p. </w:t>
      </w:r>
      <w:r w:rsidR="005F6F42">
        <w:t>91, n 14.</w:t>
      </w:r>
    </w:p>
  </w:footnote>
  <w:footnote w:id="23">
    <w:p w14:paraId="1E101152" w14:textId="77777777" w:rsidR="0075773B" w:rsidRDefault="0075773B" w:rsidP="0075773B">
      <w:pPr>
        <w:pStyle w:val="Notedebasdepage"/>
      </w:pPr>
      <w:r>
        <w:rPr>
          <w:rStyle w:val="Appelnotedebasdep"/>
        </w:rPr>
        <w:footnoteRef/>
      </w:r>
      <w:r>
        <w:t xml:space="preserve"> Proposition de loi du 16 juillet 2019, Commentaire des articles, n° 55-0173/001, pp. 129-130.</w:t>
      </w:r>
    </w:p>
  </w:footnote>
  <w:footnote w:id="24">
    <w:p w14:paraId="71BB1992" w14:textId="77777777" w:rsidR="00597C1E" w:rsidRDefault="00597C1E" w:rsidP="00597C1E">
      <w:pPr>
        <w:pStyle w:val="Notedebasdepage"/>
      </w:pPr>
      <w:r>
        <w:rPr>
          <w:rStyle w:val="Appelnotedebasdep"/>
        </w:rPr>
        <w:footnoteRef/>
      </w:r>
      <w:r>
        <w:t xml:space="preserve"> Proposition de loi du 16 juillet 2019, Commentaire des articles, n° 55-0173/001, p. 127.</w:t>
      </w:r>
    </w:p>
  </w:footnote>
  <w:footnote w:id="25">
    <w:p w14:paraId="7AC561FF" w14:textId="77777777" w:rsidR="003F4B81" w:rsidRDefault="003F4B81" w:rsidP="003F4B81">
      <w:pPr>
        <w:pStyle w:val="Notedebasdepage"/>
      </w:pPr>
      <w:r>
        <w:rPr>
          <w:rStyle w:val="Appelnotedebasdep"/>
        </w:rPr>
        <w:footnoteRef/>
      </w:r>
      <w:r>
        <w:t xml:space="preserve"> Proposition de loi du 16 juillet 2019, Commentaire des articles, n° 55-0173/001, p. 127.</w:t>
      </w:r>
    </w:p>
  </w:footnote>
  <w:footnote w:id="26">
    <w:p w14:paraId="071A2D28" w14:textId="77777777" w:rsidR="00D0259C" w:rsidRDefault="00D0259C" w:rsidP="00D0259C">
      <w:pPr>
        <w:pStyle w:val="Notedebasdepage"/>
      </w:pPr>
      <w:r>
        <w:rPr>
          <w:rStyle w:val="Appelnotedebasdep"/>
        </w:rPr>
        <w:footnoteRef/>
      </w:r>
      <w:r>
        <w:t xml:space="preserve"> Proposition de loi du 16 juillet 2019, Commentaire des articles, n° 55-0173/001, p. 127.</w:t>
      </w:r>
    </w:p>
  </w:footnote>
  <w:footnote w:id="27">
    <w:p w14:paraId="7B21D972" w14:textId="09E0CEA6" w:rsidR="00426D2B" w:rsidRDefault="00426D2B">
      <w:pPr>
        <w:pStyle w:val="Notedebasdepage"/>
      </w:pPr>
      <w:r>
        <w:rPr>
          <w:rStyle w:val="Appelnotedebasdep"/>
        </w:rPr>
        <w:footnoteRef/>
      </w:r>
      <w:r>
        <w:t xml:space="preserve"> Voy. </w:t>
      </w:r>
      <w:proofErr w:type="gramStart"/>
      <w:r>
        <w:t>dans</w:t>
      </w:r>
      <w:proofErr w:type="gramEnd"/>
      <w:r>
        <w:t xml:space="preserve"> cet ouvrage la contribution de </w:t>
      </w:r>
      <w:r w:rsidR="007B5F70">
        <w:t xml:space="preserve">S. </w:t>
      </w:r>
      <w:r w:rsidR="007B5F70" w:rsidRPr="007B5F70">
        <w:rPr>
          <w:smallCaps/>
        </w:rPr>
        <w:t xml:space="preserve">Boufflette </w:t>
      </w:r>
      <w:r w:rsidR="007B5F70" w:rsidRPr="007B5F70">
        <w:t>et</w:t>
      </w:r>
      <w:r w:rsidR="007B5F70" w:rsidRPr="007B5F70">
        <w:rPr>
          <w:smallCaps/>
        </w:rPr>
        <w:t xml:space="preserve"> A. Salvé</w:t>
      </w:r>
      <w:r>
        <w:t>.</w:t>
      </w:r>
    </w:p>
  </w:footnote>
  <w:footnote w:id="28">
    <w:p w14:paraId="12431653" w14:textId="77777777" w:rsidR="00D0259C" w:rsidRDefault="00D0259C" w:rsidP="00D0259C">
      <w:pPr>
        <w:pStyle w:val="Notedebasdepage"/>
      </w:pPr>
      <w:r>
        <w:rPr>
          <w:rStyle w:val="Appelnotedebasdep"/>
        </w:rPr>
        <w:footnoteRef/>
      </w:r>
      <w:r>
        <w:t xml:space="preserve"> Proposition de loi du 16 juillet 2019, Commentaire des articles, n° 55-0173/001, p. 127.</w:t>
      </w:r>
    </w:p>
  </w:footnote>
  <w:footnote w:id="29">
    <w:p w14:paraId="6DE3B457" w14:textId="4CA0BBEE" w:rsidR="00F35C75" w:rsidRDefault="00482DF7">
      <w:pPr>
        <w:pStyle w:val="Notedebasdepage"/>
      </w:pPr>
      <w:r>
        <w:rPr>
          <w:rStyle w:val="Appelnotedebasdep"/>
        </w:rPr>
        <w:footnoteRef/>
      </w:r>
      <w:r>
        <w:t xml:space="preserve"> Voy. </w:t>
      </w:r>
      <w:proofErr w:type="gramStart"/>
      <w:r>
        <w:t>l’ancien</w:t>
      </w:r>
      <w:proofErr w:type="gramEnd"/>
      <w:r>
        <w:t xml:space="preserve"> art</w:t>
      </w:r>
      <w:r w:rsidR="00E37190">
        <w:t>icle</w:t>
      </w:r>
      <w:r>
        <w:t xml:space="preserve"> 3.67 de la Proposition de loi du 16 juillet 2019, n° 55-0173/001, p. </w:t>
      </w:r>
      <w:r w:rsidR="006467DB">
        <w:t>373</w:t>
      </w:r>
      <w:r>
        <w:t> : « </w:t>
      </w:r>
      <w:r w:rsidR="006467DB">
        <w:t xml:space="preserve">§ 1er. Le droit de propriété ne peut être retiré, en fait ou formellement, que dans les limites de l’article 16 de la Constitution et de l’article 1er du Premier Protocole Additionnel à la Convention de Sauvegarde des Droits de l’Homme et des Libertés Fondamentales. </w:t>
      </w:r>
    </w:p>
    <w:p w14:paraId="34D79A11" w14:textId="538A4D23" w:rsidR="00482DF7" w:rsidRDefault="00F35C75">
      <w:pPr>
        <w:pStyle w:val="Notedebasdepage"/>
      </w:pPr>
      <w:r>
        <w:t xml:space="preserve"> </w:t>
      </w:r>
      <w:r w:rsidR="006467DB">
        <w:t>§ 2. Le droit de propriété ne peut être limité que dans le respect de l’article 1er du Premier Protocole Additionnel à la Convention de Sauvegarde des Droits de l’Homme et des Libertés Fondamentales et du principe de l’égalité des citoyens devant les charges publiques ».</w:t>
      </w:r>
    </w:p>
  </w:footnote>
  <w:footnote w:id="30">
    <w:p w14:paraId="594B5E60" w14:textId="593B22BB" w:rsidR="00BA158E" w:rsidRDefault="00BA158E">
      <w:pPr>
        <w:pStyle w:val="Notedebasdepage"/>
      </w:pPr>
      <w:r>
        <w:rPr>
          <w:rStyle w:val="Appelnotedebasdep"/>
        </w:rPr>
        <w:footnoteRef/>
      </w:r>
      <w:r>
        <w:t xml:space="preserve"> </w:t>
      </w:r>
      <w:r w:rsidR="00407096">
        <w:t xml:space="preserve">Proposition de loi du 31 octobre 2018 portant insertion du Livre 3 « Les biens » dans le nouveau Code civil, </w:t>
      </w:r>
      <w:r w:rsidR="00AB54A9">
        <w:t>Avis du Conseil d’Etat</w:t>
      </w:r>
      <w:r w:rsidR="00407096">
        <w:t xml:space="preserve">, </w:t>
      </w:r>
      <w:r w:rsidR="00407096">
        <w:rPr>
          <w:i/>
          <w:iCs/>
        </w:rPr>
        <w:t xml:space="preserve">Doc. </w:t>
      </w:r>
      <w:proofErr w:type="gramStart"/>
      <w:r w:rsidR="00407096">
        <w:rPr>
          <w:i/>
          <w:iCs/>
        </w:rPr>
        <w:t>parl</w:t>
      </w:r>
      <w:proofErr w:type="gramEnd"/>
      <w:r w:rsidR="00407096">
        <w:rPr>
          <w:i/>
          <w:iCs/>
        </w:rPr>
        <w:t>.</w:t>
      </w:r>
      <w:r w:rsidR="00407096">
        <w:t xml:space="preserve">, Ch. Repr., sess. </w:t>
      </w:r>
      <w:proofErr w:type="gramStart"/>
      <w:r w:rsidR="00407096">
        <w:t>ord</w:t>
      </w:r>
      <w:proofErr w:type="gramEnd"/>
      <w:r w:rsidR="00407096">
        <w:t xml:space="preserve">. </w:t>
      </w:r>
      <w:r w:rsidR="00AB54A9">
        <w:t>2018-</w:t>
      </w:r>
      <w:r w:rsidR="00407096">
        <w:t>2019, n° 5</w:t>
      </w:r>
      <w:r w:rsidR="00AB54A9">
        <w:t>4</w:t>
      </w:r>
      <w:r w:rsidR="00407096">
        <w:t>-</w:t>
      </w:r>
      <w:r w:rsidR="00AB54A9">
        <w:t>3348</w:t>
      </w:r>
      <w:r w:rsidR="00407096">
        <w:t xml:space="preserve">/001, </w:t>
      </w:r>
      <w:r w:rsidR="00AB54A9">
        <w:t>p. 478</w:t>
      </w:r>
      <w:r w:rsidR="00407096">
        <w:t>.</w:t>
      </w:r>
    </w:p>
  </w:footnote>
  <w:footnote w:id="31">
    <w:p w14:paraId="01F37A0A" w14:textId="0F95BF4C" w:rsidR="003802DB" w:rsidRDefault="003802DB">
      <w:pPr>
        <w:pStyle w:val="Notedebasdepage"/>
      </w:pPr>
      <w:r>
        <w:rPr>
          <w:rStyle w:val="Appelnotedebasdep"/>
        </w:rPr>
        <w:footnoteRef/>
      </w:r>
      <w:r>
        <w:t xml:space="preserve"> </w:t>
      </w:r>
      <w:r w:rsidR="00AB54A9">
        <w:t xml:space="preserve">Proposition de loi du 16 juillet 2019, Amendement n° </w:t>
      </w:r>
      <w:r w:rsidR="00232DAA">
        <w:t>15 de M. Ver</w:t>
      </w:r>
      <w:r w:rsidR="00564F4D">
        <w:t xml:space="preserve">herstraeten et consorts, </w:t>
      </w:r>
      <w:r w:rsidR="00AB54A9">
        <w:t>n° 55-0173/00</w:t>
      </w:r>
      <w:r w:rsidR="00232DAA">
        <w:t>2, p. 20.</w:t>
      </w:r>
    </w:p>
  </w:footnote>
  <w:footnote w:id="32">
    <w:p w14:paraId="3D522F0B" w14:textId="72C004EE" w:rsidR="008A2D40" w:rsidRDefault="008A2D40">
      <w:pPr>
        <w:pStyle w:val="Notedebasdepage"/>
      </w:pPr>
      <w:r>
        <w:rPr>
          <w:rStyle w:val="Appelnotedebasdep"/>
        </w:rPr>
        <w:footnoteRef/>
      </w:r>
      <w:r>
        <w:t xml:space="preserve"> Proposition de loi du 16 juillet 2019,</w:t>
      </w:r>
      <w:r w:rsidR="00165F8A" w:rsidRPr="00165F8A">
        <w:t xml:space="preserve"> </w:t>
      </w:r>
      <w:r w:rsidR="00165F8A">
        <w:t>Commentaire des articles,</w:t>
      </w:r>
      <w:r>
        <w:t xml:space="preserve"> n° 55-0173/001, p.</w:t>
      </w:r>
      <w:r w:rsidR="00165F8A">
        <w:t xml:space="preserve"> 156.</w:t>
      </w:r>
    </w:p>
  </w:footnote>
  <w:footnote w:id="33">
    <w:p w14:paraId="418235D1" w14:textId="0F7096DD" w:rsidR="004171FE" w:rsidRDefault="004171FE">
      <w:pPr>
        <w:pStyle w:val="Notedebasdepage"/>
      </w:pPr>
      <w:r>
        <w:rPr>
          <w:rStyle w:val="Appelnotedebasdep"/>
        </w:rPr>
        <w:footnoteRef/>
      </w:r>
      <w:r>
        <w:t xml:space="preserve"> </w:t>
      </w:r>
      <w:r w:rsidR="00A1220B">
        <w:t>Proposition de loi du 16 juillet 2019,</w:t>
      </w:r>
      <w:r w:rsidR="00A1220B" w:rsidRPr="00165F8A">
        <w:t xml:space="preserve"> </w:t>
      </w:r>
      <w:r w:rsidR="00A1220B">
        <w:t>Commentaire des articles, n° 55-0173/001, p. 156.</w:t>
      </w:r>
    </w:p>
  </w:footnote>
  <w:footnote w:id="34">
    <w:p w14:paraId="5D433165" w14:textId="33A3A659" w:rsidR="00C42C84" w:rsidRDefault="00C42C84">
      <w:pPr>
        <w:pStyle w:val="Notedebasdepage"/>
      </w:pPr>
      <w:r>
        <w:rPr>
          <w:rStyle w:val="Appelnotedebasdep"/>
        </w:rPr>
        <w:footnoteRef/>
      </w:r>
      <w:r>
        <w:t xml:space="preserve"> Proposition de loi du 16 juillet 2019,</w:t>
      </w:r>
      <w:r w:rsidRPr="00165F8A">
        <w:t xml:space="preserve"> </w:t>
      </w:r>
      <w:r>
        <w:t>Commentaire des articles, n° 55-0173/001, p. 156.</w:t>
      </w:r>
    </w:p>
  </w:footnote>
  <w:footnote w:id="35">
    <w:p w14:paraId="19F6262B" w14:textId="77777777" w:rsidR="00BB5D75" w:rsidRDefault="00BB5D75" w:rsidP="00BB5D75">
      <w:pPr>
        <w:pStyle w:val="Notedebasdepage"/>
      </w:pPr>
      <w:r>
        <w:rPr>
          <w:rStyle w:val="Appelnotedebasdep"/>
        </w:rPr>
        <w:footnoteRef/>
      </w:r>
      <w:r>
        <w:t xml:space="preserve"> « Par dérogation à l’alinéa 1</w:t>
      </w:r>
      <w:r w:rsidRPr="00316505">
        <w:rPr>
          <w:vertAlign w:val="superscript"/>
        </w:rPr>
        <w:t>er</w:t>
      </w:r>
      <w:r>
        <w:t>, la propriété d’un réseau de câbles ou de conduites et d’équipements y associés, destiné au transport de substances solides, liquides ou gazeuses, de l’énergie ou de télécommunications, installé sur, au-dessus ou en dessous d’un fonds ou dans un bâtiment appartient à l’installateur compétent de ce réseau ou à son ayant droit ».</w:t>
      </w:r>
    </w:p>
  </w:footnote>
  <w:footnote w:id="36">
    <w:p w14:paraId="129E74E9" w14:textId="1FE5D654" w:rsidR="00D760DD" w:rsidRDefault="00D760DD">
      <w:pPr>
        <w:pStyle w:val="Notedebasdepage"/>
      </w:pPr>
      <w:r>
        <w:rPr>
          <w:rStyle w:val="Appelnotedebasdep"/>
        </w:rPr>
        <w:footnoteRef/>
      </w:r>
      <w:r>
        <w:t xml:space="preserve"> Sur celle-ci, voy. Proposition de loi du 16 juillet 2019,</w:t>
      </w:r>
      <w:r w:rsidRPr="00165F8A">
        <w:t xml:space="preserve"> </w:t>
      </w:r>
      <w:r w:rsidR="00547C35">
        <w:t>Rapport de la première lecture fait au nom de la commission de la Justice par S. Van Hecke</w:t>
      </w:r>
      <w:r>
        <w:t>, n° 55-0173/004, p.</w:t>
      </w:r>
      <w:r w:rsidR="00547C35">
        <w:t xml:space="preserve"> 31.</w:t>
      </w:r>
    </w:p>
  </w:footnote>
  <w:footnote w:id="37">
    <w:p w14:paraId="020EF4F5" w14:textId="7ED86E8B" w:rsidR="00A84352" w:rsidRDefault="00A84352">
      <w:pPr>
        <w:pStyle w:val="Notedebasdepage"/>
      </w:pPr>
      <w:r>
        <w:rPr>
          <w:rStyle w:val="Appelnotedebasdep"/>
        </w:rPr>
        <w:footnoteRef/>
      </w:r>
      <w:r>
        <w:t xml:space="preserve"> Proposition de loi du 16 juillet 2019, Amendement n° 1</w:t>
      </w:r>
      <w:r w:rsidR="004A6919">
        <w:t>8</w:t>
      </w:r>
      <w:r>
        <w:t xml:space="preserve"> de M. </w:t>
      </w:r>
      <w:r w:rsidR="00804A70">
        <w:t>D</w:t>
      </w:r>
      <w:r w:rsidR="004A6919">
        <w:t>’Haese</w:t>
      </w:r>
      <w:r>
        <w:t xml:space="preserve"> et consorts, n° 55-0173/002, p. 2</w:t>
      </w:r>
      <w:r w:rsidR="004A6919">
        <w:t>4.</w:t>
      </w:r>
    </w:p>
  </w:footnote>
  <w:footnote w:id="38">
    <w:p w14:paraId="2C2B82AB" w14:textId="6F82C8BD" w:rsidR="00807723" w:rsidRDefault="00807723">
      <w:pPr>
        <w:pStyle w:val="Notedebasdepage"/>
      </w:pPr>
      <w:r>
        <w:rPr>
          <w:rStyle w:val="Appelnotedebasdep"/>
        </w:rPr>
        <w:footnoteRef/>
      </w:r>
      <w:r>
        <w:t xml:space="preserve"> Sous l’ancien Code civil, </w:t>
      </w:r>
      <w:r w:rsidR="00B237D9">
        <w:t xml:space="preserve">le propriétaire du fonds où se trouvaient les animaux </w:t>
      </w:r>
      <w:r w:rsidR="008C03B3">
        <w:t>pouvait en devenir</w:t>
      </w:r>
      <w:r w:rsidR="00B237D9">
        <w:t xml:space="preserve"> propriétaire en vertu de l’article </w:t>
      </w:r>
      <w:r w:rsidR="008C03B3">
        <w:t>564</w:t>
      </w:r>
      <w:r w:rsidR="00B237D9">
        <w:t> : « l</w:t>
      </w:r>
      <w:r w:rsidR="00B237D9" w:rsidRPr="00B237D9">
        <w:t>es pigeons, lapins, poissons, qui passent dans un autre colombier, garenne ou étang, appartiennent au propriétaire de ces objets, pourvu qu'ils n'y aient point été attirés par fraude et artifice</w:t>
      </w:r>
      <w:r w:rsidR="008C03B3">
        <w:t> »</w:t>
      </w:r>
      <w:r w:rsidR="00B237D9" w:rsidRPr="00B237D9">
        <w:t>.</w:t>
      </w:r>
      <w:r w:rsidR="006B7B05">
        <w:t xml:space="preserve"> Ne cadrant p</w:t>
      </w:r>
      <w:r w:rsidR="00C54EAD">
        <w:t>lu</w:t>
      </w:r>
      <w:r w:rsidR="006B7B05">
        <w:t xml:space="preserve">s avec les perceptions </w:t>
      </w:r>
      <w:r w:rsidR="00C54EAD">
        <w:t>actuelles, cet article n’a pas été repris (Proposition de loi du 16 juillet 2019,</w:t>
      </w:r>
      <w:r w:rsidR="00C54EAD" w:rsidRPr="00165F8A">
        <w:t xml:space="preserve"> </w:t>
      </w:r>
      <w:r w:rsidR="00C54EAD">
        <w:t>Commentaire des articles, n° 55-0173/001, p. 100).</w:t>
      </w:r>
    </w:p>
  </w:footnote>
  <w:footnote w:id="39">
    <w:p w14:paraId="0392F31D" w14:textId="12E16B96" w:rsidR="00A91FCA" w:rsidRDefault="00A91FCA">
      <w:pPr>
        <w:pStyle w:val="Notedebasdepage"/>
      </w:pPr>
      <w:r>
        <w:rPr>
          <w:rStyle w:val="Appelnotedebasdep"/>
        </w:rPr>
        <w:footnoteRef/>
      </w:r>
      <w:r>
        <w:t xml:space="preserve"> </w:t>
      </w:r>
      <w:r w:rsidR="008C6CFF">
        <w:t>Proposition de loi du 16 juillet 2019,</w:t>
      </w:r>
      <w:r w:rsidR="008C6CFF" w:rsidRPr="00165F8A">
        <w:t xml:space="preserve"> </w:t>
      </w:r>
      <w:r w:rsidR="008C6CFF">
        <w:t>Commentaire des articles, n° 55-0173/001, p. 168.</w:t>
      </w:r>
    </w:p>
  </w:footnote>
  <w:footnote w:id="40">
    <w:p w14:paraId="27BC8438" w14:textId="536E18C7" w:rsidR="00F95140" w:rsidRPr="008241CA" w:rsidRDefault="00F95140" w:rsidP="006B3855">
      <w:pPr>
        <w:spacing w:line="240" w:lineRule="auto"/>
        <w:rPr>
          <w:sz w:val="20"/>
          <w:szCs w:val="20"/>
        </w:rPr>
      </w:pPr>
      <w:r w:rsidRPr="00316505">
        <w:rPr>
          <w:sz w:val="20"/>
          <w:szCs w:val="20"/>
          <w:vertAlign w:val="superscript"/>
        </w:rPr>
        <w:footnoteRef/>
      </w:r>
      <w:r w:rsidRPr="00316505">
        <w:rPr>
          <w:sz w:val="20"/>
          <w:szCs w:val="20"/>
        </w:rPr>
        <w:t xml:space="preserve"> « Le</w:t>
      </w:r>
      <w:r w:rsidRPr="00F95140">
        <w:rPr>
          <w:sz w:val="20"/>
          <w:szCs w:val="20"/>
        </w:rPr>
        <w:t xml:space="preserve"> propriétaire d'une haie vive non mitoyenne ou d'un mur non mitoyen aura la faculté, </w:t>
      </w:r>
      <w:proofErr w:type="gramStart"/>
      <w:r w:rsidRPr="00F95140">
        <w:rPr>
          <w:sz w:val="20"/>
          <w:szCs w:val="20"/>
        </w:rPr>
        <w:t>hors</w:t>
      </w:r>
      <w:proofErr w:type="gramEnd"/>
      <w:r w:rsidRPr="00F95140">
        <w:rPr>
          <w:sz w:val="20"/>
          <w:szCs w:val="20"/>
        </w:rPr>
        <w:t xml:space="preserve"> le temps de la récolte sur pied, de passer sur le champ de son voisin, pour rabattre, élaguer la haie, enlever le branchage, réparer ou entretenir le mur. Si ce champ est clos, le passage devra être demandé au voisin qui pourra le désigner, à son choix. En cas de refus, le passage sera pris à l'endroit le moins dommageable et sauf réparation du dommage causé ».</w:t>
      </w:r>
      <w:r w:rsidR="00F91E39">
        <w:rPr>
          <w:sz w:val="20"/>
          <w:szCs w:val="20"/>
        </w:rPr>
        <w:t xml:space="preserve"> La disposition</w:t>
      </w:r>
      <w:r w:rsidR="00F91E39" w:rsidRPr="006B3855">
        <w:rPr>
          <w:sz w:val="20"/>
          <w:szCs w:val="20"/>
        </w:rPr>
        <w:t xml:space="preserve"> est abrogée par l’article </w:t>
      </w:r>
      <w:r w:rsidR="0046115B" w:rsidRPr="006B3855">
        <w:rPr>
          <w:sz w:val="20"/>
          <w:szCs w:val="20"/>
        </w:rPr>
        <w:t>31 de la loi du 4 février 2020</w:t>
      </w:r>
      <w:r w:rsidR="006B3855" w:rsidRPr="006B3855">
        <w:rPr>
          <w:sz w:val="20"/>
          <w:szCs w:val="20"/>
        </w:rPr>
        <w:t xml:space="preserve"> portant le livre 3 </w:t>
      </w:r>
      <w:r w:rsidR="006B3855">
        <w:rPr>
          <w:sz w:val="20"/>
          <w:szCs w:val="20"/>
        </w:rPr>
        <w:t>« </w:t>
      </w:r>
      <w:r w:rsidR="006B3855" w:rsidRPr="006B3855">
        <w:rPr>
          <w:sz w:val="20"/>
          <w:szCs w:val="20"/>
        </w:rPr>
        <w:t>Les biens</w:t>
      </w:r>
      <w:r w:rsidR="006B3855">
        <w:rPr>
          <w:sz w:val="20"/>
          <w:szCs w:val="20"/>
        </w:rPr>
        <w:t> »</w:t>
      </w:r>
      <w:r w:rsidR="006B3855" w:rsidRPr="006B3855">
        <w:rPr>
          <w:sz w:val="20"/>
          <w:szCs w:val="20"/>
        </w:rPr>
        <w:t xml:space="preserve"> du Code civil</w:t>
      </w:r>
      <w:r w:rsidR="006B3855">
        <w:rPr>
          <w:sz w:val="20"/>
          <w:szCs w:val="20"/>
        </w:rPr>
        <w:t xml:space="preserve">, </w:t>
      </w:r>
      <w:r w:rsidR="008241CA">
        <w:rPr>
          <w:i/>
          <w:iCs/>
          <w:sz w:val="20"/>
          <w:szCs w:val="20"/>
        </w:rPr>
        <w:t>M.B.</w:t>
      </w:r>
      <w:r w:rsidR="008241CA">
        <w:rPr>
          <w:sz w:val="20"/>
          <w:szCs w:val="20"/>
        </w:rPr>
        <w:t>, 17 mars 2020, p. 15753.</w:t>
      </w:r>
    </w:p>
  </w:footnote>
  <w:footnote w:id="41">
    <w:p w14:paraId="29CA5FB9" w14:textId="681AAAD1" w:rsidR="00F95140" w:rsidRPr="00DD355E" w:rsidRDefault="00F95140">
      <w:pPr>
        <w:pStyle w:val="Notedebasdepage"/>
      </w:pPr>
      <w:r>
        <w:rPr>
          <w:rStyle w:val="Appelnotedebasdep"/>
        </w:rPr>
        <w:footnoteRef/>
      </w:r>
      <w:r>
        <w:t xml:space="preserve"> </w:t>
      </w:r>
      <w:r w:rsidR="001048C9">
        <w:t>A. D</w:t>
      </w:r>
      <w:r w:rsidR="001048C9" w:rsidRPr="001048C9">
        <w:rPr>
          <w:smallCaps/>
        </w:rPr>
        <w:t>espret</w:t>
      </w:r>
      <w:r w:rsidR="001048C9">
        <w:t>, « </w:t>
      </w:r>
      <w:r w:rsidR="00693D76">
        <w:t xml:space="preserve">Le droit de propriété et le droit d’usufruit réformés », </w:t>
      </w:r>
      <w:r w:rsidR="00693D76">
        <w:rPr>
          <w:i/>
          <w:iCs/>
        </w:rPr>
        <w:t>in</w:t>
      </w:r>
      <w:r w:rsidR="00DD355E">
        <w:rPr>
          <w:i/>
          <w:iCs/>
        </w:rPr>
        <w:t xml:space="preserve"> </w:t>
      </w:r>
      <w:r w:rsidR="00DD355E">
        <w:t xml:space="preserve">N. Bernard (dir.), </w:t>
      </w:r>
      <w:r w:rsidR="00DD355E">
        <w:rPr>
          <w:i/>
          <w:iCs/>
        </w:rPr>
        <w:t>Le droit des biens réformé</w:t>
      </w:r>
      <w:r w:rsidR="00DD355E">
        <w:t xml:space="preserve">, </w:t>
      </w:r>
      <w:r w:rsidR="003B10BA">
        <w:t>Bruxelles, Larcier</w:t>
      </w:r>
      <w:r w:rsidR="00A273E4">
        <w:t xml:space="preserve">, </w:t>
      </w:r>
      <w:r w:rsidR="00AC02F2">
        <w:t>202</w:t>
      </w:r>
      <w:r w:rsidR="00DF7DEF">
        <w:t>0</w:t>
      </w:r>
      <w:r w:rsidR="00AC02F2">
        <w:t xml:space="preserve">, p. 113, n° </w:t>
      </w:r>
      <w:r w:rsidR="00D1551C">
        <w:t>67.</w:t>
      </w:r>
    </w:p>
  </w:footnote>
  <w:footnote w:id="42">
    <w:p w14:paraId="448D4E4E" w14:textId="46FB3554" w:rsidR="003B48E1" w:rsidRPr="008159EB" w:rsidRDefault="003B48E1">
      <w:pPr>
        <w:pStyle w:val="Notedebasdepage"/>
      </w:pPr>
      <w:r>
        <w:rPr>
          <w:rStyle w:val="Appelnotedebasdep"/>
        </w:rPr>
        <w:footnoteRef/>
      </w:r>
      <w:r>
        <w:t xml:space="preserve"> </w:t>
      </w:r>
      <w:r w:rsidR="008159EB">
        <w:t xml:space="preserve">Civ. Liège (réf.), 25 novembre 2019, </w:t>
      </w:r>
      <w:r w:rsidR="008159EB">
        <w:rPr>
          <w:i/>
          <w:iCs/>
        </w:rPr>
        <w:t>J.L.M.B.</w:t>
      </w:r>
      <w:r w:rsidR="008159EB">
        <w:t xml:space="preserve">, 2021, p. </w:t>
      </w:r>
      <w:r w:rsidR="00CC568A">
        <w:t>534, obs. N.G.</w:t>
      </w:r>
    </w:p>
  </w:footnote>
  <w:footnote w:id="43">
    <w:p w14:paraId="32C19D35" w14:textId="28583547" w:rsidR="00095930" w:rsidRPr="008A3DD8" w:rsidRDefault="00095930">
      <w:pPr>
        <w:pStyle w:val="Notedebasdepage"/>
      </w:pPr>
      <w:r>
        <w:rPr>
          <w:rStyle w:val="Appelnotedebasdep"/>
        </w:rPr>
        <w:footnoteRef/>
      </w:r>
      <w:r>
        <w:t xml:space="preserve"> </w:t>
      </w:r>
      <w:r w:rsidR="008A3DD8">
        <w:t xml:space="preserve">J.P. Westerlo, 13 février 2019, </w:t>
      </w:r>
      <w:r w:rsidR="008A3DD8">
        <w:rPr>
          <w:i/>
          <w:iCs/>
        </w:rPr>
        <w:t>J.J.P.</w:t>
      </w:r>
      <w:r w:rsidR="008A3DD8">
        <w:t>, 20</w:t>
      </w:r>
      <w:r w:rsidR="00BF0A2D">
        <w:t>19, p. 583.</w:t>
      </w:r>
    </w:p>
  </w:footnote>
  <w:footnote w:id="44">
    <w:p w14:paraId="43BFB6C9" w14:textId="47A0D4EA" w:rsidR="005C5329" w:rsidRDefault="005C5329">
      <w:pPr>
        <w:pStyle w:val="Notedebasdepage"/>
      </w:pPr>
      <w:r>
        <w:rPr>
          <w:rStyle w:val="Appelnotedebasdep"/>
        </w:rPr>
        <w:footnoteRef/>
      </w:r>
      <w:r>
        <w:t xml:space="preserve"> </w:t>
      </w:r>
      <w:r w:rsidR="00BF4D47">
        <w:t xml:space="preserve">N. </w:t>
      </w:r>
      <w:r w:rsidR="00BF4D47">
        <w:rPr>
          <w:smallCaps/>
        </w:rPr>
        <w:t xml:space="preserve">Bernard, </w:t>
      </w:r>
      <w:r w:rsidR="00BF4D47">
        <w:t xml:space="preserve">« Titre 3. Le droit de propriété », </w:t>
      </w:r>
      <w:r w:rsidR="00BF4D47">
        <w:rPr>
          <w:i/>
          <w:iCs/>
        </w:rPr>
        <w:t xml:space="preserve">in </w:t>
      </w:r>
      <w:r w:rsidR="00BF4D47" w:rsidRPr="00B15C97">
        <w:t>P. Lecocq</w:t>
      </w:r>
      <w:r w:rsidR="00BF4D47">
        <w:t xml:space="preserve">, I. Durant, N. Bernard, B. Michaux, J.-Fr. Romain (dir.), </w:t>
      </w:r>
      <w:r w:rsidR="00BF4D47">
        <w:rPr>
          <w:i/>
          <w:iCs/>
        </w:rPr>
        <w:t>Le nouveau droit des biens</w:t>
      </w:r>
      <w:r w:rsidR="00BF4D47">
        <w:t>, Bruxelles, Larcier, 2020, p. 138, n° 110.</w:t>
      </w:r>
    </w:p>
  </w:footnote>
  <w:footnote w:id="45">
    <w:p w14:paraId="4FD66BF2" w14:textId="6769CCE0" w:rsidR="008F6E36" w:rsidRDefault="008F6E36">
      <w:pPr>
        <w:pStyle w:val="Notedebasdepage"/>
      </w:pPr>
      <w:r>
        <w:rPr>
          <w:rStyle w:val="Appelnotedebasdep"/>
        </w:rPr>
        <w:footnoteRef/>
      </w:r>
      <w:r>
        <w:t xml:space="preserve"> Proposition de loi du 16 juillet 2019,</w:t>
      </w:r>
      <w:r w:rsidRPr="00165F8A">
        <w:t xml:space="preserve"> </w:t>
      </w:r>
      <w:r>
        <w:t>Commentaire des articles, n° 55-0173/001, p. 168.</w:t>
      </w:r>
    </w:p>
  </w:footnote>
  <w:footnote w:id="46">
    <w:p w14:paraId="642A307D" w14:textId="2EAA53DF" w:rsidR="008F6E36" w:rsidRDefault="008F6E36">
      <w:pPr>
        <w:pStyle w:val="Notedebasdepage"/>
      </w:pPr>
      <w:r>
        <w:rPr>
          <w:rStyle w:val="Appelnotedebasdep"/>
        </w:rPr>
        <w:footnoteRef/>
      </w:r>
      <w:r>
        <w:t xml:space="preserve"> Proposition de loi du 16 juillet 2019,</w:t>
      </w:r>
      <w:r w:rsidRPr="00165F8A">
        <w:t xml:space="preserve"> </w:t>
      </w:r>
      <w:r>
        <w:t>Commentaire des articles, n° 55-0173/001, p. 168.</w:t>
      </w:r>
    </w:p>
  </w:footnote>
  <w:footnote w:id="47">
    <w:p w14:paraId="0B77ECB3" w14:textId="4F4FA4A0" w:rsidR="00DC1745" w:rsidRDefault="00DC1745">
      <w:pPr>
        <w:pStyle w:val="Notedebasdepage"/>
      </w:pPr>
      <w:r>
        <w:rPr>
          <w:rStyle w:val="Appelnotedebasdep"/>
        </w:rPr>
        <w:footnoteRef/>
      </w:r>
      <w:r>
        <w:t xml:space="preserve"> P. </w:t>
      </w:r>
      <w:r>
        <w:rPr>
          <w:smallCaps/>
        </w:rPr>
        <w:t xml:space="preserve">Lecocq </w:t>
      </w:r>
      <w:r>
        <w:rPr>
          <w:i/>
          <w:iCs/>
        </w:rPr>
        <w:t>et al.</w:t>
      </w:r>
      <w:r>
        <w:rPr>
          <w:smallCaps/>
        </w:rPr>
        <w:t xml:space="preserve">, </w:t>
      </w:r>
      <w:r>
        <w:t xml:space="preserve">« La réforme du droit des biens. Aspects notariaux », </w:t>
      </w:r>
      <w:r>
        <w:rPr>
          <w:i/>
          <w:iCs/>
        </w:rPr>
        <w:t xml:space="preserve">in </w:t>
      </w:r>
      <w:r>
        <w:t xml:space="preserve">Y.-H. </w:t>
      </w:r>
      <w:r>
        <w:rPr>
          <w:smallCaps/>
        </w:rPr>
        <w:t>Leleu (</w:t>
      </w:r>
      <w:r>
        <w:t xml:space="preserve">dir.), </w:t>
      </w:r>
      <w:r>
        <w:rPr>
          <w:i/>
          <w:iCs/>
        </w:rPr>
        <w:t xml:space="preserve">Chroniques notariales, </w:t>
      </w:r>
      <w:r>
        <w:t>vol. 72, Bruxelles, Larcier, 2021, p. 86, n° 58.</w:t>
      </w:r>
    </w:p>
  </w:footnote>
  <w:footnote w:id="48">
    <w:p w14:paraId="09F20ECA" w14:textId="45C61542" w:rsidR="00CC59A4" w:rsidRDefault="00CC59A4">
      <w:pPr>
        <w:pStyle w:val="Notedebasdepage"/>
      </w:pPr>
      <w:r>
        <w:rPr>
          <w:rStyle w:val="Appelnotedebasdep"/>
        </w:rPr>
        <w:footnoteRef/>
      </w:r>
      <w:r>
        <w:t xml:space="preserve"> Sur cette disposition, voy. </w:t>
      </w:r>
      <w:proofErr w:type="gramStart"/>
      <w:r>
        <w:t>dans</w:t>
      </w:r>
      <w:proofErr w:type="gramEnd"/>
      <w:r>
        <w:t xml:space="preserve"> cet ouvrage la contribution de</w:t>
      </w:r>
      <w:r w:rsidR="007B5F70">
        <w:t xml:space="preserve"> S. </w:t>
      </w:r>
      <w:r w:rsidR="007B5F70" w:rsidRPr="007B5F70">
        <w:rPr>
          <w:smallCaps/>
        </w:rPr>
        <w:t xml:space="preserve">Boufflette </w:t>
      </w:r>
      <w:r w:rsidR="007B5F70" w:rsidRPr="007B5F70">
        <w:t>et</w:t>
      </w:r>
      <w:r w:rsidR="007B5F70" w:rsidRPr="007B5F70">
        <w:rPr>
          <w:smallCaps/>
        </w:rPr>
        <w:t xml:space="preserve"> A. Salvé</w:t>
      </w:r>
      <w:r w:rsidR="007B5F70">
        <w:rPr>
          <w:smallCaps/>
        </w:rPr>
        <w:t>.</w:t>
      </w:r>
    </w:p>
  </w:footnote>
  <w:footnote w:id="49">
    <w:p w14:paraId="2EDA16E2" w14:textId="60F476D2" w:rsidR="00BB2D65" w:rsidRPr="00BB2D65" w:rsidRDefault="00BB2D65">
      <w:pPr>
        <w:pStyle w:val="Notedebasdepage"/>
      </w:pPr>
      <w:r>
        <w:rPr>
          <w:rStyle w:val="Appelnotedebasdep"/>
        </w:rPr>
        <w:footnoteRef/>
      </w:r>
      <w:r>
        <w:t xml:space="preserve"> Sur cette disposition, voy. </w:t>
      </w:r>
      <w:proofErr w:type="gramStart"/>
      <w:r>
        <w:rPr>
          <w:i/>
          <w:iCs/>
        </w:rPr>
        <w:t>infra</w:t>
      </w:r>
      <w:proofErr w:type="gramEnd"/>
      <w:r>
        <w:t>, n°</w:t>
      </w:r>
      <w:r w:rsidR="000E7614">
        <w:t xml:space="preserve"> 31</w:t>
      </w:r>
      <w:r>
        <w:t>.</w:t>
      </w:r>
    </w:p>
  </w:footnote>
  <w:footnote w:id="50">
    <w:p w14:paraId="03E9D0CA" w14:textId="2D24DFF0" w:rsidR="00E721C0" w:rsidRDefault="00E721C0">
      <w:pPr>
        <w:pStyle w:val="Notedebasdepage"/>
      </w:pPr>
      <w:r>
        <w:rPr>
          <w:rStyle w:val="Appelnotedebasdep"/>
        </w:rPr>
        <w:footnoteRef/>
      </w:r>
      <w:r>
        <w:t xml:space="preserve"> Proposition de loi du 16 juillet 2019,</w:t>
      </w:r>
      <w:r w:rsidRPr="00165F8A">
        <w:t xml:space="preserve"> </w:t>
      </w:r>
      <w:r>
        <w:t>Commentaire des articles, n° 55-0173/001, p. 167.</w:t>
      </w:r>
    </w:p>
  </w:footnote>
  <w:footnote w:id="51">
    <w:p w14:paraId="62DA96B9" w14:textId="0B8B6262" w:rsidR="00F452FC" w:rsidRPr="00F452FC" w:rsidRDefault="00F452FC">
      <w:pPr>
        <w:pStyle w:val="Notedebasdepage"/>
        <w:rPr>
          <w:lang w:val="nl-BE"/>
        </w:rPr>
      </w:pPr>
      <w:r>
        <w:rPr>
          <w:rStyle w:val="Appelnotedebasdep"/>
        </w:rPr>
        <w:footnoteRef/>
      </w:r>
      <w:r w:rsidRPr="00F452FC">
        <w:rPr>
          <w:lang w:val="nl-BE"/>
        </w:rPr>
        <w:t xml:space="preserve"> </w:t>
      </w:r>
      <w:r w:rsidRPr="00144255">
        <w:rPr>
          <w:lang w:val="nl-BE"/>
        </w:rPr>
        <w:t xml:space="preserve">D. </w:t>
      </w:r>
      <w:r w:rsidRPr="00144255">
        <w:rPr>
          <w:smallCaps/>
          <w:lang w:val="nl-BE"/>
        </w:rPr>
        <w:t>Gruyaert, « </w:t>
      </w:r>
      <w:r w:rsidRPr="00144255">
        <w:rPr>
          <w:lang w:val="nl-BE"/>
        </w:rPr>
        <w:t xml:space="preserve">Eigendom », </w:t>
      </w:r>
      <w:r w:rsidRPr="00144255">
        <w:rPr>
          <w:i/>
          <w:iCs/>
          <w:lang w:val="nl-BE"/>
        </w:rPr>
        <w:t xml:space="preserve">in </w:t>
      </w:r>
      <w:r>
        <w:rPr>
          <w:lang w:val="nl-BE"/>
        </w:rPr>
        <w:t xml:space="preserve">V. Sagaert, J. Baeck, N. Carette, P. Lecocq, M. Muylle, A. Wylleman (dir.), </w:t>
      </w:r>
      <w:r w:rsidRPr="00144255">
        <w:rPr>
          <w:i/>
          <w:iCs/>
          <w:lang w:val="nl-BE"/>
        </w:rPr>
        <w:t>Het n</w:t>
      </w:r>
      <w:r>
        <w:rPr>
          <w:i/>
          <w:iCs/>
          <w:lang w:val="nl-BE"/>
        </w:rPr>
        <w:t>ieuwe goederenrecht</w:t>
      </w:r>
      <w:r>
        <w:rPr>
          <w:lang w:val="nl-BE"/>
        </w:rPr>
        <w:t>, Anvers, Intersentia, 2021, p. 260, n° 20.</w:t>
      </w:r>
    </w:p>
  </w:footnote>
  <w:footnote w:id="52">
    <w:p w14:paraId="3B8D4B13" w14:textId="15F9D1B8" w:rsidR="007C720A" w:rsidRPr="00B05A54" w:rsidRDefault="007C720A">
      <w:pPr>
        <w:pStyle w:val="Notedebasdepage"/>
        <w:rPr>
          <w:smallCaps/>
        </w:rPr>
      </w:pPr>
      <w:r>
        <w:rPr>
          <w:rStyle w:val="Appelnotedebasdep"/>
        </w:rPr>
        <w:footnoteRef/>
      </w:r>
      <w:r>
        <w:t xml:space="preserve"> Voy. </w:t>
      </w:r>
      <w:proofErr w:type="gramStart"/>
      <w:r>
        <w:t>dans</w:t>
      </w:r>
      <w:proofErr w:type="gramEnd"/>
      <w:r>
        <w:t xml:space="preserve"> cet ouvrage la contribution de</w:t>
      </w:r>
      <w:r w:rsidR="007B5F70">
        <w:t xml:space="preserve"> </w:t>
      </w:r>
      <w:r w:rsidR="00B05A54">
        <w:t xml:space="preserve">L. </w:t>
      </w:r>
      <w:r w:rsidR="00B05A54">
        <w:rPr>
          <w:smallCaps/>
        </w:rPr>
        <w:t>Coenjaerts.</w:t>
      </w:r>
    </w:p>
  </w:footnote>
  <w:footnote w:id="53">
    <w:p w14:paraId="75E947BA" w14:textId="2054D053" w:rsidR="00BE303C" w:rsidRDefault="00BE303C">
      <w:pPr>
        <w:pStyle w:val="Notedebasdepage"/>
      </w:pPr>
      <w:r>
        <w:rPr>
          <w:rStyle w:val="Appelnotedebasdep"/>
        </w:rPr>
        <w:footnoteRef/>
      </w:r>
      <w:r>
        <w:t xml:space="preserve"> Proposition de loi du 16 juillet 2019,</w:t>
      </w:r>
      <w:r w:rsidRPr="00165F8A">
        <w:t xml:space="preserve"> </w:t>
      </w:r>
      <w:r>
        <w:t>Commentaire des articles, n° 55-0173/001, p. 167.</w:t>
      </w:r>
    </w:p>
  </w:footnote>
  <w:footnote w:id="54">
    <w:p w14:paraId="61A2416D" w14:textId="45318DC5" w:rsidR="003E169F" w:rsidRPr="00025BAD" w:rsidRDefault="003E169F">
      <w:pPr>
        <w:pStyle w:val="Notedebasdepage"/>
      </w:pPr>
      <w:r>
        <w:rPr>
          <w:rStyle w:val="Appelnotedebasdep"/>
        </w:rPr>
        <w:footnoteRef/>
      </w:r>
      <w:r w:rsidRPr="00025BAD">
        <w:t xml:space="preserve"> </w:t>
      </w:r>
      <w:r w:rsidR="00025BAD" w:rsidRPr="00025BAD">
        <w:t>Pour D. Gruyaert, l’article 3.67, en ce qu’il s’intéresse au voisinage</w:t>
      </w:r>
      <w:r w:rsidR="00E61612">
        <w:t>,</w:t>
      </w:r>
      <w:r w:rsidR="00025BAD">
        <w:t xml:space="preserve"> pourrait même </w:t>
      </w:r>
      <w:r w:rsidR="00E61612">
        <w:t>être inclus dans</w:t>
      </w:r>
      <w:r w:rsidR="00025BAD">
        <w:t xml:space="preserve"> le </w:t>
      </w:r>
      <w:r w:rsidR="00D21BC8">
        <w:t>t</w:t>
      </w:r>
      <w:r w:rsidR="00025BAD">
        <w:t>itre 5</w:t>
      </w:r>
      <w:r w:rsidRPr="00025BAD">
        <w:t xml:space="preserve"> </w:t>
      </w:r>
      <w:r w:rsidR="00025BAD">
        <w:t>(</w:t>
      </w:r>
      <w:r w:rsidRPr="00025BAD">
        <w:t xml:space="preserve">D. </w:t>
      </w:r>
      <w:r w:rsidRPr="00025BAD">
        <w:rPr>
          <w:smallCaps/>
        </w:rPr>
        <w:t>Gruyaert, « </w:t>
      </w:r>
      <w:r w:rsidRPr="00025BAD">
        <w:t xml:space="preserve">Eigendom », </w:t>
      </w:r>
      <w:r w:rsidRPr="00025BAD">
        <w:rPr>
          <w:i/>
          <w:iCs/>
        </w:rPr>
        <w:t xml:space="preserve">in </w:t>
      </w:r>
      <w:r w:rsidRPr="00025BAD">
        <w:t xml:space="preserve">V. Sagaert, J. Baeck, N. Carette, P. Lecocq, M. Muylle, A. Wylleman (dir.), </w:t>
      </w:r>
      <w:r w:rsidRPr="00025BAD">
        <w:rPr>
          <w:i/>
          <w:iCs/>
        </w:rPr>
        <w:t>Het nieuwe goederenrecht</w:t>
      </w:r>
      <w:r w:rsidRPr="00025BAD">
        <w:t>, Anvers, Intersentia, 2021, p. 260, n° 20</w:t>
      </w:r>
      <w:r w:rsidR="00025BAD">
        <w:t>)</w:t>
      </w:r>
      <w:r w:rsidRPr="00025BAD">
        <w:t>.</w:t>
      </w:r>
    </w:p>
  </w:footnote>
  <w:footnote w:id="55">
    <w:p w14:paraId="5258C5F3" w14:textId="77777777" w:rsidR="00F0135C" w:rsidRDefault="00F0135C" w:rsidP="00F0135C">
      <w:pPr>
        <w:pStyle w:val="Notedebasdepage"/>
      </w:pPr>
      <w:r>
        <w:rPr>
          <w:rStyle w:val="Appelnotedebasdep"/>
        </w:rPr>
        <w:footnoteRef/>
      </w:r>
      <w:r>
        <w:t xml:space="preserve"> Proposition de loi du 16 juillet 2019, Commentaire des articles, n° 55-0173/001, p. 126.</w:t>
      </w:r>
    </w:p>
  </w:footnote>
  <w:footnote w:id="56">
    <w:p w14:paraId="289B7FB6" w14:textId="77777777" w:rsidR="00762C59" w:rsidRPr="00D94CBB" w:rsidRDefault="00762C59" w:rsidP="00762C59">
      <w:pPr>
        <w:pStyle w:val="Notedebasdepage"/>
        <w:rPr>
          <w:lang w:val="nl-BE"/>
        </w:rPr>
      </w:pPr>
      <w:r>
        <w:rPr>
          <w:rStyle w:val="Appelnotedebasdep"/>
        </w:rPr>
        <w:footnoteRef/>
      </w:r>
      <w:r w:rsidRPr="00D94CBB">
        <w:rPr>
          <w:lang w:val="nl-BE"/>
        </w:rPr>
        <w:t xml:space="preserve"> R. J</w:t>
      </w:r>
      <w:r w:rsidRPr="00D94CBB">
        <w:rPr>
          <w:smallCaps/>
          <w:lang w:val="nl-BE"/>
        </w:rPr>
        <w:t>ansen</w:t>
      </w:r>
      <w:r w:rsidRPr="00D94CBB">
        <w:rPr>
          <w:lang w:val="nl-BE"/>
        </w:rPr>
        <w:t xml:space="preserve">, </w:t>
      </w:r>
      <w:r w:rsidRPr="00D94CBB">
        <w:rPr>
          <w:i/>
          <w:iCs/>
          <w:lang w:val="nl-BE"/>
        </w:rPr>
        <w:t>Beschikkingsonbevoegdheid</w:t>
      </w:r>
      <w:r w:rsidRPr="00D94CBB">
        <w:rPr>
          <w:lang w:val="nl-BE"/>
        </w:rPr>
        <w:t>, Anvers, Intersentia, 2009, p. 595, n° 676.</w:t>
      </w:r>
    </w:p>
  </w:footnote>
  <w:footnote w:id="57">
    <w:p w14:paraId="3CA3A8AE" w14:textId="77777777" w:rsidR="00F879B3" w:rsidRPr="0044656A" w:rsidRDefault="00F879B3" w:rsidP="00F879B3">
      <w:pPr>
        <w:pStyle w:val="Notedebasdepage"/>
        <w:rPr>
          <w:lang w:val="nl-BE"/>
        </w:rPr>
      </w:pPr>
      <w:r>
        <w:rPr>
          <w:rStyle w:val="Appelnotedebasdep"/>
        </w:rPr>
        <w:footnoteRef/>
      </w:r>
      <w:r w:rsidRPr="003A2EBB">
        <w:t xml:space="preserve"> Pour un examen complet, voy. </w:t>
      </w:r>
      <w:r w:rsidRPr="009E54D5">
        <w:rPr>
          <w:lang w:val="nl-BE"/>
        </w:rPr>
        <w:t xml:space="preserve">R. </w:t>
      </w:r>
      <w:r w:rsidRPr="009E54D5">
        <w:rPr>
          <w:smallCaps/>
          <w:lang w:val="nl-BE"/>
        </w:rPr>
        <w:t xml:space="preserve">Jansen, </w:t>
      </w:r>
      <w:r w:rsidRPr="009E54D5">
        <w:rPr>
          <w:i/>
          <w:lang w:val="nl-BE"/>
        </w:rPr>
        <w:t>Beschikkingsonbevoegdheid</w:t>
      </w:r>
      <w:r w:rsidRPr="009E54D5">
        <w:rPr>
          <w:lang w:val="nl-BE"/>
        </w:rPr>
        <w:t>, Anvers, Intersentia, 2009,</w:t>
      </w:r>
      <w:r>
        <w:rPr>
          <w:lang w:val="nl-BE"/>
        </w:rPr>
        <w:t xml:space="preserve"> pp. 577-701.</w:t>
      </w:r>
    </w:p>
  </w:footnote>
  <w:footnote w:id="58">
    <w:p w14:paraId="03999282" w14:textId="7F6905B3" w:rsidR="00627B86" w:rsidRDefault="00627B86">
      <w:pPr>
        <w:pStyle w:val="Notedebasdepage"/>
      </w:pPr>
      <w:r>
        <w:rPr>
          <w:rStyle w:val="Appelnotedebasdep"/>
        </w:rPr>
        <w:footnoteRef/>
      </w:r>
      <w:r>
        <w:t xml:space="preserve"> Proposition de loi du 16 juillet 2019, Commentaire des articles, n° 55-0173/001, p. 134.</w:t>
      </w:r>
    </w:p>
  </w:footnote>
  <w:footnote w:id="59">
    <w:p w14:paraId="2E9CE37C" w14:textId="721D79A3" w:rsidR="00053660" w:rsidRDefault="00053660">
      <w:pPr>
        <w:pStyle w:val="Notedebasdepage"/>
      </w:pPr>
      <w:r>
        <w:rPr>
          <w:rStyle w:val="Appelnotedebasdep"/>
        </w:rPr>
        <w:footnoteRef/>
      </w:r>
      <w:r>
        <w:t xml:space="preserve"> </w:t>
      </w:r>
      <w:r w:rsidR="00F0704D">
        <w:t>N</w:t>
      </w:r>
      <w:r w:rsidR="001F60AA">
        <w:t xml:space="preserve">. </w:t>
      </w:r>
      <w:r w:rsidR="001F60AA">
        <w:rPr>
          <w:smallCaps/>
        </w:rPr>
        <w:t xml:space="preserve">Bernard, </w:t>
      </w:r>
      <w:r w:rsidR="001F60AA">
        <w:t xml:space="preserve">« « Titre 3. Le droit de propriété », </w:t>
      </w:r>
      <w:r w:rsidR="001F60AA">
        <w:rPr>
          <w:i/>
          <w:iCs/>
        </w:rPr>
        <w:t xml:space="preserve">in </w:t>
      </w:r>
      <w:r w:rsidR="001F60AA" w:rsidRPr="00B15C97">
        <w:t>P. Lecocq</w:t>
      </w:r>
      <w:r w:rsidR="001F60AA">
        <w:t xml:space="preserve">, I. Durant, N. Bernard, B. Michaux, J.-Fr. Romain (dir.), </w:t>
      </w:r>
      <w:r w:rsidR="001F60AA">
        <w:rPr>
          <w:i/>
          <w:iCs/>
        </w:rPr>
        <w:t>Le nouveau droit des biens</w:t>
      </w:r>
      <w:r w:rsidR="001F60AA">
        <w:t>, Bruxelles, Larcier, 2020, p. 96, n° 21.</w:t>
      </w:r>
    </w:p>
  </w:footnote>
  <w:footnote w:id="60">
    <w:p w14:paraId="48F99E52" w14:textId="47C96859" w:rsidR="004439AD" w:rsidRPr="006C6677" w:rsidRDefault="004439AD">
      <w:pPr>
        <w:pStyle w:val="Notedebasdepage"/>
      </w:pPr>
      <w:r>
        <w:rPr>
          <w:rStyle w:val="Appelnotedebasdep"/>
        </w:rPr>
        <w:footnoteRef/>
      </w:r>
      <w:r>
        <w:t xml:space="preserve"> </w:t>
      </w:r>
      <w:r w:rsidR="00003301">
        <w:t xml:space="preserve">N. Bernard définit ce mécanisme comme </w:t>
      </w:r>
      <w:r w:rsidR="00785B64">
        <w:t>la sûreté « par laquelle un emprunteur s’empêche, pour protéger ses créanciers</w:t>
      </w:r>
      <w:r w:rsidR="00842FF7">
        <w:t xml:space="preserve">, de constituer une sûreté </w:t>
      </w:r>
      <w:r w:rsidR="006C6677">
        <w:t xml:space="preserve">sur un ou plusieurs biens de son patrimoine » (N. </w:t>
      </w:r>
      <w:r w:rsidR="006C6677">
        <w:rPr>
          <w:smallCaps/>
        </w:rPr>
        <w:t xml:space="preserve">Bernard, </w:t>
      </w:r>
      <w:r w:rsidR="006C6677">
        <w:t xml:space="preserve">« « Titre 3. Le droit de propriété », </w:t>
      </w:r>
      <w:r w:rsidR="006C6677">
        <w:rPr>
          <w:i/>
          <w:iCs/>
        </w:rPr>
        <w:t xml:space="preserve">in </w:t>
      </w:r>
      <w:r w:rsidR="006C6677" w:rsidRPr="00B15C97">
        <w:t>P. Lecocq</w:t>
      </w:r>
      <w:r w:rsidR="006C6677">
        <w:t xml:space="preserve">, I. Durant, N. Bernard, B. Michaux, J.-Fr. Romain (dir.), </w:t>
      </w:r>
      <w:r w:rsidR="006C6677">
        <w:rPr>
          <w:i/>
          <w:iCs/>
        </w:rPr>
        <w:t>Le nouveau droit des biens</w:t>
      </w:r>
      <w:r w:rsidR="006C6677">
        <w:t xml:space="preserve">, Bruxelles, Larcier, 2020, p. 94, n° </w:t>
      </w:r>
      <w:r w:rsidR="00055020">
        <w:t>19</w:t>
      </w:r>
      <w:r w:rsidR="009E3015">
        <w:t>)</w:t>
      </w:r>
      <w:r w:rsidR="00055020">
        <w:t>.</w:t>
      </w:r>
    </w:p>
  </w:footnote>
  <w:footnote w:id="61">
    <w:p w14:paraId="6718E8F2" w14:textId="3A118B62" w:rsidR="004439AD" w:rsidRDefault="004439AD">
      <w:pPr>
        <w:pStyle w:val="Notedebasdepage"/>
      </w:pPr>
      <w:r>
        <w:rPr>
          <w:rStyle w:val="Appelnotedebasdep"/>
        </w:rPr>
        <w:footnoteRef/>
      </w:r>
      <w:r>
        <w:t xml:space="preserve"> Proposition de loi du 16 juillet 2019, Commentaire des articles, n° 55-0173/001, p. 134.</w:t>
      </w:r>
    </w:p>
  </w:footnote>
  <w:footnote w:id="62">
    <w:p w14:paraId="5AE2D73B" w14:textId="77777777" w:rsidR="00481CD7" w:rsidRDefault="00481CD7">
      <w:pPr>
        <w:pStyle w:val="Notedebasdepage"/>
      </w:pPr>
      <w:r>
        <w:rPr>
          <w:rStyle w:val="Appelnotedebasdep"/>
        </w:rPr>
        <w:footnoteRef/>
      </w:r>
      <w:r>
        <w:t xml:space="preserve"> « </w:t>
      </w:r>
      <w:r w:rsidRPr="00481CD7">
        <w:t>Sous réserve d'autres dispositions du présent Livre, le propriétaire peut revendiquer l'objet dans les mains de celui duquel il se trouve et s'opposer à toute atteinte ou prétention d'un tiers.</w:t>
      </w:r>
    </w:p>
    <w:p w14:paraId="32E4D023" w14:textId="7FADDA47" w:rsidR="00481CD7" w:rsidRDefault="00481CD7">
      <w:pPr>
        <w:pStyle w:val="Notedebasdepage"/>
      </w:pPr>
      <w:r w:rsidRPr="00481CD7">
        <w:t>  Le droit de propriété et les actions qui sanctionnent ce droit ne s'éteignent pas par non-usage</w:t>
      </w:r>
      <w:r>
        <w:t> »</w:t>
      </w:r>
      <w:r w:rsidRPr="00481CD7">
        <w:t>.</w:t>
      </w:r>
    </w:p>
  </w:footnote>
  <w:footnote w:id="63">
    <w:p w14:paraId="35F73E10" w14:textId="2838C64D" w:rsidR="00A108A2" w:rsidRDefault="00A108A2">
      <w:pPr>
        <w:pStyle w:val="Notedebasdepage"/>
      </w:pPr>
      <w:r>
        <w:rPr>
          <w:rStyle w:val="Appelnotedebasdep"/>
        </w:rPr>
        <w:footnoteRef/>
      </w:r>
      <w:r>
        <w:t xml:space="preserve"> Proposition de loi du 16 juillet 2019, Commentaire des articles, n° 55-0173/001, p. 129.</w:t>
      </w:r>
    </w:p>
  </w:footnote>
  <w:footnote w:id="64">
    <w:p w14:paraId="6A030DF0" w14:textId="5CAC47AA" w:rsidR="007F210B" w:rsidRDefault="007F210B">
      <w:pPr>
        <w:pStyle w:val="Notedebasdepage"/>
      </w:pPr>
      <w:r>
        <w:rPr>
          <w:rStyle w:val="Appelnotedebasdep"/>
        </w:rPr>
        <w:footnoteRef/>
      </w:r>
      <w:r>
        <w:t xml:space="preserve"> Proposition de loi du 16 juillet 2019, Commentaire des articles, n° 55-0173/001, p. 128.</w:t>
      </w:r>
    </w:p>
  </w:footnote>
  <w:footnote w:id="65">
    <w:p w14:paraId="48B81DD7" w14:textId="2FA0000A" w:rsidR="008D6188" w:rsidRDefault="008D6188">
      <w:pPr>
        <w:pStyle w:val="Notedebasdepage"/>
      </w:pPr>
      <w:r>
        <w:rPr>
          <w:rStyle w:val="Appelnotedebasdep"/>
        </w:rPr>
        <w:footnoteRef/>
      </w:r>
      <w:r>
        <w:t xml:space="preserve"> </w:t>
      </w:r>
      <w:r w:rsidR="00CF5310">
        <w:t>Proposition de loi du 16 juillet 2019, Commentaire des articles, n° 55-0173/001, p</w:t>
      </w:r>
      <w:r>
        <w:t>. 129.</w:t>
      </w:r>
    </w:p>
  </w:footnote>
  <w:footnote w:id="66">
    <w:p w14:paraId="598507EC" w14:textId="1D7F39DF" w:rsidR="00366CC2" w:rsidRPr="00366CC2" w:rsidRDefault="00366CC2" w:rsidP="00366CC2">
      <w:pPr>
        <w:spacing w:line="240" w:lineRule="auto"/>
        <w:rPr>
          <w:sz w:val="20"/>
          <w:szCs w:val="20"/>
        </w:rPr>
      </w:pPr>
      <w:r w:rsidRPr="00366CC2">
        <w:rPr>
          <w:rStyle w:val="Appelnotedebasdep"/>
          <w:sz w:val="20"/>
          <w:szCs w:val="20"/>
        </w:rPr>
        <w:footnoteRef/>
      </w:r>
      <w:r w:rsidRPr="00366CC2">
        <w:rPr>
          <w:sz w:val="20"/>
          <w:szCs w:val="20"/>
        </w:rPr>
        <w:t xml:space="preserve"> </w:t>
      </w:r>
      <w:r w:rsidR="00271E7B">
        <w:rPr>
          <w:sz w:val="20"/>
          <w:szCs w:val="20"/>
        </w:rPr>
        <w:t>« </w:t>
      </w:r>
      <w:r w:rsidRPr="00366CC2">
        <w:rPr>
          <w:sz w:val="20"/>
          <w:szCs w:val="20"/>
        </w:rPr>
        <w:t>Sans préjudice des articles 3.23 et 3.24 et sous réserve de l'application des règles de preuve entre parties contractantes, la preuve de la propriété peut être apportée par tous modes de preuve, et notamment par titre, par possession et par indices matériels. Le juge détermine le propriétaire le plus vraisemblable en respectant les règles suivantes</w:t>
      </w:r>
      <w:r w:rsidR="000E7614">
        <w:rPr>
          <w:sz w:val="20"/>
          <w:szCs w:val="20"/>
        </w:rPr>
        <w:t xml:space="preserve"> </w:t>
      </w:r>
      <w:r w:rsidRPr="00366CC2">
        <w:rPr>
          <w:sz w:val="20"/>
          <w:szCs w:val="20"/>
        </w:rPr>
        <w:t>:</w:t>
      </w:r>
    </w:p>
    <w:p w14:paraId="65936CDE" w14:textId="34DBE2D9" w:rsidR="00366CC2" w:rsidRDefault="00366CC2" w:rsidP="00366CC2">
      <w:pPr>
        <w:spacing w:line="240" w:lineRule="auto"/>
        <w:rPr>
          <w:sz w:val="20"/>
          <w:szCs w:val="20"/>
        </w:rPr>
      </w:pPr>
      <w:r w:rsidRPr="00366CC2">
        <w:rPr>
          <w:sz w:val="20"/>
          <w:szCs w:val="20"/>
        </w:rPr>
        <w:t>  1° l'emporte celui qui établit à son profit un mode originaire d'acquérir</w:t>
      </w:r>
      <w:r w:rsidR="000E7614">
        <w:rPr>
          <w:sz w:val="20"/>
          <w:szCs w:val="20"/>
        </w:rPr>
        <w:t xml:space="preserve"> </w:t>
      </w:r>
      <w:r w:rsidRPr="00366CC2">
        <w:rPr>
          <w:sz w:val="20"/>
          <w:szCs w:val="20"/>
        </w:rPr>
        <w:t>;</w:t>
      </w:r>
    </w:p>
    <w:p w14:paraId="3274581A" w14:textId="729A7991" w:rsidR="00366CC2" w:rsidRDefault="00366CC2" w:rsidP="00366CC2">
      <w:pPr>
        <w:spacing w:line="240" w:lineRule="auto"/>
        <w:rPr>
          <w:sz w:val="20"/>
          <w:szCs w:val="20"/>
        </w:rPr>
      </w:pPr>
      <w:r w:rsidRPr="00366CC2">
        <w:rPr>
          <w:sz w:val="20"/>
          <w:szCs w:val="20"/>
        </w:rPr>
        <w:t>  2° à défaut, l'emporte celui qui a un titre, à première vue, valable</w:t>
      </w:r>
      <w:r w:rsidR="000E7614">
        <w:rPr>
          <w:sz w:val="20"/>
          <w:szCs w:val="20"/>
        </w:rPr>
        <w:t xml:space="preserve"> </w:t>
      </w:r>
      <w:r w:rsidRPr="00366CC2">
        <w:rPr>
          <w:sz w:val="20"/>
          <w:szCs w:val="20"/>
        </w:rPr>
        <w:t>;</w:t>
      </w:r>
    </w:p>
    <w:p w14:paraId="44EBB683" w14:textId="64D09F18" w:rsidR="00366CC2" w:rsidRPr="00366CC2" w:rsidRDefault="00366CC2" w:rsidP="00366CC2">
      <w:pPr>
        <w:spacing w:line="240" w:lineRule="auto"/>
      </w:pPr>
      <w:r w:rsidRPr="00366CC2">
        <w:rPr>
          <w:sz w:val="20"/>
          <w:szCs w:val="20"/>
        </w:rPr>
        <w:t>  3° à défaut, et sous réserve que la propriété appartienne nécessairement à l'une des parties au procès, une possession prévaut ».</w:t>
      </w:r>
    </w:p>
  </w:footnote>
  <w:footnote w:id="67">
    <w:p w14:paraId="6EB3DCF9" w14:textId="47C9E6C0" w:rsidR="00EB3496" w:rsidRDefault="00EB3496">
      <w:pPr>
        <w:pStyle w:val="Notedebasdepage"/>
      </w:pPr>
      <w:r>
        <w:rPr>
          <w:rStyle w:val="Appelnotedebasdep"/>
        </w:rPr>
        <w:footnoteRef/>
      </w:r>
      <w:r>
        <w:t xml:space="preserve"> Proposition de loi du 16 juillet 2019, Commentaire des articles, n° 55-0173/001, p. 37.</w:t>
      </w:r>
    </w:p>
  </w:footnote>
  <w:footnote w:id="68">
    <w:p w14:paraId="474969D4" w14:textId="40007EEC" w:rsidR="00E909DB" w:rsidRDefault="00E909DB">
      <w:pPr>
        <w:pStyle w:val="Notedebasdepage"/>
      </w:pPr>
      <w:r>
        <w:rPr>
          <w:rStyle w:val="Appelnotedebasdep"/>
        </w:rPr>
        <w:footnoteRef/>
      </w:r>
      <w:r>
        <w:t xml:space="preserve"> </w:t>
      </w:r>
      <w:r w:rsidR="00E262CC">
        <w:t>Proposition de loi du 16 juillet 2019,</w:t>
      </w:r>
      <w:r w:rsidR="00E262CC" w:rsidRPr="00165F8A">
        <w:t xml:space="preserve"> </w:t>
      </w:r>
      <w:r w:rsidR="007F6904">
        <w:t>Auditions</w:t>
      </w:r>
      <w:r w:rsidR="00E262CC">
        <w:t xml:space="preserve">, n° 55-0173/004, p. </w:t>
      </w:r>
      <w:r w:rsidR="007F6904">
        <w:t>73</w:t>
      </w:r>
      <w:r w:rsidR="00E262CC">
        <w:t>.</w:t>
      </w:r>
    </w:p>
  </w:footnote>
  <w:footnote w:id="69">
    <w:p w14:paraId="7C613046" w14:textId="7F5D2F51" w:rsidR="008B76BD" w:rsidRDefault="008B76BD">
      <w:pPr>
        <w:pStyle w:val="Notedebasdepage"/>
      </w:pPr>
      <w:r>
        <w:rPr>
          <w:rStyle w:val="Appelnotedebasdep"/>
        </w:rPr>
        <w:footnoteRef/>
      </w:r>
      <w:r>
        <w:t xml:space="preserve"> Proposition de loi du 16 juillet 2019, Commentaire des articles, n° 55-0173/001, </w:t>
      </w:r>
      <w:r w:rsidR="00603069">
        <w:t>p.</w:t>
      </w:r>
      <w:r w:rsidR="00245B83">
        <w:t xml:space="preserve"> 131.</w:t>
      </w:r>
    </w:p>
  </w:footnote>
  <w:footnote w:id="70">
    <w:p w14:paraId="7790F5CE" w14:textId="19E803AF" w:rsidR="008B76BD" w:rsidRDefault="008B76BD">
      <w:pPr>
        <w:pStyle w:val="Notedebasdepage"/>
      </w:pPr>
      <w:r>
        <w:rPr>
          <w:rStyle w:val="Appelnotedebasdep"/>
        </w:rPr>
        <w:footnoteRef/>
      </w:r>
      <w:r>
        <w:t xml:space="preserve"> </w:t>
      </w:r>
      <w:r w:rsidR="00245B83" w:rsidRPr="00245B83">
        <w:t>«</w:t>
      </w:r>
      <w:r w:rsidR="00245B83">
        <w:t xml:space="preserve"> </w:t>
      </w:r>
      <w:r w:rsidR="00245B83" w:rsidRPr="00245B83">
        <w:t>Sous réserve des articles 3.25 et 3.28, la possession ne produit ses effets que si elle est continue, paisible, publique et non équivoque. Ces qualités sont présumées, sauf preuve contraire ».</w:t>
      </w:r>
      <w:r w:rsidR="00871F30">
        <w:t xml:space="preserve"> Sur cette disposition, voy. </w:t>
      </w:r>
      <w:proofErr w:type="gramStart"/>
      <w:r w:rsidR="00871F30">
        <w:t>dans</w:t>
      </w:r>
      <w:proofErr w:type="gramEnd"/>
      <w:r w:rsidR="00871F30">
        <w:t xml:space="preserve"> cet ouvrage la contribution de </w:t>
      </w:r>
      <w:r w:rsidR="00B05A54">
        <w:t xml:space="preserve">S. </w:t>
      </w:r>
      <w:r w:rsidR="00B05A54" w:rsidRPr="007B5F70">
        <w:rPr>
          <w:smallCaps/>
        </w:rPr>
        <w:t xml:space="preserve">Boufflette </w:t>
      </w:r>
      <w:r w:rsidR="00B05A54" w:rsidRPr="007B5F70">
        <w:t>et</w:t>
      </w:r>
      <w:r w:rsidR="00B05A54" w:rsidRPr="007B5F70">
        <w:rPr>
          <w:smallCaps/>
        </w:rPr>
        <w:t xml:space="preserve"> A. Salvé</w:t>
      </w:r>
      <w:r w:rsidR="00B05A54">
        <w:rPr>
          <w:smallCaps/>
        </w:rPr>
        <w:t>.</w:t>
      </w:r>
    </w:p>
  </w:footnote>
  <w:footnote w:id="71">
    <w:p w14:paraId="523C513D" w14:textId="00C9FEF7" w:rsidR="008B76BD" w:rsidRDefault="008B76BD">
      <w:pPr>
        <w:pStyle w:val="Notedebasdepage"/>
      </w:pPr>
      <w:r>
        <w:rPr>
          <w:rStyle w:val="Appelnotedebasdep"/>
        </w:rPr>
        <w:footnoteRef/>
      </w:r>
      <w:r>
        <w:t xml:space="preserve"> </w:t>
      </w:r>
      <w:r w:rsidR="00245B83">
        <w:t xml:space="preserve">N. </w:t>
      </w:r>
      <w:r w:rsidR="00245B83">
        <w:rPr>
          <w:smallCaps/>
        </w:rPr>
        <w:t xml:space="preserve">Bernard, </w:t>
      </w:r>
      <w:r w:rsidR="00245B83">
        <w:t xml:space="preserve">« Titre 3. Le droit de propriété », </w:t>
      </w:r>
      <w:r w:rsidR="00245B83">
        <w:rPr>
          <w:i/>
          <w:iCs/>
        </w:rPr>
        <w:t xml:space="preserve">in </w:t>
      </w:r>
      <w:r w:rsidR="00245B83" w:rsidRPr="00B15C97">
        <w:t>P. Lecocq</w:t>
      </w:r>
      <w:r w:rsidR="00245B83">
        <w:t xml:space="preserve">, I. Durant, N. Bernard, B. Michaux, J.-Fr. Romain (dir.), </w:t>
      </w:r>
      <w:r w:rsidR="00245B83">
        <w:rPr>
          <w:i/>
          <w:iCs/>
        </w:rPr>
        <w:t>Le nouveau droit des biens</w:t>
      </w:r>
      <w:r w:rsidR="00245B83">
        <w:t xml:space="preserve">, Bruxelles, Larcier, 2020, p. </w:t>
      </w:r>
      <w:r w:rsidR="00FD0F75">
        <w:t>93, n° 17.</w:t>
      </w:r>
    </w:p>
  </w:footnote>
  <w:footnote w:id="72">
    <w:p w14:paraId="2171336B" w14:textId="77777777" w:rsidR="00693714" w:rsidRDefault="00693714" w:rsidP="00693714">
      <w:pPr>
        <w:pStyle w:val="Notedebasdepage"/>
      </w:pPr>
      <w:r>
        <w:rPr>
          <w:rStyle w:val="Appelnotedebasdep"/>
        </w:rPr>
        <w:footnoteRef/>
      </w:r>
      <w:r>
        <w:t xml:space="preserve"> Proposition de loi du 16 juillet 2019, Commentaire des articles, n° 55-0173/001, p. 130.</w:t>
      </w:r>
    </w:p>
  </w:footnote>
  <w:footnote w:id="73">
    <w:p w14:paraId="0A546B28" w14:textId="2D142B71" w:rsidR="00470E48" w:rsidRPr="00E16FAB" w:rsidRDefault="00470E48">
      <w:pPr>
        <w:pStyle w:val="Notedebasdepage"/>
      </w:pPr>
      <w:r w:rsidRPr="00E16FAB">
        <w:rPr>
          <w:rStyle w:val="Appelnotedebasdep"/>
        </w:rPr>
        <w:footnoteRef/>
      </w:r>
      <w:r w:rsidR="000670AA" w:rsidRPr="00E16FAB">
        <w:rPr>
          <w:color w:val="000000"/>
        </w:rPr>
        <w:t xml:space="preserve"> « Le possesseur est présumé être titulaire du droit réel dont il a l'exercice de fait, sauf preuve contraire ».</w:t>
      </w:r>
    </w:p>
  </w:footnote>
  <w:footnote w:id="74">
    <w:p w14:paraId="1CD78A02" w14:textId="46D4D977" w:rsidR="00470E48" w:rsidRDefault="00470E48">
      <w:pPr>
        <w:pStyle w:val="Notedebasdepage"/>
      </w:pPr>
      <w:r w:rsidRPr="00E16FAB">
        <w:rPr>
          <w:rStyle w:val="Appelnotedebasdep"/>
        </w:rPr>
        <w:footnoteRef/>
      </w:r>
      <w:r w:rsidRPr="00E16FAB">
        <w:t xml:space="preserve"> </w:t>
      </w:r>
      <w:r w:rsidR="000670AA" w:rsidRPr="00E16FAB">
        <w:t>«</w:t>
      </w:r>
      <w:r w:rsidR="00E16FAB">
        <w:t xml:space="preserve"> </w:t>
      </w:r>
      <w:r w:rsidR="00E16FAB" w:rsidRPr="00E16FAB">
        <w:rPr>
          <w:color w:val="000000"/>
        </w:rPr>
        <w:t>En fait de meubles, le possesseur de bonne foi d'un droit réel est présumé disposer d'un titre, sauf preuve contraire ».</w:t>
      </w:r>
      <w:r w:rsidR="004954DC">
        <w:rPr>
          <w:color w:val="000000"/>
        </w:rPr>
        <w:t xml:space="preserve"> Sur cette disposition et celle figurant à la note précédente, voy. </w:t>
      </w:r>
      <w:proofErr w:type="gramStart"/>
      <w:r w:rsidR="004954DC">
        <w:t>dans</w:t>
      </w:r>
      <w:proofErr w:type="gramEnd"/>
      <w:r w:rsidR="004954DC">
        <w:t xml:space="preserve"> cet ouvrage la contribution de</w:t>
      </w:r>
      <w:r w:rsidR="00800F0A">
        <w:t xml:space="preserve"> S. </w:t>
      </w:r>
      <w:r w:rsidR="00800F0A" w:rsidRPr="007B5F70">
        <w:rPr>
          <w:smallCaps/>
        </w:rPr>
        <w:t xml:space="preserve">Boufflette </w:t>
      </w:r>
      <w:r w:rsidR="00800F0A" w:rsidRPr="007B5F70">
        <w:t>et</w:t>
      </w:r>
      <w:r w:rsidR="00800F0A" w:rsidRPr="007B5F70">
        <w:rPr>
          <w:smallCaps/>
        </w:rPr>
        <w:t xml:space="preserve"> A. Salvé</w:t>
      </w:r>
      <w:r w:rsidR="00800F0A">
        <w:rPr>
          <w:smallCaps/>
        </w:rPr>
        <w:t>.</w:t>
      </w:r>
    </w:p>
  </w:footnote>
  <w:footnote w:id="75">
    <w:p w14:paraId="2B621D9B" w14:textId="368D74F7" w:rsidR="000670AA" w:rsidRPr="000670AA" w:rsidRDefault="000670AA">
      <w:pPr>
        <w:pStyle w:val="Notedebasdepage"/>
      </w:pPr>
      <w:r>
        <w:rPr>
          <w:rStyle w:val="Appelnotedebasdep"/>
        </w:rPr>
        <w:footnoteRef/>
      </w:r>
      <w:r>
        <w:t xml:space="preserve"> </w:t>
      </w:r>
      <w:r w:rsidR="00AB5D26">
        <w:t>Sans doute f</w:t>
      </w:r>
      <w:r w:rsidR="00E05668">
        <w:t>audra-t-il également admettre les actes de bornage</w:t>
      </w:r>
      <w:r w:rsidR="00B835F8">
        <w:t xml:space="preserve"> antérieur</w:t>
      </w:r>
      <w:r w:rsidR="005C4480">
        <w:t>s</w:t>
      </w:r>
      <w:r w:rsidR="00B835F8">
        <w:t xml:space="preserve"> à la réforme et faits par actes sous seing privé conformément à la jurisprudence de l’époque, sou peine d</w:t>
      </w:r>
      <w:r w:rsidR="00CA1E58">
        <w:t xml:space="preserve">’anéantir leurs effets. </w:t>
      </w:r>
      <w:r>
        <w:t xml:space="preserve">Sur </w:t>
      </w:r>
      <w:r w:rsidR="00CA1E58">
        <w:t>l’acte de bornage postérieurement à la réforme et l’obligation de le transcrire,</w:t>
      </w:r>
      <w:r>
        <w:t xml:space="preserve"> voy. </w:t>
      </w:r>
      <w:proofErr w:type="gramStart"/>
      <w:r>
        <w:rPr>
          <w:i/>
          <w:iCs/>
        </w:rPr>
        <w:t>infra</w:t>
      </w:r>
      <w:proofErr w:type="gramEnd"/>
      <w:r>
        <w:t>, n°</w:t>
      </w:r>
      <w:r w:rsidR="00FE714B">
        <w:t xml:space="preserve"> 16</w:t>
      </w:r>
      <w:r>
        <w:t>.</w:t>
      </w:r>
    </w:p>
  </w:footnote>
  <w:footnote w:id="76">
    <w:p w14:paraId="353EFE88" w14:textId="7BE05446" w:rsidR="000338F3" w:rsidRDefault="000338F3">
      <w:pPr>
        <w:pStyle w:val="Notedebasdepage"/>
      </w:pPr>
      <w:r>
        <w:rPr>
          <w:rStyle w:val="Appelnotedebasdep"/>
        </w:rPr>
        <w:footnoteRef/>
      </w:r>
      <w:r>
        <w:t xml:space="preserve"> Proposition de loi du 16 juillet 2019, Commentaire des articles, n° 55-0173/001, p. 1</w:t>
      </w:r>
      <w:r w:rsidR="008E2BF2">
        <w:t>51.</w:t>
      </w:r>
    </w:p>
  </w:footnote>
  <w:footnote w:id="77">
    <w:p w14:paraId="7916D42D" w14:textId="108E2C82" w:rsidR="0071137A" w:rsidRDefault="0071137A">
      <w:pPr>
        <w:pStyle w:val="Notedebasdepage"/>
      </w:pPr>
      <w:r>
        <w:rPr>
          <w:rStyle w:val="Appelnotedebasdep"/>
        </w:rPr>
        <w:footnoteRef/>
      </w:r>
      <w:r w:rsidR="004A21F4">
        <w:t xml:space="preserve"> L</w:t>
      </w:r>
      <w:r w:rsidR="004A21F4" w:rsidRPr="006B3855">
        <w:t xml:space="preserve">oi du 4 février 2020 portant le livre 3 </w:t>
      </w:r>
      <w:r w:rsidR="004A21F4">
        <w:t>« </w:t>
      </w:r>
      <w:r w:rsidR="004A21F4" w:rsidRPr="006B3855">
        <w:t>Les biens</w:t>
      </w:r>
      <w:r w:rsidR="004A21F4">
        <w:t> »</w:t>
      </w:r>
      <w:r w:rsidR="004A21F4" w:rsidRPr="006B3855">
        <w:t xml:space="preserve"> du Code civil</w:t>
      </w:r>
      <w:r w:rsidR="004A21F4">
        <w:t xml:space="preserve">, </w:t>
      </w:r>
      <w:r w:rsidR="009E55A8">
        <w:t xml:space="preserve">art. 31, </w:t>
      </w:r>
      <w:r w:rsidR="004A21F4">
        <w:rPr>
          <w:i/>
          <w:iCs/>
        </w:rPr>
        <w:t>M.B.</w:t>
      </w:r>
      <w:r w:rsidR="004A21F4">
        <w:t>, 17 mars 2020, p.</w:t>
      </w:r>
      <w:r w:rsidR="009E55A8">
        <w:t xml:space="preserve"> 15753. Les articles 41 et suivants du Code</w:t>
      </w:r>
      <w:r w:rsidR="009E55A8" w:rsidRPr="007A17CB">
        <w:rPr>
          <w:rFonts w:cstheme="minorHAnsi"/>
        </w:rPr>
        <w:t xml:space="preserve"> rural relatifs à la </w:t>
      </w:r>
      <w:r w:rsidR="007A17CB" w:rsidRPr="007A17CB">
        <w:rPr>
          <w:rFonts w:cstheme="minorHAnsi"/>
        </w:rPr>
        <w:t>délimitation des biens de l</w:t>
      </w:r>
      <w:proofErr w:type="gramStart"/>
      <w:r w:rsidR="007A17CB" w:rsidRPr="007A17CB">
        <w:rPr>
          <w:rFonts w:cstheme="minorHAnsi"/>
        </w:rPr>
        <w:t>’«</w:t>
      </w:r>
      <w:proofErr w:type="gramEnd"/>
      <w:r w:rsidR="007A17CB" w:rsidRPr="007A17CB">
        <w:rPr>
          <w:rFonts w:cstheme="minorHAnsi"/>
        </w:rPr>
        <w:t> </w:t>
      </w:r>
      <w:r w:rsidR="007A17CB" w:rsidRPr="007A17CB">
        <w:rPr>
          <w:rFonts w:cstheme="minorHAnsi"/>
          <w:color w:val="000000"/>
          <w:shd w:val="clear" w:color="auto" w:fill="FFFFFF"/>
        </w:rPr>
        <w:t>Etat, une province, une commune ou un établissement public »</w:t>
      </w:r>
      <w:r w:rsidR="00B6049A">
        <w:rPr>
          <w:rFonts w:cstheme="minorHAnsi"/>
          <w:color w:val="000000"/>
          <w:shd w:val="clear" w:color="auto" w:fill="FFFFFF"/>
        </w:rPr>
        <w:t xml:space="preserve"> restent quant à eux d’application</w:t>
      </w:r>
      <w:r w:rsidR="007A17CB" w:rsidRPr="007A17CB">
        <w:rPr>
          <w:rFonts w:cstheme="minorHAnsi"/>
          <w:color w:val="000000"/>
          <w:shd w:val="clear" w:color="auto" w:fill="FFFFFF"/>
        </w:rPr>
        <w:t>.</w:t>
      </w:r>
    </w:p>
  </w:footnote>
  <w:footnote w:id="78">
    <w:p w14:paraId="07CE6CD5" w14:textId="53875368" w:rsidR="00867149" w:rsidRPr="0066121B" w:rsidRDefault="00867149">
      <w:pPr>
        <w:pStyle w:val="Notedebasdepage"/>
        <w:rPr>
          <w:smallCaps/>
        </w:rPr>
      </w:pPr>
      <w:r>
        <w:rPr>
          <w:rStyle w:val="Appelnotedebasdep"/>
        </w:rPr>
        <w:footnoteRef/>
      </w:r>
      <w:r>
        <w:t xml:space="preserve"> </w:t>
      </w:r>
      <w:r w:rsidR="00F43110">
        <w:t xml:space="preserve">Les travaux préparatoires </w:t>
      </w:r>
      <w:r w:rsidR="00D55803">
        <w:t xml:space="preserve">y voient </w:t>
      </w:r>
      <w:r w:rsidR="00A33C61">
        <w:t xml:space="preserve">un contrat déclaratif </w:t>
      </w:r>
      <w:r w:rsidR="00F86548">
        <w:t>(</w:t>
      </w:r>
      <w:r w:rsidR="00127F05">
        <w:t>p</w:t>
      </w:r>
      <w:r w:rsidR="00F86548">
        <w:t>roposition de loi du 16 juillet 2019, Commentaire des articles, n° 55-0173/001, p.</w:t>
      </w:r>
      <w:r w:rsidR="00127F05">
        <w:t xml:space="preserve"> 151</w:t>
      </w:r>
      <w:r w:rsidR="00F86548">
        <w:t xml:space="preserve">) </w:t>
      </w:r>
      <w:r w:rsidR="00D55803">
        <w:t xml:space="preserve">visé donc par l’article 3.30, </w:t>
      </w:r>
      <w:r w:rsidR="00F86548">
        <w:t>§ 1</w:t>
      </w:r>
      <w:r w:rsidR="00F86548" w:rsidRPr="00F86548">
        <w:rPr>
          <w:vertAlign w:val="superscript"/>
        </w:rPr>
        <w:t>er</w:t>
      </w:r>
      <w:r w:rsidR="00F86548">
        <w:t xml:space="preserve">, 1° du Code civil. </w:t>
      </w:r>
      <w:r>
        <w:t xml:space="preserve">Comp. antérieurement, Cass., 24 avril 2017, </w:t>
      </w:r>
      <w:r w:rsidR="0066121B">
        <w:rPr>
          <w:i/>
          <w:iCs/>
        </w:rPr>
        <w:t>T.B.O.</w:t>
      </w:r>
      <w:r w:rsidR="0066121B">
        <w:t xml:space="preserve">, 2018, p. 33, note A. </w:t>
      </w:r>
      <w:r w:rsidR="0066121B">
        <w:rPr>
          <w:smallCaps/>
        </w:rPr>
        <w:t>Verscha</w:t>
      </w:r>
      <w:r w:rsidR="00F43110">
        <w:rPr>
          <w:smallCaps/>
        </w:rPr>
        <w:t>v</w:t>
      </w:r>
      <w:r w:rsidR="0066121B">
        <w:rPr>
          <w:smallCaps/>
        </w:rPr>
        <w:t>e.</w:t>
      </w:r>
    </w:p>
  </w:footnote>
  <w:footnote w:id="79">
    <w:p w14:paraId="63A191BB" w14:textId="2F181FE3" w:rsidR="005E1CB2" w:rsidRDefault="005E1CB2">
      <w:pPr>
        <w:pStyle w:val="Notedebasdepage"/>
      </w:pPr>
      <w:r>
        <w:rPr>
          <w:rStyle w:val="Appelnotedebasdep"/>
        </w:rPr>
        <w:footnoteRef/>
      </w:r>
      <w:r>
        <w:t xml:space="preserve"> N. </w:t>
      </w:r>
      <w:r>
        <w:rPr>
          <w:smallCaps/>
        </w:rPr>
        <w:t xml:space="preserve">Bernard, </w:t>
      </w:r>
      <w:r>
        <w:t xml:space="preserve">« Titre 3. Le droit de propriété », </w:t>
      </w:r>
      <w:r>
        <w:rPr>
          <w:i/>
          <w:iCs/>
        </w:rPr>
        <w:t xml:space="preserve">in </w:t>
      </w:r>
      <w:r w:rsidRPr="00B15C97">
        <w:t>P. Lecocq</w:t>
      </w:r>
      <w:r>
        <w:t xml:space="preserve">, I. Durant, N. Bernard, B. Michaux, J.-Fr. Romain (dir.), </w:t>
      </w:r>
      <w:r>
        <w:rPr>
          <w:i/>
          <w:iCs/>
        </w:rPr>
        <w:t>Le nouveau droit des biens</w:t>
      </w:r>
      <w:r>
        <w:t>, Bruxelles, Larcier, 2020, p. 121, n° 73</w:t>
      </w:r>
      <w:r w:rsidR="009D5E05">
        <w:t xml:space="preserve"> ; P.-P. </w:t>
      </w:r>
      <w:r w:rsidR="009D5E05">
        <w:rPr>
          <w:smallCaps/>
        </w:rPr>
        <w:t xml:space="preserve">Renson, </w:t>
      </w:r>
      <w:r w:rsidR="009D5E05">
        <w:t>« </w:t>
      </w:r>
      <w:r w:rsidR="0037589F">
        <w:t xml:space="preserve">Questions choisies liées à l’étendue de la propriété immobilière », </w:t>
      </w:r>
      <w:r w:rsidR="0037589F">
        <w:rPr>
          <w:i/>
          <w:iCs/>
        </w:rPr>
        <w:t xml:space="preserve">in </w:t>
      </w:r>
      <w:r w:rsidR="009D124E">
        <w:t xml:space="preserve">N. Bernard et B. Havet (dir.), </w:t>
      </w:r>
      <w:r w:rsidR="0037589F">
        <w:rPr>
          <w:i/>
          <w:iCs/>
        </w:rPr>
        <w:t>Le droit des biens revisité</w:t>
      </w:r>
      <w:r w:rsidR="0037589F">
        <w:t>, Limal, Anthemis, 2020</w:t>
      </w:r>
      <w:r w:rsidR="00634C41">
        <w:t>, p. 69, n° 15.</w:t>
      </w:r>
    </w:p>
  </w:footnote>
  <w:footnote w:id="80">
    <w:p w14:paraId="27D1BDF3" w14:textId="4050EA7F" w:rsidR="006624EC" w:rsidRDefault="006624EC">
      <w:pPr>
        <w:pStyle w:val="Notedebasdepage"/>
      </w:pPr>
      <w:r>
        <w:rPr>
          <w:rStyle w:val="Appelnotedebasdep"/>
        </w:rPr>
        <w:footnoteRef/>
      </w:r>
      <w:r>
        <w:t xml:space="preserve"> Proposition de loi du 16 juillet 2019, Commentaire des articles, n° 55-0173/001, p. 151.</w:t>
      </w:r>
    </w:p>
  </w:footnote>
  <w:footnote w:id="81">
    <w:p w14:paraId="6257DC0F" w14:textId="0DB06F1C" w:rsidR="00BD769C" w:rsidRPr="00BD769C" w:rsidRDefault="00BD769C">
      <w:pPr>
        <w:pStyle w:val="Notedebasdepage"/>
      </w:pPr>
      <w:r>
        <w:rPr>
          <w:rStyle w:val="Appelnotedebasdep"/>
        </w:rPr>
        <w:footnoteRef/>
      </w:r>
      <w:r>
        <w:t xml:space="preserve"> Pour éviter les manœuvres dilatoires, P.-P. Renson regrette que seule une réponse soit</w:t>
      </w:r>
      <w:r w:rsidR="006C7DF8">
        <w:t xml:space="preserve"> exigée dans les trois mois et non un bornage amiable effectif : P.-P. </w:t>
      </w:r>
      <w:r w:rsidR="006C7DF8">
        <w:rPr>
          <w:smallCaps/>
        </w:rPr>
        <w:t xml:space="preserve">Renson, </w:t>
      </w:r>
      <w:r w:rsidR="006C7DF8">
        <w:t xml:space="preserve">« Questions choisies liées à l’étendue de la propriété immobilière », </w:t>
      </w:r>
      <w:r w:rsidR="006C7DF8">
        <w:rPr>
          <w:i/>
          <w:iCs/>
        </w:rPr>
        <w:t xml:space="preserve">in </w:t>
      </w:r>
      <w:r w:rsidR="006C7DF8">
        <w:t xml:space="preserve">N. Bernard et B. Havet (dir.), </w:t>
      </w:r>
      <w:r w:rsidR="006C7DF8">
        <w:rPr>
          <w:i/>
          <w:iCs/>
        </w:rPr>
        <w:t>Le droit des biens revisité</w:t>
      </w:r>
      <w:r w:rsidR="006C7DF8">
        <w:t>, Limal, Anthemis, 2020, p.</w:t>
      </w:r>
      <w:r w:rsidR="007171CD">
        <w:t xml:space="preserve"> 69, n° 14.</w:t>
      </w:r>
    </w:p>
  </w:footnote>
  <w:footnote w:id="82">
    <w:p w14:paraId="2B5933A3" w14:textId="7A3B07C4" w:rsidR="001A211C" w:rsidRPr="00566A6A" w:rsidRDefault="001A211C">
      <w:pPr>
        <w:pStyle w:val="Notedebasdepage"/>
      </w:pPr>
      <w:r>
        <w:rPr>
          <w:rStyle w:val="Appelnotedebasdep"/>
        </w:rPr>
        <w:footnoteRef/>
      </w:r>
      <w:r w:rsidRPr="00C21485">
        <w:t xml:space="preserve"> </w:t>
      </w:r>
      <w:r w:rsidR="00C21485">
        <w:t xml:space="preserve">N. </w:t>
      </w:r>
      <w:r w:rsidR="00C21485">
        <w:rPr>
          <w:smallCaps/>
        </w:rPr>
        <w:t xml:space="preserve">Bernard, </w:t>
      </w:r>
      <w:r w:rsidR="00C21485">
        <w:t xml:space="preserve">« Titre 3. Le droit de propriété », </w:t>
      </w:r>
      <w:r w:rsidR="00C21485">
        <w:rPr>
          <w:i/>
          <w:iCs/>
        </w:rPr>
        <w:t xml:space="preserve">in </w:t>
      </w:r>
      <w:r w:rsidR="00C21485" w:rsidRPr="00B15C97">
        <w:t>P. Lecocq</w:t>
      </w:r>
      <w:r w:rsidR="00C21485">
        <w:t xml:space="preserve">, I. Durant, N. Bernard, B. Michaux, J.-Fr. Romain (dir.), </w:t>
      </w:r>
      <w:r w:rsidR="00C21485">
        <w:rPr>
          <w:i/>
          <w:iCs/>
        </w:rPr>
        <w:t>Le nouveau droit des biens</w:t>
      </w:r>
      <w:r w:rsidR="00C21485">
        <w:t xml:space="preserve">, Bruxelles, Larcier, 2020, p. </w:t>
      </w:r>
      <w:r w:rsidR="00566A6A">
        <w:t xml:space="preserve">120, n° 71 ; </w:t>
      </w:r>
      <w:r w:rsidR="006C603C" w:rsidRPr="00C21485">
        <w:t xml:space="preserve">D. </w:t>
      </w:r>
      <w:r w:rsidR="006C603C" w:rsidRPr="00C21485">
        <w:rPr>
          <w:smallCaps/>
        </w:rPr>
        <w:t>Gruyaert, « </w:t>
      </w:r>
      <w:r w:rsidR="006C603C" w:rsidRPr="00C21485">
        <w:t xml:space="preserve">Eigendom », </w:t>
      </w:r>
      <w:r w:rsidR="006C603C" w:rsidRPr="00C21485">
        <w:rPr>
          <w:i/>
          <w:iCs/>
        </w:rPr>
        <w:t xml:space="preserve">in </w:t>
      </w:r>
      <w:r w:rsidR="006C603C" w:rsidRPr="00C21485">
        <w:t xml:space="preserve">V. Sagaert, J. Baeck, N. Carette, P. Lecocq, M. Muylle, A. Wylleman (dir.), </w:t>
      </w:r>
      <w:r w:rsidR="006C603C" w:rsidRPr="00C21485">
        <w:rPr>
          <w:i/>
          <w:iCs/>
        </w:rPr>
        <w:t>Het nieuwe goederenrecht</w:t>
      </w:r>
      <w:r w:rsidR="006C603C" w:rsidRPr="00C21485">
        <w:t>, Anvers, Intersentia, 2021,</w:t>
      </w:r>
      <w:r w:rsidR="00C21485" w:rsidRPr="00C21485">
        <w:t xml:space="preserve"> p. 282, n° 63 ; </w:t>
      </w:r>
      <w:r w:rsidR="00154425">
        <w:t xml:space="preserve"> P. </w:t>
      </w:r>
      <w:r w:rsidR="00154425">
        <w:rPr>
          <w:smallCaps/>
        </w:rPr>
        <w:t xml:space="preserve">Lecocq </w:t>
      </w:r>
      <w:r w:rsidR="00154425">
        <w:rPr>
          <w:i/>
          <w:iCs/>
        </w:rPr>
        <w:t>et al.</w:t>
      </w:r>
      <w:r w:rsidR="00154425">
        <w:rPr>
          <w:smallCaps/>
        </w:rPr>
        <w:t xml:space="preserve">, </w:t>
      </w:r>
      <w:r w:rsidR="00154425">
        <w:t xml:space="preserve">« La réforme du droit des biens. Aspects notariaux », </w:t>
      </w:r>
      <w:r w:rsidR="00154425">
        <w:rPr>
          <w:i/>
          <w:iCs/>
        </w:rPr>
        <w:t xml:space="preserve">in </w:t>
      </w:r>
      <w:r w:rsidR="00154425">
        <w:t xml:space="preserve">Y.-H. </w:t>
      </w:r>
      <w:r w:rsidR="00154425">
        <w:rPr>
          <w:smallCaps/>
        </w:rPr>
        <w:t>Leleu (</w:t>
      </w:r>
      <w:r w:rsidR="00154425">
        <w:t xml:space="preserve">dir.), </w:t>
      </w:r>
      <w:r w:rsidR="00154425">
        <w:rPr>
          <w:i/>
          <w:iCs/>
        </w:rPr>
        <w:t xml:space="preserve">Chroniques notariales, </w:t>
      </w:r>
      <w:r w:rsidR="00154425">
        <w:t xml:space="preserve">vol. 72, Bruxelles, Larcier, 2021, p. 90, n° 60 ; </w:t>
      </w:r>
      <w:r w:rsidR="00C21485">
        <w:t xml:space="preserve">P.-P. </w:t>
      </w:r>
      <w:r w:rsidR="00C21485">
        <w:rPr>
          <w:smallCaps/>
        </w:rPr>
        <w:t xml:space="preserve">Renson, </w:t>
      </w:r>
      <w:r w:rsidR="00C21485">
        <w:t xml:space="preserve">« Questions choisies liées à l’étendue de la propriété immobilière », </w:t>
      </w:r>
      <w:r w:rsidR="00C21485">
        <w:rPr>
          <w:i/>
          <w:iCs/>
        </w:rPr>
        <w:t xml:space="preserve">in </w:t>
      </w:r>
      <w:r w:rsidR="00C21485">
        <w:t xml:space="preserve">N. Bernard et B. Havet (dir.), </w:t>
      </w:r>
      <w:r w:rsidR="00C21485">
        <w:rPr>
          <w:i/>
          <w:iCs/>
        </w:rPr>
        <w:t>Le droit des biens revisité</w:t>
      </w:r>
      <w:r w:rsidR="00C21485">
        <w:t>, Limal, Anthemis, 2020, p. 70, n° 17.</w:t>
      </w:r>
      <w:r w:rsidR="00566A6A">
        <w:t xml:space="preserve"> </w:t>
      </w:r>
      <w:r w:rsidR="00566A6A">
        <w:rPr>
          <w:i/>
          <w:iCs/>
        </w:rPr>
        <w:t xml:space="preserve">Comp. </w:t>
      </w:r>
      <w:r w:rsidR="00566A6A">
        <w:t>A. D</w:t>
      </w:r>
      <w:r w:rsidR="00566A6A" w:rsidRPr="001048C9">
        <w:rPr>
          <w:smallCaps/>
        </w:rPr>
        <w:t>espret</w:t>
      </w:r>
      <w:r w:rsidR="00566A6A">
        <w:t xml:space="preserve">, « Le droit de propriété et le droit d’usufruit réformés », </w:t>
      </w:r>
      <w:r w:rsidR="00566A6A">
        <w:rPr>
          <w:i/>
          <w:iCs/>
        </w:rPr>
        <w:t xml:space="preserve">in </w:t>
      </w:r>
      <w:r w:rsidR="00566A6A">
        <w:t xml:space="preserve">N. Bernard (dir.), </w:t>
      </w:r>
      <w:r w:rsidR="00566A6A">
        <w:rPr>
          <w:i/>
          <w:iCs/>
        </w:rPr>
        <w:t>Le droit des biens réformé</w:t>
      </w:r>
      <w:r w:rsidR="00566A6A">
        <w:t>, Bruxelles, Larcier, 2020, p. 101, n° 46.</w:t>
      </w:r>
    </w:p>
  </w:footnote>
  <w:footnote w:id="83">
    <w:p w14:paraId="357248EE" w14:textId="69E62060" w:rsidR="00F80451" w:rsidRDefault="00F80451">
      <w:pPr>
        <w:pStyle w:val="Notedebasdepage"/>
      </w:pPr>
      <w:r>
        <w:rPr>
          <w:rStyle w:val="Appelnotedebasdep"/>
        </w:rPr>
        <w:footnoteRef/>
      </w:r>
      <w:r>
        <w:t xml:space="preserve"> Proposition de loi du 16 juillet 2019, Commentaire des articles, n° 55-0173/001, p. 150.</w:t>
      </w:r>
    </w:p>
  </w:footnote>
  <w:footnote w:id="84">
    <w:p w14:paraId="0E4E6DBC" w14:textId="23448920" w:rsidR="00F44CDA" w:rsidRDefault="00F44CDA">
      <w:pPr>
        <w:pStyle w:val="Notedebasdepage"/>
      </w:pPr>
      <w:r>
        <w:rPr>
          <w:rStyle w:val="Appelnotedebasdep"/>
        </w:rPr>
        <w:footnoteRef/>
      </w:r>
      <w:r>
        <w:t xml:space="preserve"> Voy. </w:t>
      </w:r>
      <w:proofErr w:type="gramStart"/>
      <w:r>
        <w:t>ég</w:t>
      </w:r>
      <w:proofErr w:type="gramEnd"/>
      <w:r>
        <w:t xml:space="preserve">. P. </w:t>
      </w:r>
      <w:r>
        <w:rPr>
          <w:smallCaps/>
        </w:rPr>
        <w:t xml:space="preserve">Lecocq </w:t>
      </w:r>
      <w:r>
        <w:rPr>
          <w:i/>
          <w:iCs/>
        </w:rPr>
        <w:t>et al.</w:t>
      </w:r>
      <w:r>
        <w:rPr>
          <w:smallCaps/>
        </w:rPr>
        <w:t xml:space="preserve">, </w:t>
      </w:r>
      <w:r>
        <w:t xml:space="preserve">« La réforme du droit des biens. Aspects notariaux », </w:t>
      </w:r>
      <w:r>
        <w:rPr>
          <w:i/>
          <w:iCs/>
        </w:rPr>
        <w:t xml:space="preserve">in </w:t>
      </w:r>
      <w:r>
        <w:t xml:space="preserve">Y.-H. </w:t>
      </w:r>
      <w:r>
        <w:rPr>
          <w:smallCaps/>
        </w:rPr>
        <w:t>Leleu (</w:t>
      </w:r>
      <w:r>
        <w:t xml:space="preserve">dir.), </w:t>
      </w:r>
      <w:r>
        <w:rPr>
          <w:i/>
          <w:iCs/>
        </w:rPr>
        <w:t xml:space="preserve">Chroniques notariales, </w:t>
      </w:r>
      <w:r>
        <w:t>vol. 72, Bruxelles, Larcier, 2021, p. 88, n° 60.</w:t>
      </w:r>
    </w:p>
  </w:footnote>
  <w:footnote w:id="85">
    <w:p w14:paraId="23EA171C" w14:textId="6A1FB38C" w:rsidR="00F857D5" w:rsidRDefault="00F857D5">
      <w:pPr>
        <w:pStyle w:val="Notedebasdepage"/>
      </w:pPr>
      <w:r>
        <w:rPr>
          <w:rStyle w:val="Appelnotedebasdep"/>
        </w:rPr>
        <w:footnoteRef/>
      </w:r>
      <w:r>
        <w:t xml:space="preserve"> </w:t>
      </w:r>
      <w:r w:rsidR="00C018BD">
        <w:t xml:space="preserve">N. </w:t>
      </w:r>
      <w:r w:rsidR="00C018BD">
        <w:rPr>
          <w:smallCaps/>
        </w:rPr>
        <w:t xml:space="preserve">Bernard, </w:t>
      </w:r>
      <w:r w:rsidR="00C018BD">
        <w:t xml:space="preserve">« Titre 3. Le droit de propriété », </w:t>
      </w:r>
      <w:r w:rsidR="00C018BD">
        <w:rPr>
          <w:i/>
          <w:iCs/>
        </w:rPr>
        <w:t xml:space="preserve">in </w:t>
      </w:r>
      <w:r w:rsidR="00C018BD" w:rsidRPr="00B15C97">
        <w:t>P. Lecocq</w:t>
      </w:r>
      <w:r w:rsidR="00C018BD">
        <w:t xml:space="preserve">, I. Durant, N. Bernard, B. Michaux, J.-Fr. Romain (dir.), </w:t>
      </w:r>
      <w:r w:rsidR="00C018BD">
        <w:rPr>
          <w:i/>
          <w:iCs/>
        </w:rPr>
        <w:t>Le nouveau droit des biens</w:t>
      </w:r>
      <w:r w:rsidR="00C018BD">
        <w:t>, Bruxelles, Larcier, 2020, p. 117, n° 65.</w:t>
      </w:r>
    </w:p>
  </w:footnote>
  <w:footnote w:id="86">
    <w:p w14:paraId="0FD07024" w14:textId="0A4211D1" w:rsidR="00057C22" w:rsidRDefault="00057C22">
      <w:pPr>
        <w:pStyle w:val="Notedebasdepage"/>
      </w:pPr>
      <w:r>
        <w:rPr>
          <w:rStyle w:val="Appelnotedebasdep"/>
        </w:rPr>
        <w:footnoteRef/>
      </w:r>
      <w:r>
        <w:t xml:space="preserve"> Proposition de loi du 16 juillet 2019, Commentaire des articles, n° 55-0173/001, p. 136.</w:t>
      </w:r>
    </w:p>
  </w:footnote>
  <w:footnote w:id="87">
    <w:p w14:paraId="41E5A932" w14:textId="669EF565" w:rsidR="00BD3828" w:rsidRPr="00817939" w:rsidRDefault="00BD3828">
      <w:pPr>
        <w:pStyle w:val="Notedebasdepage"/>
      </w:pPr>
      <w:r>
        <w:rPr>
          <w:rStyle w:val="Appelnotedebasdep"/>
        </w:rPr>
        <w:footnoteRef/>
      </w:r>
      <w:r>
        <w:t xml:space="preserve"> </w:t>
      </w:r>
      <w:r w:rsidR="00AD03C6">
        <w:t>L’absence d’autonomie est déterminante de ce que constitue une composante inhérente</w:t>
      </w:r>
      <w:r w:rsidR="0036006B">
        <w:t>.</w:t>
      </w:r>
      <w:r w:rsidR="00817939">
        <w:t xml:space="preserve"> </w:t>
      </w:r>
      <w:r w:rsidR="00A22E6B">
        <w:t>Par contraste, un accessoire (C. civ., art. 3.9) possède un degré d’autonomie supérieur, en ce sens qu’il est un bien autonome s’il ne remplit pas les conditions nécessaires à son accessoriété (Proposition de loi du 16 juillet 2019, Commentaire des articles, n° 55-0173/001, p</w:t>
      </w:r>
      <w:r w:rsidR="00AD03C6">
        <w:t>p</w:t>
      </w:r>
      <w:r w:rsidR="00A22E6B">
        <w:t>.</w:t>
      </w:r>
      <w:r w:rsidR="00AD03C6">
        <w:t xml:space="preserve"> 25 et</w:t>
      </w:r>
      <w:r w:rsidR="00A22E6B">
        <w:t xml:space="preserve"> 27). </w:t>
      </w:r>
      <w:r w:rsidR="00817939">
        <w:t xml:space="preserve">Sur </w:t>
      </w:r>
      <w:r w:rsidR="00A22E6B">
        <w:t xml:space="preserve">la </w:t>
      </w:r>
      <w:r w:rsidR="00817939">
        <w:t>notion</w:t>
      </w:r>
      <w:r w:rsidR="00A22E6B">
        <w:t xml:space="preserve"> de composante inhérente</w:t>
      </w:r>
      <w:r w:rsidR="00817939">
        <w:t xml:space="preserve">, voy. V. </w:t>
      </w:r>
      <w:r w:rsidR="00817939">
        <w:rPr>
          <w:smallCaps/>
        </w:rPr>
        <w:t xml:space="preserve">Sagaert, </w:t>
      </w:r>
      <w:r w:rsidR="00817939">
        <w:rPr>
          <w:i/>
          <w:iCs/>
        </w:rPr>
        <w:t>Goederenrecht</w:t>
      </w:r>
      <w:r w:rsidR="00817939">
        <w:t xml:space="preserve">, </w:t>
      </w:r>
      <w:r w:rsidR="001A6E12">
        <w:t>Malines, Kluwer, 2014, pp. 75-76, n° 83.</w:t>
      </w:r>
    </w:p>
  </w:footnote>
  <w:footnote w:id="88">
    <w:p w14:paraId="7CFBF214" w14:textId="0B561EAA" w:rsidR="00AD03C6" w:rsidRDefault="00AD03C6" w:rsidP="00AD03C6">
      <w:pPr>
        <w:pStyle w:val="Notedebasdepage"/>
      </w:pPr>
      <w:r>
        <w:rPr>
          <w:rStyle w:val="Appelnotedebasdep"/>
        </w:rPr>
        <w:footnoteRef/>
      </w:r>
      <w:r>
        <w:t xml:space="preserve"> Voy. </w:t>
      </w:r>
      <w:proofErr w:type="gramStart"/>
      <w:r>
        <w:t>dans</w:t>
      </w:r>
      <w:proofErr w:type="gramEnd"/>
      <w:r>
        <w:t xml:space="preserve"> cet ouvrage, contribution de </w:t>
      </w:r>
      <w:r w:rsidR="00800F0A">
        <w:t xml:space="preserve">S. </w:t>
      </w:r>
      <w:r w:rsidR="00800F0A" w:rsidRPr="007B5F70">
        <w:rPr>
          <w:smallCaps/>
        </w:rPr>
        <w:t xml:space="preserve">Boufflette </w:t>
      </w:r>
      <w:r w:rsidR="00800F0A" w:rsidRPr="007B5F70">
        <w:t>et</w:t>
      </w:r>
      <w:r w:rsidR="00800F0A" w:rsidRPr="007B5F70">
        <w:rPr>
          <w:smallCaps/>
        </w:rPr>
        <w:t xml:space="preserve"> A. Salvé</w:t>
      </w:r>
      <w:r w:rsidR="00800F0A">
        <w:rPr>
          <w:smallCaps/>
        </w:rPr>
        <w:t>.</w:t>
      </w:r>
    </w:p>
  </w:footnote>
  <w:footnote w:id="89">
    <w:p w14:paraId="79B2F8BE" w14:textId="2140D901" w:rsidR="00F57418" w:rsidRDefault="00F57418">
      <w:pPr>
        <w:pStyle w:val="Notedebasdepage"/>
      </w:pPr>
      <w:r>
        <w:rPr>
          <w:rStyle w:val="Appelnotedebasdep"/>
        </w:rPr>
        <w:footnoteRef/>
      </w:r>
      <w:r>
        <w:t xml:space="preserve"> Proposition de loi du 16 juillet 2019, Commentaire des articles, n° 55-0173/001, p. </w:t>
      </w:r>
      <w:r w:rsidR="00BF2CA4">
        <w:t>135.</w:t>
      </w:r>
    </w:p>
  </w:footnote>
  <w:footnote w:id="90">
    <w:p w14:paraId="66E8DB6A" w14:textId="66F6ADBA" w:rsidR="00B150F2" w:rsidRDefault="00B150F2">
      <w:pPr>
        <w:pStyle w:val="Notedebasdepage"/>
      </w:pPr>
      <w:r>
        <w:rPr>
          <w:rStyle w:val="Appelnotedebasdep"/>
        </w:rPr>
        <w:footnoteRef/>
      </w:r>
      <w:r>
        <w:t xml:space="preserve"> Proposition de loi du 16 juillet 2019, Commentaire des articles, n° 55-0173/001, p</w:t>
      </w:r>
      <w:r w:rsidR="00584B7F">
        <w:t>p</w:t>
      </w:r>
      <w:r>
        <w:t>. 124</w:t>
      </w:r>
      <w:r w:rsidR="00584B7F">
        <w:t xml:space="preserve"> et 135</w:t>
      </w:r>
      <w:r>
        <w:t>.</w:t>
      </w:r>
    </w:p>
  </w:footnote>
  <w:footnote w:id="91">
    <w:p w14:paraId="77F3EAB4" w14:textId="695D3767" w:rsidR="00DC2514" w:rsidRDefault="00DC2514" w:rsidP="00DC2514">
      <w:pPr>
        <w:pStyle w:val="Notedebasdepage"/>
      </w:pPr>
      <w:r>
        <w:rPr>
          <w:rStyle w:val="Appelnotedebasdep"/>
        </w:rPr>
        <w:footnoteRef/>
      </w:r>
      <w:r>
        <w:t xml:space="preserve"> Voy. </w:t>
      </w:r>
      <w:proofErr w:type="gramStart"/>
      <w:r>
        <w:t>l’article</w:t>
      </w:r>
      <w:proofErr w:type="gramEnd"/>
      <w:r>
        <w:t xml:space="preserve"> 3.47 du Code civil et</w:t>
      </w:r>
      <w:r w:rsidR="00483D75">
        <w:t>, dans cet ouvrage,</w:t>
      </w:r>
      <w:r>
        <w:t xml:space="preserve"> la contribution de</w:t>
      </w:r>
      <w:r w:rsidR="00800F0A">
        <w:t xml:space="preserve"> </w:t>
      </w:r>
      <w:r w:rsidR="00DD4A1E">
        <w:t xml:space="preserve">N. </w:t>
      </w:r>
      <w:r w:rsidR="00DD4A1E" w:rsidRPr="00DD4A1E">
        <w:rPr>
          <w:smallCaps/>
        </w:rPr>
        <w:t>Bernard</w:t>
      </w:r>
      <w:r w:rsidR="00DD4A1E">
        <w:t>.</w:t>
      </w:r>
    </w:p>
  </w:footnote>
  <w:footnote w:id="92">
    <w:p w14:paraId="63800076" w14:textId="77777777" w:rsidR="00DC2514" w:rsidRDefault="00DC2514" w:rsidP="00DC2514">
      <w:pPr>
        <w:pStyle w:val="Notedebasdepage"/>
      </w:pPr>
      <w:r>
        <w:rPr>
          <w:rStyle w:val="Appelnotedebasdep"/>
        </w:rPr>
        <w:footnoteRef/>
      </w:r>
      <w:r>
        <w:t xml:space="preserve"> Proposition de loi du 16 juillet 2019, Commentaire des articles, n° 55-0173/001, pp. 118 et 137.</w:t>
      </w:r>
    </w:p>
  </w:footnote>
  <w:footnote w:id="93">
    <w:p w14:paraId="4A81B7B1" w14:textId="7DD91F8F" w:rsidR="00163719" w:rsidRDefault="00163719" w:rsidP="00163719">
      <w:pPr>
        <w:pStyle w:val="Notedebasdepage"/>
      </w:pPr>
      <w:r>
        <w:rPr>
          <w:rStyle w:val="Appelnotedebasdep"/>
        </w:rPr>
        <w:footnoteRef/>
      </w:r>
      <w:r>
        <w:t xml:space="preserve"> </w:t>
      </w:r>
      <w:r w:rsidR="00FD5DF6">
        <w:t xml:space="preserve">Voy. </w:t>
      </w:r>
      <w:proofErr w:type="gramStart"/>
      <w:r w:rsidR="00FD5DF6">
        <w:t>ég</w:t>
      </w:r>
      <w:proofErr w:type="gramEnd"/>
      <w:r w:rsidR="00FD5DF6">
        <w:t xml:space="preserve">. </w:t>
      </w:r>
      <w:r>
        <w:t>Proposition de loi du 16 juillet 2019, Commentaire des articles, n° 55-0173/001, p. 137.</w:t>
      </w:r>
    </w:p>
  </w:footnote>
  <w:footnote w:id="94">
    <w:p w14:paraId="3F575482" w14:textId="705CE603" w:rsidR="00FF21C2" w:rsidRDefault="00FF21C2">
      <w:pPr>
        <w:pStyle w:val="Notedebasdepage"/>
      </w:pPr>
      <w:r>
        <w:rPr>
          <w:rStyle w:val="Appelnotedebasdep"/>
        </w:rPr>
        <w:footnoteRef/>
      </w:r>
      <w:r>
        <w:t xml:space="preserve"> Proposition de loi du 16 juillet 2019, Commentaire des articles, n° 55-0173/001, p</w:t>
      </w:r>
      <w:r w:rsidR="00A040D1">
        <w:t>p</w:t>
      </w:r>
      <w:r>
        <w:t>. 137</w:t>
      </w:r>
      <w:r w:rsidR="00A040D1">
        <w:t xml:space="preserve"> et 160.</w:t>
      </w:r>
    </w:p>
  </w:footnote>
  <w:footnote w:id="95">
    <w:p w14:paraId="772E58BC" w14:textId="61D6A652" w:rsidR="00BA4D63" w:rsidRDefault="00BA4D63">
      <w:pPr>
        <w:pStyle w:val="Notedebasdepage"/>
      </w:pPr>
      <w:r>
        <w:rPr>
          <w:rStyle w:val="Appelnotedebasdep"/>
        </w:rPr>
        <w:footnoteRef/>
      </w:r>
      <w:r>
        <w:t xml:space="preserve"> Proposition de loi du 16 juillet 2019, Commentaire des articles, n° 55-0173/001, p. 343.</w:t>
      </w:r>
    </w:p>
  </w:footnote>
  <w:footnote w:id="96">
    <w:p w14:paraId="49B4EA50" w14:textId="65A498E2" w:rsidR="007331F0" w:rsidRDefault="007331F0">
      <w:pPr>
        <w:pStyle w:val="Notedebasdepage"/>
      </w:pPr>
      <w:r>
        <w:rPr>
          <w:rStyle w:val="Appelnotedebasdep"/>
        </w:rPr>
        <w:footnoteRef/>
      </w:r>
      <w:r>
        <w:t xml:space="preserve"> Le livre 3 adopte d’ores et déjà le vocabulaire du livre 5 « Les obligations » du Code civil (pendant à la Chambre), qui préfère l’expression « enrichissement injustifié » à celle </w:t>
      </w:r>
      <w:proofErr w:type="gramStart"/>
      <w:r>
        <w:t>d’ «</w:t>
      </w:r>
      <w:proofErr w:type="gramEnd"/>
      <w:r>
        <w:t xml:space="preserve"> enrichissement sans cause » (Proposition de loi du </w:t>
      </w:r>
      <w:r w:rsidR="00BF56DB">
        <w:t>24 février 2021</w:t>
      </w:r>
      <w:r>
        <w:t xml:space="preserve"> portant </w:t>
      </w:r>
      <w:r w:rsidR="000B7571">
        <w:t>le L</w:t>
      </w:r>
      <w:r>
        <w:t xml:space="preserve">ivre 5 « Les obligations » </w:t>
      </w:r>
      <w:r w:rsidR="000B7571">
        <w:t>du</w:t>
      </w:r>
      <w:r>
        <w:t xml:space="preserve"> Code civil, </w:t>
      </w:r>
      <w:r>
        <w:rPr>
          <w:i/>
          <w:iCs/>
        </w:rPr>
        <w:t xml:space="preserve">Doc. </w:t>
      </w:r>
      <w:proofErr w:type="gramStart"/>
      <w:r>
        <w:rPr>
          <w:i/>
          <w:iCs/>
        </w:rPr>
        <w:t>parl</w:t>
      </w:r>
      <w:proofErr w:type="gramEnd"/>
      <w:r>
        <w:rPr>
          <w:i/>
          <w:iCs/>
        </w:rPr>
        <w:t>.</w:t>
      </w:r>
      <w:r>
        <w:t xml:space="preserve">, Ch. Repr., sess. </w:t>
      </w:r>
      <w:proofErr w:type="gramStart"/>
      <w:r>
        <w:t>ord</w:t>
      </w:r>
      <w:proofErr w:type="gramEnd"/>
      <w:r>
        <w:t>. 20</w:t>
      </w:r>
      <w:r w:rsidR="000B7571">
        <w:t>20-2021</w:t>
      </w:r>
      <w:r>
        <w:t>, n° 55-</w:t>
      </w:r>
      <w:r w:rsidR="000B7571">
        <w:t>1806</w:t>
      </w:r>
      <w:r>
        <w:t xml:space="preserve">/001, p. </w:t>
      </w:r>
      <w:r w:rsidR="00D96D92">
        <w:t>165</w:t>
      </w:r>
      <w:r>
        <w:t>).</w:t>
      </w:r>
    </w:p>
  </w:footnote>
  <w:footnote w:id="97">
    <w:p w14:paraId="73137CF8" w14:textId="6922D6F7" w:rsidR="002976B1" w:rsidRDefault="002976B1">
      <w:pPr>
        <w:pStyle w:val="Notedebasdepage"/>
      </w:pPr>
      <w:r>
        <w:rPr>
          <w:rStyle w:val="Appelnotedebasdep"/>
        </w:rPr>
        <w:footnoteRef/>
      </w:r>
      <w:r>
        <w:t xml:space="preserve"> Proposition de loi du 16 juillet 2019, Commentaire des articles, n° 55-0173/001, p. 124.</w:t>
      </w:r>
    </w:p>
  </w:footnote>
  <w:footnote w:id="98">
    <w:p w14:paraId="3F7F4310" w14:textId="14103EF5" w:rsidR="003542CA" w:rsidRPr="003C7FAD" w:rsidRDefault="003542CA">
      <w:pPr>
        <w:pStyle w:val="Notedebasdepage"/>
        <w:rPr>
          <w:lang w:val="nl-BE"/>
        </w:rPr>
      </w:pPr>
      <w:r>
        <w:rPr>
          <w:rStyle w:val="Appelnotedebasdep"/>
        </w:rPr>
        <w:footnoteRef/>
      </w:r>
      <w:r>
        <w:t xml:space="preserve"> Notons toutefois que le choix de l’enrichissement injustifié comme principe directeur d’indemnisation </w:t>
      </w:r>
      <w:r w:rsidR="005C3BF8">
        <w:t xml:space="preserve">dans la matière du </w:t>
      </w:r>
      <w:r>
        <w:t>droit des biens a pu faire l’objet de critique</w:t>
      </w:r>
      <w:r w:rsidR="00EF4870">
        <w:t>. C</w:t>
      </w:r>
      <w:r w:rsidR="00312EAB">
        <w:t>h</w:t>
      </w:r>
      <w:r w:rsidR="00EF4870">
        <w:t>. De</w:t>
      </w:r>
      <w:r w:rsidR="00312EAB">
        <w:t xml:space="preserve"> W</w:t>
      </w:r>
      <w:r w:rsidR="00EF4870">
        <w:t xml:space="preserve">ulf estime que ce choix n’est pas adapté, </w:t>
      </w:r>
      <w:r w:rsidR="0000460E">
        <w:t xml:space="preserve">d’une part, </w:t>
      </w:r>
      <w:r w:rsidR="00EF4870">
        <w:t>car l’enrichissement en matière de droit des biens aura le plus souvent une cause</w:t>
      </w:r>
      <w:r w:rsidR="0000460E">
        <w:t xml:space="preserve"> et qu’offrir à </w:t>
      </w:r>
      <w:r w:rsidR="001E2143">
        <w:t>celui qui s’est appauvri</w:t>
      </w:r>
      <w:r w:rsidR="0000460E">
        <w:t xml:space="preserve"> le plus faible montant entre ce dont il s’est appauvri et ce dont l</w:t>
      </w:r>
      <w:r w:rsidR="009912B0">
        <w:t xml:space="preserve">e propriétaire s’est enrichi </w:t>
      </w:r>
      <w:r w:rsidR="005C3BF8">
        <w:t>sera souvent inapproprié</w:t>
      </w:r>
      <w:r w:rsidR="009912B0">
        <w:t xml:space="preserve"> et, d’autre part, car en pratique, la détermination de ces montants sera ardue. </w:t>
      </w:r>
      <w:r w:rsidR="009912B0" w:rsidRPr="003C7FAD">
        <w:rPr>
          <w:lang w:val="nl-BE"/>
        </w:rPr>
        <w:t xml:space="preserve">Voy. Ch. </w:t>
      </w:r>
      <w:r w:rsidR="009912B0" w:rsidRPr="003C7FAD">
        <w:rPr>
          <w:smallCaps/>
          <w:lang w:val="nl-BE"/>
        </w:rPr>
        <w:t>De</w:t>
      </w:r>
      <w:r w:rsidR="00312EAB">
        <w:rPr>
          <w:smallCaps/>
          <w:lang w:val="nl-BE"/>
        </w:rPr>
        <w:t xml:space="preserve"> W</w:t>
      </w:r>
      <w:r w:rsidR="009912B0" w:rsidRPr="003C7FAD">
        <w:rPr>
          <w:smallCaps/>
          <w:lang w:val="nl-BE"/>
        </w:rPr>
        <w:t>ulf</w:t>
      </w:r>
      <w:r w:rsidR="009912B0" w:rsidRPr="003C7FAD">
        <w:rPr>
          <w:lang w:val="nl-BE"/>
        </w:rPr>
        <w:t>, « </w:t>
      </w:r>
      <w:r w:rsidR="00E4746D" w:rsidRPr="003C7FAD">
        <w:rPr>
          <w:lang w:val="nl-BE"/>
        </w:rPr>
        <w:t xml:space="preserve">Inleiding tot het nieuwe goederenrecht », </w:t>
      </w:r>
      <w:r w:rsidR="003C7FAD" w:rsidRPr="003C7FAD">
        <w:rPr>
          <w:i/>
          <w:iCs/>
          <w:lang w:val="nl-BE"/>
        </w:rPr>
        <w:t xml:space="preserve">T. </w:t>
      </w:r>
      <w:r w:rsidR="003C7FAD">
        <w:rPr>
          <w:i/>
          <w:iCs/>
          <w:lang w:val="nl-BE"/>
        </w:rPr>
        <w:t>not.</w:t>
      </w:r>
      <w:r w:rsidR="003C7FAD">
        <w:rPr>
          <w:lang w:val="nl-BE"/>
        </w:rPr>
        <w:t xml:space="preserve">, 2020, </w:t>
      </w:r>
      <w:r w:rsidR="00E4746D" w:rsidRPr="003C7FAD">
        <w:rPr>
          <w:lang w:val="nl-BE"/>
        </w:rPr>
        <w:t>p. 720, n° 48.</w:t>
      </w:r>
    </w:p>
  </w:footnote>
  <w:footnote w:id="99">
    <w:p w14:paraId="7F949D75" w14:textId="77777777" w:rsidR="005E4967" w:rsidRPr="00F23BA9" w:rsidRDefault="005E4967" w:rsidP="005E4967">
      <w:pPr>
        <w:pStyle w:val="Notedebasdepage"/>
        <w:rPr>
          <w:lang w:val="nl-BE"/>
        </w:rPr>
      </w:pPr>
      <w:r>
        <w:rPr>
          <w:rStyle w:val="Appelnotedebasdep"/>
        </w:rPr>
        <w:footnoteRef/>
      </w:r>
      <w:r>
        <w:t xml:space="preserve"> Proposition de loi du 16 juillet 2019, Commentaire des articles, n° 55-0173/001, p. 141. </w:t>
      </w:r>
      <w:r w:rsidRPr="00F23BA9">
        <w:rPr>
          <w:lang w:val="nl-BE"/>
        </w:rPr>
        <w:t xml:space="preserve">Voy. </w:t>
      </w:r>
      <w:proofErr w:type="gramStart"/>
      <w:r w:rsidRPr="00F23BA9">
        <w:rPr>
          <w:lang w:val="nl-BE"/>
        </w:rPr>
        <w:t>ég</w:t>
      </w:r>
      <w:proofErr w:type="gramEnd"/>
      <w:r w:rsidRPr="00F23BA9">
        <w:rPr>
          <w:lang w:val="nl-BE"/>
        </w:rPr>
        <w:t xml:space="preserve">. </w:t>
      </w:r>
      <w:r w:rsidRPr="00144255">
        <w:rPr>
          <w:lang w:val="nl-BE"/>
        </w:rPr>
        <w:t xml:space="preserve">D. </w:t>
      </w:r>
      <w:r w:rsidRPr="00144255">
        <w:rPr>
          <w:smallCaps/>
          <w:lang w:val="nl-BE"/>
        </w:rPr>
        <w:t>Gruyaert, « </w:t>
      </w:r>
      <w:r w:rsidRPr="00144255">
        <w:rPr>
          <w:lang w:val="nl-BE"/>
        </w:rPr>
        <w:t xml:space="preserve">Eigendom », </w:t>
      </w:r>
      <w:r w:rsidRPr="00144255">
        <w:rPr>
          <w:i/>
          <w:iCs/>
          <w:lang w:val="nl-BE"/>
        </w:rPr>
        <w:t xml:space="preserve">in </w:t>
      </w:r>
      <w:r>
        <w:rPr>
          <w:lang w:val="nl-BE"/>
        </w:rPr>
        <w:t xml:space="preserve">V. Sagaert, J. Baeck, N. Carette, P. Lecocq, M. Muylle, A. Wylleman (dir.), </w:t>
      </w:r>
      <w:r w:rsidRPr="00144255">
        <w:rPr>
          <w:i/>
          <w:iCs/>
          <w:lang w:val="nl-BE"/>
        </w:rPr>
        <w:t>Het n</w:t>
      </w:r>
      <w:r>
        <w:rPr>
          <w:i/>
          <w:iCs/>
          <w:lang w:val="nl-BE"/>
        </w:rPr>
        <w:t>ieuwe goederenrecht</w:t>
      </w:r>
      <w:r>
        <w:rPr>
          <w:lang w:val="nl-BE"/>
        </w:rPr>
        <w:t>, Anvers, Intersentia, 2021, p. 268, n° 32.</w:t>
      </w:r>
    </w:p>
  </w:footnote>
  <w:footnote w:id="100">
    <w:p w14:paraId="61A67B59" w14:textId="729A114C" w:rsidR="00531A72" w:rsidRDefault="00531A72">
      <w:pPr>
        <w:pStyle w:val="Notedebasdepage"/>
      </w:pPr>
      <w:r>
        <w:rPr>
          <w:rStyle w:val="Appelnotedebasdep"/>
        </w:rPr>
        <w:footnoteRef/>
      </w:r>
      <w:r>
        <w:t xml:space="preserve"> Antérieurement, l’accession mobilière faisait au contraire l’objet de plusieurs dispositions qui ne présentaient qu’un caractère exemplatif, car en définitive, l</w:t>
      </w:r>
      <w:proofErr w:type="gramStart"/>
      <w:r>
        <w:t>’«</w:t>
      </w:r>
      <w:proofErr w:type="gramEnd"/>
      <w:r>
        <w:t xml:space="preserve"> équité naturelle » devait guider la décision du juge (anc. C. civ., art. 565).</w:t>
      </w:r>
    </w:p>
  </w:footnote>
  <w:footnote w:id="101">
    <w:p w14:paraId="243B084A" w14:textId="0F38B6BE" w:rsidR="00792796" w:rsidRDefault="00792796">
      <w:pPr>
        <w:pStyle w:val="Notedebasdepage"/>
      </w:pPr>
      <w:r>
        <w:rPr>
          <w:rStyle w:val="Appelnotedebasdep"/>
        </w:rPr>
        <w:footnoteRef/>
      </w:r>
      <w:r>
        <w:t xml:space="preserve"> Proposition de loi du 16 juillet 2019, Commentaire des articles, n° 55-0173/001, p. 141.</w:t>
      </w:r>
    </w:p>
  </w:footnote>
  <w:footnote w:id="102">
    <w:p w14:paraId="1E840E89" w14:textId="62247BAB" w:rsidR="0044472F" w:rsidRDefault="0044472F">
      <w:pPr>
        <w:pStyle w:val="Notedebasdepage"/>
      </w:pPr>
      <w:r>
        <w:rPr>
          <w:rStyle w:val="Appelnotedebasdep"/>
        </w:rPr>
        <w:footnoteRef/>
      </w:r>
      <w:r>
        <w:t xml:space="preserve"> </w:t>
      </w:r>
      <w:r w:rsidR="0049078F">
        <w:t xml:space="preserve">La </w:t>
      </w:r>
      <w:r w:rsidR="004B5018">
        <w:t xml:space="preserve">question </w:t>
      </w:r>
      <w:r w:rsidR="0049078F">
        <w:t xml:space="preserve">de savoir quel est le bien principal </w:t>
      </w:r>
      <w:r w:rsidR="004B5018">
        <w:t>si les deux biens sont nécessaires sur le plan fonctionnel mais pas de manière équivalente</w:t>
      </w:r>
      <w:r w:rsidR="00264863">
        <w:t xml:space="preserve"> demeure toutefois ouverte</w:t>
      </w:r>
      <w:r w:rsidR="004B5018">
        <w:t>.</w:t>
      </w:r>
    </w:p>
  </w:footnote>
  <w:footnote w:id="103">
    <w:p w14:paraId="4E0649B6" w14:textId="4A88930D" w:rsidR="009E06AC" w:rsidRDefault="009E06AC">
      <w:pPr>
        <w:pStyle w:val="Notedebasdepage"/>
      </w:pPr>
      <w:r>
        <w:rPr>
          <w:rStyle w:val="Appelnotedebasdep"/>
        </w:rPr>
        <w:footnoteRef/>
      </w:r>
      <w:r>
        <w:t xml:space="preserve"> Proposition de loi du 24 février 2021 portant le Livre 5 « Les obligations » du Code civil, </w:t>
      </w:r>
      <w:r>
        <w:rPr>
          <w:i/>
          <w:iCs/>
        </w:rPr>
        <w:t xml:space="preserve">Doc. </w:t>
      </w:r>
      <w:proofErr w:type="gramStart"/>
      <w:r>
        <w:rPr>
          <w:i/>
          <w:iCs/>
        </w:rPr>
        <w:t>parl</w:t>
      </w:r>
      <w:proofErr w:type="gramEnd"/>
      <w:r>
        <w:rPr>
          <w:i/>
          <w:iCs/>
        </w:rPr>
        <w:t>.</w:t>
      </w:r>
      <w:r>
        <w:t xml:space="preserve">, Ch. Repr., sess. </w:t>
      </w:r>
      <w:proofErr w:type="gramStart"/>
      <w:r>
        <w:t>ord</w:t>
      </w:r>
      <w:proofErr w:type="gramEnd"/>
      <w:r>
        <w:t xml:space="preserve">. 2020-2021, n° 55-1806/001, p. </w:t>
      </w:r>
      <w:r w:rsidR="00D4799C">
        <w:t>333.</w:t>
      </w:r>
    </w:p>
  </w:footnote>
  <w:footnote w:id="104">
    <w:p w14:paraId="0F46F73F" w14:textId="7BA86C6C" w:rsidR="009E06AC" w:rsidRDefault="009E06AC">
      <w:pPr>
        <w:pStyle w:val="Notedebasdepage"/>
      </w:pPr>
      <w:r>
        <w:rPr>
          <w:rStyle w:val="Appelnotedebasdep"/>
        </w:rPr>
        <w:footnoteRef/>
      </w:r>
      <w:r>
        <w:t xml:space="preserve"> Proposition de loi du 16 juillet 2019, Commentaire des articles, n° 55-0173/001, p. 141.</w:t>
      </w:r>
    </w:p>
  </w:footnote>
  <w:footnote w:id="105">
    <w:p w14:paraId="7BFC9DB5" w14:textId="1B48F25D" w:rsidR="0026300E" w:rsidRDefault="0026300E">
      <w:pPr>
        <w:pStyle w:val="Notedebasdepage"/>
      </w:pPr>
      <w:r>
        <w:rPr>
          <w:rStyle w:val="Appelnotedebasdep"/>
        </w:rPr>
        <w:footnoteRef/>
      </w:r>
      <w:r>
        <w:t xml:space="preserve"> L</w:t>
      </w:r>
      <w:r w:rsidRPr="006B3855">
        <w:t xml:space="preserve">oi du 4 février 2020 portant le livre 3 </w:t>
      </w:r>
      <w:r>
        <w:t>« </w:t>
      </w:r>
      <w:r w:rsidRPr="006B3855">
        <w:t>Les biens</w:t>
      </w:r>
      <w:r>
        <w:t> »</w:t>
      </w:r>
      <w:r w:rsidRPr="006B3855">
        <w:t xml:space="preserve"> du Code civil</w:t>
      </w:r>
      <w:r>
        <w:t xml:space="preserve">, art. </w:t>
      </w:r>
      <w:r w:rsidR="00236205">
        <w:t>12, 2°</w:t>
      </w:r>
      <w:r>
        <w:t xml:space="preserve">, </w:t>
      </w:r>
      <w:r>
        <w:rPr>
          <w:i/>
          <w:iCs/>
        </w:rPr>
        <w:t>M.B.</w:t>
      </w:r>
      <w:r>
        <w:t>, 17 mars 2020, p. 15753.</w:t>
      </w:r>
    </w:p>
  </w:footnote>
  <w:footnote w:id="106">
    <w:p w14:paraId="616A44FA" w14:textId="46BEA3A3" w:rsidR="00B7118F" w:rsidRDefault="00B7118F">
      <w:pPr>
        <w:pStyle w:val="Notedebasdepage"/>
      </w:pPr>
      <w:r>
        <w:rPr>
          <w:rStyle w:val="Appelnotedebasdep"/>
        </w:rPr>
        <w:footnoteRef/>
      </w:r>
      <w:r>
        <w:t xml:space="preserve"> Proposition de loi du 16 juillet 2019, Commentaire des articles, n° 55-0173/001, p. 160.</w:t>
      </w:r>
    </w:p>
  </w:footnote>
  <w:footnote w:id="107">
    <w:p w14:paraId="4BE199C4" w14:textId="0EDA7012" w:rsidR="00043C2E" w:rsidRDefault="00043C2E">
      <w:pPr>
        <w:pStyle w:val="Notedebasdepage"/>
      </w:pPr>
      <w:r>
        <w:rPr>
          <w:rStyle w:val="Appelnotedebasdep"/>
        </w:rPr>
        <w:footnoteRef/>
      </w:r>
      <w:r>
        <w:t xml:space="preserve"> Proposition de loi du 16 juillet 2019, Commentaire des articles, n° 55-0173/001, p. 160.</w:t>
      </w:r>
    </w:p>
  </w:footnote>
  <w:footnote w:id="108">
    <w:p w14:paraId="2B96C83E" w14:textId="7E56198B" w:rsidR="0087177E" w:rsidRDefault="0087177E">
      <w:pPr>
        <w:pStyle w:val="Notedebasdepage"/>
      </w:pPr>
      <w:r>
        <w:rPr>
          <w:rStyle w:val="Appelnotedebasdep"/>
        </w:rPr>
        <w:footnoteRef/>
      </w:r>
      <w:r>
        <w:t xml:space="preserve"> </w:t>
      </w:r>
      <w:r w:rsidR="00D62EFC">
        <w:t xml:space="preserve">N. </w:t>
      </w:r>
      <w:r w:rsidR="00D62EFC">
        <w:rPr>
          <w:smallCaps/>
        </w:rPr>
        <w:t xml:space="preserve">Bernard, </w:t>
      </w:r>
      <w:r w:rsidR="00D62EFC">
        <w:t xml:space="preserve">« Titre 3. Le droit de propriété », </w:t>
      </w:r>
      <w:r w:rsidR="00D62EFC">
        <w:rPr>
          <w:i/>
          <w:iCs/>
        </w:rPr>
        <w:t xml:space="preserve">in </w:t>
      </w:r>
      <w:r w:rsidR="00D62EFC" w:rsidRPr="00B15C97">
        <w:t>P. Lecocq</w:t>
      </w:r>
      <w:r w:rsidR="00D62EFC">
        <w:t xml:space="preserve">, I. Durant, N. Bernard, B. Michaux, J.-Fr. Romain (dir.), </w:t>
      </w:r>
      <w:r w:rsidR="00D62EFC">
        <w:rPr>
          <w:i/>
          <w:iCs/>
        </w:rPr>
        <w:t>Le nouveau droit des biens</w:t>
      </w:r>
      <w:r w:rsidR="00D62EFC">
        <w:t>, Bruxelles, Larcier, 2020, p. 125, n° 82.</w:t>
      </w:r>
    </w:p>
  </w:footnote>
  <w:footnote w:id="109">
    <w:p w14:paraId="6691D661" w14:textId="72B5339F" w:rsidR="00C87FFC" w:rsidRDefault="00C87FFC">
      <w:pPr>
        <w:pStyle w:val="Notedebasdepage"/>
      </w:pPr>
      <w:r>
        <w:rPr>
          <w:rStyle w:val="Appelnotedebasdep"/>
        </w:rPr>
        <w:footnoteRef/>
      </w:r>
      <w:r>
        <w:t xml:space="preserve"> </w:t>
      </w:r>
      <w:r w:rsidR="00E50EF5">
        <w:t>Proposition de loi du 16 juillet 2019, Commentaire des articles, n° 55-0173/001, p. 161.</w:t>
      </w:r>
    </w:p>
  </w:footnote>
  <w:footnote w:id="110">
    <w:p w14:paraId="02AF0CB0" w14:textId="14E1FCFA" w:rsidR="00AC7151" w:rsidRDefault="00AC7151">
      <w:pPr>
        <w:pStyle w:val="Notedebasdepage"/>
      </w:pPr>
      <w:r>
        <w:rPr>
          <w:rStyle w:val="Appelnotedebasdep"/>
        </w:rPr>
        <w:footnoteRef/>
      </w:r>
      <w:r>
        <w:t xml:space="preserve"> </w:t>
      </w:r>
      <w:r w:rsidR="007A16A5">
        <w:t>A. D</w:t>
      </w:r>
      <w:r w:rsidR="007A16A5" w:rsidRPr="001048C9">
        <w:rPr>
          <w:smallCaps/>
        </w:rPr>
        <w:t>espret</w:t>
      </w:r>
      <w:r w:rsidR="007A16A5">
        <w:t xml:space="preserve">, « Le droit de propriété et le droit d’usufruit réformés », </w:t>
      </w:r>
      <w:r w:rsidR="007A16A5">
        <w:rPr>
          <w:i/>
          <w:iCs/>
        </w:rPr>
        <w:t xml:space="preserve">in </w:t>
      </w:r>
      <w:r w:rsidR="007A16A5">
        <w:t xml:space="preserve">N. Bernard (dir.), </w:t>
      </w:r>
      <w:r w:rsidR="007A16A5">
        <w:rPr>
          <w:i/>
          <w:iCs/>
        </w:rPr>
        <w:t>Le droit des biens réformé</w:t>
      </w:r>
      <w:r w:rsidR="007A16A5">
        <w:t>, Bruxelles, Larcier, 2020, p. 108, n° 55.</w:t>
      </w:r>
    </w:p>
  </w:footnote>
  <w:footnote w:id="111">
    <w:p w14:paraId="16735D7A" w14:textId="24176133" w:rsidR="003D4E3F" w:rsidRDefault="003D4E3F">
      <w:pPr>
        <w:pStyle w:val="Notedebasdepage"/>
      </w:pPr>
      <w:r>
        <w:rPr>
          <w:rStyle w:val="Appelnotedebasdep"/>
        </w:rPr>
        <w:footnoteRef/>
      </w:r>
      <w:r>
        <w:t xml:space="preserve"> Proposition de loi du 16 juillet 2019, Commentaire des articles, n° 55-0173/001, p. 161.</w:t>
      </w:r>
    </w:p>
  </w:footnote>
  <w:footnote w:id="112">
    <w:p w14:paraId="5E7ECA15" w14:textId="4D3C917D" w:rsidR="00BC6C78" w:rsidRDefault="00BC6C78">
      <w:pPr>
        <w:pStyle w:val="Notedebasdepage"/>
      </w:pPr>
      <w:r>
        <w:rPr>
          <w:rStyle w:val="Appelnotedebasdep"/>
        </w:rPr>
        <w:footnoteRef/>
      </w:r>
      <w:r>
        <w:t xml:space="preserve"> Proposition de loi du 16 juillet 2019, Commentaire des articles, n° 55-0173/001, p. 165.</w:t>
      </w:r>
    </w:p>
  </w:footnote>
  <w:footnote w:id="113">
    <w:p w14:paraId="65089806" w14:textId="0A527E29" w:rsidR="00EA31C0" w:rsidRDefault="00EA31C0">
      <w:pPr>
        <w:pStyle w:val="Notedebasdepage"/>
      </w:pPr>
      <w:r>
        <w:rPr>
          <w:rStyle w:val="Appelnotedebasdep"/>
        </w:rPr>
        <w:footnoteRef/>
      </w:r>
      <w:r w:rsidRPr="00C45CFF">
        <w:rPr>
          <w:lang w:val="nl-BE"/>
        </w:rPr>
        <w:t xml:space="preserve"> </w:t>
      </w:r>
      <w:r w:rsidR="00C45CFF" w:rsidRPr="00C45CFF">
        <w:rPr>
          <w:lang w:val="nl-BE"/>
        </w:rPr>
        <w:t>C. civ., art. 3.62, § 1</w:t>
      </w:r>
      <w:r w:rsidR="00C45CFF" w:rsidRPr="00C45CFF">
        <w:rPr>
          <w:vertAlign w:val="superscript"/>
          <w:lang w:val="nl-BE"/>
        </w:rPr>
        <w:t>er</w:t>
      </w:r>
      <w:r w:rsidR="00C45CFF" w:rsidRPr="00C45CFF">
        <w:rPr>
          <w:lang w:val="nl-BE"/>
        </w:rPr>
        <w:t xml:space="preserve"> al. 1</w:t>
      </w:r>
      <w:r w:rsidR="00C45CFF" w:rsidRPr="00C45CFF">
        <w:rPr>
          <w:vertAlign w:val="superscript"/>
          <w:lang w:val="nl-BE"/>
        </w:rPr>
        <w:t>er</w:t>
      </w:r>
      <w:r w:rsidR="00C45CFF" w:rsidRPr="00C45CFF">
        <w:rPr>
          <w:lang w:val="nl-BE"/>
        </w:rPr>
        <w:t xml:space="preserve">. </w:t>
      </w:r>
      <w:r>
        <w:t>C’est nous qui soulignons.</w:t>
      </w:r>
    </w:p>
  </w:footnote>
  <w:footnote w:id="114">
    <w:p w14:paraId="5DB4B30D" w14:textId="468EA0FA" w:rsidR="00BA680F" w:rsidRDefault="00BA680F">
      <w:pPr>
        <w:pStyle w:val="Notedebasdepage"/>
      </w:pPr>
      <w:r>
        <w:rPr>
          <w:rStyle w:val="Appelnotedebasdep"/>
        </w:rPr>
        <w:footnoteRef/>
      </w:r>
      <w:r>
        <w:t xml:space="preserve"> </w:t>
      </w:r>
      <w:r w:rsidR="00AF445E">
        <w:t xml:space="preserve">Proposition de loi du 16 juillet 2019, Commentaire des articles, n° 55-0173/001, p. </w:t>
      </w:r>
      <w:r w:rsidR="00691B60">
        <w:t>153.</w:t>
      </w:r>
    </w:p>
  </w:footnote>
  <w:footnote w:id="115">
    <w:p w14:paraId="6135208F" w14:textId="35FE132E" w:rsidR="00A90D48" w:rsidRDefault="00A90D48">
      <w:pPr>
        <w:pStyle w:val="Notedebasdepage"/>
      </w:pPr>
      <w:r>
        <w:rPr>
          <w:rStyle w:val="Appelnotedebasdep"/>
        </w:rPr>
        <w:footnoteRef/>
      </w:r>
      <w:r>
        <w:t xml:space="preserve"> </w:t>
      </w:r>
      <w:r w:rsidR="00471CC0">
        <w:t xml:space="preserve">Parce qu’il a prescrit de manière acquisitive, par exemple (voy. </w:t>
      </w:r>
      <w:proofErr w:type="gramStart"/>
      <w:r w:rsidR="00471CC0">
        <w:t>expressément</w:t>
      </w:r>
      <w:proofErr w:type="gramEnd"/>
      <w:r w:rsidR="00471CC0">
        <w:t xml:space="preserve"> C. civ., art. 3.62, § 1</w:t>
      </w:r>
      <w:r w:rsidR="00471CC0" w:rsidRPr="00471CC0">
        <w:rPr>
          <w:vertAlign w:val="superscript"/>
        </w:rPr>
        <w:t>er</w:t>
      </w:r>
      <w:r w:rsidR="00471CC0">
        <w:t>, al. 1</w:t>
      </w:r>
      <w:r w:rsidR="00471CC0" w:rsidRPr="00471CC0">
        <w:rPr>
          <w:vertAlign w:val="superscript"/>
        </w:rPr>
        <w:t>er</w:t>
      </w:r>
      <w:r w:rsidR="00471CC0">
        <w:t>).</w:t>
      </w:r>
    </w:p>
  </w:footnote>
  <w:footnote w:id="116">
    <w:p w14:paraId="5E9BBBFF" w14:textId="5254852C" w:rsidR="00A90D48" w:rsidRDefault="00A90D48">
      <w:pPr>
        <w:pStyle w:val="Notedebasdepage"/>
      </w:pPr>
      <w:r>
        <w:rPr>
          <w:rStyle w:val="Appelnotedebasdep"/>
        </w:rPr>
        <w:footnoteRef/>
      </w:r>
      <w:r>
        <w:t xml:space="preserve"> </w:t>
      </w:r>
      <w:r w:rsidR="00FD1B4C">
        <w:t>Les travaux préparatoires citent en exemple la servitude de surplomb : Proposition de loi du 16 juillet 2019, Commentaire des articles, n° 55-0173/001, p. 153.</w:t>
      </w:r>
    </w:p>
  </w:footnote>
  <w:footnote w:id="117">
    <w:p w14:paraId="6E35CD78" w14:textId="77777777" w:rsidR="002420CF" w:rsidRDefault="002420CF" w:rsidP="002420CF">
      <w:pPr>
        <w:pStyle w:val="Notedebasdepage"/>
      </w:pPr>
      <w:r>
        <w:rPr>
          <w:rStyle w:val="Appelnotedebasdep"/>
        </w:rPr>
        <w:footnoteRef/>
      </w:r>
      <w:r>
        <w:t xml:space="preserve"> Proposition de loi du 16 juillet 2019, Commentaire des articles, n° 55-0173/001, p. 154.</w:t>
      </w:r>
    </w:p>
  </w:footnote>
  <w:footnote w:id="118">
    <w:p w14:paraId="25F7A651" w14:textId="159268B9" w:rsidR="00AF6362" w:rsidRDefault="00AF6362">
      <w:pPr>
        <w:pStyle w:val="Notedebasdepage"/>
      </w:pPr>
      <w:r>
        <w:rPr>
          <w:rStyle w:val="Appelnotedebasdep"/>
        </w:rPr>
        <w:footnoteRef/>
      </w:r>
      <w:r>
        <w:t xml:space="preserve"> A juste titre, A. Despret pose la question de savoir ce qu’il adviendrait d’un tel droit si les constructions persistent plus de 99 ans (durée maximale </w:t>
      </w:r>
      <w:r w:rsidR="000422C2">
        <w:t>admise pour le</w:t>
      </w:r>
      <w:r w:rsidR="004E609B">
        <w:t xml:space="preserve"> droit de superficie en vertu de l’article </w:t>
      </w:r>
      <w:r w:rsidR="00197A5F">
        <w:t>3.180</w:t>
      </w:r>
      <w:r w:rsidR="00200AE9">
        <w:t xml:space="preserve"> du Code civil</w:t>
      </w:r>
      <w:r w:rsidR="00197A5F">
        <w:t>) : A. D</w:t>
      </w:r>
      <w:r w:rsidR="00197A5F" w:rsidRPr="001048C9">
        <w:rPr>
          <w:smallCaps/>
        </w:rPr>
        <w:t>espret</w:t>
      </w:r>
      <w:r w:rsidR="00197A5F">
        <w:t xml:space="preserve">, « Le droit de propriété et le droit d’usufruit réformés », </w:t>
      </w:r>
      <w:r w:rsidR="00197A5F">
        <w:rPr>
          <w:i/>
          <w:iCs/>
        </w:rPr>
        <w:t xml:space="preserve">in </w:t>
      </w:r>
      <w:r w:rsidR="00197A5F">
        <w:t xml:space="preserve">N. Bernard (dir.), </w:t>
      </w:r>
      <w:r w:rsidR="00197A5F">
        <w:rPr>
          <w:i/>
          <w:iCs/>
        </w:rPr>
        <w:t>Le droit des biens réformé</w:t>
      </w:r>
      <w:r w:rsidR="00197A5F">
        <w:t>, Bruxelles, Larcier, 2020, p. 104, n° 50.</w:t>
      </w:r>
    </w:p>
  </w:footnote>
  <w:footnote w:id="119">
    <w:p w14:paraId="681705FB" w14:textId="5654855B" w:rsidR="00435882" w:rsidRPr="00435882" w:rsidRDefault="00435882" w:rsidP="00435882">
      <w:pPr>
        <w:spacing w:line="240" w:lineRule="auto"/>
        <w:rPr>
          <w:sz w:val="20"/>
          <w:szCs w:val="20"/>
        </w:rPr>
      </w:pPr>
      <w:r w:rsidRPr="00435882">
        <w:rPr>
          <w:rStyle w:val="Appelnotedebasdep"/>
          <w:sz w:val="20"/>
          <w:szCs w:val="20"/>
        </w:rPr>
        <w:footnoteRef/>
      </w:r>
      <w:r w:rsidRPr="00435882">
        <w:rPr>
          <w:sz w:val="20"/>
          <w:szCs w:val="20"/>
        </w:rPr>
        <w:t xml:space="preserve"> L’article 3.11 du Code civil figure sous le titre 1</w:t>
      </w:r>
      <w:r w:rsidRPr="00435882">
        <w:rPr>
          <w:sz w:val="20"/>
          <w:szCs w:val="20"/>
          <w:vertAlign w:val="superscript"/>
        </w:rPr>
        <w:t>er</w:t>
      </w:r>
      <w:r w:rsidRPr="00435882">
        <w:rPr>
          <w:sz w:val="20"/>
          <w:szCs w:val="20"/>
        </w:rPr>
        <w:t xml:space="preserve"> du livre 3</w:t>
      </w:r>
      <w:r>
        <w:rPr>
          <w:sz w:val="20"/>
          <w:szCs w:val="20"/>
        </w:rPr>
        <w:t>. Il traite de la transformation</w:t>
      </w:r>
      <w:r w:rsidRPr="00435882">
        <w:rPr>
          <w:sz w:val="20"/>
          <w:szCs w:val="20"/>
        </w:rPr>
        <w:t xml:space="preserve"> et renvoie à l’article 3.56 pour régler le conflit de propriété </w:t>
      </w:r>
      <w:r w:rsidR="00CC4C60">
        <w:rPr>
          <w:sz w:val="20"/>
          <w:szCs w:val="20"/>
        </w:rPr>
        <w:t>qui en résulte</w:t>
      </w:r>
      <w:r w:rsidRPr="00435882">
        <w:rPr>
          <w:sz w:val="20"/>
          <w:szCs w:val="20"/>
        </w:rPr>
        <w:t> : voy.</w:t>
      </w:r>
      <w:r w:rsidR="00662651">
        <w:rPr>
          <w:sz w:val="20"/>
          <w:szCs w:val="20"/>
        </w:rPr>
        <w:t xml:space="preserve"> </w:t>
      </w:r>
      <w:proofErr w:type="gramStart"/>
      <w:r w:rsidR="00662651">
        <w:rPr>
          <w:sz w:val="20"/>
          <w:szCs w:val="20"/>
        </w:rPr>
        <w:t>dans</w:t>
      </w:r>
      <w:proofErr w:type="gramEnd"/>
      <w:r w:rsidR="00662651">
        <w:rPr>
          <w:sz w:val="20"/>
          <w:szCs w:val="20"/>
        </w:rPr>
        <w:t xml:space="preserve"> cet ouvrage</w:t>
      </w:r>
      <w:r w:rsidRPr="00435882">
        <w:rPr>
          <w:sz w:val="20"/>
          <w:szCs w:val="20"/>
        </w:rPr>
        <w:t xml:space="preserve"> la contribution de </w:t>
      </w:r>
      <w:r w:rsidR="00DD4A1E">
        <w:rPr>
          <w:sz w:val="20"/>
          <w:szCs w:val="20"/>
        </w:rPr>
        <w:t xml:space="preserve">S. </w:t>
      </w:r>
      <w:r w:rsidR="00DD4A1E" w:rsidRPr="007B5F70">
        <w:rPr>
          <w:smallCaps/>
          <w:sz w:val="20"/>
          <w:szCs w:val="20"/>
        </w:rPr>
        <w:t xml:space="preserve">Boufflette </w:t>
      </w:r>
      <w:r w:rsidR="00DD4A1E" w:rsidRPr="007B5F70">
        <w:rPr>
          <w:sz w:val="20"/>
          <w:szCs w:val="20"/>
        </w:rPr>
        <w:t>et</w:t>
      </w:r>
      <w:r w:rsidR="00DD4A1E" w:rsidRPr="007B5F70">
        <w:rPr>
          <w:smallCaps/>
          <w:sz w:val="20"/>
          <w:szCs w:val="20"/>
        </w:rPr>
        <w:t xml:space="preserve"> A. Salvé</w:t>
      </w:r>
      <w:r w:rsidR="00DD4A1E">
        <w:rPr>
          <w:smallCaps/>
          <w:sz w:val="20"/>
          <w:szCs w:val="20"/>
        </w:rPr>
        <w:t>.</w:t>
      </w:r>
    </w:p>
  </w:footnote>
  <w:footnote w:id="120">
    <w:p w14:paraId="5220532A" w14:textId="0CE18F12" w:rsidR="006C5CAE" w:rsidRDefault="006C5CAE">
      <w:pPr>
        <w:pStyle w:val="Notedebasdepage"/>
      </w:pPr>
      <w:r>
        <w:rPr>
          <w:rStyle w:val="Appelnotedebasdep"/>
        </w:rPr>
        <w:footnoteRef/>
      </w:r>
      <w:r>
        <w:t xml:space="preserve"> Proposition de loi du 16 juillet 2019, Commentaire des articles, n° 55-0173/001, p. 139.</w:t>
      </w:r>
    </w:p>
  </w:footnote>
  <w:footnote w:id="121">
    <w:p w14:paraId="11C5FAA2" w14:textId="4C949199" w:rsidR="00D13A8D" w:rsidRPr="008E1FEF" w:rsidRDefault="00D13A8D">
      <w:pPr>
        <w:pStyle w:val="Notedebasdepage"/>
      </w:pPr>
      <w:r>
        <w:rPr>
          <w:rStyle w:val="Appelnotedebasdep"/>
        </w:rPr>
        <w:footnoteRef/>
      </w:r>
      <w:r>
        <w:t xml:space="preserve"> L’article 3.58 du Code civil remplace la loi du 30 décembre 1975</w:t>
      </w:r>
      <w:r w:rsidRPr="008E1FEF">
        <w:t xml:space="preserve"> </w:t>
      </w:r>
      <w:r w:rsidR="008E1FEF" w:rsidRPr="008E1FEF">
        <w:t>concernant les biens trouvés en dehors des propriétés privées ou mis sur la voie publique en exécution de jugements d'expulsion</w:t>
      </w:r>
      <w:r w:rsidR="008E1FEF">
        <w:t xml:space="preserve"> (</w:t>
      </w:r>
      <w:r w:rsidR="008E1FEF">
        <w:rPr>
          <w:i/>
          <w:iCs/>
        </w:rPr>
        <w:t>M.B.</w:t>
      </w:r>
      <w:r w:rsidR="008E1FEF">
        <w:t>, 17 janvier 1976, p. 510) qui</w:t>
      </w:r>
      <w:r w:rsidR="005614D6">
        <w:t>, ainsi que l’indique son intitulé,</w:t>
      </w:r>
      <w:r w:rsidR="008E1FEF">
        <w:t xml:space="preserve"> ne visait</w:t>
      </w:r>
      <w:r w:rsidR="00442A77">
        <w:t xml:space="preserve"> </w:t>
      </w:r>
      <w:r w:rsidR="008E1FEF">
        <w:t xml:space="preserve">que les biens </w:t>
      </w:r>
      <w:r w:rsidR="00442A77">
        <w:t xml:space="preserve">trouvés en dehors des propriétés privées. </w:t>
      </w:r>
      <w:r w:rsidR="005614D6">
        <w:t>La</w:t>
      </w:r>
      <w:r w:rsidR="00442A77">
        <w:t xml:space="preserve"> loi </w:t>
      </w:r>
      <w:r w:rsidR="005614D6">
        <w:t>du 30 décembre 197</w:t>
      </w:r>
      <w:r w:rsidR="000768DD">
        <w:t>5</w:t>
      </w:r>
      <w:r w:rsidR="005614D6">
        <w:t xml:space="preserve"> </w:t>
      </w:r>
      <w:r w:rsidR="00442A77">
        <w:t xml:space="preserve">est abrogée par </w:t>
      </w:r>
      <w:r w:rsidR="0076141E">
        <w:t xml:space="preserve">l’article 35 de </w:t>
      </w:r>
      <w:r w:rsidR="00442A77">
        <w:t>la loi du 4 février 2020</w:t>
      </w:r>
      <w:r w:rsidR="0076141E">
        <w:t>.</w:t>
      </w:r>
    </w:p>
  </w:footnote>
  <w:footnote w:id="122">
    <w:p w14:paraId="2679B48B" w14:textId="3EBCA287" w:rsidR="006E3EBD" w:rsidRDefault="006E3EBD">
      <w:pPr>
        <w:pStyle w:val="Notedebasdepage"/>
      </w:pPr>
      <w:r>
        <w:rPr>
          <w:rStyle w:val="Appelnotedebasdep"/>
        </w:rPr>
        <w:footnoteRef/>
      </w:r>
      <w:r>
        <w:t xml:space="preserve"> </w:t>
      </w:r>
      <w:r w:rsidR="003F5531">
        <w:t xml:space="preserve">Voy. N. </w:t>
      </w:r>
      <w:r w:rsidR="003F5531">
        <w:rPr>
          <w:smallCaps/>
        </w:rPr>
        <w:t xml:space="preserve">Bernard, </w:t>
      </w:r>
      <w:r w:rsidR="003F5531">
        <w:t xml:space="preserve">« Titre 3. Le droit de propriété », </w:t>
      </w:r>
      <w:r w:rsidR="003F5531">
        <w:rPr>
          <w:i/>
          <w:iCs/>
        </w:rPr>
        <w:t xml:space="preserve">in </w:t>
      </w:r>
      <w:r w:rsidR="003F5531" w:rsidRPr="00B15C97">
        <w:t>P. Lecocq</w:t>
      </w:r>
      <w:r w:rsidR="003F5531">
        <w:t xml:space="preserve">, I. Durant, N. Bernard, B. Michaux, J.-Fr. Romain (dir.), </w:t>
      </w:r>
      <w:r w:rsidR="003F5531">
        <w:rPr>
          <w:i/>
          <w:iCs/>
        </w:rPr>
        <w:t>Le nouveau droit des biens</w:t>
      </w:r>
      <w:r w:rsidR="003F5531">
        <w:t>, Bruxelles, Larcier, 2020, p.</w:t>
      </w:r>
      <w:r w:rsidR="00BD481C">
        <w:t xml:space="preserve"> 105, n° 40 et p. 110, n° 51 ; </w:t>
      </w:r>
      <w:r w:rsidR="00FD3BFE">
        <w:t>A. D</w:t>
      </w:r>
      <w:r w:rsidR="00FD3BFE" w:rsidRPr="001048C9">
        <w:rPr>
          <w:smallCaps/>
        </w:rPr>
        <w:t>espret</w:t>
      </w:r>
      <w:r w:rsidR="00FD3BFE">
        <w:t xml:space="preserve">, « Le droit de propriété et le droit d’usufruit réformés », </w:t>
      </w:r>
      <w:r w:rsidR="00FD3BFE">
        <w:rPr>
          <w:i/>
          <w:iCs/>
        </w:rPr>
        <w:t xml:space="preserve">in </w:t>
      </w:r>
      <w:r w:rsidR="00FD3BFE">
        <w:t xml:space="preserve">N. Bernard (dir.), </w:t>
      </w:r>
      <w:r w:rsidR="00FD3BFE">
        <w:rPr>
          <w:i/>
          <w:iCs/>
        </w:rPr>
        <w:t>Le droit des biens réformé</w:t>
      </w:r>
      <w:r w:rsidR="00FD3BFE">
        <w:t xml:space="preserve">, Bruxelles, Larcier, 2020, p. </w:t>
      </w:r>
      <w:r w:rsidR="00A37AC2">
        <w:t>95, n° 32.</w:t>
      </w:r>
    </w:p>
  </w:footnote>
  <w:footnote w:id="123">
    <w:p w14:paraId="539352F1" w14:textId="0A026557" w:rsidR="0059072F" w:rsidRDefault="0059072F">
      <w:pPr>
        <w:pStyle w:val="Notedebasdepage"/>
      </w:pPr>
      <w:r>
        <w:rPr>
          <w:rStyle w:val="Appelnotedebasdep"/>
        </w:rPr>
        <w:footnoteRef/>
      </w:r>
      <w:r>
        <w:t xml:space="preserve"> </w:t>
      </w:r>
      <w:r w:rsidR="00B07AB1">
        <w:t xml:space="preserve">L’auteur dénonce le caractère « naïf » d’un système qui repose </w:t>
      </w:r>
      <w:r w:rsidR="00C008C2">
        <w:t xml:space="preserve">sur un trouveur qui est à la fois « juge et partie » (N. </w:t>
      </w:r>
      <w:r w:rsidR="00C008C2">
        <w:rPr>
          <w:smallCaps/>
        </w:rPr>
        <w:t xml:space="preserve">Bernard, </w:t>
      </w:r>
      <w:r w:rsidR="00C008C2">
        <w:t xml:space="preserve">« Titre 3. Le droit de propriété », </w:t>
      </w:r>
      <w:r w:rsidR="00C008C2">
        <w:rPr>
          <w:i/>
          <w:iCs/>
        </w:rPr>
        <w:t xml:space="preserve">in </w:t>
      </w:r>
      <w:r w:rsidR="00C008C2" w:rsidRPr="00B15C97">
        <w:t>P. Lecocq</w:t>
      </w:r>
      <w:r w:rsidR="00C008C2">
        <w:t xml:space="preserve">, I. Durant, N. Bernard, B. Michaux, J.-Fr. Romain (dir.), </w:t>
      </w:r>
      <w:r w:rsidR="00C008C2">
        <w:rPr>
          <w:i/>
          <w:iCs/>
        </w:rPr>
        <w:t>Le nouveau droit des biens</w:t>
      </w:r>
      <w:r w:rsidR="00C008C2">
        <w:t xml:space="preserve">, Bruxelles, Larcier, 2020, p. 114, n° </w:t>
      </w:r>
      <w:r w:rsidR="005428D0">
        <w:t>55).</w:t>
      </w:r>
    </w:p>
  </w:footnote>
  <w:footnote w:id="124">
    <w:p w14:paraId="6709E029" w14:textId="65471485" w:rsidR="006A1948" w:rsidRPr="0035224F" w:rsidRDefault="006A1948">
      <w:pPr>
        <w:pStyle w:val="Notedebasdepage"/>
      </w:pPr>
      <w:r>
        <w:rPr>
          <w:rStyle w:val="Appelnotedebasdep"/>
        </w:rPr>
        <w:footnoteRef/>
      </w:r>
      <w:r>
        <w:t xml:space="preserve"> N. Bernard souligne </w:t>
      </w:r>
      <w:r w:rsidR="0035224F">
        <w:t>l’ambiguïté du</w:t>
      </w:r>
      <w:r>
        <w:t xml:space="preserve"> texte de loi qui </w:t>
      </w:r>
      <w:r w:rsidR="0035224F">
        <w:t>indique que la commune « s</w:t>
      </w:r>
      <w:r w:rsidR="0035224F" w:rsidRPr="0035224F">
        <w:t>i elle connaît le propriétaire, invite ce dernier, dans le mois de la réception de la déclaration, par envoi recommandé, à venir rechercher cette chose ou le produit de vente de celle-ci</w:t>
      </w:r>
      <w:r w:rsidR="0035224F">
        <w:t xml:space="preserve"> ». Pour l’auteur, le </w:t>
      </w:r>
      <w:r w:rsidR="00B84702">
        <w:t xml:space="preserve">texte manque de clarté et l’on pourrait considérer que le </w:t>
      </w:r>
      <w:r w:rsidR="0035224F">
        <w:t xml:space="preserve">délai d’un mois </w:t>
      </w:r>
      <w:r w:rsidR="00B84702">
        <w:t>vise</w:t>
      </w:r>
      <w:r w:rsidR="0035224F">
        <w:t xml:space="preserve"> le propriétaire lui-même </w:t>
      </w:r>
      <w:r w:rsidR="007B202C">
        <w:t xml:space="preserve">plutôt que la commune </w:t>
      </w:r>
      <w:r w:rsidR="0035224F">
        <w:t>(</w:t>
      </w:r>
      <w:r w:rsidR="008655CF">
        <w:t xml:space="preserve">N. </w:t>
      </w:r>
      <w:r w:rsidR="008655CF">
        <w:rPr>
          <w:smallCaps/>
        </w:rPr>
        <w:t xml:space="preserve">Bernard, </w:t>
      </w:r>
      <w:r w:rsidR="008655CF">
        <w:t xml:space="preserve">« Titre 3. Le droit de propriété », </w:t>
      </w:r>
      <w:r w:rsidR="008655CF">
        <w:rPr>
          <w:i/>
          <w:iCs/>
        </w:rPr>
        <w:t xml:space="preserve">in </w:t>
      </w:r>
      <w:r w:rsidR="008655CF" w:rsidRPr="00B15C97">
        <w:t>P. Lecocq</w:t>
      </w:r>
      <w:r w:rsidR="008655CF">
        <w:t xml:space="preserve">, I. Durant, N. Bernard, B. Michaux, J.-Fr. Romain (dir.), </w:t>
      </w:r>
      <w:r w:rsidR="008655CF">
        <w:rPr>
          <w:i/>
          <w:iCs/>
        </w:rPr>
        <w:t>Le nouveau droit des biens</w:t>
      </w:r>
      <w:r w:rsidR="008655CF">
        <w:t>, Bruxelles, Larcier, 2020, pp. 112-113, n° 54)</w:t>
      </w:r>
      <w:r w:rsidR="0035224F">
        <w:t>.</w:t>
      </w:r>
      <w:r w:rsidR="007B202C">
        <w:t xml:space="preserve"> Il nous semble toutefois, comme à l’auteur, que la majorité des arguments sémantiques plaident en faveur de l’application </w:t>
      </w:r>
      <w:r w:rsidR="00ED528B">
        <w:t>de ce délai à la commune</w:t>
      </w:r>
      <w:r w:rsidR="00344933">
        <w:t>.</w:t>
      </w:r>
    </w:p>
  </w:footnote>
  <w:footnote w:id="125">
    <w:p w14:paraId="4987D07F" w14:textId="701BDCE6" w:rsidR="008C3877" w:rsidRPr="008C3877" w:rsidRDefault="008C3877">
      <w:pPr>
        <w:pStyle w:val="Notedebasdepage"/>
        <w:rPr>
          <w:lang w:val="nl-BE"/>
        </w:rPr>
      </w:pPr>
      <w:r>
        <w:rPr>
          <w:rStyle w:val="Appelnotedebasdep"/>
        </w:rPr>
        <w:footnoteRef/>
      </w:r>
      <w:r>
        <w:t xml:space="preserve"> Il conservera plus volontiers les biens onéreux, dès lors qu’en les conservant il a une chance d’en devenir propriétaire par application de l’article 3.59 du Code civil (</w:t>
      </w:r>
      <w:r w:rsidRPr="008C3877">
        <w:t xml:space="preserve">Ch. </w:t>
      </w:r>
      <w:r w:rsidRPr="003C7FAD">
        <w:rPr>
          <w:smallCaps/>
          <w:lang w:val="nl-BE"/>
        </w:rPr>
        <w:t>De</w:t>
      </w:r>
      <w:r>
        <w:rPr>
          <w:smallCaps/>
          <w:lang w:val="nl-BE"/>
        </w:rPr>
        <w:t xml:space="preserve"> W</w:t>
      </w:r>
      <w:r w:rsidRPr="003C7FAD">
        <w:rPr>
          <w:smallCaps/>
          <w:lang w:val="nl-BE"/>
        </w:rPr>
        <w:t>ulf</w:t>
      </w:r>
      <w:r w:rsidRPr="003C7FAD">
        <w:rPr>
          <w:lang w:val="nl-BE"/>
        </w:rPr>
        <w:t xml:space="preserve">, « Inleiding tot het nieuwe goederenrecht », </w:t>
      </w:r>
      <w:r w:rsidRPr="003C7FAD">
        <w:rPr>
          <w:i/>
          <w:iCs/>
          <w:lang w:val="nl-BE"/>
        </w:rPr>
        <w:t xml:space="preserve">T. </w:t>
      </w:r>
      <w:r>
        <w:rPr>
          <w:i/>
          <w:iCs/>
          <w:lang w:val="nl-BE"/>
        </w:rPr>
        <w:t>not.</w:t>
      </w:r>
      <w:r>
        <w:rPr>
          <w:lang w:val="nl-BE"/>
        </w:rPr>
        <w:t xml:space="preserve">, 2020, </w:t>
      </w:r>
      <w:r w:rsidRPr="003C7FAD">
        <w:rPr>
          <w:lang w:val="nl-BE"/>
        </w:rPr>
        <w:t>p.</w:t>
      </w:r>
      <w:r w:rsidR="0095720F">
        <w:rPr>
          <w:lang w:val="nl-BE"/>
        </w:rPr>
        <w:t xml:space="preserve"> 721, n° 49).</w:t>
      </w:r>
    </w:p>
  </w:footnote>
  <w:footnote w:id="126">
    <w:p w14:paraId="6B66A2AB" w14:textId="5B3DFE68" w:rsidR="008A7A39" w:rsidRDefault="008A7A39">
      <w:pPr>
        <w:pStyle w:val="Notedebasdepage"/>
      </w:pPr>
      <w:r>
        <w:rPr>
          <w:rStyle w:val="Appelnotedebasdep"/>
        </w:rPr>
        <w:footnoteRef/>
      </w:r>
      <w:r>
        <w:t xml:space="preserve"> </w:t>
      </w:r>
      <w:r w:rsidR="00E6156C">
        <w:t>Le régime du dépôt nécessaire figure</w:t>
      </w:r>
      <w:r>
        <w:t xml:space="preserve"> aux articles 1949</w:t>
      </w:r>
      <w:r w:rsidR="00E6156C">
        <w:t xml:space="preserve"> et suivants de l’ancien Code civil.</w:t>
      </w:r>
    </w:p>
  </w:footnote>
  <w:footnote w:id="127">
    <w:p w14:paraId="3D47C135" w14:textId="58CECF7D" w:rsidR="00F40588" w:rsidRDefault="00F40588">
      <w:pPr>
        <w:pStyle w:val="Notedebasdepage"/>
      </w:pPr>
      <w:r>
        <w:rPr>
          <w:rStyle w:val="Appelnotedebasdep"/>
        </w:rPr>
        <w:footnoteRef/>
      </w:r>
      <w:r>
        <w:t xml:space="preserve"> </w:t>
      </w:r>
      <w:r w:rsidR="00791E97">
        <w:t xml:space="preserve">N. </w:t>
      </w:r>
      <w:r w:rsidR="00791E97">
        <w:rPr>
          <w:smallCaps/>
        </w:rPr>
        <w:t xml:space="preserve">Bernard, </w:t>
      </w:r>
      <w:r w:rsidR="00791E97">
        <w:t xml:space="preserve">« Titre 3. Le droit de propriété », </w:t>
      </w:r>
      <w:r w:rsidR="00791E97">
        <w:rPr>
          <w:i/>
          <w:iCs/>
        </w:rPr>
        <w:t xml:space="preserve">in </w:t>
      </w:r>
      <w:r w:rsidR="00791E97" w:rsidRPr="00B15C97">
        <w:t>P. Lecocq</w:t>
      </w:r>
      <w:r w:rsidR="00791E97">
        <w:t xml:space="preserve">, I. Durant, N. Bernard, B. Michaux, J.-Fr. Romain (dir.), </w:t>
      </w:r>
      <w:r w:rsidR="00791E97">
        <w:rPr>
          <w:i/>
          <w:iCs/>
        </w:rPr>
        <w:t>Le nouveau droit des biens</w:t>
      </w:r>
      <w:r w:rsidR="00791E97">
        <w:t>, Bruxelles, Larcier, 2020, p. 106, n° 42.</w:t>
      </w:r>
    </w:p>
  </w:footnote>
  <w:footnote w:id="128">
    <w:p w14:paraId="2E48808E" w14:textId="593DCBAC" w:rsidR="00181738" w:rsidRDefault="00181738">
      <w:pPr>
        <w:pStyle w:val="Notedebasdepage"/>
      </w:pPr>
      <w:r>
        <w:rPr>
          <w:rStyle w:val="Appelnotedebasdep"/>
        </w:rPr>
        <w:footnoteRef/>
      </w:r>
      <w:r>
        <w:t xml:space="preserve"> C’est nous qui soulignons.</w:t>
      </w:r>
    </w:p>
  </w:footnote>
  <w:footnote w:id="129">
    <w:p w14:paraId="7C86D4B4" w14:textId="77777777" w:rsidR="002B50F8" w:rsidRDefault="002B50F8" w:rsidP="002B50F8">
      <w:pPr>
        <w:pStyle w:val="Notedebasdepage"/>
      </w:pPr>
      <w:r>
        <w:rPr>
          <w:rStyle w:val="Appelnotedebasdep"/>
        </w:rPr>
        <w:footnoteRef/>
      </w:r>
      <w:r>
        <w:t xml:space="preserve"> Par application de la subrogation réelle (Proposition de loi du 16 juillet 2019, Commentaire des articles, n° 55-0173/001, p. 147).</w:t>
      </w:r>
    </w:p>
  </w:footnote>
  <w:footnote w:id="130">
    <w:p w14:paraId="0A91ACED" w14:textId="3CD09178" w:rsidR="00907BB7" w:rsidRDefault="00907BB7">
      <w:pPr>
        <w:pStyle w:val="Notedebasdepage"/>
      </w:pPr>
      <w:r>
        <w:rPr>
          <w:rStyle w:val="Appelnotedebasdep"/>
        </w:rPr>
        <w:footnoteRef/>
      </w:r>
      <w:r>
        <w:t xml:space="preserve"> N. </w:t>
      </w:r>
      <w:r>
        <w:rPr>
          <w:smallCaps/>
        </w:rPr>
        <w:t xml:space="preserve">Bernard, </w:t>
      </w:r>
      <w:r>
        <w:t xml:space="preserve">« Titre 3. Le droit de propriété », </w:t>
      </w:r>
      <w:r>
        <w:rPr>
          <w:i/>
          <w:iCs/>
        </w:rPr>
        <w:t xml:space="preserve">in </w:t>
      </w:r>
      <w:r w:rsidRPr="00B15C97">
        <w:t>P. Lecocq</w:t>
      </w:r>
      <w:r>
        <w:t xml:space="preserve">, I. Durant, N. Bernard, B. Michaux, J.-Fr. Romain (dir.), </w:t>
      </w:r>
      <w:r>
        <w:rPr>
          <w:i/>
          <w:iCs/>
        </w:rPr>
        <w:t>Le nouveau droit des biens</w:t>
      </w:r>
      <w:r>
        <w:t xml:space="preserve">, Bruxelles, Larcier, 2020, p. </w:t>
      </w:r>
      <w:r w:rsidR="00A03B2A">
        <w:t>108, n° 46 et p. 114, n° 56.</w:t>
      </w:r>
    </w:p>
  </w:footnote>
  <w:footnote w:id="131">
    <w:p w14:paraId="0AF11D9D" w14:textId="27C085BA" w:rsidR="00907BB7" w:rsidRDefault="00907BB7">
      <w:pPr>
        <w:pStyle w:val="Notedebasdepage"/>
      </w:pPr>
      <w:r>
        <w:rPr>
          <w:rStyle w:val="Appelnotedebasdep"/>
        </w:rPr>
        <w:footnoteRef/>
      </w:r>
      <w:r>
        <w:t xml:space="preserve"> </w:t>
      </w:r>
      <w:r w:rsidR="00D92DB1">
        <w:t>A. D</w:t>
      </w:r>
      <w:r w:rsidR="00D92DB1" w:rsidRPr="001048C9">
        <w:rPr>
          <w:smallCaps/>
        </w:rPr>
        <w:t>espret</w:t>
      </w:r>
      <w:r w:rsidR="00D92DB1">
        <w:t xml:space="preserve">, « Le droit de propriété et le droit d’usufruit réformés », </w:t>
      </w:r>
      <w:r w:rsidR="00D92DB1">
        <w:rPr>
          <w:i/>
          <w:iCs/>
        </w:rPr>
        <w:t xml:space="preserve">in </w:t>
      </w:r>
      <w:r w:rsidR="00D92DB1">
        <w:t xml:space="preserve">N. Bernard (dir.), </w:t>
      </w:r>
      <w:r w:rsidR="00D92DB1">
        <w:rPr>
          <w:i/>
          <w:iCs/>
        </w:rPr>
        <w:t>Le droit des biens réformé</w:t>
      </w:r>
      <w:r w:rsidR="00D92DB1">
        <w:t>, Bruxelles, Larcier, 2020, p.</w:t>
      </w:r>
      <w:r w:rsidR="005F0580">
        <w:t xml:space="preserve"> 98, n° 37.</w:t>
      </w:r>
    </w:p>
  </w:footnote>
  <w:footnote w:id="132">
    <w:p w14:paraId="767CCCEB" w14:textId="2E34D1A5" w:rsidR="00B95C86" w:rsidRDefault="00B95C86">
      <w:pPr>
        <w:pStyle w:val="Notedebasdepage"/>
      </w:pPr>
      <w:r>
        <w:rPr>
          <w:rStyle w:val="Appelnotedebasdep"/>
        </w:rPr>
        <w:footnoteRef/>
      </w:r>
      <w:r>
        <w:t xml:space="preserve"> </w:t>
      </w:r>
      <w:r w:rsidR="00D65AF7">
        <w:t>Proposition de loi du 16 juillet 2019, Commentaire des articles, n° 55-0173/001, p. 147.</w:t>
      </w:r>
    </w:p>
  </w:footnote>
  <w:footnote w:id="133">
    <w:p w14:paraId="749221EA" w14:textId="660E1B6E" w:rsidR="00E0766E" w:rsidRDefault="00E0766E">
      <w:pPr>
        <w:pStyle w:val="Notedebasdepage"/>
      </w:pPr>
      <w:r>
        <w:rPr>
          <w:rStyle w:val="Appelnotedebasdep"/>
        </w:rPr>
        <w:footnoteRef/>
      </w:r>
      <w:r>
        <w:t xml:space="preserve"> Proposition de loi du 16 juillet 2019, Commentaire des articles, n° 55-0173/001, p. 145.</w:t>
      </w:r>
    </w:p>
  </w:footnote>
  <w:footnote w:id="134">
    <w:p w14:paraId="04CF0232" w14:textId="0E51470B" w:rsidR="009A7C41" w:rsidRPr="009A7C41" w:rsidRDefault="009A7C41">
      <w:pPr>
        <w:pStyle w:val="Notedebasdepage"/>
      </w:pPr>
      <w:r>
        <w:rPr>
          <w:rStyle w:val="Appelnotedebasdep"/>
        </w:rPr>
        <w:footnoteRef/>
      </w:r>
      <w:r w:rsidRPr="009A7C41">
        <w:t xml:space="preserve"> </w:t>
      </w:r>
      <w:r>
        <w:t xml:space="preserve">N. </w:t>
      </w:r>
      <w:r>
        <w:rPr>
          <w:smallCaps/>
        </w:rPr>
        <w:t xml:space="preserve">Bernard, </w:t>
      </w:r>
      <w:r>
        <w:t xml:space="preserve">« Titre 3. Le droit de propriété », </w:t>
      </w:r>
      <w:r>
        <w:rPr>
          <w:i/>
          <w:iCs/>
        </w:rPr>
        <w:t xml:space="preserve">in </w:t>
      </w:r>
      <w:r w:rsidRPr="00B15C97">
        <w:t>P. Lecocq</w:t>
      </w:r>
      <w:r>
        <w:t xml:space="preserve">, I. Durant, N. Bernard, B. Michaux, J.-Fr. Romain (dir.), </w:t>
      </w:r>
      <w:r>
        <w:rPr>
          <w:i/>
          <w:iCs/>
        </w:rPr>
        <w:t>Le nouveau droit des biens</w:t>
      </w:r>
      <w:r>
        <w:t xml:space="preserve">, Bruxelles, Larcier, 2020, p. </w:t>
      </w:r>
      <w:r w:rsidR="00264B38">
        <w:t>113, n° 55 ; A. D</w:t>
      </w:r>
      <w:r w:rsidR="00264B38" w:rsidRPr="001048C9">
        <w:rPr>
          <w:smallCaps/>
        </w:rPr>
        <w:t>espret</w:t>
      </w:r>
      <w:r w:rsidR="00264B38">
        <w:t xml:space="preserve">, « Le droit de propriété et le droit d’usufruit réformés », </w:t>
      </w:r>
      <w:r w:rsidR="00264B38">
        <w:rPr>
          <w:i/>
          <w:iCs/>
        </w:rPr>
        <w:t xml:space="preserve">in </w:t>
      </w:r>
      <w:r w:rsidR="00264B38">
        <w:t xml:space="preserve">N. Bernard (dir.), </w:t>
      </w:r>
      <w:r w:rsidR="00264B38">
        <w:rPr>
          <w:i/>
          <w:iCs/>
        </w:rPr>
        <w:t>Le droit des biens réformé</w:t>
      </w:r>
      <w:r w:rsidR="00264B38">
        <w:t xml:space="preserve">, Bruxelles, Larcier, 2020, p. 97, n° 34 ; </w:t>
      </w:r>
      <w:r w:rsidRPr="009A7C41">
        <w:t xml:space="preserve">D. </w:t>
      </w:r>
      <w:r w:rsidRPr="009A7C41">
        <w:rPr>
          <w:smallCaps/>
        </w:rPr>
        <w:t>Gruyaert, « </w:t>
      </w:r>
      <w:r w:rsidRPr="009A7C41">
        <w:t xml:space="preserve">Eigendom », </w:t>
      </w:r>
      <w:r w:rsidRPr="009A7C41">
        <w:rPr>
          <w:i/>
          <w:iCs/>
        </w:rPr>
        <w:t xml:space="preserve">in </w:t>
      </w:r>
      <w:r w:rsidRPr="009A7C41">
        <w:t xml:space="preserve">V. Sagaert, J. Baeck, N. Carette, P. Lecocq, M. Muylle, A. Wylleman (dir.), </w:t>
      </w:r>
      <w:r w:rsidRPr="009A7C41">
        <w:rPr>
          <w:i/>
          <w:iCs/>
        </w:rPr>
        <w:t>Het nieuwe goederenrecht</w:t>
      </w:r>
      <w:r w:rsidRPr="009A7C41">
        <w:t xml:space="preserve">, Anvers, Intersentia, 2021, p. 276, n° 51. </w:t>
      </w:r>
    </w:p>
  </w:footnote>
  <w:footnote w:id="135">
    <w:p w14:paraId="0F44AD98" w14:textId="5B9B3EFC" w:rsidR="00B75872" w:rsidRDefault="00B75872">
      <w:pPr>
        <w:pStyle w:val="Notedebasdepage"/>
      </w:pPr>
      <w:r>
        <w:rPr>
          <w:rStyle w:val="Appelnotedebasdep"/>
        </w:rPr>
        <w:footnoteRef/>
      </w:r>
      <w:r>
        <w:t xml:space="preserve"> En ce sens</w:t>
      </w:r>
      <w:r w:rsidR="00297AE2">
        <w:t xml:space="preserve"> et estiman</w:t>
      </w:r>
      <w:r w:rsidR="009855F8">
        <w:t xml:space="preserve">t à juste titre que la disposition gagnerait à être clarifiée : N. </w:t>
      </w:r>
      <w:r w:rsidR="009855F8">
        <w:rPr>
          <w:smallCaps/>
        </w:rPr>
        <w:t xml:space="preserve">Bernard, </w:t>
      </w:r>
      <w:r w:rsidR="009855F8">
        <w:t xml:space="preserve">« Titre 3. Le droit de propriété », </w:t>
      </w:r>
      <w:r w:rsidR="009855F8">
        <w:rPr>
          <w:i/>
          <w:iCs/>
        </w:rPr>
        <w:t xml:space="preserve">in </w:t>
      </w:r>
      <w:r w:rsidR="009855F8" w:rsidRPr="00B15C97">
        <w:t>P. Lecocq</w:t>
      </w:r>
      <w:r w:rsidR="009855F8">
        <w:t xml:space="preserve">, I. Durant, N. Bernard, B. Michaux, J.-Fr. Romain (dir.), </w:t>
      </w:r>
      <w:r w:rsidR="009855F8">
        <w:rPr>
          <w:i/>
          <w:iCs/>
        </w:rPr>
        <w:t>Le nouveau droit des biens</w:t>
      </w:r>
      <w:r w:rsidR="009855F8">
        <w:t>, Bruxelles, Larcier, 2020, p</w:t>
      </w:r>
      <w:r w:rsidR="00297AE2">
        <w:t>p</w:t>
      </w:r>
      <w:r w:rsidR="009855F8">
        <w:t>.</w:t>
      </w:r>
      <w:r w:rsidR="00297AE2">
        <w:t xml:space="preserve"> 111-112, n° 53.</w:t>
      </w:r>
      <w:r w:rsidR="009855F8">
        <w:t xml:space="preserve"> </w:t>
      </w:r>
    </w:p>
  </w:footnote>
  <w:footnote w:id="136">
    <w:p w14:paraId="3C4D60B5" w14:textId="64E7110F" w:rsidR="00377978" w:rsidRDefault="00377978">
      <w:pPr>
        <w:pStyle w:val="Notedebasdepage"/>
      </w:pPr>
      <w:r>
        <w:rPr>
          <w:rStyle w:val="Appelnotedebasdep"/>
        </w:rPr>
        <w:footnoteRef/>
      </w:r>
      <w:r>
        <w:t xml:space="preserve"> N. </w:t>
      </w:r>
      <w:r>
        <w:rPr>
          <w:smallCaps/>
        </w:rPr>
        <w:t xml:space="preserve">Bernard, </w:t>
      </w:r>
      <w:r>
        <w:t xml:space="preserve">« Titre 3. Le droit de propriété », </w:t>
      </w:r>
      <w:r>
        <w:rPr>
          <w:i/>
          <w:iCs/>
        </w:rPr>
        <w:t xml:space="preserve">in </w:t>
      </w:r>
      <w:r w:rsidRPr="00B15C97">
        <w:t>P. Lecocq</w:t>
      </w:r>
      <w:r>
        <w:t xml:space="preserve">, I. Durant, N. Bernard, B. Michaux, J.-Fr. Romain (dir.), </w:t>
      </w:r>
      <w:r>
        <w:rPr>
          <w:i/>
          <w:iCs/>
        </w:rPr>
        <w:t>Le nouveau droit des biens</w:t>
      </w:r>
      <w:r>
        <w:t>, Bruxelles, Larcier, 2020, p. 111, n° 52.</w:t>
      </w:r>
    </w:p>
  </w:footnote>
  <w:footnote w:id="137">
    <w:p w14:paraId="615503E5" w14:textId="6F197CED" w:rsidR="006E430D" w:rsidRDefault="006E430D">
      <w:pPr>
        <w:pStyle w:val="Notedebasdepage"/>
      </w:pPr>
      <w:r>
        <w:rPr>
          <w:rStyle w:val="Appelnotedebasdep"/>
        </w:rPr>
        <w:footnoteRef/>
      </w:r>
      <w:r w:rsidRPr="000F48EF">
        <w:t xml:space="preserve"> </w:t>
      </w:r>
      <w:r w:rsidR="00CC0D1F" w:rsidRPr="000F48EF">
        <w:t xml:space="preserve">Ch. </w:t>
      </w:r>
      <w:r w:rsidR="00CC0D1F" w:rsidRPr="000F48EF">
        <w:rPr>
          <w:smallCaps/>
        </w:rPr>
        <w:t>De Wulf</w:t>
      </w:r>
      <w:r w:rsidR="00CC0D1F" w:rsidRPr="000F48EF">
        <w:t xml:space="preserve">, « Inleiding tot het nieuwe goederenrecht », </w:t>
      </w:r>
      <w:r w:rsidR="00CC0D1F" w:rsidRPr="000F48EF">
        <w:rPr>
          <w:i/>
          <w:iCs/>
        </w:rPr>
        <w:t>T. not.</w:t>
      </w:r>
      <w:r w:rsidR="00CC0D1F" w:rsidRPr="000F48EF">
        <w:t>, 2020, p. 72</w:t>
      </w:r>
      <w:r w:rsidR="000F48EF" w:rsidRPr="000F48EF">
        <w:t>2</w:t>
      </w:r>
      <w:r w:rsidR="00CC0D1F" w:rsidRPr="000F48EF">
        <w:t xml:space="preserve">, n° </w:t>
      </w:r>
      <w:r w:rsidR="000F48EF" w:rsidRPr="000F48EF">
        <w:t xml:space="preserve">52 ; </w:t>
      </w:r>
      <w:r w:rsidR="00AD4DAC" w:rsidRPr="000F48EF">
        <w:t xml:space="preserve">A. </w:t>
      </w:r>
      <w:r w:rsidR="00AD4DAC">
        <w:t>D</w:t>
      </w:r>
      <w:r w:rsidR="00AD4DAC" w:rsidRPr="001048C9">
        <w:rPr>
          <w:smallCaps/>
        </w:rPr>
        <w:t>espret</w:t>
      </w:r>
      <w:r w:rsidR="00AD4DAC">
        <w:t xml:space="preserve">, « Le droit de propriété et le droit d’usufruit réformés », </w:t>
      </w:r>
      <w:r w:rsidR="00AD4DAC">
        <w:rPr>
          <w:i/>
          <w:iCs/>
        </w:rPr>
        <w:t xml:space="preserve">in </w:t>
      </w:r>
      <w:r w:rsidR="00AD4DAC">
        <w:t xml:space="preserve">N. Bernard (dir.), </w:t>
      </w:r>
      <w:r w:rsidR="00AD4DAC">
        <w:rPr>
          <w:i/>
          <w:iCs/>
        </w:rPr>
        <w:t>Le droit des biens réformé</w:t>
      </w:r>
      <w:r w:rsidR="00AD4DAC">
        <w:t xml:space="preserve">, Bruxelles, Larcier, 2020, p. 98, n° 36 ; </w:t>
      </w:r>
      <w:r w:rsidR="00AD4DAC" w:rsidRPr="009A7C41">
        <w:t xml:space="preserve">D. </w:t>
      </w:r>
      <w:r w:rsidR="00AD4DAC" w:rsidRPr="009A7C41">
        <w:rPr>
          <w:smallCaps/>
        </w:rPr>
        <w:t>Gruyaert, « </w:t>
      </w:r>
      <w:r w:rsidR="00AD4DAC" w:rsidRPr="009A7C41">
        <w:t xml:space="preserve">Eigendom », </w:t>
      </w:r>
      <w:r w:rsidR="00AD4DAC" w:rsidRPr="009A7C41">
        <w:rPr>
          <w:i/>
          <w:iCs/>
        </w:rPr>
        <w:t xml:space="preserve">in </w:t>
      </w:r>
      <w:r w:rsidR="00AD4DAC" w:rsidRPr="009A7C41">
        <w:t xml:space="preserve">V. Sagaert, J. Baeck, N. Carette, P. Lecocq, M. Muylle, A. Wylleman (dir.), </w:t>
      </w:r>
      <w:r w:rsidR="00AD4DAC" w:rsidRPr="009A7C41">
        <w:rPr>
          <w:i/>
          <w:iCs/>
        </w:rPr>
        <w:t>Het nieuwe goederenrecht</w:t>
      </w:r>
      <w:r w:rsidR="00AD4DAC" w:rsidRPr="009A7C41">
        <w:t>, Anvers, Intersentia, 2021, p. 276, n° 5</w:t>
      </w:r>
      <w:r w:rsidR="00FC2F85">
        <w:t>2.</w:t>
      </w:r>
    </w:p>
  </w:footnote>
  <w:footnote w:id="138">
    <w:p w14:paraId="2C2883A9" w14:textId="06254E41" w:rsidR="008526E6" w:rsidRDefault="008526E6">
      <w:pPr>
        <w:pStyle w:val="Notedebasdepage"/>
      </w:pPr>
      <w:r>
        <w:rPr>
          <w:rStyle w:val="Appelnotedebasdep"/>
        </w:rPr>
        <w:footnoteRef/>
      </w:r>
      <w:r>
        <w:t xml:space="preserve"> </w:t>
      </w:r>
      <w:r w:rsidR="00EE1D93">
        <w:t>A. D</w:t>
      </w:r>
      <w:r w:rsidR="00EE1D93" w:rsidRPr="001048C9">
        <w:rPr>
          <w:smallCaps/>
        </w:rPr>
        <w:t>espret</w:t>
      </w:r>
      <w:r w:rsidR="00EE1D93">
        <w:t xml:space="preserve">, « Le droit de propriété et le droit d’usufruit réformés », </w:t>
      </w:r>
      <w:r w:rsidR="00EE1D93">
        <w:rPr>
          <w:i/>
          <w:iCs/>
        </w:rPr>
        <w:t xml:space="preserve">in </w:t>
      </w:r>
      <w:r w:rsidR="00EE1D93">
        <w:t xml:space="preserve">N. Bernard (dir.), </w:t>
      </w:r>
      <w:r w:rsidR="00EE1D93">
        <w:rPr>
          <w:i/>
          <w:iCs/>
        </w:rPr>
        <w:t>Le droit des biens réformé</w:t>
      </w:r>
      <w:r w:rsidR="00EE1D93">
        <w:t>, Bruxelles, Larcier, 2020, p. 98, n° 36.</w:t>
      </w:r>
    </w:p>
  </w:footnote>
  <w:footnote w:id="139">
    <w:p w14:paraId="72814BE5" w14:textId="20677090" w:rsidR="003E67A1" w:rsidRDefault="003E67A1">
      <w:pPr>
        <w:pStyle w:val="Notedebasdepage"/>
      </w:pPr>
      <w:r>
        <w:rPr>
          <w:rStyle w:val="Appelnotedebasdep"/>
        </w:rPr>
        <w:footnoteRef/>
      </w:r>
      <w:r>
        <w:t xml:space="preserve"> Proposition de loi du 16 juillet 2019, Commentaire des articles, n° 55-0173/001, p. 1</w:t>
      </w:r>
      <w:r w:rsidR="00847D6D">
        <w:t>66</w:t>
      </w:r>
      <w:r>
        <w:t>.</w:t>
      </w:r>
    </w:p>
  </w:footnote>
  <w:footnote w:id="140">
    <w:p w14:paraId="36468C94" w14:textId="2B30A1B4" w:rsidR="00ED1D4B" w:rsidRDefault="00ED1D4B">
      <w:pPr>
        <w:pStyle w:val="Notedebasdepage"/>
      </w:pPr>
      <w:r>
        <w:rPr>
          <w:rStyle w:val="Appelnotedebasdep"/>
        </w:rPr>
        <w:footnoteRef/>
      </w:r>
      <w:r>
        <w:t xml:space="preserve"> </w:t>
      </w:r>
      <w:r w:rsidR="00D67BED">
        <w:t>Proposition de loi du 16 juillet 2019, Commentaire des articles, n° 55-0173/001, p. 166.</w:t>
      </w:r>
    </w:p>
  </w:footnote>
  <w:footnote w:id="141">
    <w:p w14:paraId="291BFF0F" w14:textId="789DFD13" w:rsidR="00CD7684" w:rsidRPr="00CD7684" w:rsidRDefault="00CD7684">
      <w:pPr>
        <w:pStyle w:val="Notedebasdepage"/>
      </w:pPr>
      <w:r>
        <w:rPr>
          <w:rStyle w:val="Appelnotedebasdep"/>
        </w:rPr>
        <w:footnoteRef/>
      </w:r>
      <w:r>
        <w:t xml:space="preserve"> Loi du 21 février 1983 relative à la vente de certains objets abandonnés, </w:t>
      </w:r>
      <w:r>
        <w:rPr>
          <w:i/>
          <w:iCs/>
        </w:rPr>
        <w:t>M.B.</w:t>
      </w:r>
      <w:r>
        <w:t xml:space="preserve">, </w:t>
      </w:r>
      <w:r w:rsidR="00981867">
        <w:t>2 avril 1983, p. 4175.</w:t>
      </w:r>
    </w:p>
  </w:footnote>
  <w:footnote w:id="142">
    <w:p w14:paraId="3C0E9580" w14:textId="70AD8F59" w:rsidR="00CD7684" w:rsidRDefault="00CD7684">
      <w:pPr>
        <w:pStyle w:val="Notedebasdepage"/>
      </w:pPr>
      <w:r>
        <w:rPr>
          <w:rStyle w:val="Appelnotedebasdep"/>
        </w:rPr>
        <w:footnoteRef/>
      </w:r>
      <w:r>
        <w:t xml:space="preserve"> </w:t>
      </w:r>
      <w:r w:rsidR="00981867">
        <w:t>L</w:t>
      </w:r>
      <w:r w:rsidR="00981867" w:rsidRPr="006B3855">
        <w:t xml:space="preserve">oi du 4 février 2020 portant le livre 3 </w:t>
      </w:r>
      <w:r w:rsidR="00981867">
        <w:t>« </w:t>
      </w:r>
      <w:r w:rsidR="00981867" w:rsidRPr="006B3855">
        <w:t>Les biens</w:t>
      </w:r>
      <w:r w:rsidR="00981867">
        <w:t> »</w:t>
      </w:r>
      <w:r w:rsidR="00981867" w:rsidRPr="006B3855">
        <w:t xml:space="preserve"> du Code civil</w:t>
      </w:r>
      <w:r w:rsidR="00981867">
        <w:t>, art. 3</w:t>
      </w:r>
      <w:r w:rsidR="00396DA2">
        <w:t>6</w:t>
      </w:r>
      <w:r w:rsidR="00981867">
        <w:t xml:space="preserve">, </w:t>
      </w:r>
      <w:r w:rsidR="00981867">
        <w:rPr>
          <w:i/>
          <w:iCs/>
        </w:rPr>
        <w:t>M.B.</w:t>
      </w:r>
      <w:r w:rsidR="00981867">
        <w:t>, 17 mars 2020, p. 15753.</w:t>
      </w:r>
    </w:p>
  </w:footnote>
  <w:footnote w:id="143">
    <w:p w14:paraId="3F313DBD" w14:textId="3C610149" w:rsidR="001B5F21" w:rsidRDefault="001B5F21">
      <w:pPr>
        <w:pStyle w:val="Notedebasdepage"/>
      </w:pPr>
      <w:r>
        <w:rPr>
          <w:rStyle w:val="Appelnotedebasdep"/>
        </w:rPr>
        <w:footnoteRef/>
      </w:r>
      <w:r>
        <w:t xml:space="preserve"> Lors des débats parlementaires, il fut précisé que les comptes bancaires ne sont pas visés </w:t>
      </w:r>
      <w:r w:rsidR="00555464">
        <w:t xml:space="preserve">par l’article 3.60 </w:t>
      </w:r>
      <w:r w:rsidR="00A4064D">
        <w:t>et qu’il n’est ainsi pas porté atteinte à l</w:t>
      </w:r>
      <w:r w:rsidR="00EE3F24">
        <w:t>a r</w:t>
      </w:r>
      <w:r w:rsidR="00E91B17">
        <w:t>é</w:t>
      </w:r>
      <w:r w:rsidR="00EE3F24">
        <w:t>glementation des comptes dormants portée par la</w:t>
      </w:r>
      <w:r w:rsidR="00A4064D">
        <w:t xml:space="preserve"> loi du 24 </w:t>
      </w:r>
      <w:r w:rsidR="00EE3F24">
        <w:t>juillet</w:t>
      </w:r>
      <w:r w:rsidR="00A4064D">
        <w:t xml:space="preserve"> 2008 porta</w:t>
      </w:r>
      <w:r w:rsidR="00EE3F24">
        <w:t>n</w:t>
      </w:r>
      <w:r w:rsidR="00A4064D">
        <w:t xml:space="preserve">t des dispositions diverses (I) </w:t>
      </w:r>
      <w:r w:rsidR="00555464">
        <w:t>(Proposition de loi du 16 juillet 2019</w:t>
      </w:r>
      <w:r w:rsidR="00C16E7B">
        <w:t>, Rapport de la première lecture fait au nom de la commission de la Justice par S. Van Hecke</w:t>
      </w:r>
      <w:r w:rsidR="00555464">
        <w:t>, n° 55-0173/004, p. 29)</w:t>
      </w:r>
      <w:r w:rsidR="00677128">
        <w:t>.</w:t>
      </w:r>
    </w:p>
  </w:footnote>
  <w:footnote w:id="144">
    <w:p w14:paraId="1950AC29" w14:textId="4DAD6202" w:rsidR="009739E1" w:rsidRDefault="009739E1">
      <w:pPr>
        <w:pStyle w:val="Notedebasdepage"/>
      </w:pPr>
      <w:r>
        <w:rPr>
          <w:rStyle w:val="Appelnotedebasdep"/>
        </w:rPr>
        <w:footnoteRef/>
      </w:r>
      <w:r>
        <w:t xml:space="preserve"> </w:t>
      </w:r>
      <w:r w:rsidR="00B441C0">
        <w:t>Proposition de loi du 16 juillet 2019, Amendement n° 16 de M. Verherstraeten et consorts, n° 55-0173/002, p. 21.</w:t>
      </w:r>
    </w:p>
  </w:footnote>
  <w:footnote w:id="145">
    <w:p w14:paraId="535D6F66" w14:textId="2A7DC5D6" w:rsidR="004756F7" w:rsidRDefault="004756F7">
      <w:pPr>
        <w:pStyle w:val="Notedebasdepage"/>
      </w:pPr>
      <w:r>
        <w:rPr>
          <w:rStyle w:val="Appelnotedebasdep"/>
        </w:rPr>
        <w:footnoteRef/>
      </w:r>
      <w:r>
        <w:t xml:space="preserve"> Ni le délai exceptionnel de six mois qui prévalait pour les voitures sous l’empire de la loi précitée du 21 février 1983 (art. 2), ni celui de </w:t>
      </w:r>
      <w:proofErr w:type="gramStart"/>
      <w:r>
        <w:t>trois</w:t>
      </w:r>
      <w:r w:rsidR="00D47FD8">
        <w:t xml:space="preserve"> mois a</w:t>
      </w:r>
      <w:r>
        <w:t>pplicable</w:t>
      </w:r>
      <w:proofErr w:type="gramEnd"/>
      <w:r>
        <w:t xml:space="preserve"> aux vélos trouvés </w:t>
      </w:r>
      <w:r w:rsidR="00433C4B">
        <w:t>dans le nouveau Code civil</w:t>
      </w:r>
      <w:r w:rsidR="00B43AEC">
        <w:t xml:space="preserve"> </w:t>
      </w:r>
      <w:r>
        <w:t>(C. civ., art. 3.58</w:t>
      </w:r>
      <w:r w:rsidR="00D47FD8">
        <w:t>, § 3) ne sont repris à l’article 3.60 du Code civil.</w:t>
      </w:r>
    </w:p>
  </w:footnote>
  <w:footnote w:id="146">
    <w:p w14:paraId="234F26BF" w14:textId="124EF2AA" w:rsidR="00A66DCA" w:rsidRDefault="00A66DCA">
      <w:pPr>
        <w:pStyle w:val="Notedebasdepage"/>
      </w:pPr>
      <w:r>
        <w:rPr>
          <w:rStyle w:val="Appelnotedebasdep"/>
        </w:rPr>
        <w:footnoteRef/>
      </w:r>
      <w:r>
        <w:t xml:space="preserve"> N. </w:t>
      </w:r>
      <w:r>
        <w:rPr>
          <w:smallCaps/>
        </w:rPr>
        <w:t xml:space="preserve">Bernard, </w:t>
      </w:r>
      <w:r>
        <w:t xml:space="preserve">« Titre 3. Le droit de propriété », </w:t>
      </w:r>
      <w:r>
        <w:rPr>
          <w:i/>
          <w:iCs/>
        </w:rPr>
        <w:t xml:space="preserve">in </w:t>
      </w:r>
      <w:r w:rsidRPr="00B15C97">
        <w:t>P. Lecocq</w:t>
      </w:r>
      <w:r>
        <w:t xml:space="preserve">, I. Durant, N. Bernard, B. Michaux, J.-Fr. Romain (dir.), </w:t>
      </w:r>
      <w:r>
        <w:rPr>
          <w:i/>
          <w:iCs/>
        </w:rPr>
        <w:t>Le nouveau droit des biens</w:t>
      </w:r>
      <w:r>
        <w:t>, Bruxelles, Larcier, 2020, p. 116, n° 61.</w:t>
      </w:r>
    </w:p>
  </w:footnote>
  <w:footnote w:id="147">
    <w:p w14:paraId="7C89DA50" w14:textId="28ECDA10" w:rsidR="002A79E8" w:rsidRDefault="002A79E8">
      <w:pPr>
        <w:pStyle w:val="Notedebasdepage"/>
      </w:pPr>
      <w:r>
        <w:rPr>
          <w:rStyle w:val="Appelnotedebasdep"/>
        </w:rPr>
        <w:footnoteRef/>
      </w:r>
      <w:r>
        <w:t xml:space="preserve"> N. </w:t>
      </w:r>
      <w:r>
        <w:rPr>
          <w:smallCaps/>
        </w:rPr>
        <w:t xml:space="preserve">Bernard, </w:t>
      </w:r>
      <w:r>
        <w:t xml:space="preserve">« Titre 3. Le droit de propriété », </w:t>
      </w:r>
      <w:r>
        <w:rPr>
          <w:i/>
          <w:iCs/>
        </w:rPr>
        <w:t xml:space="preserve">in </w:t>
      </w:r>
      <w:r w:rsidRPr="00B15C97">
        <w:t>P. Lecocq</w:t>
      </w:r>
      <w:r>
        <w:t xml:space="preserve">, I. Durant, N. Bernard, B. Michaux, J.-Fr. Romain (dir.), </w:t>
      </w:r>
      <w:r>
        <w:rPr>
          <w:i/>
          <w:iCs/>
        </w:rPr>
        <w:t>Le nouveau droit des biens</w:t>
      </w:r>
      <w:r>
        <w:t>, Bruxelles, Larcier, 2020, p. 11</w:t>
      </w:r>
      <w:r w:rsidR="0097164C">
        <w:t>5</w:t>
      </w:r>
      <w:r>
        <w:t>, n° 61.</w:t>
      </w:r>
    </w:p>
  </w:footnote>
  <w:footnote w:id="148">
    <w:p w14:paraId="67E3398C" w14:textId="677370CA" w:rsidR="00D47FD8" w:rsidRDefault="00D47FD8">
      <w:pPr>
        <w:pStyle w:val="Notedebasdepage"/>
      </w:pPr>
      <w:r>
        <w:rPr>
          <w:rStyle w:val="Appelnotedebasdep"/>
        </w:rPr>
        <w:footnoteRef/>
      </w:r>
      <w:r>
        <w:t xml:space="preserve"> Cette forme passive, </w:t>
      </w:r>
      <w:r w:rsidR="004A075F">
        <w:t>qui est sans doute un héritage</w:t>
      </w:r>
      <w:r w:rsidR="007540C2">
        <w:t xml:space="preserve"> </w:t>
      </w:r>
      <w:r>
        <w:t xml:space="preserve">de la loi du 21 février 1983 </w:t>
      </w:r>
      <w:r w:rsidR="004A075F">
        <w:t>imposant</w:t>
      </w:r>
      <w:r>
        <w:t xml:space="preserve"> le recours à un huissier pour la vente (art.</w:t>
      </w:r>
      <w:r w:rsidR="004A075F">
        <w:t xml:space="preserve"> 4), est étonnante dans la mesure où le détenteur semble devoir procéder lui-même à la vente en vertu du deuxième alinéa de l’article 3.60 (N. </w:t>
      </w:r>
      <w:r w:rsidR="004A075F">
        <w:rPr>
          <w:smallCaps/>
        </w:rPr>
        <w:t xml:space="preserve">Bernard, </w:t>
      </w:r>
      <w:r w:rsidR="004A075F">
        <w:t xml:space="preserve">« Titre 3. Le droit de propriété », </w:t>
      </w:r>
      <w:r w:rsidR="004A075F">
        <w:rPr>
          <w:i/>
          <w:iCs/>
        </w:rPr>
        <w:t xml:space="preserve">in </w:t>
      </w:r>
      <w:r w:rsidR="004A075F" w:rsidRPr="00B15C97">
        <w:t>P. Lecocq</w:t>
      </w:r>
      <w:r w:rsidR="004A075F">
        <w:t xml:space="preserve">, I. Durant, N. Bernard, B. Michaux, J.-Fr. Romain (dir.), </w:t>
      </w:r>
      <w:r w:rsidR="004A075F">
        <w:rPr>
          <w:i/>
          <w:iCs/>
        </w:rPr>
        <w:t>Le nouveau droit des biens</w:t>
      </w:r>
      <w:r w:rsidR="004A075F">
        <w:t>, Bruxelles, Larcier, 2020, p. 116, n° 62).</w:t>
      </w:r>
    </w:p>
  </w:footnote>
  <w:footnote w:id="149">
    <w:p w14:paraId="52D8B54D" w14:textId="3F985817" w:rsidR="000A61FE" w:rsidRDefault="000A61FE">
      <w:pPr>
        <w:pStyle w:val="Notedebasdepage"/>
      </w:pPr>
      <w:r>
        <w:rPr>
          <w:rStyle w:val="Appelnotedebasdep"/>
        </w:rPr>
        <w:footnoteRef/>
      </w:r>
      <w:r>
        <w:t xml:space="preserve"> Proposition de loi du 16 juillet 2019, Rapport de la première lecture fait au nom de la commission de la Justice par S. Van Hecke, n° 55-0173/004, p. 28.</w:t>
      </w:r>
    </w:p>
  </w:footnote>
  <w:footnote w:id="150">
    <w:p w14:paraId="6A69A473" w14:textId="0853735C" w:rsidR="00E636F4" w:rsidRPr="00E636F4" w:rsidRDefault="00E636F4">
      <w:pPr>
        <w:pStyle w:val="Notedebasdepage"/>
        <w:rPr>
          <w:lang w:val="nl-BE"/>
        </w:rPr>
      </w:pPr>
      <w:r>
        <w:rPr>
          <w:rStyle w:val="Appelnotedebasdep"/>
        </w:rPr>
        <w:footnoteRef/>
      </w:r>
      <w:r w:rsidRPr="00E636F4">
        <w:rPr>
          <w:lang w:val="nl-BE"/>
        </w:rPr>
        <w:t xml:space="preserve"> </w:t>
      </w:r>
      <w:r w:rsidRPr="003C7FAD">
        <w:rPr>
          <w:lang w:val="nl-BE"/>
        </w:rPr>
        <w:t xml:space="preserve">Ch. </w:t>
      </w:r>
      <w:r w:rsidRPr="003C7FAD">
        <w:rPr>
          <w:smallCaps/>
          <w:lang w:val="nl-BE"/>
        </w:rPr>
        <w:t>De</w:t>
      </w:r>
      <w:r>
        <w:rPr>
          <w:smallCaps/>
          <w:lang w:val="nl-BE"/>
        </w:rPr>
        <w:t xml:space="preserve"> W</w:t>
      </w:r>
      <w:r w:rsidRPr="003C7FAD">
        <w:rPr>
          <w:smallCaps/>
          <w:lang w:val="nl-BE"/>
        </w:rPr>
        <w:t>ulf</w:t>
      </w:r>
      <w:r w:rsidRPr="003C7FAD">
        <w:rPr>
          <w:lang w:val="nl-BE"/>
        </w:rPr>
        <w:t xml:space="preserve">, « Inleiding tot het nieuwe goederenrecht », </w:t>
      </w:r>
      <w:r w:rsidRPr="003C7FAD">
        <w:rPr>
          <w:i/>
          <w:iCs/>
          <w:lang w:val="nl-BE"/>
        </w:rPr>
        <w:t xml:space="preserve">T. </w:t>
      </w:r>
      <w:r>
        <w:rPr>
          <w:i/>
          <w:iCs/>
          <w:lang w:val="nl-BE"/>
        </w:rPr>
        <w:t>not.</w:t>
      </w:r>
      <w:r>
        <w:rPr>
          <w:lang w:val="nl-BE"/>
        </w:rPr>
        <w:t xml:space="preserve">, 2020, </w:t>
      </w:r>
      <w:r w:rsidRPr="003C7FAD">
        <w:rPr>
          <w:lang w:val="nl-BE"/>
        </w:rPr>
        <w:t>p. 72</w:t>
      </w:r>
      <w:r>
        <w:rPr>
          <w:lang w:val="nl-BE"/>
        </w:rPr>
        <w:t xml:space="preserve">2, n° </w:t>
      </w:r>
      <w:r w:rsidR="00190C5F">
        <w:rPr>
          <w:lang w:val="nl-BE"/>
        </w:rPr>
        <w:t>53.</w:t>
      </w:r>
    </w:p>
  </w:footnote>
  <w:footnote w:id="151">
    <w:p w14:paraId="47FC24F3" w14:textId="0370AB22" w:rsidR="008B70DB" w:rsidRDefault="008B70DB">
      <w:pPr>
        <w:pStyle w:val="Notedebasdepage"/>
      </w:pPr>
      <w:r>
        <w:rPr>
          <w:rStyle w:val="Appelnotedebasdep"/>
        </w:rPr>
        <w:footnoteRef/>
      </w:r>
      <w:r>
        <w:t xml:space="preserve"> L</w:t>
      </w:r>
      <w:r w:rsidRPr="006B3855">
        <w:t xml:space="preserve">oi du 4 février 2020 portant le livre 3 </w:t>
      </w:r>
      <w:r>
        <w:t>« </w:t>
      </w:r>
      <w:r w:rsidRPr="006B3855">
        <w:t>Les biens</w:t>
      </w:r>
      <w:r>
        <w:t> »</w:t>
      </w:r>
      <w:r w:rsidRPr="006B3855">
        <w:t xml:space="preserve"> du Code civil</w:t>
      </w:r>
      <w:r>
        <w:t xml:space="preserve">, art. 37 et 38, </w:t>
      </w:r>
      <w:r>
        <w:rPr>
          <w:i/>
          <w:iCs/>
        </w:rPr>
        <w:t>M.B.</w:t>
      </w:r>
      <w:r>
        <w:t>, 17 mars 2020, p. 15753.</w:t>
      </w:r>
    </w:p>
  </w:footnote>
  <w:footnote w:id="152">
    <w:p w14:paraId="50F6E0B1" w14:textId="1840839B" w:rsidR="00716E87" w:rsidRDefault="00716E87">
      <w:pPr>
        <w:pStyle w:val="Notedebasdepage"/>
      </w:pPr>
      <w:r>
        <w:rPr>
          <w:rStyle w:val="Appelnotedebasdep"/>
        </w:rPr>
        <w:footnoteRef/>
      </w:r>
      <w:r>
        <w:t xml:space="preserve"> En matière d’empiètement</w:t>
      </w:r>
      <w:r w:rsidR="00FE0D62">
        <w:t xml:space="preserve"> (</w:t>
      </w:r>
      <w:r w:rsidR="00FE0D62" w:rsidRPr="00FE0D62">
        <w:rPr>
          <w:i/>
          <w:iCs/>
        </w:rPr>
        <w:t>supra</w:t>
      </w:r>
      <w:r w:rsidR="00FE0D62">
        <w:t xml:space="preserve">, n° </w:t>
      </w:r>
      <w:r w:rsidR="006D4B66">
        <w:t>24</w:t>
      </w:r>
      <w:r w:rsidR="00FE0D62">
        <w:t xml:space="preserve">) </w:t>
      </w:r>
      <w:r w:rsidR="00FE0D62" w:rsidRPr="00FE0D62">
        <w:t>ou</w:t>
      </w:r>
      <w:r w:rsidR="00FE0D62">
        <w:t xml:space="preserve"> de restriction au pouvoir de disposition (</w:t>
      </w:r>
      <w:r w:rsidR="00FE0D62">
        <w:rPr>
          <w:i/>
          <w:iCs/>
        </w:rPr>
        <w:t>supra</w:t>
      </w:r>
      <w:r w:rsidR="00FE0D62">
        <w:t>, n°</w:t>
      </w:r>
      <w:r w:rsidR="006D4B66">
        <w:t xml:space="preserve"> 10</w:t>
      </w:r>
      <w:r w:rsidR="00FE0D62">
        <w:t>)</w:t>
      </w:r>
      <w:r>
        <w:t>, par exemple.</w:t>
      </w:r>
    </w:p>
  </w:footnote>
  <w:footnote w:id="153">
    <w:p w14:paraId="281396C7" w14:textId="1E91AE3A" w:rsidR="005468E5" w:rsidRPr="005468E5" w:rsidRDefault="005468E5">
      <w:pPr>
        <w:pStyle w:val="Notedebasdepage"/>
      </w:pPr>
      <w:r>
        <w:rPr>
          <w:rStyle w:val="Appelnotedebasdep"/>
        </w:rPr>
        <w:footnoteRef/>
      </w:r>
      <w:r>
        <w:t xml:space="preserve"> </w:t>
      </w:r>
      <w:r w:rsidR="00D00457">
        <w:t>En particulier, l</w:t>
      </w:r>
      <w:r>
        <w:t>e Code rural (</w:t>
      </w:r>
      <w:r>
        <w:rPr>
          <w:i/>
          <w:iCs/>
        </w:rPr>
        <w:t>supra</w:t>
      </w:r>
      <w:r>
        <w:t xml:space="preserve">, n° </w:t>
      </w:r>
      <w:r w:rsidR="00F40EDE">
        <w:t>9 et 16)</w:t>
      </w:r>
      <w:r>
        <w:t>, la loi du 30 décembre 1975 (</w:t>
      </w:r>
      <w:r>
        <w:rPr>
          <w:i/>
          <w:iCs/>
        </w:rPr>
        <w:t>supra</w:t>
      </w:r>
      <w:r>
        <w:t xml:space="preserve">, n° </w:t>
      </w:r>
      <w:r w:rsidR="00631872">
        <w:t>27</w:t>
      </w:r>
      <w:r>
        <w:t>) et celle du 21 février 1983 (</w:t>
      </w:r>
      <w:r>
        <w:rPr>
          <w:i/>
          <w:iCs/>
        </w:rPr>
        <w:t>supra</w:t>
      </w:r>
      <w:r>
        <w:t>, n°</w:t>
      </w:r>
      <w:r w:rsidR="00631872">
        <w:t xml:space="preserve"> 36</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A05DB1"/>
    <w:multiLevelType w:val="hybridMultilevel"/>
    <w:tmpl w:val="3C2A9AA4"/>
    <w:lvl w:ilvl="0" w:tplc="74C64F68">
      <w:start w:val="1"/>
      <w:numFmt w:val="decimal"/>
      <w:lvlText w:val="Chapitre %1."/>
      <w:lvlJc w:val="left"/>
      <w:pPr>
        <w:ind w:left="720" w:hanging="360"/>
      </w:pPr>
      <w:rPr>
        <w:rFonts w:hint="default"/>
      </w:rPr>
    </w:lvl>
    <w:lvl w:ilvl="1" w:tplc="96304B50">
      <w:start w:val="1"/>
      <w:numFmt w:val="decimal"/>
      <w:lvlText w:val="Section %2."/>
      <w:lvlJc w:val="left"/>
      <w:pPr>
        <w:ind w:left="1440" w:hanging="360"/>
      </w:pPr>
      <w:rPr>
        <w:rFonts w:hint="default"/>
        <w:i w:val="0"/>
      </w:rPr>
    </w:lvl>
    <w:lvl w:ilvl="2" w:tplc="C50A8C38">
      <w:start w:val="1"/>
      <w:numFmt w:val="decimal"/>
      <w:lvlText w:val="§ %3."/>
      <w:lvlJc w:val="righ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505173F"/>
    <w:multiLevelType w:val="hybridMultilevel"/>
    <w:tmpl w:val="32E03A08"/>
    <w:lvl w:ilvl="0" w:tplc="74C64F68">
      <w:start w:val="1"/>
      <w:numFmt w:val="decimal"/>
      <w:lvlText w:val="Chapitre %1."/>
      <w:lvlJc w:val="left"/>
      <w:pPr>
        <w:ind w:left="720" w:hanging="360"/>
      </w:pPr>
      <w:rPr>
        <w:rFonts w:hint="default"/>
      </w:rPr>
    </w:lvl>
    <w:lvl w:ilvl="1" w:tplc="96304B50">
      <w:start w:val="1"/>
      <w:numFmt w:val="decimal"/>
      <w:lvlText w:val="Section %2."/>
      <w:lvlJc w:val="left"/>
      <w:pPr>
        <w:ind w:left="1440" w:hanging="360"/>
      </w:pPr>
      <w:rPr>
        <w:rFonts w:hint="default"/>
        <w:i w:val="0"/>
      </w:rPr>
    </w:lvl>
    <w:lvl w:ilvl="2" w:tplc="C50A8C38">
      <w:start w:val="1"/>
      <w:numFmt w:val="decimal"/>
      <w:lvlText w:val="§ %3."/>
      <w:lvlJc w:val="righ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7224C56"/>
    <w:multiLevelType w:val="hybridMultilevel"/>
    <w:tmpl w:val="8FF64604"/>
    <w:lvl w:ilvl="0" w:tplc="96304B50">
      <w:start w:val="1"/>
      <w:numFmt w:val="decimal"/>
      <w:lvlText w:val="Section %1."/>
      <w:lvlJc w:val="left"/>
      <w:pPr>
        <w:ind w:left="144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0437DC7"/>
    <w:multiLevelType w:val="hybridMultilevel"/>
    <w:tmpl w:val="06203C12"/>
    <w:lvl w:ilvl="0" w:tplc="C50A8C38">
      <w:start w:val="1"/>
      <w:numFmt w:val="decimal"/>
      <w:lvlText w:val="§ %1."/>
      <w:lvlJc w:val="right"/>
      <w:pPr>
        <w:ind w:left="2160" w:hanging="1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AA303EE"/>
    <w:multiLevelType w:val="hybridMultilevel"/>
    <w:tmpl w:val="494EA1C4"/>
    <w:lvl w:ilvl="0" w:tplc="0026ED0C">
      <w:start w:val="1"/>
      <w:numFmt w:val="decimal"/>
      <w:lvlText w:val="Chapitre %1."/>
      <w:lvlJc w:val="left"/>
      <w:pPr>
        <w:ind w:left="720" w:hanging="360"/>
      </w:pPr>
      <w:rPr>
        <w:rFonts w:hint="default"/>
        <w:sz w:val="28"/>
        <w:szCs w:val="28"/>
      </w:rPr>
    </w:lvl>
    <w:lvl w:ilvl="1" w:tplc="96304B50">
      <w:start w:val="1"/>
      <w:numFmt w:val="decimal"/>
      <w:lvlText w:val="Section %2."/>
      <w:lvlJc w:val="left"/>
      <w:pPr>
        <w:ind w:left="1440" w:hanging="360"/>
      </w:pPr>
      <w:rPr>
        <w:rFonts w:hint="default"/>
        <w:i w:val="0"/>
      </w:rPr>
    </w:lvl>
    <w:lvl w:ilvl="2" w:tplc="C50A8C38">
      <w:start w:val="1"/>
      <w:numFmt w:val="decimal"/>
      <w:lvlText w:val="§ %3."/>
      <w:lvlJc w:val="righ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D2D"/>
    <w:rsid w:val="00003301"/>
    <w:rsid w:val="0000460E"/>
    <w:rsid w:val="00004E1B"/>
    <w:rsid w:val="000050D1"/>
    <w:rsid w:val="000056BF"/>
    <w:rsid w:val="00014E51"/>
    <w:rsid w:val="00015556"/>
    <w:rsid w:val="00016DF5"/>
    <w:rsid w:val="00017111"/>
    <w:rsid w:val="00017326"/>
    <w:rsid w:val="000219B1"/>
    <w:rsid w:val="00022E83"/>
    <w:rsid w:val="0002336F"/>
    <w:rsid w:val="00023699"/>
    <w:rsid w:val="00025BAD"/>
    <w:rsid w:val="00030E07"/>
    <w:rsid w:val="00031CA8"/>
    <w:rsid w:val="00032B62"/>
    <w:rsid w:val="000338F3"/>
    <w:rsid w:val="00034279"/>
    <w:rsid w:val="0003469E"/>
    <w:rsid w:val="00035D22"/>
    <w:rsid w:val="00037826"/>
    <w:rsid w:val="00040206"/>
    <w:rsid w:val="000404BE"/>
    <w:rsid w:val="000405B9"/>
    <w:rsid w:val="000422C2"/>
    <w:rsid w:val="00043C2E"/>
    <w:rsid w:val="0004518A"/>
    <w:rsid w:val="000451A5"/>
    <w:rsid w:val="000456FC"/>
    <w:rsid w:val="00045A00"/>
    <w:rsid w:val="00045AFE"/>
    <w:rsid w:val="00046870"/>
    <w:rsid w:val="0004690B"/>
    <w:rsid w:val="000500E0"/>
    <w:rsid w:val="00050C61"/>
    <w:rsid w:val="0005108D"/>
    <w:rsid w:val="00053660"/>
    <w:rsid w:val="000543B0"/>
    <w:rsid w:val="000549F2"/>
    <w:rsid w:val="00054FF6"/>
    <w:rsid w:val="00055020"/>
    <w:rsid w:val="000552BE"/>
    <w:rsid w:val="0005670D"/>
    <w:rsid w:val="00057C22"/>
    <w:rsid w:val="00057FF4"/>
    <w:rsid w:val="00060755"/>
    <w:rsid w:val="00061117"/>
    <w:rsid w:val="000612FC"/>
    <w:rsid w:val="0006210B"/>
    <w:rsid w:val="0006276E"/>
    <w:rsid w:val="00062971"/>
    <w:rsid w:val="00062D9B"/>
    <w:rsid w:val="000633A7"/>
    <w:rsid w:val="00064E13"/>
    <w:rsid w:val="000656AA"/>
    <w:rsid w:val="00065948"/>
    <w:rsid w:val="00065FE3"/>
    <w:rsid w:val="000670AA"/>
    <w:rsid w:val="000677E2"/>
    <w:rsid w:val="00071657"/>
    <w:rsid w:val="000718D6"/>
    <w:rsid w:val="000730D6"/>
    <w:rsid w:val="00074D10"/>
    <w:rsid w:val="00075431"/>
    <w:rsid w:val="00075726"/>
    <w:rsid w:val="00076877"/>
    <w:rsid w:val="000768DD"/>
    <w:rsid w:val="00084AE2"/>
    <w:rsid w:val="00087C7F"/>
    <w:rsid w:val="0009119E"/>
    <w:rsid w:val="00091B03"/>
    <w:rsid w:val="00091C82"/>
    <w:rsid w:val="000938E0"/>
    <w:rsid w:val="00094484"/>
    <w:rsid w:val="000948CF"/>
    <w:rsid w:val="00094C97"/>
    <w:rsid w:val="00094FD4"/>
    <w:rsid w:val="00095353"/>
    <w:rsid w:val="00095930"/>
    <w:rsid w:val="00095A2B"/>
    <w:rsid w:val="00096D68"/>
    <w:rsid w:val="00097433"/>
    <w:rsid w:val="00097DAC"/>
    <w:rsid w:val="000A0D08"/>
    <w:rsid w:val="000A0E28"/>
    <w:rsid w:val="000A31E8"/>
    <w:rsid w:val="000A4506"/>
    <w:rsid w:val="000A4825"/>
    <w:rsid w:val="000A4DA1"/>
    <w:rsid w:val="000A5D82"/>
    <w:rsid w:val="000A61FE"/>
    <w:rsid w:val="000A76EC"/>
    <w:rsid w:val="000B0EE5"/>
    <w:rsid w:val="000B0F79"/>
    <w:rsid w:val="000B1943"/>
    <w:rsid w:val="000B2E29"/>
    <w:rsid w:val="000B351D"/>
    <w:rsid w:val="000B370B"/>
    <w:rsid w:val="000B3CFD"/>
    <w:rsid w:val="000B48B8"/>
    <w:rsid w:val="000B6F49"/>
    <w:rsid w:val="000B7571"/>
    <w:rsid w:val="000C0775"/>
    <w:rsid w:val="000C2BDF"/>
    <w:rsid w:val="000C3725"/>
    <w:rsid w:val="000C55BA"/>
    <w:rsid w:val="000C572C"/>
    <w:rsid w:val="000C65F5"/>
    <w:rsid w:val="000C6CC3"/>
    <w:rsid w:val="000C7E49"/>
    <w:rsid w:val="000D6B7C"/>
    <w:rsid w:val="000D7AA1"/>
    <w:rsid w:val="000E0E51"/>
    <w:rsid w:val="000E2169"/>
    <w:rsid w:val="000E52DE"/>
    <w:rsid w:val="000E60B4"/>
    <w:rsid w:val="000E7614"/>
    <w:rsid w:val="000F1BED"/>
    <w:rsid w:val="000F1F74"/>
    <w:rsid w:val="000F3982"/>
    <w:rsid w:val="000F4002"/>
    <w:rsid w:val="000F422B"/>
    <w:rsid w:val="000F48EF"/>
    <w:rsid w:val="000F4BEA"/>
    <w:rsid w:val="000F5BDF"/>
    <w:rsid w:val="000F61D8"/>
    <w:rsid w:val="00100DEF"/>
    <w:rsid w:val="00101E50"/>
    <w:rsid w:val="001037B7"/>
    <w:rsid w:val="001048C9"/>
    <w:rsid w:val="001060CD"/>
    <w:rsid w:val="0010734D"/>
    <w:rsid w:val="00110EB4"/>
    <w:rsid w:val="0011158C"/>
    <w:rsid w:val="00114BB3"/>
    <w:rsid w:val="0011571C"/>
    <w:rsid w:val="00116B3B"/>
    <w:rsid w:val="00116F0C"/>
    <w:rsid w:val="00116F5A"/>
    <w:rsid w:val="00117250"/>
    <w:rsid w:val="00117B2D"/>
    <w:rsid w:val="00122280"/>
    <w:rsid w:val="001222FA"/>
    <w:rsid w:val="001223DF"/>
    <w:rsid w:val="00127F05"/>
    <w:rsid w:val="001310DF"/>
    <w:rsid w:val="001323DD"/>
    <w:rsid w:val="0013476B"/>
    <w:rsid w:val="0014181E"/>
    <w:rsid w:val="00141AFD"/>
    <w:rsid w:val="00142259"/>
    <w:rsid w:val="0014265D"/>
    <w:rsid w:val="001441DD"/>
    <w:rsid w:val="00144255"/>
    <w:rsid w:val="0014489F"/>
    <w:rsid w:val="00144B87"/>
    <w:rsid w:val="00147530"/>
    <w:rsid w:val="00147666"/>
    <w:rsid w:val="00150348"/>
    <w:rsid w:val="00150619"/>
    <w:rsid w:val="001523E7"/>
    <w:rsid w:val="001526F8"/>
    <w:rsid w:val="00153190"/>
    <w:rsid w:val="001538D4"/>
    <w:rsid w:val="00154425"/>
    <w:rsid w:val="00154B0C"/>
    <w:rsid w:val="00154E85"/>
    <w:rsid w:val="00155492"/>
    <w:rsid w:val="00155B4A"/>
    <w:rsid w:val="00156751"/>
    <w:rsid w:val="00157D35"/>
    <w:rsid w:val="001615A3"/>
    <w:rsid w:val="00163719"/>
    <w:rsid w:val="0016471A"/>
    <w:rsid w:val="00165D0D"/>
    <w:rsid w:val="00165F8A"/>
    <w:rsid w:val="001661C4"/>
    <w:rsid w:val="00166C02"/>
    <w:rsid w:val="00166E11"/>
    <w:rsid w:val="00167332"/>
    <w:rsid w:val="001723D2"/>
    <w:rsid w:val="00172851"/>
    <w:rsid w:val="00172A0D"/>
    <w:rsid w:val="00172B1F"/>
    <w:rsid w:val="00173932"/>
    <w:rsid w:val="001754C0"/>
    <w:rsid w:val="0017630E"/>
    <w:rsid w:val="001766F4"/>
    <w:rsid w:val="00177BE6"/>
    <w:rsid w:val="00177D8C"/>
    <w:rsid w:val="00181738"/>
    <w:rsid w:val="00181756"/>
    <w:rsid w:val="00183818"/>
    <w:rsid w:val="0018430D"/>
    <w:rsid w:val="00186E1A"/>
    <w:rsid w:val="00187653"/>
    <w:rsid w:val="001906AA"/>
    <w:rsid w:val="00190770"/>
    <w:rsid w:val="00190C5F"/>
    <w:rsid w:val="00197A5F"/>
    <w:rsid w:val="001A1E4D"/>
    <w:rsid w:val="001A211C"/>
    <w:rsid w:val="001A2D68"/>
    <w:rsid w:val="001A3D66"/>
    <w:rsid w:val="001A4FBD"/>
    <w:rsid w:val="001A6E12"/>
    <w:rsid w:val="001A772C"/>
    <w:rsid w:val="001B01F5"/>
    <w:rsid w:val="001B0260"/>
    <w:rsid w:val="001B0D73"/>
    <w:rsid w:val="001B5776"/>
    <w:rsid w:val="001B5A52"/>
    <w:rsid w:val="001B5E0B"/>
    <w:rsid w:val="001B5F21"/>
    <w:rsid w:val="001C0831"/>
    <w:rsid w:val="001C2394"/>
    <w:rsid w:val="001C29A1"/>
    <w:rsid w:val="001C2EB0"/>
    <w:rsid w:val="001C45F3"/>
    <w:rsid w:val="001C6112"/>
    <w:rsid w:val="001D02BA"/>
    <w:rsid w:val="001D25DF"/>
    <w:rsid w:val="001D5801"/>
    <w:rsid w:val="001D6618"/>
    <w:rsid w:val="001D67A3"/>
    <w:rsid w:val="001D759F"/>
    <w:rsid w:val="001E0E2E"/>
    <w:rsid w:val="001E0E94"/>
    <w:rsid w:val="001E2143"/>
    <w:rsid w:val="001E2BB4"/>
    <w:rsid w:val="001E2D96"/>
    <w:rsid w:val="001E4006"/>
    <w:rsid w:val="001E7F85"/>
    <w:rsid w:val="001F0730"/>
    <w:rsid w:val="001F2FA5"/>
    <w:rsid w:val="001F35EA"/>
    <w:rsid w:val="001F38C5"/>
    <w:rsid w:val="001F4187"/>
    <w:rsid w:val="001F4932"/>
    <w:rsid w:val="001F5628"/>
    <w:rsid w:val="001F60AA"/>
    <w:rsid w:val="001F617B"/>
    <w:rsid w:val="001F6337"/>
    <w:rsid w:val="001F6A98"/>
    <w:rsid w:val="00200084"/>
    <w:rsid w:val="00200AE9"/>
    <w:rsid w:val="00202335"/>
    <w:rsid w:val="00202949"/>
    <w:rsid w:val="002029B3"/>
    <w:rsid w:val="00204C09"/>
    <w:rsid w:val="00207992"/>
    <w:rsid w:val="002129DE"/>
    <w:rsid w:val="00212EC5"/>
    <w:rsid w:val="0021488F"/>
    <w:rsid w:val="00215892"/>
    <w:rsid w:val="00216AA7"/>
    <w:rsid w:val="00216E4E"/>
    <w:rsid w:val="00216E88"/>
    <w:rsid w:val="00217056"/>
    <w:rsid w:val="002219AE"/>
    <w:rsid w:val="0022295E"/>
    <w:rsid w:val="0022347F"/>
    <w:rsid w:val="0022381B"/>
    <w:rsid w:val="00224E95"/>
    <w:rsid w:val="0022569C"/>
    <w:rsid w:val="002259B2"/>
    <w:rsid w:val="0022699F"/>
    <w:rsid w:val="0022755C"/>
    <w:rsid w:val="002300FC"/>
    <w:rsid w:val="00231A2C"/>
    <w:rsid w:val="00232DAA"/>
    <w:rsid w:val="00233A3F"/>
    <w:rsid w:val="00234749"/>
    <w:rsid w:val="00236205"/>
    <w:rsid w:val="00237612"/>
    <w:rsid w:val="002379CB"/>
    <w:rsid w:val="0024087D"/>
    <w:rsid w:val="002420CF"/>
    <w:rsid w:val="002424EC"/>
    <w:rsid w:val="00242D03"/>
    <w:rsid w:val="00243682"/>
    <w:rsid w:val="00243949"/>
    <w:rsid w:val="00244E4E"/>
    <w:rsid w:val="00245B83"/>
    <w:rsid w:val="00247295"/>
    <w:rsid w:val="0024733A"/>
    <w:rsid w:val="00255F9E"/>
    <w:rsid w:val="0025686A"/>
    <w:rsid w:val="00256B40"/>
    <w:rsid w:val="00256CBB"/>
    <w:rsid w:val="00262810"/>
    <w:rsid w:val="0026300E"/>
    <w:rsid w:val="00264863"/>
    <w:rsid w:val="00264A75"/>
    <w:rsid w:val="00264B38"/>
    <w:rsid w:val="00264E6F"/>
    <w:rsid w:val="00265C29"/>
    <w:rsid w:val="00266D1A"/>
    <w:rsid w:val="00266D36"/>
    <w:rsid w:val="00266D40"/>
    <w:rsid w:val="002705B6"/>
    <w:rsid w:val="00270B8B"/>
    <w:rsid w:val="00270FB4"/>
    <w:rsid w:val="00271E7B"/>
    <w:rsid w:val="0027236B"/>
    <w:rsid w:val="00272AD3"/>
    <w:rsid w:val="002740D4"/>
    <w:rsid w:val="00274618"/>
    <w:rsid w:val="00274AAA"/>
    <w:rsid w:val="00275ACF"/>
    <w:rsid w:val="00277517"/>
    <w:rsid w:val="00277A73"/>
    <w:rsid w:val="00277D03"/>
    <w:rsid w:val="0028177B"/>
    <w:rsid w:val="00281B75"/>
    <w:rsid w:val="00281FE3"/>
    <w:rsid w:val="00286C27"/>
    <w:rsid w:val="00287183"/>
    <w:rsid w:val="00287665"/>
    <w:rsid w:val="00287A8F"/>
    <w:rsid w:val="0029046C"/>
    <w:rsid w:val="00290E27"/>
    <w:rsid w:val="0029254A"/>
    <w:rsid w:val="00293BD0"/>
    <w:rsid w:val="002976B1"/>
    <w:rsid w:val="00297AE2"/>
    <w:rsid w:val="002A0295"/>
    <w:rsid w:val="002A126D"/>
    <w:rsid w:val="002A1615"/>
    <w:rsid w:val="002A1A40"/>
    <w:rsid w:val="002A4831"/>
    <w:rsid w:val="002A5F59"/>
    <w:rsid w:val="002A7640"/>
    <w:rsid w:val="002A79E8"/>
    <w:rsid w:val="002B0341"/>
    <w:rsid w:val="002B03FF"/>
    <w:rsid w:val="002B18D2"/>
    <w:rsid w:val="002B195C"/>
    <w:rsid w:val="002B1C59"/>
    <w:rsid w:val="002B2CE6"/>
    <w:rsid w:val="002B2F4B"/>
    <w:rsid w:val="002B50F8"/>
    <w:rsid w:val="002B6F99"/>
    <w:rsid w:val="002C01A7"/>
    <w:rsid w:val="002C3A1A"/>
    <w:rsid w:val="002C4B9A"/>
    <w:rsid w:val="002C699C"/>
    <w:rsid w:val="002C7248"/>
    <w:rsid w:val="002C7269"/>
    <w:rsid w:val="002C7FF4"/>
    <w:rsid w:val="002D0F44"/>
    <w:rsid w:val="002D2370"/>
    <w:rsid w:val="002D2912"/>
    <w:rsid w:val="002D3ECA"/>
    <w:rsid w:val="002D5A1A"/>
    <w:rsid w:val="002D5E73"/>
    <w:rsid w:val="002D6C70"/>
    <w:rsid w:val="002E06F5"/>
    <w:rsid w:val="002E1F4B"/>
    <w:rsid w:val="002E41F8"/>
    <w:rsid w:val="002E5E60"/>
    <w:rsid w:val="002E62B9"/>
    <w:rsid w:val="002E6541"/>
    <w:rsid w:val="002E7723"/>
    <w:rsid w:val="002E7D5E"/>
    <w:rsid w:val="002E7F73"/>
    <w:rsid w:val="002F0909"/>
    <w:rsid w:val="002F10B5"/>
    <w:rsid w:val="002F20F6"/>
    <w:rsid w:val="002F29E7"/>
    <w:rsid w:val="002F3705"/>
    <w:rsid w:val="002F4379"/>
    <w:rsid w:val="002F509C"/>
    <w:rsid w:val="002F7779"/>
    <w:rsid w:val="002F7E47"/>
    <w:rsid w:val="0030213C"/>
    <w:rsid w:val="00304693"/>
    <w:rsid w:val="00305A21"/>
    <w:rsid w:val="00307C04"/>
    <w:rsid w:val="00311209"/>
    <w:rsid w:val="003114D2"/>
    <w:rsid w:val="00311705"/>
    <w:rsid w:val="0031215A"/>
    <w:rsid w:val="003129CF"/>
    <w:rsid w:val="00312DF2"/>
    <w:rsid w:val="00312EAB"/>
    <w:rsid w:val="003147EF"/>
    <w:rsid w:val="003151BA"/>
    <w:rsid w:val="0031588C"/>
    <w:rsid w:val="00316494"/>
    <w:rsid w:val="00316505"/>
    <w:rsid w:val="00316D8E"/>
    <w:rsid w:val="00317999"/>
    <w:rsid w:val="00320845"/>
    <w:rsid w:val="00323D0D"/>
    <w:rsid w:val="00324ECD"/>
    <w:rsid w:val="00326322"/>
    <w:rsid w:val="0032688A"/>
    <w:rsid w:val="00326CD7"/>
    <w:rsid w:val="003306E5"/>
    <w:rsid w:val="00330E22"/>
    <w:rsid w:val="003313BC"/>
    <w:rsid w:val="0033170F"/>
    <w:rsid w:val="003351DA"/>
    <w:rsid w:val="00335F13"/>
    <w:rsid w:val="00336D47"/>
    <w:rsid w:val="0033773A"/>
    <w:rsid w:val="003378C6"/>
    <w:rsid w:val="00340E14"/>
    <w:rsid w:val="0034135C"/>
    <w:rsid w:val="00343ADB"/>
    <w:rsid w:val="00344933"/>
    <w:rsid w:val="00345A28"/>
    <w:rsid w:val="00346702"/>
    <w:rsid w:val="00346AFB"/>
    <w:rsid w:val="00347174"/>
    <w:rsid w:val="00347F3F"/>
    <w:rsid w:val="003505E7"/>
    <w:rsid w:val="0035224F"/>
    <w:rsid w:val="00352942"/>
    <w:rsid w:val="00353DA6"/>
    <w:rsid w:val="003542CA"/>
    <w:rsid w:val="0035448E"/>
    <w:rsid w:val="0035504F"/>
    <w:rsid w:val="00355200"/>
    <w:rsid w:val="003569E0"/>
    <w:rsid w:val="0036006B"/>
    <w:rsid w:val="00360708"/>
    <w:rsid w:val="003617B0"/>
    <w:rsid w:val="00363BDC"/>
    <w:rsid w:val="00363D48"/>
    <w:rsid w:val="00365135"/>
    <w:rsid w:val="00365B8C"/>
    <w:rsid w:val="00365E5D"/>
    <w:rsid w:val="00366CC2"/>
    <w:rsid w:val="003724E8"/>
    <w:rsid w:val="003730C7"/>
    <w:rsid w:val="0037571A"/>
    <w:rsid w:val="0037589F"/>
    <w:rsid w:val="00376129"/>
    <w:rsid w:val="00377978"/>
    <w:rsid w:val="00377DF5"/>
    <w:rsid w:val="003802DB"/>
    <w:rsid w:val="003805FD"/>
    <w:rsid w:val="00380956"/>
    <w:rsid w:val="00381B50"/>
    <w:rsid w:val="00381EF0"/>
    <w:rsid w:val="003849D2"/>
    <w:rsid w:val="003849EA"/>
    <w:rsid w:val="00384CA3"/>
    <w:rsid w:val="00386155"/>
    <w:rsid w:val="00391041"/>
    <w:rsid w:val="0039177D"/>
    <w:rsid w:val="00391902"/>
    <w:rsid w:val="00392213"/>
    <w:rsid w:val="00392C1A"/>
    <w:rsid w:val="00393767"/>
    <w:rsid w:val="003947A5"/>
    <w:rsid w:val="00396607"/>
    <w:rsid w:val="003969BA"/>
    <w:rsid w:val="00396DA2"/>
    <w:rsid w:val="00397D45"/>
    <w:rsid w:val="003A0535"/>
    <w:rsid w:val="003A0EA6"/>
    <w:rsid w:val="003A0F2A"/>
    <w:rsid w:val="003A1A17"/>
    <w:rsid w:val="003A35D7"/>
    <w:rsid w:val="003A369D"/>
    <w:rsid w:val="003A5B6A"/>
    <w:rsid w:val="003A653C"/>
    <w:rsid w:val="003A7B71"/>
    <w:rsid w:val="003B0E23"/>
    <w:rsid w:val="003B10BA"/>
    <w:rsid w:val="003B43AE"/>
    <w:rsid w:val="003B4441"/>
    <w:rsid w:val="003B48E1"/>
    <w:rsid w:val="003B4D84"/>
    <w:rsid w:val="003B5769"/>
    <w:rsid w:val="003B6246"/>
    <w:rsid w:val="003B7F9D"/>
    <w:rsid w:val="003C2DB8"/>
    <w:rsid w:val="003C4702"/>
    <w:rsid w:val="003C4DFE"/>
    <w:rsid w:val="003C54C0"/>
    <w:rsid w:val="003C7FAD"/>
    <w:rsid w:val="003D0A4C"/>
    <w:rsid w:val="003D11E4"/>
    <w:rsid w:val="003D41A1"/>
    <w:rsid w:val="003D4630"/>
    <w:rsid w:val="003D4E3F"/>
    <w:rsid w:val="003D6D0F"/>
    <w:rsid w:val="003E0962"/>
    <w:rsid w:val="003E0EE1"/>
    <w:rsid w:val="003E169F"/>
    <w:rsid w:val="003E1E88"/>
    <w:rsid w:val="003E1FE5"/>
    <w:rsid w:val="003E243A"/>
    <w:rsid w:val="003E3069"/>
    <w:rsid w:val="003E5523"/>
    <w:rsid w:val="003E67A1"/>
    <w:rsid w:val="003F0863"/>
    <w:rsid w:val="003F1FDD"/>
    <w:rsid w:val="003F2616"/>
    <w:rsid w:val="003F2CB6"/>
    <w:rsid w:val="003F4B81"/>
    <w:rsid w:val="003F5131"/>
    <w:rsid w:val="003F5531"/>
    <w:rsid w:val="003F5BB3"/>
    <w:rsid w:val="003F5EEF"/>
    <w:rsid w:val="003F73B1"/>
    <w:rsid w:val="003F7A42"/>
    <w:rsid w:val="00400236"/>
    <w:rsid w:val="004005A6"/>
    <w:rsid w:val="004012A2"/>
    <w:rsid w:val="00401C68"/>
    <w:rsid w:val="00402186"/>
    <w:rsid w:val="00402F72"/>
    <w:rsid w:val="00403DE7"/>
    <w:rsid w:val="00404038"/>
    <w:rsid w:val="004048BE"/>
    <w:rsid w:val="00406F3A"/>
    <w:rsid w:val="00407096"/>
    <w:rsid w:val="004112E3"/>
    <w:rsid w:val="004115DC"/>
    <w:rsid w:val="0041260E"/>
    <w:rsid w:val="00413E2F"/>
    <w:rsid w:val="0041714A"/>
    <w:rsid w:val="004171FE"/>
    <w:rsid w:val="00417904"/>
    <w:rsid w:val="00417F6B"/>
    <w:rsid w:val="004205EE"/>
    <w:rsid w:val="00424C49"/>
    <w:rsid w:val="004260F1"/>
    <w:rsid w:val="00426994"/>
    <w:rsid w:val="00426D2B"/>
    <w:rsid w:val="00427621"/>
    <w:rsid w:val="0043348E"/>
    <w:rsid w:val="00433C4B"/>
    <w:rsid w:val="00434885"/>
    <w:rsid w:val="00435882"/>
    <w:rsid w:val="00436260"/>
    <w:rsid w:val="0044084F"/>
    <w:rsid w:val="00441B73"/>
    <w:rsid w:val="00442A77"/>
    <w:rsid w:val="00442CBF"/>
    <w:rsid w:val="004439AD"/>
    <w:rsid w:val="00444517"/>
    <w:rsid w:val="0044472F"/>
    <w:rsid w:val="00444A93"/>
    <w:rsid w:val="00444D4A"/>
    <w:rsid w:val="0044589E"/>
    <w:rsid w:val="00445D9C"/>
    <w:rsid w:val="00447E5B"/>
    <w:rsid w:val="00451EE5"/>
    <w:rsid w:val="00455F8A"/>
    <w:rsid w:val="004563D5"/>
    <w:rsid w:val="00456421"/>
    <w:rsid w:val="00456D7E"/>
    <w:rsid w:val="00457371"/>
    <w:rsid w:val="0046115B"/>
    <w:rsid w:val="004612F9"/>
    <w:rsid w:val="00461A26"/>
    <w:rsid w:val="00461A40"/>
    <w:rsid w:val="00462491"/>
    <w:rsid w:val="00462E0F"/>
    <w:rsid w:val="00466A8A"/>
    <w:rsid w:val="00467611"/>
    <w:rsid w:val="004704B2"/>
    <w:rsid w:val="00470E48"/>
    <w:rsid w:val="00471CC0"/>
    <w:rsid w:val="004756F7"/>
    <w:rsid w:val="00475CB9"/>
    <w:rsid w:val="00477AB4"/>
    <w:rsid w:val="0048143A"/>
    <w:rsid w:val="00481CD7"/>
    <w:rsid w:val="004825A8"/>
    <w:rsid w:val="00482DF7"/>
    <w:rsid w:val="00483D75"/>
    <w:rsid w:val="00485479"/>
    <w:rsid w:val="00486212"/>
    <w:rsid w:val="00486CE1"/>
    <w:rsid w:val="00487F2B"/>
    <w:rsid w:val="0049061D"/>
    <w:rsid w:val="004906E4"/>
    <w:rsid w:val="0049078F"/>
    <w:rsid w:val="00490D39"/>
    <w:rsid w:val="00491E48"/>
    <w:rsid w:val="0049358F"/>
    <w:rsid w:val="00494312"/>
    <w:rsid w:val="0049494A"/>
    <w:rsid w:val="004954DC"/>
    <w:rsid w:val="00495B5A"/>
    <w:rsid w:val="00495ECE"/>
    <w:rsid w:val="00496BDE"/>
    <w:rsid w:val="004978F5"/>
    <w:rsid w:val="00497F18"/>
    <w:rsid w:val="004A03FA"/>
    <w:rsid w:val="004A075F"/>
    <w:rsid w:val="004A0C43"/>
    <w:rsid w:val="004A21F4"/>
    <w:rsid w:val="004A3029"/>
    <w:rsid w:val="004A5CE8"/>
    <w:rsid w:val="004A66E4"/>
    <w:rsid w:val="004A6870"/>
    <w:rsid w:val="004A6919"/>
    <w:rsid w:val="004A743A"/>
    <w:rsid w:val="004B0F08"/>
    <w:rsid w:val="004B1AF9"/>
    <w:rsid w:val="004B1C89"/>
    <w:rsid w:val="004B5018"/>
    <w:rsid w:val="004B5B90"/>
    <w:rsid w:val="004B5F32"/>
    <w:rsid w:val="004B61FC"/>
    <w:rsid w:val="004B7EBD"/>
    <w:rsid w:val="004B7FCE"/>
    <w:rsid w:val="004C0FEA"/>
    <w:rsid w:val="004C1971"/>
    <w:rsid w:val="004C23EF"/>
    <w:rsid w:val="004C432D"/>
    <w:rsid w:val="004C4519"/>
    <w:rsid w:val="004C6105"/>
    <w:rsid w:val="004C663A"/>
    <w:rsid w:val="004C6D2A"/>
    <w:rsid w:val="004C7244"/>
    <w:rsid w:val="004D116C"/>
    <w:rsid w:val="004D219B"/>
    <w:rsid w:val="004D5BC1"/>
    <w:rsid w:val="004E1CD8"/>
    <w:rsid w:val="004E3FF8"/>
    <w:rsid w:val="004E5BF4"/>
    <w:rsid w:val="004E609B"/>
    <w:rsid w:val="004E6AA2"/>
    <w:rsid w:val="004E6B0B"/>
    <w:rsid w:val="004E6FF8"/>
    <w:rsid w:val="004E7C7C"/>
    <w:rsid w:val="004E7D57"/>
    <w:rsid w:val="004F0509"/>
    <w:rsid w:val="004F0727"/>
    <w:rsid w:val="004F0EC8"/>
    <w:rsid w:val="004F54B3"/>
    <w:rsid w:val="005027FF"/>
    <w:rsid w:val="00504541"/>
    <w:rsid w:val="005047A8"/>
    <w:rsid w:val="00504976"/>
    <w:rsid w:val="005056AA"/>
    <w:rsid w:val="00505B2A"/>
    <w:rsid w:val="00506664"/>
    <w:rsid w:val="005067F8"/>
    <w:rsid w:val="0050753C"/>
    <w:rsid w:val="00510791"/>
    <w:rsid w:val="00511D07"/>
    <w:rsid w:val="0051214F"/>
    <w:rsid w:val="005121C3"/>
    <w:rsid w:val="00512FFC"/>
    <w:rsid w:val="0051416C"/>
    <w:rsid w:val="00515C3B"/>
    <w:rsid w:val="00515C85"/>
    <w:rsid w:val="00515E9E"/>
    <w:rsid w:val="005175EF"/>
    <w:rsid w:val="00517C1A"/>
    <w:rsid w:val="00520431"/>
    <w:rsid w:val="00521F36"/>
    <w:rsid w:val="00523D55"/>
    <w:rsid w:val="005253B8"/>
    <w:rsid w:val="00525784"/>
    <w:rsid w:val="00525DB8"/>
    <w:rsid w:val="00525F90"/>
    <w:rsid w:val="005266D2"/>
    <w:rsid w:val="0052689F"/>
    <w:rsid w:val="00526E1B"/>
    <w:rsid w:val="00531A72"/>
    <w:rsid w:val="00533222"/>
    <w:rsid w:val="005375CF"/>
    <w:rsid w:val="00537DEE"/>
    <w:rsid w:val="00541116"/>
    <w:rsid w:val="00541205"/>
    <w:rsid w:val="00541424"/>
    <w:rsid w:val="005428D0"/>
    <w:rsid w:val="00542DB0"/>
    <w:rsid w:val="00542FBF"/>
    <w:rsid w:val="00544AEF"/>
    <w:rsid w:val="005457A2"/>
    <w:rsid w:val="005468E5"/>
    <w:rsid w:val="0054721D"/>
    <w:rsid w:val="00547C35"/>
    <w:rsid w:val="00550096"/>
    <w:rsid w:val="00550AA8"/>
    <w:rsid w:val="00550CB9"/>
    <w:rsid w:val="00552ACF"/>
    <w:rsid w:val="00553408"/>
    <w:rsid w:val="005540A7"/>
    <w:rsid w:val="00555464"/>
    <w:rsid w:val="00555683"/>
    <w:rsid w:val="00555813"/>
    <w:rsid w:val="00555FA2"/>
    <w:rsid w:val="005566D2"/>
    <w:rsid w:val="00561343"/>
    <w:rsid w:val="005614D6"/>
    <w:rsid w:val="00561640"/>
    <w:rsid w:val="00561917"/>
    <w:rsid w:val="00561991"/>
    <w:rsid w:val="00562FA4"/>
    <w:rsid w:val="00564F4D"/>
    <w:rsid w:val="005663D6"/>
    <w:rsid w:val="00566A6A"/>
    <w:rsid w:val="00566C2C"/>
    <w:rsid w:val="00567A13"/>
    <w:rsid w:val="00567A8E"/>
    <w:rsid w:val="00570CEF"/>
    <w:rsid w:val="00572D12"/>
    <w:rsid w:val="00576CA8"/>
    <w:rsid w:val="005778F9"/>
    <w:rsid w:val="00580377"/>
    <w:rsid w:val="0058192C"/>
    <w:rsid w:val="00582222"/>
    <w:rsid w:val="00583AF0"/>
    <w:rsid w:val="00583F96"/>
    <w:rsid w:val="00584A93"/>
    <w:rsid w:val="00584B7F"/>
    <w:rsid w:val="00585630"/>
    <w:rsid w:val="00585F52"/>
    <w:rsid w:val="00587C8F"/>
    <w:rsid w:val="00587D90"/>
    <w:rsid w:val="0059072F"/>
    <w:rsid w:val="0059076B"/>
    <w:rsid w:val="005918DE"/>
    <w:rsid w:val="005923CF"/>
    <w:rsid w:val="005926A7"/>
    <w:rsid w:val="00593C2C"/>
    <w:rsid w:val="00594907"/>
    <w:rsid w:val="0059554E"/>
    <w:rsid w:val="00596821"/>
    <w:rsid w:val="00597C1E"/>
    <w:rsid w:val="005A01C1"/>
    <w:rsid w:val="005A064C"/>
    <w:rsid w:val="005A1117"/>
    <w:rsid w:val="005A2953"/>
    <w:rsid w:val="005A5038"/>
    <w:rsid w:val="005A795B"/>
    <w:rsid w:val="005B02A1"/>
    <w:rsid w:val="005B205F"/>
    <w:rsid w:val="005B21E7"/>
    <w:rsid w:val="005B2F5A"/>
    <w:rsid w:val="005B55B2"/>
    <w:rsid w:val="005B5AC7"/>
    <w:rsid w:val="005B5D03"/>
    <w:rsid w:val="005B5F59"/>
    <w:rsid w:val="005B7167"/>
    <w:rsid w:val="005C0563"/>
    <w:rsid w:val="005C2224"/>
    <w:rsid w:val="005C3BF8"/>
    <w:rsid w:val="005C4480"/>
    <w:rsid w:val="005C5329"/>
    <w:rsid w:val="005C67A3"/>
    <w:rsid w:val="005C67C4"/>
    <w:rsid w:val="005C7797"/>
    <w:rsid w:val="005D0C50"/>
    <w:rsid w:val="005D24CC"/>
    <w:rsid w:val="005D2633"/>
    <w:rsid w:val="005D38F8"/>
    <w:rsid w:val="005D4C78"/>
    <w:rsid w:val="005D5C68"/>
    <w:rsid w:val="005D728F"/>
    <w:rsid w:val="005E0C74"/>
    <w:rsid w:val="005E15C7"/>
    <w:rsid w:val="005E17C0"/>
    <w:rsid w:val="005E1CB2"/>
    <w:rsid w:val="005E2CD0"/>
    <w:rsid w:val="005E31BA"/>
    <w:rsid w:val="005E393E"/>
    <w:rsid w:val="005E3BF3"/>
    <w:rsid w:val="005E4967"/>
    <w:rsid w:val="005E529E"/>
    <w:rsid w:val="005E53DA"/>
    <w:rsid w:val="005E64DC"/>
    <w:rsid w:val="005E7032"/>
    <w:rsid w:val="005F0580"/>
    <w:rsid w:val="005F066F"/>
    <w:rsid w:val="005F09B9"/>
    <w:rsid w:val="005F1720"/>
    <w:rsid w:val="005F1939"/>
    <w:rsid w:val="005F2327"/>
    <w:rsid w:val="005F32F3"/>
    <w:rsid w:val="005F370B"/>
    <w:rsid w:val="005F3B6C"/>
    <w:rsid w:val="005F581B"/>
    <w:rsid w:val="005F591E"/>
    <w:rsid w:val="005F6494"/>
    <w:rsid w:val="005F6F42"/>
    <w:rsid w:val="00601114"/>
    <w:rsid w:val="00603069"/>
    <w:rsid w:val="00604ECD"/>
    <w:rsid w:val="006074B3"/>
    <w:rsid w:val="00610050"/>
    <w:rsid w:val="006124E1"/>
    <w:rsid w:val="00613B83"/>
    <w:rsid w:val="0061517C"/>
    <w:rsid w:val="0061537A"/>
    <w:rsid w:val="00616321"/>
    <w:rsid w:val="00616C85"/>
    <w:rsid w:val="00617F1B"/>
    <w:rsid w:val="00624376"/>
    <w:rsid w:val="006255F6"/>
    <w:rsid w:val="00625E59"/>
    <w:rsid w:val="006266B4"/>
    <w:rsid w:val="00627B86"/>
    <w:rsid w:val="00630228"/>
    <w:rsid w:val="00630ADA"/>
    <w:rsid w:val="00630C09"/>
    <w:rsid w:val="00631872"/>
    <w:rsid w:val="006318D5"/>
    <w:rsid w:val="00631B05"/>
    <w:rsid w:val="00632C4C"/>
    <w:rsid w:val="00633BD9"/>
    <w:rsid w:val="0063486B"/>
    <w:rsid w:val="00634C41"/>
    <w:rsid w:val="00636BFE"/>
    <w:rsid w:val="0063747B"/>
    <w:rsid w:val="00640F51"/>
    <w:rsid w:val="006410A8"/>
    <w:rsid w:val="0064208E"/>
    <w:rsid w:val="006428B8"/>
    <w:rsid w:val="00646718"/>
    <w:rsid w:val="006467DB"/>
    <w:rsid w:val="00647A6C"/>
    <w:rsid w:val="006506FA"/>
    <w:rsid w:val="00650DFE"/>
    <w:rsid w:val="006534CD"/>
    <w:rsid w:val="00653ACA"/>
    <w:rsid w:val="00653D35"/>
    <w:rsid w:val="00654726"/>
    <w:rsid w:val="006555ED"/>
    <w:rsid w:val="00655D2A"/>
    <w:rsid w:val="0066121B"/>
    <w:rsid w:val="006616BE"/>
    <w:rsid w:val="006624EC"/>
    <w:rsid w:val="00662651"/>
    <w:rsid w:val="00663C98"/>
    <w:rsid w:val="006643EC"/>
    <w:rsid w:val="006704DC"/>
    <w:rsid w:val="006710AF"/>
    <w:rsid w:val="00671166"/>
    <w:rsid w:val="0067165C"/>
    <w:rsid w:val="006718C7"/>
    <w:rsid w:val="00672C7D"/>
    <w:rsid w:val="006735F7"/>
    <w:rsid w:val="00674A72"/>
    <w:rsid w:val="00674F59"/>
    <w:rsid w:val="00675E92"/>
    <w:rsid w:val="00677128"/>
    <w:rsid w:val="0067757F"/>
    <w:rsid w:val="006775D0"/>
    <w:rsid w:val="00677E2F"/>
    <w:rsid w:val="00681162"/>
    <w:rsid w:val="006831A9"/>
    <w:rsid w:val="00684139"/>
    <w:rsid w:val="00685431"/>
    <w:rsid w:val="00687851"/>
    <w:rsid w:val="00691B60"/>
    <w:rsid w:val="00691B6B"/>
    <w:rsid w:val="00692825"/>
    <w:rsid w:val="00693714"/>
    <w:rsid w:val="00693D76"/>
    <w:rsid w:val="00694B6C"/>
    <w:rsid w:val="00694F1B"/>
    <w:rsid w:val="00695A39"/>
    <w:rsid w:val="0069729B"/>
    <w:rsid w:val="006A1948"/>
    <w:rsid w:val="006A1E70"/>
    <w:rsid w:val="006A5A61"/>
    <w:rsid w:val="006A69D8"/>
    <w:rsid w:val="006A7145"/>
    <w:rsid w:val="006B06E6"/>
    <w:rsid w:val="006B1A61"/>
    <w:rsid w:val="006B2178"/>
    <w:rsid w:val="006B2ADB"/>
    <w:rsid w:val="006B3510"/>
    <w:rsid w:val="006B35D5"/>
    <w:rsid w:val="006B3855"/>
    <w:rsid w:val="006B3BCD"/>
    <w:rsid w:val="006B420A"/>
    <w:rsid w:val="006B4A61"/>
    <w:rsid w:val="006B5389"/>
    <w:rsid w:val="006B54F7"/>
    <w:rsid w:val="006B773A"/>
    <w:rsid w:val="006B7885"/>
    <w:rsid w:val="006B7B05"/>
    <w:rsid w:val="006C0A47"/>
    <w:rsid w:val="006C16EA"/>
    <w:rsid w:val="006C3B85"/>
    <w:rsid w:val="006C3CBA"/>
    <w:rsid w:val="006C46E8"/>
    <w:rsid w:val="006C50BF"/>
    <w:rsid w:val="006C5CAE"/>
    <w:rsid w:val="006C603C"/>
    <w:rsid w:val="006C6677"/>
    <w:rsid w:val="006C6ACE"/>
    <w:rsid w:val="006C6DED"/>
    <w:rsid w:val="006C7DF8"/>
    <w:rsid w:val="006D01CC"/>
    <w:rsid w:val="006D089F"/>
    <w:rsid w:val="006D0FFE"/>
    <w:rsid w:val="006D1132"/>
    <w:rsid w:val="006D1AFD"/>
    <w:rsid w:val="006D216D"/>
    <w:rsid w:val="006D33D4"/>
    <w:rsid w:val="006D351B"/>
    <w:rsid w:val="006D473D"/>
    <w:rsid w:val="006D4B66"/>
    <w:rsid w:val="006D5464"/>
    <w:rsid w:val="006D5967"/>
    <w:rsid w:val="006D6909"/>
    <w:rsid w:val="006D7EE7"/>
    <w:rsid w:val="006E0E0D"/>
    <w:rsid w:val="006E1E87"/>
    <w:rsid w:val="006E3890"/>
    <w:rsid w:val="006E3C46"/>
    <w:rsid w:val="006E3EBD"/>
    <w:rsid w:val="006E430D"/>
    <w:rsid w:val="006E500C"/>
    <w:rsid w:val="006E69E7"/>
    <w:rsid w:val="006F0C5E"/>
    <w:rsid w:val="006F142F"/>
    <w:rsid w:val="006F1A9F"/>
    <w:rsid w:val="006F1B60"/>
    <w:rsid w:val="006F3749"/>
    <w:rsid w:val="006F4C9B"/>
    <w:rsid w:val="006F5CF1"/>
    <w:rsid w:val="006F5D3E"/>
    <w:rsid w:val="006F6248"/>
    <w:rsid w:val="006F7F39"/>
    <w:rsid w:val="0070144F"/>
    <w:rsid w:val="00703C34"/>
    <w:rsid w:val="00703E76"/>
    <w:rsid w:val="0070416C"/>
    <w:rsid w:val="007042BE"/>
    <w:rsid w:val="007042F8"/>
    <w:rsid w:val="00704FF6"/>
    <w:rsid w:val="00707504"/>
    <w:rsid w:val="00707D89"/>
    <w:rsid w:val="00710F78"/>
    <w:rsid w:val="0071137A"/>
    <w:rsid w:val="007116E1"/>
    <w:rsid w:val="00711DCC"/>
    <w:rsid w:val="00712D4C"/>
    <w:rsid w:val="00713A4F"/>
    <w:rsid w:val="00713B44"/>
    <w:rsid w:val="00713BDA"/>
    <w:rsid w:val="00715B5D"/>
    <w:rsid w:val="00716701"/>
    <w:rsid w:val="00716E87"/>
    <w:rsid w:val="007171CD"/>
    <w:rsid w:val="007205F0"/>
    <w:rsid w:val="00720D11"/>
    <w:rsid w:val="00722D1B"/>
    <w:rsid w:val="00724628"/>
    <w:rsid w:val="00726659"/>
    <w:rsid w:val="007270EC"/>
    <w:rsid w:val="0073031C"/>
    <w:rsid w:val="007317E6"/>
    <w:rsid w:val="00731C73"/>
    <w:rsid w:val="00731D0F"/>
    <w:rsid w:val="0073295A"/>
    <w:rsid w:val="007330CC"/>
    <w:rsid w:val="007331F0"/>
    <w:rsid w:val="0073570A"/>
    <w:rsid w:val="007369C7"/>
    <w:rsid w:val="00740898"/>
    <w:rsid w:val="0074109A"/>
    <w:rsid w:val="007415A2"/>
    <w:rsid w:val="007417A2"/>
    <w:rsid w:val="007428AE"/>
    <w:rsid w:val="00742BD7"/>
    <w:rsid w:val="00743719"/>
    <w:rsid w:val="00743B3F"/>
    <w:rsid w:val="00746987"/>
    <w:rsid w:val="00747458"/>
    <w:rsid w:val="007504B3"/>
    <w:rsid w:val="00751F97"/>
    <w:rsid w:val="007522E0"/>
    <w:rsid w:val="00753A84"/>
    <w:rsid w:val="007540C2"/>
    <w:rsid w:val="007541B0"/>
    <w:rsid w:val="0075495E"/>
    <w:rsid w:val="007549F7"/>
    <w:rsid w:val="00754B9E"/>
    <w:rsid w:val="0075533A"/>
    <w:rsid w:val="007557F2"/>
    <w:rsid w:val="00755D30"/>
    <w:rsid w:val="00757016"/>
    <w:rsid w:val="0075773B"/>
    <w:rsid w:val="00757C80"/>
    <w:rsid w:val="0076141E"/>
    <w:rsid w:val="007620B4"/>
    <w:rsid w:val="00762836"/>
    <w:rsid w:val="00762C59"/>
    <w:rsid w:val="00764A4C"/>
    <w:rsid w:val="007660A6"/>
    <w:rsid w:val="00766D4C"/>
    <w:rsid w:val="00767334"/>
    <w:rsid w:val="007712AD"/>
    <w:rsid w:val="00771480"/>
    <w:rsid w:val="00773317"/>
    <w:rsid w:val="007744A2"/>
    <w:rsid w:val="00780855"/>
    <w:rsid w:val="00780BF2"/>
    <w:rsid w:val="00783C11"/>
    <w:rsid w:val="00783D30"/>
    <w:rsid w:val="00783F9E"/>
    <w:rsid w:val="007842EF"/>
    <w:rsid w:val="00785B64"/>
    <w:rsid w:val="00786C15"/>
    <w:rsid w:val="00787DEE"/>
    <w:rsid w:val="007906D8"/>
    <w:rsid w:val="00791E97"/>
    <w:rsid w:val="0079251B"/>
    <w:rsid w:val="007925A2"/>
    <w:rsid w:val="00792796"/>
    <w:rsid w:val="00793F1F"/>
    <w:rsid w:val="007944C7"/>
    <w:rsid w:val="00794B5E"/>
    <w:rsid w:val="00796B20"/>
    <w:rsid w:val="00796F9A"/>
    <w:rsid w:val="00797E92"/>
    <w:rsid w:val="007A16A5"/>
    <w:rsid w:val="007A17CB"/>
    <w:rsid w:val="007A29BA"/>
    <w:rsid w:val="007A458D"/>
    <w:rsid w:val="007A4B46"/>
    <w:rsid w:val="007A51C3"/>
    <w:rsid w:val="007A5315"/>
    <w:rsid w:val="007A5F07"/>
    <w:rsid w:val="007A784B"/>
    <w:rsid w:val="007A7C7E"/>
    <w:rsid w:val="007B0BE9"/>
    <w:rsid w:val="007B202C"/>
    <w:rsid w:val="007B31A4"/>
    <w:rsid w:val="007B348C"/>
    <w:rsid w:val="007B36FB"/>
    <w:rsid w:val="007B37BF"/>
    <w:rsid w:val="007B5C51"/>
    <w:rsid w:val="007B5F70"/>
    <w:rsid w:val="007C178F"/>
    <w:rsid w:val="007C2133"/>
    <w:rsid w:val="007C21BB"/>
    <w:rsid w:val="007C5CB5"/>
    <w:rsid w:val="007C6D8F"/>
    <w:rsid w:val="007C720A"/>
    <w:rsid w:val="007D07C2"/>
    <w:rsid w:val="007D090A"/>
    <w:rsid w:val="007D13F6"/>
    <w:rsid w:val="007D175B"/>
    <w:rsid w:val="007D2474"/>
    <w:rsid w:val="007D3845"/>
    <w:rsid w:val="007D3D9C"/>
    <w:rsid w:val="007D49A1"/>
    <w:rsid w:val="007D5075"/>
    <w:rsid w:val="007D7E50"/>
    <w:rsid w:val="007E1A33"/>
    <w:rsid w:val="007E1B4E"/>
    <w:rsid w:val="007E1CA9"/>
    <w:rsid w:val="007E2732"/>
    <w:rsid w:val="007E45F3"/>
    <w:rsid w:val="007E46AB"/>
    <w:rsid w:val="007E5FF4"/>
    <w:rsid w:val="007E6533"/>
    <w:rsid w:val="007E72B4"/>
    <w:rsid w:val="007E7C33"/>
    <w:rsid w:val="007F08EB"/>
    <w:rsid w:val="007F1056"/>
    <w:rsid w:val="007F1CE5"/>
    <w:rsid w:val="007F210B"/>
    <w:rsid w:val="007F21B3"/>
    <w:rsid w:val="007F3164"/>
    <w:rsid w:val="007F61CC"/>
    <w:rsid w:val="007F6904"/>
    <w:rsid w:val="007F6BCA"/>
    <w:rsid w:val="007F6D41"/>
    <w:rsid w:val="007F6FE6"/>
    <w:rsid w:val="007F71D2"/>
    <w:rsid w:val="007F790D"/>
    <w:rsid w:val="00800C36"/>
    <w:rsid w:val="00800F0A"/>
    <w:rsid w:val="008010C8"/>
    <w:rsid w:val="0080179C"/>
    <w:rsid w:val="0080200D"/>
    <w:rsid w:val="00802BE3"/>
    <w:rsid w:val="00803490"/>
    <w:rsid w:val="00804A70"/>
    <w:rsid w:val="00805FD7"/>
    <w:rsid w:val="0080660A"/>
    <w:rsid w:val="00807723"/>
    <w:rsid w:val="00807AC5"/>
    <w:rsid w:val="00807E2F"/>
    <w:rsid w:val="00810F57"/>
    <w:rsid w:val="008127E5"/>
    <w:rsid w:val="00813853"/>
    <w:rsid w:val="00814982"/>
    <w:rsid w:val="00815452"/>
    <w:rsid w:val="008156D5"/>
    <w:rsid w:val="008159EB"/>
    <w:rsid w:val="0081752E"/>
    <w:rsid w:val="00817939"/>
    <w:rsid w:val="00821B6D"/>
    <w:rsid w:val="008230F0"/>
    <w:rsid w:val="008241CA"/>
    <w:rsid w:val="00826099"/>
    <w:rsid w:val="00826115"/>
    <w:rsid w:val="0082692A"/>
    <w:rsid w:val="0083134E"/>
    <w:rsid w:val="00831375"/>
    <w:rsid w:val="00832C8D"/>
    <w:rsid w:val="00834819"/>
    <w:rsid w:val="008359F5"/>
    <w:rsid w:val="008369DB"/>
    <w:rsid w:val="00836BAF"/>
    <w:rsid w:val="008404DE"/>
    <w:rsid w:val="008405FF"/>
    <w:rsid w:val="00842FF7"/>
    <w:rsid w:val="00843571"/>
    <w:rsid w:val="008464F5"/>
    <w:rsid w:val="008469FB"/>
    <w:rsid w:val="00847194"/>
    <w:rsid w:val="0084755D"/>
    <w:rsid w:val="0084791F"/>
    <w:rsid w:val="00847D6D"/>
    <w:rsid w:val="00847F28"/>
    <w:rsid w:val="0085256B"/>
    <w:rsid w:val="008526E6"/>
    <w:rsid w:val="00852867"/>
    <w:rsid w:val="00852FB0"/>
    <w:rsid w:val="00854355"/>
    <w:rsid w:val="008562E8"/>
    <w:rsid w:val="008601A7"/>
    <w:rsid w:val="008606B3"/>
    <w:rsid w:val="00860E65"/>
    <w:rsid w:val="008630DB"/>
    <w:rsid w:val="008634BA"/>
    <w:rsid w:val="008649C6"/>
    <w:rsid w:val="00864F33"/>
    <w:rsid w:val="008655CF"/>
    <w:rsid w:val="00865622"/>
    <w:rsid w:val="008656C0"/>
    <w:rsid w:val="00865780"/>
    <w:rsid w:val="00867149"/>
    <w:rsid w:val="0087177E"/>
    <w:rsid w:val="00871F30"/>
    <w:rsid w:val="00873519"/>
    <w:rsid w:val="00873C45"/>
    <w:rsid w:val="00880B43"/>
    <w:rsid w:val="00880CE2"/>
    <w:rsid w:val="008813CA"/>
    <w:rsid w:val="00881F59"/>
    <w:rsid w:val="00881FAC"/>
    <w:rsid w:val="00881FB7"/>
    <w:rsid w:val="00884420"/>
    <w:rsid w:val="00886624"/>
    <w:rsid w:val="00886EF9"/>
    <w:rsid w:val="00887D1B"/>
    <w:rsid w:val="00892B0C"/>
    <w:rsid w:val="008934AC"/>
    <w:rsid w:val="00893CAF"/>
    <w:rsid w:val="00896061"/>
    <w:rsid w:val="00896CAE"/>
    <w:rsid w:val="00897795"/>
    <w:rsid w:val="008A1EC4"/>
    <w:rsid w:val="008A2817"/>
    <w:rsid w:val="008A2A2E"/>
    <w:rsid w:val="008A2D40"/>
    <w:rsid w:val="008A3187"/>
    <w:rsid w:val="008A3DD8"/>
    <w:rsid w:val="008A6E6A"/>
    <w:rsid w:val="008A7393"/>
    <w:rsid w:val="008A7A39"/>
    <w:rsid w:val="008B09ED"/>
    <w:rsid w:val="008B0A3A"/>
    <w:rsid w:val="008B5BBA"/>
    <w:rsid w:val="008B5CFF"/>
    <w:rsid w:val="008B66FA"/>
    <w:rsid w:val="008B6758"/>
    <w:rsid w:val="008B70DB"/>
    <w:rsid w:val="008B76BD"/>
    <w:rsid w:val="008C03B3"/>
    <w:rsid w:val="008C259E"/>
    <w:rsid w:val="008C3877"/>
    <w:rsid w:val="008C3F63"/>
    <w:rsid w:val="008C4BD0"/>
    <w:rsid w:val="008C5507"/>
    <w:rsid w:val="008C62CE"/>
    <w:rsid w:val="008C63FF"/>
    <w:rsid w:val="008C664D"/>
    <w:rsid w:val="008C6CFF"/>
    <w:rsid w:val="008D0EE6"/>
    <w:rsid w:val="008D2B2D"/>
    <w:rsid w:val="008D3288"/>
    <w:rsid w:val="008D52B5"/>
    <w:rsid w:val="008D6188"/>
    <w:rsid w:val="008D6977"/>
    <w:rsid w:val="008D6C86"/>
    <w:rsid w:val="008D778F"/>
    <w:rsid w:val="008E1FEF"/>
    <w:rsid w:val="008E25FF"/>
    <w:rsid w:val="008E2BF2"/>
    <w:rsid w:val="008E2F31"/>
    <w:rsid w:val="008E3631"/>
    <w:rsid w:val="008E5F00"/>
    <w:rsid w:val="008E6526"/>
    <w:rsid w:val="008E6A60"/>
    <w:rsid w:val="008E6D25"/>
    <w:rsid w:val="008E6E5D"/>
    <w:rsid w:val="008E7D43"/>
    <w:rsid w:val="008E7F26"/>
    <w:rsid w:val="008F149F"/>
    <w:rsid w:val="008F1942"/>
    <w:rsid w:val="008F1EAC"/>
    <w:rsid w:val="008F259A"/>
    <w:rsid w:val="008F26AD"/>
    <w:rsid w:val="008F4346"/>
    <w:rsid w:val="008F5C50"/>
    <w:rsid w:val="008F5DCC"/>
    <w:rsid w:val="008F65E7"/>
    <w:rsid w:val="008F6E36"/>
    <w:rsid w:val="00901032"/>
    <w:rsid w:val="009016DC"/>
    <w:rsid w:val="009054F2"/>
    <w:rsid w:val="0090722E"/>
    <w:rsid w:val="00907BB7"/>
    <w:rsid w:val="00907D2D"/>
    <w:rsid w:val="00910893"/>
    <w:rsid w:val="00910B1A"/>
    <w:rsid w:val="009120BF"/>
    <w:rsid w:val="00912A1E"/>
    <w:rsid w:val="00913663"/>
    <w:rsid w:val="00915B4F"/>
    <w:rsid w:val="00915FAA"/>
    <w:rsid w:val="00916630"/>
    <w:rsid w:val="00916CEB"/>
    <w:rsid w:val="00917D57"/>
    <w:rsid w:val="0092138C"/>
    <w:rsid w:val="00921484"/>
    <w:rsid w:val="00922A7C"/>
    <w:rsid w:val="00922ACB"/>
    <w:rsid w:val="00923303"/>
    <w:rsid w:val="0092521D"/>
    <w:rsid w:val="009271DC"/>
    <w:rsid w:val="00930EDA"/>
    <w:rsid w:val="009322B2"/>
    <w:rsid w:val="00933CF2"/>
    <w:rsid w:val="009344A7"/>
    <w:rsid w:val="00934CBA"/>
    <w:rsid w:val="0093736F"/>
    <w:rsid w:val="009373A7"/>
    <w:rsid w:val="009377F2"/>
    <w:rsid w:val="00940987"/>
    <w:rsid w:val="00942A36"/>
    <w:rsid w:val="00942FC2"/>
    <w:rsid w:val="00943395"/>
    <w:rsid w:val="00943D76"/>
    <w:rsid w:val="00946C59"/>
    <w:rsid w:val="00950AB5"/>
    <w:rsid w:val="00950CD5"/>
    <w:rsid w:val="00951096"/>
    <w:rsid w:val="00951823"/>
    <w:rsid w:val="00951AD5"/>
    <w:rsid w:val="00952E01"/>
    <w:rsid w:val="00953BE4"/>
    <w:rsid w:val="0095442F"/>
    <w:rsid w:val="0095603F"/>
    <w:rsid w:val="0095720F"/>
    <w:rsid w:val="0095758B"/>
    <w:rsid w:val="00957ACA"/>
    <w:rsid w:val="009618FD"/>
    <w:rsid w:val="0096253F"/>
    <w:rsid w:val="00962626"/>
    <w:rsid w:val="00964D7A"/>
    <w:rsid w:val="00965F07"/>
    <w:rsid w:val="00967772"/>
    <w:rsid w:val="009701EB"/>
    <w:rsid w:val="0097164C"/>
    <w:rsid w:val="009718A3"/>
    <w:rsid w:val="00972A7E"/>
    <w:rsid w:val="0097348C"/>
    <w:rsid w:val="009734C7"/>
    <w:rsid w:val="009739E1"/>
    <w:rsid w:val="00974EC4"/>
    <w:rsid w:val="00975B37"/>
    <w:rsid w:val="0097692E"/>
    <w:rsid w:val="0097742D"/>
    <w:rsid w:val="009811F9"/>
    <w:rsid w:val="0098161F"/>
    <w:rsid w:val="00981817"/>
    <w:rsid w:val="00981867"/>
    <w:rsid w:val="00981E68"/>
    <w:rsid w:val="009826E0"/>
    <w:rsid w:val="0098302B"/>
    <w:rsid w:val="0098348B"/>
    <w:rsid w:val="00983561"/>
    <w:rsid w:val="00984685"/>
    <w:rsid w:val="009855F8"/>
    <w:rsid w:val="00985B25"/>
    <w:rsid w:val="009912B0"/>
    <w:rsid w:val="00993263"/>
    <w:rsid w:val="00993F89"/>
    <w:rsid w:val="00995239"/>
    <w:rsid w:val="00997682"/>
    <w:rsid w:val="00997D84"/>
    <w:rsid w:val="00997F38"/>
    <w:rsid w:val="009A0227"/>
    <w:rsid w:val="009A1DE8"/>
    <w:rsid w:val="009A231B"/>
    <w:rsid w:val="009A246D"/>
    <w:rsid w:val="009A3770"/>
    <w:rsid w:val="009A3C3A"/>
    <w:rsid w:val="009A5061"/>
    <w:rsid w:val="009A50A1"/>
    <w:rsid w:val="009A539D"/>
    <w:rsid w:val="009A5B72"/>
    <w:rsid w:val="009A5C49"/>
    <w:rsid w:val="009A61AD"/>
    <w:rsid w:val="009A7161"/>
    <w:rsid w:val="009A7C41"/>
    <w:rsid w:val="009B0838"/>
    <w:rsid w:val="009B15F4"/>
    <w:rsid w:val="009B2800"/>
    <w:rsid w:val="009B54BF"/>
    <w:rsid w:val="009C0EA8"/>
    <w:rsid w:val="009C0F67"/>
    <w:rsid w:val="009C32BF"/>
    <w:rsid w:val="009C7AC7"/>
    <w:rsid w:val="009C7C5C"/>
    <w:rsid w:val="009D1012"/>
    <w:rsid w:val="009D124E"/>
    <w:rsid w:val="009D1F7B"/>
    <w:rsid w:val="009D20D5"/>
    <w:rsid w:val="009D2D0E"/>
    <w:rsid w:val="009D3220"/>
    <w:rsid w:val="009D3D14"/>
    <w:rsid w:val="009D5890"/>
    <w:rsid w:val="009D5CCD"/>
    <w:rsid w:val="009D5E05"/>
    <w:rsid w:val="009D66E1"/>
    <w:rsid w:val="009E06AC"/>
    <w:rsid w:val="009E095A"/>
    <w:rsid w:val="009E1682"/>
    <w:rsid w:val="009E300E"/>
    <w:rsid w:val="009E3015"/>
    <w:rsid w:val="009E3C4C"/>
    <w:rsid w:val="009E4CFB"/>
    <w:rsid w:val="009E55A8"/>
    <w:rsid w:val="009E7915"/>
    <w:rsid w:val="009E7B82"/>
    <w:rsid w:val="009F1528"/>
    <w:rsid w:val="009F3D39"/>
    <w:rsid w:val="009F60DC"/>
    <w:rsid w:val="009F63DC"/>
    <w:rsid w:val="009F7D29"/>
    <w:rsid w:val="00A007E2"/>
    <w:rsid w:val="00A01692"/>
    <w:rsid w:val="00A0207E"/>
    <w:rsid w:val="00A03B2A"/>
    <w:rsid w:val="00A040D1"/>
    <w:rsid w:val="00A054CB"/>
    <w:rsid w:val="00A05737"/>
    <w:rsid w:val="00A05E04"/>
    <w:rsid w:val="00A06DCB"/>
    <w:rsid w:val="00A06DCE"/>
    <w:rsid w:val="00A0792C"/>
    <w:rsid w:val="00A108A2"/>
    <w:rsid w:val="00A114A3"/>
    <w:rsid w:val="00A1220B"/>
    <w:rsid w:val="00A12303"/>
    <w:rsid w:val="00A12684"/>
    <w:rsid w:val="00A13EF0"/>
    <w:rsid w:val="00A15278"/>
    <w:rsid w:val="00A15962"/>
    <w:rsid w:val="00A16556"/>
    <w:rsid w:val="00A22E6B"/>
    <w:rsid w:val="00A23AD8"/>
    <w:rsid w:val="00A2479C"/>
    <w:rsid w:val="00A253A5"/>
    <w:rsid w:val="00A257FF"/>
    <w:rsid w:val="00A26230"/>
    <w:rsid w:val="00A273E4"/>
    <w:rsid w:val="00A31195"/>
    <w:rsid w:val="00A330CD"/>
    <w:rsid w:val="00A33C61"/>
    <w:rsid w:val="00A3430D"/>
    <w:rsid w:val="00A34465"/>
    <w:rsid w:val="00A35C38"/>
    <w:rsid w:val="00A35E37"/>
    <w:rsid w:val="00A36D21"/>
    <w:rsid w:val="00A37AC2"/>
    <w:rsid w:val="00A37D65"/>
    <w:rsid w:val="00A4064D"/>
    <w:rsid w:val="00A40F33"/>
    <w:rsid w:val="00A4275B"/>
    <w:rsid w:val="00A4298D"/>
    <w:rsid w:val="00A42BD2"/>
    <w:rsid w:val="00A42F1C"/>
    <w:rsid w:val="00A43CC2"/>
    <w:rsid w:val="00A45332"/>
    <w:rsid w:val="00A466A5"/>
    <w:rsid w:val="00A46A26"/>
    <w:rsid w:val="00A47508"/>
    <w:rsid w:val="00A50E54"/>
    <w:rsid w:val="00A50E56"/>
    <w:rsid w:val="00A51736"/>
    <w:rsid w:val="00A51A37"/>
    <w:rsid w:val="00A524CA"/>
    <w:rsid w:val="00A52A6A"/>
    <w:rsid w:val="00A52E6D"/>
    <w:rsid w:val="00A538B8"/>
    <w:rsid w:val="00A542D7"/>
    <w:rsid w:val="00A54AE7"/>
    <w:rsid w:val="00A55348"/>
    <w:rsid w:val="00A5633C"/>
    <w:rsid w:val="00A56F6B"/>
    <w:rsid w:val="00A6170F"/>
    <w:rsid w:val="00A62E48"/>
    <w:rsid w:val="00A643F0"/>
    <w:rsid w:val="00A646BB"/>
    <w:rsid w:val="00A658A6"/>
    <w:rsid w:val="00A662DB"/>
    <w:rsid w:val="00A6651C"/>
    <w:rsid w:val="00A66DCA"/>
    <w:rsid w:val="00A674AF"/>
    <w:rsid w:val="00A73117"/>
    <w:rsid w:val="00A75BBA"/>
    <w:rsid w:val="00A75FAE"/>
    <w:rsid w:val="00A82D5C"/>
    <w:rsid w:val="00A83636"/>
    <w:rsid w:val="00A83B1B"/>
    <w:rsid w:val="00A84352"/>
    <w:rsid w:val="00A85348"/>
    <w:rsid w:val="00A85B31"/>
    <w:rsid w:val="00A90B9D"/>
    <w:rsid w:val="00A90D36"/>
    <w:rsid w:val="00A90D48"/>
    <w:rsid w:val="00A91D85"/>
    <w:rsid w:val="00A91FCA"/>
    <w:rsid w:val="00A9205E"/>
    <w:rsid w:val="00A9311D"/>
    <w:rsid w:val="00AA10DB"/>
    <w:rsid w:val="00AA2DD4"/>
    <w:rsid w:val="00AA42AB"/>
    <w:rsid w:val="00AA45E3"/>
    <w:rsid w:val="00AA5333"/>
    <w:rsid w:val="00AA5728"/>
    <w:rsid w:val="00AA5F1C"/>
    <w:rsid w:val="00AA6475"/>
    <w:rsid w:val="00AA6C93"/>
    <w:rsid w:val="00AA71E1"/>
    <w:rsid w:val="00AB14E6"/>
    <w:rsid w:val="00AB2D20"/>
    <w:rsid w:val="00AB3166"/>
    <w:rsid w:val="00AB54A9"/>
    <w:rsid w:val="00AB5D26"/>
    <w:rsid w:val="00AB60AA"/>
    <w:rsid w:val="00AB68F2"/>
    <w:rsid w:val="00AB70E9"/>
    <w:rsid w:val="00AC01D7"/>
    <w:rsid w:val="00AC02F2"/>
    <w:rsid w:val="00AC0A53"/>
    <w:rsid w:val="00AC150D"/>
    <w:rsid w:val="00AC1556"/>
    <w:rsid w:val="00AC19B8"/>
    <w:rsid w:val="00AC1C45"/>
    <w:rsid w:val="00AC2DAD"/>
    <w:rsid w:val="00AC41C0"/>
    <w:rsid w:val="00AC4767"/>
    <w:rsid w:val="00AC7151"/>
    <w:rsid w:val="00AD03C6"/>
    <w:rsid w:val="00AD06F9"/>
    <w:rsid w:val="00AD2B86"/>
    <w:rsid w:val="00AD4B5E"/>
    <w:rsid w:val="00AD4DAC"/>
    <w:rsid w:val="00AD4EE5"/>
    <w:rsid w:val="00AD76AD"/>
    <w:rsid w:val="00AD7C1A"/>
    <w:rsid w:val="00AE0C9E"/>
    <w:rsid w:val="00AE0CAF"/>
    <w:rsid w:val="00AE0DB5"/>
    <w:rsid w:val="00AE212C"/>
    <w:rsid w:val="00AE2187"/>
    <w:rsid w:val="00AE24CB"/>
    <w:rsid w:val="00AE25DE"/>
    <w:rsid w:val="00AE2F33"/>
    <w:rsid w:val="00AE464D"/>
    <w:rsid w:val="00AE51FD"/>
    <w:rsid w:val="00AE55C5"/>
    <w:rsid w:val="00AE569B"/>
    <w:rsid w:val="00AE5D69"/>
    <w:rsid w:val="00AE73F3"/>
    <w:rsid w:val="00AE7DAE"/>
    <w:rsid w:val="00AE7F9D"/>
    <w:rsid w:val="00AF052B"/>
    <w:rsid w:val="00AF090C"/>
    <w:rsid w:val="00AF1D03"/>
    <w:rsid w:val="00AF3286"/>
    <w:rsid w:val="00AF376D"/>
    <w:rsid w:val="00AF3789"/>
    <w:rsid w:val="00AF3F17"/>
    <w:rsid w:val="00AF417A"/>
    <w:rsid w:val="00AF445E"/>
    <w:rsid w:val="00AF5A62"/>
    <w:rsid w:val="00AF6362"/>
    <w:rsid w:val="00AF6721"/>
    <w:rsid w:val="00AF7CF0"/>
    <w:rsid w:val="00B014AC"/>
    <w:rsid w:val="00B01CC5"/>
    <w:rsid w:val="00B02926"/>
    <w:rsid w:val="00B046BF"/>
    <w:rsid w:val="00B0556D"/>
    <w:rsid w:val="00B05921"/>
    <w:rsid w:val="00B05A54"/>
    <w:rsid w:val="00B07AB1"/>
    <w:rsid w:val="00B102C2"/>
    <w:rsid w:val="00B115A2"/>
    <w:rsid w:val="00B1265E"/>
    <w:rsid w:val="00B12762"/>
    <w:rsid w:val="00B12DC4"/>
    <w:rsid w:val="00B13389"/>
    <w:rsid w:val="00B13C38"/>
    <w:rsid w:val="00B14FF5"/>
    <w:rsid w:val="00B150F2"/>
    <w:rsid w:val="00B15C97"/>
    <w:rsid w:val="00B17423"/>
    <w:rsid w:val="00B21CD8"/>
    <w:rsid w:val="00B21EE1"/>
    <w:rsid w:val="00B22030"/>
    <w:rsid w:val="00B226AF"/>
    <w:rsid w:val="00B237D9"/>
    <w:rsid w:val="00B246CC"/>
    <w:rsid w:val="00B251CF"/>
    <w:rsid w:val="00B25A73"/>
    <w:rsid w:val="00B26855"/>
    <w:rsid w:val="00B32356"/>
    <w:rsid w:val="00B3307F"/>
    <w:rsid w:val="00B3537B"/>
    <w:rsid w:val="00B3550B"/>
    <w:rsid w:val="00B365BB"/>
    <w:rsid w:val="00B36709"/>
    <w:rsid w:val="00B37ABB"/>
    <w:rsid w:val="00B40D8D"/>
    <w:rsid w:val="00B42B8F"/>
    <w:rsid w:val="00B4350F"/>
    <w:rsid w:val="00B43AEC"/>
    <w:rsid w:val="00B441C0"/>
    <w:rsid w:val="00B47C76"/>
    <w:rsid w:val="00B5132B"/>
    <w:rsid w:val="00B51C14"/>
    <w:rsid w:val="00B527BF"/>
    <w:rsid w:val="00B53440"/>
    <w:rsid w:val="00B54B6B"/>
    <w:rsid w:val="00B55559"/>
    <w:rsid w:val="00B55685"/>
    <w:rsid w:val="00B55791"/>
    <w:rsid w:val="00B5751C"/>
    <w:rsid w:val="00B6049A"/>
    <w:rsid w:val="00B615AD"/>
    <w:rsid w:val="00B61669"/>
    <w:rsid w:val="00B62F93"/>
    <w:rsid w:val="00B642C7"/>
    <w:rsid w:val="00B64909"/>
    <w:rsid w:val="00B6592B"/>
    <w:rsid w:val="00B65E9A"/>
    <w:rsid w:val="00B7118F"/>
    <w:rsid w:val="00B71DCE"/>
    <w:rsid w:val="00B7215E"/>
    <w:rsid w:val="00B73620"/>
    <w:rsid w:val="00B74E00"/>
    <w:rsid w:val="00B752A0"/>
    <w:rsid w:val="00B753D3"/>
    <w:rsid w:val="00B75872"/>
    <w:rsid w:val="00B76B4B"/>
    <w:rsid w:val="00B76DE4"/>
    <w:rsid w:val="00B77DC9"/>
    <w:rsid w:val="00B8055D"/>
    <w:rsid w:val="00B8074B"/>
    <w:rsid w:val="00B82367"/>
    <w:rsid w:val="00B835F8"/>
    <w:rsid w:val="00B8373B"/>
    <w:rsid w:val="00B84079"/>
    <w:rsid w:val="00B84702"/>
    <w:rsid w:val="00B847B8"/>
    <w:rsid w:val="00B8616D"/>
    <w:rsid w:val="00B8650E"/>
    <w:rsid w:val="00B86879"/>
    <w:rsid w:val="00B875F3"/>
    <w:rsid w:val="00B90E2C"/>
    <w:rsid w:val="00B91061"/>
    <w:rsid w:val="00B91D93"/>
    <w:rsid w:val="00B93C10"/>
    <w:rsid w:val="00B95404"/>
    <w:rsid w:val="00B95C86"/>
    <w:rsid w:val="00B972DE"/>
    <w:rsid w:val="00B97795"/>
    <w:rsid w:val="00BA06AC"/>
    <w:rsid w:val="00BA087E"/>
    <w:rsid w:val="00BA0FBA"/>
    <w:rsid w:val="00BA1505"/>
    <w:rsid w:val="00BA158E"/>
    <w:rsid w:val="00BA3290"/>
    <w:rsid w:val="00BA4D63"/>
    <w:rsid w:val="00BA4E8C"/>
    <w:rsid w:val="00BA5710"/>
    <w:rsid w:val="00BA680F"/>
    <w:rsid w:val="00BA71FF"/>
    <w:rsid w:val="00BA740E"/>
    <w:rsid w:val="00BB2D65"/>
    <w:rsid w:val="00BB3B59"/>
    <w:rsid w:val="00BB40AE"/>
    <w:rsid w:val="00BB44D1"/>
    <w:rsid w:val="00BB4F72"/>
    <w:rsid w:val="00BB5796"/>
    <w:rsid w:val="00BB5D75"/>
    <w:rsid w:val="00BB73F6"/>
    <w:rsid w:val="00BC176D"/>
    <w:rsid w:val="00BC1EC3"/>
    <w:rsid w:val="00BC27AD"/>
    <w:rsid w:val="00BC2D53"/>
    <w:rsid w:val="00BC2EFD"/>
    <w:rsid w:val="00BC3966"/>
    <w:rsid w:val="00BC6A3B"/>
    <w:rsid w:val="00BC6C78"/>
    <w:rsid w:val="00BC6F45"/>
    <w:rsid w:val="00BD0387"/>
    <w:rsid w:val="00BD08B0"/>
    <w:rsid w:val="00BD0E18"/>
    <w:rsid w:val="00BD30C8"/>
    <w:rsid w:val="00BD3828"/>
    <w:rsid w:val="00BD43F8"/>
    <w:rsid w:val="00BD481C"/>
    <w:rsid w:val="00BD59CC"/>
    <w:rsid w:val="00BD769C"/>
    <w:rsid w:val="00BE08A2"/>
    <w:rsid w:val="00BE2344"/>
    <w:rsid w:val="00BE303C"/>
    <w:rsid w:val="00BE3797"/>
    <w:rsid w:val="00BE599E"/>
    <w:rsid w:val="00BE5EE1"/>
    <w:rsid w:val="00BF008C"/>
    <w:rsid w:val="00BF083F"/>
    <w:rsid w:val="00BF0A2D"/>
    <w:rsid w:val="00BF0FD3"/>
    <w:rsid w:val="00BF119B"/>
    <w:rsid w:val="00BF1C2F"/>
    <w:rsid w:val="00BF2944"/>
    <w:rsid w:val="00BF2CA4"/>
    <w:rsid w:val="00BF44B8"/>
    <w:rsid w:val="00BF4D47"/>
    <w:rsid w:val="00BF56DB"/>
    <w:rsid w:val="00BF7508"/>
    <w:rsid w:val="00C008C2"/>
    <w:rsid w:val="00C018BD"/>
    <w:rsid w:val="00C018FC"/>
    <w:rsid w:val="00C01DF5"/>
    <w:rsid w:val="00C036A1"/>
    <w:rsid w:val="00C03975"/>
    <w:rsid w:val="00C064AD"/>
    <w:rsid w:val="00C06749"/>
    <w:rsid w:val="00C06F9C"/>
    <w:rsid w:val="00C06FCA"/>
    <w:rsid w:val="00C079BA"/>
    <w:rsid w:val="00C10C45"/>
    <w:rsid w:val="00C15576"/>
    <w:rsid w:val="00C16304"/>
    <w:rsid w:val="00C16E7B"/>
    <w:rsid w:val="00C17174"/>
    <w:rsid w:val="00C171D4"/>
    <w:rsid w:val="00C20C36"/>
    <w:rsid w:val="00C20C5B"/>
    <w:rsid w:val="00C21485"/>
    <w:rsid w:val="00C23513"/>
    <w:rsid w:val="00C23B45"/>
    <w:rsid w:val="00C23D2B"/>
    <w:rsid w:val="00C23F72"/>
    <w:rsid w:val="00C24552"/>
    <w:rsid w:val="00C24DB4"/>
    <w:rsid w:val="00C250D9"/>
    <w:rsid w:val="00C266E8"/>
    <w:rsid w:val="00C30323"/>
    <w:rsid w:val="00C30697"/>
    <w:rsid w:val="00C30E58"/>
    <w:rsid w:val="00C324CC"/>
    <w:rsid w:val="00C32C0D"/>
    <w:rsid w:val="00C32E28"/>
    <w:rsid w:val="00C3387F"/>
    <w:rsid w:val="00C34DDD"/>
    <w:rsid w:val="00C361A5"/>
    <w:rsid w:val="00C36624"/>
    <w:rsid w:val="00C36E2A"/>
    <w:rsid w:val="00C402E9"/>
    <w:rsid w:val="00C409D8"/>
    <w:rsid w:val="00C41945"/>
    <w:rsid w:val="00C41EF8"/>
    <w:rsid w:val="00C42C84"/>
    <w:rsid w:val="00C431FB"/>
    <w:rsid w:val="00C4332B"/>
    <w:rsid w:val="00C43F3A"/>
    <w:rsid w:val="00C448C1"/>
    <w:rsid w:val="00C44AC6"/>
    <w:rsid w:val="00C44B68"/>
    <w:rsid w:val="00C458A5"/>
    <w:rsid w:val="00C45CFF"/>
    <w:rsid w:val="00C45F24"/>
    <w:rsid w:val="00C51E4A"/>
    <w:rsid w:val="00C53FD6"/>
    <w:rsid w:val="00C54EAD"/>
    <w:rsid w:val="00C56B27"/>
    <w:rsid w:val="00C64843"/>
    <w:rsid w:val="00C70060"/>
    <w:rsid w:val="00C7041A"/>
    <w:rsid w:val="00C7546D"/>
    <w:rsid w:val="00C81CB8"/>
    <w:rsid w:val="00C840E1"/>
    <w:rsid w:val="00C84F64"/>
    <w:rsid w:val="00C85DCD"/>
    <w:rsid w:val="00C86B43"/>
    <w:rsid w:val="00C86F25"/>
    <w:rsid w:val="00C8760E"/>
    <w:rsid w:val="00C87FFC"/>
    <w:rsid w:val="00C91EAF"/>
    <w:rsid w:val="00C94160"/>
    <w:rsid w:val="00C94C3B"/>
    <w:rsid w:val="00C952AE"/>
    <w:rsid w:val="00CA017A"/>
    <w:rsid w:val="00CA017E"/>
    <w:rsid w:val="00CA1E58"/>
    <w:rsid w:val="00CA3CA9"/>
    <w:rsid w:val="00CA4262"/>
    <w:rsid w:val="00CA5346"/>
    <w:rsid w:val="00CA5F43"/>
    <w:rsid w:val="00CA63C4"/>
    <w:rsid w:val="00CA69FA"/>
    <w:rsid w:val="00CA748E"/>
    <w:rsid w:val="00CB08E6"/>
    <w:rsid w:val="00CB12C0"/>
    <w:rsid w:val="00CB2CB7"/>
    <w:rsid w:val="00CB3934"/>
    <w:rsid w:val="00CB6384"/>
    <w:rsid w:val="00CC038A"/>
    <w:rsid w:val="00CC0D1F"/>
    <w:rsid w:val="00CC1A47"/>
    <w:rsid w:val="00CC4C60"/>
    <w:rsid w:val="00CC568A"/>
    <w:rsid w:val="00CC59A4"/>
    <w:rsid w:val="00CC6D94"/>
    <w:rsid w:val="00CC738D"/>
    <w:rsid w:val="00CD1FE1"/>
    <w:rsid w:val="00CD39DA"/>
    <w:rsid w:val="00CD4CDA"/>
    <w:rsid w:val="00CD51D4"/>
    <w:rsid w:val="00CD555C"/>
    <w:rsid w:val="00CD6B61"/>
    <w:rsid w:val="00CD7684"/>
    <w:rsid w:val="00CE11A2"/>
    <w:rsid w:val="00CE1B08"/>
    <w:rsid w:val="00CE2878"/>
    <w:rsid w:val="00CE54C8"/>
    <w:rsid w:val="00CE64A9"/>
    <w:rsid w:val="00CE68F5"/>
    <w:rsid w:val="00CE792F"/>
    <w:rsid w:val="00CF02CE"/>
    <w:rsid w:val="00CF1D5F"/>
    <w:rsid w:val="00CF289B"/>
    <w:rsid w:val="00CF5310"/>
    <w:rsid w:val="00CF6BAB"/>
    <w:rsid w:val="00CF734E"/>
    <w:rsid w:val="00D0003E"/>
    <w:rsid w:val="00D00457"/>
    <w:rsid w:val="00D007C7"/>
    <w:rsid w:val="00D00EB5"/>
    <w:rsid w:val="00D016B1"/>
    <w:rsid w:val="00D0259C"/>
    <w:rsid w:val="00D02F4B"/>
    <w:rsid w:val="00D06F5A"/>
    <w:rsid w:val="00D12517"/>
    <w:rsid w:val="00D129B2"/>
    <w:rsid w:val="00D12C7F"/>
    <w:rsid w:val="00D12F26"/>
    <w:rsid w:val="00D135D2"/>
    <w:rsid w:val="00D13A8D"/>
    <w:rsid w:val="00D1551C"/>
    <w:rsid w:val="00D1567C"/>
    <w:rsid w:val="00D17422"/>
    <w:rsid w:val="00D206F9"/>
    <w:rsid w:val="00D21BC8"/>
    <w:rsid w:val="00D24FAF"/>
    <w:rsid w:val="00D27049"/>
    <w:rsid w:val="00D33455"/>
    <w:rsid w:val="00D34411"/>
    <w:rsid w:val="00D34C5A"/>
    <w:rsid w:val="00D37100"/>
    <w:rsid w:val="00D41C3C"/>
    <w:rsid w:val="00D41ED0"/>
    <w:rsid w:val="00D421C8"/>
    <w:rsid w:val="00D423DF"/>
    <w:rsid w:val="00D42C0D"/>
    <w:rsid w:val="00D42C59"/>
    <w:rsid w:val="00D43128"/>
    <w:rsid w:val="00D43D8F"/>
    <w:rsid w:val="00D44C17"/>
    <w:rsid w:val="00D4799C"/>
    <w:rsid w:val="00D47FD8"/>
    <w:rsid w:val="00D530E1"/>
    <w:rsid w:val="00D53488"/>
    <w:rsid w:val="00D54B45"/>
    <w:rsid w:val="00D555BC"/>
    <w:rsid w:val="00D55803"/>
    <w:rsid w:val="00D5658A"/>
    <w:rsid w:val="00D56820"/>
    <w:rsid w:val="00D57494"/>
    <w:rsid w:val="00D579A0"/>
    <w:rsid w:val="00D601AE"/>
    <w:rsid w:val="00D608B7"/>
    <w:rsid w:val="00D61D35"/>
    <w:rsid w:val="00D62EFC"/>
    <w:rsid w:val="00D64194"/>
    <w:rsid w:val="00D641D6"/>
    <w:rsid w:val="00D6467D"/>
    <w:rsid w:val="00D65AF7"/>
    <w:rsid w:val="00D67BED"/>
    <w:rsid w:val="00D7153D"/>
    <w:rsid w:val="00D73629"/>
    <w:rsid w:val="00D73A10"/>
    <w:rsid w:val="00D750B1"/>
    <w:rsid w:val="00D753B5"/>
    <w:rsid w:val="00D760DD"/>
    <w:rsid w:val="00D7687B"/>
    <w:rsid w:val="00D8053A"/>
    <w:rsid w:val="00D83F9D"/>
    <w:rsid w:val="00D841AE"/>
    <w:rsid w:val="00D84C0D"/>
    <w:rsid w:val="00D8547F"/>
    <w:rsid w:val="00D86C03"/>
    <w:rsid w:val="00D92DB1"/>
    <w:rsid w:val="00D938F8"/>
    <w:rsid w:val="00D93E06"/>
    <w:rsid w:val="00D954AE"/>
    <w:rsid w:val="00D96553"/>
    <w:rsid w:val="00D96D92"/>
    <w:rsid w:val="00D97295"/>
    <w:rsid w:val="00DA0438"/>
    <w:rsid w:val="00DA21B9"/>
    <w:rsid w:val="00DA2E38"/>
    <w:rsid w:val="00DA39D3"/>
    <w:rsid w:val="00DA5FF9"/>
    <w:rsid w:val="00DB04AE"/>
    <w:rsid w:val="00DB050B"/>
    <w:rsid w:val="00DB0BD3"/>
    <w:rsid w:val="00DB2455"/>
    <w:rsid w:val="00DB382B"/>
    <w:rsid w:val="00DB3CA6"/>
    <w:rsid w:val="00DB439D"/>
    <w:rsid w:val="00DB4561"/>
    <w:rsid w:val="00DB5AD0"/>
    <w:rsid w:val="00DB5FB0"/>
    <w:rsid w:val="00DC0A68"/>
    <w:rsid w:val="00DC0AF7"/>
    <w:rsid w:val="00DC0EFE"/>
    <w:rsid w:val="00DC1745"/>
    <w:rsid w:val="00DC2514"/>
    <w:rsid w:val="00DC2956"/>
    <w:rsid w:val="00DC3B64"/>
    <w:rsid w:val="00DC4038"/>
    <w:rsid w:val="00DC6FD3"/>
    <w:rsid w:val="00DC7B87"/>
    <w:rsid w:val="00DD0111"/>
    <w:rsid w:val="00DD0ABC"/>
    <w:rsid w:val="00DD2B9E"/>
    <w:rsid w:val="00DD355E"/>
    <w:rsid w:val="00DD4284"/>
    <w:rsid w:val="00DD45B4"/>
    <w:rsid w:val="00DD4A1E"/>
    <w:rsid w:val="00DD696E"/>
    <w:rsid w:val="00DD6AC3"/>
    <w:rsid w:val="00DD7731"/>
    <w:rsid w:val="00DE2309"/>
    <w:rsid w:val="00DE2315"/>
    <w:rsid w:val="00DE2C52"/>
    <w:rsid w:val="00DE5483"/>
    <w:rsid w:val="00DF0A26"/>
    <w:rsid w:val="00DF0AAA"/>
    <w:rsid w:val="00DF0C27"/>
    <w:rsid w:val="00DF397E"/>
    <w:rsid w:val="00DF7DEF"/>
    <w:rsid w:val="00E0085E"/>
    <w:rsid w:val="00E01896"/>
    <w:rsid w:val="00E01C95"/>
    <w:rsid w:val="00E03374"/>
    <w:rsid w:val="00E0373B"/>
    <w:rsid w:val="00E03889"/>
    <w:rsid w:val="00E03FD0"/>
    <w:rsid w:val="00E04E7D"/>
    <w:rsid w:val="00E05668"/>
    <w:rsid w:val="00E05756"/>
    <w:rsid w:val="00E06B94"/>
    <w:rsid w:val="00E0766E"/>
    <w:rsid w:val="00E077DE"/>
    <w:rsid w:val="00E104EE"/>
    <w:rsid w:val="00E1095C"/>
    <w:rsid w:val="00E149E4"/>
    <w:rsid w:val="00E15CFD"/>
    <w:rsid w:val="00E1671D"/>
    <w:rsid w:val="00E16FAB"/>
    <w:rsid w:val="00E22D2A"/>
    <w:rsid w:val="00E242FC"/>
    <w:rsid w:val="00E262CC"/>
    <w:rsid w:val="00E305F5"/>
    <w:rsid w:val="00E31E36"/>
    <w:rsid w:val="00E32AD8"/>
    <w:rsid w:val="00E32E30"/>
    <w:rsid w:val="00E33A10"/>
    <w:rsid w:val="00E35716"/>
    <w:rsid w:val="00E36BFC"/>
    <w:rsid w:val="00E37190"/>
    <w:rsid w:val="00E377C2"/>
    <w:rsid w:val="00E37C4A"/>
    <w:rsid w:val="00E37CA8"/>
    <w:rsid w:val="00E37D23"/>
    <w:rsid w:val="00E402D8"/>
    <w:rsid w:val="00E4081E"/>
    <w:rsid w:val="00E40F5D"/>
    <w:rsid w:val="00E425FD"/>
    <w:rsid w:val="00E447D1"/>
    <w:rsid w:val="00E44920"/>
    <w:rsid w:val="00E4498A"/>
    <w:rsid w:val="00E449C7"/>
    <w:rsid w:val="00E45E47"/>
    <w:rsid w:val="00E4631A"/>
    <w:rsid w:val="00E4746D"/>
    <w:rsid w:val="00E4758C"/>
    <w:rsid w:val="00E50EF5"/>
    <w:rsid w:val="00E517E4"/>
    <w:rsid w:val="00E526ED"/>
    <w:rsid w:val="00E5429F"/>
    <w:rsid w:val="00E54F70"/>
    <w:rsid w:val="00E5530B"/>
    <w:rsid w:val="00E55C18"/>
    <w:rsid w:val="00E610C8"/>
    <w:rsid w:val="00E613A6"/>
    <w:rsid w:val="00E6156C"/>
    <w:rsid w:val="00E61612"/>
    <w:rsid w:val="00E61BA3"/>
    <w:rsid w:val="00E621B5"/>
    <w:rsid w:val="00E6225A"/>
    <w:rsid w:val="00E636F4"/>
    <w:rsid w:val="00E63B59"/>
    <w:rsid w:val="00E64598"/>
    <w:rsid w:val="00E65EEB"/>
    <w:rsid w:val="00E677C5"/>
    <w:rsid w:val="00E702D5"/>
    <w:rsid w:val="00E710DB"/>
    <w:rsid w:val="00E71973"/>
    <w:rsid w:val="00E721C0"/>
    <w:rsid w:val="00E723F4"/>
    <w:rsid w:val="00E731C0"/>
    <w:rsid w:val="00E736F1"/>
    <w:rsid w:val="00E7536A"/>
    <w:rsid w:val="00E84353"/>
    <w:rsid w:val="00E86705"/>
    <w:rsid w:val="00E873D6"/>
    <w:rsid w:val="00E87939"/>
    <w:rsid w:val="00E87ADB"/>
    <w:rsid w:val="00E909DB"/>
    <w:rsid w:val="00E91B17"/>
    <w:rsid w:val="00E91BC4"/>
    <w:rsid w:val="00E92EE9"/>
    <w:rsid w:val="00E949C8"/>
    <w:rsid w:val="00E95072"/>
    <w:rsid w:val="00E9648E"/>
    <w:rsid w:val="00E96D48"/>
    <w:rsid w:val="00EA14E1"/>
    <w:rsid w:val="00EA1EA1"/>
    <w:rsid w:val="00EA31C0"/>
    <w:rsid w:val="00EA3E3A"/>
    <w:rsid w:val="00EA4784"/>
    <w:rsid w:val="00EA4B87"/>
    <w:rsid w:val="00EA75C5"/>
    <w:rsid w:val="00EB1271"/>
    <w:rsid w:val="00EB3496"/>
    <w:rsid w:val="00EB438E"/>
    <w:rsid w:val="00EB46A6"/>
    <w:rsid w:val="00EB4C14"/>
    <w:rsid w:val="00EB5817"/>
    <w:rsid w:val="00EB73E0"/>
    <w:rsid w:val="00EC00DF"/>
    <w:rsid w:val="00EC0805"/>
    <w:rsid w:val="00EC1327"/>
    <w:rsid w:val="00EC18FA"/>
    <w:rsid w:val="00EC27C1"/>
    <w:rsid w:val="00EC3A4F"/>
    <w:rsid w:val="00EC41FC"/>
    <w:rsid w:val="00EC4F2D"/>
    <w:rsid w:val="00EC6C84"/>
    <w:rsid w:val="00ED17A9"/>
    <w:rsid w:val="00ED19D0"/>
    <w:rsid w:val="00ED1B2D"/>
    <w:rsid w:val="00ED1D4B"/>
    <w:rsid w:val="00ED217F"/>
    <w:rsid w:val="00ED528B"/>
    <w:rsid w:val="00ED7247"/>
    <w:rsid w:val="00EE0726"/>
    <w:rsid w:val="00EE1474"/>
    <w:rsid w:val="00EE1CFB"/>
    <w:rsid w:val="00EE1D93"/>
    <w:rsid w:val="00EE34B9"/>
    <w:rsid w:val="00EE3CEB"/>
    <w:rsid w:val="00EE3F24"/>
    <w:rsid w:val="00EF0DDD"/>
    <w:rsid w:val="00EF1138"/>
    <w:rsid w:val="00EF149F"/>
    <w:rsid w:val="00EF18B1"/>
    <w:rsid w:val="00EF217E"/>
    <w:rsid w:val="00EF3410"/>
    <w:rsid w:val="00EF3560"/>
    <w:rsid w:val="00EF3EFD"/>
    <w:rsid w:val="00EF4870"/>
    <w:rsid w:val="00EF7E0A"/>
    <w:rsid w:val="00F00C2F"/>
    <w:rsid w:val="00F0135C"/>
    <w:rsid w:val="00F03202"/>
    <w:rsid w:val="00F03785"/>
    <w:rsid w:val="00F039DB"/>
    <w:rsid w:val="00F03ABD"/>
    <w:rsid w:val="00F03AC2"/>
    <w:rsid w:val="00F04383"/>
    <w:rsid w:val="00F06331"/>
    <w:rsid w:val="00F068ED"/>
    <w:rsid w:val="00F069F7"/>
    <w:rsid w:val="00F0704D"/>
    <w:rsid w:val="00F1318E"/>
    <w:rsid w:val="00F137ED"/>
    <w:rsid w:val="00F13E08"/>
    <w:rsid w:val="00F13FBD"/>
    <w:rsid w:val="00F150E1"/>
    <w:rsid w:val="00F2071B"/>
    <w:rsid w:val="00F215F4"/>
    <w:rsid w:val="00F22F33"/>
    <w:rsid w:val="00F23BA9"/>
    <w:rsid w:val="00F24D4A"/>
    <w:rsid w:val="00F271D0"/>
    <w:rsid w:val="00F3214C"/>
    <w:rsid w:val="00F3312A"/>
    <w:rsid w:val="00F33A99"/>
    <w:rsid w:val="00F33CC3"/>
    <w:rsid w:val="00F342DE"/>
    <w:rsid w:val="00F345AD"/>
    <w:rsid w:val="00F358FF"/>
    <w:rsid w:val="00F35C75"/>
    <w:rsid w:val="00F37BF2"/>
    <w:rsid w:val="00F40588"/>
    <w:rsid w:val="00F40EDE"/>
    <w:rsid w:val="00F4162C"/>
    <w:rsid w:val="00F417D8"/>
    <w:rsid w:val="00F42EE4"/>
    <w:rsid w:val="00F43110"/>
    <w:rsid w:val="00F448A8"/>
    <w:rsid w:val="00F44CDA"/>
    <w:rsid w:val="00F452FC"/>
    <w:rsid w:val="00F45346"/>
    <w:rsid w:val="00F46221"/>
    <w:rsid w:val="00F469CD"/>
    <w:rsid w:val="00F46DA6"/>
    <w:rsid w:val="00F4722F"/>
    <w:rsid w:val="00F50633"/>
    <w:rsid w:val="00F50AFC"/>
    <w:rsid w:val="00F511BB"/>
    <w:rsid w:val="00F54403"/>
    <w:rsid w:val="00F5728C"/>
    <w:rsid w:val="00F57418"/>
    <w:rsid w:val="00F57441"/>
    <w:rsid w:val="00F577BD"/>
    <w:rsid w:val="00F603DD"/>
    <w:rsid w:val="00F62E42"/>
    <w:rsid w:val="00F634E9"/>
    <w:rsid w:val="00F63636"/>
    <w:rsid w:val="00F64731"/>
    <w:rsid w:val="00F64AAC"/>
    <w:rsid w:val="00F704DE"/>
    <w:rsid w:val="00F73336"/>
    <w:rsid w:val="00F736F3"/>
    <w:rsid w:val="00F73EB6"/>
    <w:rsid w:val="00F74E11"/>
    <w:rsid w:val="00F7625D"/>
    <w:rsid w:val="00F768E9"/>
    <w:rsid w:val="00F7787A"/>
    <w:rsid w:val="00F80451"/>
    <w:rsid w:val="00F82DD6"/>
    <w:rsid w:val="00F82FDA"/>
    <w:rsid w:val="00F84683"/>
    <w:rsid w:val="00F857D5"/>
    <w:rsid w:val="00F86548"/>
    <w:rsid w:val="00F866EE"/>
    <w:rsid w:val="00F869FC"/>
    <w:rsid w:val="00F86BD8"/>
    <w:rsid w:val="00F879B3"/>
    <w:rsid w:val="00F9030B"/>
    <w:rsid w:val="00F90D31"/>
    <w:rsid w:val="00F91C73"/>
    <w:rsid w:val="00F91E39"/>
    <w:rsid w:val="00F92A0D"/>
    <w:rsid w:val="00F92B82"/>
    <w:rsid w:val="00F95140"/>
    <w:rsid w:val="00F95717"/>
    <w:rsid w:val="00F95ADE"/>
    <w:rsid w:val="00F97E49"/>
    <w:rsid w:val="00FA0F53"/>
    <w:rsid w:val="00FA17EB"/>
    <w:rsid w:val="00FA1CC8"/>
    <w:rsid w:val="00FA3ED8"/>
    <w:rsid w:val="00FA52A7"/>
    <w:rsid w:val="00FA67DA"/>
    <w:rsid w:val="00FA7AFF"/>
    <w:rsid w:val="00FB0743"/>
    <w:rsid w:val="00FB1AB1"/>
    <w:rsid w:val="00FB351A"/>
    <w:rsid w:val="00FB4441"/>
    <w:rsid w:val="00FB61D7"/>
    <w:rsid w:val="00FB6C35"/>
    <w:rsid w:val="00FB74DB"/>
    <w:rsid w:val="00FB7660"/>
    <w:rsid w:val="00FC0AA2"/>
    <w:rsid w:val="00FC139C"/>
    <w:rsid w:val="00FC2F85"/>
    <w:rsid w:val="00FC30CD"/>
    <w:rsid w:val="00FC37A0"/>
    <w:rsid w:val="00FC3AB1"/>
    <w:rsid w:val="00FC3BEE"/>
    <w:rsid w:val="00FD0F75"/>
    <w:rsid w:val="00FD1104"/>
    <w:rsid w:val="00FD1B4C"/>
    <w:rsid w:val="00FD28F0"/>
    <w:rsid w:val="00FD2B3A"/>
    <w:rsid w:val="00FD3BD5"/>
    <w:rsid w:val="00FD3BFE"/>
    <w:rsid w:val="00FD4B6D"/>
    <w:rsid w:val="00FD5DF6"/>
    <w:rsid w:val="00FE0D62"/>
    <w:rsid w:val="00FE2CA9"/>
    <w:rsid w:val="00FE3024"/>
    <w:rsid w:val="00FE59BD"/>
    <w:rsid w:val="00FE65D1"/>
    <w:rsid w:val="00FE65D7"/>
    <w:rsid w:val="00FE714B"/>
    <w:rsid w:val="00FF2060"/>
    <w:rsid w:val="00FF21C2"/>
    <w:rsid w:val="00FF4D3B"/>
    <w:rsid w:val="00FF6E29"/>
    <w:rsid w:val="00FF761F"/>
    <w:rsid w:val="00FF7AA6"/>
    <w:rsid w:val="00FF7B46"/>
    <w:rsid w:val="00FF7B7C"/>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151EA3"/>
  <w15:chartTrackingRefBased/>
  <w15:docId w15:val="{4C3B7876-D7ED-47B7-B348-BFB0D7C91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7D2D"/>
    <w:pPr>
      <w:spacing w:after="0"/>
      <w:jc w:val="both"/>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uiPriority w:val="10"/>
    <w:qFormat/>
    <w:rsid w:val="00907D2D"/>
    <w:pPr>
      <w:spacing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907D2D"/>
    <w:rPr>
      <w:rFonts w:asciiTheme="majorHAnsi" w:eastAsiaTheme="majorEastAsia" w:hAnsiTheme="majorHAnsi" w:cstheme="majorBidi"/>
      <w:spacing w:val="-10"/>
      <w:kern w:val="28"/>
      <w:sz w:val="56"/>
      <w:szCs w:val="56"/>
    </w:rPr>
  </w:style>
  <w:style w:type="paragraph" w:styleId="Paragraphedeliste">
    <w:name w:val="List Paragraph"/>
    <w:basedOn w:val="Normal"/>
    <w:uiPriority w:val="34"/>
    <w:qFormat/>
    <w:rsid w:val="00907D2D"/>
    <w:pPr>
      <w:ind w:left="720"/>
      <w:contextualSpacing/>
    </w:pPr>
  </w:style>
  <w:style w:type="paragraph" w:styleId="Notedebasdepage">
    <w:name w:val="footnote text"/>
    <w:basedOn w:val="Normal"/>
    <w:link w:val="NotedebasdepageCar"/>
    <w:uiPriority w:val="99"/>
    <w:unhideWhenUsed/>
    <w:rsid w:val="0024733A"/>
    <w:pPr>
      <w:spacing w:line="240" w:lineRule="auto"/>
    </w:pPr>
    <w:rPr>
      <w:sz w:val="20"/>
      <w:szCs w:val="20"/>
    </w:rPr>
  </w:style>
  <w:style w:type="character" w:customStyle="1" w:styleId="NotedebasdepageCar">
    <w:name w:val="Note de bas de page Car"/>
    <w:basedOn w:val="Policepardfaut"/>
    <w:link w:val="Notedebasdepage"/>
    <w:uiPriority w:val="99"/>
    <w:rsid w:val="0024733A"/>
    <w:rPr>
      <w:sz w:val="20"/>
      <w:szCs w:val="20"/>
    </w:rPr>
  </w:style>
  <w:style w:type="character" w:styleId="Appelnotedebasdep">
    <w:name w:val="footnote reference"/>
    <w:basedOn w:val="Policepardfaut"/>
    <w:uiPriority w:val="99"/>
    <w:unhideWhenUsed/>
    <w:rsid w:val="0024733A"/>
    <w:rPr>
      <w:vertAlign w:val="superscript"/>
    </w:rPr>
  </w:style>
  <w:style w:type="paragraph" w:customStyle="1" w:styleId="justifie">
    <w:name w:val="justifie"/>
    <w:basedOn w:val="Normal"/>
    <w:rsid w:val="00F95140"/>
    <w:pPr>
      <w:spacing w:before="100" w:beforeAutospacing="1" w:after="100" w:afterAutospacing="1" w:line="240" w:lineRule="auto"/>
      <w:jc w:val="left"/>
    </w:pPr>
    <w:rPr>
      <w:rFonts w:ascii="Times New Roman" w:eastAsia="Times New Roman" w:hAnsi="Times New Roman" w:cs="Times New Roman"/>
      <w:sz w:val="24"/>
      <w:szCs w:val="24"/>
      <w:lang w:val="en-GB" w:eastAsia="en-GB"/>
    </w:rPr>
  </w:style>
  <w:style w:type="paragraph" w:styleId="Corpsdetexte">
    <w:name w:val="Body Text"/>
    <w:basedOn w:val="Normal"/>
    <w:link w:val="CorpsdetexteCar"/>
    <w:uiPriority w:val="99"/>
    <w:semiHidden/>
    <w:unhideWhenUsed/>
    <w:rsid w:val="00EE1CFB"/>
    <w:pPr>
      <w:spacing w:after="120"/>
    </w:pPr>
  </w:style>
  <w:style w:type="character" w:customStyle="1" w:styleId="CorpsdetexteCar">
    <w:name w:val="Corps de texte Car"/>
    <w:basedOn w:val="Policepardfaut"/>
    <w:link w:val="Corpsdetexte"/>
    <w:uiPriority w:val="99"/>
    <w:semiHidden/>
    <w:rsid w:val="00EE1CFB"/>
  </w:style>
  <w:style w:type="paragraph" w:styleId="En-tte">
    <w:name w:val="header"/>
    <w:basedOn w:val="Normal"/>
    <w:link w:val="En-tteCar"/>
    <w:uiPriority w:val="99"/>
    <w:unhideWhenUsed/>
    <w:rsid w:val="00881FB7"/>
    <w:pPr>
      <w:tabs>
        <w:tab w:val="center" w:pos="4536"/>
        <w:tab w:val="right" w:pos="9072"/>
      </w:tabs>
      <w:spacing w:line="240" w:lineRule="auto"/>
    </w:pPr>
  </w:style>
  <w:style w:type="character" w:customStyle="1" w:styleId="En-tteCar">
    <w:name w:val="En-tête Car"/>
    <w:basedOn w:val="Policepardfaut"/>
    <w:link w:val="En-tte"/>
    <w:uiPriority w:val="99"/>
    <w:rsid w:val="00881FB7"/>
  </w:style>
  <w:style w:type="paragraph" w:styleId="Pieddepage">
    <w:name w:val="footer"/>
    <w:basedOn w:val="Normal"/>
    <w:link w:val="PieddepageCar"/>
    <w:uiPriority w:val="99"/>
    <w:unhideWhenUsed/>
    <w:rsid w:val="00881FB7"/>
    <w:pPr>
      <w:tabs>
        <w:tab w:val="center" w:pos="4536"/>
        <w:tab w:val="right" w:pos="9072"/>
      </w:tabs>
      <w:spacing w:line="240" w:lineRule="auto"/>
    </w:pPr>
  </w:style>
  <w:style w:type="character" w:customStyle="1" w:styleId="PieddepageCar">
    <w:name w:val="Pied de page Car"/>
    <w:basedOn w:val="Policepardfaut"/>
    <w:link w:val="Pieddepage"/>
    <w:uiPriority w:val="99"/>
    <w:rsid w:val="00881F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89798635">
      <w:bodyDiv w:val="1"/>
      <w:marLeft w:val="0"/>
      <w:marRight w:val="0"/>
      <w:marTop w:val="0"/>
      <w:marBottom w:val="0"/>
      <w:divBdr>
        <w:top w:val="none" w:sz="0" w:space="0" w:color="auto"/>
        <w:left w:val="none" w:sz="0" w:space="0" w:color="auto"/>
        <w:bottom w:val="none" w:sz="0" w:space="0" w:color="auto"/>
        <w:right w:val="none" w:sz="0" w:space="0" w:color="auto"/>
      </w:divBdr>
    </w:div>
    <w:div w:id="779955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4480</TotalTime>
  <Pages>27</Pages>
  <Words>9857</Words>
  <Characters>56191</Characters>
  <Application>Microsoft Office Word</Application>
  <DocSecurity>0</DocSecurity>
  <Lines>468</Lines>
  <Paragraphs>131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65917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Candice Roussieau</dc:creator>
  <cp:keywords/>
  <dc:description/>
  <cp:lastModifiedBy>Candice Roussieau</cp:lastModifiedBy>
  <cp:revision>2153</cp:revision>
  <dcterms:created xsi:type="dcterms:W3CDTF">2021-04-26T07:45:00Z</dcterms:created>
  <dcterms:modified xsi:type="dcterms:W3CDTF">2021-05-31T14:39:00Z</dcterms:modified>
</cp:coreProperties>
</file>