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437E8" w14:textId="358345DA" w:rsidR="005B7B7E" w:rsidRDefault="005B7B7E" w:rsidP="005B7B7E">
      <w:pPr>
        <w:pStyle w:val="Title"/>
        <w:jc w:val="center"/>
        <w:rPr>
          <w:lang w:val="fr-FR"/>
        </w:rPr>
      </w:pPr>
      <w:r>
        <w:rPr>
          <w:lang w:val="fr-FR"/>
        </w:rPr>
        <w:t>Au-delà les personnes et les choses : le statut juridique des systèmes d’IA</w:t>
      </w:r>
    </w:p>
    <w:p w14:paraId="77E129B1" w14:textId="77777777" w:rsidR="005B7B7E" w:rsidRPr="005B7B7E" w:rsidRDefault="005B7B7E" w:rsidP="005B7B7E">
      <w:pPr>
        <w:rPr>
          <w:lang w:val="fr-FR"/>
        </w:rPr>
      </w:pPr>
    </w:p>
    <w:p w14:paraId="41E93558" w14:textId="1DE192AA" w:rsidR="00162863" w:rsidRPr="005B7B7E" w:rsidRDefault="005B7B7E" w:rsidP="005B7B7E">
      <w:pPr>
        <w:pStyle w:val="ListParagraph"/>
        <w:rPr>
          <w:lang w:val="fr-FR"/>
        </w:rPr>
      </w:pPr>
      <w:r w:rsidRPr="005B7B7E">
        <w:rPr>
          <w:lang w:val="fr-FR"/>
        </w:rPr>
        <w:t>Mots-clés : personnes, choses, statut juridique, systèmes d’IA</w:t>
      </w:r>
    </w:p>
    <w:p w14:paraId="6B76C9FC" w14:textId="001F7C67" w:rsidR="00FD25EA" w:rsidRPr="00600968" w:rsidRDefault="00162863" w:rsidP="00162863">
      <w:pPr>
        <w:jc w:val="both"/>
        <w:rPr>
          <w:lang w:val="fr-FR"/>
        </w:rPr>
      </w:pPr>
      <w:r w:rsidRPr="00162863">
        <w:rPr>
          <w:lang w:val="fr-FR"/>
        </w:rPr>
        <w:t>Il n'y a peut-être pas d'autre hypothèse aussi profondément enracinée dans la pensée humaine que celle d'une division entre les personnes et les choses, qui semble avoir organisé l'expérience humaine dès ses origines.</w:t>
      </w:r>
      <w:r>
        <w:rPr>
          <w:lang w:val="fr-FR"/>
        </w:rPr>
        <w:t xml:space="preserve"> </w:t>
      </w:r>
      <w:r w:rsidRPr="00162863">
        <w:rPr>
          <w:lang w:val="fr-FR"/>
        </w:rPr>
        <w:t>Des auteurs comme Gilbert Ryle</w:t>
      </w:r>
      <w:r w:rsidR="00600968">
        <w:rPr>
          <w:rStyle w:val="FootnoteReference"/>
          <w:lang w:val="fr-FR"/>
        </w:rPr>
        <w:footnoteReference w:id="1"/>
      </w:r>
      <w:r w:rsidRPr="00162863">
        <w:rPr>
          <w:lang w:val="fr-FR"/>
        </w:rPr>
        <w:t xml:space="preserve"> et J.L. Austin</w:t>
      </w:r>
      <w:r w:rsidR="00600968">
        <w:rPr>
          <w:rStyle w:val="FootnoteReference"/>
          <w:lang w:val="fr-FR"/>
        </w:rPr>
        <w:footnoteReference w:id="2"/>
      </w:r>
      <w:r w:rsidRPr="00162863">
        <w:rPr>
          <w:lang w:val="fr-FR"/>
        </w:rPr>
        <w:t xml:space="preserve"> soutiennent que même notre façon de parler repose sur une distinction fondamentale entre les personnes et les choses, une distinction si profonde qu'elle détermine les fondements mêmes de notre réflexion sur le monde et les autres.</w:t>
      </w:r>
      <w:r>
        <w:rPr>
          <w:lang w:val="fr-FR"/>
        </w:rPr>
        <w:t xml:space="preserve"> </w:t>
      </w:r>
      <w:r w:rsidRPr="00162863">
        <w:rPr>
          <w:lang w:val="fr-FR"/>
        </w:rPr>
        <w:t>C'est comme si</w:t>
      </w:r>
      <w:r>
        <w:rPr>
          <w:lang w:val="fr-FR"/>
        </w:rPr>
        <w:t xml:space="preserve"> </w:t>
      </w:r>
      <w:r w:rsidR="00600968" w:rsidRPr="00600968">
        <w:rPr>
          <w:rFonts w:ascii="FsqjnkDkcfcxTimesLTStd-Roman" w:hAnsi="FsqjnkDkcfcxTimesLTStd-Roman" w:cs="FsqjnkDkcfcxTimesLTStd-Roman"/>
          <w:color w:val="000000"/>
          <w:sz w:val="20"/>
          <w:szCs w:val="20"/>
          <w:lang w:val="fr-FR"/>
        </w:rPr>
        <w:t>“</w:t>
      </w:r>
      <w:r w:rsidRPr="00162863">
        <w:rPr>
          <w:lang w:val="fr-FR"/>
        </w:rPr>
        <w:t xml:space="preserve">une ligne de partage des eaux divise le monde, le coupant en deux zones définies par leur opposition mutuelle. Soit vous vous tenez de ce côté de la division, avec les personnes, soit de l'autre côté, avec les choses : il n'y a pas de </w:t>
      </w:r>
      <w:r w:rsidR="00080CBA">
        <w:rPr>
          <w:lang w:val="fr-FR"/>
        </w:rPr>
        <w:t>pont</w:t>
      </w:r>
      <w:r w:rsidRPr="00162863">
        <w:rPr>
          <w:lang w:val="fr-FR"/>
        </w:rPr>
        <w:t xml:space="preserve"> entre les deux pour les unir.</w:t>
      </w:r>
      <w:r w:rsidR="00600968" w:rsidRPr="00600968">
        <w:rPr>
          <w:rFonts w:ascii="FsqjnkDkcfcxTimesLTStd-Roman" w:hAnsi="FsqjnkDkcfcxTimesLTStd-Roman" w:cs="FsqjnkDkcfcxTimesLTStd-Roman"/>
          <w:color w:val="000000"/>
          <w:sz w:val="20"/>
          <w:szCs w:val="20"/>
          <w:lang w:val="fr-FR"/>
        </w:rPr>
        <w:t xml:space="preserve"> ”</w:t>
      </w:r>
      <w:r w:rsidR="00600968">
        <w:rPr>
          <w:rStyle w:val="FootnoteReference"/>
          <w:rFonts w:ascii="FsqjnkDkcfcxTimesLTStd-Roman" w:hAnsi="FsqjnkDkcfcxTimesLTStd-Roman" w:cs="FsqjnkDkcfcxTimesLTStd-Roman"/>
          <w:color w:val="000000"/>
          <w:sz w:val="20"/>
          <w:szCs w:val="20"/>
          <w:lang w:val="fr-FR"/>
        </w:rPr>
        <w:footnoteReference w:id="3"/>
      </w:r>
    </w:p>
    <w:p w14:paraId="4E7DF278" w14:textId="1B56FC94" w:rsidR="00162863" w:rsidRDefault="00162863" w:rsidP="00162863">
      <w:pPr>
        <w:jc w:val="both"/>
        <w:rPr>
          <w:lang w:val="fr-FR"/>
        </w:rPr>
      </w:pPr>
      <w:r w:rsidRPr="00162863">
        <w:rPr>
          <w:lang w:val="fr-FR"/>
        </w:rPr>
        <w:t>Loin d'être un phénomène naturel cependant, cette idée a pris racine</w:t>
      </w:r>
      <w:r w:rsidR="00080CBA">
        <w:rPr>
          <w:lang w:val="fr-FR"/>
        </w:rPr>
        <w:t>,</w:t>
      </w:r>
      <w:r w:rsidRPr="00162863">
        <w:rPr>
          <w:lang w:val="fr-FR"/>
        </w:rPr>
        <w:t xml:space="preserve"> s'est développée et peut donc être retracée dans l'histoire qu'elle a façonnée en cours de route.</w:t>
      </w:r>
      <w:r>
        <w:rPr>
          <w:lang w:val="fr-FR"/>
        </w:rPr>
        <w:t xml:space="preserve"> </w:t>
      </w:r>
      <w:r w:rsidRPr="00162863">
        <w:rPr>
          <w:lang w:val="fr-FR"/>
        </w:rPr>
        <w:t xml:space="preserve">Dans le domaine juridique, </w:t>
      </w:r>
      <w:r>
        <w:rPr>
          <w:lang w:val="fr-FR"/>
        </w:rPr>
        <w:t>elle</w:t>
      </w:r>
      <w:r w:rsidRPr="00162863">
        <w:rPr>
          <w:lang w:val="fr-FR"/>
        </w:rPr>
        <w:t xml:space="preserve"> remonte au moins au moment où Gaius a divisé </w:t>
      </w:r>
      <w:r>
        <w:rPr>
          <w:lang w:val="fr-FR"/>
        </w:rPr>
        <w:t xml:space="preserve">le droit </w:t>
      </w:r>
      <w:r w:rsidRPr="00162863">
        <w:rPr>
          <w:lang w:val="fr-FR"/>
        </w:rPr>
        <w:t>en</w:t>
      </w:r>
      <w:r>
        <w:rPr>
          <w:lang w:val="fr-FR"/>
        </w:rPr>
        <w:t>tre</w:t>
      </w:r>
      <w:r w:rsidRPr="00162863">
        <w:rPr>
          <w:lang w:val="fr-FR"/>
        </w:rPr>
        <w:t xml:space="preserve"> </w:t>
      </w:r>
      <w:r>
        <w:rPr>
          <w:lang w:val="fr-FR"/>
        </w:rPr>
        <w:t xml:space="preserve">les </w:t>
      </w:r>
      <w:r w:rsidRPr="00162863">
        <w:rPr>
          <w:lang w:val="fr-FR"/>
        </w:rPr>
        <w:t xml:space="preserve">personnes et </w:t>
      </w:r>
      <w:r>
        <w:rPr>
          <w:lang w:val="fr-FR"/>
        </w:rPr>
        <w:t xml:space="preserve">les </w:t>
      </w:r>
      <w:r w:rsidRPr="00162863">
        <w:rPr>
          <w:lang w:val="fr-FR"/>
        </w:rPr>
        <w:t xml:space="preserve">choses, les actions étant abandonnées en tant que troisième élément </w:t>
      </w:r>
      <w:r w:rsidR="00080CBA">
        <w:rPr>
          <w:lang w:val="fr-FR"/>
        </w:rPr>
        <w:t xml:space="preserve">quelque part </w:t>
      </w:r>
      <w:r>
        <w:rPr>
          <w:lang w:val="fr-FR"/>
        </w:rPr>
        <w:t>tout au long de ce trajet</w:t>
      </w:r>
      <w:r w:rsidRPr="00162863">
        <w:rPr>
          <w:lang w:val="fr-FR"/>
        </w:rPr>
        <w:t xml:space="preserve">, </w:t>
      </w:r>
      <w:r w:rsidR="00080CBA">
        <w:rPr>
          <w:lang w:val="fr-FR"/>
        </w:rPr>
        <w:t xml:space="preserve">avec </w:t>
      </w:r>
      <w:r w:rsidRPr="00162863">
        <w:rPr>
          <w:lang w:val="fr-FR"/>
        </w:rPr>
        <w:t>l'objection qu'elles répondaient à un critère de catégorisation différent.</w:t>
      </w:r>
      <w:r>
        <w:rPr>
          <w:lang w:val="fr-FR"/>
        </w:rPr>
        <w:t xml:space="preserve"> </w:t>
      </w:r>
      <w:r w:rsidRPr="00162863">
        <w:rPr>
          <w:lang w:val="fr-FR"/>
        </w:rPr>
        <w:t xml:space="preserve">Selon quel critère les personnes et les choses ont été catégorisées comme des </w:t>
      </w:r>
      <w:r w:rsidR="00F23035">
        <w:rPr>
          <w:lang w:val="fr-FR"/>
        </w:rPr>
        <w:t xml:space="preserve">notions </w:t>
      </w:r>
      <w:r w:rsidRPr="00162863">
        <w:rPr>
          <w:lang w:val="fr-FR"/>
        </w:rPr>
        <w:t>opposés est également quelque peu controversé, puisque par exemple admettre que la sensibilité est la réponse soulève la question du statut juridique des animaux, qui sont</w:t>
      </w:r>
      <w:r w:rsidR="00F23035">
        <w:rPr>
          <w:lang w:val="fr-FR"/>
        </w:rPr>
        <w:t xml:space="preserve">, </w:t>
      </w:r>
      <w:r w:rsidR="00F23035" w:rsidRPr="00162863">
        <w:rPr>
          <w:lang w:val="fr-FR"/>
        </w:rPr>
        <w:t>sauf de manière déclarative</w:t>
      </w:r>
      <w:r w:rsidR="00F23035">
        <w:rPr>
          <w:lang w:val="fr-FR"/>
        </w:rPr>
        <w:t>,</w:t>
      </w:r>
      <w:r w:rsidRPr="00162863">
        <w:rPr>
          <w:lang w:val="fr-FR"/>
        </w:rPr>
        <w:t xml:space="preserve"> toujours traités comme des choses </w:t>
      </w:r>
      <w:r w:rsidR="00F23035">
        <w:rPr>
          <w:lang w:val="fr-FR"/>
        </w:rPr>
        <w:t>par</w:t>
      </w:r>
      <w:r w:rsidRPr="00162863">
        <w:rPr>
          <w:lang w:val="fr-FR"/>
        </w:rPr>
        <w:t xml:space="preserve"> la loi.</w:t>
      </w:r>
      <w:r w:rsidR="00F23035">
        <w:rPr>
          <w:lang w:val="fr-FR"/>
        </w:rPr>
        <w:t xml:space="preserve"> </w:t>
      </w:r>
      <w:r w:rsidR="00F23035" w:rsidRPr="00F23035">
        <w:rPr>
          <w:lang w:val="fr-FR"/>
        </w:rPr>
        <w:t>D'autres critères tracent des frontières différentes</w:t>
      </w:r>
      <w:r w:rsidR="00F23035">
        <w:rPr>
          <w:lang w:val="fr-FR"/>
        </w:rPr>
        <w:t>,</w:t>
      </w:r>
      <w:r w:rsidR="00F23035" w:rsidRPr="00F23035">
        <w:rPr>
          <w:lang w:val="fr-FR"/>
        </w:rPr>
        <w:t xml:space="preserve"> incluant ou excluant </w:t>
      </w:r>
      <w:r w:rsidR="00F23035">
        <w:rPr>
          <w:lang w:val="fr-FR"/>
        </w:rPr>
        <w:t>d</w:t>
      </w:r>
      <w:r w:rsidR="00F23035" w:rsidRPr="00F23035">
        <w:rPr>
          <w:lang w:val="fr-FR"/>
        </w:rPr>
        <w:t>es entités dont le traitement en tant que personnes ou choses est répréhensible pour certains</w:t>
      </w:r>
      <w:r w:rsidR="00484D5B">
        <w:rPr>
          <w:lang w:val="fr-FR"/>
        </w:rPr>
        <w:t xml:space="preserve"> ou pour d’autres</w:t>
      </w:r>
      <w:r w:rsidR="00F23035" w:rsidRPr="00F23035">
        <w:rPr>
          <w:lang w:val="fr-FR"/>
        </w:rPr>
        <w:t xml:space="preserve">. Les systèmes d'IA sont de plus en plus de telles entités, avec leur étrange capacité à chevaucher la frontière personne-chose, en partie grâce à des anthropomorphismes comme celui-ci, mais aussi à leur autonomie, </w:t>
      </w:r>
      <w:r w:rsidR="00484D5B">
        <w:rPr>
          <w:lang w:val="fr-FR"/>
        </w:rPr>
        <w:t xml:space="preserve">leur </w:t>
      </w:r>
      <w:r w:rsidR="00F23035" w:rsidRPr="00F23035">
        <w:rPr>
          <w:lang w:val="fr-FR"/>
        </w:rPr>
        <w:t>adaptabilité et leurs capacités d'auto-apprentissage.</w:t>
      </w:r>
    </w:p>
    <w:p w14:paraId="4EAE952C" w14:textId="4B847EC8" w:rsidR="00F23035" w:rsidRPr="00162863" w:rsidRDefault="00F23035" w:rsidP="00162863">
      <w:pPr>
        <w:jc w:val="both"/>
        <w:rPr>
          <w:lang w:val="fr-FR"/>
        </w:rPr>
      </w:pPr>
      <w:r w:rsidRPr="00F23035">
        <w:rPr>
          <w:lang w:val="fr-FR"/>
        </w:rPr>
        <w:t xml:space="preserve">L'anthropologie raconte cependant une histoire </w:t>
      </w:r>
      <w:r>
        <w:rPr>
          <w:lang w:val="fr-FR"/>
        </w:rPr>
        <w:t>alternative</w:t>
      </w:r>
      <w:r w:rsidRPr="00F23035">
        <w:rPr>
          <w:lang w:val="fr-FR"/>
        </w:rPr>
        <w:t xml:space="preserve">, qui se déroule dans des sociétés où les </w:t>
      </w:r>
      <w:r w:rsidR="00484D5B">
        <w:rPr>
          <w:lang w:val="fr-FR"/>
        </w:rPr>
        <w:t>personnes</w:t>
      </w:r>
      <w:r w:rsidRPr="00F23035">
        <w:rPr>
          <w:lang w:val="fr-FR"/>
        </w:rPr>
        <w:t xml:space="preserve"> et les choses font partie du même horizon, où non seulement ils interagissent, mais se complètent et où les choses sont plus que de simples outils ou objets détenus en tant que propriété privée. Cette contribution cherche à traduire </w:t>
      </w:r>
      <w:r w:rsidR="00B247C7">
        <w:rPr>
          <w:lang w:val="fr-FR"/>
        </w:rPr>
        <w:t xml:space="preserve">ce récit </w:t>
      </w:r>
      <w:r w:rsidRPr="00F23035">
        <w:rPr>
          <w:lang w:val="fr-FR"/>
        </w:rPr>
        <w:t xml:space="preserve">dans le domaine juridique, à travers la problématisation de </w:t>
      </w:r>
      <w:r w:rsidR="00B247C7">
        <w:rPr>
          <w:lang w:val="fr-FR"/>
        </w:rPr>
        <w:t>l’</w:t>
      </w:r>
      <w:r w:rsidRPr="00F23035">
        <w:rPr>
          <w:lang w:val="fr-FR"/>
        </w:rPr>
        <w:t>hypothèse dichotomique qui sous-tend les doctrines juridiques occidentales</w:t>
      </w:r>
      <w:r w:rsidR="00B247C7">
        <w:rPr>
          <w:lang w:val="fr-FR"/>
        </w:rPr>
        <w:t>.</w:t>
      </w:r>
      <w:r w:rsidRPr="00F23035">
        <w:rPr>
          <w:lang w:val="fr-FR"/>
        </w:rPr>
        <w:t xml:space="preserve"> Elle cherche à suggérer des façons dont nos catégories théoriques de personne et de chose pourraient être construites sur des bases plus solides</w:t>
      </w:r>
      <w:r w:rsidR="00B247C7">
        <w:rPr>
          <w:lang w:val="fr-FR"/>
        </w:rPr>
        <w:t>, qui soient assez flexibles</w:t>
      </w:r>
      <w:r w:rsidR="00B247C7" w:rsidRPr="00B247C7">
        <w:rPr>
          <w:lang w:val="fr-FR"/>
        </w:rPr>
        <w:t xml:space="preserve"> </w:t>
      </w:r>
      <w:r w:rsidR="00B247C7">
        <w:rPr>
          <w:lang w:val="fr-FR"/>
        </w:rPr>
        <w:t>cependant comme pour permettre de créer de nouvelles catégories et ainsi résoudre les problèmes de la pratique juridique</w:t>
      </w:r>
      <w:r w:rsidRPr="00F23035">
        <w:rPr>
          <w:lang w:val="fr-FR"/>
        </w:rPr>
        <w:t>.</w:t>
      </w:r>
      <w:r w:rsidR="00B247C7" w:rsidRPr="00B247C7">
        <w:rPr>
          <w:lang w:val="fr-FR"/>
        </w:rPr>
        <w:t xml:space="preserve"> Elle vise </w:t>
      </w:r>
      <w:r w:rsidR="00B247C7">
        <w:rPr>
          <w:lang w:val="fr-FR"/>
        </w:rPr>
        <w:t>donc</w:t>
      </w:r>
      <w:r w:rsidR="00B247C7" w:rsidRPr="00B247C7">
        <w:rPr>
          <w:lang w:val="fr-FR"/>
        </w:rPr>
        <w:t xml:space="preserve"> à </w:t>
      </w:r>
      <w:r w:rsidR="00B247C7" w:rsidRPr="00B247C7">
        <w:rPr>
          <w:lang w:val="fr-FR"/>
        </w:rPr>
        <w:lastRenderedPageBreak/>
        <w:t xml:space="preserve">interroger les façons dont les systèmes d'IA dépassent les bornes pour répondre à la question de leur qualification juridique. L’argument est que celle-ci peut comporter trois dimensions : le droit peut traiter </w:t>
      </w:r>
      <w:r w:rsidR="00F72C6D">
        <w:rPr>
          <w:lang w:val="fr-FR"/>
        </w:rPr>
        <w:t>c</w:t>
      </w:r>
      <w:r w:rsidR="00B247C7" w:rsidRPr="00B247C7">
        <w:rPr>
          <w:lang w:val="fr-FR"/>
        </w:rPr>
        <w:t>es système</w:t>
      </w:r>
      <w:r w:rsidR="00F72C6D">
        <w:rPr>
          <w:lang w:val="fr-FR"/>
        </w:rPr>
        <w:t xml:space="preserve">s </w:t>
      </w:r>
      <w:r w:rsidR="00080CBA">
        <w:rPr>
          <w:lang w:val="fr-FR"/>
        </w:rPr>
        <w:t>comme des</w:t>
      </w:r>
      <w:r w:rsidR="00B247C7" w:rsidRPr="00B247C7">
        <w:rPr>
          <w:lang w:val="fr-FR"/>
        </w:rPr>
        <w:t xml:space="preserve"> choses, comme des personnes juridiques ou bien </w:t>
      </w:r>
      <w:r w:rsidR="00080CBA">
        <w:rPr>
          <w:lang w:val="fr-FR"/>
        </w:rPr>
        <w:t>comme</w:t>
      </w:r>
      <w:r w:rsidR="00F72C6D">
        <w:rPr>
          <w:lang w:val="fr-FR"/>
        </w:rPr>
        <w:t xml:space="preserve"> des toutes nouvelles</w:t>
      </w:r>
      <w:r w:rsidR="00080CBA">
        <w:rPr>
          <w:lang w:val="fr-FR"/>
        </w:rPr>
        <w:t xml:space="preserve"> entités </w:t>
      </w:r>
      <w:r w:rsidR="00080CBA" w:rsidRPr="00080CBA">
        <w:rPr>
          <w:i/>
          <w:iCs/>
          <w:lang w:val="fr-FR"/>
        </w:rPr>
        <w:t>sui generis</w:t>
      </w:r>
      <w:r w:rsidR="00B247C7" w:rsidRPr="00B247C7">
        <w:rPr>
          <w:lang w:val="fr-FR"/>
        </w:rPr>
        <w:t>.</w:t>
      </w:r>
    </w:p>
    <w:sectPr w:rsidR="00F23035" w:rsidRPr="001628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5503" w14:textId="77777777" w:rsidR="00DA2AFE" w:rsidRDefault="00DA2AFE" w:rsidP="00600968">
      <w:pPr>
        <w:spacing w:after="0" w:line="240" w:lineRule="auto"/>
      </w:pPr>
      <w:r>
        <w:separator/>
      </w:r>
    </w:p>
  </w:endnote>
  <w:endnote w:type="continuationSeparator" w:id="0">
    <w:p w14:paraId="79D54129" w14:textId="77777777" w:rsidR="00DA2AFE" w:rsidRDefault="00DA2AFE" w:rsidP="0060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sqjnkDkcfcxTimesLTStd-Roman">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548F" w14:textId="77777777" w:rsidR="00DA2AFE" w:rsidRDefault="00DA2AFE" w:rsidP="00600968">
      <w:pPr>
        <w:spacing w:after="0" w:line="240" w:lineRule="auto"/>
      </w:pPr>
      <w:r>
        <w:separator/>
      </w:r>
    </w:p>
  </w:footnote>
  <w:footnote w:type="continuationSeparator" w:id="0">
    <w:p w14:paraId="4D5C3443" w14:textId="77777777" w:rsidR="00DA2AFE" w:rsidRDefault="00DA2AFE" w:rsidP="00600968">
      <w:pPr>
        <w:spacing w:after="0" w:line="240" w:lineRule="auto"/>
      </w:pPr>
      <w:r>
        <w:continuationSeparator/>
      </w:r>
    </w:p>
  </w:footnote>
  <w:footnote w:id="1">
    <w:p w14:paraId="3179ABD3" w14:textId="23C1955C" w:rsidR="00600968" w:rsidRPr="00600968" w:rsidRDefault="00600968">
      <w:pPr>
        <w:pStyle w:val="FootnoteText"/>
        <w:rPr>
          <w:lang w:val="en-US"/>
        </w:rPr>
      </w:pPr>
      <w:r>
        <w:rPr>
          <w:rStyle w:val="FootnoteReference"/>
        </w:rPr>
        <w:footnoteRef/>
      </w:r>
      <w:r>
        <w:t xml:space="preserve"> </w:t>
      </w:r>
      <w:r w:rsidRPr="00600968">
        <w:rPr>
          <w:lang w:val="en-US"/>
        </w:rPr>
        <w:t xml:space="preserve">Ryle, G. 2002. </w:t>
      </w:r>
      <w:r w:rsidRPr="00600968">
        <w:rPr>
          <w:i/>
          <w:iCs/>
          <w:lang w:val="en-US"/>
        </w:rPr>
        <w:t>The Concept of Mind</w:t>
      </w:r>
      <w:r w:rsidRPr="00600968">
        <w:rPr>
          <w:lang w:val="en-US"/>
        </w:rPr>
        <w:t>. Chicago: The University of Chicago Press.</w:t>
      </w:r>
    </w:p>
  </w:footnote>
  <w:footnote w:id="2">
    <w:p w14:paraId="0BD7BAEC" w14:textId="5FB6F1E2" w:rsidR="00600968" w:rsidRPr="005B7B7E" w:rsidRDefault="00600968">
      <w:pPr>
        <w:pStyle w:val="FootnoteText"/>
        <w:rPr>
          <w:lang w:val="en-US"/>
        </w:rPr>
      </w:pPr>
      <w:r>
        <w:rPr>
          <w:rStyle w:val="FootnoteReference"/>
        </w:rPr>
        <w:footnoteRef/>
      </w:r>
      <w:r>
        <w:t xml:space="preserve"> </w:t>
      </w:r>
      <w:r w:rsidRPr="00600968">
        <w:rPr>
          <w:lang w:val="en-US"/>
        </w:rPr>
        <w:t xml:space="preserve">Austin, J.L. 1976. </w:t>
      </w:r>
      <w:r w:rsidRPr="00600968">
        <w:rPr>
          <w:i/>
          <w:iCs/>
          <w:lang w:val="en-US"/>
        </w:rPr>
        <w:t>How to do Things with Words</w:t>
      </w:r>
      <w:r w:rsidRPr="00600968">
        <w:rPr>
          <w:lang w:val="en-US"/>
        </w:rPr>
        <w:t>. Oxford: Oxford University Press.</w:t>
      </w:r>
    </w:p>
  </w:footnote>
  <w:footnote w:id="3">
    <w:p w14:paraId="52F434F6" w14:textId="7241F66A" w:rsidR="00600968" w:rsidRPr="00600968" w:rsidRDefault="00600968">
      <w:pPr>
        <w:pStyle w:val="FootnoteText"/>
        <w:rPr>
          <w:lang w:val="en-US"/>
        </w:rPr>
      </w:pPr>
      <w:r>
        <w:rPr>
          <w:rStyle w:val="FootnoteReference"/>
        </w:rPr>
        <w:footnoteRef/>
      </w:r>
      <w:r>
        <w:t xml:space="preserve"> Esposito, R. 2015. </w:t>
      </w:r>
      <w:r w:rsidRPr="00E540BD">
        <w:rPr>
          <w:i/>
          <w:iCs/>
        </w:rPr>
        <w:t>Persons and things: from the Body’s Point of View</w:t>
      </w:r>
      <w:r>
        <w:t>, Polity Press, p.2, trad.n.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63"/>
    <w:rsid w:val="00080CBA"/>
    <w:rsid w:val="00162863"/>
    <w:rsid w:val="002E3F6F"/>
    <w:rsid w:val="00484D5B"/>
    <w:rsid w:val="00577526"/>
    <w:rsid w:val="005B7B7E"/>
    <w:rsid w:val="00600968"/>
    <w:rsid w:val="006A2CC4"/>
    <w:rsid w:val="00B247C7"/>
    <w:rsid w:val="00BA5EB7"/>
    <w:rsid w:val="00DA2AFE"/>
    <w:rsid w:val="00F23035"/>
    <w:rsid w:val="00F72C6D"/>
    <w:rsid w:val="00FD2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6A0D"/>
  <w15:chartTrackingRefBased/>
  <w15:docId w15:val="{08720589-E74A-40E3-A9DE-D5C434C4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09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0968"/>
    <w:rPr>
      <w:sz w:val="20"/>
      <w:szCs w:val="20"/>
      <w:lang w:val="en-GB"/>
    </w:rPr>
  </w:style>
  <w:style w:type="character" w:styleId="FootnoteReference">
    <w:name w:val="footnote reference"/>
    <w:basedOn w:val="DefaultParagraphFont"/>
    <w:uiPriority w:val="99"/>
    <w:semiHidden/>
    <w:unhideWhenUsed/>
    <w:rsid w:val="00600968"/>
    <w:rPr>
      <w:vertAlign w:val="superscript"/>
    </w:rPr>
  </w:style>
  <w:style w:type="paragraph" w:styleId="ListParagraph">
    <w:name w:val="List Paragraph"/>
    <w:basedOn w:val="Normal"/>
    <w:uiPriority w:val="34"/>
    <w:qFormat/>
    <w:rsid w:val="005B7B7E"/>
    <w:pPr>
      <w:ind w:left="720"/>
      <w:contextualSpacing/>
    </w:pPr>
  </w:style>
  <w:style w:type="paragraph" w:styleId="Title">
    <w:name w:val="Title"/>
    <w:basedOn w:val="Normal"/>
    <w:next w:val="Normal"/>
    <w:link w:val="TitleChar"/>
    <w:uiPriority w:val="10"/>
    <w:qFormat/>
    <w:rsid w:val="005B7B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B7E"/>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177774">
      <w:bodyDiv w:val="1"/>
      <w:marLeft w:val="0"/>
      <w:marRight w:val="0"/>
      <w:marTop w:val="0"/>
      <w:marBottom w:val="0"/>
      <w:divBdr>
        <w:top w:val="none" w:sz="0" w:space="0" w:color="auto"/>
        <w:left w:val="none" w:sz="0" w:space="0" w:color="auto"/>
        <w:bottom w:val="none" w:sz="0" w:space="0" w:color="auto"/>
        <w:right w:val="none" w:sz="0" w:space="0" w:color="auto"/>
      </w:divBdr>
    </w:div>
    <w:div w:id="1232347814">
      <w:bodyDiv w:val="1"/>
      <w:marLeft w:val="0"/>
      <w:marRight w:val="0"/>
      <w:marTop w:val="0"/>
      <w:marBottom w:val="0"/>
      <w:divBdr>
        <w:top w:val="none" w:sz="0" w:space="0" w:color="auto"/>
        <w:left w:val="none" w:sz="0" w:space="0" w:color="auto"/>
        <w:bottom w:val="none" w:sz="0" w:space="0" w:color="auto"/>
        <w:right w:val="none" w:sz="0" w:space="0" w:color="auto"/>
      </w:divBdr>
    </w:div>
    <w:div w:id="1425691923">
      <w:bodyDiv w:val="1"/>
      <w:marLeft w:val="0"/>
      <w:marRight w:val="0"/>
      <w:marTop w:val="0"/>
      <w:marBottom w:val="0"/>
      <w:divBdr>
        <w:top w:val="none" w:sz="0" w:space="0" w:color="auto"/>
        <w:left w:val="none" w:sz="0" w:space="0" w:color="auto"/>
        <w:bottom w:val="none" w:sz="0" w:space="0" w:color="auto"/>
        <w:right w:val="none" w:sz="0" w:space="0" w:color="auto"/>
      </w:divBdr>
      <w:divsChild>
        <w:div w:id="813110296">
          <w:marLeft w:val="0"/>
          <w:marRight w:val="0"/>
          <w:marTop w:val="0"/>
          <w:marBottom w:val="0"/>
          <w:divBdr>
            <w:top w:val="none" w:sz="0" w:space="0" w:color="auto"/>
            <w:left w:val="none" w:sz="0" w:space="0" w:color="auto"/>
            <w:bottom w:val="none" w:sz="0" w:space="0" w:color="auto"/>
            <w:right w:val="none" w:sz="0" w:space="0" w:color="auto"/>
          </w:divBdr>
          <w:divsChild>
            <w:div w:id="1211771434">
              <w:marLeft w:val="0"/>
              <w:marRight w:val="0"/>
              <w:marTop w:val="0"/>
              <w:marBottom w:val="0"/>
              <w:divBdr>
                <w:top w:val="none" w:sz="0" w:space="0" w:color="auto"/>
                <w:left w:val="none" w:sz="0" w:space="0" w:color="auto"/>
                <w:bottom w:val="none" w:sz="0" w:space="0" w:color="auto"/>
                <w:right w:val="none" w:sz="0" w:space="0" w:color="auto"/>
              </w:divBdr>
              <w:divsChild>
                <w:div w:id="752241961">
                  <w:marLeft w:val="0"/>
                  <w:marRight w:val="0"/>
                  <w:marTop w:val="0"/>
                  <w:marBottom w:val="0"/>
                  <w:divBdr>
                    <w:top w:val="none" w:sz="0" w:space="0" w:color="auto"/>
                    <w:left w:val="none" w:sz="0" w:space="0" w:color="auto"/>
                    <w:bottom w:val="none" w:sz="0" w:space="0" w:color="auto"/>
                    <w:right w:val="none" w:sz="0" w:space="0" w:color="auto"/>
                  </w:divBdr>
                  <w:divsChild>
                    <w:div w:id="1495799110">
                      <w:marLeft w:val="0"/>
                      <w:marRight w:val="0"/>
                      <w:marTop w:val="0"/>
                      <w:marBottom w:val="0"/>
                      <w:divBdr>
                        <w:top w:val="none" w:sz="0" w:space="0" w:color="auto"/>
                        <w:left w:val="none" w:sz="0" w:space="0" w:color="auto"/>
                        <w:bottom w:val="none" w:sz="0" w:space="0" w:color="auto"/>
                        <w:right w:val="none" w:sz="0" w:space="0" w:color="auto"/>
                      </w:divBdr>
                      <w:divsChild>
                        <w:div w:id="2095738026">
                          <w:marLeft w:val="0"/>
                          <w:marRight w:val="0"/>
                          <w:marTop w:val="0"/>
                          <w:marBottom w:val="0"/>
                          <w:divBdr>
                            <w:top w:val="none" w:sz="0" w:space="0" w:color="auto"/>
                            <w:left w:val="none" w:sz="0" w:space="0" w:color="auto"/>
                            <w:bottom w:val="none" w:sz="0" w:space="0" w:color="auto"/>
                            <w:right w:val="none" w:sz="0" w:space="0" w:color="auto"/>
                          </w:divBdr>
                          <w:divsChild>
                            <w:div w:id="1337533486">
                              <w:marLeft w:val="0"/>
                              <w:marRight w:val="0"/>
                              <w:marTop w:val="0"/>
                              <w:marBottom w:val="0"/>
                              <w:divBdr>
                                <w:top w:val="none" w:sz="0" w:space="0" w:color="auto"/>
                                <w:left w:val="none" w:sz="0" w:space="0" w:color="auto"/>
                                <w:bottom w:val="none" w:sz="0" w:space="0" w:color="auto"/>
                                <w:right w:val="none" w:sz="0" w:space="0" w:color="auto"/>
                              </w:divBdr>
                              <w:divsChild>
                                <w:div w:id="828406444">
                                  <w:marLeft w:val="0"/>
                                  <w:marRight w:val="0"/>
                                  <w:marTop w:val="0"/>
                                  <w:marBottom w:val="0"/>
                                  <w:divBdr>
                                    <w:top w:val="none" w:sz="0" w:space="0" w:color="auto"/>
                                    <w:left w:val="none" w:sz="0" w:space="0" w:color="auto"/>
                                    <w:bottom w:val="none" w:sz="0" w:space="0" w:color="auto"/>
                                    <w:right w:val="none" w:sz="0" w:space="0" w:color="auto"/>
                                  </w:divBdr>
                                  <w:divsChild>
                                    <w:div w:id="1515799969">
                                      <w:marLeft w:val="0"/>
                                      <w:marRight w:val="0"/>
                                      <w:marTop w:val="0"/>
                                      <w:marBottom w:val="0"/>
                                      <w:divBdr>
                                        <w:top w:val="none" w:sz="0" w:space="0" w:color="auto"/>
                                        <w:left w:val="none" w:sz="0" w:space="0" w:color="auto"/>
                                        <w:bottom w:val="none" w:sz="0" w:space="0" w:color="auto"/>
                                        <w:right w:val="none" w:sz="0" w:space="0" w:color="auto"/>
                                      </w:divBdr>
                                    </w:div>
                                    <w:div w:id="1485857513">
                                      <w:marLeft w:val="0"/>
                                      <w:marRight w:val="0"/>
                                      <w:marTop w:val="0"/>
                                      <w:marBottom w:val="0"/>
                                      <w:divBdr>
                                        <w:top w:val="none" w:sz="0" w:space="0" w:color="auto"/>
                                        <w:left w:val="none" w:sz="0" w:space="0" w:color="auto"/>
                                        <w:bottom w:val="none" w:sz="0" w:space="0" w:color="auto"/>
                                        <w:right w:val="none" w:sz="0" w:space="0" w:color="auto"/>
                                      </w:divBdr>
                                      <w:divsChild>
                                        <w:div w:id="983509738">
                                          <w:marLeft w:val="0"/>
                                          <w:marRight w:val="165"/>
                                          <w:marTop w:val="150"/>
                                          <w:marBottom w:val="0"/>
                                          <w:divBdr>
                                            <w:top w:val="none" w:sz="0" w:space="0" w:color="auto"/>
                                            <w:left w:val="none" w:sz="0" w:space="0" w:color="auto"/>
                                            <w:bottom w:val="none" w:sz="0" w:space="0" w:color="auto"/>
                                            <w:right w:val="none" w:sz="0" w:space="0" w:color="auto"/>
                                          </w:divBdr>
                                          <w:divsChild>
                                            <w:div w:id="678696656">
                                              <w:marLeft w:val="0"/>
                                              <w:marRight w:val="0"/>
                                              <w:marTop w:val="0"/>
                                              <w:marBottom w:val="0"/>
                                              <w:divBdr>
                                                <w:top w:val="none" w:sz="0" w:space="0" w:color="auto"/>
                                                <w:left w:val="none" w:sz="0" w:space="0" w:color="auto"/>
                                                <w:bottom w:val="none" w:sz="0" w:space="0" w:color="auto"/>
                                                <w:right w:val="none" w:sz="0" w:space="0" w:color="auto"/>
                                              </w:divBdr>
                                              <w:divsChild>
                                                <w:div w:id="15506539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9644285">
      <w:bodyDiv w:val="1"/>
      <w:marLeft w:val="0"/>
      <w:marRight w:val="0"/>
      <w:marTop w:val="0"/>
      <w:marBottom w:val="0"/>
      <w:divBdr>
        <w:top w:val="none" w:sz="0" w:space="0" w:color="auto"/>
        <w:left w:val="none" w:sz="0" w:space="0" w:color="auto"/>
        <w:bottom w:val="none" w:sz="0" w:space="0" w:color="auto"/>
        <w:right w:val="none" w:sz="0" w:space="0" w:color="auto"/>
      </w:divBdr>
    </w:div>
    <w:div w:id="1530338932">
      <w:bodyDiv w:val="1"/>
      <w:marLeft w:val="0"/>
      <w:marRight w:val="0"/>
      <w:marTop w:val="0"/>
      <w:marBottom w:val="0"/>
      <w:divBdr>
        <w:top w:val="none" w:sz="0" w:space="0" w:color="auto"/>
        <w:left w:val="none" w:sz="0" w:space="0" w:color="auto"/>
        <w:bottom w:val="none" w:sz="0" w:space="0" w:color="auto"/>
        <w:right w:val="none" w:sz="0" w:space="0" w:color="auto"/>
      </w:divBdr>
      <w:divsChild>
        <w:div w:id="1402095117">
          <w:marLeft w:val="0"/>
          <w:marRight w:val="0"/>
          <w:marTop w:val="0"/>
          <w:marBottom w:val="0"/>
          <w:divBdr>
            <w:top w:val="none" w:sz="0" w:space="0" w:color="auto"/>
            <w:left w:val="none" w:sz="0" w:space="0" w:color="auto"/>
            <w:bottom w:val="none" w:sz="0" w:space="0" w:color="auto"/>
            <w:right w:val="none" w:sz="0" w:space="0" w:color="auto"/>
          </w:divBdr>
          <w:divsChild>
            <w:div w:id="853033737">
              <w:marLeft w:val="0"/>
              <w:marRight w:val="0"/>
              <w:marTop w:val="0"/>
              <w:marBottom w:val="0"/>
              <w:divBdr>
                <w:top w:val="none" w:sz="0" w:space="0" w:color="auto"/>
                <w:left w:val="none" w:sz="0" w:space="0" w:color="auto"/>
                <w:bottom w:val="none" w:sz="0" w:space="0" w:color="auto"/>
                <w:right w:val="none" w:sz="0" w:space="0" w:color="auto"/>
              </w:divBdr>
              <w:divsChild>
                <w:div w:id="1667594046">
                  <w:marLeft w:val="0"/>
                  <w:marRight w:val="0"/>
                  <w:marTop w:val="0"/>
                  <w:marBottom w:val="0"/>
                  <w:divBdr>
                    <w:top w:val="none" w:sz="0" w:space="0" w:color="auto"/>
                    <w:left w:val="none" w:sz="0" w:space="0" w:color="auto"/>
                    <w:bottom w:val="none" w:sz="0" w:space="0" w:color="auto"/>
                    <w:right w:val="none" w:sz="0" w:space="0" w:color="auto"/>
                  </w:divBdr>
                  <w:divsChild>
                    <w:div w:id="1856067913">
                      <w:marLeft w:val="0"/>
                      <w:marRight w:val="0"/>
                      <w:marTop w:val="0"/>
                      <w:marBottom w:val="0"/>
                      <w:divBdr>
                        <w:top w:val="none" w:sz="0" w:space="0" w:color="auto"/>
                        <w:left w:val="none" w:sz="0" w:space="0" w:color="auto"/>
                        <w:bottom w:val="none" w:sz="0" w:space="0" w:color="auto"/>
                        <w:right w:val="none" w:sz="0" w:space="0" w:color="auto"/>
                      </w:divBdr>
                      <w:divsChild>
                        <w:div w:id="785730565">
                          <w:marLeft w:val="0"/>
                          <w:marRight w:val="0"/>
                          <w:marTop w:val="0"/>
                          <w:marBottom w:val="0"/>
                          <w:divBdr>
                            <w:top w:val="none" w:sz="0" w:space="0" w:color="auto"/>
                            <w:left w:val="none" w:sz="0" w:space="0" w:color="auto"/>
                            <w:bottom w:val="none" w:sz="0" w:space="0" w:color="auto"/>
                            <w:right w:val="none" w:sz="0" w:space="0" w:color="auto"/>
                          </w:divBdr>
                          <w:divsChild>
                            <w:div w:id="488405262">
                              <w:marLeft w:val="0"/>
                              <w:marRight w:val="0"/>
                              <w:marTop w:val="0"/>
                              <w:marBottom w:val="0"/>
                              <w:divBdr>
                                <w:top w:val="none" w:sz="0" w:space="0" w:color="auto"/>
                                <w:left w:val="none" w:sz="0" w:space="0" w:color="auto"/>
                                <w:bottom w:val="none" w:sz="0" w:space="0" w:color="auto"/>
                                <w:right w:val="none" w:sz="0" w:space="0" w:color="auto"/>
                              </w:divBdr>
                              <w:divsChild>
                                <w:div w:id="189222498">
                                  <w:marLeft w:val="0"/>
                                  <w:marRight w:val="0"/>
                                  <w:marTop w:val="0"/>
                                  <w:marBottom w:val="0"/>
                                  <w:divBdr>
                                    <w:top w:val="none" w:sz="0" w:space="0" w:color="auto"/>
                                    <w:left w:val="none" w:sz="0" w:space="0" w:color="auto"/>
                                    <w:bottom w:val="none" w:sz="0" w:space="0" w:color="auto"/>
                                    <w:right w:val="none" w:sz="0" w:space="0" w:color="auto"/>
                                  </w:divBdr>
                                  <w:divsChild>
                                    <w:div w:id="789591072">
                                      <w:marLeft w:val="0"/>
                                      <w:marRight w:val="0"/>
                                      <w:marTop w:val="0"/>
                                      <w:marBottom w:val="0"/>
                                      <w:divBdr>
                                        <w:top w:val="none" w:sz="0" w:space="0" w:color="auto"/>
                                        <w:left w:val="none" w:sz="0" w:space="0" w:color="auto"/>
                                        <w:bottom w:val="none" w:sz="0" w:space="0" w:color="auto"/>
                                        <w:right w:val="none" w:sz="0" w:space="0" w:color="auto"/>
                                      </w:divBdr>
                                    </w:div>
                                    <w:div w:id="1420830730">
                                      <w:marLeft w:val="0"/>
                                      <w:marRight w:val="0"/>
                                      <w:marTop w:val="0"/>
                                      <w:marBottom w:val="0"/>
                                      <w:divBdr>
                                        <w:top w:val="none" w:sz="0" w:space="0" w:color="auto"/>
                                        <w:left w:val="none" w:sz="0" w:space="0" w:color="auto"/>
                                        <w:bottom w:val="none" w:sz="0" w:space="0" w:color="auto"/>
                                        <w:right w:val="none" w:sz="0" w:space="0" w:color="auto"/>
                                      </w:divBdr>
                                      <w:divsChild>
                                        <w:div w:id="1752965441">
                                          <w:marLeft w:val="0"/>
                                          <w:marRight w:val="165"/>
                                          <w:marTop w:val="150"/>
                                          <w:marBottom w:val="0"/>
                                          <w:divBdr>
                                            <w:top w:val="none" w:sz="0" w:space="0" w:color="auto"/>
                                            <w:left w:val="none" w:sz="0" w:space="0" w:color="auto"/>
                                            <w:bottom w:val="none" w:sz="0" w:space="0" w:color="auto"/>
                                            <w:right w:val="none" w:sz="0" w:space="0" w:color="auto"/>
                                          </w:divBdr>
                                          <w:divsChild>
                                            <w:div w:id="235483662">
                                              <w:marLeft w:val="0"/>
                                              <w:marRight w:val="0"/>
                                              <w:marTop w:val="0"/>
                                              <w:marBottom w:val="0"/>
                                              <w:divBdr>
                                                <w:top w:val="none" w:sz="0" w:space="0" w:color="auto"/>
                                                <w:left w:val="none" w:sz="0" w:space="0" w:color="auto"/>
                                                <w:bottom w:val="none" w:sz="0" w:space="0" w:color="auto"/>
                                                <w:right w:val="none" w:sz="0" w:space="0" w:color="auto"/>
                                              </w:divBdr>
                                              <w:divsChild>
                                                <w:div w:id="96542644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337146">
      <w:bodyDiv w:val="1"/>
      <w:marLeft w:val="0"/>
      <w:marRight w:val="0"/>
      <w:marTop w:val="0"/>
      <w:marBottom w:val="0"/>
      <w:divBdr>
        <w:top w:val="none" w:sz="0" w:space="0" w:color="auto"/>
        <w:left w:val="none" w:sz="0" w:space="0" w:color="auto"/>
        <w:bottom w:val="none" w:sz="0" w:space="0" w:color="auto"/>
        <w:right w:val="none" w:sz="0" w:space="0" w:color="auto"/>
      </w:divBdr>
    </w:div>
    <w:div w:id="205222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5A0C-174B-43D4-A722-A22AF859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Mocanu</dc:creator>
  <cp:keywords/>
  <dc:description/>
  <cp:lastModifiedBy>Diana Mocanu</cp:lastModifiedBy>
  <cp:revision>2</cp:revision>
  <dcterms:created xsi:type="dcterms:W3CDTF">2022-08-22T13:07:00Z</dcterms:created>
  <dcterms:modified xsi:type="dcterms:W3CDTF">2022-08-22T13:07:00Z</dcterms:modified>
</cp:coreProperties>
</file>