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16F" w:rsidRPr="005433A2" w:rsidRDefault="00026FFE">
      <w:pPr>
        <w:rPr>
          <w:rFonts w:ascii="Times New Roman" w:hAnsi="Times New Roman" w:cs="Times New Roman"/>
          <w:sz w:val="24"/>
          <w:szCs w:val="24"/>
        </w:rPr>
      </w:pPr>
      <w:r w:rsidRPr="005433A2">
        <w:rPr>
          <w:rFonts w:ascii="Times New Roman" w:hAnsi="Times New Roman" w:cs="Times New Roman"/>
          <w:sz w:val="24"/>
          <w:szCs w:val="24"/>
        </w:rPr>
        <w:t>Szabó</w:t>
      </w:r>
      <w:r w:rsidR="00514147" w:rsidRPr="005433A2">
        <w:rPr>
          <w:rFonts w:ascii="Times New Roman" w:hAnsi="Times New Roman" w:cs="Times New Roman"/>
          <w:sz w:val="24"/>
          <w:szCs w:val="24"/>
        </w:rPr>
        <w:t>, Csaba. </w:t>
      </w:r>
      <w:r w:rsidR="00514147" w:rsidRPr="005433A2">
        <w:rPr>
          <w:rFonts w:ascii="Times New Roman" w:hAnsi="Times New Roman" w:cs="Times New Roman"/>
          <w:i/>
          <w:iCs/>
          <w:sz w:val="24"/>
          <w:szCs w:val="24"/>
        </w:rPr>
        <w:t>Sanctuaries in Roman Dacia: materiality and religious experience</w:t>
      </w:r>
      <w:r w:rsidR="00514147" w:rsidRPr="005433A2">
        <w:rPr>
          <w:rFonts w:ascii="Times New Roman" w:hAnsi="Times New Roman" w:cs="Times New Roman"/>
          <w:sz w:val="24"/>
          <w:szCs w:val="24"/>
        </w:rPr>
        <w:t>. Archaeopress Roman archaeology, 49. Oxford: Archaeopress, 2018. viii, 242 p., 54 p. of plates. £40.00. ISBN 9781789690811.</w:t>
      </w:r>
    </w:p>
    <w:p w:rsidR="004C09B0" w:rsidRPr="005433A2" w:rsidRDefault="00050373">
      <w:pPr>
        <w:rPr>
          <w:rFonts w:ascii="Times New Roman" w:hAnsi="Times New Roman" w:cs="Times New Roman"/>
          <w:sz w:val="24"/>
          <w:szCs w:val="24"/>
        </w:rPr>
      </w:pPr>
      <w:r w:rsidRPr="005433A2">
        <w:rPr>
          <w:rFonts w:ascii="Times New Roman" w:hAnsi="Times New Roman" w:cs="Times New Roman"/>
          <w:sz w:val="24"/>
          <w:szCs w:val="24"/>
        </w:rPr>
        <w:t>C. Szabó livre une monographie sur les sanctuaires de la Dacie romaine, envisagés selon des principes méthodologiques issus de la « Lived ancient religion » promue par J. Rüpke.</w:t>
      </w:r>
      <w:r w:rsidR="002F450E" w:rsidRPr="005433A2">
        <w:rPr>
          <w:rFonts w:ascii="Times New Roman" w:hAnsi="Times New Roman" w:cs="Times New Roman"/>
          <w:sz w:val="24"/>
          <w:szCs w:val="24"/>
        </w:rPr>
        <w:t xml:space="preserve"> </w:t>
      </w:r>
      <w:r w:rsidR="005433A2">
        <w:rPr>
          <w:rFonts w:ascii="Times New Roman" w:hAnsi="Times New Roman" w:cs="Times New Roman"/>
          <w:sz w:val="24"/>
          <w:szCs w:val="24"/>
        </w:rPr>
        <w:t>Le cadre spatio-temporel de l’</w:t>
      </w:r>
      <w:r w:rsidR="002F450E" w:rsidRPr="005433A2">
        <w:rPr>
          <w:rFonts w:ascii="Times New Roman" w:hAnsi="Times New Roman" w:cs="Times New Roman"/>
          <w:sz w:val="24"/>
          <w:szCs w:val="24"/>
        </w:rPr>
        <w:t>étude est constitué par la province romaine de Dacie, depuis 106 jusqu’à son abandon vers 271. Il s’</w:t>
      </w:r>
      <w:r w:rsidR="00B4792F" w:rsidRPr="005433A2">
        <w:rPr>
          <w:rFonts w:ascii="Times New Roman" w:hAnsi="Times New Roman" w:cs="Times New Roman"/>
          <w:sz w:val="24"/>
          <w:szCs w:val="24"/>
        </w:rPr>
        <w:t xml:space="preserve">agit donc, comme C. Szabó </w:t>
      </w:r>
      <w:r w:rsidR="002F450E" w:rsidRPr="005433A2">
        <w:rPr>
          <w:rFonts w:ascii="Times New Roman" w:hAnsi="Times New Roman" w:cs="Times New Roman"/>
          <w:sz w:val="24"/>
          <w:szCs w:val="24"/>
        </w:rPr>
        <w:t>le rappelle d’emblée, d’une province où la population indigène cohabite avec un grand nombre d</w:t>
      </w:r>
      <w:r w:rsidR="005433A2">
        <w:rPr>
          <w:rFonts w:ascii="Times New Roman" w:hAnsi="Times New Roman" w:cs="Times New Roman"/>
          <w:sz w:val="24"/>
          <w:szCs w:val="24"/>
        </w:rPr>
        <w:t>’habitants provenant d’</w:t>
      </w:r>
      <w:r w:rsidR="002F450E" w:rsidRPr="005433A2">
        <w:rPr>
          <w:rFonts w:ascii="Times New Roman" w:hAnsi="Times New Roman" w:cs="Times New Roman"/>
          <w:sz w:val="24"/>
          <w:szCs w:val="24"/>
        </w:rPr>
        <w:t>autres régions de l’Empire, d’une province touch</w:t>
      </w:r>
      <w:r w:rsidR="0086339E" w:rsidRPr="005433A2">
        <w:rPr>
          <w:rFonts w:ascii="Times New Roman" w:hAnsi="Times New Roman" w:cs="Times New Roman"/>
          <w:sz w:val="24"/>
          <w:szCs w:val="24"/>
        </w:rPr>
        <w:t>ée</w:t>
      </w:r>
      <w:r w:rsidR="002F450E" w:rsidRPr="005433A2">
        <w:rPr>
          <w:rFonts w:ascii="Times New Roman" w:hAnsi="Times New Roman" w:cs="Times New Roman"/>
          <w:sz w:val="24"/>
          <w:szCs w:val="24"/>
        </w:rPr>
        <w:t xml:space="preserve"> par des mobilités</w:t>
      </w:r>
      <w:r w:rsidR="005433A2">
        <w:rPr>
          <w:rFonts w:ascii="Times New Roman" w:hAnsi="Times New Roman" w:cs="Times New Roman"/>
          <w:sz w:val="24"/>
          <w:szCs w:val="24"/>
        </w:rPr>
        <w:t xml:space="preserve"> à court et à long terme</w:t>
      </w:r>
      <w:r w:rsidR="002F450E" w:rsidRPr="005433A2">
        <w:rPr>
          <w:rFonts w:ascii="Times New Roman" w:hAnsi="Times New Roman" w:cs="Times New Roman"/>
          <w:sz w:val="24"/>
          <w:szCs w:val="24"/>
        </w:rPr>
        <w:t xml:space="preserve"> de groupes ou d’individus</w:t>
      </w:r>
      <w:r w:rsidR="00AE23E9" w:rsidRPr="005433A2">
        <w:rPr>
          <w:rFonts w:ascii="Times New Roman" w:hAnsi="Times New Roman" w:cs="Times New Roman"/>
          <w:sz w:val="24"/>
          <w:szCs w:val="24"/>
        </w:rPr>
        <w:t>, que ces</w:t>
      </w:r>
      <w:r w:rsidR="002F450E" w:rsidRPr="005433A2">
        <w:rPr>
          <w:rFonts w:ascii="Times New Roman" w:hAnsi="Times New Roman" w:cs="Times New Roman"/>
          <w:sz w:val="24"/>
          <w:szCs w:val="24"/>
        </w:rPr>
        <w:t xml:space="preserve"> mouvements </w:t>
      </w:r>
      <w:r w:rsidR="00AE23E9" w:rsidRPr="005433A2">
        <w:rPr>
          <w:rFonts w:ascii="Times New Roman" w:hAnsi="Times New Roman" w:cs="Times New Roman"/>
          <w:sz w:val="24"/>
          <w:szCs w:val="24"/>
        </w:rPr>
        <w:t xml:space="preserve">soient </w:t>
      </w:r>
      <w:r w:rsidR="0085751F" w:rsidRPr="005433A2">
        <w:rPr>
          <w:rFonts w:ascii="Times New Roman" w:hAnsi="Times New Roman" w:cs="Times New Roman"/>
          <w:sz w:val="24"/>
          <w:szCs w:val="24"/>
        </w:rPr>
        <w:t>dus</w:t>
      </w:r>
      <w:r w:rsidR="002F450E" w:rsidRPr="005433A2">
        <w:rPr>
          <w:rFonts w:ascii="Times New Roman" w:hAnsi="Times New Roman" w:cs="Times New Roman"/>
          <w:sz w:val="24"/>
          <w:szCs w:val="24"/>
        </w:rPr>
        <w:t xml:space="preserve"> à des motivations économiques, politiques </w:t>
      </w:r>
      <w:r w:rsidR="00506F51" w:rsidRPr="005433A2">
        <w:rPr>
          <w:rFonts w:ascii="Times New Roman" w:hAnsi="Times New Roman" w:cs="Times New Roman"/>
          <w:sz w:val="24"/>
          <w:szCs w:val="24"/>
        </w:rPr>
        <w:t>ou</w:t>
      </w:r>
      <w:r w:rsidR="002F450E" w:rsidRPr="005433A2">
        <w:rPr>
          <w:rFonts w:ascii="Times New Roman" w:hAnsi="Times New Roman" w:cs="Times New Roman"/>
          <w:sz w:val="24"/>
          <w:szCs w:val="24"/>
        </w:rPr>
        <w:t xml:space="preserve"> militaires. </w:t>
      </w:r>
      <w:r w:rsidR="0086339E" w:rsidRPr="005433A2">
        <w:rPr>
          <w:rFonts w:ascii="Times New Roman" w:hAnsi="Times New Roman" w:cs="Times New Roman"/>
          <w:sz w:val="24"/>
          <w:szCs w:val="24"/>
        </w:rPr>
        <w:t>Se dégageant d’une app</w:t>
      </w:r>
      <w:r w:rsidR="00B4792F" w:rsidRPr="005433A2">
        <w:rPr>
          <w:rFonts w:ascii="Times New Roman" w:hAnsi="Times New Roman" w:cs="Times New Roman"/>
          <w:sz w:val="24"/>
          <w:szCs w:val="24"/>
        </w:rPr>
        <w:t>roche qui a longtemps considéré</w:t>
      </w:r>
      <w:r w:rsidR="0086339E" w:rsidRPr="005433A2">
        <w:rPr>
          <w:rFonts w:ascii="Times New Roman" w:hAnsi="Times New Roman" w:cs="Times New Roman"/>
          <w:sz w:val="24"/>
          <w:szCs w:val="24"/>
        </w:rPr>
        <w:t xml:space="preserve"> la religion romaine en Dacie comme un segment de la romanisation </w:t>
      </w:r>
      <w:r w:rsidR="00AE23E9" w:rsidRPr="005433A2">
        <w:rPr>
          <w:rFonts w:ascii="Times New Roman" w:hAnsi="Times New Roman" w:cs="Times New Roman"/>
          <w:sz w:val="24"/>
          <w:szCs w:val="24"/>
        </w:rPr>
        <w:t>ou en termes de survivances et de syncrétismes</w:t>
      </w:r>
      <w:r w:rsidR="0086339E" w:rsidRPr="005433A2">
        <w:rPr>
          <w:rFonts w:ascii="Times New Roman" w:hAnsi="Times New Roman" w:cs="Times New Roman"/>
          <w:sz w:val="24"/>
          <w:szCs w:val="24"/>
        </w:rPr>
        <w:t>, l’auteur souhaite</w:t>
      </w:r>
      <w:r w:rsidR="00F338F4" w:rsidRPr="005433A2">
        <w:rPr>
          <w:rFonts w:ascii="Times New Roman" w:hAnsi="Times New Roman" w:cs="Times New Roman"/>
          <w:sz w:val="24"/>
          <w:szCs w:val="24"/>
        </w:rPr>
        <w:t xml:space="preserve"> </w:t>
      </w:r>
      <w:r w:rsidR="0086339E" w:rsidRPr="005433A2">
        <w:rPr>
          <w:rFonts w:ascii="Times New Roman" w:hAnsi="Times New Roman" w:cs="Times New Roman"/>
          <w:sz w:val="24"/>
          <w:szCs w:val="24"/>
        </w:rPr>
        <w:t>mettre en lumière le rôle de la sacralisation de l’espace dans la communication religieuse</w:t>
      </w:r>
      <w:r w:rsidR="00F84111" w:rsidRPr="005433A2">
        <w:rPr>
          <w:rFonts w:ascii="Times New Roman" w:hAnsi="Times New Roman" w:cs="Times New Roman"/>
          <w:sz w:val="24"/>
          <w:szCs w:val="24"/>
        </w:rPr>
        <w:t xml:space="preserve"> (</w:t>
      </w:r>
      <w:r w:rsidR="00F338F4" w:rsidRPr="005433A2">
        <w:rPr>
          <w:rFonts w:ascii="Times New Roman" w:hAnsi="Times New Roman" w:cs="Times New Roman"/>
          <w:sz w:val="24"/>
          <w:szCs w:val="24"/>
        </w:rPr>
        <w:t>la sacralisation étant définie, p. 3, comme « une stratégie spatiale de communication religieuse entre les agents humains et divins »</w:t>
      </w:r>
      <w:r w:rsidR="00F84111" w:rsidRPr="005433A2">
        <w:rPr>
          <w:rFonts w:ascii="Times New Roman" w:hAnsi="Times New Roman" w:cs="Times New Roman"/>
          <w:sz w:val="24"/>
          <w:szCs w:val="24"/>
        </w:rPr>
        <w:t>)</w:t>
      </w:r>
      <w:r w:rsidR="00506F51" w:rsidRPr="005433A2">
        <w:rPr>
          <w:rFonts w:ascii="Times New Roman" w:hAnsi="Times New Roman" w:cs="Times New Roman"/>
          <w:sz w:val="24"/>
          <w:szCs w:val="24"/>
        </w:rPr>
        <w:t>. Il entend également montrer</w:t>
      </w:r>
      <w:r w:rsidR="0086339E" w:rsidRPr="005433A2">
        <w:rPr>
          <w:rFonts w:ascii="Times New Roman" w:hAnsi="Times New Roman" w:cs="Times New Roman"/>
          <w:sz w:val="24"/>
          <w:szCs w:val="24"/>
        </w:rPr>
        <w:t xml:space="preserve"> </w:t>
      </w:r>
      <w:r w:rsidR="00506F51" w:rsidRPr="005433A2">
        <w:rPr>
          <w:rFonts w:ascii="Times New Roman" w:hAnsi="Times New Roman" w:cs="Times New Roman"/>
          <w:sz w:val="24"/>
          <w:szCs w:val="24"/>
        </w:rPr>
        <w:t>le</w:t>
      </w:r>
      <w:r w:rsidR="0086339E" w:rsidRPr="005433A2">
        <w:rPr>
          <w:rFonts w:ascii="Times New Roman" w:hAnsi="Times New Roman" w:cs="Times New Roman"/>
          <w:sz w:val="24"/>
          <w:szCs w:val="24"/>
        </w:rPr>
        <w:t xml:space="preserve"> rôle et </w:t>
      </w:r>
      <w:r w:rsidR="00506F51" w:rsidRPr="005433A2">
        <w:rPr>
          <w:rFonts w:ascii="Times New Roman" w:hAnsi="Times New Roman" w:cs="Times New Roman"/>
          <w:sz w:val="24"/>
          <w:szCs w:val="24"/>
        </w:rPr>
        <w:t>l’</w:t>
      </w:r>
      <w:r w:rsidR="0086339E" w:rsidRPr="005433A2">
        <w:rPr>
          <w:rFonts w:ascii="Times New Roman" w:hAnsi="Times New Roman" w:cs="Times New Roman"/>
          <w:sz w:val="24"/>
          <w:szCs w:val="24"/>
        </w:rPr>
        <w:t xml:space="preserve">impact </w:t>
      </w:r>
      <w:r w:rsidR="00506F51" w:rsidRPr="005433A2">
        <w:rPr>
          <w:rFonts w:ascii="Times New Roman" w:hAnsi="Times New Roman" w:cs="Times New Roman"/>
          <w:sz w:val="24"/>
          <w:szCs w:val="24"/>
        </w:rPr>
        <w:t xml:space="preserve">exercé par la sacralisation </w:t>
      </w:r>
      <w:r w:rsidR="0086339E" w:rsidRPr="005433A2">
        <w:rPr>
          <w:rFonts w:ascii="Times New Roman" w:hAnsi="Times New Roman" w:cs="Times New Roman"/>
          <w:sz w:val="24"/>
          <w:szCs w:val="24"/>
        </w:rPr>
        <w:t>sur les identités des individus et des groupes ; les stratégies mises en œuvre pour créer et maintenir eff</w:t>
      </w:r>
      <w:r w:rsidR="00F338F4" w:rsidRPr="005433A2">
        <w:rPr>
          <w:rFonts w:ascii="Times New Roman" w:hAnsi="Times New Roman" w:cs="Times New Roman"/>
          <w:sz w:val="24"/>
          <w:szCs w:val="24"/>
        </w:rPr>
        <w:t>icacement un espace sacralisé ;</w:t>
      </w:r>
      <w:r w:rsidR="0086339E" w:rsidRPr="005433A2">
        <w:rPr>
          <w:rFonts w:ascii="Times New Roman" w:hAnsi="Times New Roman" w:cs="Times New Roman"/>
          <w:sz w:val="24"/>
          <w:szCs w:val="24"/>
        </w:rPr>
        <w:t xml:space="preserve"> les appropriations religieuses</w:t>
      </w:r>
      <w:r w:rsidR="00F338F4" w:rsidRPr="005433A2">
        <w:rPr>
          <w:rFonts w:ascii="Times New Roman" w:hAnsi="Times New Roman" w:cs="Times New Roman"/>
          <w:sz w:val="24"/>
          <w:szCs w:val="24"/>
        </w:rPr>
        <w:t>.</w:t>
      </w:r>
      <w:r w:rsidR="00CB79F0" w:rsidRPr="005433A2">
        <w:rPr>
          <w:rFonts w:ascii="Times New Roman" w:hAnsi="Times New Roman" w:cs="Times New Roman"/>
          <w:sz w:val="24"/>
          <w:szCs w:val="24"/>
        </w:rPr>
        <w:t xml:space="preserve"> Il </w:t>
      </w:r>
      <w:r w:rsidR="00506F51" w:rsidRPr="005433A2">
        <w:rPr>
          <w:rFonts w:ascii="Times New Roman" w:hAnsi="Times New Roman" w:cs="Times New Roman"/>
          <w:sz w:val="24"/>
          <w:szCs w:val="24"/>
        </w:rPr>
        <w:t>convient</w:t>
      </w:r>
      <w:r w:rsidR="00CB79F0" w:rsidRPr="005433A2">
        <w:rPr>
          <w:rFonts w:ascii="Times New Roman" w:hAnsi="Times New Roman" w:cs="Times New Roman"/>
          <w:sz w:val="24"/>
          <w:szCs w:val="24"/>
        </w:rPr>
        <w:t xml:space="preserve"> ainsi </w:t>
      </w:r>
      <w:r w:rsidR="00506F51" w:rsidRPr="005433A2">
        <w:rPr>
          <w:rFonts w:ascii="Times New Roman" w:hAnsi="Times New Roman" w:cs="Times New Roman"/>
          <w:sz w:val="24"/>
          <w:szCs w:val="24"/>
        </w:rPr>
        <w:t xml:space="preserve">pour lui de </w:t>
      </w:r>
      <w:r w:rsidR="00CB79F0" w:rsidRPr="005433A2">
        <w:rPr>
          <w:rFonts w:ascii="Times New Roman" w:hAnsi="Times New Roman" w:cs="Times New Roman"/>
          <w:sz w:val="24"/>
          <w:szCs w:val="24"/>
        </w:rPr>
        <w:t xml:space="preserve">se dégager des « fausses dichotomies de public et privé, urbain et rural, militaire et civil, petit et monumental », qu’il oppose à l’analyse de la « visibilité, l’accessibilité et la connectivité de ces espaces sacralisés avec leur agentivité humaine, mais aussi avec d’autres espaces similaires et l’environnement plus large » (p. 2). </w:t>
      </w:r>
      <w:r w:rsidR="009C17DA" w:rsidRPr="005433A2">
        <w:rPr>
          <w:rFonts w:ascii="Times New Roman" w:hAnsi="Times New Roman" w:cs="Times New Roman"/>
          <w:sz w:val="24"/>
          <w:szCs w:val="24"/>
        </w:rPr>
        <w:t xml:space="preserve">C. Szabó distingue ainsi différents types d’espaces : espaces primaires, espaces secondaires et espaces partagés mais n’en donne malheureusement pas de définition. Le lecteur comprend que les espaces primaires correspondent </w:t>
      </w:r>
      <w:r w:rsidR="005433A2">
        <w:rPr>
          <w:rFonts w:ascii="Times New Roman" w:hAnsi="Times New Roman" w:cs="Times New Roman"/>
          <w:sz w:val="24"/>
          <w:szCs w:val="24"/>
        </w:rPr>
        <w:t xml:space="preserve">par exemple </w:t>
      </w:r>
      <w:r w:rsidR="009C17DA" w:rsidRPr="005433A2">
        <w:rPr>
          <w:rFonts w:ascii="Times New Roman" w:hAnsi="Times New Roman" w:cs="Times New Roman"/>
          <w:sz w:val="24"/>
          <w:szCs w:val="24"/>
        </w:rPr>
        <w:t xml:space="preserve">à </w:t>
      </w:r>
      <w:r w:rsidR="005433A2">
        <w:rPr>
          <w:rFonts w:ascii="Times New Roman" w:hAnsi="Times New Roman" w:cs="Times New Roman"/>
          <w:sz w:val="24"/>
          <w:szCs w:val="24"/>
        </w:rPr>
        <w:t>ceux</w:t>
      </w:r>
      <w:r w:rsidR="009C17DA" w:rsidRPr="005433A2">
        <w:rPr>
          <w:rFonts w:ascii="Times New Roman" w:hAnsi="Times New Roman" w:cs="Times New Roman"/>
          <w:sz w:val="24"/>
          <w:szCs w:val="24"/>
        </w:rPr>
        <w:t xml:space="preserve"> du « corps d’un pèlerin, d’une chapelle domestique ou d’un autel portable » et que dans ce type d’espaces les relations entre agents humains et divins peuvent être beaucoup plus personnelles et individualisées mais </w:t>
      </w:r>
      <w:r w:rsidR="008403F5">
        <w:rPr>
          <w:rFonts w:ascii="Times New Roman" w:hAnsi="Times New Roman" w:cs="Times New Roman"/>
          <w:sz w:val="24"/>
          <w:szCs w:val="24"/>
        </w:rPr>
        <w:t>que les sources permettent rarement d’</w:t>
      </w:r>
      <w:r w:rsidR="009C17DA" w:rsidRPr="005433A2">
        <w:rPr>
          <w:rFonts w:ascii="Times New Roman" w:hAnsi="Times New Roman" w:cs="Times New Roman"/>
          <w:sz w:val="24"/>
          <w:szCs w:val="24"/>
        </w:rPr>
        <w:t xml:space="preserve">étudier ce type d’espaces et de rapports entre agents humains et divins en Dacie. Quant aux espaces secondaires, </w:t>
      </w:r>
      <w:r w:rsidR="00F84111" w:rsidRPr="005433A2">
        <w:rPr>
          <w:rFonts w:ascii="Times New Roman" w:hAnsi="Times New Roman" w:cs="Times New Roman"/>
          <w:sz w:val="24"/>
          <w:szCs w:val="24"/>
        </w:rPr>
        <w:t>on</w:t>
      </w:r>
      <w:r w:rsidR="009C17DA" w:rsidRPr="005433A2">
        <w:rPr>
          <w:rFonts w:ascii="Times New Roman" w:hAnsi="Times New Roman" w:cs="Times New Roman"/>
          <w:sz w:val="24"/>
          <w:szCs w:val="24"/>
        </w:rPr>
        <w:t xml:space="preserve"> suppose au fil de la lecture qu’il s’agit d’espaces utilisés par de petites communautés, à la différence des espaces partagés qui sont plus largement fréquentés et semblent, </w:t>
      </w:r>
      <w:r w:rsidR="009C17DA" w:rsidRPr="005433A2">
        <w:rPr>
          <w:rFonts w:ascii="Times New Roman" w:hAnsi="Times New Roman" w:cs="Times New Roman"/>
          <w:i/>
          <w:sz w:val="24"/>
          <w:szCs w:val="24"/>
        </w:rPr>
        <w:t>in fine</w:t>
      </w:r>
      <w:r w:rsidR="009C17DA" w:rsidRPr="005433A2">
        <w:rPr>
          <w:rFonts w:ascii="Times New Roman" w:hAnsi="Times New Roman" w:cs="Times New Roman"/>
          <w:sz w:val="24"/>
          <w:szCs w:val="24"/>
        </w:rPr>
        <w:t>, correspondre aux sanctuaires publics</w:t>
      </w:r>
      <w:r w:rsidR="00AE23E9" w:rsidRPr="005433A2">
        <w:rPr>
          <w:rFonts w:ascii="Times New Roman" w:hAnsi="Times New Roman" w:cs="Times New Roman"/>
          <w:sz w:val="24"/>
          <w:szCs w:val="24"/>
        </w:rPr>
        <w:t xml:space="preserve"> (voir en ce sens la conclusion, p. 176)</w:t>
      </w:r>
      <w:r w:rsidR="009C17DA" w:rsidRPr="005433A2">
        <w:rPr>
          <w:rFonts w:ascii="Times New Roman" w:hAnsi="Times New Roman" w:cs="Times New Roman"/>
          <w:sz w:val="24"/>
          <w:szCs w:val="24"/>
        </w:rPr>
        <w:t>.</w:t>
      </w:r>
      <w:r w:rsidR="00506F51" w:rsidRPr="005433A2">
        <w:rPr>
          <w:rFonts w:ascii="Times New Roman" w:hAnsi="Times New Roman" w:cs="Times New Roman"/>
          <w:sz w:val="24"/>
          <w:szCs w:val="24"/>
        </w:rPr>
        <w:t xml:space="preserve"> C. Szabó tient également compte des relations</w:t>
      </w:r>
      <w:r w:rsidR="00881832" w:rsidRPr="005433A2">
        <w:rPr>
          <w:rFonts w:ascii="Times New Roman" w:hAnsi="Times New Roman" w:cs="Times New Roman"/>
          <w:sz w:val="24"/>
          <w:szCs w:val="24"/>
        </w:rPr>
        <w:t xml:space="preserve"> spatiales à une échelle macro, au niveau de la province et au-delà : par cette dimension de l’espace, la religion de Dacie constitue en effet selon lui « une part intégrante de l’Empire en tant que connectivité intra-cultuelle et en tant que réseau ». </w:t>
      </w:r>
    </w:p>
    <w:p w:rsidR="009C17DA" w:rsidRPr="005433A2" w:rsidRDefault="00F84111">
      <w:pPr>
        <w:rPr>
          <w:rFonts w:ascii="Times New Roman" w:hAnsi="Times New Roman" w:cs="Times New Roman"/>
          <w:sz w:val="24"/>
          <w:szCs w:val="24"/>
        </w:rPr>
      </w:pPr>
      <w:r w:rsidRPr="005433A2">
        <w:rPr>
          <w:rFonts w:ascii="Times New Roman" w:hAnsi="Times New Roman" w:cs="Times New Roman"/>
          <w:sz w:val="24"/>
          <w:szCs w:val="24"/>
        </w:rPr>
        <w:t>L’étude s’appuie sur</w:t>
      </w:r>
      <w:r w:rsidR="00881832" w:rsidRPr="005433A2">
        <w:rPr>
          <w:rFonts w:ascii="Times New Roman" w:hAnsi="Times New Roman" w:cs="Times New Roman"/>
          <w:sz w:val="24"/>
          <w:szCs w:val="24"/>
        </w:rPr>
        <w:t xml:space="preserve"> un catalogue de tous les sanctuaires de Dacie</w:t>
      </w:r>
      <w:r w:rsidRPr="005433A2">
        <w:rPr>
          <w:rFonts w:ascii="Times New Roman" w:hAnsi="Times New Roman" w:cs="Times New Roman"/>
          <w:sz w:val="24"/>
          <w:szCs w:val="24"/>
        </w:rPr>
        <w:t xml:space="preserve"> – 142 au total –</w:t>
      </w:r>
      <w:r w:rsidR="00881832" w:rsidRPr="005433A2">
        <w:rPr>
          <w:rFonts w:ascii="Times New Roman" w:hAnsi="Times New Roman" w:cs="Times New Roman"/>
          <w:sz w:val="24"/>
          <w:szCs w:val="24"/>
        </w:rPr>
        <w:t xml:space="preserve">, </w:t>
      </w:r>
      <w:r w:rsidRPr="005433A2">
        <w:rPr>
          <w:rFonts w:ascii="Times New Roman" w:hAnsi="Times New Roman" w:cs="Times New Roman"/>
          <w:sz w:val="24"/>
          <w:szCs w:val="24"/>
        </w:rPr>
        <w:t xml:space="preserve">qu’ils soient </w:t>
      </w:r>
      <w:r w:rsidR="00881832" w:rsidRPr="005433A2">
        <w:rPr>
          <w:rFonts w:ascii="Times New Roman" w:hAnsi="Times New Roman" w:cs="Times New Roman"/>
          <w:sz w:val="24"/>
          <w:szCs w:val="24"/>
        </w:rPr>
        <w:t>attestés par l’archéologie ou l’épigraphie ou dont la présence peut être supposée</w:t>
      </w:r>
      <w:r w:rsidR="00D51E7A" w:rsidRPr="005433A2">
        <w:rPr>
          <w:rFonts w:ascii="Times New Roman" w:hAnsi="Times New Roman" w:cs="Times New Roman"/>
          <w:sz w:val="24"/>
          <w:szCs w:val="24"/>
        </w:rPr>
        <w:t>. C. Szabó en</w:t>
      </w:r>
      <w:r w:rsidR="009E22E3" w:rsidRPr="005433A2">
        <w:rPr>
          <w:rFonts w:ascii="Times New Roman" w:hAnsi="Times New Roman" w:cs="Times New Roman"/>
          <w:sz w:val="24"/>
          <w:szCs w:val="24"/>
        </w:rPr>
        <w:t xml:space="preserve"> propose une liste sous forme de ta</w:t>
      </w:r>
      <w:r w:rsidR="00620272" w:rsidRPr="005433A2">
        <w:rPr>
          <w:rFonts w:ascii="Times New Roman" w:hAnsi="Times New Roman" w:cs="Times New Roman"/>
          <w:sz w:val="24"/>
          <w:szCs w:val="24"/>
        </w:rPr>
        <w:t>bleaux en annexe, en renvoyant largement à ses travaux publiés et à paraître</w:t>
      </w:r>
      <w:r w:rsidR="009E22E3" w:rsidRPr="005433A2">
        <w:rPr>
          <w:rFonts w:ascii="Times New Roman" w:hAnsi="Times New Roman" w:cs="Times New Roman"/>
          <w:sz w:val="24"/>
          <w:szCs w:val="24"/>
        </w:rPr>
        <w:t>. Pour la présente monographie, il en</w:t>
      </w:r>
      <w:r w:rsidR="00D51E7A" w:rsidRPr="005433A2">
        <w:rPr>
          <w:rFonts w:ascii="Times New Roman" w:hAnsi="Times New Roman" w:cs="Times New Roman"/>
          <w:sz w:val="24"/>
          <w:szCs w:val="24"/>
        </w:rPr>
        <w:t xml:space="preserve"> a retenu une trentaine, mieux documentés, qui lui permettent d’analyser ces différents types d’espace, en se concentrant sur la « matérialité de la sacralisation de l’espace et son rôle dans la communication religieuse ».</w:t>
      </w:r>
      <w:r w:rsidR="00F13900" w:rsidRPr="005433A2">
        <w:rPr>
          <w:rFonts w:ascii="Times New Roman" w:hAnsi="Times New Roman" w:cs="Times New Roman"/>
          <w:sz w:val="24"/>
          <w:szCs w:val="24"/>
        </w:rPr>
        <w:t xml:space="preserve"> On notera que les lieux de culte de Sarmizegetusa, qui ont fait l’objet d’une synthèse </w:t>
      </w:r>
      <w:r w:rsidR="00C9247A" w:rsidRPr="005433A2">
        <w:rPr>
          <w:rFonts w:ascii="Times New Roman" w:hAnsi="Times New Roman" w:cs="Times New Roman"/>
          <w:sz w:val="24"/>
          <w:szCs w:val="24"/>
        </w:rPr>
        <w:t xml:space="preserve">relativement </w:t>
      </w:r>
      <w:r w:rsidR="00F13900" w:rsidRPr="005433A2">
        <w:rPr>
          <w:rFonts w:ascii="Times New Roman" w:hAnsi="Times New Roman" w:cs="Times New Roman"/>
          <w:sz w:val="24"/>
          <w:szCs w:val="24"/>
        </w:rPr>
        <w:t>récente, ne sont pris en compte dans l’ouvrage</w:t>
      </w:r>
      <w:r w:rsidR="00853E19" w:rsidRPr="005433A2">
        <w:rPr>
          <w:rFonts w:ascii="Times New Roman" w:hAnsi="Times New Roman" w:cs="Times New Roman"/>
          <w:sz w:val="24"/>
          <w:szCs w:val="24"/>
        </w:rPr>
        <w:t xml:space="preserve"> qu’à titre de comparaison</w:t>
      </w:r>
      <w:r w:rsidR="00F13900" w:rsidRPr="005433A2">
        <w:rPr>
          <w:rFonts w:ascii="Times New Roman" w:hAnsi="Times New Roman" w:cs="Times New Roman"/>
          <w:sz w:val="24"/>
          <w:szCs w:val="24"/>
        </w:rPr>
        <w:t xml:space="preserve"> (</w:t>
      </w:r>
      <w:r w:rsidR="00C9247A" w:rsidRPr="005433A2">
        <w:rPr>
          <w:rFonts w:ascii="Times New Roman" w:hAnsi="Times New Roman" w:cs="Times New Roman"/>
          <w:sz w:val="24"/>
          <w:szCs w:val="24"/>
        </w:rPr>
        <w:t xml:space="preserve">A. Schäfer, </w:t>
      </w:r>
      <w:r w:rsidR="00C9247A" w:rsidRPr="005433A2">
        <w:rPr>
          <w:rFonts w:ascii="Times New Roman" w:hAnsi="Times New Roman" w:cs="Times New Roman"/>
          <w:i/>
          <w:sz w:val="24"/>
          <w:szCs w:val="24"/>
        </w:rPr>
        <w:t>Tempel und Kult in Sarmizegetusa. Eine Untersuchung zur Formierung religiöser Gemeinschaften in der metropolis Dakiens</w:t>
      </w:r>
      <w:r w:rsidR="00C9247A" w:rsidRPr="005433A2">
        <w:rPr>
          <w:rFonts w:ascii="Times New Roman" w:hAnsi="Times New Roman" w:cs="Times New Roman"/>
          <w:sz w:val="24"/>
          <w:szCs w:val="24"/>
        </w:rPr>
        <w:t>, Berlin, 2007)</w:t>
      </w:r>
      <w:r w:rsidR="00F13900" w:rsidRPr="005433A2">
        <w:rPr>
          <w:rFonts w:ascii="Times New Roman" w:hAnsi="Times New Roman" w:cs="Times New Roman"/>
          <w:sz w:val="24"/>
          <w:szCs w:val="24"/>
        </w:rPr>
        <w:t>.</w:t>
      </w:r>
    </w:p>
    <w:p w:rsidR="007E1AA5" w:rsidRPr="005433A2" w:rsidRDefault="00CB79F0" w:rsidP="007E1AA5">
      <w:pPr>
        <w:rPr>
          <w:rFonts w:ascii="Times New Roman" w:hAnsi="Times New Roman" w:cs="Times New Roman"/>
          <w:sz w:val="24"/>
          <w:szCs w:val="24"/>
        </w:rPr>
      </w:pPr>
      <w:r w:rsidRPr="005433A2">
        <w:rPr>
          <w:rFonts w:ascii="Times New Roman" w:hAnsi="Times New Roman" w:cs="Times New Roman"/>
          <w:sz w:val="24"/>
          <w:szCs w:val="24"/>
        </w:rPr>
        <w:lastRenderedPageBreak/>
        <w:t xml:space="preserve">Il est piquant de constater que le plan même de l’ouvrage </w:t>
      </w:r>
      <w:r w:rsidR="00D51E7A" w:rsidRPr="005433A2">
        <w:rPr>
          <w:rFonts w:ascii="Times New Roman" w:hAnsi="Times New Roman" w:cs="Times New Roman"/>
          <w:sz w:val="24"/>
          <w:szCs w:val="24"/>
        </w:rPr>
        <w:t>est en bonne partie bâti selon l</w:t>
      </w:r>
      <w:r w:rsidRPr="005433A2">
        <w:rPr>
          <w:rFonts w:ascii="Times New Roman" w:hAnsi="Times New Roman" w:cs="Times New Roman"/>
          <w:sz w:val="24"/>
          <w:szCs w:val="24"/>
        </w:rPr>
        <w:t>es catégories qu</w:t>
      </w:r>
      <w:r w:rsidR="00D51E7A" w:rsidRPr="005433A2">
        <w:rPr>
          <w:rFonts w:ascii="Times New Roman" w:hAnsi="Times New Roman" w:cs="Times New Roman"/>
          <w:sz w:val="24"/>
          <w:szCs w:val="24"/>
        </w:rPr>
        <w:t>e C. Szabó</w:t>
      </w:r>
      <w:r w:rsidR="00557D7D">
        <w:rPr>
          <w:rFonts w:ascii="Times New Roman" w:hAnsi="Times New Roman" w:cs="Times New Roman"/>
          <w:sz w:val="24"/>
          <w:szCs w:val="24"/>
        </w:rPr>
        <w:t xml:space="preserve"> qualifie </w:t>
      </w:r>
      <w:r w:rsidR="00D51E7A" w:rsidRPr="005433A2">
        <w:rPr>
          <w:rFonts w:ascii="Times New Roman" w:hAnsi="Times New Roman" w:cs="Times New Roman"/>
          <w:sz w:val="24"/>
          <w:szCs w:val="24"/>
        </w:rPr>
        <w:t xml:space="preserve">de </w:t>
      </w:r>
      <w:r w:rsidR="00557D7D">
        <w:rPr>
          <w:rFonts w:ascii="Times New Roman" w:hAnsi="Times New Roman" w:cs="Times New Roman"/>
          <w:sz w:val="24"/>
          <w:szCs w:val="24"/>
        </w:rPr>
        <w:t>fausses</w:t>
      </w:r>
      <w:r w:rsidR="00D51E7A" w:rsidRPr="005433A2">
        <w:rPr>
          <w:rFonts w:ascii="Times New Roman" w:hAnsi="Times New Roman" w:cs="Times New Roman"/>
          <w:sz w:val="24"/>
          <w:szCs w:val="24"/>
        </w:rPr>
        <w:t xml:space="preserve"> dans son introduction</w:t>
      </w:r>
      <w:r w:rsidR="00B4792F" w:rsidRPr="005433A2">
        <w:rPr>
          <w:rFonts w:ascii="Times New Roman" w:hAnsi="Times New Roman" w:cs="Times New Roman"/>
          <w:sz w:val="24"/>
          <w:szCs w:val="24"/>
        </w:rPr>
        <w:t>.</w:t>
      </w:r>
      <w:r w:rsidR="00D51E7A" w:rsidRPr="005433A2">
        <w:rPr>
          <w:rFonts w:ascii="Times New Roman" w:hAnsi="Times New Roman" w:cs="Times New Roman"/>
          <w:sz w:val="24"/>
          <w:szCs w:val="24"/>
        </w:rPr>
        <w:t xml:space="preserve"> Le premier chapitre</w:t>
      </w:r>
      <w:r w:rsidR="00D66F64" w:rsidRPr="005433A2">
        <w:rPr>
          <w:rFonts w:ascii="Times New Roman" w:hAnsi="Times New Roman" w:cs="Times New Roman"/>
          <w:sz w:val="24"/>
          <w:szCs w:val="24"/>
        </w:rPr>
        <w:t xml:space="preserve">, de loin le plus long (p. 11-127), est consacré à </w:t>
      </w:r>
      <w:r w:rsidR="000438BE" w:rsidRPr="005433A2">
        <w:rPr>
          <w:rFonts w:ascii="Times New Roman" w:hAnsi="Times New Roman" w:cs="Times New Roman"/>
          <w:sz w:val="24"/>
          <w:szCs w:val="24"/>
        </w:rPr>
        <w:t>la sacralisation de l’espace dans un environnement urbain</w:t>
      </w:r>
      <w:r w:rsidR="00D66F64" w:rsidRPr="005433A2">
        <w:rPr>
          <w:rFonts w:ascii="Times New Roman" w:hAnsi="Times New Roman" w:cs="Times New Roman"/>
          <w:sz w:val="24"/>
          <w:szCs w:val="24"/>
        </w:rPr>
        <w:t>, à partir de l’exemple bien documenté d’Apulum</w:t>
      </w:r>
      <w:r w:rsidR="00CD3C98" w:rsidRPr="005433A2">
        <w:rPr>
          <w:rFonts w:ascii="Times New Roman" w:hAnsi="Times New Roman" w:cs="Times New Roman"/>
          <w:sz w:val="24"/>
          <w:szCs w:val="24"/>
        </w:rPr>
        <w:t xml:space="preserve"> auquel sont parfois ajoutés des éléments provenant de Sarmizegetusa</w:t>
      </w:r>
      <w:r w:rsidR="00853E19" w:rsidRPr="005433A2">
        <w:rPr>
          <w:rFonts w:ascii="Times New Roman" w:hAnsi="Times New Roman" w:cs="Times New Roman"/>
          <w:sz w:val="24"/>
          <w:szCs w:val="24"/>
        </w:rPr>
        <w:t xml:space="preserve"> et d’autres</w:t>
      </w:r>
      <w:r w:rsidR="0039055B" w:rsidRPr="005433A2">
        <w:rPr>
          <w:rFonts w:ascii="Times New Roman" w:hAnsi="Times New Roman" w:cs="Times New Roman"/>
          <w:sz w:val="24"/>
          <w:szCs w:val="24"/>
        </w:rPr>
        <w:t xml:space="preserve"> centres urbains de Dacie</w:t>
      </w:r>
      <w:r w:rsidR="00D66F64" w:rsidRPr="005433A2">
        <w:rPr>
          <w:rFonts w:ascii="Times New Roman" w:hAnsi="Times New Roman" w:cs="Times New Roman"/>
          <w:sz w:val="24"/>
          <w:szCs w:val="24"/>
        </w:rPr>
        <w:t xml:space="preserve">. Le </w:t>
      </w:r>
      <w:r w:rsidR="00CD3C98" w:rsidRPr="005433A2">
        <w:rPr>
          <w:rFonts w:ascii="Times New Roman" w:hAnsi="Times New Roman" w:cs="Times New Roman"/>
          <w:sz w:val="24"/>
          <w:szCs w:val="24"/>
        </w:rPr>
        <w:t>deuxième chapitre</w:t>
      </w:r>
      <w:r w:rsidR="00D66F64" w:rsidRPr="005433A2">
        <w:rPr>
          <w:rFonts w:ascii="Times New Roman" w:hAnsi="Times New Roman" w:cs="Times New Roman"/>
          <w:sz w:val="24"/>
          <w:szCs w:val="24"/>
        </w:rPr>
        <w:t xml:space="preserve"> porte sur</w:t>
      </w:r>
      <w:r w:rsidR="006143F8" w:rsidRPr="005433A2">
        <w:rPr>
          <w:rFonts w:ascii="Times New Roman" w:hAnsi="Times New Roman" w:cs="Times New Roman"/>
          <w:sz w:val="24"/>
          <w:szCs w:val="24"/>
        </w:rPr>
        <w:t xml:space="preserve"> sanctuaires et réseaux </w:t>
      </w:r>
      <w:r w:rsidR="000B3AAD" w:rsidRPr="005433A2">
        <w:rPr>
          <w:rFonts w:ascii="Times New Roman" w:hAnsi="Times New Roman" w:cs="Times New Roman"/>
          <w:sz w:val="24"/>
          <w:szCs w:val="24"/>
        </w:rPr>
        <w:t>dans des établissements</w:t>
      </w:r>
      <w:r w:rsidR="00D66F64" w:rsidRPr="005433A2">
        <w:rPr>
          <w:rFonts w:ascii="Times New Roman" w:hAnsi="Times New Roman" w:cs="Times New Roman"/>
          <w:sz w:val="24"/>
          <w:szCs w:val="24"/>
        </w:rPr>
        <w:t xml:space="preserve"> militaires</w:t>
      </w:r>
      <w:r w:rsidR="000B3AAD" w:rsidRPr="005433A2">
        <w:rPr>
          <w:rFonts w:ascii="Times New Roman" w:hAnsi="Times New Roman" w:cs="Times New Roman"/>
          <w:sz w:val="24"/>
          <w:szCs w:val="24"/>
        </w:rPr>
        <w:t xml:space="preserve"> ou d’origine militaire</w:t>
      </w:r>
      <w:r w:rsidR="00D66F64" w:rsidRPr="005433A2">
        <w:rPr>
          <w:rFonts w:ascii="Times New Roman" w:hAnsi="Times New Roman" w:cs="Times New Roman"/>
          <w:sz w:val="24"/>
          <w:szCs w:val="24"/>
        </w:rPr>
        <w:t>, à partir des cas de Porolissum et de Praetorium</w:t>
      </w:r>
      <w:r w:rsidR="00A8385A" w:rsidRPr="005433A2">
        <w:rPr>
          <w:rFonts w:ascii="Times New Roman" w:hAnsi="Times New Roman" w:cs="Times New Roman"/>
          <w:sz w:val="24"/>
          <w:szCs w:val="24"/>
        </w:rPr>
        <w:t xml:space="preserve"> (Mehadia)</w:t>
      </w:r>
      <w:r w:rsidR="004A06F5" w:rsidRPr="005433A2">
        <w:rPr>
          <w:rFonts w:ascii="Times New Roman" w:hAnsi="Times New Roman" w:cs="Times New Roman"/>
          <w:sz w:val="24"/>
          <w:szCs w:val="24"/>
        </w:rPr>
        <w:t> ; le titre peut induire en erreur puisque seuls sont</w:t>
      </w:r>
      <w:r w:rsidR="00A8385A" w:rsidRPr="005433A2">
        <w:rPr>
          <w:rFonts w:ascii="Times New Roman" w:hAnsi="Times New Roman" w:cs="Times New Roman"/>
          <w:sz w:val="24"/>
          <w:szCs w:val="24"/>
        </w:rPr>
        <w:t xml:space="preserve"> </w:t>
      </w:r>
      <w:r w:rsidR="00D66F64" w:rsidRPr="005433A2">
        <w:rPr>
          <w:rFonts w:ascii="Times New Roman" w:hAnsi="Times New Roman" w:cs="Times New Roman"/>
          <w:sz w:val="24"/>
          <w:szCs w:val="24"/>
        </w:rPr>
        <w:t>étudiés</w:t>
      </w:r>
      <w:r w:rsidR="004A06F5" w:rsidRPr="005433A2">
        <w:rPr>
          <w:rFonts w:ascii="Times New Roman" w:hAnsi="Times New Roman" w:cs="Times New Roman"/>
          <w:sz w:val="24"/>
          <w:szCs w:val="24"/>
        </w:rPr>
        <w:t xml:space="preserve"> et comparés</w:t>
      </w:r>
      <w:r w:rsidR="00D66F64" w:rsidRPr="005433A2">
        <w:rPr>
          <w:rFonts w:ascii="Times New Roman" w:hAnsi="Times New Roman" w:cs="Times New Roman"/>
          <w:sz w:val="24"/>
          <w:szCs w:val="24"/>
        </w:rPr>
        <w:t xml:space="preserve"> </w:t>
      </w:r>
      <w:r w:rsidR="004A06F5" w:rsidRPr="005433A2">
        <w:rPr>
          <w:rFonts w:ascii="Times New Roman" w:hAnsi="Times New Roman" w:cs="Times New Roman"/>
          <w:sz w:val="24"/>
          <w:szCs w:val="24"/>
        </w:rPr>
        <w:t>leurs</w:t>
      </w:r>
      <w:r w:rsidR="00D66F64" w:rsidRPr="005433A2">
        <w:rPr>
          <w:rFonts w:ascii="Times New Roman" w:hAnsi="Times New Roman" w:cs="Times New Roman"/>
          <w:sz w:val="24"/>
          <w:szCs w:val="24"/>
        </w:rPr>
        <w:t xml:space="preserve"> </w:t>
      </w:r>
      <w:r w:rsidR="004A06F5" w:rsidRPr="005433A2">
        <w:rPr>
          <w:rFonts w:ascii="Times New Roman" w:hAnsi="Times New Roman" w:cs="Times New Roman"/>
          <w:i/>
          <w:sz w:val="24"/>
          <w:szCs w:val="24"/>
        </w:rPr>
        <w:t>Dolichena</w:t>
      </w:r>
      <w:r w:rsidR="0017313A" w:rsidRPr="005433A2">
        <w:rPr>
          <w:rFonts w:ascii="Times New Roman" w:hAnsi="Times New Roman" w:cs="Times New Roman"/>
          <w:sz w:val="24"/>
          <w:szCs w:val="24"/>
        </w:rPr>
        <w:t xml:space="preserve"> et les réseaux des dévots, militaires et marchands, qui y sont attestés, témoignant d’une haute mobilité dans et hors la province</w:t>
      </w:r>
      <w:r w:rsidR="00D66F64" w:rsidRPr="005433A2">
        <w:rPr>
          <w:rFonts w:ascii="Times New Roman" w:hAnsi="Times New Roman" w:cs="Times New Roman"/>
          <w:sz w:val="24"/>
          <w:szCs w:val="24"/>
        </w:rPr>
        <w:t>.</w:t>
      </w:r>
      <w:r w:rsidR="003813EE" w:rsidRPr="005433A2">
        <w:rPr>
          <w:rFonts w:ascii="Times New Roman" w:hAnsi="Times New Roman" w:cs="Times New Roman"/>
          <w:sz w:val="24"/>
          <w:szCs w:val="24"/>
        </w:rPr>
        <w:t xml:space="preserve"> Le troisième</w:t>
      </w:r>
      <w:r w:rsidR="00026FFE">
        <w:rPr>
          <w:rFonts w:ascii="Times New Roman" w:hAnsi="Times New Roman" w:cs="Times New Roman"/>
          <w:sz w:val="24"/>
          <w:szCs w:val="24"/>
        </w:rPr>
        <w:t xml:space="preserve"> chapitre</w:t>
      </w:r>
      <w:r w:rsidR="003813EE" w:rsidRPr="005433A2">
        <w:rPr>
          <w:rFonts w:ascii="Times New Roman" w:hAnsi="Times New Roman" w:cs="Times New Roman"/>
          <w:sz w:val="24"/>
          <w:szCs w:val="24"/>
        </w:rPr>
        <w:t xml:space="preserve"> </w:t>
      </w:r>
      <w:r w:rsidR="000438BE" w:rsidRPr="005433A2">
        <w:rPr>
          <w:rFonts w:ascii="Times New Roman" w:hAnsi="Times New Roman" w:cs="Times New Roman"/>
          <w:sz w:val="24"/>
          <w:szCs w:val="24"/>
        </w:rPr>
        <w:t>se concentre</w:t>
      </w:r>
      <w:r w:rsidR="003813EE" w:rsidRPr="005433A2">
        <w:rPr>
          <w:rFonts w:ascii="Times New Roman" w:hAnsi="Times New Roman" w:cs="Times New Roman"/>
          <w:sz w:val="24"/>
          <w:szCs w:val="24"/>
        </w:rPr>
        <w:t xml:space="preserve"> sur les établissements ruraux, en envisageant la question de la continuité</w:t>
      </w:r>
      <w:r w:rsidR="00580B35">
        <w:rPr>
          <w:rFonts w:ascii="Times New Roman" w:hAnsi="Times New Roman" w:cs="Times New Roman"/>
          <w:sz w:val="24"/>
          <w:szCs w:val="24"/>
        </w:rPr>
        <w:t xml:space="preserve"> des espaces sacrés pré-romains ;</w:t>
      </w:r>
      <w:r w:rsidR="003813EE" w:rsidRPr="005433A2">
        <w:rPr>
          <w:rFonts w:ascii="Times New Roman" w:hAnsi="Times New Roman" w:cs="Times New Roman"/>
          <w:sz w:val="24"/>
          <w:szCs w:val="24"/>
        </w:rPr>
        <w:t xml:space="preserve"> la transformation de l’environnement naturel à Ad Mediam et </w:t>
      </w:r>
      <w:r w:rsidR="00557D7D">
        <w:rPr>
          <w:rFonts w:ascii="Times New Roman" w:hAnsi="Times New Roman" w:cs="Times New Roman"/>
          <w:sz w:val="24"/>
          <w:szCs w:val="24"/>
        </w:rPr>
        <w:t xml:space="preserve">à </w:t>
      </w:r>
      <w:r w:rsidR="003813EE" w:rsidRPr="005433A2">
        <w:rPr>
          <w:rFonts w:ascii="Times New Roman" w:hAnsi="Times New Roman" w:cs="Times New Roman"/>
          <w:sz w:val="24"/>
          <w:szCs w:val="24"/>
        </w:rPr>
        <w:t>Germisara</w:t>
      </w:r>
      <w:r w:rsidR="00580B35">
        <w:rPr>
          <w:rFonts w:ascii="Times New Roman" w:hAnsi="Times New Roman" w:cs="Times New Roman"/>
          <w:sz w:val="24"/>
          <w:szCs w:val="24"/>
        </w:rPr>
        <w:t>, autour de leurs établissements thermaux et des espaces sacralisés qui y sont installés ;</w:t>
      </w:r>
      <w:r w:rsidR="003813EE" w:rsidRPr="005433A2">
        <w:rPr>
          <w:rFonts w:ascii="Times New Roman" w:hAnsi="Times New Roman" w:cs="Times New Roman"/>
          <w:sz w:val="24"/>
          <w:szCs w:val="24"/>
        </w:rPr>
        <w:t xml:space="preserve"> la sacralisation de l’espace dans le district minier d’Ampelum</w:t>
      </w:r>
      <w:r w:rsidR="00580B35">
        <w:rPr>
          <w:rFonts w:ascii="Times New Roman" w:hAnsi="Times New Roman" w:cs="Times New Roman"/>
          <w:sz w:val="24"/>
          <w:szCs w:val="24"/>
        </w:rPr>
        <w:t> ;</w:t>
      </w:r>
      <w:r w:rsidR="003813EE" w:rsidRPr="005433A2">
        <w:rPr>
          <w:rFonts w:ascii="Times New Roman" w:hAnsi="Times New Roman" w:cs="Times New Roman"/>
          <w:sz w:val="24"/>
          <w:szCs w:val="24"/>
        </w:rPr>
        <w:t xml:space="preserve"> et</w:t>
      </w:r>
      <w:r w:rsidR="00580B35">
        <w:rPr>
          <w:rFonts w:ascii="Times New Roman" w:hAnsi="Times New Roman" w:cs="Times New Roman"/>
          <w:sz w:val="24"/>
          <w:szCs w:val="24"/>
        </w:rPr>
        <w:t xml:space="preserve"> enfin</w:t>
      </w:r>
      <w:r w:rsidR="003813EE" w:rsidRPr="005433A2">
        <w:rPr>
          <w:rFonts w:ascii="Times New Roman" w:hAnsi="Times New Roman" w:cs="Times New Roman"/>
          <w:sz w:val="24"/>
          <w:szCs w:val="24"/>
        </w:rPr>
        <w:t xml:space="preserve"> l’appropriation religieuse dans quelques contextes ruraux</w:t>
      </w:r>
      <w:r w:rsidR="0068410C">
        <w:rPr>
          <w:rFonts w:ascii="Times New Roman" w:hAnsi="Times New Roman" w:cs="Times New Roman"/>
          <w:sz w:val="24"/>
          <w:szCs w:val="24"/>
        </w:rPr>
        <w:t xml:space="preserve"> (notamment à partir de découvertes archéologiques, iconographiques ou épigraphiques liées au culte de Mithra</w:t>
      </w:r>
      <w:r w:rsidR="00186A56">
        <w:rPr>
          <w:rFonts w:ascii="Times New Roman" w:hAnsi="Times New Roman" w:cs="Times New Roman"/>
          <w:sz w:val="24"/>
          <w:szCs w:val="24"/>
        </w:rPr>
        <w:t xml:space="preserve"> ou à partir de lieux de culte retrouvés dans des villas</w:t>
      </w:r>
      <w:r w:rsidR="0068410C">
        <w:rPr>
          <w:rFonts w:ascii="Times New Roman" w:hAnsi="Times New Roman" w:cs="Times New Roman"/>
          <w:sz w:val="24"/>
          <w:szCs w:val="24"/>
        </w:rPr>
        <w:t>)</w:t>
      </w:r>
      <w:r w:rsidR="003813EE" w:rsidRPr="005433A2">
        <w:rPr>
          <w:rFonts w:ascii="Times New Roman" w:hAnsi="Times New Roman" w:cs="Times New Roman"/>
          <w:sz w:val="24"/>
          <w:szCs w:val="24"/>
        </w:rPr>
        <w:t>.</w:t>
      </w:r>
    </w:p>
    <w:p w:rsidR="00FC0958" w:rsidRPr="005433A2" w:rsidRDefault="00FC0958" w:rsidP="007E1AA5">
      <w:pPr>
        <w:rPr>
          <w:rFonts w:ascii="Times New Roman" w:hAnsi="Times New Roman" w:cs="Times New Roman"/>
          <w:sz w:val="24"/>
          <w:szCs w:val="24"/>
        </w:rPr>
      </w:pPr>
      <w:r w:rsidRPr="005433A2">
        <w:rPr>
          <w:rFonts w:ascii="Times New Roman" w:hAnsi="Times New Roman" w:cs="Times New Roman"/>
          <w:sz w:val="24"/>
          <w:szCs w:val="24"/>
        </w:rPr>
        <w:t xml:space="preserve">Dans le premier chapitre sont envisagés successivement les murs et l’expérience religieuse ; les espaces sacralisés du camp militaire ; l’omniprésence de Jupiter ; les dieux présents dans les édifices de spectacle ; la compétition religieuse </w:t>
      </w:r>
      <w:r w:rsidR="00746ABB">
        <w:rPr>
          <w:rFonts w:ascii="Times New Roman" w:hAnsi="Times New Roman" w:cs="Times New Roman"/>
          <w:sz w:val="24"/>
          <w:szCs w:val="24"/>
        </w:rPr>
        <w:t>à laquelle</w:t>
      </w:r>
      <w:r w:rsidRPr="005433A2">
        <w:rPr>
          <w:rFonts w:ascii="Times New Roman" w:hAnsi="Times New Roman" w:cs="Times New Roman"/>
          <w:sz w:val="24"/>
          <w:szCs w:val="24"/>
        </w:rPr>
        <w:t xml:space="preserve"> se livrent les élites au pouvoir ; l’Asklepieion ; quelques espaces secondaires, tel le sanctuaire de Liber Pater ainsi que les </w:t>
      </w:r>
      <w:r w:rsidRPr="005433A2">
        <w:rPr>
          <w:rFonts w:ascii="Times New Roman" w:hAnsi="Times New Roman" w:cs="Times New Roman"/>
          <w:i/>
          <w:sz w:val="24"/>
          <w:szCs w:val="24"/>
        </w:rPr>
        <w:t>mithraea </w:t>
      </w:r>
      <w:r w:rsidRPr="005433A2">
        <w:rPr>
          <w:rFonts w:ascii="Times New Roman" w:hAnsi="Times New Roman" w:cs="Times New Roman"/>
          <w:sz w:val="24"/>
          <w:szCs w:val="24"/>
        </w:rPr>
        <w:t>; et enfin la question controversée de l’apparition</w:t>
      </w:r>
      <w:r w:rsidR="00182ADB" w:rsidRPr="005433A2">
        <w:rPr>
          <w:rFonts w:ascii="Times New Roman" w:hAnsi="Times New Roman" w:cs="Times New Roman"/>
          <w:sz w:val="24"/>
          <w:szCs w:val="24"/>
        </w:rPr>
        <w:t xml:space="preserve"> et du développement</w:t>
      </w:r>
      <w:r w:rsidRPr="005433A2">
        <w:rPr>
          <w:rFonts w:ascii="Times New Roman" w:hAnsi="Times New Roman" w:cs="Times New Roman"/>
          <w:sz w:val="24"/>
          <w:szCs w:val="24"/>
        </w:rPr>
        <w:t xml:space="preserve"> du christianisme à Apulum. On peut regretter que l’auteur n’ait pas </w:t>
      </w:r>
      <w:r w:rsidR="00504684" w:rsidRPr="005433A2">
        <w:rPr>
          <w:rFonts w:ascii="Times New Roman" w:hAnsi="Times New Roman" w:cs="Times New Roman"/>
          <w:sz w:val="24"/>
          <w:szCs w:val="24"/>
        </w:rPr>
        <w:t>explicité d’emblée</w:t>
      </w:r>
      <w:r w:rsidRPr="005433A2">
        <w:rPr>
          <w:rFonts w:ascii="Times New Roman" w:hAnsi="Times New Roman" w:cs="Times New Roman"/>
          <w:sz w:val="24"/>
          <w:szCs w:val="24"/>
        </w:rPr>
        <w:t xml:space="preserve"> la situation complexe que présente la conurbation d’Apulum</w:t>
      </w:r>
      <w:r w:rsidR="00504684" w:rsidRPr="005433A2">
        <w:rPr>
          <w:rFonts w:ascii="Times New Roman" w:hAnsi="Times New Roman" w:cs="Times New Roman"/>
          <w:sz w:val="24"/>
          <w:szCs w:val="24"/>
          <w:vertAlign w:val="superscript"/>
        </w:rPr>
        <w:footnoteReference w:id="1"/>
      </w:r>
      <w:r w:rsidR="00504684" w:rsidRPr="005433A2">
        <w:rPr>
          <w:rFonts w:ascii="Times New Roman" w:hAnsi="Times New Roman" w:cs="Times New Roman"/>
          <w:sz w:val="24"/>
          <w:szCs w:val="24"/>
        </w:rPr>
        <w:t xml:space="preserve">, rendant son propos difficile à saisir pour un lecteur néophyte. De même, on </w:t>
      </w:r>
      <w:r w:rsidR="00557D7D">
        <w:rPr>
          <w:rFonts w:ascii="Times New Roman" w:hAnsi="Times New Roman" w:cs="Times New Roman"/>
          <w:sz w:val="24"/>
          <w:szCs w:val="24"/>
        </w:rPr>
        <w:t>déplore</w:t>
      </w:r>
      <w:r w:rsidR="00504684" w:rsidRPr="005433A2">
        <w:rPr>
          <w:rFonts w:ascii="Times New Roman" w:hAnsi="Times New Roman" w:cs="Times New Roman"/>
          <w:sz w:val="24"/>
          <w:szCs w:val="24"/>
        </w:rPr>
        <w:t xml:space="preserve"> l’absence d’une carte générale</w:t>
      </w:r>
      <w:r w:rsidR="00E17F33" w:rsidRPr="005433A2">
        <w:rPr>
          <w:rFonts w:ascii="Times New Roman" w:hAnsi="Times New Roman" w:cs="Times New Roman"/>
          <w:sz w:val="24"/>
          <w:szCs w:val="24"/>
        </w:rPr>
        <w:t xml:space="preserve"> d’Apulum</w:t>
      </w:r>
      <w:r w:rsidR="00504684" w:rsidRPr="005433A2">
        <w:rPr>
          <w:rFonts w:ascii="Times New Roman" w:hAnsi="Times New Roman" w:cs="Times New Roman"/>
          <w:sz w:val="24"/>
          <w:szCs w:val="24"/>
        </w:rPr>
        <w:t>, fût-elle schématique, reprenant clairement les lieux évoqués dans le texte. Les points sur les murailles et les édifices de spectacles s’avèrent décevants, faute de documentation permettant d’appréhender</w:t>
      </w:r>
      <w:r w:rsidR="00731AC7" w:rsidRPr="005433A2">
        <w:rPr>
          <w:rFonts w:ascii="Times New Roman" w:hAnsi="Times New Roman" w:cs="Times New Roman"/>
          <w:sz w:val="24"/>
          <w:szCs w:val="24"/>
        </w:rPr>
        <w:t xml:space="preserve"> les « expériences religieuses » qui pouvaient s’y vivre. Plusieurs dédicaces émanant d’officiers font l’objet d’analyses intéressantes, mettant en lumière les choix des divinités honorées, basés sur des considérations personnelles mais peut-être aussi parfois collectives.</w:t>
      </w:r>
      <w:r w:rsidR="00182ADB" w:rsidRPr="005433A2">
        <w:rPr>
          <w:rFonts w:ascii="Times New Roman" w:hAnsi="Times New Roman" w:cs="Times New Roman"/>
          <w:sz w:val="24"/>
          <w:szCs w:val="24"/>
        </w:rPr>
        <w:t xml:space="preserve"> Le point consacré au christianisme à Apulum démonte utilement les arguments qui ont </w:t>
      </w:r>
      <w:r w:rsidR="006143F8" w:rsidRPr="005433A2">
        <w:rPr>
          <w:rFonts w:ascii="Times New Roman" w:hAnsi="Times New Roman" w:cs="Times New Roman"/>
          <w:sz w:val="24"/>
          <w:szCs w:val="24"/>
        </w:rPr>
        <w:t>été</w:t>
      </w:r>
      <w:r w:rsidR="00182ADB" w:rsidRPr="005433A2">
        <w:rPr>
          <w:rFonts w:ascii="Times New Roman" w:hAnsi="Times New Roman" w:cs="Times New Roman"/>
          <w:sz w:val="24"/>
          <w:szCs w:val="24"/>
        </w:rPr>
        <w:t xml:space="preserve"> brandis</w:t>
      </w:r>
      <w:r w:rsidR="006143F8" w:rsidRPr="005433A2">
        <w:rPr>
          <w:rFonts w:ascii="Times New Roman" w:hAnsi="Times New Roman" w:cs="Times New Roman"/>
          <w:sz w:val="24"/>
          <w:szCs w:val="24"/>
        </w:rPr>
        <w:t>, plus ou moins récemment,</w:t>
      </w:r>
      <w:r w:rsidR="00182ADB" w:rsidRPr="005433A2">
        <w:rPr>
          <w:rFonts w:ascii="Times New Roman" w:hAnsi="Times New Roman" w:cs="Times New Roman"/>
          <w:sz w:val="24"/>
          <w:szCs w:val="24"/>
        </w:rPr>
        <w:t xml:space="preserve"> pour forger des théories identitaire</w:t>
      </w:r>
      <w:r w:rsidR="006143F8" w:rsidRPr="005433A2">
        <w:rPr>
          <w:rFonts w:ascii="Times New Roman" w:hAnsi="Times New Roman" w:cs="Times New Roman"/>
          <w:sz w:val="24"/>
          <w:szCs w:val="24"/>
        </w:rPr>
        <w:t>s</w:t>
      </w:r>
      <w:r w:rsidR="00182ADB" w:rsidRPr="005433A2">
        <w:rPr>
          <w:rFonts w:ascii="Times New Roman" w:hAnsi="Times New Roman" w:cs="Times New Roman"/>
          <w:sz w:val="24"/>
          <w:szCs w:val="24"/>
        </w:rPr>
        <w:t xml:space="preserve"> </w:t>
      </w:r>
      <w:r w:rsidR="00746ABB">
        <w:rPr>
          <w:rFonts w:ascii="Times New Roman" w:hAnsi="Times New Roman" w:cs="Times New Roman"/>
          <w:sz w:val="24"/>
          <w:szCs w:val="24"/>
        </w:rPr>
        <w:t xml:space="preserve">fondées </w:t>
      </w:r>
      <w:r w:rsidR="00182ADB" w:rsidRPr="005433A2">
        <w:rPr>
          <w:rFonts w:ascii="Times New Roman" w:hAnsi="Times New Roman" w:cs="Times New Roman"/>
          <w:sz w:val="24"/>
          <w:szCs w:val="24"/>
        </w:rPr>
        <w:t>sur les continuités ethniques et religieuses.</w:t>
      </w:r>
    </w:p>
    <w:p w:rsidR="00182ADB" w:rsidRPr="005433A2" w:rsidRDefault="00E02FFB" w:rsidP="007E1AA5">
      <w:pPr>
        <w:rPr>
          <w:rFonts w:ascii="Times New Roman" w:hAnsi="Times New Roman" w:cs="Times New Roman"/>
          <w:sz w:val="24"/>
          <w:szCs w:val="24"/>
        </w:rPr>
      </w:pPr>
      <w:r w:rsidRPr="005433A2">
        <w:rPr>
          <w:rFonts w:ascii="Times New Roman" w:hAnsi="Times New Roman" w:cs="Times New Roman"/>
          <w:sz w:val="24"/>
          <w:szCs w:val="24"/>
        </w:rPr>
        <w:t>Au fil du</w:t>
      </w:r>
      <w:r w:rsidR="00DF35A6" w:rsidRPr="005433A2">
        <w:rPr>
          <w:rFonts w:ascii="Times New Roman" w:hAnsi="Times New Roman" w:cs="Times New Roman"/>
          <w:sz w:val="24"/>
          <w:szCs w:val="24"/>
        </w:rPr>
        <w:t xml:space="preserve"> troisième chapitre, </w:t>
      </w:r>
      <w:r w:rsidR="008470D6" w:rsidRPr="005433A2">
        <w:rPr>
          <w:rFonts w:ascii="Times New Roman" w:hAnsi="Times New Roman" w:cs="Times New Roman"/>
          <w:sz w:val="24"/>
          <w:szCs w:val="24"/>
        </w:rPr>
        <w:t>C. Szabó</w:t>
      </w:r>
      <w:r w:rsidR="00DF35A6" w:rsidRPr="005433A2">
        <w:rPr>
          <w:rFonts w:ascii="Times New Roman" w:hAnsi="Times New Roman" w:cs="Times New Roman"/>
          <w:sz w:val="24"/>
          <w:szCs w:val="24"/>
        </w:rPr>
        <w:t xml:space="preserve"> </w:t>
      </w:r>
      <w:r w:rsidR="008403F5">
        <w:rPr>
          <w:rFonts w:ascii="Times New Roman" w:hAnsi="Times New Roman" w:cs="Times New Roman"/>
          <w:sz w:val="24"/>
          <w:szCs w:val="24"/>
        </w:rPr>
        <w:t xml:space="preserve">présente plusieurs études de cas </w:t>
      </w:r>
      <w:r w:rsidR="0015636E">
        <w:rPr>
          <w:rFonts w:ascii="Times New Roman" w:hAnsi="Times New Roman" w:cs="Times New Roman"/>
          <w:sz w:val="24"/>
          <w:szCs w:val="24"/>
        </w:rPr>
        <w:t>relatives à</w:t>
      </w:r>
      <w:r w:rsidR="008403F5">
        <w:rPr>
          <w:rFonts w:ascii="Times New Roman" w:hAnsi="Times New Roman" w:cs="Times New Roman"/>
          <w:sz w:val="24"/>
          <w:szCs w:val="24"/>
        </w:rPr>
        <w:t xml:space="preserve"> la sacralisation d’espace</w:t>
      </w:r>
      <w:r w:rsidR="0015636E">
        <w:rPr>
          <w:rFonts w:ascii="Times New Roman" w:hAnsi="Times New Roman" w:cs="Times New Roman"/>
          <w:sz w:val="24"/>
          <w:szCs w:val="24"/>
        </w:rPr>
        <w:t>s</w:t>
      </w:r>
      <w:r w:rsidR="008403F5">
        <w:rPr>
          <w:rFonts w:ascii="Times New Roman" w:hAnsi="Times New Roman" w:cs="Times New Roman"/>
          <w:sz w:val="24"/>
          <w:szCs w:val="24"/>
        </w:rPr>
        <w:t xml:space="preserve"> </w:t>
      </w:r>
      <w:r w:rsidR="0015636E">
        <w:rPr>
          <w:rFonts w:ascii="Times New Roman" w:hAnsi="Times New Roman" w:cs="Times New Roman"/>
          <w:sz w:val="24"/>
          <w:szCs w:val="24"/>
        </w:rPr>
        <w:t>profondément liés à des éléments naturels, tels que des sources, des mines d’or, d’argent ou de sel, des carrières de pierre ou simplement des terres agricoles</w:t>
      </w:r>
      <w:r w:rsidR="009E3EB1">
        <w:rPr>
          <w:rFonts w:ascii="Times New Roman" w:hAnsi="Times New Roman" w:cs="Times New Roman"/>
          <w:sz w:val="24"/>
          <w:szCs w:val="24"/>
        </w:rPr>
        <w:t>, et aux divers mo</w:t>
      </w:r>
      <w:r w:rsidR="00746ABB">
        <w:rPr>
          <w:rFonts w:ascii="Times New Roman" w:hAnsi="Times New Roman" w:cs="Times New Roman"/>
          <w:sz w:val="24"/>
          <w:szCs w:val="24"/>
        </w:rPr>
        <w:t>des de communication religieuse</w:t>
      </w:r>
      <w:r w:rsidR="009E3EB1">
        <w:rPr>
          <w:rFonts w:ascii="Times New Roman" w:hAnsi="Times New Roman" w:cs="Times New Roman"/>
          <w:sz w:val="24"/>
          <w:szCs w:val="24"/>
        </w:rPr>
        <w:t xml:space="preserve"> qui s’y développent</w:t>
      </w:r>
      <w:r w:rsidR="0015636E">
        <w:rPr>
          <w:rFonts w:ascii="Times New Roman" w:hAnsi="Times New Roman" w:cs="Times New Roman"/>
          <w:sz w:val="24"/>
          <w:szCs w:val="24"/>
        </w:rPr>
        <w:t xml:space="preserve">. Ce faisant, il </w:t>
      </w:r>
      <w:r w:rsidR="00DF35A6" w:rsidRPr="005433A2">
        <w:rPr>
          <w:rFonts w:ascii="Times New Roman" w:hAnsi="Times New Roman" w:cs="Times New Roman"/>
          <w:sz w:val="24"/>
          <w:szCs w:val="24"/>
        </w:rPr>
        <w:t>montre qu’il n’y avait pas une civilisation de Dacie en tant que telle, mais des groupes nombreux aux cultures mouvantes et fluides, et ce, déjà avant la conquête romaine par Trajan</w:t>
      </w:r>
      <w:r w:rsidR="008470D6" w:rsidRPr="005433A2">
        <w:rPr>
          <w:rFonts w:ascii="Times New Roman" w:hAnsi="Times New Roman" w:cs="Times New Roman"/>
          <w:sz w:val="24"/>
          <w:szCs w:val="24"/>
        </w:rPr>
        <w:t>. Selon l’auteur, il est donc anachronique de parler</w:t>
      </w:r>
      <w:r w:rsidRPr="005433A2">
        <w:rPr>
          <w:rFonts w:ascii="Times New Roman" w:hAnsi="Times New Roman" w:cs="Times New Roman"/>
          <w:sz w:val="24"/>
          <w:szCs w:val="24"/>
        </w:rPr>
        <w:t>, dans le sillage d’une certaine historiographie roumaine,</w:t>
      </w:r>
      <w:r w:rsidR="008470D6" w:rsidRPr="005433A2">
        <w:rPr>
          <w:rFonts w:ascii="Times New Roman" w:hAnsi="Times New Roman" w:cs="Times New Roman"/>
          <w:sz w:val="24"/>
          <w:szCs w:val="24"/>
        </w:rPr>
        <w:t xml:space="preserve"> de continuité ethnique ou religieuse</w:t>
      </w:r>
      <w:r w:rsidR="009F2C81" w:rsidRPr="005433A2">
        <w:rPr>
          <w:rFonts w:ascii="Times New Roman" w:hAnsi="Times New Roman" w:cs="Times New Roman"/>
          <w:sz w:val="24"/>
          <w:szCs w:val="24"/>
        </w:rPr>
        <w:t xml:space="preserve"> entre époques pré-romaine et romaine</w:t>
      </w:r>
      <w:r w:rsidR="008470D6" w:rsidRPr="005433A2">
        <w:rPr>
          <w:rFonts w:ascii="Times New Roman" w:hAnsi="Times New Roman" w:cs="Times New Roman"/>
          <w:sz w:val="24"/>
          <w:szCs w:val="24"/>
        </w:rPr>
        <w:t>.</w:t>
      </w:r>
      <w:r w:rsidR="00A16B98" w:rsidRPr="005433A2">
        <w:rPr>
          <w:rFonts w:ascii="Times New Roman" w:hAnsi="Times New Roman" w:cs="Times New Roman"/>
          <w:sz w:val="24"/>
          <w:szCs w:val="24"/>
        </w:rPr>
        <w:t xml:space="preserve"> Il vaut mieux envisager les transformations en termes d’interaction culturelle et d’appropriation.</w:t>
      </w:r>
      <w:r w:rsidR="008470D6" w:rsidRPr="005433A2">
        <w:rPr>
          <w:rFonts w:ascii="Times New Roman" w:hAnsi="Times New Roman" w:cs="Times New Roman"/>
          <w:sz w:val="24"/>
          <w:szCs w:val="24"/>
        </w:rPr>
        <w:t xml:space="preserve"> </w:t>
      </w:r>
      <w:r w:rsidR="00A16B98" w:rsidRPr="005433A2">
        <w:rPr>
          <w:rFonts w:ascii="Times New Roman" w:hAnsi="Times New Roman" w:cs="Times New Roman"/>
          <w:sz w:val="24"/>
          <w:szCs w:val="24"/>
        </w:rPr>
        <w:t>Ainsi</w:t>
      </w:r>
      <w:r w:rsidR="008470D6" w:rsidRPr="005433A2">
        <w:rPr>
          <w:rFonts w:ascii="Times New Roman" w:hAnsi="Times New Roman" w:cs="Times New Roman"/>
          <w:sz w:val="24"/>
          <w:szCs w:val="24"/>
        </w:rPr>
        <w:t xml:space="preserve">, continue-t-il, </w:t>
      </w:r>
      <w:r w:rsidR="008470D6" w:rsidRPr="005433A2">
        <w:rPr>
          <w:rFonts w:ascii="Times New Roman" w:hAnsi="Times New Roman" w:cs="Times New Roman"/>
          <w:sz w:val="24"/>
          <w:szCs w:val="24"/>
        </w:rPr>
        <w:lastRenderedPageBreak/>
        <w:t xml:space="preserve">les vestiges des cultures </w:t>
      </w:r>
      <w:r w:rsidR="009F2C81" w:rsidRPr="005433A2">
        <w:rPr>
          <w:rFonts w:ascii="Times New Roman" w:hAnsi="Times New Roman" w:cs="Times New Roman"/>
          <w:sz w:val="24"/>
          <w:szCs w:val="24"/>
        </w:rPr>
        <w:t>pré-romaines</w:t>
      </w:r>
      <w:r w:rsidR="008470D6" w:rsidRPr="005433A2">
        <w:rPr>
          <w:rFonts w:ascii="Times New Roman" w:hAnsi="Times New Roman" w:cs="Times New Roman"/>
          <w:sz w:val="24"/>
          <w:szCs w:val="24"/>
        </w:rPr>
        <w:t xml:space="preserve"> o</w:t>
      </w:r>
      <w:r w:rsidRPr="005433A2">
        <w:rPr>
          <w:rFonts w:ascii="Times New Roman" w:hAnsi="Times New Roman" w:cs="Times New Roman"/>
          <w:sz w:val="24"/>
          <w:szCs w:val="24"/>
        </w:rPr>
        <w:t>nt créé</w:t>
      </w:r>
      <w:r w:rsidR="008470D6" w:rsidRPr="005433A2">
        <w:rPr>
          <w:rFonts w:ascii="Times New Roman" w:hAnsi="Times New Roman" w:cs="Times New Roman"/>
          <w:sz w:val="24"/>
          <w:szCs w:val="24"/>
        </w:rPr>
        <w:t xml:space="preserve"> des mnémo-histoires locales</w:t>
      </w:r>
      <w:r w:rsidRPr="005433A2">
        <w:rPr>
          <w:rFonts w:ascii="Times New Roman" w:hAnsi="Times New Roman" w:cs="Times New Roman"/>
          <w:sz w:val="24"/>
          <w:szCs w:val="24"/>
        </w:rPr>
        <w:t>, qui ont eu un impact sur les</w:t>
      </w:r>
      <w:r w:rsidR="009E3EB1">
        <w:rPr>
          <w:rFonts w:ascii="Times New Roman" w:hAnsi="Times New Roman" w:cs="Times New Roman"/>
          <w:sz w:val="24"/>
          <w:szCs w:val="24"/>
        </w:rPr>
        <w:t xml:space="preserve"> individus et les</w:t>
      </w:r>
      <w:r w:rsidRPr="005433A2">
        <w:rPr>
          <w:rFonts w:ascii="Times New Roman" w:hAnsi="Times New Roman" w:cs="Times New Roman"/>
          <w:sz w:val="24"/>
          <w:szCs w:val="24"/>
        </w:rPr>
        <w:t xml:space="preserve"> groupes variés, venus d’ailleurs, qui s’y sont installés.</w:t>
      </w:r>
    </w:p>
    <w:p w:rsidR="00616238" w:rsidRDefault="00616238" w:rsidP="00616238">
      <w:pPr>
        <w:rPr>
          <w:rFonts w:ascii="Times New Roman" w:hAnsi="Times New Roman" w:cs="Times New Roman"/>
          <w:sz w:val="24"/>
          <w:szCs w:val="24"/>
        </w:rPr>
      </w:pPr>
      <w:r w:rsidRPr="005433A2">
        <w:rPr>
          <w:rFonts w:ascii="Times New Roman" w:hAnsi="Times New Roman" w:cs="Times New Roman"/>
          <w:sz w:val="24"/>
          <w:szCs w:val="24"/>
        </w:rPr>
        <w:t>L’ouvrage contient de nombreuses illustrations, qu’il s’agisse de cartes et de plans ou de photographies, en couleur et en noir et blanc, d’inscriptions, de vestiges ou d’objets. Les numéros figurant sur les diverses cartes relatives à Apulum ne font pas l’objet d’une légende</w:t>
      </w:r>
      <w:r w:rsidR="00B63200">
        <w:rPr>
          <w:rFonts w:ascii="Times New Roman" w:hAnsi="Times New Roman" w:cs="Times New Roman"/>
          <w:sz w:val="24"/>
          <w:szCs w:val="24"/>
        </w:rPr>
        <w:t xml:space="preserve"> (il faut se référer aux numéros figurant dans les tableaux en annexe pour savoir de quoi il s’agit – ce qui n’est pas </w:t>
      </w:r>
      <w:r w:rsidR="00E645DF">
        <w:rPr>
          <w:rFonts w:ascii="Times New Roman" w:hAnsi="Times New Roman" w:cs="Times New Roman"/>
          <w:sz w:val="24"/>
          <w:szCs w:val="24"/>
        </w:rPr>
        <w:t>précisé</w:t>
      </w:r>
      <w:r w:rsidR="00B63200">
        <w:rPr>
          <w:rFonts w:ascii="Times New Roman" w:hAnsi="Times New Roman" w:cs="Times New Roman"/>
          <w:sz w:val="24"/>
          <w:szCs w:val="24"/>
        </w:rPr>
        <w:t xml:space="preserve"> dans le corps du texte et n’est guère pratique)</w:t>
      </w:r>
      <w:r w:rsidRPr="005433A2">
        <w:rPr>
          <w:rFonts w:ascii="Times New Roman" w:hAnsi="Times New Roman" w:cs="Times New Roman"/>
          <w:sz w:val="24"/>
          <w:szCs w:val="24"/>
        </w:rPr>
        <w:t>. Même s’il n’est pas indiqué dans la table des matières, le volume contient aussi un index</w:t>
      </w:r>
      <w:r w:rsidR="00746ABB">
        <w:rPr>
          <w:rFonts w:ascii="Times New Roman" w:hAnsi="Times New Roman" w:cs="Times New Roman"/>
          <w:sz w:val="24"/>
          <w:szCs w:val="24"/>
        </w:rPr>
        <w:t xml:space="preserve"> général (un index des sources épigraphiques aurait été utile)</w:t>
      </w:r>
      <w:r w:rsidRPr="005433A2">
        <w:rPr>
          <w:rFonts w:ascii="Times New Roman" w:hAnsi="Times New Roman" w:cs="Times New Roman"/>
          <w:sz w:val="24"/>
          <w:szCs w:val="24"/>
        </w:rPr>
        <w:t>.</w:t>
      </w:r>
    </w:p>
    <w:p w:rsidR="00E86A77" w:rsidRPr="00D6266D" w:rsidRDefault="004F3A9C">
      <w:pPr>
        <w:rPr>
          <w:rFonts w:ascii="Times New Roman" w:hAnsi="Times New Roman" w:cs="Times New Roman"/>
          <w:sz w:val="24"/>
          <w:szCs w:val="24"/>
        </w:rPr>
      </w:pPr>
      <w:r w:rsidRPr="005433A2">
        <w:rPr>
          <w:rFonts w:ascii="Times New Roman" w:hAnsi="Times New Roman" w:cs="Times New Roman"/>
          <w:sz w:val="24"/>
          <w:szCs w:val="24"/>
        </w:rPr>
        <w:t xml:space="preserve">Les choix </w:t>
      </w:r>
      <w:r w:rsidR="00B714B7" w:rsidRPr="005433A2">
        <w:rPr>
          <w:rFonts w:ascii="Times New Roman" w:hAnsi="Times New Roman" w:cs="Times New Roman"/>
          <w:sz w:val="24"/>
          <w:szCs w:val="24"/>
        </w:rPr>
        <w:t xml:space="preserve">épistémologiques, </w:t>
      </w:r>
      <w:r w:rsidRPr="005433A2">
        <w:rPr>
          <w:rFonts w:ascii="Times New Roman" w:hAnsi="Times New Roman" w:cs="Times New Roman"/>
          <w:sz w:val="24"/>
          <w:szCs w:val="24"/>
        </w:rPr>
        <w:t>méthodologiques et documentaires</w:t>
      </w:r>
      <w:r w:rsidR="00D64A7E">
        <w:rPr>
          <w:rFonts w:ascii="Times New Roman" w:hAnsi="Times New Roman" w:cs="Times New Roman"/>
          <w:sz w:val="24"/>
          <w:szCs w:val="24"/>
        </w:rPr>
        <w:t xml:space="preserve"> posés par l’auteur</w:t>
      </w:r>
      <w:r w:rsidRPr="005433A2">
        <w:rPr>
          <w:rFonts w:ascii="Times New Roman" w:hAnsi="Times New Roman" w:cs="Times New Roman"/>
          <w:sz w:val="24"/>
          <w:szCs w:val="24"/>
        </w:rPr>
        <w:t xml:space="preserve"> </w:t>
      </w:r>
      <w:r w:rsidR="00E17F33" w:rsidRPr="005433A2">
        <w:rPr>
          <w:rFonts w:ascii="Times New Roman" w:hAnsi="Times New Roman" w:cs="Times New Roman"/>
          <w:sz w:val="24"/>
          <w:szCs w:val="24"/>
        </w:rPr>
        <w:t>n</w:t>
      </w:r>
      <w:r w:rsidR="00D64A7E">
        <w:rPr>
          <w:rFonts w:ascii="Times New Roman" w:hAnsi="Times New Roman" w:cs="Times New Roman"/>
          <w:sz w:val="24"/>
          <w:szCs w:val="24"/>
        </w:rPr>
        <w:t xml:space="preserve">e lui </w:t>
      </w:r>
      <w:r w:rsidR="00E17F33" w:rsidRPr="005433A2">
        <w:rPr>
          <w:rFonts w:ascii="Times New Roman" w:hAnsi="Times New Roman" w:cs="Times New Roman"/>
          <w:sz w:val="24"/>
          <w:szCs w:val="24"/>
        </w:rPr>
        <w:t xml:space="preserve">ont pas permis </w:t>
      </w:r>
      <w:r w:rsidRPr="005433A2">
        <w:rPr>
          <w:rFonts w:ascii="Times New Roman" w:hAnsi="Times New Roman" w:cs="Times New Roman"/>
          <w:sz w:val="24"/>
          <w:szCs w:val="24"/>
        </w:rPr>
        <w:t>d’envisager</w:t>
      </w:r>
      <w:r w:rsidR="0068410C">
        <w:rPr>
          <w:rFonts w:ascii="Times New Roman" w:hAnsi="Times New Roman" w:cs="Times New Roman"/>
          <w:sz w:val="24"/>
          <w:szCs w:val="24"/>
        </w:rPr>
        <w:t xml:space="preserve"> systématiquement</w:t>
      </w:r>
      <w:r w:rsidRPr="005433A2">
        <w:rPr>
          <w:rFonts w:ascii="Times New Roman" w:hAnsi="Times New Roman" w:cs="Times New Roman"/>
          <w:sz w:val="24"/>
          <w:szCs w:val="24"/>
        </w:rPr>
        <w:t xml:space="preserve"> d</w:t>
      </w:r>
      <w:r w:rsidR="0068410C">
        <w:rPr>
          <w:rFonts w:ascii="Times New Roman" w:hAnsi="Times New Roman" w:cs="Times New Roman"/>
          <w:sz w:val="24"/>
          <w:szCs w:val="24"/>
        </w:rPr>
        <w:t>’autr</w:t>
      </w:r>
      <w:r w:rsidRPr="005433A2">
        <w:rPr>
          <w:rFonts w:ascii="Times New Roman" w:hAnsi="Times New Roman" w:cs="Times New Roman"/>
          <w:sz w:val="24"/>
          <w:szCs w:val="24"/>
        </w:rPr>
        <w:t xml:space="preserve">es questions qui auraient pu se révéler utiles pour son enquête. </w:t>
      </w:r>
      <w:r w:rsidR="0032507F">
        <w:rPr>
          <w:rFonts w:ascii="Times New Roman" w:hAnsi="Times New Roman" w:cs="Times New Roman"/>
          <w:sz w:val="24"/>
          <w:szCs w:val="24"/>
        </w:rPr>
        <w:t>Quels sont les panthéons des diverses composantes de la conurbation d’Apulum</w:t>
      </w:r>
      <w:r w:rsidR="00BB14ED">
        <w:rPr>
          <w:rFonts w:ascii="Times New Roman" w:hAnsi="Times New Roman" w:cs="Times New Roman"/>
          <w:sz w:val="24"/>
          <w:szCs w:val="24"/>
        </w:rPr>
        <w:t xml:space="preserve"> (camp militaire, </w:t>
      </w:r>
      <w:r w:rsidR="002B717C">
        <w:rPr>
          <w:rFonts w:ascii="Times New Roman" w:hAnsi="Times New Roman" w:cs="Times New Roman"/>
          <w:sz w:val="24"/>
          <w:szCs w:val="24"/>
        </w:rPr>
        <w:t xml:space="preserve">municipe promu </w:t>
      </w:r>
      <w:r w:rsidR="00BB14ED">
        <w:rPr>
          <w:rFonts w:ascii="Times New Roman" w:hAnsi="Times New Roman" w:cs="Times New Roman"/>
          <w:sz w:val="24"/>
          <w:szCs w:val="24"/>
        </w:rPr>
        <w:t>colonie</w:t>
      </w:r>
      <w:r w:rsidR="001B7FAA">
        <w:rPr>
          <w:rFonts w:ascii="Times New Roman" w:hAnsi="Times New Roman" w:cs="Times New Roman"/>
          <w:sz w:val="24"/>
          <w:szCs w:val="24"/>
        </w:rPr>
        <w:t xml:space="preserve"> sous Commode</w:t>
      </w:r>
      <w:r w:rsidR="00BB14ED">
        <w:rPr>
          <w:rFonts w:ascii="Times New Roman" w:hAnsi="Times New Roman" w:cs="Times New Roman"/>
          <w:sz w:val="24"/>
          <w:szCs w:val="24"/>
        </w:rPr>
        <w:t xml:space="preserve"> et municipe</w:t>
      </w:r>
      <w:r w:rsidR="002B717C">
        <w:rPr>
          <w:rFonts w:ascii="Times New Roman" w:hAnsi="Times New Roman" w:cs="Times New Roman"/>
          <w:sz w:val="24"/>
          <w:szCs w:val="24"/>
        </w:rPr>
        <w:t xml:space="preserve"> septimien</w:t>
      </w:r>
      <w:r w:rsidR="00BB14ED">
        <w:rPr>
          <w:rFonts w:ascii="Times New Roman" w:hAnsi="Times New Roman" w:cs="Times New Roman"/>
          <w:sz w:val="24"/>
          <w:szCs w:val="24"/>
        </w:rPr>
        <w:t>)</w:t>
      </w:r>
      <w:r w:rsidR="0032507F">
        <w:rPr>
          <w:rFonts w:ascii="Times New Roman" w:hAnsi="Times New Roman" w:cs="Times New Roman"/>
          <w:sz w:val="24"/>
          <w:szCs w:val="24"/>
        </w:rPr>
        <w:t xml:space="preserve"> ? </w:t>
      </w:r>
      <w:r w:rsidRPr="005433A2">
        <w:rPr>
          <w:rFonts w:ascii="Times New Roman" w:hAnsi="Times New Roman" w:cs="Times New Roman"/>
          <w:sz w:val="24"/>
          <w:szCs w:val="24"/>
        </w:rPr>
        <w:t>Les dieux honorés à titre public au sein des s</w:t>
      </w:r>
      <w:bookmarkStart w:id="0" w:name="_GoBack"/>
      <w:bookmarkEnd w:id="0"/>
      <w:r w:rsidRPr="005433A2">
        <w:rPr>
          <w:rFonts w:ascii="Times New Roman" w:hAnsi="Times New Roman" w:cs="Times New Roman"/>
          <w:sz w:val="24"/>
          <w:szCs w:val="24"/>
        </w:rPr>
        <w:t>anctuaires d’une cité sont-ils également vénérés à titre privé, en contextes domestiques ou associatifs</w:t>
      </w:r>
      <w:r w:rsidR="00F74E41">
        <w:rPr>
          <w:rFonts w:ascii="Times New Roman" w:hAnsi="Times New Roman" w:cs="Times New Roman"/>
          <w:sz w:val="24"/>
          <w:szCs w:val="24"/>
        </w:rPr>
        <w:t xml:space="preserve"> – et inversement</w:t>
      </w:r>
      <w:r w:rsidRPr="005433A2">
        <w:rPr>
          <w:rFonts w:ascii="Times New Roman" w:hAnsi="Times New Roman" w:cs="Times New Roman"/>
          <w:sz w:val="24"/>
          <w:szCs w:val="24"/>
        </w:rPr>
        <w:t> ?</w:t>
      </w:r>
      <w:r w:rsidR="00704B31">
        <w:rPr>
          <w:rFonts w:ascii="Times New Roman" w:hAnsi="Times New Roman" w:cs="Times New Roman"/>
          <w:sz w:val="24"/>
          <w:szCs w:val="24"/>
        </w:rPr>
        <w:t xml:space="preserve"> Les dieux honorés par les civils le sont-ils aussi par les militaires – et inversement ?</w:t>
      </w:r>
      <w:r w:rsidR="00B714B7" w:rsidRPr="005433A2">
        <w:rPr>
          <w:rFonts w:ascii="Times New Roman" w:hAnsi="Times New Roman" w:cs="Times New Roman"/>
          <w:sz w:val="24"/>
          <w:szCs w:val="24"/>
        </w:rPr>
        <w:t xml:space="preserve"> </w:t>
      </w:r>
      <w:r w:rsidR="00A62A0E">
        <w:rPr>
          <w:rFonts w:ascii="Times New Roman" w:hAnsi="Times New Roman" w:cs="Times New Roman"/>
          <w:sz w:val="24"/>
          <w:szCs w:val="24"/>
        </w:rPr>
        <w:t>L</w:t>
      </w:r>
      <w:r w:rsidR="00B714B7" w:rsidRPr="005433A2">
        <w:rPr>
          <w:rFonts w:ascii="Times New Roman" w:hAnsi="Times New Roman" w:cs="Times New Roman"/>
          <w:sz w:val="24"/>
          <w:szCs w:val="24"/>
        </w:rPr>
        <w:t>es pérégrins honorent-ils les mêmes divinités que les citoyens, fréquentent-ils les mêmes sanctuaires</w:t>
      </w:r>
      <w:r w:rsidR="00704B31">
        <w:rPr>
          <w:rFonts w:ascii="Times New Roman" w:hAnsi="Times New Roman" w:cs="Times New Roman"/>
          <w:sz w:val="24"/>
          <w:szCs w:val="24"/>
        </w:rPr>
        <w:t>, posent-ils le même genre d’actes</w:t>
      </w:r>
      <w:r w:rsidR="00B714B7" w:rsidRPr="005433A2">
        <w:rPr>
          <w:rFonts w:ascii="Times New Roman" w:hAnsi="Times New Roman" w:cs="Times New Roman"/>
          <w:sz w:val="24"/>
          <w:szCs w:val="24"/>
        </w:rPr>
        <w:t xml:space="preserve"> ? </w:t>
      </w:r>
      <w:r w:rsidR="00704B31">
        <w:rPr>
          <w:rFonts w:ascii="Times New Roman" w:hAnsi="Times New Roman" w:cs="Times New Roman"/>
          <w:sz w:val="24"/>
          <w:szCs w:val="24"/>
        </w:rPr>
        <w:t>La riche documentation d’Apulum et de Sarmizegetusa aurait également pu être scrutée dans ces directions, afin de faire émerger les types d’expérience</w:t>
      </w:r>
      <w:r w:rsidR="00BB14ED">
        <w:rPr>
          <w:rFonts w:ascii="Times New Roman" w:hAnsi="Times New Roman" w:cs="Times New Roman"/>
          <w:sz w:val="24"/>
          <w:szCs w:val="24"/>
        </w:rPr>
        <w:t>s – similaires ou différenciés – vécues par ces différentes catégories d’individus ou de groupes.</w:t>
      </w:r>
    </w:p>
    <w:p w:rsidR="0049160F" w:rsidRPr="005433A2" w:rsidRDefault="00D068EF">
      <w:pPr>
        <w:rPr>
          <w:rFonts w:ascii="Times New Roman" w:hAnsi="Times New Roman" w:cs="Times New Roman"/>
          <w:sz w:val="24"/>
          <w:szCs w:val="24"/>
        </w:rPr>
      </w:pPr>
      <w:r>
        <w:rPr>
          <w:rFonts w:ascii="Times New Roman" w:hAnsi="Times New Roman" w:cs="Times New Roman"/>
          <w:sz w:val="24"/>
          <w:szCs w:val="24"/>
        </w:rPr>
        <w:t>B</w:t>
      </w:r>
      <w:r w:rsidR="0049160F">
        <w:rPr>
          <w:rFonts w:ascii="Times New Roman" w:hAnsi="Times New Roman" w:cs="Times New Roman"/>
          <w:sz w:val="24"/>
          <w:szCs w:val="24"/>
        </w:rPr>
        <w:t>asé sur une connaissance approfondie de l’historiographie spécifique à la Dacie romaine</w:t>
      </w:r>
      <w:r w:rsidR="00726CF3">
        <w:rPr>
          <w:rFonts w:ascii="Times New Roman" w:hAnsi="Times New Roman" w:cs="Times New Roman"/>
          <w:sz w:val="24"/>
          <w:szCs w:val="24"/>
        </w:rPr>
        <w:t xml:space="preserve"> et de ses écueils</w:t>
      </w:r>
      <w:r w:rsidR="0049160F">
        <w:rPr>
          <w:rFonts w:ascii="Times New Roman" w:hAnsi="Times New Roman" w:cs="Times New Roman"/>
          <w:sz w:val="24"/>
          <w:szCs w:val="24"/>
        </w:rPr>
        <w:t xml:space="preserve"> et </w:t>
      </w:r>
      <w:r>
        <w:rPr>
          <w:rFonts w:ascii="Times New Roman" w:hAnsi="Times New Roman" w:cs="Times New Roman"/>
          <w:sz w:val="24"/>
          <w:szCs w:val="24"/>
        </w:rPr>
        <w:t>prenant</w:t>
      </w:r>
      <w:r w:rsidR="0049160F">
        <w:rPr>
          <w:rFonts w:ascii="Times New Roman" w:hAnsi="Times New Roman" w:cs="Times New Roman"/>
          <w:sz w:val="24"/>
          <w:szCs w:val="24"/>
        </w:rPr>
        <w:t xml:space="preserve"> en considération des découvertes très récentes</w:t>
      </w:r>
      <w:r>
        <w:rPr>
          <w:rFonts w:ascii="Times New Roman" w:hAnsi="Times New Roman" w:cs="Times New Roman"/>
          <w:sz w:val="24"/>
          <w:szCs w:val="24"/>
        </w:rPr>
        <w:t>, l’ouvrage</w:t>
      </w:r>
      <w:r w:rsidR="00AE1C16">
        <w:rPr>
          <w:rFonts w:ascii="Times New Roman" w:hAnsi="Times New Roman" w:cs="Times New Roman"/>
          <w:sz w:val="24"/>
          <w:szCs w:val="24"/>
        </w:rPr>
        <w:t xml:space="preserve"> </w:t>
      </w:r>
      <w:r w:rsidR="0049160F">
        <w:rPr>
          <w:rFonts w:ascii="Times New Roman" w:hAnsi="Times New Roman" w:cs="Times New Roman"/>
          <w:sz w:val="24"/>
          <w:szCs w:val="24"/>
        </w:rPr>
        <w:t>rendra</w:t>
      </w:r>
      <w:r w:rsidR="00D6266D">
        <w:rPr>
          <w:rFonts w:ascii="Times New Roman" w:hAnsi="Times New Roman" w:cs="Times New Roman"/>
          <w:sz w:val="24"/>
          <w:szCs w:val="24"/>
        </w:rPr>
        <w:t xml:space="preserve"> </w:t>
      </w:r>
      <w:r w:rsidR="0049160F">
        <w:rPr>
          <w:rFonts w:ascii="Times New Roman" w:hAnsi="Times New Roman" w:cs="Times New Roman"/>
          <w:sz w:val="24"/>
          <w:szCs w:val="24"/>
        </w:rPr>
        <w:t>de précieux services aux chercheurs qui s’intéressent à l’histoire de la Dacie ou à la religion romaine.</w:t>
      </w:r>
    </w:p>
    <w:p w:rsidR="00514147" w:rsidRDefault="00514147">
      <w:pPr>
        <w:rPr>
          <w:rFonts w:ascii="Times New Roman" w:hAnsi="Times New Roman" w:cs="Times New Roman"/>
          <w:sz w:val="24"/>
          <w:szCs w:val="24"/>
        </w:rPr>
      </w:pPr>
    </w:p>
    <w:p w:rsidR="00412AE9" w:rsidRDefault="00412AE9">
      <w:pPr>
        <w:rPr>
          <w:rFonts w:ascii="Times New Roman" w:hAnsi="Times New Roman" w:cs="Times New Roman"/>
          <w:sz w:val="24"/>
          <w:szCs w:val="24"/>
        </w:rPr>
      </w:pPr>
      <w:r>
        <w:rPr>
          <w:rFonts w:ascii="Times New Roman" w:hAnsi="Times New Roman" w:cs="Times New Roman"/>
          <w:sz w:val="24"/>
          <w:szCs w:val="24"/>
        </w:rPr>
        <w:t>Françoise Van Haeperen</w:t>
      </w:r>
    </w:p>
    <w:p w:rsidR="00412AE9" w:rsidRDefault="00412AE9">
      <w:pPr>
        <w:rPr>
          <w:rFonts w:ascii="Times New Roman" w:hAnsi="Times New Roman" w:cs="Times New Roman"/>
          <w:sz w:val="24"/>
          <w:szCs w:val="24"/>
        </w:rPr>
      </w:pPr>
      <w:r>
        <w:rPr>
          <w:rFonts w:ascii="Times New Roman" w:hAnsi="Times New Roman" w:cs="Times New Roman"/>
          <w:sz w:val="24"/>
          <w:szCs w:val="24"/>
        </w:rPr>
        <w:t>UCLouvain</w:t>
      </w:r>
    </w:p>
    <w:p w:rsidR="00412AE9" w:rsidRPr="005433A2" w:rsidRDefault="00412AE9">
      <w:pPr>
        <w:rPr>
          <w:rFonts w:ascii="Times New Roman" w:hAnsi="Times New Roman" w:cs="Times New Roman"/>
          <w:sz w:val="24"/>
          <w:szCs w:val="24"/>
        </w:rPr>
      </w:pPr>
      <w:r>
        <w:rPr>
          <w:rFonts w:ascii="Times New Roman" w:hAnsi="Times New Roman" w:cs="Times New Roman"/>
          <w:sz w:val="24"/>
          <w:szCs w:val="24"/>
        </w:rPr>
        <w:t>B – Louvain-la-Neuve</w:t>
      </w:r>
    </w:p>
    <w:sectPr w:rsidR="00412AE9" w:rsidRPr="005433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E8F" w:rsidRDefault="005A6E8F" w:rsidP="00504684">
      <w:pPr>
        <w:spacing w:after="0" w:line="240" w:lineRule="auto"/>
      </w:pPr>
      <w:r>
        <w:separator/>
      </w:r>
    </w:p>
  </w:endnote>
  <w:endnote w:type="continuationSeparator" w:id="0">
    <w:p w:rsidR="005A6E8F" w:rsidRDefault="005A6E8F" w:rsidP="00504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E8F" w:rsidRDefault="005A6E8F" w:rsidP="00504684">
      <w:pPr>
        <w:spacing w:after="0" w:line="240" w:lineRule="auto"/>
      </w:pPr>
      <w:r>
        <w:separator/>
      </w:r>
    </w:p>
  </w:footnote>
  <w:footnote w:type="continuationSeparator" w:id="0">
    <w:p w:rsidR="005A6E8F" w:rsidRDefault="005A6E8F" w:rsidP="00504684">
      <w:pPr>
        <w:spacing w:after="0" w:line="240" w:lineRule="auto"/>
      </w:pPr>
      <w:r>
        <w:continuationSeparator/>
      </w:r>
    </w:p>
  </w:footnote>
  <w:footnote w:id="1">
    <w:p w:rsidR="00504684" w:rsidRPr="00504684" w:rsidRDefault="00504684" w:rsidP="00504684">
      <w:pPr>
        <w:pStyle w:val="Notedebasdepage"/>
        <w:contextualSpacing/>
        <w:jc w:val="both"/>
        <w:rPr>
          <w:rFonts w:ascii="Times New Roman" w:hAnsi="Times New Roman" w:cs="Times New Roman"/>
        </w:rPr>
      </w:pPr>
      <w:r w:rsidRPr="00E24927">
        <w:rPr>
          <w:rStyle w:val="Appelnotedebasdep"/>
          <w:rFonts w:ascii="Times New Roman" w:hAnsi="Times New Roman" w:cs="Times New Roman"/>
        </w:rPr>
        <w:footnoteRef/>
      </w:r>
      <w:r w:rsidRPr="00E24927">
        <w:rPr>
          <w:rFonts w:ascii="Times New Roman" w:hAnsi="Times New Roman" w:cs="Times New Roman"/>
        </w:rPr>
        <w:t xml:space="preserve"> Voir l’introduction de I. Piso au volume </w:t>
      </w:r>
      <w:r w:rsidRPr="00E24927">
        <w:rPr>
          <w:rFonts w:ascii="Times New Roman" w:hAnsi="Times New Roman" w:cs="Times New Roman"/>
          <w:i/>
        </w:rPr>
        <w:t>IDR</w:t>
      </w:r>
      <w:r>
        <w:rPr>
          <w:rFonts w:ascii="Times New Roman" w:hAnsi="Times New Roman" w:cs="Times New Roman"/>
        </w:rPr>
        <w:t xml:space="preserve">, 3, 5, xx-xxi. </w:t>
      </w:r>
      <w:r w:rsidRPr="00504684">
        <w:t xml:space="preserve">Agglomération de Dacie, formant une sorte de conurbation à l’histoire complexe, Apulum s’est développée à partir du </w:t>
      </w:r>
      <w:r w:rsidRPr="00504684">
        <w:rPr>
          <w:i/>
        </w:rPr>
        <w:t>castrum</w:t>
      </w:r>
      <w:r w:rsidRPr="00504684">
        <w:t xml:space="preserve"> de la légion </w:t>
      </w:r>
      <w:r w:rsidRPr="00504684">
        <w:rPr>
          <w:i/>
        </w:rPr>
        <w:t>XIII Gemina</w:t>
      </w:r>
      <w:r w:rsidRPr="00504684">
        <w:t>. Elle devient un municipe sous Marc Aurèle (</w:t>
      </w:r>
      <w:r w:rsidRPr="00504684">
        <w:rPr>
          <w:i/>
        </w:rPr>
        <w:t>municipium Aurelium Apulense</w:t>
      </w:r>
      <w:r w:rsidRPr="00504684">
        <w:t>) et est promue colonie sous Commode (</w:t>
      </w:r>
      <w:r w:rsidRPr="00504684">
        <w:rPr>
          <w:i/>
        </w:rPr>
        <w:t>colonia Aurelia Apulense</w:t>
      </w:r>
      <w:r w:rsidRPr="00504684">
        <w:t xml:space="preserve">). Quant au secteur des </w:t>
      </w:r>
      <w:r w:rsidRPr="00504684">
        <w:rPr>
          <w:i/>
        </w:rPr>
        <w:t>canabae</w:t>
      </w:r>
      <w:r w:rsidRPr="00504684">
        <w:t xml:space="preserve"> du camp, situé au nord de la cité, il est partiellement promu sous les Sévères, en devenant le </w:t>
      </w:r>
      <w:r w:rsidRPr="00504684">
        <w:rPr>
          <w:i/>
        </w:rPr>
        <w:t>municipium Septimium Apulense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80785"/>
    <w:multiLevelType w:val="hybridMultilevel"/>
    <w:tmpl w:val="3A34327C"/>
    <w:lvl w:ilvl="0" w:tplc="90E4F750">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7CF75E2"/>
    <w:multiLevelType w:val="hybridMultilevel"/>
    <w:tmpl w:val="B14C6346"/>
    <w:lvl w:ilvl="0" w:tplc="4BA2D49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3DE0F5B"/>
    <w:multiLevelType w:val="hybridMultilevel"/>
    <w:tmpl w:val="25245592"/>
    <w:lvl w:ilvl="0" w:tplc="11CE54BC">
      <w:start w:val="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66E"/>
    <w:rsid w:val="00026FFE"/>
    <w:rsid w:val="0004266E"/>
    <w:rsid w:val="000438BE"/>
    <w:rsid w:val="00050373"/>
    <w:rsid w:val="000B2E49"/>
    <w:rsid w:val="000B3AAD"/>
    <w:rsid w:val="000E0A55"/>
    <w:rsid w:val="0013709F"/>
    <w:rsid w:val="0015636E"/>
    <w:rsid w:val="0017313A"/>
    <w:rsid w:val="00182ADB"/>
    <w:rsid w:val="00186A56"/>
    <w:rsid w:val="001B7FAA"/>
    <w:rsid w:val="002B717C"/>
    <w:rsid w:val="002C4F17"/>
    <w:rsid w:val="002E547E"/>
    <w:rsid w:val="002F450E"/>
    <w:rsid w:val="0032507F"/>
    <w:rsid w:val="003813EE"/>
    <w:rsid w:val="0039055B"/>
    <w:rsid w:val="00391A6F"/>
    <w:rsid w:val="003F0AE4"/>
    <w:rsid w:val="00412AE9"/>
    <w:rsid w:val="004714AF"/>
    <w:rsid w:val="004748A8"/>
    <w:rsid w:val="0049160F"/>
    <w:rsid w:val="00497ABC"/>
    <w:rsid w:val="004A06F5"/>
    <w:rsid w:val="004C09B0"/>
    <w:rsid w:val="004D5DDA"/>
    <w:rsid w:val="004F3A9C"/>
    <w:rsid w:val="00504684"/>
    <w:rsid w:val="00506F51"/>
    <w:rsid w:val="00514147"/>
    <w:rsid w:val="005433A2"/>
    <w:rsid w:val="00557D7D"/>
    <w:rsid w:val="00573977"/>
    <w:rsid w:val="00580B35"/>
    <w:rsid w:val="005813C6"/>
    <w:rsid w:val="0059678F"/>
    <w:rsid w:val="005A0966"/>
    <w:rsid w:val="005A6E8F"/>
    <w:rsid w:val="005D1989"/>
    <w:rsid w:val="006143F8"/>
    <w:rsid w:val="00616238"/>
    <w:rsid w:val="00620272"/>
    <w:rsid w:val="006411DA"/>
    <w:rsid w:val="006748E7"/>
    <w:rsid w:val="0068410C"/>
    <w:rsid w:val="006C3BC6"/>
    <w:rsid w:val="00704B31"/>
    <w:rsid w:val="00726CF3"/>
    <w:rsid w:val="00731AC7"/>
    <w:rsid w:val="00746ABB"/>
    <w:rsid w:val="007558D3"/>
    <w:rsid w:val="00776243"/>
    <w:rsid w:val="007E1AA5"/>
    <w:rsid w:val="008403F5"/>
    <w:rsid w:val="00841A92"/>
    <w:rsid w:val="008470D6"/>
    <w:rsid w:val="00853E19"/>
    <w:rsid w:val="0085751F"/>
    <w:rsid w:val="0086339E"/>
    <w:rsid w:val="00881832"/>
    <w:rsid w:val="00917AFC"/>
    <w:rsid w:val="00966AED"/>
    <w:rsid w:val="00971AC6"/>
    <w:rsid w:val="00975BB6"/>
    <w:rsid w:val="0099424B"/>
    <w:rsid w:val="009C17DA"/>
    <w:rsid w:val="009E22E3"/>
    <w:rsid w:val="009E3EB1"/>
    <w:rsid w:val="009F2C81"/>
    <w:rsid w:val="00A16B98"/>
    <w:rsid w:val="00A323E5"/>
    <w:rsid w:val="00A336CD"/>
    <w:rsid w:val="00A55176"/>
    <w:rsid w:val="00A62A0E"/>
    <w:rsid w:val="00A8385A"/>
    <w:rsid w:val="00AA2DD3"/>
    <w:rsid w:val="00AA4AB9"/>
    <w:rsid w:val="00AE1C16"/>
    <w:rsid w:val="00AE23E9"/>
    <w:rsid w:val="00B4792F"/>
    <w:rsid w:val="00B56B33"/>
    <w:rsid w:val="00B56F6B"/>
    <w:rsid w:val="00B57F80"/>
    <w:rsid w:val="00B63200"/>
    <w:rsid w:val="00B714B7"/>
    <w:rsid w:val="00BB14ED"/>
    <w:rsid w:val="00BB2FB8"/>
    <w:rsid w:val="00C3090D"/>
    <w:rsid w:val="00C42293"/>
    <w:rsid w:val="00C6062C"/>
    <w:rsid w:val="00C9247A"/>
    <w:rsid w:val="00CB79F0"/>
    <w:rsid w:val="00CC51F9"/>
    <w:rsid w:val="00CD3C98"/>
    <w:rsid w:val="00CE0D68"/>
    <w:rsid w:val="00D068EF"/>
    <w:rsid w:val="00D42118"/>
    <w:rsid w:val="00D51E7A"/>
    <w:rsid w:val="00D576E0"/>
    <w:rsid w:val="00D6266D"/>
    <w:rsid w:val="00D64A7E"/>
    <w:rsid w:val="00D66F64"/>
    <w:rsid w:val="00D83313"/>
    <w:rsid w:val="00DE0C33"/>
    <w:rsid w:val="00DF35A6"/>
    <w:rsid w:val="00E02FFB"/>
    <w:rsid w:val="00E17F33"/>
    <w:rsid w:val="00E645DF"/>
    <w:rsid w:val="00E75EA9"/>
    <w:rsid w:val="00E86A77"/>
    <w:rsid w:val="00EF3325"/>
    <w:rsid w:val="00EF3E7F"/>
    <w:rsid w:val="00F13900"/>
    <w:rsid w:val="00F253F3"/>
    <w:rsid w:val="00F338F4"/>
    <w:rsid w:val="00F74E41"/>
    <w:rsid w:val="00F84111"/>
    <w:rsid w:val="00FC0958"/>
    <w:rsid w:val="00FD42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EFD8"/>
  <w15:chartTrackingRefBased/>
  <w15:docId w15:val="{5FA7F547-E55F-4760-B1B8-05CC6487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977"/>
    <w:pPr>
      <w:spacing w:after="12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4147"/>
    <w:pPr>
      <w:ind w:left="720"/>
      <w:contextualSpacing/>
    </w:pPr>
  </w:style>
  <w:style w:type="paragraph" w:styleId="Notedebasdepage">
    <w:name w:val="footnote text"/>
    <w:basedOn w:val="Normal"/>
    <w:link w:val="NotedebasdepageCar"/>
    <w:uiPriority w:val="99"/>
    <w:unhideWhenUsed/>
    <w:rsid w:val="00504684"/>
    <w:pPr>
      <w:spacing w:after="0" w:line="240" w:lineRule="auto"/>
      <w:jc w:val="left"/>
    </w:pPr>
    <w:rPr>
      <w:sz w:val="20"/>
      <w:szCs w:val="20"/>
    </w:rPr>
  </w:style>
  <w:style w:type="character" w:customStyle="1" w:styleId="NotedebasdepageCar">
    <w:name w:val="Note de bas de page Car"/>
    <w:basedOn w:val="Policepardfaut"/>
    <w:link w:val="Notedebasdepage"/>
    <w:uiPriority w:val="99"/>
    <w:rsid w:val="00504684"/>
    <w:rPr>
      <w:sz w:val="20"/>
      <w:szCs w:val="20"/>
    </w:rPr>
  </w:style>
  <w:style w:type="character" w:styleId="Appelnotedebasdep">
    <w:name w:val="footnote reference"/>
    <w:basedOn w:val="Policepardfaut"/>
    <w:uiPriority w:val="99"/>
    <w:semiHidden/>
    <w:unhideWhenUsed/>
    <w:rsid w:val="00504684"/>
    <w:rPr>
      <w:vertAlign w:val="superscript"/>
    </w:rPr>
  </w:style>
  <w:style w:type="character" w:styleId="Lienhypertexte">
    <w:name w:val="Hyperlink"/>
    <w:basedOn w:val="Policepardfaut"/>
    <w:uiPriority w:val="99"/>
    <w:unhideWhenUsed/>
    <w:rsid w:val="003F0AE4"/>
    <w:rPr>
      <w:color w:val="0563C1" w:themeColor="hyperlink"/>
      <w:u w:val="single"/>
    </w:rPr>
  </w:style>
  <w:style w:type="paragraph" w:styleId="Textedebulles">
    <w:name w:val="Balloon Text"/>
    <w:basedOn w:val="Normal"/>
    <w:link w:val="TextedebullesCar"/>
    <w:uiPriority w:val="99"/>
    <w:semiHidden/>
    <w:unhideWhenUsed/>
    <w:rsid w:val="002B717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B71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843</TotalTime>
  <Pages>3</Pages>
  <Words>1504</Words>
  <Characters>8277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Van Haeperen</dc:creator>
  <cp:keywords/>
  <dc:description/>
  <cp:lastModifiedBy>Françoise Van Haeperen</cp:lastModifiedBy>
  <cp:revision>6</cp:revision>
  <cp:lastPrinted>2020-01-14T10:16:00Z</cp:lastPrinted>
  <dcterms:created xsi:type="dcterms:W3CDTF">2020-01-13T07:25:00Z</dcterms:created>
  <dcterms:modified xsi:type="dcterms:W3CDTF">2020-01-14T16:03:00Z</dcterms:modified>
</cp:coreProperties>
</file>