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81DFFD" w14:textId="1F6B4BB0" w:rsidR="00163F6F" w:rsidRPr="005041C8" w:rsidRDefault="00685C0C" w:rsidP="002F6779">
      <w:pPr>
        <w:pStyle w:val="Titre1"/>
        <w:spacing w:before="100" w:beforeAutospacing="1" w:after="100" w:afterAutospacing="1" w:line="360" w:lineRule="auto"/>
        <w:jc w:val="both"/>
      </w:pPr>
      <w:r w:rsidRPr="005041C8">
        <w:t>Deux poids, deux mesures</w:t>
      </w:r>
      <w:r w:rsidR="007F54E0">
        <w:t> ?</w:t>
      </w:r>
      <w:r w:rsidRPr="005041C8">
        <w:t xml:space="preserve"> </w:t>
      </w:r>
    </w:p>
    <w:p w14:paraId="5A143FAD" w14:textId="2186E532" w:rsidR="00163F6F" w:rsidRPr="009207F5" w:rsidRDefault="00685C0C" w:rsidP="009207F5">
      <w:pPr>
        <w:pStyle w:val="Titre1"/>
        <w:spacing w:before="100" w:beforeAutospacing="1" w:after="100" w:afterAutospacing="1" w:line="360" w:lineRule="auto"/>
        <w:jc w:val="both"/>
        <w:rPr>
          <w:i/>
          <w:iCs/>
        </w:rPr>
      </w:pPr>
      <w:r w:rsidRPr="005041C8">
        <w:rPr>
          <w:i/>
          <w:iCs/>
        </w:rPr>
        <w:t>L'action de la BCE pendant la crise de la zone euro </w:t>
      </w:r>
    </w:p>
    <w:p w14:paraId="6737948A" w14:textId="3B07C2E1" w:rsidR="00163F6F" w:rsidRPr="005041C8" w:rsidRDefault="00685C0C" w:rsidP="002F6779">
      <w:pPr>
        <w:pStyle w:val="Titre2"/>
        <w:spacing w:before="100" w:beforeAutospacing="1" w:after="100" w:afterAutospacing="1" w:line="360" w:lineRule="auto"/>
        <w:jc w:val="both"/>
      </w:pPr>
      <w:r w:rsidRPr="005041C8">
        <w:t>Introduction</w:t>
      </w:r>
    </w:p>
    <w:p w14:paraId="70DE0F47" w14:textId="46B3E1C7" w:rsidR="00972DA9" w:rsidRPr="005041C8" w:rsidRDefault="00685C0C" w:rsidP="002F6779">
      <w:pPr>
        <w:spacing w:before="100" w:beforeAutospacing="1" w:after="100" w:afterAutospacing="1" w:line="360" w:lineRule="auto"/>
        <w:jc w:val="both"/>
      </w:pPr>
      <w:r w:rsidRPr="005041C8">
        <w:t xml:space="preserve">Interruption d'une conférence de presse par un jet de confettis en mars, manifestations </w:t>
      </w:r>
      <w:r w:rsidR="005930ED">
        <w:t>pendant</w:t>
      </w:r>
      <w:r w:rsidRPr="005041C8">
        <w:t xml:space="preserve"> </w:t>
      </w:r>
      <w:r w:rsidR="005930ED">
        <w:t>l'</w:t>
      </w:r>
      <w:r w:rsidRPr="005041C8">
        <w:t xml:space="preserve">inauguration de son siège à Francfort en février, </w:t>
      </w:r>
      <w:r w:rsidR="002C07D3">
        <w:t>fortes mobilisations sociales en Grèce suite à la mise e</w:t>
      </w:r>
      <w:r w:rsidR="001C39A5">
        <w:t>n</w:t>
      </w:r>
      <w:r w:rsidR="002C07D3">
        <w:t xml:space="preserve"> œuvre d’un montant maximum de retrait aux distributeurs bancaires</w:t>
      </w:r>
      <w:r w:rsidRPr="005041C8">
        <w:t>: en 2015, l'action de la B</w:t>
      </w:r>
      <w:r w:rsidR="005F4C63" w:rsidRPr="005041C8">
        <w:t>anque Centrale Européenne (BCE)</w:t>
      </w:r>
      <w:r w:rsidR="00DA510A" w:rsidRPr="005041C8">
        <w:rPr>
          <w:rStyle w:val="Appelnotedebasdep"/>
        </w:rPr>
        <w:footnoteReference w:id="1"/>
      </w:r>
      <w:r w:rsidR="002C07D3">
        <w:t xml:space="preserve"> se lisait</w:t>
      </w:r>
      <w:r w:rsidRPr="005041C8">
        <w:t xml:space="preserve"> autant sur les panneaux de manifestants que dans les journaux financiers. </w:t>
      </w:r>
      <w:r w:rsidR="002C07D3">
        <w:t>Avant la crise</w:t>
      </w:r>
      <w:r w:rsidR="00A01D9E">
        <w:t xml:space="preserve"> financière débutée en 2007</w:t>
      </w:r>
      <w:r w:rsidR="002C07D3">
        <w:t>, la BCE était une institution re</w:t>
      </w:r>
      <w:r w:rsidR="001C39A5">
        <w:t xml:space="preserve">lativement méconnue, chargée d’assurer la stabilité des prix dans la zone euro. </w:t>
      </w:r>
      <w:r w:rsidR="007F54E0">
        <w:t>À</w:t>
      </w:r>
      <w:r w:rsidR="001C39A5">
        <w:t xml:space="preserve"> l’instar des autres banques centrales, la BCE a joué un rôle décisif dans la réponse des autorités publiques à la crise</w:t>
      </w:r>
      <w:r w:rsidR="007F54E0">
        <w:t xml:space="preserve">, </w:t>
      </w:r>
      <w:r w:rsidR="001C39A5">
        <w:t xml:space="preserve">mais elle a dû s’éloigner de son cadre d’action originel. </w:t>
      </w:r>
      <w:r w:rsidR="001C39A5" w:rsidRPr="001C39A5">
        <w:t>En ne régulant plus l’économie à distance et en agissant directement et massivement sur l</w:t>
      </w:r>
      <w:r w:rsidR="001C39A5">
        <w:t>es marchés financiers</w:t>
      </w:r>
      <w:r w:rsidR="009E0AC9">
        <w:t xml:space="preserve"> pour stabiliser les systèmes économiques des pays de la zone euro</w:t>
      </w:r>
      <w:r w:rsidR="001C39A5" w:rsidRPr="001C39A5">
        <w:t>, l</w:t>
      </w:r>
      <w:r w:rsidR="001C39A5">
        <w:t xml:space="preserve">a BCE a </w:t>
      </w:r>
      <w:r w:rsidR="001C39A5" w:rsidRPr="001C39A5">
        <w:t>aussi endossé un rôle plus associé au domaine politique</w:t>
      </w:r>
      <w:r w:rsidR="001C39A5">
        <w:t xml:space="preserve"> et </w:t>
      </w:r>
      <w:r w:rsidR="009E0AC9">
        <w:t xml:space="preserve">son action a suscité plus de contestations. Le but de ce chapitre est d’identifier les buts </w:t>
      </w:r>
      <w:r w:rsidR="007F54E0">
        <w:t xml:space="preserve">de </w:t>
      </w:r>
      <w:r w:rsidR="009E0AC9">
        <w:t xml:space="preserve">la BCE dans sa réponse à la crise. </w:t>
      </w:r>
    </w:p>
    <w:p w14:paraId="36597B85" w14:textId="44DFB0BC" w:rsidR="00163F6F" w:rsidRPr="005041C8" w:rsidRDefault="00685C0C" w:rsidP="002F6779">
      <w:pPr>
        <w:spacing w:before="100" w:beforeAutospacing="1" w:after="100" w:afterAutospacing="1" w:line="360" w:lineRule="auto"/>
        <w:jc w:val="both"/>
      </w:pPr>
      <w:r w:rsidRPr="005041C8">
        <w:t>De manière résumée, l'action de la BCE</w:t>
      </w:r>
      <w:r w:rsidR="002D3A76" w:rsidRPr="005041C8">
        <w:t xml:space="preserve"> dans la zone euro</w:t>
      </w:r>
      <w:r w:rsidRPr="005041C8">
        <w:t xml:space="preserve"> depuis 2007 peut être divisée en deux volets. D'un côté, elle a mis en œuvre des mesures monétaires </w:t>
      </w:r>
      <w:r w:rsidR="005F4C63" w:rsidRPr="005041C8">
        <w:t xml:space="preserve">d’abord </w:t>
      </w:r>
      <w:r w:rsidRPr="005041C8">
        <w:t>destinées à assurer la liquidité des marchés interbancaires</w:t>
      </w:r>
      <w:r w:rsidR="005F4C63" w:rsidRPr="005041C8">
        <w:t>, puis à lutter contre les tendances déflationnistes dans l’UE</w:t>
      </w:r>
      <w:r w:rsidRPr="005041C8">
        <w:t xml:space="preserve">. De l'autre, elle a participé directement </w:t>
      </w:r>
      <w:r w:rsidR="00F75293">
        <w:t>à la surveillance des</w:t>
      </w:r>
      <w:r w:rsidRPr="005041C8">
        <w:t xml:space="preserve"> réformes mises en place depuis 2010 dans les pays en difficulté financière en tant que membre de la « troïka »</w:t>
      </w:r>
      <w:r w:rsidR="00F75293">
        <w:t>, participant, par là, au renforcement des contraintes externes sur ces pays (cf. introduction de cet ouvrage)</w:t>
      </w:r>
      <w:r w:rsidRPr="005041C8">
        <w:rPr>
          <w:rStyle w:val="FootnoteAnchor"/>
        </w:rPr>
        <w:footnoteReference w:id="2"/>
      </w:r>
      <w:r w:rsidRPr="005041C8">
        <w:t xml:space="preserve">. Les mesures prises dans les deux volets rompent avec le modèle institutionnel originel de la BCE calqué sur celui de la </w:t>
      </w:r>
      <w:r w:rsidRPr="005041C8">
        <w:rPr>
          <w:i/>
          <w:iCs/>
        </w:rPr>
        <w:t>Bundesbank</w:t>
      </w:r>
      <w:r w:rsidRPr="005041C8">
        <w:t xml:space="preserve">, la banque centrale allemande, </w:t>
      </w:r>
      <w:r w:rsidR="00487A28">
        <w:t xml:space="preserve">qui se </w:t>
      </w:r>
      <w:r w:rsidRPr="005041C8">
        <w:t>caractéris</w:t>
      </w:r>
      <w:r w:rsidR="00487A28">
        <w:t>e</w:t>
      </w:r>
      <w:r w:rsidRPr="005041C8">
        <w:t xml:space="preserve"> par un haut niveau </w:t>
      </w:r>
      <w:r w:rsidRPr="005041C8">
        <w:lastRenderedPageBreak/>
        <w:t xml:space="preserve">d'indépendance et des missions tournées exclusivement vers la stabilité des prix (Fontan, 2014). </w:t>
      </w:r>
    </w:p>
    <w:p w14:paraId="5593A181" w14:textId="0E8EA473" w:rsidR="00972DA9" w:rsidRPr="005041C8" w:rsidRDefault="00685C0C" w:rsidP="002F6779">
      <w:pPr>
        <w:spacing w:before="100" w:beforeAutospacing="1" w:after="100" w:afterAutospacing="1" w:line="360" w:lineRule="auto"/>
        <w:jc w:val="both"/>
      </w:pPr>
      <w:r w:rsidRPr="005041C8">
        <w:t>Du point de vue des banquiers centraux, leur action a été fortement contrainte par les traités (comme l'interdiction d'achat de dette souveraine sur les marchés primaires</w:t>
      </w:r>
      <w:r w:rsidRPr="005041C8">
        <w:rPr>
          <w:rStyle w:val="FootnoteAnchor"/>
        </w:rPr>
        <w:footnoteReference w:id="3"/>
      </w:r>
      <w:r w:rsidRPr="005041C8">
        <w:t>) et l'inaction des États dans un environnement d'instabilité prononcée où il fallait rétablir les canaux de transmission de la politique monétaire et regagner la confiance des investisseurs</w:t>
      </w:r>
      <w:r w:rsidR="007322B1" w:rsidRPr="005041C8">
        <w:t xml:space="preserve"> (Drudi et al, 2012)</w:t>
      </w:r>
      <w:r w:rsidRPr="005041C8">
        <w:t>. En d'autres termes, les dirigeants de la BCE admettent entre les lignes que leurs mesures ont pu dépasser le cadre strict de leur mandat original, mais ils soulignent que celles-ci ont été nécessaires pour éviter un effondrement complet de la zone euro et de l'activité économique en son sein</w:t>
      </w:r>
      <w:r w:rsidR="002D3A76" w:rsidRPr="005041C8">
        <w:t xml:space="preserve"> (Salines et al, 2012)</w:t>
      </w:r>
      <w:r w:rsidRPr="005041C8">
        <w:t>.</w:t>
      </w:r>
      <w:r w:rsidR="00A01D9E">
        <w:t xml:space="preserve"> </w:t>
      </w:r>
    </w:p>
    <w:p w14:paraId="0A0E4E98" w14:textId="7A1E265E" w:rsidR="002D3A76" w:rsidRPr="005041C8" w:rsidRDefault="00685C0C" w:rsidP="002F6779">
      <w:pPr>
        <w:spacing w:before="100" w:beforeAutospacing="1" w:after="100" w:afterAutospacing="1" w:line="360" w:lineRule="auto"/>
        <w:jc w:val="both"/>
      </w:pPr>
      <w:r w:rsidRPr="005041C8">
        <w:t xml:space="preserve">De manière étonnante, ces arguments sont repris dans les publications de science politique cherchant à expliquer l'action de la BCE, </w:t>
      </w:r>
      <w:r w:rsidR="007F54E0">
        <w:t>qui sont p</w:t>
      </w:r>
      <w:r w:rsidRPr="005041C8">
        <w:t>rincipalement inscrites dans le courant du déterminisme matériel et de l’institutionnalisme rationaliste</w:t>
      </w:r>
      <w:r w:rsidR="000F71CA" w:rsidRPr="005041C8">
        <w:rPr>
          <w:rStyle w:val="Appelnotedebasdep"/>
        </w:rPr>
        <w:footnoteReference w:id="4"/>
      </w:r>
      <w:r w:rsidRPr="005041C8">
        <w:t xml:space="preserve">. Ainsi, sa flexibilité a été identifiée comme un des principaux facteurs de la transformation institutionnelle de la zone euro </w:t>
      </w:r>
      <w:r w:rsidR="009222CA">
        <w:t xml:space="preserve">qui a permis </w:t>
      </w:r>
      <w:r w:rsidRPr="005041C8">
        <w:t>sa survie pendant la crise (Krampf, 2014). D'autres auteurs soulignent qu'elle a résisté aux pressions des gouvernements et a été une « ancre de stabilité</w:t>
      </w:r>
      <w:r w:rsidRPr="005041C8">
        <w:rPr>
          <w:rStyle w:val="FootnoteAnchor"/>
        </w:rPr>
        <w:footnoteReference w:id="5"/>
      </w:r>
      <w:r w:rsidR="009A50BE">
        <w:t>» cruciale pour la zone euro,</w:t>
      </w:r>
      <w:r w:rsidRPr="005041C8">
        <w:t xml:space="preserve"> ce qui lui a</w:t>
      </w:r>
      <w:r w:rsidR="005F4C63" w:rsidRPr="005041C8">
        <w:t>urait</w:t>
      </w:r>
      <w:r w:rsidRPr="005041C8">
        <w:t xml:space="preserve"> permis de renforcer son autorité et sa légitimité (Torres, 2013, </w:t>
      </w:r>
      <w:r w:rsidR="009A50BE">
        <w:t>Verdun 2017</w:t>
      </w:r>
      <w:r w:rsidRPr="005041C8">
        <w:t>)</w:t>
      </w:r>
      <w:r w:rsidR="000F71CA" w:rsidRPr="005041C8">
        <w:t xml:space="preserve"> </w:t>
      </w:r>
      <w:r w:rsidR="009222CA">
        <w:t>et</w:t>
      </w:r>
      <w:r w:rsidR="000F71CA" w:rsidRPr="005041C8">
        <w:t xml:space="preserve"> </w:t>
      </w:r>
      <w:r w:rsidR="009A50BE">
        <w:t xml:space="preserve">même </w:t>
      </w:r>
      <w:r w:rsidR="000F71CA" w:rsidRPr="005041C8">
        <w:t xml:space="preserve">d’apaiser </w:t>
      </w:r>
      <w:r w:rsidR="002D3A76" w:rsidRPr="005041C8">
        <w:t>les contestations sociales</w:t>
      </w:r>
      <w:r w:rsidR="000F71CA" w:rsidRPr="005041C8">
        <w:t xml:space="preserve"> dans l’UE</w:t>
      </w:r>
      <w:r w:rsidR="002D3A76" w:rsidRPr="005041C8">
        <w:t xml:space="preserve"> (</w:t>
      </w:r>
      <w:r w:rsidR="005F4C63" w:rsidRPr="005041C8">
        <w:t>Genovese et al., 2016</w:t>
      </w:r>
      <w:r w:rsidR="002D3A76" w:rsidRPr="005041C8">
        <w:t>)</w:t>
      </w:r>
      <w:r w:rsidRPr="005041C8">
        <w:t>. Un dernier courant souligne simplement que les divisions des gouvernements européens expliquent l'extension de compétences de la BCE, qui était par ailleurs réticente à endosser ce nouveau</w:t>
      </w:r>
      <w:r w:rsidR="00961D7F">
        <w:t xml:space="preserve"> rôle (Quaglia et Howarth, 2016</w:t>
      </w:r>
      <w:r w:rsidR="00054533">
        <w:t>)</w:t>
      </w:r>
      <w:r w:rsidR="002F6779">
        <w:t>.</w:t>
      </w:r>
    </w:p>
    <w:p w14:paraId="61E9C707" w14:textId="12F29267" w:rsidR="00163F6F" w:rsidRPr="005041C8" w:rsidRDefault="00685C0C" w:rsidP="002F6779">
      <w:pPr>
        <w:spacing w:before="100" w:beforeAutospacing="1" w:after="100" w:afterAutospacing="1" w:line="360" w:lineRule="auto"/>
        <w:jc w:val="both"/>
      </w:pPr>
      <w:r w:rsidRPr="005041C8">
        <w:t>Pourtant, la crise ne peut pas tout expliquer ; elle est davantage une conjoncture critique où des changements de rapports de force entre les acteurs sont plus probables et où les enjeux de définition et de délimitation des politiques publi</w:t>
      </w:r>
      <w:r w:rsidR="00BB55F4" w:rsidRPr="005041C8">
        <w:t>ques sont plus souples (Dobry, 1992)</w:t>
      </w:r>
      <w:r w:rsidR="007F54E0">
        <w:t>. P</w:t>
      </w:r>
      <w:r w:rsidR="009A50BE">
        <w:t>ar ailleurs, si les</w:t>
      </w:r>
      <w:r w:rsidRPr="005041C8">
        <w:t xml:space="preserve"> Traités</w:t>
      </w:r>
      <w:r w:rsidR="005930ED">
        <w:t xml:space="preserve"> encadrent les actions de la BCE,</w:t>
      </w:r>
      <w:r w:rsidRPr="005041C8">
        <w:t xml:space="preserve"> sa position centrale au sein du système financier lui permet une certaine flexibilité dans ses décisions monétaires (Pistor, 2013). </w:t>
      </w:r>
    </w:p>
    <w:p w14:paraId="60853F04" w14:textId="77777777" w:rsidR="00163F6F" w:rsidRPr="005041C8" w:rsidRDefault="00163F6F" w:rsidP="002F6779">
      <w:pPr>
        <w:spacing w:before="100" w:beforeAutospacing="1" w:after="100" w:afterAutospacing="1" w:line="360" w:lineRule="auto"/>
        <w:jc w:val="both"/>
      </w:pPr>
    </w:p>
    <w:p w14:paraId="1C0AF4EC" w14:textId="458638A1" w:rsidR="00163F6F" w:rsidRPr="005041C8" w:rsidRDefault="00685C0C" w:rsidP="002F6779">
      <w:pPr>
        <w:spacing w:before="100" w:beforeAutospacing="1" w:after="100" w:afterAutospacing="1" w:line="360" w:lineRule="auto"/>
        <w:jc w:val="both"/>
      </w:pPr>
      <w:r w:rsidRPr="005041C8">
        <w:lastRenderedPageBreak/>
        <w:t>À rebours des explications officielles des banquiers centraux sur leur propre rôle et de la majorité des publications académiques existantes</w:t>
      </w:r>
      <w:r w:rsidR="000F71CA" w:rsidRPr="005041C8">
        <w:t>,</w:t>
      </w:r>
      <w:r w:rsidR="009A50BE">
        <w:t xml:space="preserve"> l’argument avancé dans ce chapitre est </w:t>
      </w:r>
      <w:r w:rsidRPr="005041C8">
        <w:t>que, dans sa réponse à la crise, la BCE a davantage tenté de satisfaire les demandes des i</w:t>
      </w:r>
      <w:r w:rsidR="009A50BE">
        <w:t>nvestisseurs financiers que celles</w:t>
      </w:r>
      <w:r w:rsidRPr="005041C8">
        <w:t xml:space="preserve"> des citoyen</w:t>
      </w:r>
      <w:r w:rsidR="009A50BE">
        <w:t>.ne.</w:t>
      </w:r>
      <w:r w:rsidRPr="005041C8">
        <w:t xml:space="preserve">s européens. </w:t>
      </w:r>
      <w:r w:rsidR="009A50BE">
        <w:t>Ainsi, la BCE</w:t>
      </w:r>
      <w:r w:rsidRPr="005041C8">
        <w:t xml:space="preserve"> a exercé </w:t>
      </w:r>
      <w:r w:rsidR="00BB55F4" w:rsidRPr="005041C8">
        <w:t>des pressions pour influencer les réformes de la</w:t>
      </w:r>
      <w:r w:rsidRPr="005041C8">
        <w:t xml:space="preserve"> gouvernance socio-économique de la zone euro qui sort </w:t>
      </w:r>
      <w:r w:rsidR="00BB55F4" w:rsidRPr="005041C8">
        <w:t xml:space="preserve">pourtant </w:t>
      </w:r>
      <w:r w:rsidRPr="005041C8">
        <w:t xml:space="preserve">du périmètre communément accepté d’intervention des banques centrales. En d'autres termes, elle est elle-même un acteur majeur de la « crise du capitalisme démocratique » où les intérêts financiers prennent plus de poids que ceux des citoyens </w:t>
      </w:r>
      <w:r w:rsidR="00481E1F" w:rsidRPr="005041C8">
        <w:t xml:space="preserve">(Streeck, 2014) </w:t>
      </w:r>
      <w:r w:rsidRPr="005041C8">
        <w:t xml:space="preserve">pour deux raisons : </w:t>
      </w:r>
      <w:r w:rsidR="00961D7F">
        <w:t xml:space="preserve">à l’instar d’autres agences régulatrices indépendantes (Jobert, 1994 ; Vauchez, 2014), </w:t>
      </w:r>
      <w:r w:rsidRPr="005041C8">
        <w:t xml:space="preserve">elle participe à la mise à distance des politiques publiques de la compétition électorale, et elle cherche à « gagner du temps » dans sa politique de stabilisation du secteur bancaire, fut-ce d’ailleurs au détriment </w:t>
      </w:r>
      <w:r w:rsidR="00961D7F">
        <w:t>d’un renforcement</w:t>
      </w:r>
      <w:r w:rsidR="009A50BE">
        <w:t xml:space="preserve"> des risques d’aléa moral</w:t>
      </w:r>
      <w:r w:rsidR="009A50BE">
        <w:rPr>
          <w:rStyle w:val="Appelnotedebasdep"/>
        </w:rPr>
        <w:footnoteReference w:id="6"/>
      </w:r>
      <w:r w:rsidR="00481E1F" w:rsidRPr="005041C8">
        <w:t xml:space="preserve"> (Goodhart et al., 2014). </w:t>
      </w:r>
    </w:p>
    <w:p w14:paraId="6B62C77E" w14:textId="06A7507C" w:rsidR="00163F6F" w:rsidRPr="005041C8" w:rsidRDefault="00685C0C" w:rsidP="002F6779">
      <w:pPr>
        <w:spacing w:before="100" w:beforeAutospacing="1" w:after="100" w:afterAutospacing="1" w:line="360" w:lineRule="auto"/>
        <w:jc w:val="both"/>
      </w:pPr>
      <w:r w:rsidRPr="005041C8">
        <w:t>L</w:t>
      </w:r>
      <w:r w:rsidR="0024444F">
        <w:t xml:space="preserve">es </w:t>
      </w:r>
      <w:r w:rsidR="00BC0534">
        <w:t xml:space="preserve">divergences </w:t>
      </w:r>
      <w:r w:rsidRPr="005041C8">
        <w:t xml:space="preserve">entre les intérêts des citoyens et des marchés </w:t>
      </w:r>
      <w:r w:rsidR="0024444F">
        <w:t>ne sont pas</w:t>
      </w:r>
      <w:r w:rsidRPr="005041C8">
        <w:t xml:space="preserve"> forcément problématique</w:t>
      </w:r>
      <w:r w:rsidR="0024444F">
        <w:t>s</w:t>
      </w:r>
      <w:r w:rsidRPr="005041C8">
        <w:t xml:space="preserve"> au regard des théories démocratiques qui acceptent aussi bien des décisions prise</w:t>
      </w:r>
      <w:r w:rsidR="00A24B19">
        <w:t xml:space="preserve">s </w:t>
      </w:r>
      <w:r w:rsidRPr="005041C8">
        <w:t xml:space="preserve">« par le peuple » (légitimité par les </w:t>
      </w:r>
      <w:r w:rsidRPr="005041C8">
        <w:rPr>
          <w:i/>
          <w:iCs/>
        </w:rPr>
        <w:t xml:space="preserve">inputs </w:t>
      </w:r>
      <w:r w:rsidRPr="005041C8">
        <w:t xml:space="preserve">suivant une logique de </w:t>
      </w:r>
      <w:r w:rsidRPr="005041C8">
        <w:rPr>
          <w:i/>
          <w:iCs/>
        </w:rPr>
        <w:t>responsiveness</w:t>
      </w:r>
      <w:r w:rsidRPr="005041C8">
        <w:t xml:space="preserve">) que « pour le peuple » (légitimité par les </w:t>
      </w:r>
      <w:r w:rsidRPr="005041C8">
        <w:rPr>
          <w:i/>
          <w:iCs/>
        </w:rPr>
        <w:t>outputs</w:t>
      </w:r>
      <w:r w:rsidRPr="005041C8">
        <w:t xml:space="preserve"> suivant une logique d'efficience) (Scharpf, 1997). Cependant, un écart trop important entre les deux logiques et une incapacité de traduction des résultats électoraux sur les politiques publiques effectivement menées, et par là, sur la répartition des richesses dans les espaces nationaux, est un signe d'affaiblissement de la démocratie</w:t>
      </w:r>
      <w:r w:rsidR="00BB55F4" w:rsidRPr="005041C8">
        <w:t xml:space="preserve"> (Crouch, 2004)</w:t>
      </w:r>
      <w:r w:rsidRPr="005041C8">
        <w:t xml:space="preserve">. Ici, la BCE participe à cet affaiblissement en réduisant trop systématiquement les enjeux de la résolution de la crise </w:t>
      </w:r>
      <w:r w:rsidR="00481E1F" w:rsidRPr="005041C8">
        <w:t xml:space="preserve">à la stabilité financière et </w:t>
      </w:r>
      <w:r w:rsidRPr="005041C8">
        <w:t>au regain de la confiance des investisseurs au détriment d'aspects socio-économiques plus large</w:t>
      </w:r>
      <w:r w:rsidR="00A24B19">
        <w:t xml:space="preserve">s </w:t>
      </w:r>
      <w:r w:rsidRPr="005041C8">
        <w:t>(cohésion sociale, réduction des inégalités).</w:t>
      </w:r>
      <w:r w:rsidR="007322B1" w:rsidRPr="005041C8">
        <w:t xml:space="preserve"> </w:t>
      </w:r>
      <w:r w:rsidR="00481E1F" w:rsidRPr="005041C8">
        <w:t>Par ailleurs, la BCE a aussi un impact sur les relations de pouvoir entre les pays de la zone euro quand son action favorise davantage les pays créditeurs que débiteurs (Dyson, 2014).</w:t>
      </w:r>
      <w:r w:rsidR="00054533">
        <w:t xml:space="preserve"> La politisation de son action et l’extension de son </w:t>
      </w:r>
      <w:r w:rsidR="00093D31">
        <w:t>champ d’intervention</w:t>
      </w:r>
      <w:r w:rsidR="00054533">
        <w:t xml:space="preserve"> représentent par ailleurs un danger pour la légitimité de sa propre action politique (</w:t>
      </w:r>
      <w:r w:rsidR="00961D7F">
        <w:t>Högenauer</w:t>
      </w:r>
      <w:r w:rsidR="00961D7F">
        <w:t xml:space="preserve"> et Howarth</w:t>
      </w:r>
      <w:r w:rsidR="00054533">
        <w:t>, 2016</w:t>
      </w:r>
      <w:r w:rsidR="00961D7F">
        <w:t>, Dietsch et al., 2019</w:t>
      </w:r>
      <w:r w:rsidR="00054533">
        <w:t>).</w:t>
      </w:r>
      <w:r w:rsidR="00481E1F" w:rsidRPr="005041C8">
        <w:t xml:space="preserve"> </w:t>
      </w:r>
    </w:p>
    <w:p w14:paraId="478C0ABC" w14:textId="77777777" w:rsidR="00481E1F" w:rsidRPr="005041C8" w:rsidRDefault="00481E1F" w:rsidP="002F6779">
      <w:pPr>
        <w:spacing w:before="100" w:beforeAutospacing="1" w:after="100" w:afterAutospacing="1" w:line="360" w:lineRule="auto"/>
        <w:jc w:val="both"/>
      </w:pPr>
    </w:p>
    <w:p w14:paraId="2D95C593" w14:textId="3A21F7D7" w:rsidR="00163F6F" w:rsidRPr="005041C8" w:rsidRDefault="00685C0C" w:rsidP="002F6779">
      <w:pPr>
        <w:spacing w:before="100" w:beforeAutospacing="1" w:after="100" w:afterAutospacing="1" w:line="360" w:lineRule="auto"/>
        <w:jc w:val="both"/>
      </w:pPr>
      <w:r w:rsidRPr="005041C8">
        <w:rPr>
          <w:rFonts w:ascii="Times New Roman" w:eastAsia="Times New Roman" w:hAnsi="Times New Roman" w:cs="Times New Roman"/>
        </w:rPr>
        <w:lastRenderedPageBreak/>
        <w:t xml:space="preserve">D'un point de vue </w:t>
      </w:r>
      <w:r w:rsidR="00093D31">
        <w:rPr>
          <w:rFonts w:ascii="Times New Roman" w:eastAsia="Times New Roman" w:hAnsi="Times New Roman" w:cs="Times New Roman"/>
        </w:rPr>
        <w:t>théorique</w:t>
      </w:r>
      <w:r w:rsidRPr="005041C8">
        <w:rPr>
          <w:rFonts w:ascii="Times New Roman" w:eastAsia="Times New Roman" w:hAnsi="Times New Roman" w:cs="Times New Roman"/>
        </w:rPr>
        <w:t xml:space="preserve">, la BCE est ici considérée comme un acteur politique (mais non partisan) inséré dans un jeu institutionnel multiniveaux à l’issue incertaine (la gouvernance de la zone euro) qui essaye de faire usage de la crise. Elle </w:t>
      </w:r>
      <w:r w:rsidRPr="005041C8">
        <w:t xml:space="preserve">effectue un travail politique en utilisant volontairement une ressource ou une opportunité (ici la situation de crise) dans le but d'atteindre un objectif déterminé (des effets voulus) (Jacquot et Woll 2004, p.10). Ces effets voulus passent </w:t>
      </w:r>
      <w:r w:rsidRPr="005041C8">
        <w:rPr>
          <w:rFonts w:ascii="Times New Roman" w:eastAsia="Times New Roman" w:hAnsi="Times New Roman" w:cs="Times New Roman"/>
        </w:rPr>
        <w:t>par deux canaux d'influence</w:t>
      </w:r>
      <w:r w:rsidR="00D95487">
        <w:rPr>
          <w:rFonts w:ascii="Times New Roman" w:eastAsia="Times New Roman" w:hAnsi="Times New Roman" w:cs="Times New Roman"/>
        </w:rPr>
        <w:t xml:space="preserve"> (Fontan, 2013)</w:t>
      </w:r>
      <w:r w:rsidRPr="005041C8">
        <w:rPr>
          <w:rFonts w:ascii="Times New Roman" w:eastAsia="Times New Roman" w:hAnsi="Times New Roman" w:cs="Times New Roman"/>
        </w:rPr>
        <w:t> : une autorité experte</w:t>
      </w:r>
      <w:r w:rsidR="009222CA">
        <w:rPr>
          <w:rFonts w:ascii="Times New Roman" w:eastAsia="Times New Roman" w:hAnsi="Times New Roman" w:cs="Times New Roman"/>
        </w:rPr>
        <w:t xml:space="preserve"> qui lui donne </w:t>
      </w:r>
      <w:r w:rsidRPr="005041C8">
        <w:rPr>
          <w:rFonts w:ascii="Times New Roman" w:eastAsia="Times New Roman" w:hAnsi="Times New Roman" w:cs="Times New Roman"/>
        </w:rPr>
        <w:t>des ressources importantes dans les phases de cadrage et de problématisation de la crise (utilisation cognitive de la crise) et le monopole des instruments monétaires qu'elle peut utiliser de manière coercitive pour pousser les dirigeants nationaux de la zone euro à réformer leurs économies (utilisation stratégique de la crise).</w:t>
      </w:r>
      <w:r w:rsidR="00073857">
        <w:rPr>
          <w:rFonts w:ascii="Times New Roman" w:eastAsia="Times New Roman" w:hAnsi="Times New Roman" w:cs="Times New Roman"/>
        </w:rPr>
        <w:t xml:space="preserve"> Le travail politique de la BCE pendant la crise a ainsi été </w:t>
      </w:r>
      <w:r w:rsidR="00173F36">
        <w:rPr>
          <w:rFonts w:ascii="Times New Roman" w:eastAsia="Times New Roman" w:hAnsi="Times New Roman" w:cs="Times New Roman"/>
        </w:rPr>
        <w:t xml:space="preserve">orienté par une conception </w:t>
      </w:r>
      <w:r w:rsidR="00D95487">
        <w:rPr>
          <w:rFonts w:ascii="Times New Roman" w:eastAsia="Times New Roman" w:hAnsi="Times New Roman" w:cs="Times New Roman"/>
        </w:rPr>
        <w:t xml:space="preserve">idéelle </w:t>
      </w:r>
      <w:r w:rsidR="00D95487" w:rsidRPr="00D95487">
        <w:rPr>
          <w:rFonts w:ascii="Times New Roman" w:eastAsia="Times New Roman" w:hAnsi="Times New Roman" w:cs="Times New Roman"/>
        </w:rPr>
        <w:t xml:space="preserve">spécifique </w:t>
      </w:r>
      <w:r w:rsidR="00D95487">
        <w:rPr>
          <w:rFonts w:ascii="Times New Roman" w:eastAsia="Times New Roman" w:hAnsi="Times New Roman" w:cs="Times New Roman"/>
        </w:rPr>
        <w:t>de l’économie, qui</w:t>
      </w:r>
      <w:r w:rsidR="00173F36">
        <w:rPr>
          <w:rFonts w:ascii="Times New Roman" w:eastAsia="Times New Roman" w:hAnsi="Times New Roman" w:cs="Times New Roman"/>
        </w:rPr>
        <w:t xml:space="preserve"> </w:t>
      </w:r>
      <w:r w:rsidR="00D95487">
        <w:rPr>
          <w:rFonts w:ascii="Times New Roman" w:eastAsia="Times New Roman" w:hAnsi="Times New Roman" w:cs="Times New Roman"/>
        </w:rPr>
        <w:t>accorde</w:t>
      </w:r>
      <w:r w:rsidR="00173F36">
        <w:rPr>
          <w:rFonts w:ascii="Times New Roman" w:eastAsia="Times New Roman" w:hAnsi="Times New Roman" w:cs="Times New Roman"/>
        </w:rPr>
        <w:t xml:space="preserve"> une place centrale aux préférences des marchés financiers.</w:t>
      </w:r>
      <w:r w:rsidR="00054533">
        <w:rPr>
          <w:rFonts w:ascii="Times New Roman" w:eastAsia="Times New Roman" w:hAnsi="Times New Roman" w:cs="Times New Roman"/>
        </w:rPr>
        <w:t xml:space="preserve"> </w:t>
      </w:r>
      <w:r w:rsidRPr="005041C8">
        <w:t xml:space="preserve">La première partie de ce chapitre analyse les dix premières années de </w:t>
      </w:r>
      <w:r w:rsidR="00D95487">
        <w:t>l’</w:t>
      </w:r>
      <w:r w:rsidRPr="005041C8">
        <w:t xml:space="preserve">existence </w:t>
      </w:r>
      <w:r w:rsidR="00D95487">
        <w:t xml:space="preserve">de la BCE </w:t>
      </w:r>
      <w:r w:rsidRPr="005041C8">
        <w:t>afin d</w:t>
      </w:r>
      <w:r w:rsidR="00D95487">
        <w:t xml:space="preserve">e montrer comment la défense de son indépendance envers les autorités élues l’a mené à </w:t>
      </w:r>
      <w:r w:rsidR="006B6BBC">
        <w:t>défendre une place centrale</w:t>
      </w:r>
      <w:r w:rsidR="00D95487">
        <w:t xml:space="preserve"> des marchés financiers dans l’économie</w:t>
      </w:r>
      <w:r w:rsidRPr="005041C8">
        <w:t xml:space="preserve">. Les deux parties suivantes reviendront sur la </w:t>
      </w:r>
      <w:r w:rsidRPr="005041C8">
        <w:rPr>
          <w:i/>
          <w:iCs/>
        </w:rPr>
        <w:t>conditionnalité</w:t>
      </w:r>
      <w:r w:rsidRPr="005041C8">
        <w:t xml:space="preserve"> de ses interventions monétaires</w:t>
      </w:r>
      <w:r w:rsidRPr="005041C8">
        <w:rPr>
          <w:rStyle w:val="FootnoteAnchor"/>
        </w:rPr>
        <w:footnoteReference w:id="7"/>
      </w:r>
      <w:r w:rsidRPr="005041C8">
        <w:t xml:space="preserve"> envers les États et les institutions financières afin de démontrer leur asymétrie en faveur de ces dernières, et, par là,  sur les effets voulus dans son usage de la crise</w:t>
      </w:r>
      <w:r w:rsidR="00BF3DD6">
        <w:rPr>
          <w:rStyle w:val="Appelnotedebasdep"/>
        </w:rPr>
        <w:footnoteReference w:id="8"/>
      </w:r>
      <w:r w:rsidRPr="005041C8">
        <w:t xml:space="preserve">. </w:t>
      </w:r>
    </w:p>
    <w:p w14:paraId="7BB222E3" w14:textId="7D477888" w:rsidR="00163F6F" w:rsidRPr="005041C8" w:rsidRDefault="00685C0C" w:rsidP="002F6779">
      <w:pPr>
        <w:pStyle w:val="Titre2"/>
        <w:numPr>
          <w:ilvl w:val="0"/>
          <w:numId w:val="1"/>
        </w:numPr>
        <w:spacing w:before="100" w:beforeAutospacing="1" w:after="100" w:afterAutospacing="1" w:line="360" w:lineRule="auto"/>
        <w:jc w:val="both"/>
      </w:pPr>
      <w:r w:rsidRPr="005041C8">
        <w:t>Les deux facettes de l'indépendance de la BCE</w:t>
      </w:r>
    </w:p>
    <w:p w14:paraId="72CA1A52" w14:textId="36F775A5" w:rsidR="00163F6F" w:rsidRPr="005041C8" w:rsidRDefault="00685C0C" w:rsidP="002F6779">
      <w:pPr>
        <w:spacing w:before="100" w:beforeAutospacing="1" w:after="100" w:afterAutospacing="1" w:line="360" w:lineRule="auto"/>
        <w:jc w:val="both"/>
      </w:pPr>
      <w:r w:rsidRPr="005041C8">
        <w:t xml:space="preserve">Apparues à la fin du XIXe siècle, les banques centrales sont des institutions récentes dans le processus historique de régulation des flux financiers par les autorités politiques. Jouant un rôle d'interface entre les marchés financiers et les autorités élues, l'autonomie des banques centrales entre ces deux entités, ainsi que l'étendue de leurs missions, ont varié historiquement, selon les croyances économiques, les arrangements institutionnels et le degré d'influence des milieux financiers dans les cercles politiques. La BCE est un des exemples les plus emblématiques du modèle dominant de la banque centrale indépendante (BCI) du début des années 1990. Une relecture critique des fondations théoriques de ce modèle et des dix premières années d'existence </w:t>
      </w:r>
      <w:r w:rsidRPr="005041C8">
        <w:lastRenderedPageBreak/>
        <w:t xml:space="preserve">de la BCE </w:t>
      </w:r>
      <w:r w:rsidR="00BC0534">
        <w:t xml:space="preserve">dévoile </w:t>
      </w:r>
      <w:r w:rsidRPr="005041C8">
        <w:t xml:space="preserve">que la force de son indépendance envers les autorités élues contraste avec un affaiblissement structurel par rapport aux institutions financières. </w:t>
      </w:r>
    </w:p>
    <w:p w14:paraId="6E35E6BF" w14:textId="40C65D87" w:rsidR="00163F6F" w:rsidRPr="005041C8" w:rsidRDefault="00685C0C" w:rsidP="002F6779">
      <w:pPr>
        <w:pStyle w:val="Titre3"/>
        <w:spacing w:before="100" w:beforeAutospacing="1" w:after="100" w:afterAutospacing="1" w:line="360" w:lineRule="auto"/>
        <w:jc w:val="both"/>
      </w:pPr>
      <w:r w:rsidRPr="005041C8">
        <w:t>Une indépendance revendiquée par rapport aux autorités élues</w:t>
      </w:r>
    </w:p>
    <w:p w14:paraId="0F7B1F8A" w14:textId="549BA347" w:rsidR="00972DA9" w:rsidRPr="005041C8" w:rsidRDefault="00640884" w:rsidP="002F6779">
      <w:pPr>
        <w:spacing w:before="100" w:beforeAutospacing="1" w:after="100" w:afterAutospacing="1" w:line="360" w:lineRule="auto"/>
        <w:jc w:val="both"/>
      </w:pPr>
      <w:r w:rsidRPr="005041C8">
        <w:t>À</w:t>
      </w:r>
      <w:r w:rsidR="00685C0C" w:rsidRPr="005041C8">
        <w:t xml:space="preserve"> partir de la fin des années 197</w:t>
      </w:r>
      <w:r w:rsidR="00231FFE">
        <w:t>0, le concept d'</w:t>
      </w:r>
      <w:r w:rsidR="00961D7F">
        <w:t xml:space="preserve"> </w:t>
      </w:r>
      <w:r w:rsidR="00685C0C" w:rsidRPr="005041C8">
        <w:t>« inconsistance temporelle » prend de l'importance dans les théories macro-économiques</w:t>
      </w:r>
      <w:r w:rsidR="009222CA">
        <w:t>. Il</w:t>
      </w:r>
      <w:r w:rsidR="00685C0C" w:rsidRPr="005041C8">
        <w:t xml:space="preserve"> affirm</w:t>
      </w:r>
      <w:r w:rsidR="009222CA">
        <w:t>e</w:t>
      </w:r>
      <w:r w:rsidR="00685C0C" w:rsidRPr="005041C8">
        <w:t xml:space="preserve"> que la politique monétaire doit être isolée des décideurs politiques qui auraient des perspectives</w:t>
      </w:r>
      <w:r w:rsidR="00A24B19">
        <w:t xml:space="preserve"> à court terme</w:t>
      </w:r>
      <w:r w:rsidR="00685C0C" w:rsidRPr="005041C8">
        <w:t xml:space="preserve"> liées au jeu électoral (Kydland et Prescott, 1977). La réputation conse</w:t>
      </w:r>
      <w:r w:rsidR="00BC0534">
        <w:t xml:space="preserve">rvatrice de banquiers centraux </w:t>
      </w:r>
      <w:r w:rsidR="00685C0C" w:rsidRPr="005041C8">
        <w:t>permettrait la stabilité des prix par un renforcement de leur « crédibilité » aux yeux des marchés qui n'anticiperaient plus d'effets inflationnistes</w:t>
      </w:r>
      <w:r w:rsidR="007B53AC" w:rsidRPr="005041C8">
        <w:t xml:space="preserve"> (Rogoff, 1985)</w:t>
      </w:r>
      <w:r w:rsidR="00685C0C" w:rsidRPr="005041C8">
        <w:t xml:space="preserve">. La centralité du problème de l'inflation, le changement de personnel politique et la diffusion des idées néo-libérales ont permis à ces idées de se traduire institutionnellement dans le modèle de la BCI (McNamara, 2002). Il s’en suit un principe simple : afin de lutter de manière prioritaire contre l'inflation, les banques centrales ont obtenu un degré élevé d'autonomie envers les autorités élues. L'architecture institutionnelle de la BCE décidée au début des années 1990 en est sûrement un des meilleurs exemples (Issing et al. 2001). </w:t>
      </w:r>
    </w:p>
    <w:p w14:paraId="1BAE4A06" w14:textId="6C77BA00" w:rsidR="00163F6F" w:rsidRPr="005041C8" w:rsidRDefault="00685C0C" w:rsidP="002F6779">
      <w:pPr>
        <w:spacing w:before="100" w:beforeAutospacing="1" w:after="100" w:afterAutospacing="1" w:line="360" w:lineRule="auto"/>
        <w:jc w:val="both"/>
      </w:pPr>
      <w:r w:rsidRPr="005041C8">
        <w:t>Par conséquent, les banquiers centraux perçoivent d'abord leur indépendance comme une résistance aux pressions politiques sur leur politique monétaire. Ceci peut prendre la forme d'une résistance aux pressions gouvernementales sur la fixation de sa politique monétaire comme l'a montré l'épisode Lafontaine en 1999 où les pressions infructueuses du ministre des finances allemand ont été un des éléments menant à sa démission (Howarth et Loedel 2005, p.150). Par ailleurs, les banquiers centraux sont aussi attentifs aux déficits fiscaux des États de la zone euro qui pourraient les forcer à monétiser leur</w:t>
      </w:r>
      <w:r w:rsidR="007B53AC" w:rsidRPr="005041C8">
        <w:t>s</w:t>
      </w:r>
      <w:r w:rsidRPr="005041C8">
        <w:t xml:space="preserve"> dettes, et ainsi à diminuer son indépendance (domination fiscale de la banque centrale). </w:t>
      </w:r>
      <w:r w:rsidR="005930ED">
        <w:t>Ainsi, la BCE a fortement critiqué le non-respect du Pacte de Stabilité et de Croissance (PSC) par la France et l'Allemagne en 2003, ainsi que sa révision par la Commission en 2005 (Howarth, 2004).</w:t>
      </w:r>
      <w:r w:rsidRPr="005041C8">
        <w:t xml:space="preserve"> </w:t>
      </w:r>
    </w:p>
    <w:p w14:paraId="14EFFA8F" w14:textId="0D657D60" w:rsidR="00163F6F" w:rsidRPr="005041C8" w:rsidRDefault="00685C0C" w:rsidP="00F75293">
      <w:pPr>
        <w:spacing w:before="100" w:beforeAutospacing="1" w:after="100" w:afterAutospacing="1" w:line="360" w:lineRule="auto"/>
        <w:jc w:val="both"/>
      </w:pPr>
      <w:r w:rsidRPr="005041C8">
        <w:t xml:space="preserve">De fait, depuis sa création et pour des raisons aussi bien stratégiques qu'idéelles, la BCE a tenté d'influencer les réformes socio-économiques au sein de la zone euro selon les principes de l'austérité expansionniste, un paradigme où la stabilité des prix, la diminution des dépenses étatiques et la flexibilisation des différents marchés permettraient une croissance économique </w:t>
      </w:r>
      <w:r w:rsidRPr="005041C8">
        <w:lastRenderedPageBreak/>
        <w:t>soutenable (Blyth, 2013). Les banquiers centraux se sont ainsi prononcé</w:t>
      </w:r>
      <w:r w:rsidR="00A24B19">
        <w:t xml:space="preserve">s </w:t>
      </w:r>
      <w:r w:rsidRPr="005041C8">
        <w:t>sur des politiques publiques aussi diverses que la flexibilisation</w:t>
      </w:r>
      <w:r w:rsidRPr="005041C8">
        <w:rPr>
          <w:color w:val="000000"/>
        </w:rPr>
        <w:t xml:space="preserve"> du marché du travail, la soutenabilité des régimes de retraite et les politiques de santé, toutes regroupées sous la dénomination de « réformes structurelles », sans posséder de compétences dans ce domaine pour autant. </w:t>
      </w:r>
      <w:r w:rsidRPr="005041C8">
        <w:rPr>
          <w:color w:val="000000"/>
          <w:shd w:val="clear" w:color="auto" w:fill="FFFFFF"/>
        </w:rPr>
        <w:t>Mario Draghi</w:t>
      </w:r>
      <w:r w:rsidR="00A61740" w:rsidRPr="005041C8">
        <w:rPr>
          <w:color w:val="000000"/>
          <w:shd w:val="clear" w:color="auto" w:fill="FFFFFF"/>
        </w:rPr>
        <w:t xml:space="preserve">, le président de la BCE depuis 2011, </w:t>
      </w:r>
      <w:r w:rsidRPr="005041C8">
        <w:rPr>
          <w:color w:val="000000"/>
          <w:shd w:val="clear" w:color="auto" w:fill="FFFFFF"/>
        </w:rPr>
        <w:t>précise début 2015 qu'en sus des appels mensuels à ces réformes lors de ses conférences de presse, les agents de la BCE ont évoqué le terme « réformes structurelles » dans le tiers de leurs interventions depuis 1999 contre 2 % pour les représentants de la Federal Reserve (Fed)</w:t>
      </w:r>
      <w:r w:rsidRPr="005041C8">
        <w:rPr>
          <w:rStyle w:val="FootnoteAnchor"/>
          <w:color w:val="000000"/>
          <w:shd w:val="clear" w:color="auto" w:fill="FFFFFF"/>
        </w:rPr>
        <w:footnoteReference w:id="9"/>
      </w:r>
      <w:r w:rsidRPr="005041C8">
        <w:rPr>
          <w:color w:val="000000"/>
          <w:shd w:val="clear" w:color="auto" w:fill="FFFFFF"/>
        </w:rPr>
        <w:t xml:space="preserve">. </w:t>
      </w:r>
      <w:r w:rsidRPr="005041C8">
        <w:t xml:space="preserve">Cependant, pendant les dix premières années de son existence, les interactions entre la BCE et les gouvernements de la zone euro ont été marquées par une volonté d'influence réciproque dans la conduite de leurs politiques, sans qu'aucune des deux entités n'ait de réels moyens de pression sur l'autre. </w:t>
      </w:r>
    </w:p>
    <w:p w14:paraId="28E3A428" w14:textId="09878E44" w:rsidR="00163F6F" w:rsidRPr="005041C8" w:rsidRDefault="00685C0C" w:rsidP="002F6779">
      <w:pPr>
        <w:pStyle w:val="Titre3"/>
        <w:spacing w:before="100" w:beforeAutospacing="1" w:after="100" w:afterAutospacing="1" w:line="360" w:lineRule="auto"/>
        <w:jc w:val="both"/>
      </w:pPr>
      <w:r w:rsidRPr="005041C8">
        <w:t>Un affaiblissement structurel face aux marchés financiers</w:t>
      </w:r>
    </w:p>
    <w:p w14:paraId="403E5370" w14:textId="5345655C" w:rsidR="00163F6F" w:rsidRPr="005041C8" w:rsidRDefault="00685C0C" w:rsidP="008036B0">
      <w:pPr>
        <w:spacing w:before="100" w:beforeAutospacing="1" w:after="100" w:afterAutospacing="1" w:line="360" w:lineRule="auto"/>
        <w:jc w:val="both"/>
      </w:pPr>
      <w:r w:rsidRPr="005041C8">
        <w:t>À l'instar des autres grandes banques centrales, l'autre facette de l'indépendance de la BCE, son autonomie envers les préférences des marchés financiers, n'a pas suscité autant d'intérêt dans le milieu académique ou celui des banquiers centraux</w:t>
      </w:r>
      <w:r w:rsidR="00850744">
        <w:t xml:space="preserve"> (Dietsch et al, 2019</w:t>
      </w:r>
      <w:r w:rsidR="00102E20">
        <w:t>, chap.3)</w:t>
      </w:r>
      <w:r w:rsidRPr="005041C8">
        <w:t xml:space="preserve">. En effet, la croyance dominante au sein de l'univers des banquiers centraux </w:t>
      </w:r>
      <w:r w:rsidR="00E818CD">
        <w:t xml:space="preserve">était </w:t>
      </w:r>
      <w:r w:rsidRPr="005041C8">
        <w:t xml:space="preserve">que la stabilité des prix était suffisante pour assurer la stabilité financière (Bordo et Jeanne, 2002). Ainsi, les marchés étaient perçus comme stables et efficients grâce au développement de nouvelles technologies financières et à leur capacité d'autorégulation. La politique de </w:t>
      </w:r>
      <w:r w:rsidR="00CE1DAC" w:rsidRPr="00CE1DAC">
        <w:rPr>
          <w:i/>
        </w:rPr>
        <w:t>benign neglect</w:t>
      </w:r>
      <w:r w:rsidRPr="00CE1DAC">
        <w:rPr>
          <w:i/>
        </w:rPr>
        <w:t xml:space="preserve"> </w:t>
      </w:r>
      <w:r w:rsidRPr="005041C8">
        <w:t xml:space="preserve">de la </w:t>
      </w:r>
      <w:r w:rsidRPr="00CE1DAC">
        <w:rPr>
          <w:i/>
        </w:rPr>
        <w:t>Fed</w:t>
      </w:r>
      <w:r w:rsidR="00CE1DAC" w:rsidRPr="00CE1DAC">
        <w:rPr>
          <w:i/>
        </w:rPr>
        <w:t>eral Reserve</w:t>
      </w:r>
      <w:r w:rsidRPr="00CE1DAC">
        <w:rPr>
          <w:i/>
        </w:rPr>
        <w:t xml:space="preserve"> </w:t>
      </w:r>
      <w:r w:rsidRPr="005041C8">
        <w:t>d'Alan Greenspan est devenu</w:t>
      </w:r>
      <w:r w:rsidR="00693589" w:rsidRPr="005041C8">
        <w:t>e</w:t>
      </w:r>
      <w:r w:rsidRPr="005041C8">
        <w:t xml:space="preserve"> le symbole de cette croyance. Les politiques de la BCE ont aussi suivi ce paradigme. Ainsi Jean-Claude Trichet</w:t>
      </w:r>
      <w:r w:rsidRPr="005041C8">
        <w:rPr>
          <w:rStyle w:val="FootnoteAnchor"/>
        </w:rPr>
        <w:footnoteReference w:id="10"/>
      </w:r>
      <w:r w:rsidRPr="005041C8">
        <w:t xml:space="preserve"> soutenait l'option d'autorégulation des marchés au moins jusqu'en octobre 2007</w:t>
      </w:r>
      <w:r w:rsidRPr="005041C8">
        <w:rPr>
          <w:rStyle w:val="FootnoteAnchor"/>
        </w:rPr>
        <w:footnoteReference w:id="11"/>
      </w:r>
      <w:r w:rsidRPr="005041C8">
        <w:t xml:space="preserve">. Plus précisément, et bien que la chute de </w:t>
      </w:r>
      <w:r w:rsidRPr="005041C8">
        <w:rPr>
          <w:i/>
        </w:rPr>
        <w:t>Lehman Brothers</w:t>
      </w:r>
      <w:r w:rsidRPr="005041C8">
        <w:t xml:space="preserve"> l'ait mené à changer de discours, il défendait activement dans les forums internationaux l'idée selon laquelle la meilleure option régulatrice consistait en la création d'un guide de bonne</w:t>
      </w:r>
      <w:r w:rsidR="00A24B19">
        <w:t xml:space="preserve">s </w:t>
      </w:r>
      <w:r w:rsidRPr="005041C8">
        <w:t>pratiques volontaires de la part des institutions financières (en d'autres termes, l'autorégulation des marchés)</w:t>
      </w:r>
      <w:r w:rsidRPr="005041C8">
        <w:rPr>
          <w:rStyle w:val="FootnoteAnchor"/>
        </w:rPr>
        <w:footnoteReference w:id="12"/>
      </w:r>
      <w:r w:rsidRPr="005041C8">
        <w:t xml:space="preserve">. </w:t>
      </w:r>
    </w:p>
    <w:p w14:paraId="3D9FA0C6" w14:textId="21B9C732" w:rsidR="00163F6F" w:rsidRPr="005041C8" w:rsidRDefault="00685C0C" w:rsidP="002F6779">
      <w:pPr>
        <w:spacing w:before="100" w:beforeAutospacing="1" w:after="100" w:afterAutospacing="1" w:line="360" w:lineRule="auto"/>
        <w:jc w:val="both"/>
      </w:pPr>
      <w:r w:rsidRPr="005041C8">
        <w:lastRenderedPageBreak/>
        <w:t xml:space="preserve">La crise de 2007 a montré l'inadéquation de ces croyances avec les dynamiques des cycles financiers et les conséquences des périodes de dérégulation </w:t>
      </w:r>
      <w:r w:rsidR="009A182B">
        <w:t>qui engendrent</w:t>
      </w:r>
      <w:r w:rsidRPr="005041C8">
        <w:t xml:space="preserve"> à des secteurs bancaires et financie</w:t>
      </w:r>
      <w:r w:rsidR="00850744">
        <w:t>rs fragiles et surdimensionnés</w:t>
      </w:r>
      <w:r w:rsidRPr="005041C8">
        <w:t>.</w:t>
      </w:r>
      <w:r w:rsidR="00481E1F" w:rsidRPr="005041C8">
        <w:t xml:space="preserve"> Rappelons que la taille des </w:t>
      </w:r>
      <w:r w:rsidR="00B350E7" w:rsidRPr="005041C8">
        <w:t>établissements</w:t>
      </w:r>
      <w:r w:rsidR="00481E1F" w:rsidRPr="005041C8">
        <w:t xml:space="preserve"> financiers de la zone euro</w:t>
      </w:r>
      <w:r w:rsidR="00B350E7" w:rsidRPr="005041C8">
        <w:t>, mesurée par le volume des actifs détenus,</w:t>
      </w:r>
      <w:r w:rsidRPr="005041C8">
        <w:t xml:space="preserve"> </w:t>
      </w:r>
      <w:r w:rsidR="00B350E7" w:rsidRPr="005041C8">
        <w:t xml:space="preserve">a plus que doublé entre 1999 et 2007. </w:t>
      </w:r>
      <w:r w:rsidRPr="005041C8">
        <w:t>Étant donné que la stabilité du système financier fait partie des objectifs de la BCE</w:t>
      </w:r>
      <w:r w:rsidRPr="005041C8">
        <w:rPr>
          <w:rStyle w:val="FootnoteAnchor"/>
        </w:rPr>
        <w:footnoteReference w:id="13"/>
      </w:r>
      <w:r w:rsidRPr="005041C8">
        <w:t xml:space="preserve">, comment expliquer le contraste entre une défense active de son indépendance par rapport aux autorités élues et une confiance aveugle dans le bon fonctionnement des marchés financiers ? </w:t>
      </w:r>
    </w:p>
    <w:p w14:paraId="6453ADCC" w14:textId="22C5A6EE" w:rsidR="00681FDE" w:rsidRPr="005041C8" w:rsidRDefault="00685C0C" w:rsidP="002F6779">
      <w:pPr>
        <w:spacing w:before="100" w:beforeAutospacing="1" w:after="100" w:afterAutospacing="1" w:line="360" w:lineRule="auto"/>
        <w:jc w:val="both"/>
      </w:pPr>
      <w:r w:rsidRPr="005041C8">
        <w:t>D'abord</w:t>
      </w:r>
      <w:r w:rsidR="007A3BDB" w:rsidRPr="005041C8">
        <w:t>, </w:t>
      </w:r>
      <w:r w:rsidR="00C86579">
        <w:t xml:space="preserve">la BCE a été confronté à des dilemmes provoqué par le design originel de la zone euro, qui est </w:t>
      </w:r>
      <w:r w:rsidR="007A3BDB" w:rsidRPr="005041C8">
        <w:t>une zone monétaire non</w:t>
      </w:r>
      <w:r w:rsidR="00A24B19">
        <w:t xml:space="preserve"> </w:t>
      </w:r>
      <w:r w:rsidR="007A3BDB" w:rsidRPr="005041C8">
        <w:t>optimale, c'est</w:t>
      </w:r>
      <w:r w:rsidR="00A24B19">
        <w:t>-à-</w:t>
      </w:r>
      <w:r w:rsidR="007A3BDB" w:rsidRPr="005041C8">
        <w:t>dire un espace où un taux d’intérêt adéquat pour un pays ne pourra pas l'être pour un autre (Jonung et Drea, 2010). Afin de faire face</w:t>
      </w:r>
      <w:r w:rsidR="00FB7C66" w:rsidRPr="005041C8">
        <w:t xml:space="preserve"> aux problèmes causés par </w:t>
      </w:r>
      <w:r w:rsidR="006D6918">
        <w:t>l’hétérogénéité</w:t>
      </w:r>
      <w:r w:rsidR="00FB7C66" w:rsidRPr="005041C8">
        <w:t xml:space="preserve"> économique</w:t>
      </w:r>
      <w:r w:rsidR="006D6918">
        <w:t xml:space="preserve"> des pays de la zone euro</w:t>
      </w:r>
      <w:r w:rsidR="007A3BDB" w:rsidRPr="005041C8">
        <w:t xml:space="preserve">, les dirigeants de la BCE ont soutenu activement un approfondissement </w:t>
      </w:r>
      <w:r w:rsidR="009222CA">
        <w:t>de l</w:t>
      </w:r>
      <w:r w:rsidR="007A3BDB" w:rsidRPr="005041C8">
        <w:t>’intégration financière, soit un</w:t>
      </w:r>
      <w:r w:rsidR="00FB7C66" w:rsidRPr="005041C8">
        <w:t>e application des principes de concurrence non</w:t>
      </w:r>
      <w:r w:rsidR="00A24B19">
        <w:t xml:space="preserve"> </w:t>
      </w:r>
      <w:r w:rsidR="00FB7C66" w:rsidRPr="005041C8">
        <w:t xml:space="preserve">faussée au monde de la finance </w:t>
      </w:r>
      <w:r w:rsidR="00FB7C66" w:rsidRPr="005041C8">
        <w:rPr>
          <w:lang w:val="fr-CA" w:eastAsia="en-US" w:bidi="ar-SA"/>
        </w:rPr>
        <w:t>(Pollin, 2010). Ainsi,</w:t>
      </w:r>
      <w:r w:rsidR="001F0422" w:rsidRPr="005041C8">
        <w:rPr>
          <w:lang w:val="fr-CA" w:eastAsia="en-US" w:bidi="ar-SA"/>
        </w:rPr>
        <w:t xml:space="preserve"> à partir de 2000,</w:t>
      </w:r>
      <w:r w:rsidR="00FB7C66" w:rsidRPr="005041C8">
        <w:rPr>
          <w:lang w:val="fr-CA" w:eastAsia="en-US" w:bidi="ar-SA"/>
        </w:rPr>
        <w:t xml:space="preserve"> la BCE a décidé de traiter de manière similaire les bons du </w:t>
      </w:r>
      <w:r w:rsidR="00B2106B">
        <w:rPr>
          <w:lang w:val="fr-CA" w:eastAsia="en-US" w:bidi="ar-SA"/>
        </w:rPr>
        <w:t>T</w:t>
      </w:r>
      <w:r w:rsidR="00FB7C66" w:rsidRPr="005041C8">
        <w:rPr>
          <w:lang w:val="fr-CA" w:eastAsia="en-US" w:bidi="ar-SA"/>
        </w:rPr>
        <w:t>résor de tous les pays de la zone euro dans ses opérations de refinancement avec les banques commerciales</w:t>
      </w:r>
      <w:r w:rsidR="001F0422" w:rsidRPr="005041C8">
        <w:rPr>
          <w:rStyle w:val="Appelnotedebasdep"/>
          <w:lang w:val="fr-CA" w:eastAsia="en-US" w:bidi="ar-SA"/>
        </w:rPr>
        <w:footnoteReference w:id="14"/>
      </w:r>
      <w:r w:rsidR="00850744">
        <w:rPr>
          <w:lang w:val="fr-CA" w:eastAsia="en-US" w:bidi="ar-SA"/>
        </w:rPr>
        <w:t xml:space="preserve"> (Gabor et Ban 2016</w:t>
      </w:r>
      <w:r w:rsidR="00FB7C66" w:rsidRPr="005041C8">
        <w:rPr>
          <w:lang w:val="fr-CA" w:eastAsia="en-US" w:bidi="ar-SA"/>
        </w:rPr>
        <w:t>).</w:t>
      </w:r>
      <w:r w:rsidR="001F0422" w:rsidRPr="005041C8">
        <w:rPr>
          <w:lang w:val="fr-CA" w:eastAsia="en-US" w:bidi="ar-SA"/>
        </w:rPr>
        <w:t xml:space="preserve"> </w:t>
      </w:r>
      <w:r w:rsidR="00E02AAD" w:rsidRPr="005041C8">
        <w:rPr>
          <w:lang w:val="fr-CA" w:eastAsia="en-US" w:bidi="ar-SA"/>
        </w:rPr>
        <w:t>Les participants aux marchés financiers ont alors davantage investi dans les pays périphériques comme la Grèce, l’Espagne ou l’Italie</w:t>
      </w:r>
      <w:r w:rsidR="009A182B">
        <w:rPr>
          <w:lang w:val="fr-CA" w:eastAsia="en-US" w:bidi="ar-SA"/>
        </w:rPr>
        <w:t xml:space="preserve"> car leurs titres de dette étaient </w:t>
      </w:r>
      <w:r w:rsidR="00B2106B">
        <w:rPr>
          <w:lang w:val="fr-CA" w:eastAsia="en-US" w:bidi="ar-SA"/>
        </w:rPr>
        <w:t xml:space="preserve">plus abondants et bon marché </w:t>
      </w:r>
      <w:r w:rsidR="009A182B">
        <w:rPr>
          <w:lang w:val="fr-CA" w:eastAsia="en-US" w:bidi="ar-SA"/>
        </w:rPr>
        <w:t xml:space="preserve">que les titres allemands et bénéficiaient du même traitement </w:t>
      </w:r>
      <w:r w:rsidR="00B2106B">
        <w:rPr>
          <w:lang w:val="fr-CA" w:eastAsia="en-US" w:bidi="ar-SA"/>
        </w:rPr>
        <w:t xml:space="preserve">dans les opérations de refinancement de la </w:t>
      </w:r>
      <w:r w:rsidR="009A182B">
        <w:rPr>
          <w:lang w:val="fr-CA" w:eastAsia="en-US" w:bidi="ar-SA"/>
        </w:rPr>
        <w:t>BCE</w:t>
      </w:r>
      <w:r w:rsidR="009222CA">
        <w:rPr>
          <w:lang w:val="fr-CA" w:eastAsia="en-US" w:bidi="ar-SA"/>
        </w:rPr>
        <w:t>.</w:t>
      </w:r>
      <w:r w:rsidR="00681FDE" w:rsidRPr="005041C8">
        <w:rPr>
          <w:lang w:val="fr-CA" w:eastAsia="en-US" w:bidi="ar-SA"/>
        </w:rPr>
        <w:t xml:space="preserve"> </w:t>
      </w:r>
      <w:r w:rsidR="009A182B">
        <w:rPr>
          <w:lang w:val="fr-CA" w:eastAsia="en-US" w:bidi="ar-SA"/>
        </w:rPr>
        <w:t>Ces mouvements de capitaux ont</w:t>
      </w:r>
      <w:r w:rsidR="00681FDE" w:rsidRPr="005041C8">
        <w:rPr>
          <w:lang w:val="fr-CA" w:eastAsia="en-US" w:bidi="ar-SA"/>
        </w:rPr>
        <w:t xml:space="preserve"> permis </w:t>
      </w:r>
      <w:r w:rsidR="001F0422" w:rsidRPr="005041C8">
        <w:rPr>
          <w:lang w:val="fr-CA" w:eastAsia="en-US" w:bidi="ar-SA"/>
        </w:rPr>
        <w:t>une convergence historique des taux d’intérêt des dettes souveraines des pays de la zone euro</w:t>
      </w:r>
      <w:r w:rsidR="007F54E0">
        <w:rPr>
          <w:lang w:val="fr-CA" w:eastAsia="en-US" w:bidi="ar-SA"/>
        </w:rPr>
        <w:t xml:space="preserve">, </w:t>
      </w:r>
      <w:r w:rsidR="001F0422" w:rsidRPr="005041C8">
        <w:rPr>
          <w:lang w:val="fr-CA" w:eastAsia="en-US" w:bidi="ar-SA"/>
        </w:rPr>
        <w:t xml:space="preserve">mais </w:t>
      </w:r>
      <w:r w:rsidR="009A182B">
        <w:rPr>
          <w:lang w:val="fr-CA" w:eastAsia="en-US" w:bidi="ar-SA"/>
        </w:rPr>
        <w:t>ils</w:t>
      </w:r>
      <w:r w:rsidR="00681FDE" w:rsidRPr="005041C8">
        <w:rPr>
          <w:lang w:val="fr-CA" w:eastAsia="en-US" w:bidi="ar-SA"/>
        </w:rPr>
        <w:t xml:space="preserve"> </w:t>
      </w:r>
      <w:r w:rsidR="009A182B">
        <w:rPr>
          <w:lang w:val="fr-CA" w:eastAsia="en-US" w:bidi="ar-SA"/>
        </w:rPr>
        <w:t>ont</w:t>
      </w:r>
      <w:r w:rsidR="001F0422" w:rsidRPr="005041C8">
        <w:rPr>
          <w:lang w:val="fr-CA" w:eastAsia="en-US" w:bidi="ar-SA"/>
        </w:rPr>
        <w:t xml:space="preserve"> aussi accru à la fois les déséquilibres économiques entre les pays</w:t>
      </w:r>
      <w:r w:rsidR="00B2106B">
        <w:rPr>
          <w:lang w:val="fr-CA" w:eastAsia="en-US" w:bidi="ar-SA"/>
        </w:rPr>
        <w:t>,</w:t>
      </w:r>
      <w:r w:rsidR="001F0422" w:rsidRPr="005041C8">
        <w:rPr>
          <w:lang w:val="fr-CA" w:eastAsia="en-US" w:bidi="ar-SA"/>
        </w:rPr>
        <w:t xml:space="preserve"> et la taille financière des banques</w:t>
      </w:r>
      <w:r w:rsidR="00B2106B">
        <w:t xml:space="preserve"> </w:t>
      </w:r>
      <w:r w:rsidR="00681FDE" w:rsidRPr="005041C8">
        <w:t>(Ahrend et al., 2008). En d’autres mots, au nom de l’intégration économique européenne, la BCE a encouragé l</w:t>
      </w:r>
      <w:r w:rsidRPr="005041C8">
        <w:t>'expansion financière des grandes banques allemandes et françaises, permise par l'émission importante de dettes des pays périphériques lors des dix premières années de la zone euro</w:t>
      </w:r>
      <w:r w:rsidR="009A182B">
        <w:t>.</w:t>
      </w:r>
      <w:r w:rsidRPr="005041C8">
        <w:t xml:space="preserve"> </w:t>
      </w:r>
      <w:r w:rsidR="009A182B">
        <w:t>C</w:t>
      </w:r>
      <w:r w:rsidRPr="005041C8">
        <w:t xml:space="preserve">e processus </w:t>
      </w:r>
      <w:r w:rsidR="009A182B">
        <w:t xml:space="preserve">est </w:t>
      </w:r>
      <w:r w:rsidRPr="005041C8">
        <w:t xml:space="preserve">le véritable facteur de la crise de la monnaie unique (Blyth 2013). </w:t>
      </w:r>
    </w:p>
    <w:p w14:paraId="0EC2E7BB" w14:textId="5A47F5A7" w:rsidR="00481E1F" w:rsidRPr="005041C8" w:rsidRDefault="00685C0C" w:rsidP="002F6779">
      <w:pPr>
        <w:spacing w:before="100" w:beforeAutospacing="1" w:after="100" w:afterAutospacing="1" w:line="360" w:lineRule="auto"/>
        <w:jc w:val="both"/>
      </w:pPr>
      <w:r w:rsidRPr="005041C8">
        <w:t xml:space="preserve">Ensuite, </w:t>
      </w:r>
      <w:r w:rsidR="00681FDE" w:rsidRPr="005041C8">
        <w:t xml:space="preserve">la </w:t>
      </w:r>
      <w:r w:rsidR="005F28B9" w:rsidRPr="005041C8">
        <w:t xml:space="preserve">complexité perçue du monde de la finance a </w:t>
      </w:r>
      <w:r w:rsidR="00681FDE" w:rsidRPr="005041C8">
        <w:t>eng</w:t>
      </w:r>
      <w:r w:rsidR="005F28B9" w:rsidRPr="005041C8">
        <w:t>endré</w:t>
      </w:r>
      <w:r w:rsidR="00681FDE" w:rsidRPr="005041C8">
        <w:t xml:space="preserve"> </w:t>
      </w:r>
      <w:r w:rsidR="005F28B9" w:rsidRPr="005041C8">
        <w:t>une</w:t>
      </w:r>
      <w:r w:rsidRPr="005041C8">
        <w:t xml:space="preserve"> scientifisation </w:t>
      </w:r>
      <w:r w:rsidR="005F28B9" w:rsidRPr="005041C8">
        <w:t xml:space="preserve">accrue </w:t>
      </w:r>
      <w:r w:rsidR="00B2106B">
        <w:t xml:space="preserve">des </w:t>
      </w:r>
      <w:r w:rsidR="00B2106B">
        <w:lastRenderedPageBreak/>
        <w:t xml:space="preserve">questions monétaires, qui </w:t>
      </w:r>
      <w:r w:rsidRPr="005041C8">
        <w:t xml:space="preserve">a permis aux banquiers centraux de disqualifier les critiques extérieures à leur profession </w:t>
      </w:r>
      <w:r w:rsidR="00B2106B">
        <w:t>(</w:t>
      </w:r>
      <w:r w:rsidRPr="005041C8">
        <w:t>Marcussen, 2009, p.377). Cette stratégie</w:t>
      </w:r>
      <w:r w:rsidR="00B2106B">
        <w:t xml:space="preserve"> courante </w:t>
      </w:r>
      <w:r w:rsidRPr="005041C8">
        <w:t xml:space="preserve">pour des </w:t>
      </w:r>
      <w:r w:rsidR="00B2106B">
        <w:t>institutions régulatrices indépendantes</w:t>
      </w:r>
      <w:r w:rsidRPr="005041C8">
        <w:t>, leur permet d'obtenir une légitimité auprès des acteurs élus, qui s'accentue en fonction du degré de complexité perçu de leur domaine d'expertise (Radaelli, 1999). Par conséquent, plus les affaires financières sont perçues comme complexes, plus l'autorité experte des banquiers centraux est reconnue (Dyson</w:t>
      </w:r>
      <w:r w:rsidR="00850744">
        <w:t xml:space="preserve"> et Marcussen</w:t>
      </w:r>
      <w:r w:rsidRPr="005041C8">
        <w:t>, 2009, p.9).</w:t>
      </w:r>
      <w:r w:rsidR="005F28B9" w:rsidRPr="005041C8">
        <w:t xml:space="preserve"> </w:t>
      </w:r>
      <w:r w:rsidR="00481E1F" w:rsidRPr="005041C8">
        <w:t>Cette association peut ainsi expliquer le soutien des banquiers centraux à l’expansion financière pendant les dix premières années de la zone euro.</w:t>
      </w:r>
    </w:p>
    <w:p w14:paraId="5C48BB47" w14:textId="5E5688CD" w:rsidR="005F28B9" w:rsidRPr="005041C8" w:rsidRDefault="00481E1F" w:rsidP="002F6779">
      <w:pPr>
        <w:spacing w:before="100" w:beforeAutospacing="1" w:after="100" w:afterAutospacing="1" w:line="360" w:lineRule="auto"/>
        <w:jc w:val="both"/>
      </w:pPr>
      <w:r w:rsidRPr="005041C8">
        <w:t>Enfin</w:t>
      </w:r>
      <w:r w:rsidR="005F28B9" w:rsidRPr="005041C8">
        <w:t>, l</w:t>
      </w:r>
      <w:r w:rsidR="00685C0C" w:rsidRPr="005041C8">
        <w:t xml:space="preserve">es trajectoires de carrière passées (effet de socialisation) </w:t>
      </w:r>
      <w:r w:rsidR="004130EC" w:rsidRPr="005041C8">
        <w:t>et les choix de carrière futurs</w:t>
      </w:r>
      <w:r w:rsidR="00685C0C" w:rsidRPr="005041C8">
        <w:t xml:space="preserve"> (effet de porte tournante) des banquiers centraux influencent leurs décisions en faveur d'un de </w:t>
      </w:r>
      <w:r w:rsidR="004130EC" w:rsidRPr="005041C8">
        <w:t xml:space="preserve">leurs </w:t>
      </w:r>
      <w:r w:rsidR="00685C0C" w:rsidRPr="005041C8">
        <w:t>deu</w:t>
      </w:r>
      <w:r w:rsidRPr="005041C8">
        <w:t>x anciens ou futurs employeurs</w:t>
      </w:r>
      <w:r w:rsidR="00685C0C" w:rsidRPr="005041C8">
        <w:t xml:space="preserve"> (les marchés financiers et les gouvernements)</w:t>
      </w:r>
      <w:r w:rsidR="005F28B9" w:rsidRPr="005041C8">
        <w:t xml:space="preserve"> (Ahrend, 2013)</w:t>
      </w:r>
      <w:r w:rsidR="00685C0C" w:rsidRPr="005041C8">
        <w:t xml:space="preserve">. </w:t>
      </w:r>
      <w:r w:rsidR="000F28F9">
        <w:t xml:space="preserve">Or, depuis la diffusion du modèle de la BCI, </w:t>
      </w:r>
      <w:r w:rsidR="0008023E">
        <w:t>les compétences et l’e</w:t>
      </w:r>
      <w:r w:rsidR="00957AEA">
        <w:t>xpérience en matière financière</w:t>
      </w:r>
      <w:r w:rsidR="0008023E">
        <w:t xml:space="preserve"> sont </w:t>
      </w:r>
      <w:r w:rsidR="009243DC">
        <w:t xml:space="preserve">plus </w:t>
      </w:r>
      <w:r w:rsidR="0008023E">
        <w:t>valorisé</w:t>
      </w:r>
      <w:r w:rsidR="00890653">
        <w:t>e</w:t>
      </w:r>
      <w:r w:rsidR="0008023E">
        <w:t>s</w:t>
      </w:r>
      <w:r w:rsidR="00A24B19">
        <w:t xml:space="preserve">, </w:t>
      </w:r>
      <w:r w:rsidR="0008023E">
        <w:t>car les banques centr</w:t>
      </w:r>
      <w:r w:rsidR="00957AEA">
        <w:t xml:space="preserve">ales se reposent </w:t>
      </w:r>
      <w:r w:rsidR="00890653">
        <w:t xml:space="preserve">plus </w:t>
      </w:r>
      <w:r w:rsidR="00957AEA">
        <w:t xml:space="preserve">sur </w:t>
      </w:r>
      <w:r w:rsidR="0008023E">
        <w:t>l</w:t>
      </w:r>
      <w:r w:rsidR="00957AEA">
        <w:t xml:space="preserve">es </w:t>
      </w:r>
      <w:r w:rsidR="0008023E">
        <w:t>m</w:t>
      </w:r>
      <w:r w:rsidR="00957AEA">
        <w:t>a</w:t>
      </w:r>
      <w:r w:rsidR="0008023E">
        <w:t xml:space="preserve">rchés financiers pour transmettre leur politique monétaire. Par conséquent, </w:t>
      </w:r>
      <w:r w:rsidR="00934D50">
        <w:t xml:space="preserve">les trajectoires de carrière des banquiers centraux </w:t>
      </w:r>
      <w:r w:rsidR="00EB2F77">
        <w:t xml:space="preserve">ont été </w:t>
      </w:r>
      <w:r w:rsidR="0008023E">
        <w:t xml:space="preserve">plus </w:t>
      </w:r>
      <w:r w:rsidR="00EB2F77">
        <w:t>connectées avec les institutions financières</w:t>
      </w:r>
      <w:r w:rsidR="007E51A9">
        <w:t> ; l</w:t>
      </w:r>
      <w:r w:rsidR="0008023E">
        <w:t xml:space="preserve">a composition </w:t>
      </w:r>
      <w:r w:rsidR="007E51A9">
        <w:t>du directoire de la BCE</w:t>
      </w:r>
      <w:r w:rsidR="00F20E2A">
        <w:t xml:space="preserve"> </w:t>
      </w:r>
      <w:r w:rsidR="0008023E">
        <w:t xml:space="preserve">depuis sa création </w:t>
      </w:r>
      <w:r w:rsidR="00F20E2A">
        <w:t>reflète cette dynamique</w:t>
      </w:r>
      <w:r w:rsidR="00EB2F77">
        <w:t xml:space="preserve"> (</w:t>
      </w:r>
      <w:r w:rsidR="009243DC">
        <w:t>Kalaitzake, 2018</w:t>
      </w:r>
      <w:r w:rsidR="00EB2F77">
        <w:t xml:space="preserve">). </w:t>
      </w:r>
      <w:r w:rsidR="00890653">
        <w:t xml:space="preserve">Ces trajectoires constituent ainsi un élément d’explication supplémentaire sur le soutien de la BCE à l’expansion financière de la zone euro. </w:t>
      </w:r>
    </w:p>
    <w:p w14:paraId="0132620A" w14:textId="1EE4059C" w:rsidR="00F46879" w:rsidRDefault="00013D84" w:rsidP="002F6779">
      <w:pPr>
        <w:spacing w:before="100" w:beforeAutospacing="1" w:after="100" w:afterAutospacing="1" w:line="360" w:lineRule="auto"/>
        <w:jc w:val="both"/>
      </w:pPr>
      <w:r>
        <w:t>En somme</w:t>
      </w:r>
      <w:r w:rsidR="00685C0C" w:rsidRPr="005041C8">
        <w:t xml:space="preserve">, </w:t>
      </w:r>
      <w:r w:rsidR="005F28B9" w:rsidRPr="005041C8">
        <w:t>le soutien actif de la BCE à l’expansion financière dans la zone euro</w:t>
      </w:r>
      <w:r w:rsidR="009D6923" w:rsidRPr="005041C8">
        <w:t xml:space="preserve"> </w:t>
      </w:r>
      <w:r w:rsidR="00503B1B" w:rsidRPr="005041C8">
        <w:t>contraste fortement avec la défense de son indépendance face aux autorités politiques.</w:t>
      </w:r>
      <w:r w:rsidR="00890653">
        <w:t xml:space="preserve"> </w:t>
      </w:r>
      <w:r w:rsidR="0014365D">
        <w:t>Ce contraste s’explique principalement par des raisons stratégiques et idéelles</w:t>
      </w:r>
      <w:r w:rsidR="00F46879">
        <w:t xml:space="preserve"> liées à la diffusion du modèle de la banque centrale indépendante et à </w:t>
      </w:r>
      <w:r w:rsidR="00DB3D3A">
        <w:t>l’hétérogénéité</w:t>
      </w:r>
      <w:r w:rsidR="00F46879">
        <w:t xml:space="preserve"> de la zone euro. D’une part, la BCE doit construire une réputation d’indépendance envers les autorités politiques afin d’être « crédible » aux yeux des participants des marchés financiers</w:t>
      </w:r>
      <w:r w:rsidR="00DB3D3A">
        <w:t xml:space="preserve">. D’autre part, la BCE a soutenu l’expansion financière pour assurer la bonne transmission de sa politique monétaire dans une zone monétaire hétérogène et pour des raisons idéelles liées à l’affirmation de son autorité experte et aux trajectoires professionnelles de ses dirigeants. </w:t>
      </w:r>
      <w:r w:rsidR="00F46879">
        <w:t xml:space="preserve">   </w:t>
      </w:r>
    </w:p>
    <w:p w14:paraId="1B42D614" w14:textId="79F58488" w:rsidR="00163F6F" w:rsidRPr="005041C8" w:rsidRDefault="00503B1B" w:rsidP="002F6779">
      <w:pPr>
        <w:spacing w:before="100" w:beforeAutospacing="1" w:after="100" w:afterAutospacing="1" w:line="360" w:lineRule="auto"/>
        <w:jc w:val="both"/>
      </w:pPr>
      <w:r w:rsidRPr="005041C8">
        <w:t xml:space="preserve">Si ce soutien a </w:t>
      </w:r>
      <w:r w:rsidR="00990F1B" w:rsidRPr="005041C8">
        <w:t>permis la convergence des taux d’intérêt des dettes souveraines</w:t>
      </w:r>
      <w:r w:rsidR="00350452">
        <w:t xml:space="preserve"> pendant les dix premières années de la monnaie unique</w:t>
      </w:r>
      <w:r w:rsidRPr="005041C8">
        <w:t xml:space="preserve">, il </w:t>
      </w:r>
      <w:r w:rsidR="009D6923" w:rsidRPr="005041C8">
        <w:t>explique</w:t>
      </w:r>
      <w:r w:rsidRPr="005041C8">
        <w:t xml:space="preserve"> aussi les graves déséquilibres économiques et </w:t>
      </w:r>
      <w:r w:rsidRPr="005041C8">
        <w:lastRenderedPageBreak/>
        <w:t>fi</w:t>
      </w:r>
      <w:r w:rsidR="00990F1B" w:rsidRPr="005041C8">
        <w:t xml:space="preserve">nanciers ayant </w:t>
      </w:r>
      <w:r w:rsidR="009A182B">
        <w:t xml:space="preserve">provoqué </w:t>
      </w:r>
      <w:r w:rsidR="00990F1B" w:rsidRPr="005041C8">
        <w:t>la crise de la zone euro.</w:t>
      </w:r>
      <w:r w:rsidR="0014365D">
        <w:t xml:space="preserve"> La suite de ce chapitre expose le soutien de la BCE </w:t>
      </w:r>
      <w:r w:rsidR="001F670B">
        <w:t>aux intérêts financiers</w:t>
      </w:r>
      <w:r w:rsidR="0014365D">
        <w:t xml:space="preserve"> pendant la crise de la zone euro dans ses interactions avec les </w:t>
      </w:r>
      <w:r w:rsidR="00013D84">
        <w:t xml:space="preserve">États </w:t>
      </w:r>
      <w:r w:rsidR="0014365D">
        <w:t>membres et leurs institutions financières</w:t>
      </w:r>
    </w:p>
    <w:p w14:paraId="2F5EE813" w14:textId="5C366DCB" w:rsidR="00163F6F" w:rsidRPr="005041C8" w:rsidRDefault="00685C0C" w:rsidP="002F6779">
      <w:pPr>
        <w:pStyle w:val="Titre2"/>
        <w:spacing w:before="100" w:beforeAutospacing="1" w:after="100" w:afterAutospacing="1" w:line="360" w:lineRule="auto"/>
        <w:jc w:val="both"/>
      </w:pPr>
      <w:r w:rsidRPr="005041C8">
        <w:t>II. La mise à distance de la gouvernance économique des logiques électorales.</w:t>
      </w:r>
    </w:p>
    <w:p w14:paraId="1C57BC41" w14:textId="47353ECA" w:rsidR="00163F6F" w:rsidRPr="005041C8" w:rsidRDefault="00685C0C" w:rsidP="002F6779">
      <w:pPr>
        <w:spacing w:before="100" w:beforeAutospacing="1" w:after="100" w:afterAutospacing="1" w:line="360" w:lineRule="auto"/>
        <w:jc w:val="both"/>
      </w:pPr>
      <w:r w:rsidRPr="005041C8">
        <w:t>Pendant le processus de résolution de la crise, la BCE a pu exercer une contrainte directe sans précédent sur les politiques publiques des États</w:t>
      </w:r>
      <w:r w:rsidR="00013D84">
        <w:t xml:space="preserve"> </w:t>
      </w:r>
      <w:r w:rsidRPr="005041C8">
        <w:t xml:space="preserve">membres de la zone euro de deux manières : par la conditionnalité liée à ses instruments monétaires et par sa participation aux groupes d'experts de la troïka. Dans les deux cas, la BCE est autonome dans la définition de cette contrainte, même si elle doit respecter un cadre légal et même si la responsabilité de la gouvernance économique de la zone Euro reste partagée avec d'autres acteurs. </w:t>
      </w:r>
      <w:r w:rsidR="002D069F">
        <w:t>Cette</w:t>
      </w:r>
      <w:r w:rsidRPr="005041C8">
        <w:t xml:space="preserve"> contrainte prend alors un caractère hautement coercitif : un refus de ses conditions p</w:t>
      </w:r>
      <w:r w:rsidR="002D069F">
        <w:t>ourrait</w:t>
      </w:r>
      <w:r w:rsidRPr="005041C8">
        <w:t xml:space="preserve"> entraîner un écroulement des systèmes bancaires nationaux ou une sortie de la zone euro. Pour ces raisons, l'étude des contraintes imposées aux États en difficulté financière permet de dégager les effets voulus de la BCE dans son utilisation stratégique et cognitive de la crise.</w:t>
      </w:r>
    </w:p>
    <w:p w14:paraId="12D11FD7" w14:textId="0F5E3F80" w:rsidR="00163F6F" w:rsidRPr="005041C8" w:rsidRDefault="00685C0C" w:rsidP="002F6779">
      <w:pPr>
        <w:pStyle w:val="Titre3"/>
        <w:spacing w:before="100" w:beforeAutospacing="1" w:after="100" w:afterAutospacing="1" w:line="360" w:lineRule="auto"/>
        <w:jc w:val="both"/>
      </w:pPr>
      <w:r w:rsidRPr="005041C8">
        <w:t>La conditionnalité liée aux instruments monétaires</w:t>
      </w:r>
    </w:p>
    <w:p w14:paraId="7098D9BB" w14:textId="0AD130F3" w:rsidR="004130EC" w:rsidRPr="005041C8" w:rsidRDefault="00685C0C" w:rsidP="002F6779">
      <w:pPr>
        <w:spacing w:before="100" w:beforeAutospacing="1" w:after="100" w:afterAutospacing="1" w:line="360" w:lineRule="auto"/>
        <w:jc w:val="both"/>
      </w:pPr>
      <w:r w:rsidRPr="005041C8">
        <w:t>Depuis 2010, la BCE est devenue de manière officieuse le pr</w:t>
      </w:r>
      <w:r w:rsidR="00013D84">
        <w:t>ê</w:t>
      </w:r>
      <w:r w:rsidRPr="005041C8">
        <w:t>teur en dernier ressort des États et des institutions bancai</w:t>
      </w:r>
      <w:r w:rsidR="009D6923" w:rsidRPr="005041C8">
        <w:t>res (Buiter et Rabhari, 2012) :</w:t>
      </w:r>
      <w:r w:rsidRPr="005041C8">
        <w:t xml:space="preserve"> quand ceux-ci n'arrivent plus à se refinancer sur les marchés, elle s'assure qu'ils ne manquent pas de liquidités. Dans cet exercice, la BCE doit s'assurer qu'elle ne crée pas d'aléa moral en permettant la survie</w:t>
      </w:r>
      <w:r w:rsidR="00A02DFD" w:rsidRPr="005041C8">
        <w:t xml:space="preserve"> des</w:t>
      </w:r>
      <w:r w:rsidRPr="005041C8">
        <w:t xml:space="preserve"> institutions ayant des problèmes de solvabilité. Trois types d'instruments ont été mobilisés pour assurer ce soutien : les opérations d'achat de titres sur les marchés secondaires, les opérations de refinancement à long terme et les offres exceptionnelles de liquidité aux banques. Dans le but d'éviter les risques d'aléa moral, la BCE impose une conditionnalité dans la mis</w:t>
      </w:r>
      <w:r w:rsidR="002D069F">
        <w:t xml:space="preserve">e en œuvre de ces instruments ; </w:t>
      </w:r>
      <w:r w:rsidRPr="005041C8">
        <w:t>celle-ci se comprend néanmoins mieux par les effets voulus dans son usage de la crise que par la volonté de contrôle de l'aléa moral.</w:t>
      </w:r>
    </w:p>
    <w:p w14:paraId="32E74F92" w14:textId="3731609E" w:rsidR="008245A0" w:rsidRPr="005041C8" w:rsidRDefault="00685C0C" w:rsidP="002F6779">
      <w:pPr>
        <w:spacing w:before="100" w:beforeAutospacing="1" w:after="100" w:afterAutospacing="1" w:line="360" w:lineRule="auto"/>
        <w:jc w:val="both"/>
      </w:pPr>
      <w:r w:rsidRPr="005041C8">
        <w:t xml:space="preserve">D'abord, les </w:t>
      </w:r>
      <w:r w:rsidR="002D069F">
        <w:t xml:space="preserve">programmes de rachat de titres </w:t>
      </w:r>
      <w:r w:rsidRPr="005041C8">
        <w:t>de la BCE</w:t>
      </w:r>
      <w:r w:rsidR="004130EC" w:rsidRPr="005041C8">
        <w:t xml:space="preserve"> sont au nombre de trois :</w:t>
      </w:r>
      <w:r w:rsidR="004130EC" w:rsidRPr="005041C8">
        <w:rPr>
          <w:rStyle w:val="FootnoteAnchor"/>
        </w:rPr>
        <w:t xml:space="preserve"> </w:t>
      </w:r>
      <w:r w:rsidR="004130EC" w:rsidRPr="005041C8">
        <w:t xml:space="preserve">Securities Market </w:t>
      </w:r>
      <w:r w:rsidR="004130EC" w:rsidRPr="005041C8">
        <w:lastRenderedPageBreak/>
        <w:t>Program (SMP) débuté en mai 2010, Outright Monetary Transactions (OMT) annoncé en septembre 2012 et le Quantitative Easing (QE) annoncé en janvier 2015. Leur but</w:t>
      </w:r>
      <w:r w:rsidRPr="005041C8">
        <w:t xml:space="preserve"> est de diminuer les coûts de refinancement de</w:t>
      </w:r>
      <w:r w:rsidR="005930ED">
        <w:t>s dettes publiques</w:t>
      </w:r>
      <w:r w:rsidR="004130EC" w:rsidRPr="005041C8">
        <w:t xml:space="preserve"> sur les marchés</w:t>
      </w:r>
      <w:r w:rsidRPr="005041C8">
        <w:t xml:space="preserve"> </w:t>
      </w:r>
      <w:r w:rsidR="004130EC" w:rsidRPr="005041C8">
        <w:t xml:space="preserve">et ils </w:t>
      </w:r>
      <w:r w:rsidRPr="005041C8">
        <w:t>ont tous été associés à une mise en œuvre de réformes visant à réduire les dépenses étatiques et à flexibiliser les marchés du travail dans les pays en difficulté financière. Dans le cas du SMP, les épisodes des lettres envoyées aux gouvernements italiens et espagnols pendant l'été 2011 qui ont abouti, entre autres, à la démission de S. Berlusconi sont documentés (Fontan, 2013). L'OMT n'a jamais été activé, mais sa mise en œuvre est conditionnelle à une demande d’assistance financière envers le Mécanisme Européen de Solidarité (MES) et au respect des réformes qui y sont associées. Le cas du QE est un peu plus complexe</w:t>
      </w:r>
      <w:r w:rsidR="009A182B">
        <w:t>, car il s'agit d'un programme de rachat des titres de dette de l’ensemble des pays de la zone euro, destiné à combattre les risques de déflation qui pèsent sur la zone euro depuis 2012</w:t>
      </w:r>
      <w:r w:rsidRPr="005041C8">
        <w:t xml:space="preserve">. Cependant, la BCE précise </w:t>
      </w:r>
      <w:r w:rsidR="006C2D88" w:rsidRPr="005041C8">
        <w:t>que l’achat des titres de dette est conditionné à leur acceptabilité dans ses opérations de refinancement</w:t>
      </w:r>
      <w:r w:rsidR="002D069F">
        <w:t>.</w:t>
      </w:r>
      <w:r w:rsidR="00FA0826" w:rsidRPr="005041C8">
        <w:t xml:space="preserve"> </w:t>
      </w:r>
      <w:r w:rsidR="002D069F">
        <w:t>P</w:t>
      </w:r>
      <w:r w:rsidR="006C2D88" w:rsidRPr="005041C8">
        <w:t>our être éligible, la dette souveraine d’un pays doit obtenir une note «</w:t>
      </w:r>
      <w:r w:rsidR="002D069F">
        <w:t xml:space="preserve"> </w:t>
      </w:r>
      <w:r w:rsidR="006C2D88" w:rsidRPr="005041C8">
        <w:t xml:space="preserve">d’investissement » par au moins une des quatre agences de notation sélectionnées par la BCE. </w:t>
      </w:r>
      <w:r w:rsidR="008245A0" w:rsidRPr="005041C8">
        <w:t xml:space="preserve">Par exemple, pendant l’épisode d’instabilité gouvernementale portugaise, seule une des agences de notation continuait de donner cette note au Portugal. </w:t>
      </w:r>
      <w:r w:rsidR="006C2D88" w:rsidRPr="005041C8">
        <w:t xml:space="preserve">Si toutefois </w:t>
      </w:r>
      <w:r w:rsidR="008245A0" w:rsidRPr="005041C8">
        <w:t>cette agence avait abaissé sa note</w:t>
      </w:r>
      <w:r w:rsidR="00AE28D8" w:rsidRPr="005041C8">
        <w:t>, la BCE aurait pu</w:t>
      </w:r>
      <w:r w:rsidR="006C2D88" w:rsidRPr="005041C8">
        <w:t xml:space="preserve"> décider</w:t>
      </w:r>
      <w:r w:rsidR="00AE28D8" w:rsidRPr="005041C8">
        <w:t xml:space="preserve"> </w:t>
      </w:r>
      <w:r w:rsidR="006C2D88" w:rsidRPr="005041C8">
        <w:t>de continuer</w:t>
      </w:r>
      <w:r w:rsidR="00AE28D8" w:rsidRPr="005041C8">
        <w:t xml:space="preserve">, sous réserve que le pays concerné mette en œuvre certaines réformes définies unilatéralement par la BCE. </w:t>
      </w:r>
      <w:r w:rsidR="008245A0" w:rsidRPr="005041C8">
        <w:t>En d’autres mots, la conditionnalité du QE n’est pas systémique</w:t>
      </w:r>
      <w:r w:rsidR="007F54E0">
        <w:t xml:space="preserve">, </w:t>
      </w:r>
      <w:r w:rsidR="008245A0" w:rsidRPr="005041C8">
        <w:t xml:space="preserve">mais elle reste explicite pour les pays </w:t>
      </w:r>
      <w:r w:rsidR="00AE28D8" w:rsidRPr="005041C8">
        <w:t>n’ayant pas la confiance des marchés financiers</w:t>
      </w:r>
      <w:r w:rsidR="008245A0" w:rsidRPr="005041C8">
        <w:t xml:space="preserve">.  </w:t>
      </w:r>
    </w:p>
    <w:p w14:paraId="4D18B9BF" w14:textId="767885D7" w:rsidR="008245A0" w:rsidRPr="005041C8" w:rsidRDefault="00685C0C" w:rsidP="002F6779">
      <w:pPr>
        <w:spacing w:before="100" w:beforeAutospacing="1" w:after="100" w:afterAutospacing="1" w:line="360" w:lineRule="auto"/>
        <w:jc w:val="both"/>
      </w:pPr>
      <w:r w:rsidRPr="005041C8">
        <w:t xml:space="preserve">Ensuite, </w:t>
      </w:r>
      <w:r w:rsidR="009A182B">
        <w:t xml:space="preserve">la BCE a utilisé trois fois son </w:t>
      </w:r>
      <w:r w:rsidRPr="005041C8">
        <w:t>instrument de prêts exceptionnels aux banques</w:t>
      </w:r>
      <w:r w:rsidRPr="005041C8">
        <w:rPr>
          <w:rStyle w:val="FootnoteAnchor"/>
        </w:rPr>
        <w:footnoteReference w:id="15"/>
      </w:r>
      <w:r w:rsidRPr="005041C8">
        <w:t xml:space="preserve"> pour contraindre les États à demander un programme d’assistance financière</w:t>
      </w:r>
      <w:r w:rsidR="0083062F">
        <w:t xml:space="preserve"> : </w:t>
      </w:r>
      <w:r w:rsidRPr="005041C8">
        <w:t>en Irlande en novembre 2010</w:t>
      </w:r>
      <w:r w:rsidRPr="005041C8">
        <w:rPr>
          <w:rStyle w:val="FootnoteAnchor"/>
        </w:rPr>
        <w:footnoteReference w:id="16"/>
      </w:r>
      <w:r w:rsidR="008316F8" w:rsidRPr="005041C8">
        <w:t>,</w:t>
      </w:r>
      <w:r w:rsidRPr="005041C8">
        <w:t xml:space="preserve"> à Chypre en mars 2013</w:t>
      </w:r>
      <w:r w:rsidR="008316F8" w:rsidRPr="005041C8">
        <w:t xml:space="preserve"> et en Grèce à l’été 2015</w:t>
      </w:r>
      <w:r w:rsidRPr="005041C8">
        <w:t>. Dans les deux</w:t>
      </w:r>
      <w:r w:rsidR="008316F8" w:rsidRPr="005041C8">
        <w:t xml:space="preserve"> premiers</w:t>
      </w:r>
      <w:r w:rsidRPr="005041C8">
        <w:t xml:space="preserve"> cas, la BCE estimait que le secteur bancaire de ces pays ponctionnait une partie trop importante de son offre de liquidité, ce qui justifiait leur recapitalisation grâce à une assistance financière de la zone euro. Précisons que la taille démesurée du secteur bancaire de ces deux pays rendait impossible une recapitalisation par les fonds publics disponibles, ce qui explique le caractère coercitif des </w:t>
      </w:r>
      <w:r w:rsidRPr="005041C8">
        <w:lastRenderedPageBreak/>
        <w:t xml:space="preserve">demandes de la BCE. </w:t>
      </w:r>
      <w:r w:rsidR="008316F8" w:rsidRPr="005041C8">
        <w:t xml:space="preserve">Dans le cas grec, </w:t>
      </w:r>
      <w:r w:rsidR="005930ED">
        <w:t>elle a utilisé cet instrument</w:t>
      </w:r>
      <w:r w:rsidRPr="005041C8">
        <w:t xml:space="preserve"> comme moyen de pression pour forcer le go</w:t>
      </w:r>
      <w:r w:rsidR="00B63271">
        <w:t xml:space="preserve">uvernement </w:t>
      </w:r>
      <w:r w:rsidR="00383C9E">
        <w:t>de gauche radicale Syriza</w:t>
      </w:r>
      <w:r w:rsidR="00B63271">
        <w:t xml:space="preserve"> </w:t>
      </w:r>
      <w:r w:rsidRPr="005041C8">
        <w:t>à signer un nouvel accord d’assistance financière avec ses partenaires européens</w:t>
      </w:r>
      <w:r w:rsidR="008316F8" w:rsidRPr="005041C8">
        <w:t>,</w:t>
      </w:r>
      <w:r w:rsidRPr="005041C8">
        <w:t xml:space="preserve"> </w:t>
      </w:r>
      <w:r w:rsidR="008316F8" w:rsidRPr="005041C8">
        <w:t>malgré l’avis contraire des citoyens exprimés lors du référendum du 27 juin 2015.</w:t>
      </w:r>
    </w:p>
    <w:p w14:paraId="6FEA0673" w14:textId="08B3845E" w:rsidR="00163F6F" w:rsidRPr="005041C8" w:rsidRDefault="00685C0C" w:rsidP="002F6779">
      <w:pPr>
        <w:spacing w:before="100" w:beforeAutospacing="1" w:after="100" w:afterAutospacing="1" w:line="360" w:lineRule="auto"/>
        <w:jc w:val="both"/>
      </w:pPr>
      <w:r w:rsidRPr="005041C8">
        <w:t xml:space="preserve">Enfin, </w:t>
      </w:r>
      <w:r w:rsidR="00184924" w:rsidRPr="005041C8">
        <w:t>l</w:t>
      </w:r>
      <w:r w:rsidRPr="005041C8">
        <w:t xml:space="preserve">a BCE </w:t>
      </w:r>
      <w:r w:rsidR="00013D84">
        <w:t>est autonome dans la définition d</w:t>
      </w:r>
      <w:r w:rsidRPr="005041C8">
        <w:t>es titres qu'elle peut accepter ou non dans ses opérations de refinancement</w:t>
      </w:r>
      <w:r w:rsidR="00184924" w:rsidRPr="005041C8">
        <w:t xml:space="preserve"> avec les banques commerciales</w:t>
      </w:r>
      <w:r w:rsidRPr="005041C8">
        <w:t>. Elle peut ainsi faire pression sur les États en menaçant de ne plus accepter certains bons du trésor, ce qui aurait un effet immédiat sur leur valeur, et par là sur le bilan des banques qui les détiennent. Or, dès mars 2010, la BCE s'est positionné</w:t>
      </w:r>
      <w:r w:rsidR="00013D84">
        <w:t xml:space="preserve">e </w:t>
      </w:r>
      <w:r w:rsidRPr="005041C8">
        <w:t>unilatéralement contre la restructuration de la dette grecque que proposait pourtant le FMI du fait du caractère insoutenable de la dette grecque et des coûts sociaux qu'impliquerait un remboursement entier de celle-ci (</w:t>
      </w:r>
      <w:bookmarkStart w:id="1" w:name="__DdeLink__12373_809702066"/>
      <w:r w:rsidRPr="005041C8">
        <w:t>Blustein 2015</w:t>
      </w:r>
      <w:bookmarkEnd w:id="1"/>
      <w:r w:rsidRPr="005041C8">
        <w:t xml:space="preserve">, p. 11). Il s’en est suivi le premier plan d’aide à la Grèce de mai 2010 qui écartait toute restructuration de la dette publique grecque. Ce refus s'est ensuite traduit par la menace à l'été 2011 de ne plus accepter les titres grecs comme contreparties à ses opérations monétaires alors que les dirigeants européens envisageaient cette option de manière systématique pour l'ensemble des dettes souveraines. Finalement, une restructuration de la dette publique grecque a bien eu lieu en 2012, mais les titres détenus par la BCE n'ont pas été concernés, et cette option est </w:t>
      </w:r>
      <w:r w:rsidR="00184924" w:rsidRPr="005041C8">
        <w:t>restée</w:t>
      </w:r>
      <w:r w:rsidRPr="005041C8">
        <w:t xml:space="preserve"> limitée à cet événement. </w:t>
      </w:r>
    </w:p>
    <w:p w14:paraId="0D84BD51" w14:textId="07495934" w:rsidR="00184924" w:rsidRPr="005041C8" w:rsidRDefault="00685C0C" w:rsidP="002F6779">
      <w:pPr>
        <w:spacing w:before="100" w:beforeAutospacing="1" w:after="100" w:afterAutospacing="1" w:line="360" w:lineRule="auto"/>
        <w:jc w:val="both"/>
      </w:pPr>
      <w:r w:rsidRPr="005041C8">
        <w:t>Quelles ont été les raisons ayant poussé la BCE à se positionner fortement contr</w:t>
      </w:r>
      <w:r w:rsidR="00E845F6">
        <w:t>e une restructuration des dettes souveraines</w:t>
      </w:r>
      <w:r w:rsidRPr="005041C8">
        <w:t>, au point de considérer que poursuivre cette option révélerait de « fortes tendances masochistes</w:t>
      </w:r>
      <w:r w:rsidRPr="005041C8">
        <w:rPr>
          <w:rStyle w:val="FootnoteAnchor"/>
        </w:rPr>
        <w:footnoteReference w:id="17"/>
      </w:r>
      <w:r w:rsidRPr="005041C8">
        <w:t> » ? Selon les dirigeants de la BCE, les pays européens sont solvables et devraient simplement mettre en œuvre les réformes demandées</w:t>
      </w:r>
      <w:r w:rsidR="009222CA">
        <w:t>.</w:t>
      </w:r>
      <w:r w:rsidRPr="005041C8">
        <w:t xml:space="preserve"> </w:t>
      </w:r>
      <w:r w:rsidR="009222CA">
        <w:t>U</w:t>
      </w:r>
      <w:r w:rsidRPr="005041C8">
        <w:t xml:space="preserve">ne restructuration ne provoquerait qu'une baisse de confiance de la part des investisseurs et entraînerait une contagion systémique au reste des pays de la zone euro. Une explication alternative tient au fait que, quand une banque centrale détient des bons du </w:t>
      </w:r>
      <w:r w:rsidR="00013D84">
        <w:t>T</w:t>
      </w:r>
      <w:r w:rsidRPr="005041C8">
        <w:t>résor d'un pays</w:t>
      </w:r>
      <w:r w:rsidRPr="005041C8">
        <w:rPr>
          <w:rStyle w:val="FootnoteAnchor"/>
        </w:rPr>
        <w:footnoteReference w:id="18"/>
      </w:r>
      <w:r w:rsidRPr="005041C8">
        <w:t>, elle adopte un comportement d'investisseur</w:t>
      </w:r>
      <w:r w:rsidR="00E845F6">
        <w:t>,</w:t>
      </w:r>
      <w:r w:rsidRPr="005041C8">
        <w:t xml:space="preserve"> par peur de pertes éventuelles </w:t>
      </w:r>
      <w:r w:rsidR="00E845F6">
        <w:t>sur</w:t>
      </w:r>
      <w:r w:rsidRPr="005041C8">
        <w:t xml:space="preserve"> son bilan (Mehrling, 2010). </w:t>
      </w:r>
      <w:r w:rsidR="00184924" w:rsidRPr="005041C8">
        <w:t>De plus</w:t>
      </w:r>
      <w:r w:rsidRPr="005041C8">
        <w:t xml:space="preserve">, les </w:t>
      </w:r>
      <w:r w:rsidR="00850744">
        <w:t>autorités de la zone euro concèdent</w:t>
      </w:r>
      <w:r w:rsidRPr="005041C8">
        <w:t xml:space="preserve"> que cette option masquait </w:t>
      </w:r>
      <w:r w:rsidR="00850744">
        <w:t xml:space="preserve">aussi </w:t>
      </w:r>
      <w:r w:rsidRPr="005041C8">
        <w:t>un sauvetage des détenteurs de la dette grecque, soit, à ce moment, les grandes banques françaises et allemandes (</w:t>
      </w:r>
      <w:r w:rsidR="00850744">
        <w:t>Fontan et Saurugger, 2019</w:t>
      </w:r>
      <w:r w:rsidRPr="005041C8">
        <w:t xml:space="preserve">). Dans l'ensemble des hypothèses, la protection des investisseurs et le gain de leur confiance </w:t>
      </w:r>
      <w:r w:rsidRPr="005041C8">
        <w:lastRenderedPageBreak/>
        <w:t>ont primé sur les problèmes de soutenabilité de la dette grecque et sur les coûts sociaux et économiques liés à son remboursement intégral</w:t>
      </w:r>
      <w:r w:rsidRPr="005041C8">
        <w:rPr>
          <w:rStyle w:val="FootnoteAnchor"/>
        </w:rPr>
        <w:footnoteReference w:id="19"/>
      </w:r>
      <w:r w:rsidRPr="005041C8">
        <w:t>.</w:t>
      </w:r>
    </w:p>
    <w:p w14:paraId="45DC9C2A" w14:textId="08280789" w:rsidR="00163F6F" w:rsidRPr="005041C8" w:rsidRDefault="0083062F" w:rsidP="002F6779">
      <w:pPr>
        <w:spacing w:before="100" w:beforeAutospacing="1" w:after="100" w:afterAutospacing="1" w:line="360" w:lineRule="auto"/>
        <w:jc w:val="both"/>
      </w:pPr>
      <w:r>
        <w:t>En somme</w:t>
      </w:r>
      <w:r w:rsidR="00685C0C" w:rsidRPr="005041C8">
        <w:t>,</w:t>
      </w:r>
      <w:r w:rsidR="00184924" w:rsidRPr="005041C8">
        <w:t xml:space="preserve"> si</w:t>
      </w:r>
      <w:r w:rsidR="00685C0C" w:rsidRPr="005041C8">
        <w:t xml:space="preserve"> la pression exercée par les marchés sur les dettes souveraines en temps de crise et l'absence de fonds mutualisés européens d'ampleur suffisante </w:t>
      </w:r>
      <w:bookmarkStart w:id="2" w:name="_GoBack"/>
      <w:bookmarkEnd w:id="2"/>
      <w:r w:rsidR="00685C0C" w:rsidRPr="005041C8">
        <w:t xml:space="preserve">ont causé l'intervention de la BCE, </w:t>
      </w:r>
      <w:r w:rsidR="00184924" w:rsidRPr="005041C8">
        <w:t>ces facteurs</w:t>
      </w:r>
      <w:r w:rsidR="00685C0C" w:rsidRPr="005041C8">
        <w:t xml:space="preserve"> n'expliquent pas la forme de la conditionnalité demandée par celle-ci aux </w:t>
      </w:r>
      <w:r w:rsidR="00184924" w:rsidRPr="005041C8">
        <w:t>États</w:t>
      </w:r>
      <w:r w:rsidR="00685C0C" w:rsidRPr="005041C8">
        <w:t xml:space="preserve">, </w:t>
      </w:r>
      <w:r w:rsidR="00013D84">
        <w:t>plus</w:t>
      </w:r>
      <w:r w:rsidR="00685C0C" w:rsidRPr="005041C8">
        <w:t xml:space="preserve"> destinée à regagner la confiance des marchés qu'à résoudre leurs problèmes </w:t>
      </w:r>
      <w:r w:rsidR="00444186">
        <w:t>économiques structurels</w:t>
      </w:r>
      <w:r w:rsidR="00685C0C" w:rsidRPr="005041C8">
        <w:t xml:space="preserve">. Cette conditionnalité a été approuvée </w:t>
      </w:r>
      <w:r w:rsidR="00444186" w:rsidRPr="005041C8">
        <w:t xml:space="preserve">par </w:t>
      </w:r>
      <w:r w:rsidR="00444186">
        <w:t>la majorité des pays de la zone euro</w:t>
      </w:r>
      <w:r w:rsidR="00444186" w:rsidRPr="005041C8">
        <w:t xml:space="preserve"> </w:t>
      </w:r>
      <w:r w:rsidR="00444186">
        <w:t>de manière explicite</w:t>
      </w:r>
      <w:r w:rsidR="00685C0C" w:rsidRPr="005041C8">
        <w:t xml:space="preserve"> (dans le cas d'une demande d'aide financière au M</w:t>
      </w:r>
      <w:r w:rsidR="00444186">
        <w:t xml:space="preserve">écanisme Européen de </w:t>
      </w:r>
      <w:r w:rsidR="00685C0C" w:rsidRPr="005041C8">
        <w:t>S</w:t>
      </w:r>
      <w:r w:rsidR="00444186">
        <w:t>tabilité</w:t>
      </w:r>
      <w:r w:rsidR="00685C0C" w:rsidRPr="005041C8">
        <w:t xml:space="preserve">) ou </w:t>
      </w:r>
      <w:r w:rsidR="0047018E" w:rsidRPr="005041C8">
        <w:t>implicitement</w:t>
      </w:r>
      <w:r w:rsidR="00685C0C" w:rsidRPr="005041C8">
        <w:t xml:space="preserve"> (dans le cas des pressions bilatérales)</w:t>
      </w:r>
      <w:r w:rsidR="009E623B">
        <w:t>. Au sein du Conseil Européen, l’Allemagne joue un rôle de veto-player car son accord est indispensable pour toute réforme de la gouvernance économique</w:t>
      </w:r>
      <w:r w:rsidR="001F670B">
        <w:rPr>
          <w:rStyle w:val="Appelnotedebasdep"/>
        </w:rPr>
        <w:footnoteReference w:id="20"/>
      </w:r>
      <w:r w:rsidR="009E623B">
        <w:t xml:space="preserve"> (</w:t>
      </w:r>
      <w:r w:rsidR="001F670B">
        <w:t>Hall, 2012</w:t>
      </w:r>
      <w:r w:rsidR="009E623B">
        <w:t>)</w:t>
      </w:r>
      <w:r w:rsidR="00C40FE1">
        <w:t xml:space="preserve">. Cependant, l’action de la BCE n’est pas </w:t>
      </w:r>
      <w:r w:rsidR="00685C0C" w:rsidRPr="005041C8">
        <w:t>qu'un simple reflet de la vision des autorités allemandes</w:t>
      </w:r>
      <w:r>
        <w:t xml:space="preserve"> comme le montrent les exemples de la restr</w:t>
      </w:r>
      <w:r w:rsidR="0047018E">
        <w:t xml:space="preserve">ucturation de la dette grecque </w:t>
      </w:r>
      <w:r>
        <w:t>et de la mise en œuvre de programmes d’achats de titres souverains qui ont suscité de fortes résistances au sein des milieux conservateurs allemands (Högenauer et Howarth, 2016).</w:t>
      </w:r>
      <w:r w:rsidR="00685C0C" w:rsidRPr="005041C8">
        <w:t xml:space="preserve"> </w:t>
      </w:r>
    </w:p>
    <w:p w14:paraId="6527C64A" w14:textId="34DF8C7C" w:rsidR="00163F6F" w:rsidRPr="005041C8" w:rsidRDefault="00685C0C" w:rsidP="002F6779">
      <w:pPr>
        <w:pStyle w:val="Titre3"/>
        <w:spacing w:before="100" w:beforeAutospacing="1" w:after="100" w:afterAutospacing="1" w:line="360" w:lineRule="auto"/>
        <w:jc w:val="both"/>
      </w:pPr>
      <w:r w:rsidRPr="005041C8">
        <w:t>B. La présence de la BCE au sein de la troïka</w:t>
      </w:r>
    </w:p>
    <w:p w14:paraId="04562BB6" w14:textId="7F1D4EDB" w:rsidR="00163F6F" w:rsidRPr="005041C8" w:rsidRDefault="00685C0C" w:rsidP="002F6779">
      <w:pPr>
        <w:spacing w:before="100" w:beforeAutospacing="1" w:after="100" w:afterAutospacing="1" w:line="360" w:lineRule="auto"/>
        <w:jc w:val="both"/>
      </w:pPr>
      <w:r w:rsidRPr="005041C8">
        <w:t xml:space="preserve">Quatre pays de la zone euro (Grèce, Irlande, Chypre, Portugal) ont dû demander une aide financière auprès des autorités européennes pendant la crise, soit sous forme de prêts bilatéraux directs par les autres pays, soit auprès de fonds de mutualisation financés par les États (MES). Dans chacun de ces cas, le versement des prêts est conditionné à un certain nombre de réformes dont la mise en œuvre est surveillée par des groupes d'experts de la troïka (FMI, DG </w:t>
      </w:r>
      <w:proofErr w:type="spellStart"/>
      <w:r w:rsidRPr="005041C8">
        <w:t>Ecfin</w:t>
      </w:r>
      <w:proofErr w:type="spellEnd"/>
      <w:r w:rsidRPr="005041C8">
        <w:t xml:space="preserve"> de la Commission, BCE) sous l'autorité du Conseil Européen. Les objectifs généraux des programmes sont définis de manière préalable par le Conseil Européen et sont ensuite négociés en détail dans des </w:t>
      </w:r>
      <w:proofErr w:type="spellStart"/>
      <w:r w:rsidRPr="005041C8">
        <w:rPr>
          <w:i/>
        </w:rPr>
        <w:t>Memorandum</w:t>
      </w:r>
      <w:proofErr w:type="spellEnd"/>
      <w:r w:rsidRPr="005041C8">
        <w:rPr>
          <w:i/>
        </w:rPr>
        <w:t xml:space="preserve"> of </w:t>
      </w:r>
      <w:proofErr w:type="spellStart"/>
      <w:r w:rsidRPr="005041C8">
        <w:rPr>
          <w:i/>
        </w:rPr>
        <w:t>Understanding</w:t>
      </w:r>
      <w:proofErr w:type="spellEnd"/>
      <w:r w:rsidRPr="005041C8">
        <w:t xml:space="preserve"> (</w:t>
      </w:r>
      <w:proofErr w:type="spellStart"/>
      <w:r w:rsidRPr="005041C8">
        <w:t>MoU</w:t>
      </w:r>
      <w:proofErr w:type="spellEnd"/>
      <w:r w:rsidRPr="005041C8">
        <w:t xml:space="preserve">) négociés entre la troïka et les autorités nationales et révisés périodiquement. Les </w:t>
      </w:r>
      <w:proofErr w:type="spellStart"/>
      <w:r w:rsidRPr="005041C8">
        <w:t>MoU</w:t>
      </w:r>
      <w:proofErr w:type="spellEnd"/>
      <w:r w:rsidRPr="005041C8">
        <w:t xml:space="preserve"> doivent être signés par l'ensemble des partis politiques pouvant accéder </w:t>
      </w:r>
      <w:r w:rsidRPr="005041C8">
        <w:lastRenderedPageBreak/>
        <w:t>au pouvoir afin d'isoler la mise en œuvre des réformes des résultats électoraux. Deux questions structurent cette analyse : la BCE a</w:t>
      </w:r>
      <w:r w:rsidR="00013D84">
        <w:t>-</w:t>
      </w:r>
      <w:r w:rsidRPr="005041C8">
        <w:t>t-elle joué un rôle important au sein de la troïka et, si oui, quels sont les effets voulus par les banquiers centraux ?</w:t>
      </w:r>
    </w:p>
    <w:p w14:paraId="003FA554" w14:textId="080F65EF" w:rsidR="004E3A3B" w:rsidRPr="005041C8" w:rsidRDefault="00685C0C" w:rsidP="002F6779">
      <w:pPr>
        <w:spacing w:before="100" w:beforeAutospacing="1" w:after="100" w:afterAutospacing="1" w:line="360" w:lineRule="auto"/>
        <w:jc w:val="both"/>
      </w:pPr>
      <w:r w:rsidRPr="005041C8">
        <w:t>D'abord, si le pouvoir de création monétaire et la reconnaissance de son expertise explique</w:t>
      </w:r>
      <w:r w:rsidR="00013D84">
        <w:t xml:space="preserve">nt </w:t>
      </w:r>
      <w:r w:rsidRPr="005041C8">
        <w:t>la participation de la BCE à la troïka (Fontan, 2013), elle n'a pas de compétences dans la majorité des domaines de politiques publiques concernés par les réformes. Pour cette raison, les dirigeants de la BCE ont constamment rappelé que leur contribution était limitée au domaine bancaire et financier et qu'ils n'occupaient que « le siège passager » au sein de la troïka</w:t>
      </w:r>
      <w:r w:rsidRPr="005041C8">
        <w:rPr>
          <w:rStyle w:val="FootnoteAnchor"/>
        </w:rPr>
        <w:footnoteReference w:id="21"/>
      </w:r>
      <w:r w:rsidRPr="005041C8">
        <w:t xml:space="preserve">. Cependant, </w:t>
      </w:r>
      <w:r w:rsidR="0047018E">
        <w:t xml:space="preserve">un rapport d’initiative </w:t>
      </w:r>
      <w:r w:rsidRPr="005041C8">
        <w:t>du Parlement Européen a noté le 13 mars 2014 que la BCE dépassait de loin ses compétences monétaires en participant à la définition d’un vaste éventail de réformes s’étendant de la libéralisation de secteurs professionnels aux politiques de santé</w:t>
      </w:r>
      <w:r w:rsidRPr="005041C8">
        <w:rPr>
          <w:rStyle w:val="FootnoteAnchor"/>
        </w:rPr>
        <w:footnoteReference w:id="22"/>
      </w:r>
      <w:r w:rsidRPr="005041C8">
        <w:t xml:space="preserve">  et qu'elle devrait se cantonner à un rôle d'observateur silencieux. </w:t>
      </w:r>
    </w:p>
    <w:p w14:paraId="7DC87688" w14:textId="2AAE16E8" w:rsidR="00184924" w:rsidRPr="005041C8" w:rsidRDefault="00685C0C" w:rsidP="002F6779">
      <w:pPr>
        <w:spacing w:before="100" w:beforeAutospacing="1" w:after="100" w:afterAutospacing="1" w:line="360" w:lineRule="auto"/>
        <w:jc w:val="both"/>
      </w:pPr>
      <w:r w:rsidRPr="005041C8">
        <w:t xml:space="preserve">Par ailleurs, </w:t>
      </w:r>
      <w:r w:rsidR="00163C92">
        <w:t>dans son opinion prélim</w:t>
      </w:r>
      <w:r w:rsidR="00D849E2">
        <w:t>inaire</w:t>
      </w:r>
      <w:r w:rsidR="00D849E2" w:rsidRPr="00D849E2">
        <w:t xml:space="preserve"> </w:t>
      </w:r>
      <w:r w:rsidR="00D849E2" w:rsidRPr="005041C8">
        <w:t>sur la légalité de l'OMT</w:t>
      </w:r>
      <w:r w:rsidR="00D849E2">
        <w:t xml:space="preserve">, un </w:t>
      </w:r>
      <w:r w:rsidRPr="005041C8">
        <w:t xml:space="preserve">avocat général de la Cour de justice s’est exprimé </w:t>
      </w:r>
      <w:r w:rsidR="00184924" w:rsidRPr="005041C8">
        <w:t xml:space="preserve">en janvier 2015 </w:t>
      </w:r>
      <w:r w:rsidRPr="005041C8">
        <w:t>sur la participation de la B</w:t>
      </w:r>
      <w:r w:rsidR="00AE28D8" w:rsidRPr="005041C8">
        <w:t>CE aux groupes d’experts de la t</w:t>
      </w:r>
      <w:r w:rsidR="003F5199">
        <w:t>roïka</w:t>
      </w:r>
      <w:r w:rsidRPr="005041C8">
        <w:t>. Il estime que « le rôle significatif</w:t>
      </w:r>
      <w:r w:rsidR="003F5199">
        <w:rPr>
          <w:rStyle w:val="Appelnotedebasdep"/>
        </w:rPr>
        <w:footnoteReference w:id="23"/>
      </w:r>
      <w:r w:rsidRPr="005041C8">
        <w:t> » joué par la BCE dans la conception, l’adoption et la surveillance des programmes d’assistance financière (c’est à dire dans la troïka) brouille la distinction entre politiques fiscales et monétaires; par conséquent, il serait « fondamental » qu’elle s’abstienne d’y participer directement</w:t>
      </w:r>
      <w:r w:rsidR="00471C59">
        <w:t xml:space="preserve">. Cependant, dans son </w:t>
      </w:r>
      <w:r w:rsidR="001E0A52">
        <w:t>arrêt</w:t>
      </w:r>
      <w:r w:rsidR="00471C59">
        <w:t>, la C</w:t>
      </w:r>
      <w:r w:rsidR="001E0A52">
        <w:t xml:space="preserve">our de Justice </w:t>
      </w:r>
      <w:r w:rsidR="00471C59">
        <w:t xml:space="preserve">n’a pas </w:t>
      </w:r>
      <w:r w:rsidR="001E0A52">
        <w:t>suivi</w:t>
      </w:r>
      <w:r w:rsidR="00471C59">
        <w:t xml:space="preserve"> la préconisation de son avocat général et elle n’a pas repris </w:t>
      </w:r>
      <w:r w:rsidR="00F17D39">
        <w:t>sa recommandation de retrait de la BCE de la troïka. Ce jugement final ne nie pas le rôle fondamental joué par la BCE au sein de la troïka, au contraire la Cour estime que sa participation est positive dans la mesure où elle a permis de renforcer la conditionnalité des programmes d’assist</w:t>
      </w:r>
      <w:r w:rsidR="00163C92">
        <w:t>ance financière (Sarmiento, 2016, p.</w:t>
      </w:r>
      <w:r w:rsidR="00F17D39">
        <w:t xml:space="preserve"> 53). </w:t>
      </w:r>
      <w:r w:rsidR="00471C59">
        <w:t xml:space="preserve"> </w:t>
      </w:r>
    </w:p>
    <w:p w14:paraId="335E75C0" w14:textId="60792EBC" w:rsidR="004E3A3B" w:rsidRPr="005041C8" w:rsidRDefault="00685C0C" w:rsidP="002F6779">
      <w:pPr>
        <w:spacing w:before="100" w:beforeAutospacing="1" w:after="100" w:afterAutospacing="1" w:line="360" w:lineRule="auto"/>
        <w:jc w:val="both"/>
      </w:pPr>
      <w:r w:rsidRPr="005041C8">
        <w:t>Ensuite, les effets voulus par la troïka ont d'abord consisté à regagner la « confiance » des marchés par la mise en œuvre de mesures d'austérité</w:t>
      </w:r>
      <w:r w:rsidRPr="005041C8">
        <w:rPr>
          <w:rStyle w:val="FootnoteAnchor"/>
        </w:rPr>
        <w:footnoteReference w:id="24"/>
      </w:r>
      <w:r w:rsidRPr="005041C8">
        <w:t xml:space="preserve">. Cette orientation est d'abord due aux institutions </w:t>
      </w:r>
      <w:r w:rsidRPr="005041C8">
        <w:lastRenderedPageBreak/>
        <w:t>européennes qui tendent à demander des conditions plus strictes en se souciant moins des coûts sociaux et économiques que le FMI, comme le montre une recherche s</w:t>
      </w:r>
      <w:r w:rsidR="00163C92">
        <w:t xml:space="preserve">ur les groupes d'experts de la </w:t>
      </w:r>
      <w:r w:rsidRPr="005041C8">
        <w:t xml:space="preserve">troïka envoyés dans les </w:t>
      </w:r>
      <w:r w:rsidR="00B666A8">
        <w:t xml:space="preserve">pays d’Europe Centrale en 2008 </w:t>
      </w:r>
      <w:r w:rsidRPr="005041C8">
        <w:t>(</w:t>
      </w:r>
      <w:proofErr w:type="spellStart"/>
      <w:r w:rsidRPr="005041C8">
        <w:t>Lütz</w:t>
      </w:r>
      <w:proofErr w:type="spellEnd"/>
      <w:r w:rsidRPr="005041C8">
        <w:t xml:space="preserve"> et </w:t>
      </w:r>
      <w:proofErr w:type="spellStart"/>
      <w:r w:rsidRPr="005041C8">
        <w:t>Kranke</w:t>
      </w:r>
      <w:proofErr w:type="spellEnd"/>
      <w:r w:rsidRPr="005041C8">
        <w:t xml:space="preserve">, 2014). </w:t>
      </w:r>
      <w:r w:rsidR="00B666A8">
        <w:t>Les recherches menées sur le fonctionnement interne de la troïka pendant la crise de la zone euro confirment que la BCE a été l’institution</w:t>
      </w:r>
      <w:r w:rsidR="00771181">
        <w:t xml:space="preserve"> demandant le plus de coupes budgétaires en Grèce tout en étant la plus opposée à la perspective d’une restructuration des dette souveraines (Henning, 2017, p.108)</w:t>
      </w:r>
      <w:r w:rsidRPr="005041C8">
        <w:t xml:space="preserve">. </w:t>
      </w:r>
    </w:p>
    <w:p w14:paraId="402984A7" w14:textId="216BB1EC" w:rsidR="002F6779" w:rsidRPr="005041C8" w:rsidRDefault="005F7C3F" w:rsidP="002F6779">
      <w:pPr>
        <w:spacing w:before="100" w:beforeAutospacing="1" w:after="100" w:afterAutospacing="1" w:line="360" w:lineRule="auto"/>
        <w:jc w:val="both"/>
      </w:pPr>
      <w:r w:rsidRPr="005041C8">
        <w:t xml:space="preserve">La BCE a ainsi </w:t>
      </w:r>
      <w:r w:rsidR="00076336">
        <w:t>joué un rôle déterminant dans la mise en œuvre des politiques d’austérité dans les pays en difficulté financière pour gagner la confiance des marchés financiers</w:t>
      </w:r>
      <w:r w:rsidRPr="005041C8">
        <w:t xml:space="preserve">. </w:t>
      </w:r>
      <w:r w:rsidR="00045DDE">
        <w:t>Cette stratégie</w:t>
      </w:r>
      <w:r w:rsidR="005930ED">
        <w:t xml:space="preserve"> a</w:t>
      </w:r>
      <w:r w:rsidRPr="005041C8">
        <w:t xml:space="preserve"> entrainé une baisse importante des dépenses publiques dans des secteurs comme la santé</w:t>
      </w:r>
      <w:r w:rsidR="004E3A3B" w:rsidRPr="005041C8">
        <w:rPr>
          <w:rStyle w:val="Appelnotedebasdep"/>
        </w:rPr>
        <w:footnoteReference w:id="25"/>
      </w:r>
      <w:r w:rsidRPr="005041C8">
        <w:t xml:space="preserve"> et l’éducation </w:t>
      </w:r>
      <w:r w:rsidR="00AE28D8" w:rsidRPr="005041C8">
        <w:t>ainsi</w:t>
      </w:r>
      <w:r w:rsidR="004E3A3B" w:rsidRPr="005041C8">
        <w:t xml:space="preserve"> qu’une baisse</w:t>
      </w:r>
      <w:r w:rsidRPr="005041C8">
        <w:t xml:space="preserve"> du pouvoir d’achat d’un nombre important de </w:t>
      </w:r>
      <w:proofErr w:type="spellStart"/>
      <w:r w:rsidRPr="005041C8">
        <w:t>citoyen</w:t>
      </w:r>
      <w:r w:rsidR="00380E70">
        <w:t>.ne.</w:t>
      </w:r>
      <w:r w:rsidRPr="005041C8">
        <w:t>s</w:t>
      </w:r>
      <w:proofErr w:type="spellEnd"/>
      <w:r w:rsidRPr="005041C8">
        <w:t>, dont les foncti</w:t>
      </w:r>
      <w:r w:rsidR="004E3A3B" w:rsidRPr="005041C8">
        <w:t>onnaires publics. Pourtant, la baisse de dépenses publiques dans ces secteurs entraîne des coûts sociaux et économique</w:t>
      </w:r>
      <w:r w:rsidR="005930ED">
        <w:t xml:space="preserve">s </w:t>
      </w:r>
      <w:r w:rsidR="004E3A3B" w:rsidRPr="005041C8">
        <w:t>plus élevés à moyen et long terme, par la hausse de la mortalité présente et future au sein des populations dont l’accès aux soins est restreint (</w:t>
      </w:r>
      <w:proofErr w:type="spellStart"/>
      <w:r w:rsidR="004E3A3B" w:rsidRPr="005041C8">
        <w:t>Stuckler</w:t>
      </w:r>
      <w:proofErr w:type="spellEnd"/>
      <w:r w:rsidR="004E3A3B" w:rsidRPr="005041C8">
        <w:t xml:space="preserve"> et </w:t>
      </w:r>
      <w:proofErr w:type="spellStart"/>
      <w:r w:rsidR="004E3A3B" w:rsidRPr="005041C8">
        <w:t>Basu</w:t>
      </w:r>
      <w:proofErr w:type="spellEnd"/>
      <w:r w:rsidR="004E3A3B" w:rsidRPr="005041C8">
        <w:t>, 2014) et par les tendances déflationnistes qu’elle provoque</w:t>
      </w:r>
      <w:r w:rsidR="004E3A3B" w:rsidRPr="005041C8">
        <w:rPr>
          <w:rStyle w:val="Appelnotedebasdep"/>
        </w:rPr>
        <w:footnoteReference w:id="26"/>
      </w:r>
      <w:r w:rsidR="004E3A3B" w:rsidRPr="005041C8">
        <w:t xml:space="preserve"> (Blyth, 2013)</w:t>
      </w:r>
      <w:r w:rsidR="00AE28D8" w:rsidRPr="005041C8">
        <w:t xml:space="preserve">. De plus, </w:t>
      </w:r>
      <w:r w:rsidR="00045DDE">
        <w:t>la volonté de gagner la confiance des marchés financiers a aussi rendu moins prioritaires d’autres réformes</w:t>
      </w:r>
      <w:r w:rsidR="00AE28D8" w:rsidRPr="005041C8">
        <w:t>, telles que la lutte contre l'évasion fiscale</w:t>
      </w:r>
      <w:r w:rsidR="00AE28D8" w:rsidRPr="005041C8">
        <w:rPr>
          <w:rStyle w:val="FootnoteAnchor"/>
        </w:rPr>
        <w:footnoteReference w:id="27"/>
      </w:r>
      <w:r w:rsidR="00AE28D8" w:rsidRPr="005041C8">
        <w:t xml:space="preserve">, qui auraient pu pourtant diminuer les inégalités économiques, et, </w:t>
      </w:r>
      <w:r w:rsidR="00380E70" w:rsidRPr="005041C8">
        <w:t>par-là</w:t>
      </w:r>
      <w:r w:rsidR="00AE28D8" w:rsidRPr="005041C8">
        <w:t xml:space="preserve">, soutenir la croissance à moyen terme (OECD, 2015, p.128). </w:t>
      </w:r>
    </w:p>
    <w:p w14:paraId="2987EAFA" w14:textId="4D94B73A" w:rsidR="005930ED" w:rsidRPr="0083062F" w:rsidRDefault="005930ED" w:rsidP="002F6779">
      <w:pPr>
        <w:pStyle w:val="Titre2"/>
        <w:spacing w:before="100" w:beforeAutospacing="1" w:after="100" w:afterAutospacing="1" w:line="360" w:lineRule="auto"/>
        <w:jc w:val="both"/>
        <w:rPr>
          <w:b w:val="0"/>
          <w:bCs w:val="0"/>
          <w:sz w:val="24"/>
          <w:szCs w:val="24"/>
        </w:rPr>
      </w:pPr>
      <w:r w:rsidRPr="00487A28">
        <w:rPr>
          <w:b w:val="0"/>
          <w:sz w:val="24"/>
          <w:szCs w:val="24"/>
        </w:rPr>
        <w:t xml:space="preserve">En somme, </w:t>
      </w:r>
      <w:r w:rsidR="00380E70">
        <w:rPr>
          <w:b w:val="0"/>
          <w:sz w:val="24"/>
          <w:szCs w:val="24"/>
        </w:rPr>
        <w:t xml:space="preserve">dans un contexte de responsabilité partagée </w:t>
      </w:r>
      <w:r w:rsidR="00685C0C" w:rsidRPr="00487A28">
        <w:rPr>
          <w:b w:val="0"/>
          <w:sz w:val="24"/>
          <w:szCs w:val="24"/>
        </w:rPr>
        <w:t xml:space="preserve">avec </w:t>
      </w:r>
      <w:r w:rsidR="00380E70">
        <w:rPr>
          <w:b w:val="0"/>
          <w:sz w:val="24"/>
          <w:szCs w:val="24"/>
        </w:rPr>
        <w:t>le Conseil Européen, l</w:t>
      </w:r>
      <w:r w:rsidR="00685C0C" w:rsidRPr="00487A28">
        <w:rPr>
          <w:b w:val="0"/>
          <w:sz w:val="24"/>
          <w:szCs w:val="24"/>
        </w:rPr>
        <w:t xml:space="preserve">es </w:t>
      </w:r>
      <w:r w:rsidR="00380E70">
        <w:rPr>
          <w:b w:val="0"/>
          <w:sz w:val="24"/>
          <w:szCs w:val="24"/>
        </w:rPr>
        <w:t>autres membres de la troïka et l</w:t>
      </w:r>
      <w:r w:rsidR="00685C0C" w:rsidRPr="00487A28">
        <w:rPr>
          <w:b w:val="0"/>
          <w:sz w:val="24"/>
          <w:szCs w:val="24"/>
        </w:rPr>
        <w:t xml:space="preserve">es autorités nationales </w:t>
      </w:r>
      <w:r w:rsidR="000D2A52" w:rsidRPr="00487A28">
        <w:rPr>
          <w:b w:val="0"/>
          <w:sz w:val="24"/>
          <w:szCs w:val="24"/>
        </w:rPr>
        <w:t>concernées</w:t>
      </w:r>
      <w:r w:rsidR="00380E70">
        <w:rPr>
          <w:b w:val="0"/>
          <w:sz w:val="24"/>
          <w:szCs w:val="24"/>
        </w:rPr>
        <w:t>,</w:t>
      </w:r>
      <w:r w:rsidR="000D2A52" w:rsidRPr="00487A28">
        <w:rPr>
          <w:b w:val="0"/>
          <w:sz w:val="24"/>
          <w:szCs w:val="24"/>
        </w:rPr>
        <w:t> </w:t>
      </w:r>
      <w:r w:rsidR="00380E70" w:rsidRPr="00487A28">
        <w:rPr>
          <w:b w:val="0"/>
          <w:sz w:val="24"/>
          <w:szCs w:val="24"/>
        </w:rPr>
        <w:t>la BCE a atteint ses effets voulus dans son utilisation de la crise</w:t>
      </w:r>
      <w:r w:rsidR="000D2A52" w:rsidRPr="00487A28">
        <w:rPr>
          <w:b w:val="0"/>
          <w:sz w:val="24"/>
          <w:szCs w:val="24"/>
        </w:rPr>
        <w:t>:</w:t>
      </w:r>
      <w:r w:rsidR="00685C0C" w:rsidRPr="00487A28">
        <w:rPr>
          <w:b w:val="0"/>
          <w:sz w:val="24"/>
          <w:szCs w:val="24"/>
        </w:rPr>
        <w:t xml:space="preserve"> les marchés financiers ont été rassurés</w:t>
      </w:r>
      <w:r w:rsidR="000D2A52" w:rsidRPr="00487A28">
        <w:rPr>
          <w:b w:val="0"/>
          <w:sz w:val="24"/>
          <w:szCs w:val="24"/>
        </w:rPr>
        <w:t xml:space="preserve"> et les bilans comptables des grandes banques européennes ont été stabilisés</w:t>
      </w:r>
      <w:r w:rsidR="00685C0C" w:rsidRPr="00487A28">
        <w:rPr>
          <w:b w:val="0"/>
          <w:sz w:val="24"/>
          <w:szCs w:val="24"/>
        </w:rPr>
        <w:t xml:space="preserve">. Ainsi, le </w:t>
      </w:r>
      <w:r w:rsidR="00FB5E9A">
        <w:rPr>
          <w:b w:val="0"/>
          <w:sz w:val="24"/>
          <w:szCs w:val="24"/>
        </w:rPr>
        <w:t>Portugal,</w:t>
      </w:r>
      <w:r w:rsidR="00685C0C" w:rsidRPr="00487A28">
        <w:rPr>
          <w:b w:val="0"/>
          <w:sz w:val="24"/>
          <w:szCs w:val="24"/>
        </w:rPr>
        <w:t xml:space="preserve"> l'Irlande </w:t>
      </w:r>
      <w:r w:rsidR="00FB5E9A">
        <w:rPr>
          <w:b w:val="0"/>
          <w:sz w:val="24"/>
          <w:szCs w:val="24"/>
        </w:rPr>
        <w:t xml:space="preserve">et la Grèce </w:t>
      </w:r>
      <w:r w:rsidR="00685C0C" w:rsidRPr="00487A28">
        <w:rPr>
          <w:b w:val="0"/>
          <w:sz w:val="24"/>
          <w:szCs w:val="24"/>
        </w:rPr>
        <w:t>réempruntent sur les marchés et les taux d'emprunt des pays européens sont bien plus faibles qu'en 2010.</w:t>
      </w:r>
      <w:r w:rsidR="000D2A52" w:rsidRPr="00487A28">
        <w:rPr>
          <w:b w:val="0"/>
          <w:sz w:val="24"/>
          <w:szCs w:val="24"/>
        </w:rPr>
        <w:t xml:space="preserve"> Cependant, la priorité donnée </w:t>
      </w:r>
      <w:r w:rsidRPr="00487A28">
        <w:rPr>
          <w:b w:val="0"/>
          <w:sz w:val="24"/>
          <w:szCs w:val="24"/>
        </w:rPr>
        <w:t>à la stabilisation</w:t>
      </w:r>
      <w:r w:rsidR="00BD1BC0" w:rsidRPr="00487A28">
        <w:rPr>
          <w:b w:val="0"/>
          <w:sz w:val="24"/>
          <w:szCs w:val="24"/>
        </w:rPr>
        <w:t xml:space="preserve"> financière au moyen d’une contrainte forte exe</w:t>
      </w:r>
      <w:r w:rsidRPr="00487A28">
        <w:rPr>
          <w:b w:val="0"/>
          <w:sz w:val="24"/>
          <w:szCs w:val="24"/>
        </w:rPr>
        <w:t>rcée su</w:t>
      </w:r>
      <w:r w:rsidR="00BD1BC0" w:rsidRPr="00487A28">
        <w:rPr>
          <w:b w:val="0"/>
          <w:sz w:val="24"/>
          <w:szCs w:val="24"/>
        </w:rPr>
        <w:t xml:space="preserve">r la définition des programmes sociaux et économiques des </w:t>
      </w:r>
      <w:r w:rsidRPr="00487A28">
        <w:rPr>
          <w:b w:val="0"/>
          <w:sz w:val="24"/>
          <w:szCs w:val="24"/>
        </w:rPr>
        <w:t>États</w:t>
      </w:r>
      <w:r w:rsidR="00BD1BC0" w:rsidRPr="00487A28">
        <w:rPr>
          <w:b w:val="0"/>
          <w:sz w:val="24"/>
          <w:szCs w:val="24"/>
        </w:rPr>
        <w:t xml:space="preserve"> a eu un coût social et </w:t>
      </w:r>
      <w:r w:rsidR="00BD1BC0" w:rsidRPr="00487A28">
        <w:rPr>
          <w:b w:val="0"/>
          <w:sz w:val="24"/>
          <w:szCs w:val="24"/>
        </w:rPr>
        <w:lastRenderedPageBreak/>
        <w:t>humain certain sur le moyen et long terme</w:t>
      </w:r>
      <w:r w:rsidRPr="0083062F">
        <w:rPr>
          <w:b w:val="0"/>
          <w:bCs w:val="0"/>
          <w:sz w:val="24"/>
          <w:szCs w:val="24"/>
        </w:rPr>
        <w:t>.</w:t>
      </w:r>
    </w:p>
    <w:p w14:paraId="3B6E9AC6" w14:textId="183B2767" w:rsidR="00163F6F" w:rsidRPr="005041C8" w:rsidRDefault="00685C0C" w:rsidP="002F6779">
      <w:pPr>
        <w:pStyle w:val="Titre2"/>
        <w:spacing w:before="100" w:beforeAutospacing="1" w:after="100" w:afterAutospacing="1" w:line="360" w:lineRule="auto"/>
        <w:jc w:val="both"/>
      </w:pPr>
      <w:r w:rsidRPr="005041C8">
        <w:t>III. La stabilisation de la finance, à tout prix</w:t>
      </w:r>
    </w:p>
    <w:p w14:paraId="7EE9A8FF" w14:textId="0701641E" w:rsidR="00163F6F" w:rsidRPr="005041C8" w:rsidRDefault="00685C0C" w:rsidP="002F6779">
      <w:pPr>
        <w:spacing w:before="100" w:beforeAutospacing="1" w:after="100" w:afterAutospacing="1" w:line="360" w:lineRule="auto"/>
        <w:jc w:val="both"/>
      </w:pPr>
      <w:r w:rsidRPr="005041C8">
        <w:t xml:space="preserve">À la suite </w:t>
      </w:r>
      <w:r w:rsidR="005930ED">
        <w:t>de</w:t>
      </w:r>
      <w:r w:rsidRPr="005041C8">
        <w:t xml:space="preserve"> la crise </w:t>
      </w:r>
      <w:proofErr w:type="gramStart"/>
      <w:r w:rsidRPr="005041C8">
        <w:t xml:space="preserve">des </w:t>
      </w:r>
      <w:proofErr w:type="spellStart"/>
      <w:r w:rsidRPr="00FB5E9A">
        <w:rPr>
          <w:i/>
        </w:rPr>
        <w:t>subprime</w:t>
      </w:r>
      <w:proofErr w:type="spellEnd"/>
      <w:proofErr w:type="gramEnd"/>
      <w:r w:rsidRPr="005041C8">
        <w:t xml:space="preserve"> </w:t>
      </w:r>
      <w:r w:rsidR="005930ED">
        <w:t>débutée à</w:t>
      </w:r>
      <w:r w:rsidRPr="005041C8">
        <w:t xml:space="preserve"> l'été 2007, la BCE a dû faire face au défi de stabiliser un secteur bancaire européen hypertrophié et fragilisé sans engendrer des risques d'aléa moral. Par contraste avec son traitement de la dette souveraine, la conditionnalité de son </w:t>
      </w:r>
      <w:r w:rsidR="00FB5E9A" w:rsidRPr="005041C8">
        <w:t>assistance financière</w:t>
      </w:r>
      <w:r w:rsidRPr="005041C8">
        <w:t xml:space="preserve"> n'a pourtant pas été très contraignante, malgré les</w:t>
      </w:r>
      <w:r w:rsidR="00564167">
        <w:t xml:space="preserve"> forts</w:t>
      </w:r>
      <w:r w:rsidRPr="005041C8">
        <w:t xml:space="preserve"> risques </w:t>
      </w:r>
      <w:r w:rsidR="00564167">
        <w:t>d’aléa moral qui en découlent.</w:t>
      </w:r>
    </w:p>
    <w:p w14:paraId="14AD56D7" w14:textId="63E4262E" w:rsidR="00163F6F" w:rsidRPr="005041C8" w:rsidRDefault="00564167" w:rsidP="002F6779">
      <w:pPr>
        <w:pStyle w:val="Titre3"/>
        <w:spacing w:before="100" w:beforeAutospacing="1" w:after="100" w:afterAutospacing="1" w:line="360" w:lineRule="auto"/>
        <w:jc w:val="both"/>
      </w:pPr>
      <w:r>
        <w:t>La faible conditionnalité des interventions de la BCE en faveur des banques</w:t>
      </w:r>
    </w:p>
    <w:p w14:paraId="03C1ECBF" w14:textId="58FD02B0" w:rsidR="00B03789" w:rsidRPr="005041C8" w:rsidRDefault="00685C0C" w:rsidP="002F6779">
      <w:pPr>
        <w:spacing w:before="100" w:beforeAutospacing="1" w:after="100" w:afterAutospacing="1" w:line="360" w:lineRule="auto"/>
        <w:jc w:val="both"/>
      </w:pPr>
      <w:r w:rsidRPr="005041C8">
        <w:t xml:space="preserve">Depuis le début de la crise, les instruments monétaires mis en œuvre par la BCE </w:t>
      </w:r>
      <w:r w:rsidR="00E91583" w:rsidRPr="005041C8">
        <w:t>pour</w:t>
      </w:r>
      <w:r w:rsidR="00C66749" w:rsidRPr="005041C8">
        <w:t xml:space="preserve"> </w:t>
      </w:r>
      <w:r w:rsidR="00E91583" w:rsidRPr="005041C8">
        <w:t>assurer la liquidité du marché monétaire</w:t>
      </w:r>
      <w:r w:rsidR="00FB5E9A">
        <w:t xml:space="preserve"> </w:t>
      </w:r>
      <w:r w:rsidR="00FB5E9A" w:rsidRPr="005041C8">
        <w:t xml:space="preserve">(LTRO et </w:t>
      </w:r>
      <w:r w:rsidR="00FB5E9A">
        <w:t>programmes de rachat de titres</w:t>
      </w:r>
      <w:r w:rsidR="00FB5E9A" w:rsidRPr="005041C8">
        <w:t xml:space="preserve">) </w:t>
      </w:r>
      <w:r w:rsidR="00E91583" w:rsidRPr="005041C8">
        <w:t xml:space="preserve">ont </w:t>
      </w:r>
      <w:r w:rsidR="00C66749" w:rsidRPr="005041C8">
        <w:t>radicalement changé</w:t>
      </w:r>
      <w:r w:rsidR="00E91583" w:rsidRPr="005041C8">
        <w:t xml:space="preserve"> le rôle qu’elle joue </w:t>
      </w:r>
      <w:r w:rsidR="00B03789" w:rsidRPr="005041C8">
        <w:t>dans l’économie</w:t>
      </w:r>
      <w:r w:rsidR="00E91583" w:rsidRPr="005041C8">
        <w:t>. En effet,</w:t>
      </w:r>
      <w:r w:rsidR="00B03789" w:rsidRPr="005041C8">
        <w:t xml:space="preserve"> </w:t>
      </w:r>
      <w:r w:rsidR="00FB5E9A">
        <w:t>la taille du</w:t>
      </w:r>
      <w:r w:rsidR="000D2A52" w:rsidRPr="005041C8">
        <w:t xml:space="preserve"> bilan comptable d</w:t>
      </w:r>
      <w:r w:rsidR="00E91583" w:rsidRPr="005041C8">
        <w:t>e la BCE</w:t>
      </w:r>
      <w:r w:rsidR="00FB5E9A">
        <w:t xml:space="preserve"> a été </w:t>
      </w:r>
      <w:r w:rsidR="00850744">
        <w:t>multipliée</w:t>
      </w:r>
      <w:r w:rsidR="00FB5E9A">
        <w:t xml:space="preserve"> par cinq entre 2007 et 2019, pour atteindre la marque de 4,7 trillions d’euros, soit 40% du PIB de la zone euro</w:t>
      </w:r>
      <w:r w:rsidR="00E91583" w:rsidRPr="005041C8">
        <w:t>. Or l’évolution du bilan d’une banque centrale reflète le rôle qu’elle joue dans l’économie : plus le bilan est élevé, plus la banque centrale exerce un impact sur la fixation des valeurs boursières</w:t>
      </w:r>
      <w:r w:rsidR="005930ED">
        <w:t xml:space="preserve">. </w:t>
      </w:r>
    </w:p>
    <w:p w14:paraId="4B8DC078" w14:textId="154C3F4F" w:rsidR="00E91583" w:rsidRPr="005041C8" w:rsidRDefault="00C66749" w:rsidP="002F6779">
      <w:pPr>
        <w:spacing w:before="100" w:beforeAutospacing="1" w:after="100" w:afterAutospacing="1" w:line="360" w:lineRule="auto"/>
        <w:jc w:val="both"/>
      </w:pPr>
      <w:r w:rsidRPr="005041C8">
        <w:t>Cette extension du bilan de</w:t>
      </w:r>
      <w:r w:rsidR="00B03789" w:rsidRPr="005041C8">
        <w:t xml:space="preserve"> la BCE a d’abord été permise par s</w:t>
      </w:r>
      <w:r w:rsidR="00685C0C" w:rsidRPr="005041C8">
        <w:t>es opérations de refinancement à long</w:t>
      </w:r>
      <w:r w:rsidR="005930ED">
        <w:t xml:space="preserve"> </w:t>
      </w:r>
      <w:r w:rsidR="00685C0C" w:rsidRPr="005041C8">
        <w:t>terme (LTRO)</w:t>
      </w:r>
      <w:r w:rsidR="00B03789" w:rsidRPr="005041C8">
        <w:t>. Débutées en</w:t>
      </w:r>
      <w:r w:rsidR="00685C0C" w:rsidRPr="005041C8">
        <w:t xml:space="preserve"> décembre 2011</w:t>
      </w:r>
      <w:r w:rsidR="00B03789" w:rsidRPr="005041C8">
        <w:t xml:space="preserve">, ces opérations consistent à </w:t>
      </w:r>
      <w:r w:rsidRPr="005041C8">
        <w:t>offrir un nombre important de liquidités aux banques</w:t>
      </w:r>
      <w:r w:rsidRPr="005041C8">
        <w:rPr>
          <w:rStyle w:val="Appelnotedebasdep"/>
        </w:rPr>
        <w:footnoteReference w:id="28"/>
      </w:r>
      <w:r w:rsidRPr="005041C8">
        <w:t xml:space="preserve"> à un faible taux d’intérêt en étendant la maturité des prêts sur trois ans et en baissant la qualité des actifs demandés en contrepartie</w:t>
      </w:r>
      <w:r w:rsidR="00E91583" w:rsidRPr="005041C8">
        <w:t>.</w:t>
      </w:r>
      <w:r w:rsidR="00685C0C" w:rsidRPr="005041C8">
        <w:t xml:space="preserve"> Si cet échange devait bénéficier à l'économie réelle en assouplissant les conditions de crédit aux ménages et aux petites entreprises, l'absence totale de conditionnalité sur l'utilisation des liquidités a plutôt conduit les banques à effectuer des opérations de </w:t>
      </w:r>
      <w:r w:rsidR="00685C0C" w:rsidRPr="00FB5E9A">
        <w:rPr>
          <w:i/>
        </w:rPr>
        <w:t>carry-</w:t>
      </w:r>
      <w:proofErr w:type="spellStart"/>
      <w:r w:rsidR="00685C0C" w:rsidRPr="00FB5E9A">
        <w:rPr>
          <w:i/>
        </w:rPr>
        <w:t>trade</w:t>
      </w:r>
      <w:proofErr w:type="spellEnd"/>
      <w:r w:rsidR="00685C0C" w:rsidRPr="005041C8">
        <w:rPr>
          <w:rStyle w:val="FootnoteAnchor"/>
        </w:rPr>
        <w:footnoteReference w:id="29"/>
      </w:r>
      <w:r w:rsidR="00685C0C" w:rsidRPr="005041C8">
        <w:t>. Les banques ont ainsi pu capte</w:t>
      </w:r>
      <w:r w:rsidR="00E91583" w:rsidRPr="005041C8">
        <w:t xml:space="preserve">r </w:t>
      </w:r>
      <w:r w:rsidR="00685C0C" w:rsidRPr="005041C8">
        <w:t>presque 10 % du PIB européen pour effectuer des opérations sans risque qui ont peu d'impact sur l'économie réelle</w:t>
      </w:r>
      <w:r w:rsidR="005930ED">
        <w:t>. Ces opérations ont cependant permis</w:t>
      </w:r>
      <w:r w:rsidR="00685C0C" w:rsidRPr="005041C8">
        <w:t xml:space="preserve"> aux banques d'augmenter leurs profits, ce qu'a d'ailleurs </w:t>
      </w:r>
      <w:r w:rsidR="00685C0C" w:rsidRPr="005041C8">
        <w:lastRenderedPageBreak/>
        <w:t xml:space="preserve">reconnu Mario </w:t>
      </w:r>
      <w:proofErr w:type="spellStart"/>
      <w:r w:rsidR="00685C0C" w:rsidRPr="005041C8">
        <w:t>Draghi</w:t>
      </w:r>
      <w:proofErr w:type="spellEnd"/>
      <w:r w:rsidR="00685C0C" w:rsidRPr="005041C8">
        <w:t xml:space="preserve"> sous les termes de « conséquence indésirable (...)</w:t>
      </w:r>
      <w:r w:rsidR="007F54E0">
        <w:t xml:space="preserve">, </w:t>
      </w:r>
      <w:r w:rsidR="00685C0C" w:rsidRPr="005041C8">
        <w:t>mais nécessaire</w:t>
      </w:r>
      <w:r w:rsidR="00685C0C" w:rsidRPr="005041C8">
        <w:rPr>
          <w:rStyle w:val="FootnoteAnchor"/>
        </w:rPr>
        <w:footnoteReference w:id="30"/>
      </w:r>
      <w:r w:rsidR="00685C0C" w:rsidRPr="005041C8">
        <w:t>». Par ailleurs, le transfert de risques permis par les LTRO a d'abord bénéficié aux grandes institutions financières françaises et allemandes (Cour-</w:t>
      </w:r>
      <w:proofErr w:type="spellStart"/>
      <w:r w:rsidR="00685C0C" w:rsidRPr="005041C8">
        <w:t>Thimann</w:t>
      </w:r>
      <w:proofErr w:type="spellEnd"/>
      <w:r w:rsidR="00685C0C" w:rsidRPr="005041C8">
        <w:t>, 2013). Afin de répondre à ces critiques, la BCE a lancé</w:t>
      </w:r>
      <w:r w:rsidR="009F43E8" w:rsidRPr="005041C8">
        <w:t xml:space="preserve"> en septembre 2014 </w:t>
      </w:r>
      <w:r w:rsidR="00685C0C" w:rsidRPr="005041C8">
        <w:t>une nouvelle forme de LTRO</w:t>
      </w:r>
      <w:r w:rsidR="009F43E8" w:rsidRPr="005041C8">
        <w:t xml:space="preserve"> qui est</w:t>
      </w:r>
      <w:r w:rsidR="00685C0C" w:rsidRPr="005041C8">
        <w:t xml:space="preserve"> conditionné</w:t>
      </w:r>
      <w:r w:rsidR="009F43E8" w:rsidRPr="005041C8">
        <w:t>e</w:t>
      </w:r>
      <w:r w:rsidR="00685C0C" w:rsidRPr="005041C8">
        <w:t xml:space="preserve"> à des prêts à l'économie réelle (TLTRO), </w:t>
      </w:r>
      <w:r w:rsidR="00B03789" w:rsidRPr="005041C8">
        <w:t>mais ces offres n'ont rencontré</w:t>
      </w:r>
      <w:r w:rsidR="00685C0C" w:rsidRPr="005041C8">
        <w:t xml:space="preserve"> que peu de succès auprès du système bancaire</w:t>
      </w:r>
      <w:r w:rsidR="000753D3">
        <w:t xml:space="preserve"> et les conditions les plus exigeantes du programme ont</w:t>
      </w:r>
      <w:r w:rsidR="00B03789" w:rsidRPr="005041C8">
        <w:t xml:space="preserve"> </w:t>
      </w:r>
      <w:r w:rsidR="000753D3">
        <w:t>été abandonnées</w:t>
      </w:r>
      <w:r w:rsidR="00B03789" w:rsidRPr="005041C8">
        <w:t xml:space="preserve"> en mars 2016</w:t>
      </w:r>
      <w:r w:rsidR="00FB5E9A">
        <w:t xml:space="preserve"> (Fontan, 2018)</w:t>
      </w:r>
      <w:r w:rsidR="00685C0C" w:rsidRPr="005041C8">
        <w:t>.</w:t>
      </w:r>
    </w:p>
    <w:p w14:paraId="33CC8071" w14:textId="39C563FA" w:rsidR="00DD2D48" w:rsidRPr="002F6779" w:rsidRDefault="00A05D4A" w:rsidP="002F6779">
      <w:pPr>
        <w:spacing w:before="100" w:beforeAutospacing="1" w:after="100" w:afterAutospacing="1" w:line="360" w:lineRule="auto"/>
        <w:jc w:val="both"/>
        <w:rPr>
          <w:rFonts w:ascii="Times New Roman" w:hAnsi="Times New Roman" w:cs="Times New Roman"/>
        </w:rPr>
      </w:pPr>
      <w:r>
        <w:t xml:space="preserve">Depuis novembre 2014, </w:t>
      </w:r>
      <w:r w:rsidR="00D84761">
        <w:t>la BCE a annoncé une série de programmes de rachat de titres</w:t>
      </w:r>
      <w:r>
        <w:t xml:space="preserve">, incluant des produits </w:t>
      </w:r>
      <w:proofErr w:type="spellStart"/>
      <w:r>
        <w:t>titrisés</w:t>
      </w:r>
      <w:proofErr w:type="spellEnd"/>
      <w:r>
        <w:t xml:space="preserve"> de type </w:t>
      </w:r>
      <w:proofErr w:type="spellStart"/>
      <w:r>
        <w:rPr>
          <w:i/>
        </w:rPr>
        <w:t>subprime</w:t>
      </w:r>
      <w:proofErr w:type="spellEnd"/>
      <w:r>
        <w:t xml:space="preserve">, des dettes souveraines et des obligations d’entreprises, qui atteignent la marque de </w:t>
      </w:r>
      <w:r w:rsidR="000753D3">
        <w:t>2500 milliards d’euros en 2019</w:t>
      </w:r>
      <w:r>
        <w:t xml:space="preserve">. </w:t>
      </w:r>
      <w:r w:rsidR="00685C0C" w:rsidRPr="005041C8">
        <w:t xml:space="preserve"> </w:t>
      </w:r>
      <w:r>
        <w:t>Ces programmes</w:t>
      </w:r>
      <w:r w:rsidR="00685C0C" w:rsidRPr="005041C8">
        <w:t xml:space="preserve"> </w:t>
      </w:r>
      <w:r>
        <w:t>ont pour but de stimuler l’activité économique en provoquant une hausse du prix des actifs financiers et, par-là, des investissements et des prêts</w:t>
      </w:r>
      <w:r w:rsidR="00476805">
        <w:t xml:space="preserve"> accordés par les institutions financières</w:t>
      </w:r>
      <w:r>
        <w:t>.</w:t>
      </w:r>
      <w:r w:rsidR="00476805">
        <w:t xml:space="preserve"> En effet, la hausse du prix des actifs permet aux banques de stabiliser leurs bilans comptables et </w:t>
      </w:r>
      <w:r w:rsidR="00731446">
        <w:t xml:space="preserve">de profiter de ces nouvelles marges pour </w:t>
      </w:r>
      <w:r w:rsidR="00476805">
        <w:t xml:space="preserve">accorder plus de prêts. Par ailleurs, la baisse des taux d’intérêt des obligations d’entreprise et des dettes souveraines </w:t>
      </w:r>
      <w:r w:rsidR="005930ED">
        <w:t>es</w:t>
      </w:r>
      <w:r w:rsidR="00476805">
        <w:t>t censé</w:t>
      </w:r>
      <w:r w:rsidR="005930ED">
        <w:t>e</w:t>
      </w:r>
      <w:r w:rsidR="00476805">
        <w:t xml:space="preserve"> stimuler les investissements publics et privés</w:t>
      </w:r>
      <w:r w:rsidR="003A74FE">
        <w:t xml:space="preserve"> en faveur de l’économie réelle</w:t>
      </w:r>
      <w:r w:rsidR="00476805">
        <w:t xml:space="preserve">. </w:t>
      </w:r>
      <w:r w:rsidR="00AD3765">
        <w:t xml:space="preserve">Cependant, l’absence de conditionnalité de ces programmes empêche tout contrôle sur la façon dont </w:t>
      </w:r>
      <w:r w:rsidR="00731446">
        <w:t xml:space="preserve">les marges financières, induites par la hausse des prix des actifs, vont être exploitées. </w:t>
      </w:r>
      <w:r w:rsidR="000753D3">
        <w:rPr>
          <w:rFonts w:ascii="Times New Roman" w:hAnsi="Times New Roman" w:cs="Times New Roman"/>
        </w:rPr>
        <w:t>En fait, dans un contexte de croissance faible et des taux d’intérêt bas qui décourage l’investissement et l’épargne, les acteurs financiers ont plus intérêt à utiliser l</w:t>
      </w:r>
      <w:r w:rsidR="00C071C5">
        <w:rPr>
          <w:rFonts w:ascii="Times New Roman" w:hAnsi="Times New Roman" w:cs="Times New Roman"/>
        </w:rPr>
        <w:t>eurs marges financières pour augmenter les dividendes versés aux actionnaires ou à racheter les titres émis par leur propre institutions (</w:t>
      </w:r>
      <w:r w:rsidR="00DD2D48">
        <w:rPr>
          <w:rFonts w:ascii="Times New Roman" w:hAnsi="Times New Roman" w:cs="Times New Roman"/>
        </w:rPr>
        <w:t>Klooster &amp; Fontan, 2019</w:t>
      </w:r>
      <w:r w:rsidR="00C071C5">
        <w:rPr>
          <w:rFonts w:ascii="Times New Roman" w:hAnsi="Times New Roman" w:cs="Times New Roman"/>
        </w:rPr>
        <w:t>)</w:t>
      </w:r>
      <w:r w:rsidR="00DD2D48">
        <w:rPr>
          <w:rFonts w:ascii="Times New Roman" w:hAnsi="Times New Roman" w:cs="Times New Roman"/>
        </w:rPr>
        <w:t>.</w:t>
      </w:r>
    </w:p>
    <w:p w14:paraId="6C92E57A" w14:textId="29785D34" w:rsidR="00163F6F" w:rsidRPr="005041C8" w:rsidRDefault="00496059" w:rsidP="002F6779">
      <w:pPr>
        <w:spacing w:before="100" w:beforeAutospacing="1" w:after="100" w:afterAutospacing="1" w:line="360" w:lineRule="auto"/>
        <w:jc w:val="both"/>
      </w:pPr>
      <w:r w:rsidRPr="005041C8">
        <w:t xml:space="preserve">En </w:t>
      </w:r>
      <w:r w:rsidR="00731446">
        <w:t>somme</w:t>
      </w:r>
      <w:r w:rsidR="00685C0C" w:rsidRPr="005041C8">
        <w:t xml:space="preserve">, depuis la crise, la politique monétaire a muté d'une logique de pilotage de l'économie à distance par la manipulation des taux d’intérêt à une logique de manipulation de l'économie par la taille et la composition des bilans des banques centrales. </w:t>
      </w:r>
      <w:r w:rsidR="008140BE">
        <w:t>C</w:t>
      </w:r>
      <w:r w:rsidR="00685C0C" w:rsidRPr="005041C8">
        <w:t xml:space="preserve">es programmes, censés être temporaires, sont toujours en place, </w:t>
      </w:r>
      <w:r w:rsidR="00C071C5">
        <w:t xml:space="preserve">plus de </w:t>
      </w:r>
      <w:r w:rsidR="00731446">
        <w:t>dix</w:t>
      </w:r>
      <w:r w:rsidR="00731446" w:rsidRPr="005041C8">
        <w:t xml:space="preserve"> </w:t>
      </w:r>
      <w:r w:rsidR="00685C0C" w:rsidRPr="005041C8">
        <w:t xml:space="preserve">ans après le début de la crise </w:t>
      </w:r>
      <w:proofErr w:type="gramStart"/>
      <w:r w:rsidR="00685C0C" w:rsidRPr="005041C8">
        <w:t xml:space="preserve">des </w:t>
      </w:r>
      <w:proofErr w:type="spellStart"/>
      <w:r w:rsidR="00685C0C" w:rsidRPr="005041C8">
        <w:rPr>
          <w:i/>
          <w:iCs/>
        </w:rPr>
        <w:t>subprime</w:t>
      </w:r>
      <w:proofErr w:type="spellEnd"/>
      <w:proofErr w:type="gramEnd"/>
      <w:r w:rsidR="00685C0C" w:rsidRPr="005041C8">
        <w:rPr>
          <w:i/>
          <w:iCs/>
        </w:rPr>
        <w:t xml:space="preserve">, </w:t>
      </w:r>
      <w:r w:rsidR="00685C0C" w:rsidRPr="005041C8">
        <w:t xml:space="preserve">ce qui soulève des doutes sur la capacité de la BCE </w:t>
      </w:r>
      <w:r w:rsidR="00731446" w:rsidRPr="005041C8">
        <w:t>à</w:t>
      </w:r>
      <w:r w:rsidR="00685C0C" w:rsidRPr="005041C8">
        <w:t xml:space="preserve"> cesser ses politiques accommodantes pour les banques. L</w:t>
      </w:r>
      <w:r w:rsidR="00AA6560">
        <w:t xml:space="preserve">‘absence de </w:t>
      </w:r>
      <w:r w:rsidR="00685C0C" w:rsidRPr="005041C8">
        <w:t xml:space="preserve">conditionnalité </w:t>
      </w:r>
      <w:r w:rsidR="008140BE">
        <w:t>de ces programmes rend aussi leurs effets plus incertains sur l’économie réelle ;</w:t>
      </w:r>
      <w:r w:rsidR="00C50F10">
        <w:t xml:space="preserve"> </w:t>
      </w:r>
      <w:r w:rsidR="00685C0C" w:rsidRPr="005041C8">
        <w:t xml:space="preserve">le contraste s’avère flagrant avec le degré de coercition lié aux réformes </w:t>
      </w:r>
      <w:r w:rsidR="00685C0C" w:rsidRPr="005041C8">
        <w:lastRenderedPageBreak/>
        <w:t>demandées aux États en difficulté financière.</w:t>
      </w:r>
    </w:p>
    <w:p w14:paraId="261F2C3E" w14:textId="113DD90A" w:rsidR="00163F6F" w:rsidRPr="005041C8" w:rsidRDefault="00564167" w:rsidP="002F6779">
      <w:pPr>
        <w:pStyle w:val="Titre3"/>
        <w:spacing w:before="100" w:beforeAutospacing="1" w:after="100" w:afterAutospacing="1" w:line="360" w:lineRule="auto"/>
        <w:jc w:val="both"/>
      </w:pPr>
      <w:r>
        <w:t xml:space="preserve">Les risques d’aléa moral </w:t>
      </w:r>
    </w:p>
    <w:p w14:paraId="73C3BBBD" w14:textId="102720C6" w:rsidR="00573E21" w:rsidRPr="00E73378" w:rsidRDefault="00564167" w:rsidP="002F6779">
      <w:pPr>
        <w:spacing w:before="100" w:beforeAutospacing="1" w:after="100" w:afterAutospacing="1" w:line="360" w:lineRule="auto"/>
        <w:jc w:val="both"/>
      </w:pPr>
      <w:r>
        <w:t xml:space="preserve">La </w:t>
      </w:r>
      <w:r w:rsidR="00C50F10">
        <w:t xml:space="preserve">faible conditionnalité des programmes destinés </w:t>
      </w:r>
      <w:r w:rsidR="00B2150A">
        <w:t>à améliorer la santé financière des banques de la zone euro peut engendrer de forts risques d’aléa moral et permettre la survie d</w:t>
      </w:r>
      <w:proofErr w:type="gramStart"/>
      <w:r w:rsidR="00B2150A">
        <w:t>’«</w:t>
      </w:r>
      <w:proofErr w:type="gramEnd"/>
      <w:r w:rsidR="00B2150A">
        <w:t> institutions financières zombies » insolvables dont la prise de risques antérieures à la crise n’a pas été sanctionnée</w:t>
      </w:r>
      <w:r>
        <w:t xml:space="preserve"> </w:t>
      </w:r>
      <w:r>
        <w:t>(White, 2012)</w:t>
      </w:r>
      <w:r w:rsidR="00B2150A">
        <w:t xml:space="preserve">. </w:t>
      </w:r>
      <w:r w:rsidR="00155CA2">
        <w:t>La BCE souligne que l</w:t>
      </w:r>
      <w:r w:rsidR="00B2150A">
        <w:t>es risques d’un effondrement complet du système financier dans les premières années de la crise étaient si grands qu</w:t>
      </w:r>
      <w:r w:rsidR="00155CA2">
        <w:t xml:space="preserve">e les effets inattendus de son intervention étaient minimes par rapport au cout potentiel d’une crise financière d’encore plus grande ampleur (Fontan et al, 2016, p.336). Si cet argument peut être défendu pour les premières années de la crise, il n’est certainement plus valide pour les phases ultérieures, quand la menace d’un effondrement imminent du système financier a été écartée. Si la BCE était engagée à réduire les risques d’aléa moral provoqués par les activités bancaires, elle aurait </w:t>
      </w:r>
      <w:r w:rsidR="00E73378">
        <w:t>dû</w:t>
      </w:r>
      <w:r w:rsidR="00155CA2">
        <w:t xml:space="preserve"> adopter </w:t>
      </w:r>
      <w:r w:rsidR="00E73378">
        <w:t>deux</w:t>
      </w:r>
      <w:r w:rsidR="00155CA2">
        <w:t xml:space="preserve"> types de mesures. Premièrement, elle aurait dû s’employer à diminuer le degré de concentration au sein du secteur bancaire afin d’éviter l’occurrence d’une nouvelle situation où une banque insolvable soit « trop grosse pour (qu’on la laisse) faire faillite (</w:t>
      </w:r>
      <w:proofErr w:type="spellStart"/>
      <w:r w:rsidR="00155CA2">
        <w:rPr>
          <w:i/>
        </w:rPr>
        <w:t>too</w:t>
      </w:r>
      <w:proofErr w:type="spellEnd"/>
      <w:r w:rsidR="00155CA2">
        <w:rPr>
          <w:i/>
        </w:rPr>
        <w:t>-</w:t>
      </w:r>
      <w:proofErr w:type="spellStart"/>
      <w:r w:rsidR="00155CA2">
        <w:rPr>
          <w:i/>
        </w:rPr>
        <w:t>big</w:t>
      </w:r>
      <w:proofErr w:type="spellEnd"/>
      <w:r w:rsidR="00155CA2">
        <w:rPr>
          <w:i/>
        </w:rPr>
        <w:t>-to-</w:t>
      </w:r>
      <w:proofErr w:type="spellStart"/>
      <w:r w:rsidR="00155CA2">
        <w:rPr>
          <w:i/>
        </w:rPr>
        <w:t>fail</w:t>
      </w:r>
      <w:proofErr w:type="spellEnd"/>
      <w:r w:rsidR="00155CA2">
        <w:rPr>
          <w:i/>
        </w:rPr>
        <w:t>).</w:t>
      </w:r>
      <w:r w:rsidR="00155CA2">
        <w:t xml:space="preserve"> Pourtant, depuis 2016, la BCE encourage plutôt </w:t>
      </w:r>
      <w:r w:rsidR="00E73378">
        <w:t>le processus de fusions-acquisitions au sein du secteur bancaire afin de</w:t>
      </w:r>
      <w:r w:rsidR="00E73378">
        <w:rPr>
          <w:i/>
        </w:rPr>
        <w:t xml:space="preserve"> </w:t>
      </w:r>
      <w:r w:rsidR="00E73378">
        <w:t>renforcer la profitabilité des banques</w:t>
      </w:r>
      <w:r w:rsidR="00E73378">
        <w:rPr>
          <w:rStyle w:val="Appelnotedebasdep"/>
        </w:rPr>
        <w:footnoteReference w:id="31"/>
      </w:r>
      <w:r w:rsidR="00E73378">
        <w:t xml:space="preserve">. Deuxièmement, la BCE aurait dû s’engager en faveur d’une </w:t>
      </w:r>
      <w:proofErr w:type="spellStart"/>
      <w:r w:rsidR="00E73378">
        <w:t>re</w:t>
      </w:r>
      <w:proofErr w:type="spellEnd"/>
      <w:r w:rsidR="00E73378">
        <w:t>-réglementation significative du secteur financier afin d’éviter l’occurrence de nouvelles crises. Cependant, les banquiers centraux ont plutôt cherché à diminuer la portée et la contrainte de ces réformes, par exemple en s’opposant à la taxe sur les transactions financières (</w:t>
      </w:r>
      <w:proofErr w:type="spellStart"/>
      <w:r w:rsidR="00E73378">
        <w:t>Kalaitzake</w:t>
      </w:r>
      <w:proofErr w:type="spellEnd"/>
      <w:r w:rsidR="00E73378">
        <w:t xml:space="preserve">, 2016) tout en encourageant le développement des marchés de produits financiers </w:t>
      </w:r>
      <w:proofErr w:type="spellStart"/>
      <w:r w:rsidR="00E73378">
        <w:t>titrisés</w:t>
      </w:r>
      <w:proofErr w:type="spellEnd"/>
      <w:r w:rsidR="00E73378">
        <w:t xml:space="preserve"> en Europe qui furent pourtant un des facteurs de la crise financière de 2007 (Braun et al., 2018).     </w:t>
      </w:r>
    </w:p>
    <w:p w14:paraId="28E8B3EF" w14:textId="002347D4" w:rsidR="00163F6F" w:rsidRPr="005041C8" w:rsidRDefault="00685C0C" w:rsidP="002F6779">
      <w:pPr>
        <w:pStyle w:val="Titre2"/>
        <w:spacing w:before="100" w:beforeAutospacing="1" w:after="100" w:afterAutospacing="1" w:line="360" w:lineRule="auto"/>
        <w:jc w:val="both"/>
      </w:pPr>
      <w:r w:rsidRPr="005041C8">
        <w:t>Conclusion</w:t>
      </w:r>
    </w:p>
    <w:p w14:paraId="68292408" w14:textId="200EC10F" w:rsidR="003B2795" w:rsidRDefault="00481E1F" w:rsidP="002F6779">
      <w:pPr>
        <w:spacing w:before="100" w:beforeAutospacing="1" w:after="100" w:afterAutospacing="1" w:line="360" w:lineRule="auto"/>
        <w:jc w:val="both"/>
      </w:pPr>
      <w:r w:rsidRPr="005041C8">
        <w:t xml:space="preserve">Alors que la BCE n’a pas su être suffisamment attentive aux déséquilibres financiers qu’elle a contribué à provoquer par ses décisions avant la crise, la stabilisation du système financier a été son objectif prioritaire pendant la crise, malgré les coûts socio-économiques provoqués. Cette </w:t>
      </w:r>
      <w:proofErr w:type="spellStart"/>
      <w:r w:rsidR="002D069F">
        <w:lastRenderedPageBreak/>
        <w:t>assymétrie</w:t>
      </w:r>
      <w:proofErr w:type="spellEnd"/>
      <w:r w:rsidRPr="005041C8">
        <w:t xml:space="preserve"> se dévoile par l’écart important entre l'ampleur des réformes demandées, et parfois imposées, aux </w:t>
      </w:r>
      <w:r w:rsidR="009207F5">
        <w:t xml:space="preserve">Etats de la zone euro en difficulté financière </w:t>
      </w:r>
      <w:r w:rsidRPr="005041C8">
        <w:t>et le soutien octroyé sans</w:t>
      </w:r>
      <w:r w:rsidR="009207F5">
        <w:t xml:space="preserve"> forte</w:t>
      </w:r>
      <w:r w:rsidRPr="005041C8">
        <w:t xml:space="preserve"> contrepartie aux institutions financières. Ainsi, p</w:t>
      </w:r>
      <w:r w:rsidR="00685C0C" w:rsidRPr="005041C8">
        <w:t>lutôt que de mettre l'accent sur une réforme des activités financières qui ont pourtant causé la crise, les dirigeants de la BCE ont</w:t>
      </w:r>
      <w:r w:rsidRPr="005041C8">
        <w:t xml:space="preserve"> utilisé stratégiquement la crise pour isoler davantage</w:t>
      </w:r>
      <w:r w:rsidR="00685C0C" w:rsidRPr="005041C8">
        <w:t xml:space="preserve"> </w:t>
      </w:r>
      <w:r w:rsidRPr="005041C8">
        <w:t xml:space="preserve">la gouvernance économique européenne des pressions électorales, </w:t>
      </w:r>
      <w:r w:rsidR="00685C0C" w:rsidRPr="005041C8">
        <w:t>selon l</w:t>
      </w:r>
      <w:r w:rsidR="008140BE">
        <w:t xml:space="preserve">a conception de l’économie défendue depuis </w:t>
      </w:r>
      <w:r w:rsidR="00685C0C" w:rsidRPr="005041C8">
        <w:t xml:space="preserve">1999. À cette persistance idéelle, se superpose un changement d'instruments monétaires qui </w:t>
      </w:r>
      <w:r w:rsidR="005930ED">
        <w:t>ont</w:t>
      </w:r>
      <w:r w:rsidR="00685C0C" w:rsidRPr="005041C8">
        <w:t xml:space="preserve"> stabilis</w:t>
      </w:r>
      <w:r w:rsidR="009222CA">
        <w:t>é</w:t>
      </w:r>
      <w:r w:rsidR="00685C0C" w:rsidRPr="005041C8">
        <w:t xml:space="preserve"> le secteur banc</w:t>
      </w:r>
      <w:r w:rsidR="00C50F10">
        <w:t xml:space="preserve">aire, sans </w:t>
      </w:r>
      <w:r w:rsidR="00D72212" w:rsidRPr="005041C8">
        <w:t>remédier</w:t>
      </w:r>
      <w:r w:rsidR="00564167">
        <w:t xml:space="preserve"> aux causes structurelles de </w:t>
      </w:r>
      <w:r w:rsidR="00685C0C" w:rsidRPr="005041C8">
        <w:t>l’instabilité financière contemporaine.</w:t>
      </w:r>
      <w:r w:rsidR="00D72212" w:rsidRPr="005041C8">
        <w:t xml:space="preserve"> </w:t>
      </w:r>
    </w:p>
    <w:p w14:paraId="2BD36FEC" w14:textId="35A47223" w:rsidR="00D72212" w:rsidRPr="005041C8" w:rsidRDefault="00144729" w:rsidP="002F6779">
      <w:pPr>
        <w:spacing w:before="100" w:beforeAutospacing="1" w:after="100" w:afterAutospacing="1" w:line="360" w:lineRule="auto"/>
        <w:jc w:val="both"/>
      </w:pPr>
      <w:r>
        <w:t xml:space="preserve">Si </w:t>
      </w:r>
      <w:r w:rsidR="003B2795" w:rsidRPr="003B2795">
        <w:t>les activités de la BCE</w:t>
      </w:r>
      <w:r>
        <w:t xml:space="preserve"> </w:t>
      </w:r>
      <w:r w:rsidR="003B2795" w:rsidRPr="003B2795">
        <w:t>dépassent incontestablement</w:t>
      </w:r>
      <w:r>
        <w:t xml:space="preserve"> son périmètre d’action monétaire et </w:t>
      </w:r>
      <w:r w:rsidRPr="00144729">
        <w:t>génèrent des effets problématiques</w:t>
      </w:r>
      <w:r w:rsidR="007B2D1A">
        <w:t>, elles restent insérées dans un système de contraintes politiques</w:t>
      </w:r>
      <w:r>
        <w:t>. En effet, les institutions de la zone euro disposent de moyens de contrôle sur ses activités : le Parlement Européen auditionne régulièrement le président de la BCE, la C</w:t>
      </w:r>
      <w:r w:rsidR="009207F5">
        <w:t xml:space="preserve">our de Justice </w:t>
      </w:r>
      <w:r>
        <w:t xml:space="preserve">contrôle la légalité de ses mesures et le Conseil Européen peut redéfinir son mandat et </w:t>
      </w:r>
      <w:r w:rsidR="007B2D1A">
        <w:t>nomme ses dirigeants.</w:t>
      </w:r>
      <w:r w:rsidR="00E0520A">
        <w:t xml:space="preserve"> </w:t>
      </w:r>
      <w:r w:rsidR="007F54E0">
        <w:t>À</w:t>
      </w:r>
      <w:r w:rsidR="00E0520A">
        <w:t xml:space="preserve"> l’instar des autres grandes banques centrales insérées dans des systèmes politiques radicalement différents de la zone euro, l’autonomie de la BCE est restée stable</w:t>
      </w:r>
      <w:r w:rsidR="007F54E0">
        <w:t xml:space="preserve"> de façon surprenante,</w:t>
      </w:r>
      <w:r w:rsidR="00E0520A">
        <w:t xml:space="preserve"> au regard de l’extension de son influence et de ses compétences. L’exploration de ce paradoxe </w:t>
      </w:r>
      <w:r w:rsidR="007F54E0">
        <w:t>devrait sans doute constituer un agenda de recherche majeur pour l’économie politique internationale et les études européennes dans les années à venir.</w:t>
      </w:r>
    </w:p>
    <w:p w14:paraId="69796867" w14:textId="77777777" w:rsidR="00163F6F" w:rsidRPr="005041C8" w:rsidRDefault="00685C0C" w:rsidP="002F6779">
      <w:pPr>
        <w:pStyle w:val="Titre2"/>
        <w:spacing w:before="100" w:beforeAutospacing="1" w:after="100" w:afterAutospacing="1" w:line="360" w:lineRule="auto"/>
        <w:jc w:val="both"/>
        <w:rPr>
          <w:lang w:val="en-CA"/>
        </w:rPr>
      </w:pPr>
      <w:proofErr w:type="spellStart"/>
      <w:r w:rsidRPr="005041C8">
        <w:rPr>
          <w:lang w:val="en-CA"/>
        </w:rPr>
        <w:t>Bibliographie</w:t>
      </w:r>
      <w:proofErr w:type="spellEnd"/>
    </w:p>
    <w:p w14:paraId="1D947E5C" w14:textId="77777777" w:rsidR="00DD2D48" w:rsidRPr="00DD2D48" w:rsidRDefault="00DD2D48" w:rsidP="00DD2D48">
      <w:pPr>
        <w:widowControl/>
        <w:suppressAutoHyphens w:val="0"/>
        <w:ind w:hanging="480"/>
        <w:rPr>
          <w:color w:val="auto"/>
          <w:lang w:val="en-US"/>
        </w:rPr>
      </w:pPr>
      <w:proofErr w:type="spellStart"/>
      <w:r w:rsidRPr="00DD2D48">
        <w:rPr>
          <w:lang w:val="en-US"/>
        </w:rPr>
        <w:t>Ahrend</w:t>
      </w:r>
      <w:proofErr w:type="spellEnd"/>
      <w:r w:rsidRPr="00DD2D48">
        <w:rPr>
          <w:lang w:val="en-US"/>
        </w:rPr>
        <w:t xml:space="preserve">, R., </w:t>
      </w:r>
      <w:proofErr w:type="spellStart"/>
      <w:r w:rsidRPr="00DD2D48">
        <w:rPr>
          <w:lang w:val="en-US"/>
        </w:rPr>
        <w:t>Cournède</w:t>
      </w:r>
      <w:proofErr w:type="spellEnd"/>
      <w:r w:rsidRPr="00DD2D48">
        <w:rPr>
          <w:lang w:val="en-US"/>
        </w:rPr>
        <w:t>, B., Price, R., 2008. Monetary policy, market excesses and financial turmoil. OECD Economics Working Paper.</w:t>
      </w:r>
    </w:p>
    <w:p w14:paraId="64C052EE" w14:textId="77777777" w:rsidR="00DD2D48" w:rsidRPr="00DD2D48" w:rsidRDefault="00DD2D48" w:rsidP="00DD2D48">
      <w:pPr>
        <w:ind w:hanging="480"/>
        <w:rPr>
          <w:lang w:val="en-US"/>
        </w:rPr>
      </w:pPr>
      <w:proofErr w:type="spellStart"/>
      <w:r w:rsidRPr="00DD2D48">
        <w:rPr>
          <w:lang w:val="en-US"/>
        </w:rPr>
        <w:t>Blustein</w:t>
      </w:r>
      <w:proofErr w:type="spellEnd"/>
      <w:r w:rsidRPr="00DD2D48">
        <w:rPr>
          <w:lang w:val="en-US"/>
        </w:rPr>
        <w:t>, P., 2015. Laid Low: The IMF, the Euro Zone and the First Rescue of Greece. CIGI Papers Series.</w:t>
      </w:r>
    </w:p>
    <w:p w14:paraId="413A678D" w14:textId="77777777" w:rsidR="00DD2D48" w:rsidRDefault="00DD2D48" w:rsidP="00DD2D48">
      <w:pPr>
        <w:ind w:hanging="480"/>
      </w:pPr>
      <w:r w:rsidRPr="00DD2D48">
        <w:rPr>
          <w:lang w:val="en-US"/>
        </w:rPr>
        <w:t xml:space="preserve">Blyth, M., 2013. Austerity: the history of a dangerous idea. </w:t>
      </w:r>
      <w:r>
        <w:t xml:space="preserve">Oxford </w:t>
      </w:r>
      <w:proofErr w:type="spellStart"/>
      <w:r>
        <w:t>University</w:t>
      </w:r>
      <w:proofErr w:type="spellEnd"/>
      <w:r>
        <w:t xml:space="preserve"> </w:t>
      </w:r>
      <w:proofErr w:type="spellStart"/>
      <w:r>
        <w:t>Press</w:t>
      </w:r>
      <w:proofErr w:type="spellEnd"/>
      <w:r>
        <w:t>, Oxford.</w:t>
      </w:r>
    </w:p>
    <w:p w14:paraId="78A3660F" w14:textId="21734917" w:rsidR="00DD2D48" w:rsidRPr="00DD2D48" w:rsidRDefault="00DD2D48" w:rsidP="00DD2D48">
      <w:pPr>
        <w:ind w:hanging="480"/>
        <w:rPr>
          <w:lang w:val="en-US"/>
        </w:rPr>
      </w:pPr>
      <w:proofErr w:type="spellStart"/>
      <w:r>
        <w:t>Bordo</w:t>
      </w:r>
      <w:proofErr w:type="spellEnd"/>
      <w:r>
        <w:t xml:space="preserve">, M.D., Jeanne, O., 2002. </w:t>
      </w:r>
      <w:r w:rsidRPr="00DD2D48">
        <w:rPr>
          <w:lang w:val="en-US"/>
        </w:rPr>
        <w:t xml:space="preserve">Monetary Policy and Asset Prices: Does ‘Benign Neglect’ Make Sense? International Finance 5, 139–164. </w:t>
      </w:r>
    </w:p>
    <w:p w14:paraId="2F8F457C" w14:textId="5EC7B911" w:rsidR="00DD2D48" w:rsidRPr="00DD2D48" w:rsidRDefault="00DD2D48" w:rsidP="00DD2D48">
      <w:pPr>
        <w:ind w:hanging="480"/>
        <w:rPr>
          <w:lang w:val="en-US"/>
        </w:rPr>
      </w:pPr>
      <w:r w:rsidRPr="00DD2D48">
        <w:rPr>
          <w:lang w:val="en-US"/>
        </w:rPr>
        <w:t xml:space="preserve">Braun, B., Gabor, D., </w:t>
      </w:r>
      <w:proofErr w:type="spellStart"/>
      <w:r w:rsidRPr="00DD2D48">
        <w:rPr>
          <w:lang w:val="en-US"/>
        </w:rPr>
        <w:t>Hübner</w:t>
      </w:r>
      <w:proofErr w:type="spellEnd"/>
      <w:r w:rsidRPr="00DD2D48">
        <w:rPr>
          <w:lang w:val="en-US"/>
        </w:rPr>
        <w:t xml:space="preserve">, M., 2018. Governing through financial markets: Towards a critical political economy of Capital Markets Union. Competition &amp; Change 22, 101–116. </w:t>
      </w:r>
    </w:p>
    <w:p w14:paraId="26697F97" w14:textId="2F13A67B" w:rsidR="00DD2D48" w:rsidRPr="00DD2D48" w:rsidRDefault="00DD2D48" w:rsidP="00DD2D48">
      <w:pPr>
        <w:ind w:hanging="480"/>
        <w:rPr>
          <w:lang w:val="en-US"/>
        </w:rPr>
      </w:pPr>
      <w:proofErr w:type="spellStart"/>
      <w:r w:rsidRPr="00DD2D48">
        <w:rPr>
          <w:lang w:val="en-US"/>
        </w:rPr>
        <w:t>Buiter</w:t>
      </w:r>
      <w:proofErr w:type="spellEnd"/>
      <w:r w:rsidRPr="00DD2D48">
        <w:rPr>
          <w:lang w:val="en-US"/>
        </w:rPr>
        <w:t xml:space="preserve">, W., </w:t>
      </w:r>
      <w:proofErr w:type="spellStart"/>
      <w:r w:rsidRPr="00DD2D48">
        <w:rPr>
          <w:lang w:val="en-US"/>
        </w:rPr>
        <w:t>Rahbari</w:t>
      </w:r>
      <w:proofErr w:type="spellEnd"/>
      <w:r w:rsidRPr="00DD2D48">
        <w:rPr>
          <w:lang w:val="en-US"/>
        </w:rPr>
        <w:t xml:space="preserve">, E., 2012. The European Central Bank as Lender of Last Resort for Sovereigns in the Eurozone. JCMS: Journal of Common Market Studies 50, 6–35. </w:t>
      </w:r>
    </w:p>
    <w:p w14:paraId="385079A8" w14:textId="77777777" w:rsidR="00DD2D48" w:rsidRDefault="00DD2D48" w:rsidP="00DD2D48">
      <w:pPr>
        <w:ind w:hanging="480"/>
      </w:pPr>
      <w:proofErr w:type="spellStart"/>
      <w:r w:rsidRPr="00DD2D48">
        <w:rPr>
          <w:lang w:val="en-US"/>
        </w:rPr>
        <w:t>Cour-Thimann</w:t>
      </w:r>
      <w:proofErr w:type="spellEnd"/>
      <w:r w:rsidRPr="00DD2D48">
        <w:rPr>
          <w:lang w:val="en-US"/>
        </w:rPr>
        <w:t xml:space="preserve">, P., 2013. Monetary policy and redistribution: information from central bank balance sheets in the Euro area and the US. </w:t>
      </w:r>
      <w:proofErr w:type="spellStart"/>
      <w:r>
        <w:t>Review</w:t>
      </w:r>
      <w:proofErr w:type="spellEnd"/>
      <w:r>
        <w:t xml:space="preserve"> of </w:t>
      </w:r>
      <w:proofErr w:type="spellStart"/>
      <w:r>
        <w:t>Economics</w:t>
      </w:r>
      <w:proofErr w:type="spellEnd"/>
      <w:r>
        <w:t xml:space="preserve"> 64, 293–324.</w:t>
      </w:r>
    </w:p>
    <w:p w14:paraId="0257E58C" w14:textId="77777777" w:rsidR="00DD2D48" w:rsidRPr="00DD2D48" w:rsidRDefault="00DD2D48" w:rsidP="00DD2D48">
      <w:pPr>
        <w:ind w:hanging="480"/>
        <w:rPr>
          <w:lang w:val="en-US"/>
        </w:rPr>
      </w:pPr>
      <w:r w:rsidRPr="00DD2D48">
        <w:rPr>
          <w:lang w:val="en-US"/>
        </w:rPr>
        <w:t>Crouch, C., 2004. Post-democracy. Polity, Cambridge.</w:t>
      </w:r>
    </w:p>
    <w:p w14:paraId="010DD23A" w14:textId="77777777" w:rsidR="00DD2D48" w:rsidRDefault="00DD2D48" w:rsidP="00DD2D48">
      <w:pPr>
        <w:ind w:hanging="480"/>
      </w:pPr>
      <w:r>
        <w:lastRenderedPageBreak/>
        <w:t>Dietsch, P., Claveau, F., Fontan, C., 2019. Les banques centrales servent-elles nos intérêts? Raisons d’agir, Paris.</w:t>
      </w:r>
    </w:p>
    <w:p w14:paraId="0A46AE8D" w14:textId="77777777" w:rsidR="00DD2D48" w:rsidRDefault="00DD2D48" w:rsidP="00DD2D48">
      <w:pPr>
        <w:ind w:hanging="480"/>
      </w:pPr>
      <w:proofErr w:type="spellStart"/>
      <w:r>
        <w:t>Dobry</w:t>
      </w:r>
      <w:proofErr w:type="spellEnd"/>
      <w:r>
        <w:t>, M., 1992. Sociologie des crises politiques. Presses de la Fondation nationale des sciences politiques, Paris.</w:t>
      </w:r>
    </w:p>
    <w:p w14:paraId="54A31987" w14:textId="1FE68657" w:rsidR="00DD2D48" w:rsidRPr="00DD2D48" w:rsidRDefault="00DD2D48" w:rsidP="00DD2D48">
      <w:pPr>
        <w:ind w:hanging="480"/>
        <w:rPr>
          <w:lang w:val="en-US"/>
        </w:rPr>
      </w:pPr>
      <w:proofErr w:type="spellStart"/>
      <w:r>
        <w:t>Drudi</w:t>
      </w:r>
      <w:proofErr w:type="spellEnd"/>
      <w:r>
        <w:t xml:space="preserve">, F., </w:t>
      </w:r>
      <w:proofErr w:type="spellStart"/>
      <w:r>
        <w:t>Durré</w:t>
      </w:r>
      <w:proofErr w:type="spellEnd"/>
      <w:r>
        <w:t xml:space="preserve">, A., </w:t>
      </w:r>
      <w:proofErr w:type="spellStart"/>
      <w:r>
        <w:t>Mongelli</w:t>
      </w:r>
      <w:proofErr w:type="spellEnd"/>
      <w:r>
        <w:t xml:space="preserve">, F.P., 2012. </w:t>
      </w:r>
      <w:r w:rsidRPr="00DD2D48">
        <w:rPr>
          <w:lang w:val="en-US"/>
        </w:rPr>
        <w:t xml:space="preserve">The Interplay of Economic Reforms and Monetary Policy: The Case of the Eurozone*. JCMS: Journal of Common Market Studies 50, 881–898. </w:t>
      </w:r>
    </w:p>
    <w:p w14:paraId="1017339B" w14:textId="77777777" w:rsidR="00DD2D48" w:rsidRPr="00DD2D48" w:rsidRDefault="00DD2D48" w:rsidP="00DD2D48">
      <w:pPr>
        <w:ind w:hanging="480"/>
        <w:rPr>
          <w:lang w:val="en-US"/>
        </w:rPr>
      </w:pPr>
      <w:r w:rsidRPr="00DD2D48">
        <w:rPr>
          <w:lang w:val="en-US"/>
        </w:rPr>
        <w:t>Dyson, K., 2014. States, Debt, and Power: “Saints” and “Sinners” in European History and Integration. OUP Oxford, Oxford.</w:t>
      </w:r>
    </w:p>
    <w:p w14:paraId="65238C03" w14:textId="77777777" w:rsidR="00DD2D48" w:rsidRDefault="00DD2D48" w:rsidP="00DD2D48">
      <w:pPr>
        <w:ind w:hanging="480"/>
      </w:pPr>
      <w:r w:rsidRPr="00DD2D48">
        <w:rPr>
          <w:lang w:val="en-US"/>
        </w:rPr>
        <w:t xml:space="preserve">Dyson, K.H.F., </w:t>
      </w:r>
      <w:proofErr w:type="spellStart"/>
      <w:r w:rsidRPr="00DD2D48">
        <w:rPr>
          <w:lang w:val="en-US"/>
        </w:rPr>
        <w:t>Marcussen</w:t>
      </w:r>
      <w:proofErr w:type="spellEnd"/>
      <w:r w:rsidRPr="00DD2D48">
        <w:rPr>
          <w:lang w:val="en-US"/>
        </w:rPr>
        <w:t xml:space="preserve">, M., 2009. Central banks in the age of the euro: Europeanization, convergence, and power. </w:t>
      </w:r>
      <w:r>
        <w:t xml:space="preserve">Oxford </w:t>
      </w:r>
      <w:proofErr w:type="spellStart"/>
      <w:r>
        <w:t>University</w:t>
      </w:r>
      <w:proofErr w:type="spellEnd"/>
      <w:r>
        <w:t xml:space="preserve"> </w:t>
      </w:r>
      <w:proofErr w:type="spellStart"/>
      <w:r>
        <w:t>Press</w:t>
      </w:r>
      <w:proofErr w:type="spellEnd"/>
      <w:r>
        <w:t>, Oxford.</w:t>
      </w:r>
    </w:p>
    <w:p w14:paraId="1FBF2C9A" w14:textId="69BC8049" w:rsidR="00DD2D48" w:rsidRDefault="00DD2D48" w:rsidP="00DD2D48">
      <w:pPr>
        <w:ind w:hanging="480"/>
      </w:pPr>
      <w:r w:rsidRPr="00DD2D48">
        <w:rPr>
          <w:lang w:val="en-US"/>
        </w:rPr>
        <w:t xml:space="preserve">Fontan, C., 2018. Frankfurt’s double standard: the politics of the European Central Bank during the Eurozone crisis. </w:t>
      </w:r>
      <w:r>
        <w:t xml:space="preserve">Cambridge </w:t>
      </w:r>
      <w:proofErr w:type="spellStart"/>
      <w:r>
        <w:t>Review</w:t>
      </w:r>
      <w:proofErr w:type="spellEnd"/>
      <w:r>
        <w:t xml:space="preserve"> of International </w:t>
      </w:r>
      <w:proofErr w:type="spellStart"/>
      <w:r>
        <w:t>Affairs</w:t>
      </w:r>
      <w:proofErr w:type="spellEnd"/>
      <w:r>
        <w:t xml:space="preserve"> 31, 162–182. </w:t>
      </w:r>
    </w:p>
    <w:p w14:paraId="041EDDCD" w14:textId="77777777" w:rsidR="00DD2D48" w:rsidRDefault="00DD2D48" w:rsidP="00DD2D48">
      <w:pPr>
        <w:ind w:hanging="480"/>
      </w:pPr>
      <w:r>
        <w:t>Fontan, C., 2014. L’art du grand écart. Gouvernement et action publique N° 2, 103–123.</w:t>
      </w:r>
    </w:p>
    <w:p w14:paraId="2F2FAA63" w14:textId="7B2B4344" w:rsidR="00DD2D48" w:rsidRDefault="00DD2D48" w:rsidP="00DD2D48">
      <w:pPr>
        <w:ind w:hanging="480"/>
      </w:pPr>
      <w:r>
        <w:t xml:space="preserve">Fontan, C., 2013. Frankenstein en Europe. L’impact de la Banque centrale européenne sur la gestion de la crise de la zone euro. Politique européenne 42, 22–45. </w:t>
      </w:r>
    </w:p>
    <w:p w14:paraId="52A8522F" w14:textId="77777777" w:rsidR="00DD2D48" w:rsidRDefault="00DD2D48" w:rsidP="00DD2D48">
      <w:pPr>
        <w:ind w:hanging="480"/>
      </w:pPr>
      <w:r>
        <w:t xml:space="preserve">Fontan, C., Carré, E., L’Oeillet, G., 2018. </w:t>
      </w:r>
      <w:r w:rsidRPr="00DD2D48">
        <w:rPr>
          <w:lang w:val="en-US"/>
        </w:rPr>
        <w:t xml:space="preserve">Theoretical perspectives on the new era of central banking. </w:t>
      </w:r>
      <w:r>
        <w:t xml:space="preserve">French </w:t>
      </w:r>
      <w:proofErr w:type="spellStart"/>
      <w:r>
        <w:t>Politics</w:t>
      </w:r>
      <w:proofErr w:type="spellEnd"/>
      <w:r>
        <w:t xml:space="preserve"> 16, 453–470.</w:t>
      </w:r>
    </w:p>
    <w:p w14:paraId="1E65B416" w14:textId="7E2F6464" w:rsidR="00DD2D48" w:rsidRPr="00DD2D48" w:rsidRDefault="00DD2D48" w:rsidP="00DD2D48">
      <w:pPr>
        <w:ind w:hanging="480"/>
        <w:rPr>
          <w:lang w:val="en-US"/>
        </w:rPr>
      </w:pPr>
      <w:r>
        <w:t xml:space="preserve">Fontan, C., Claveau, F., Dietsch, P., 2016. </w:t>
      </w:r>
      <w:r w:rsidRPr="00DD2D48">
        <w:rPr>
          <w:lang w:val="en-US"/>
        </w:rPr>
        <w:t xml:space="preserve">Central banking and inequalities: Taking off the blinders. Politics, Philosophy &amp; Economics 15, 319–357. </w:t>
      </w:r>
    </w:p>
    <w:p w14:paraId="3EBA6FC2" w14:textId="2B55306C" w:rsidR="00DD2D48" w:rsidRDefault="00DD2D48" w:rsidP="00DD2D48">
      <w:pPr>
        <w:ind w:hanging="480"/>
      </w:pPr>
      <w:r w:rsidRPr="00DD2D48">
        <w:rPr>
          <w:lang w:val="en-US"/>
        </w:rPr>
        <w:t xml:space="preserve">Fontan, C., </w:t>
      </w:r>
      <w:proofErr w:type="spellStart"/>
      <w:r w:rsidRPr="00DD2D48">
        <w:rPr>
          <w:lang w:val="en-US"/>
        </w:rPr>
        <w:t>Saurugger</w:t>
      </w:r>
      <w:proofErr w:type="spellEnd"/>
      <w:r w:rsidRPr="00DD2D48">
        <w:rPr>
          <w:lang w:val="en-US"/>
        </w:rPr>
        <w:t xml:space="preserve">, S., 2019. </w:t>
      </w:r>
      <w:proofErr w:type="gramStart"/>
      <w:r w:rsidRPr="00DD2D48">
        <w:rPr>
          <w:lang w:val="en-US"/>
        </w:rPr>
        <w:t>Between a Rock and a Hard Place</w:t>
      </w:r>
      <w:proofErr w:type="gramEnd"/>
      <w:r w:rsidRPr="00DD2D48">
        <w:rPr>
          <w:lang w:val="en-US"/>
        </w:rPr>
        <w:t xml:space="preserve">: Preference Formation in France During the Eurozone Crisis. </w:t>
      </w:r>
      <w:proofErr w:type="spellStart"/>
      <w:r>
        <w:t>Political</w:t>
      </w:r>
      <w:proofErr w:type="spellEnd"/>
      <w:r>
        <w:t xml:space="preserve"> </w:t>
      </w:r>
      <w:proofErr w:type="spellStart"/>
      <w:r>
        <w:t>Studies</w:t>
      </w:r>
      <w:proofErr w:type="spellEnd"/>
      <w:r>
        <w:t xml:space="preserve"> </w:t>
      </w:r>
      <w:proofErr w:type="spellStart"/>
      <w:r>
        <w:t>Review</w:t>
      </w:r>
      <w:proofErr w:type="spellEnd"/>
      <w:r>
        <w:t xml:space="preserve"> </w:t>
      </w:r>
      <w:hyperlink r:id="rId8" w:history="1">
        <w:r>
          <w:rPr>
            <w:rStyle w:val="Lienhypertexte"/>
          </w:rPr>
          <w:t>https://doi.org/10.1177/1478929919868600</w:t>
        </w:r>
      </w:hyperlink>
    </w:p>
    <w:p w14:paraId="115E2F0F" w14:textId="77777777" w:rsidR="00DD2D48" w:rsidRPr="00DD2D48" w:rsidRDefault="00DD2D48" w:rsidP="00DD2D48">
      <w:pPr>
        <w:ind w:hanging="480"/>
        <w:rPr>
          <w:lang w:val="en-US"/>
        </w:rPr>
      </w:pPr>
      <w:r w:rsidRPr="00DD2D48">
        <w:rPr>
          <w:lang w:val="en-US"/>
        </w:rPr>
        <w:t xml:space="preserve">Gabor, D., Ban, C., 2016. </w:t>
      </w:r>
      <w:proofErr w:type="gramStart"/>
      <w:r w:rsidRPr="00DD2D48">
        <w:rPr>
          <w:lang w:val="en-US"/>
        </w:rPr>
        <w:t>Banking</w:t>
      </w:r>
      <w:proofErr w:type="gramEnd"/>
      <w:r w:rsidRPr="00DD2D48">
        <w:rPr>
          <w:lang w:val="en-US"/>
        </w:rPr>
        <w:t xml:space="preserve"> on Bonds: The New Links Between States and Markets. JCMS: Journal of Common Market Studies 54, 617–635.</w:t>
      </w:r>
    </w:p>
    <w:p w14:paraId="65401429" w14:textId="77777777" w:rsidR="00DD2D48" w:rsidRPr="00DD2D48" w:rsidRDefault="00DD2D48" w:rsidP="00DD2D48">
      <w:pPr>
        <w:ind w:hanging="480"/>
        <w:rPr>
          <w:lang w:val="en-US"/>
        </w:rPr>
      </w:pPr>
      <w:r w:rsidRPr="00DD2D48">
        <w:rPr>
          <w:lang w:val="en-US"/>
        </w:rPr>
        <w:t xml:space="preserve">Genovese, F., Schneider, G., </w:t>
      </w:r>
      <w:proofErr w:type="spellStart"/>
      <w:r w:rsidRPr="00DD2D48">
        <w:rPr>
          <w:lang w:val="en-US"/>
        </w:rPr>
        <w:t>Wassmann</w:t>
      </w:r>
      <w:proofErr w:type="spellEnd"/>
      <w:r w:rsidRPr="00DD2D48">
        <w:rPr>
          <w:lang w:val="en-US"/>
        </w:rPr>
        <w:t xml:space="preserve">, P., 2016. The </w:t>
      </w:r>
      <w:proofErr w:type="spellStart"/>
      <w:r w:rsidRPr="00DD2D48">
        <w:rPr>
          <w:lang w:val="en-US"/>
        </w:rPr>
        <w:t>Eurotower</w:t>
      </w:r>
      <w:proofErr w:type="spellEnd"/>
      <w:r w:rsidRPr="00DD2D48">
        <w:rPr>
          <w:lang w:val="en-US"/>
        </w:rPr>
        <w:t xml:space="preserve"> strikes back: Crises, adjustments, and Europe’s austerity protests. Comparative Political Studies 49, 939–967.</w:t>
      </w:r>
    </w:p>
    <w:p w14:paraId="66524E32" w14:textId="77777777" w:rsidR="00DD2D48" w:rsidRPr="00DD2D48" w:rsidRDefault="00DD2D48" w:rsidP="00DD2D48">
      <w:pPr>
        <w:ind w:hanging="480"/>
        <w:rPr>
          <w:lang w:val="en-US"/>
        </w:rPr>
      </w:pPr>
      <w:proofErr w:type="spellStart"/>
      <w:r w:rsidRPr="00DD2D48">
        <w:rPr>
          <w:lang w:val="en-US"/>
        </w:rPr>
        <w:t>Goodhart</w:t>
      </w:r>
      <w:proofErr w:type="spellEnd"/>
      <w:r w:rsidRPr="00DD2D48">
        <w:rPr>
          <w:lang w:val="en-US"/>
        </w:rPr>
        <w:t xml:space="preserve">, C., Gabor, D., </w:t>
      </w:r>
      <w:proofErr w:type="spellStart"/>
      <w:r w:rsidRPr="00DD2D48">
        <w:rPr>
          <w:lang w:val="en-US"/>
        </w:rPr>
        <w:t>Vestergaard</w:t>
      </w:r>
      <w:proofErr w:type="spellEnd"/>
      <w:r w:rsidRPr="00DD2D48">
        <w:rPr>
          <w:lang w:val="en-US"/>
        </w:rPr>
        <w:t xml:space="preserve">, J., </w:t>
      </w:r>
      <w:proofErr w:type="spellStart"/>
      <w:r w:rsidRPr="00DD2D48">
        <w:rPr>
          <w:lang w:val="en-US"/>
        </w:rPr>
        <w:t>Ertürk</w:t>
      </w:r>
      <w:proofErr w:type="spellEnd"/>
      <w:r w:rsidRPr="00DD2D48">
        <w:rPr>
          <w:lang w:val="en-US"/>
        </w:rPr>
        <w:t>, I. (Eds.), 2014. Central Banking at a Crossroads: Europe and Beyond. Anthem Press, London.</w:t>
      </w:r>
    </w:p>
    <w:p w14:paraId="7E8EC42E" w14:textId="45C07A1E" w:rsidR="00DD2D48" w:rsidRPr="00DD2D48" w:rsidRDefault="00DD2D48" w:rsidP="00DD2D48">
      <w:pPr>
        <w:ind w:hanging="480"/>
        <w:rPr>
          <w:lang w:val="en-US"/>
        </w:rPr>
      </w:pPr>
      <w:r w:rsidRPr="00DD2D48">
        <w:rPr>
          <w:lang w:val="en-US"/>
        </w:rPr>
        <w:t xml:space="preserve">Hall, P.A., 2012. The Economics and Politics of the Euro Crisis. German Politics 21, 355–371. </w:t>
      </w:r>
    </w:p>
    <w:p w14:paraId="460907C1" w14:textId="77777777" w:rsidR="00DD2D48" w:rsidRDefault="00DD2D48" w:rsidP="00DD2D48">
      <w:pPr>
        <w:ind w:hanging="480"/>
      </w:pPr>
      <w:r w:rsidRPr="00DD2D48">
        <w:rPr>
          <w:lang w:val="en-US"/>
        </w:rPr>
        <w:t xml:space="preserve">Henning, C.R., 2017. Tangled Governance: International Regime Complexity, the Troika, and the Euro Crisis. </w:t>
      </w:r>
      <w:r>
        <w:t xml:space="preserve">Oxford </w:t>
      </w:r>
      <w:proofErr w:type="spellStart"/>
      <w:r>
        <w:t>University</w:t>
      </w:r>
      <w:proofErr w:type="spellEnd"/>
      <w:r>
        <w:t xml:space="preserve"> </w:t>
      </w:r>
      <w:proofErr w:type="spellStart"/>
      <w:r>
        <w:t>Press</w:t>
      </w:r>
      <w:proofErr w:type="spellEnd"/>
      <w:r>
        <w:t>.</w:t>
      </w:r>
    </w:p>
    <w:p w14:paraId="637B5871" w14:textId="77777777" w:rsidR="00DD2D48" w:rsidRPr="00DD2D48" w:rsidRDefault="00DD2D48" w:rsidP="00DD2D48">
      <w:pPr>
        <w:ind w:hanging="480"/>
        <w:rPr>
          <w:lang w:val="en-US"/>
        </w:rPr>
      </w:pPr>
      <w:proofErr w:type="spellStart"/>
      <w:r w:rsidRPr="00DD2D48">
        <w:rPr>
          <w:lang w:val="en-US"/>
        </w:rPr>
        <w:t>Högenauer</w:t>
      </w:r>
      <w:proofErr w:type="spellEnd"/>
      <w:r w:rsidRPr="00DD2D48">
        <w:rPr>
          <w:lang w:val="en-US"/>
        </w:rPr>
        <w:t xml:space="preserve">, A.-L., </w:t>
      </w:r>
      <w:proofErr w:type="spellStart"/>
      <w:r w:rsidRPr="00DD2D48">
        <w:rPr>
          <w:lang w:val="en-US"/>
        </w:rPr>
        <w:t>Howarth</w:t>
      </w:r>
      <w:proofErr w:type="spellEnd"/>
      <w:r w:rsidRPr="00DD2D48">
        <w:rPr>
          <w:lang w:val="en-US"/>
        </w:rPr>
        <w:t xml:space="preserve">, D., 2016. Unconventional Monetary Policies and the European Central Bank’s Problematic Democratic Legitimacy. </w:t>
      </w:r>
      <w:proofErr w:type="spellStart"/>
      <w:r w:rsidRPr="00DD2D48">
        <w:rPr>
          <w:lang w:val="en-US"/>
        </w:rPr>
        <w:t>Zeitschrift</w:t>
      </w:r>
      <w:proofErr w:type="spellEnd"/>
      <w:r w:rsidRPr="00DD2D48">
        <w:rPr>
          <w:lang w:val="en-US"/>
        </w:rPr>
        <w:t xml:space="preserve"> </w:t>
      </w:r>
      <w:proofErr w:type="spellStart"/>
      <w:r w:rsidRPr="00DD2D48">
        <w:rPr>
          <w:lang w:val="en-US"/>
        </w:rPr>
        <w:t>für</w:t>
      </w:r>
      <w:proofErr w:type="spellEnd"/>
      <w:r w:rsidRPr="00DD2D48">
        <w:rPr>
          <w:lang w:val="en-US"/>
        </w:rPr>
        <w:t xml:space="preserve"> </w:t>
      </w:r>
      <w:proofErr w:type="spellStart"/>
      <w:r w:rsidRPr="00DD2D48">
        <w:rPr>
          <w:lang w:val="en-US"/>
        </w:rPr>
        <w:t>öffentliches</w:t>
      </w:r>
      <w:proofErr w:type="spellEnd"/>
      <w:r w:rsidRPr="00DD2D48">
        <w:rPr>
          <w:lang w:val="en-US"/>
        </w:rPr>
        <w:t xml:space="preserve"> </w:t>
      </w:r>
      <w:proofErr w:type="spellStart"/>
      <w:r w:rsidRPr="00DD2D48">
        <w:rPr>
          <w:lang w:val="en-US"/>
        </w:rPr>
        <w:t>Recht</w:t>
      </w:r>
      <w:proofErr w:type="spellEnd"/>
      <w:r w:rsidRPr="00DD2D48">
        <w:rPr>
          <w:lang w:val="en-US"/>
        </w:rPr>
        <w:t xml:space="preserve"> 71, 1–24.</w:t>
      </w:r>
    </w:p>
    <w:p w14:paraId="0DFCE562" w14:textId="0419B8D4" w:rsidR="00DD2D48" w:rsidRPr="00DD2D48" w:rsidRDefault="00DD2D48" w:rsidP="00DD2D48">
      <w:pPr>
        <w:ind w:hanging="480"/>
        <w:rPr>
          <w:lang w:val="en-US"/>
        </w:rPr>
      </w:pPr>
      <w:proofErr w:type="spellStart"/>
      <w:r w:rsidRPr="00DD2D48">
        <w:rPr>
          <w:lang w:val="en-US"/>
        </w:rPr>
        <w:t>Howarth</w:t>
      </w:r>
      <w:proofErr w:type="spellEnd"/>
      <w:r w:rsidRPr="00DD2D48">
        <w:rPr>
          <w:lang w:val="en-US"/>
        </w:rPr>
        <w:t xml:space="preserve">, D., 2004. The ECB and the Stability Pact: </w:t>
      </w:r>
      <w:proofErr w:type="gramStart"/>
      <w:r w:rsidRPr="00DD2D48">
        <w:rPr>
          <w:lang w:val="en-US"/>
        </w:rPr>
        <w:t>policeman</w:t>
      </w:r>
      <w:proofErr w:type="gramEnd"/>
      <w:r w:rsidRPr="00DD2D48">
        <w:rPr>
          <w:lang w:val="en-US"/>
        </w:rPr>
        <w:t xml:space="preserve"> and judge? Journal of European Public Policy 11, 832–853. </w:t>
      </w:r>
    </w:p>
    <w:p w14:paraId="39F89D85" w14:textId="77777777" w:rsidR="00DD2D48" w:rsidRPr="00DD2D48" w:rsidRDefault="00DD2D48" w:rsidP="00DD2D48">
      <w:pPr>
        <w:ind w:hanging="480"/>
        <w:rPr>
          <w:lang w:val="en-US"/>
        </w:rPr>
      </w:pPr>
      <w:proofErr w:type="spellStart"/>
      <w:r w:rsidRPr="00DD2D48">
        <w:rPr>
          <w:lang w:val="en-US"/>
        </w:rPr>
        <w:t>Howarth</w:t>
      </w:r>
      <w:proofErr w:type="spellEnd"/>
      <w:r w:rsidRPr="00DD2D48">
        <w:rPr>
          <w:lang w:val="en-US"/>
        </w:rPr>
        <w:t xml:space="preserve">, D., </w:t>
      </w:r>
      <w:proofErr w:type="spellStart"/>
      <w:r w:rsidRPr="00DD2D48">
        <w:rPr>
          <w:lang w:val="en-US"/>
        </w:rPr>
        <w:t>Loedel</w:t>
      </w:r>
      <w:proofErr w:type="spellEnd"/>
      <w:r w:rsidRPr="00DD2D48">
        <w:rPr>
          <w:lang w:val="en-US"/>
        </w:rPr>
        <w:t>, P.H., 2005. The European Central Bank: the new European leviathan? Palgrave Macmillan, Basingstoke.</w:t>
      </w:r>
    </w:p>
    <w:p w14:paraId="11BFC4A5" w14:textId="77777777" w:rsidR="00DD2D48" w:rsidRPr="00DD2D48" w:rsidRDefault="00DD2D48" w:rsidP="00DD2D48">
      <w:pPr>
        <w:ind w:hanging="480"/>
        <w:rPr>
          <w:lang w:val="en-US"/>
        </w:rPr>
      </w:pPr>
      <w:proofErr w:type="spellStart"/>
      <w:r w:rsidRPr="00DD2D48">
        <w:rPr>
          <w:lang w:val="en-US"/>
        </w:rPr>
        <w:t>Howarth</w:t>
      </w:r>
      <w:proofErr w:type="spellEnd"/>
      <w:r w:rsidRPr="00DD2D48">
        <w:rPr>
          <w:lang w:val="en-US"/>
        </w:rPr>
        <w:t xml:space="preserve">, D.J., </w:t>
      </w:r>
      <w:proofErr w:type="spellStart"/>
      <w:r w:rsidRPr="00DD2D48">
        <w:rPr>
          <w:lang w:val="en-US"/>
        </w:rPr>
        <w:t>Quaglia</w:t>
      </w:r>
      <w:proofErr w:type="spellEnd"/>
      <w:r w:rsidRPr="00DD2D48">
        <w:rPr>
          <w:lang w:val="en-US"/>
        </w:rPr>
        <w:t>, L., 2016. The Political Economy of European Banking Union. Oxford University Press.</w:t>
      </w:r>
    </w:p>
    <w:p w14:paraId="04E7B2CE" w14:textId="77777777" w:rsidR="00DD2D48" w:rsidRDefault="00DD2D48" w:rsidP="00DD2D48">
      <w:pPr>
        <w:ind w:hanging="480"/>
      </w:pPr>
      <w:proofErr w:type="spellStart"/>
      <w:r w:rsidRPr="00DD2D48">
        <w:rPr>
          <w:lang w:val="en-US"/>
        </w:rPr>
        <w:t>Issing</w:t>
      </w:r>
      <w:proofErr w:type="spellEnd"/>
      <w:r w:rsidRPr="00DD2D48">
        <w:rPr>
          <w:lang w:val="en-US"/>
        </w:rPr>
        <w:t xml:space="preserve">, O., Gaspar, V., </w:t>
      </w:r>
      <w:proofErr w:type="spellStart"/>
      <w:r w:rsidRPr="00DD2D48">
        <w:rPr>
          <w:lang w:val="en-US"/>
        </w:rPr>
        <w:t>Angeloni</w:t>
      </w:r>
      <w:proofErr w:type="spellEnd"/>
      <w:r w:rsidRPr="00DD2D48">
        <w:rPr>
          <w:lang w:val="en-US"/>
        </w:rPr>
        <w:t xml:space="preserve">, I., </w:t>
      </w:r>
      <w:proofErr w:type="spellStart"/>
      <w:r w:rsidRPr="00DD2D48">
        <w:rPr>
          <w:lang w:val="en-US"/>
        </w:rPr>
        <w:t>Tristani</w:t>
      </w:r>
      <w:proofErr w:type="spellEnd"/>
      <w:r w:rsidRPr="00DD2D48">
        <w:rPr>
          <w:lang w:val="en-US"/>
        </w:rPr>
        <w:t xml:space="preserve">, O., 2001. Monetary Policy in the Euro Area: Strategy and Decision-Making at the European Central Bank. </w:t>
      </w:r>
      <w:r>
        <w:t xml:space="preserve">Cambridge </w:t>
      </w:r>
      <w:proofErr w:type="spellStart"/>
      <w:r>
        <w:t>University</w:t>
      </w:r>
      <w:proofErr w:type="spellEnd"/>
      <w:r>
        <w:t xml:space="preserve"> </w:t>
      </w:r>
      <w:proofErr w:type="spellStart"/>
      <w:r>
        <w:t>Press</w:t>
      </w:r>
      <w:proofErr w:type="spellEnd"/>
      <w:r>
        <w:t>, Cambridge.</w:t>
      </w:r>
    </w:p>
    <w:p w14:paraId="47C3398A" w14:textId="77777777" w:rsidR="00DD2D48" w:rsidRDefault="00DD2D48" w:rsidP="00DD2D48">
      <w:pPr>
        <w:ind w:hanging="480"/>
      </w:pPr>
      <w:r>
        <w:t xml:space="preserve">Jacquot, S., </w:t>
      </w:r>
      <w:proofErr w:type="spellStart"/>
      <w:r>
        <w:t>Woll</w:t>
      </w:r>
      <w:proofErr w:type="spellEnd"/>
      <w:r>
        <w:t xml:space="preserve">, C., 2004. Les usages de l’Europe: acteurs et transformations européennes. Editions </w:t>
      </w:r>
      <w:proofErr w:type="spellStart"/>
      <w:r>
        <w:t>L’Harmattan</w:t>
      </w:r>
      <w:proofErr w:type="spellEnd"/>
      <w:r>
        <w:t>.</w:t>
      </w:r>
    </w:p>
    <w:p w14:paraId="27833F85" w14:textId="77777777" w:rsidR="00DD2D48" w:rsidRPr="00DD2D48" w:rsidRDefault="00DD2D48" w:rsidP="00DD2D48">
      <w:pPr>
        <w:ind w:hanging="480"/>
        <w:rPr>
          <w:lang w:val="en-US"/>
        </w:rPr>
      </w:pPr>
      <w:r>
        <w:t xml:space="preserve">Jobert, B., 1994. Le tournant néo-libéral en Europe: idées et recettes dans les pratiques gouvernementales. </w:t>
      </w:r>
      <w:r w:rsidRPr="00DD2D48">
        <w:rPr>
          <w:lang w:val="en-US"/>
        </w:rPr>
        <w:t xml:space="preserve">Editions </w:t>
      </w:r>
      <w:proofErr w:type="spellStart"/>
      <w:r w:rsidRPr="00DD2D48">
        <w:rPr>
          <w:lang w:val="en-US"/>
        </w:rPr>
        <w:t>L’Harmattan</w:t>
      </w:r>
      <w:proofErr w:type="spellEnd"/>
      <w:r w:rsidRPr="00DD2D48">
        <w:rPr>
          <w:lang w:val="en-US"/>
        </w:rPr>
        <w:t>, Paris.</w:t>
      </w:r>
    </w:p>
    <w:p w14:paraId="7128A9BB" w14:textId="77777777" w:rsidR="00DD2D48" w:rsidRPr="00DD2D48" w:rsidRDefault="00DD2D48" w:rsidP="00DD2D48">
      <w:pPr>
        <w:ind w:hanging="480"/>
        <w:rPr>
          <w:lang w:val="en-US"/>
        </w:rPr>
      </w:pPr>
      <w:proofErr w:type="spellStart"/>
      <w:r w:rsidRPr="00DD2D48">
        <w:rPr>
          <w:lang w:val="en-US"/>
        </w:rPr>
        <w:t>Jonung</w:t>
      </w:r>
      <w:proofErr w:type="spellEnd"/>
      <w:r w:rsidRPr="00DD2D48">
        <w:rPr>
          <w:lang w:val="en-US"/>
        </w:rPr>
        <w:t xml:space="preserve">, L., </w:t>
      </w:r>
      <w:proofErr w:type="spellStart"/>
      <w:r w:rsidRPr="00DD2D48">
        <w:rPr>
          <w:lang w:val="en-US"/>
        </w:rPr>
        <w:t>Drea</w:t>
      </w:r>
      <w:proofErr w:type="spellEnd"/>
      <w:r w:rsidRPr="00DD2D48">
        <w:rPr>
          <w:lang w:val="en-US"/>
        </w:rPr>
        <w:t xml:space="preserve">, E., 2010. It </w:t>
      </w:r>
      <w:proofErr w:type="gramStart"/>
      <w:r w:rsidRPr="00DD2D48">
        <w:rPr>
          <w:lang w:val="en-US"/>
        </w:rPr>
        <w:t>Can’t</w:t>
      </w:r>
      <w:proofErr w:type="gramEnd"/>
      <w:r w:rsidRPr="00DD2D48">
        <w:rPr>
          <w:lang w:val="en-US"/>
        </w:rPr>
        <w:t xml:space="preserve"> Happen, It’s a Bad Idea, It Won’t Last: U.S. Economists on the EMU and the Euro, 1989-2002. Econ Journal Watch, Econ Journal Watch 7, 4–52.</w:t>
      </w:r>
    </w:p>
    <w:p w14:paraId="400451A9" w14:textId="77777777" w:rsidR="00DD2D48" w:rsidRPr="00DD2D48" w:rsidRDefault="00DD2D48" w:rsidP="00DD2D48">
      <w:pPr>
        <w:ind w:hanging="480"/>
        <w:rPr>
          <w:lang w:val="en-US"/>
        </w:rPr>
      </w:pPr>
      <w:proofErr w:type="spellStart"/>
      <w:r w:rsidRPr="00DD2D48">
        <w:rPr>
          <w:lang w:val="en-US"/>
        </w:rPr>
        <w:t>Kalaitzake</w:t>
      </w:r>
      <w:proofErr w:type="spellEnd"/>
      <w:r w:rsidRPr="00DD2D48">
        <w:rPr>
          <w:lang w:val="en-US"/>
        </w:rPr>
        <w:t xml:space="preserve">, M., 2019. Central banking and financial political power: An investigation into the </w:t>
      </w:r>
      <w:r w:rsidRPr="00DD2D48">
        <w:rPr>
          <w:lang w:val="en-US"/>
        </w:rPr>
        <w:lastRenderedPageBreak/>
        <w:t>European Central Bank. Competition &amp; Change 23, 221–244.</w:t>
      </w:r>
    </w:p>
    <w:p w14:paraId="00BD9B70" w14:textId="77777777" w:rsidR="00DD2D48" w:rsidRPr="00DD2D48" w:rsidRDefault="00DD2D48" w:rsidP="00DD2D48">
      <w:pPr>
        <w:ind w:hanging="480"/>
        <w:rPr>
          <w:lang w:val="en-US"/>
        </w:rPr>
      </w:pPr>
      <w:proofErr w:type="spellStart"/>
      <w:r w:rsidRPr="00DD2D48">
        <w:rPr>
          <w:lang w:val="en-US"/>
        </w:rPr>
        <w:t>Kalaitzake</w:t>
      </w:r>
      <w:proofErr w:type="spellEnd"/>
      <w:r w:rsidRPr="00DD2D48">
        <w:rPr>
          <w:lang w:val="en-US"/>
        </w:rPr>
        <w:t>, M., 2017. Death by a Thousand Cuts? Financial Political Power and the Case of the European Financial Transaction Tax. New Political Economy 22, 709–726.</w:t>
      </w:r>
    </w:p>
    <w:p w14:paraId="0500BF67" w14:textId="69D44E04" w:rsidR="00DD2D48" w:rsidRPr="00DD2D48" w:rsidRDefault="00DD2D48" w:rsidP="00DD2D48">
      <w:pPr>
        <w:ind w:hanging="480"/>
        <w:rPr>
          <w:lang w:val="en-US"/>
        </w:rPr>
      </w:pPr>
      <w:r w:rsidRPr="00DD2D48">
        <w:rPr>
          <w:lang w:val="en-US"/>
        </w:rPr>
        <w:t xml:space="preserve">Klooster, J. </w:t>
      </w:r>
      <w:proofErr w:type="gramStart"/>
      <w:r w:rsidRPr="00DD2D48">
        <w:rPr>
          <w:lang w:val="en-US"/>
        </w:rPr>
        <w:t>van ’t</w:t>
      </w:r>
      <w:proofErr w:type="gramEnd"/>
      <w:r w:rsidRPr="00DD2D48">
        <w:rPr>
          <w:lang w:val="en-US"/>
        </w:rPr>
        <w:t xml:space="preserve">, Fontan, C., 2019. The Myth of Market Neutrality: A Comparative Study of the European Central Bank’s and the Swiss National Bank’s Corporate Security Purchases. New Political Economy. </w:t>
      </w:r>
      <w:hyperlink r:id="rId9" w:history="1">
        <w:r w:rsidRPr="00DD2D48">
          <w:rPr>
            <w:rStyle w:val="Lienhypertexte"/>
            <w:lang w:val="en-US"/>
          </w:rPr>
          <w:t>https://doi.org/10.1080/13563467.2019.1657077</w:t>
        </w:r>
      </w:hyperlink>
    </w:p>
    <w:p w14:paraId="08BB903D" w14:textId="77777777" w:rsidR="00DD2D48" w:rsidRPr="00DD2D48" w:rsidRDefault="00DD2D48" w:rsidP="00DD2D48">
      <w:pPr>
        <w:ind w:hanging="480"/>
        <w:rPr>
          <w:lang w:val="en-US"/>
        </w:rPr>
      </w:pPr>
      <w:proofErr w:type="spellStart"/>
      <w:r w:rsidRPr="00DD2D48">
        <w:rPr>
          <w:lang w:val="en-US"/>
        </w:rPr>
        <w:t>Kydland</w:t>
      </w:r>
      <w:proofErr w:type="spellEnd"/>
      <w:r w:rsidRPr="00DD2D48">
        <w:rPr>
          <w:lang w:val="en-US"/>
        </w:rPr>
        <w:t>, F.E., Prescott, E.C., 1977. Rules rather than discretion: The inconsistency of optimal plans. The Journal of Political Economy 473–491.</w:t>
      </w:r>
    </w:p>
    <w:p w14:paraId="1E992D84" w14:textId="10C1E7B7" w:rsidR="00DD2D48" w:rsidRPr="00DD2D48" w:rsidRDefault="00DD2D48" w:rsidP="00DD2D48">
      <w:pPr>
        <w:ind w:hanging="480"/>
        <w:rPr>
          <w:lang w:val="en-US"/>
        </w:rPr>
      </w:pPr>
      <w:proofErr w:type="spellStart"/>
      <w:r w:rsidRPr="00DD2D48">
        <w:rPr>
          <w:lang w:val="en-US"/>
        </w:rPr>
        <w:t>Lütz</w:t>
      </w:r>
      <w:proofErr w:type="spellEnd"/>
      <w:r w:rsidRPr="00DD2D48">
        <w:rPr>
          <w:lang w:val="en-US"/>
        </w:rPr>
        <w:t xml:space="preserve">, S., </w:t>
      </w:r>
      <w:proofErr w:type="spellStart"/>
      <w:r w:rsidRPr="00DD2D48">
        <w:rPr>
          <w:lang w:val="en-US"/>
        </w:rPr>
        <w:t>Kranke</w:t>
      </w:r>
      <w:proofErr w:type="spellEnd"/>
      <w:r w:rsidRPr="00DD2D48">
        <w:rPr>
          <w:lang w:val="en-US"/>
        </w:rPr>
        <w:t xml:space="preserve">, M., 2014. The European rescue of the Washington Consensus? EU and IMF lending to Central and Eastern European countries. Review of International Political Economy 21, 310–338. </w:t>
      </w:r>
    </w:p>
    <w:p w14:paraId="7573E1BF" w14:textId="77777777" w:rsidR="00DD2D48" w:rsidRPr="00DD2D48" w:rsidRDefault="00DD2D48" w:rsidP="00DD2D48">
      <w:pPr>
        <w:ind w:hanging="480"/>
        <w:rPr>
          <w:lang w:val="en-US"/>
        </w:rPr>
      </w:pPr>
      <w:proofErr w:type="spellStart"/>
      <w:r w:rsidRPr="00DD2D48">
        <w:rPr>
          <w:lang w:val="en-US"/>
        </w:rPr>
        <w:t>Marcussen</w:t>
      </w:r>
      <w:proofErr w:type="spellEnd"/>
      <w:r w:rsidRPr="00DD2D48">
        <w:rPr>
          <w:lang w:val="en-US"/>
        </w:rPr>
        <w:t xml:space="preserve">, M., 2009. </w:t>
      </w:r>
      <w:proofErr w:type="spellStart"/>
      <w:r w:rsidRPr="00DD2D48">
        <w:rPr>
          <w:lang w:val="en-US"/>
        </w:rPr>
        <w:t>Scientization</w:t>
      </w:r>
      <w:proofErr w:type="spellEnd"/>
      <w:r w:rsidRPr="00DD2D48">
        <w:rPr>
          <w:lang w:val="en-US"/>
        </w:rPr>
        <w:t xml:space="preserve"> of Central Banking: The Politics of A-Politicization, in: Dyson, K.H.F., </w:t>
      </w:r>
      <w:proofErr w:type="spellStart"/>
      <w:r w:rsidRPr="00DD2D48">
        <w:rPr>
          <w:lang w:val="en-US"/>
        </w:rPr>
        <w:t>Marcussen</w:t>
      </w:r>
      <w:proofErr w:type="spellEnd"/>
      <w:r w:rsidRPr="00DD2D48">
        <w:rPr>
          <w:lang w:val="en-US"/>
        </w:rPr>
        <w:t>, M. (Eds.), Central Banks in the Age of the Euro: Europeanization, Convergence, and Power. Oxford University Press, Oxford, pp. 373–390.</w:t>
      </w:r>
    </w:p>
    <w:p w14:paraId="79A842A9" w14:textId="77777777" w:rsidR="00DD2D48" w:rsidRPr="00DD2D48" w:rsidRDefault="00DD2D48" w:rsidP="00DD2D48">
      <w:pPr>
        <w:ind w:hanging="480"/>
        <w:rPr>
          <w:lang w:val="en-US"/>
        </w:rPr>
      </w:pPr>
      <w:r w:rsidRPr="00DD2D48">
        <w:rPr>
          <w:lang w:val="en-US"/>
        </w:rPr>
        <w:t>McNamara, K., 2002. Rational Fictions: Central Bank Independence and the Social Logic of Delegation. West European Politics 25, 47–76.</w:t>
      </w:r>
    </w:p>
    <w:p w14:paraId="47124B59" w14:textId="77777777" w:rsidR="00DD2D48" w:rsidRPr="00DD2D48" w:rsidRDefault="00DD2D48" w:rsidP="00DD2D48">
      <w:pPr>
        <w:ind w:hanging="480"/>
        <w:rPr>
          <w:lang w:val="en-US"/>
        </w:rPr>
      </w:pPr>
      <w:proofErr w:type="spellStart"/>
      <w:r w:rsidRPr="00DD2D48">
        <w:rPr>
          <w:lang w:val="en-US"/>
        </w:rPr>
        <w:t>Mehrling</w:t>
      </w:r>
      <w:proofErr w:type="spellEnd"/>
      <w:r w:rsidRPr="00DD2D48">
        <w:rPr>
          <w:lang w:val="en-US"/>
        </w:rPr>
        <w:t>, P., 2010. The New Lombard Street: How the Fed Became the Dealer of Last Resort. Princeton University Press, Princeton, N.J.</w:t>
      </w:r>
    </w:p>
    <w:p w14:paraId="23E17C36" w14:textId="77777777" w:rsidR="00DD2D48" w:rsidRPr="00DD2D48" w:rsidRDefault="00DD2D48" w:rsidP="00DD2D48">
      <w:pPr>
        <w:ind w:hanging="480"/>
        <w:rPr>
          <w:lang w:val="en-US"/>
        </w:rPr>
      </w:pPr>
      <w:r w:rsidRPr="00DD2D48">
        <w:rPr>
          <w:lang w:val="en-US"/>
        </w:rPr>
        <w:t>OECD, 2015. In It Together: Why Less Inequality Benefits all.</w:t>
      </w:r>
    </w:p>
    <w:p w14:paraId="1C66E628" w14:textId="77777777" w:rsidR="00DD2D48" w:rsidRPr="00DD2D48" w:rsidRDefault="00DD2D48" w:rsidP="00DD2D48">
      <w:pPr>
        <w:ind w:hanging="480"/>
        <w:rPr>
          <w:lang w:val="en-US"/>
        </w:rPr>
      </w:pPr>
      <w:proofErr w:type="spellStart"/>
      <w:r w:rsidRPr="00DD2D48">
        <w:rPr>
          <w:lang w:val="en-US"/>
        </w:rPr>
        <w:t>Pistor</w:t>
      </w:r>
      <w:proofErr w:type="spellEnd"/>
      <w:r w:rsidRPr="00DD2D48">
        <w:rPr>
          <w:lang w:val="en-US"/>
        </w:rPr>
        <w:t>, K., 2013. A legal theory of finance. Journal of Comparative Economics 41, 315–330.</w:t>
      </w:r>
    </w:p>
    <w:p w14:paraId="32984B66" w14:textId="79E31F69" w:rsidR="00DD2D48" w:rsidRPr="00DD2D48" w:rsidRDefault="00DD2D48" w:rsidP="00DD2D48">
      <w:pPr>
        <w:ind w:hanging="480"/>
        <w:rPr>
          <w:lang w:val="en-US"/>
        </w:rPr>
      </w:pPr>
      <w:proofErr w:type="spellStart"/>
      <w:r w:rsidRPr="00DD2D48">
        <w:rPr>
          <w:lang w:val="en-US"/>
        </w:rPr>
        <w:t>Pollin</w:t>
      </w:r>
      <w:proofErr w:type="spellEnd"/>
      <w:r w:rsidRPr="00DD2D48">
        <w:rPr>
          <w:lang w:val="en-US"/>
        </w:rPr>
        <w:t xml:space="preserve">, J.-P., 2010. </w:t>
      </w:r>
      <w:r>
        <w:t>L’</w:t>
      </w:r>
      <w:proofErr w:type="spellStart"/>
      <w:r>
        <w:t>Eurosystème</w:t>
      </w:r>
      <w:proofErr w:type="spellEnd"/>
      <w:r>
        <w:t xml:space="preserve"> et l’intégration financière européenne. </w:t>
      </w:r>
      <w:r w:rsidRPr="00DD2D48">
        <w:rPr>
          <w:lang w:val="en-US"/>
        </w:rPr>
        <w:t xml:space="preserve">Revue </w:t>
      </w:r>
      <w:proofErr w:type="spellStart"/>
      <w:r w:rsidRPr="00DD2D48">
        <w:rPr>
          <w:lang w:val="en-US"/>
        </w:rPr>
        <w:t>d’économie</w:t>
      </w:r>
      <w:proofErr w:type="spellEnd"/>
      <w:r w:rsidRPr="00DD2D48">
        <w:rPr>
          <w:lang w:val="en-US"/>
        </w:rPr>
        <w:t xml:space="preserve"> politique 120, 303–334. </w:t>
      </w:r>
    </w:p>
    <w:p w14:paraId="17914ABE" w14:textId="77777777" w:rsidR="00DD2D48" w:rsidRPr="00DD2D48" w:rsidRDefault="00DD2D48" w:rsidP="00DD2D48">
      <w:pPr>
        <w:ind w:hanging="480"/>
        <w:rPr>
          <w:lang w:val="en-US"/>
        </w:rPr>
      </w:pPr>
      <w:proofErr w:type="spellStart"/>
      <w:r w:rsidRPr="00DD2D48">
        <w:rPr>
          <w:lang w:val="en-US"/>
        </w:rPr>
        <w:t>Radaelli</w:t>
      </w:r>
      <w:proofErr w:type="spellEnd"/>
      <w:r w:rsidRPr="00DD2D48">
        <w:rPr>
          <w:lang w:val="en-US"/>
        </w:rPr>
        <w:t>, C., 1999. Technocracy in the European Union. Longman, Harlow.</w:t>
      </w:r>
    </w:p>
    <w:p w14:paraId="3BED27D3" w14:textId="77777777" w:rsidR="00DD2D48" w:rsidRPr="00DD2D48" w:rsidRDefault="00DD2D48" w:rsidP="00DD2D48">
      <w:pPr>
        <w:ind w:hanging="480"/>
        <w:rPr>
          <w:lang w:val="en-US"/>
        </w:rPr>
      </w:pPr>
      <w:proofErr w:type="spellStart"/>
      <w:r w:rsidRPr="00DD2D48">
        <w:rPr>
          <w:lang w:val="en-US"/>
        </w:rPr>
        <w:t>Rogoff</w:t>
      </w:r>
      <w:proofErr w:type="spellEnd"/>
      <w:r w:rsidRPr="00DD2D48">
        <w:rPr>
          <w:lang w:val="en-US"/>
        </w:rPr>
        <w:t>, K.S., 1985. The optimal degree of commitment to an intermediate monetary target. The Quarterly Journal of Economics 100, 1169–1189.</w:t>
      </w:r>
    </w:p>
    <w:p w14:paraId="141DAA76" w14:textId="40F0EBB5" w:rsidR="00DD2D48" w:rsidRPr="00DD2D48" w:rsidRDefault="00DD2D48" w:rsidP="00DD2D48">
      <w:pPr>
        <w:ind w:hanging="480"/>
        <w:rPr>
          <w:lang w:val="en-US"/>
        </w:rPr>
      </w:pPr>
      <w:proofErr w:type="spellStart"/>
      <w:r w:rsidRPr="00DD2D48">
        <w:rPr>
          <w:lang w:val="en-US"/>
        </w:rPr>
        <w:t>Salines</w:t>
      </w:r>
      <w:proofErr w:type="spellEnd"/>
      <w:r w:rsidRPr="00DD2D48">
        <w:rPr>
          <w:lang w:val="en-US"/>
        </w:rPr>
        <w:t xml:space="preserve">, M., </w:t>
      </w:r>
      <w:proofErr w:type="spellStart"/>
      <w:r w:rsidRPr="00DD2D48">
        <w:rPr>
          <w:lang w:val="en-US"/>
        </w:rPr>
        <w:t>Glöckler</w:t>
      </w:r>
      <w:proofErr w:type="spellEnd"/>
      <w:r w:rsidRPr="00DD2D48">
        <w:rPr>
          <w:lang w:val="en-US"/>
        </w:rPr>
        <w:t xml:space="preserve">, G., </w:t>
      </w:r>
      <w:proofErr w:type="spellStart"/>
      <w:r w:rsidRPr="00DD2D48">
        <w:rPr>
          <w:lang w:val="en-US"/>
        </w:rPr>
        <w:t>Truchlewski</w:t>
      </w:r>
      <w:proofErr w:type="spellEnd"/>
      <w:r w:rsidRPr="00DD2D48">
        <w:rPr>
          <w:lang w:val="en-US"/>
        </w:rPr>
        <w:t xml:space="preserve">, Z., 2012. Existential crisis, incremental response: the </w:t>
      </w:r>
      <w:proofErr w:type="spellStart"/>
      <w:r w:rsidRPr="00DD2D48">
        <w:rPr>
          <w:lang w:val="en-US"/>
        </w:rPr>
        <w:t>eurozone’s</w:t>
      </w:r>
      <w:proofErr w:type="spellEnd"/>
      <w:r w:rsidRPr="00DD2D48">
        <w:rPr>
          <w:lang w:val="en-US"/>
        </w:rPr>
        <w:t xml:space="preserve"> dual institutional evolution 2007–2011. Journal of European Public Policy 19, 665–681. </w:t>
      </w:r>
    </w:p>
    <w:p w14:paraId="51213E6B" w14:textId="3710F477" w:rsidR="00DD2D48" w:rsidRPr="00DD2D48" w:rsidRDefault="00DD2D48" w:rsidP="00DD2D48">
      <w:pPr>
        <w:ind w:hanging="480"/>
        <w:rPr>
          <w:lang w:val="en-US"/>
        </w:rPr>
      </w:pPr>
      <w:r w:rsidRPr="00DD2D48">
        <w:rPr>
          <w:lang w:val="en-US"/>
        </w:rPr>
        <w:t xml:space="preserve">Sarmiento, D., 2016. The Luxembourg ‘Double Look’: The Advocate </w:t>
      </w:r>
      <w:proofErr w:type="gramStart"/>
      <w:r w:rsidRPr="00DD2D48">
        <w:rPr>
          <w:lang w:val="en-US"/>
        </w:rPr>
        <w:t>General’s</w:t>
      </w:r>
      <w:proofErr w:type="gramEnd"/>
      <w:r w:rsidRPr="00DD2D48">
        <w:rPr>
          <w:lang w:val="en-US"/>
        </w:rPr>
        <w:t xml:space="preserve"> Opinion and the Judgment in the </w:t>
      </w:r>
      <w:proofErr w:type="spellStart"/>
      <w:r w:rsidRPr="00DD2D48">
        <w:rPr>
          <w:lang w:val="en-US"/>
        </w:rPr>
        <w:t>Gauweiler</w:t>
      </w:r>
      <w:proofErr w:type="spellEnd"/>
      <w:r w:rsidRPr="00DD2D48">
        <w:rPr>
          <w:lang w:val="en-US"/>
        </w:rPr>
        <w:t xml:space="preserve"> Case. Maastricht Journal of European and Comparative Law 23, 40–54. </w:t>
      </w:r>
    </w:p>
    <w:p w14:paraId="036468A4" w14:textId="77777777" w:rsidR="00DD2D48" w:rsidRDefault="00DD2D48" w:rsidP="00DD2D48">
      <w:pPr>
        <w:ind w:hanging="480"/>
      </w:pPr>
      <w:proofErr w:type="spellStart"/>
      <w:r w:rsidRPr="00DD2D48">
        <w:rPr>
          <w:lang w:val="en-US"/>
        </w:rPr>
        <w:t>Scharpf</w:t>
      </w:r>
      <w:proofErr w:type="spellEnd"/>
      <w:r w:rsidRPr="00DD2D48">
        <w:rPr>
          <w:lang w:val="en-US"/>
        </w:rPr>
        <w:t xml:space="preserve">, F.W., 1997. Economic integration, democracy and the welfare state. </w:t>
      </w:r>
      <w:r>
        <w:t xml:space="preserve">Journal of </w:t>
      </w:r>
      <w:proofErr w:type="spellStart"/>
      <w:r>
        <w:t>European</w:t>
      </w:r>
      <w:proofErr w:type="spellEnd"/>
      <w:r>
        <w:t xml:space="preserve"> Public Policy 4, 18–36.</w:t>
      </w:r>
    </w:p>
    <w:p w14:paraId="3E0EFFEB" w14:textId="77777777" w:rsidR="00DD2D48" w:rsidRPr="00DD2D48" w:rsidRDefault="00DD2D48" w:rsidP="00DD2D48">
      <w:pPr>
        <w:ind w:hanging="480"/>
        <w:rPr>
          <w:lang w:val="en-US"/>
        </w:rPr>
      </w:pPr>
      <w:r>
        <w:t xml:space="preserve">Smith, A., 2014. Usages scientifiques de « la crise » de 2008 et suite. </w:t>
      </w:r>
      <w:r w:rsidRPr="00DD2D48">
        <w:rPr>
          <w:lang w:val="en-US"/>
        </w:rPr>
        <w:t xml:space="preserve">Politique </w:t>
      </w:r>
      <w:proofErr w:type="spellStart"/>
      <w:r w:rsidRPr="00DD2D48">
        <w:rPr>
          <w:lang w:val="en-US"/>
        </w:rPr>
        <w:t>européenne</w:t>
      </w:r>
      <w:proofErr w:type="spellEnd"/>
      <w:r w:rsidRPr="00DD2D48">
        <w:rPr>
          <w:lang w:val="en-US"/>
        </w:rPr>
        <w:t xml:space="preserve"> 44, 124–151.</w:t>
      </w:r>
    </w:p>
    <w:p w14:paraId="607CB7E1" w14:textId="77777777" w:rsidR="00DD2D48" w:rsidRPr="00DD2D48" w:rsidRDefault="00DD2D48" w:rsidP="00DD2D48">
      <w:pPr>
        <w:ind w:hanging="480"/>
        <w:rPr>
          <w:lang w:val="en-US"/>
        </w:rPr>
      </w:pPr>
      <w:proofErr w:type="spellStart"/>
      <w:r w:rsidRPr="00DD2D48">
        <w:rPr>
          <w:lang w:val="en-US"/>
        </w:rPr>
        <w:t>Streeck</w:t>
      </w:r>
      <w:proofErr w:type="spellEnd"/>
      <w:r w:rsidRPr="00DD2D48">
        <w:rPr>
          <w:lang w:val="en-US"/>
        </w:rPr>
        <w:t xml:space="preserve">, W., </w:t>
      </w:r>
      <w:proofErr w:type="spellStart"/>
      <w:r w:rsidRPr="00DD2D48">
        <w:rPr>
          <w:lang w:val="en-US"/>
        </w:rPr>
        <w:t>Schäfer</w:t>
      </w:r>
      <w:proofErr w:type="spellEnd"/>
      <w:r w:rsidRPr="00DD2D48">
        <w:rPr>
          <w:lang w:val="en-US"/>
        </w:rPr>
        <w:t>, A., 2013. Politics in the Age of Austerity. John Wiley &amp; Sons.</w:t>
      </w:r>
    </w:p>
    <w:p w14:paraId="2BA726F4" w14:textId="77777777" w:rsidR="00DD2D48" w:rsidRPr="00DD2D48" w:rsidRDefault="00DD2D48" w:rsidP="00DD2D48">
      <w:pPr>
        <w:ind w:hanging="480"/>
        <w:rPr>
          <w:lang w:val="en-US"/>
        </w:rPr>
      </w:pPr>
      <w:proofErr w:type="spellStart"/>
      <w:r w:rsidRPr="00DD2D48">
        <w:rPr>
          <w:lang w:val="en-US"/>
        </w:rPr>
        <w:t>Stuckler</w:t>
      </w:r>
      <w:proofErr w:type="spellEnd"/>
      <w:r w:rsidRPr="00DD2D48">
        <w:rPr>
          <w:lang w:val="en-US"/>
        </w:rPr>
        <w:t xml:space="preserve">, D., </w:t>
      </w:r>
      <w:proofErr w:type="spellStart"/>
      <w:r w:rsidRPr="00DD2D48">
        <w:rPr>
          <w:lang w:val="en-US"/>
        </w:rPr>
        <w:t>Basu</w:t>
      </w:r>
      <w:proofErr w:type="spellEnd"/>
      <w:r w:rsidRPr="00DD2D48">
        <w:rPr>
          <w:lang w:val="en-US"/>
        </w:rPr>
        <w:t xml:space="preserve">, S., 2014. </w:t>
      </w:r>
      <w:proofErr w:type="spellStart"/>
      <w:r w:rsidRPr="00DD2D48">
        <w:rPr>
          <w:lang w:val="en-US"/>
        </w:rPr>
        <w:t>Quand</w:t>
      </w:r>
      <w:proofErr w:type="spellEnd"/>
      <w:r w:rsidRPr="00DD2D48">
        <w:rPr>
          <w:lang w:val="en-US"/>
        </w:rPr>
        <w:t xml:space="preserve"> </w:t>
      </w:r>
      <w:proofErr w:type="spellStart"/>
      <w:r w:rsidRPr="00DD2D48">
        <w:rPr>
          <w:lang w:val="en-US"/>
        </w:rPr>
        <w:t>l’Austerité</w:t>
      </w:r>
      <w:proofErr w:type="spellEnd"/>
      <w:r w:rsidRPr="00DD2D48">
        <w:rPr>
          <w:lang w:val="en-US"/>
        </w:rPr>
        <w:t xml:space="preserve"> Tue. AUTREMENT, Paris.</w:t>
      </w:r>
    </w:p>
    <w:p w14:paraId="468E2DEA" w14:textId="758F596A" w:rsidR="00DD2D48" w:rsidRDefault="00DD2D48" w:rsidP="00DD2D48">
      <w:pPr>
        <w:ind w:hanging="480"/>
      </w:pPr>
      <w:r w:rsidRPr="00DD2D48">
        <w:rPr>
          <w:lang w:val="en-US"/>
        </w:rPr>
        <w:t xml:space="preserve">Torres, F., 2013. The </w:t>
      </w:r>
      <w:proofErr w:type="gramStart"/>
      <w:r w:rsidRPr="00DD2D48">
        <w:rPr>
          <w:lang w:val="en-US"/>
        </w:rPr>
        <w:t>EMU’s</w:t>
      </w:r>
      <w:proofErr w:type="gramEnd"/>
      <w:r w:rsidRPr="00DD2D48">
        <w:rPr>
          <w:lang w:val="en-US"/>
        </w:rPr>
        <w:t xml:space="preserve"> Legitimacy and the ECB as a Strategic Political Player in the Crisis Context. </w:t>
      </w:r>
      <w:r>
        <w:t xml:space="preserve">Journal of </w:t>
      </w:r>
      <w:proofErr w:type="spellStart"/>
      <w:r>
        <w:t>European</w:t>
      </w:r>
      <w:proofErr w:type="spellEnd"/>
      <w:r>
        <w:t xml:space="preserve"> </w:t>
      </w:r>
      <w:proofErr w:type="spellStart"/>
      <w:r>
        <w:t>Integration</w:t>
      </w:r>
      <w:proofErr w:type="spellEnd"/>
      <w:r>
        <w:t xml:space="preserve"> 35, 287–300. </w:t>
      </w:r>
    </w:p>
    <w:p w14:paraId="57844A97" w14:textId="77777777" w:rsidR="00DD2D48" w:rsidRDefault="00DD2D48" w:rsidP="00DD2D48">
      <w:pPr>
        <w:ind w:hanging="480"/>
      </w:pPr>
      <w:r>
        <w:t>Vauchez, A., 2014. Démocratiser l’Europe. Seuil.</w:t>
      </w:r>
    </w:p>
    <w:p w14:paraId="092E61DE" w14:textId="4637E117" w:rsidR="00DD2D48" w:rsidRPr="00DD2D48" w:rsidRDefault="00DD2D48" w:rsidP="00DD2D48">
      <w:pPr>
        <w:ind w:hanging="480"/>
        <w:rPr>
          <w:lang w:val="en-US"/>
        </w:rPr>
      </w:pPr>
      <w:r w:rsidRPr="00DD2D48">
        <w:rPr>
          <w:lang w:val="en-US"/>
        </w:rPr>
        <w:t>Verdun, A., 2017. Political leadership of the European Central Bank. Journal of European Integration 39, 207–221.</w:t>
      </w:r>
      <w:r w:rsidRPr="00DD2D48">
        <w:rPr>
          <w:lang w:val="en-US"/>
        </w:rPr>
        <w:t xml:space="preserve"> </w:t>
      </w:r>
    </w:p>
    <w:p w14:paraId="5380DEB6" w14:textId="1D3075BE" w:rsidR="009469D4" w:rsidRPr="00DD2D48" w:rsidRDefault="00DD2D48" w:rsidP="00DD2D48">
      <w:pPr>
        <w:ind w:hanging="480"/>
      </w:pPr>
      <w:r w:rsidRPr="00DD2D48">
        <w:rPr>
          <w:lang w:val="en-US"/>
        </w:rPr>
        <w:t xml:space="preserve">White, W., 2012. Ultra easy Monetary Policy and the Law of Unintended Consequences. </w:t>
      </w:r>
      <w:proofErr w:type="spellStart"/>
      <w:r>
        <w:t>Federal</w:t>
      </w:r>
      <w:proofErr w:type="spellEnd"/>
      <w:r>
        <w:t xml:space="preserve"> Reserve Bank of Dallas </w:t>
      </w:r>
      <w:proofErr w:type="spellStart"/>
      <w:r>
        <w:t>Working</w:t>
      </w:r>
      <w:proofErr w:type="spellEnd"/>
      <w:r>
        <w:t xml:space="preserve"> Paper 126.</w:t>
      </w:r>
    </w:p>
    <w:sectPr w:rsidR="009469D4" w:rsidRPr="00DD2D48" w:rsidSect="00487A28">
      <w:headerReference w:type="even" r:id="rId10"/>
      <w:headerReference w:type="default" r:id="rId11"/>
      <w:footerReference w:type="even" r:id="rId12"/>
      <w:footerReference w:type="default" r:id="rId13"/>
      <w:headerReference w:type="first" r:id="rId14"/>
      <w:footerReference w:type="first" r:id="rId15"/>
      <w:pgSz w:w="12240" w:h="15840"/>
      <w:pgMar w:top="1417" w:right="1417" w:bottom="1417" w:left="1417" w:header="0" w:footer="0" w:gutter="0"/>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639BF5" w14:textId="77777777" w:rsidR="006565D5" w:rsidRDefault="006565D5" w:rsidP="00163F6F">
      <w:r>
        <w:separator/>
      </w:r>
    </w:p>
  </w:endnote>
  <w:endnote w:type="continuationSeparator" w:id="0">
    <w:p w14:paraId="2A46A942" w14:textId="77777777" w:rsidR="006565D5" w:rsidRDefault="006565D5" w:rsidP="00163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Droid Sans Fallback">
    <w:altName w:val="Times New Roman"/>
    <w:charset w:val="00"/>
    <w:family w:val="auto"/>
    <w:pitch w:val="variable"/>
  </w:font>
  <w:font w:name="FreeSans">
    <w:altName w:val="Times New Roman"/>
    <w:charset w:val="00"/>
    <w:family w:val="auto"/>
    <w:pitch w:val="variable"/>
  </w:font>
  <w:font w:name="Liberation Sans">
    <w:altName w:val="Arial"/>
    <w:charset w:val="00"/>
    <w:family w:val="swiss"/>
    <w:pitch w:val="variable"/>
  </w:font>
  <w:font w:name="OpenSymbol">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00"/>
    <w:family w:val="modern"/>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1A03B" w14:textId="77777777" w:rsidR="00383C9E" w:rsidRDefault="00383C9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31CB0B" w14:textId="77777777" w:rsidR="00383C9E" w:rsidRDefault="00383C9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EF5DE" w14:textId="77777777" w:rsidR="00383C9E" w:rsidRDefault="00383C9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2CC2DA" w14:textId="77777777" w:rsidR="006565D5" w:rsidRDefault="006565D5">
      <w:r>
        <w:separator/>
      </w:r>
    </w:p>
  </w:footnote>
  <w:footnote w:type="continuationSeparator" w:id="0">
    <w:p w14:paraId="2C6EA589" w14:textId="77777777" w:rsidR="006565D5" w:rsidRDefault="006565D5">
      <w:r>
        <w:continuationSeparator/>
      </w:r>
    </w:p>
  </w:footnote>
  <w:footnote w:id="1">
    <w:p w14:paraId="77A0A742" w14:textId="77777777" w:rsidR="00383C9E" w:rsidRDefault="00383C9E" w:rsidP="002F6779">
      <w:pPr>
        <w:pStyle w:val="Notedebasdepage"/>
        <w:jc w:val="both"/>
      </w:pPr>
      <w:r>
        <w:rPr>
          <w:rStyle w:val="Appelnotedebasdep"/>
        </w:rPr>
        <w:footnoteRef/>
      </w:r>
      <w:r>
        <w:t xml:space="preserve"> Le Conseil des gouverneurs est l'enceinte décisionnelle de la BCE qui regroupe les six membres du directoire nommés par le Conseil Européen et les gouverneurs des banques centrales nationales. Le contrôle des décisions par les membres du directoire permet à la BCE d’échapper aux logiques intergouvernementales. L'ensemble des décisions de la BCE et des discours de ses représentants sont communiqués sur son site internet, accessible ici https://www.ecb.europa.eu/</w:t>
      </w:r>
    </w:p>
  </w:footnote>
  <w:footnote w:id="2">
    <w:p w14:paraId="693D794C" w14:textId="4F137F7D" w:rsidR="00383C9E" w:rsidRDefault="00383C9E" w:rsidP="002F6779">
      <w:pPr>
        <w:pStyle w:val="Footnote"/>
        <w:ind w:left="0"/>
        <w:jc w:val="both"/>
      </w:pPr>
      <w:r>
        <w:footnoteRef/>
      </w:r>
      <w:r>
        <w:tab/>
        <w:t xml:space="preserve">Pour des raisons de place, le gain de compétences de supervision financière et bancaire n'est pas traité dans ce chapitre, mais certains éléments sont présentés dans le chapitre 2 de cet ouvrage. </w:t>
      </w:r>
    </w:p>
  </w:footnote>
  <w:footnote w:id="3">
    <w:p w14:paraId="76634F38" w14:textId="77777777" w:rsidR="00383C9E" w:rsidRDefault="00383C9E" w:rsidP="002F6779">
      <w:pPr>
        <w:pStyle w:val="Footnote"/>
        <w:ind w:left="0"/>
        <w:jc w:val="both"/>
      </w:pPr>
      <w:r>
        <w:footnoteRef/>
      </w:r>
      <w:r>
        <w:tab/>
        <w:t>Art. 128 du Traité sur le Fonctionnement de l'Union Européenne (TFUE). Les marchés primaires sont les marchés d'émission des titres financiers, les marchés secondaires sont leurs marchés de revente.</w:t>
      </w:r>
    </w:p>
  </w:footnote>
  <w:footnote w:id="4">
    <w:p w14:paraId="5AE305C9" w14:textId="52E82C01" w:rsidR="00383C9E" w:rsidRDefault="00383C9E" w:rsidP="002F6779">
      <w:pPr>
        <w:pStyle w:val="Notedebasdepage"/>
        <w:jc w:val="both"/>
      </w:pPr>
      <w:r>
        <w:rPr>
          <w:rStyle w:val="Appelnotedebasdep"/>
        </w:rPr>
        <w:footnoteRef/>
      </w:r>
      <w:r>
        <w:t xml:space="preserve"> Ce constat n’est pas propre aux études sur la BCE. Dans leur ensemble, les études européennes n’ont laissé que peu de place aux approches théoriques critiques et alternatives dans l’explication de la cris</w:t>
      </w:r>
      <w:r w:rsidR="00961D7F">
        <w:t>e de la zone euro (Smith 2014</w:t>
      </w:r>
      <w:r>
        <w:t>). Depuis 2015, des analyses plus critiques ont néanmoins émergé dans ces journaux (Fontan et al., 2018)</w:t>
      </w:r>
    </w:p>
  </w:footnote>
  <w:footnote w:id="5">
    <w:p w14:paraId="5261E655" w14:textId="77777777" w:rsidR="00383C9E" w:rsidRDefault="00383C9E" w:rsidP="002F6779">
      <w:pPr>
        <w:pStyle w:val="Footnote"/>
        <w:ind w:left="0"/>
        <w:jc w:val="both"/>
      </w:pPr>
      <w:r>
        <w:footnoteRef/>
      </w:r>
      <w:r>
        <w:tab/>
        <w:t xml:space="preserve">Ce terme est promu depuis le début de la crise par les présidents de la BCE eux-mêmes. </w:t>
      </w:r>
    </w:p>
  </w:footnote>
  <w:footnote w:id="6">
    <w:p w14:paraId="21AAB6B3" w14:textId="592AFD96" w:rsidR="00383C9E" w:rsidRPr="009A50BE" w:rsidRDefault="00383C9E">
      <w:pPr>
        <w:pStyle w:val="Notedebasdepage"/>
        <w:rPr>
          <w:lang w:val="fr-BE"/>
        </w:rPr>
      </w:pPr>
      <w:r>
        <w:rPr>
          <w:rStyle w:val="Appelnotedebasdep"/>
        </w:rPr>
        <w:footnoteRef/>
      </w:r>
      <w:r>
        <w:t xml:space="preserve"> L'aléa moral est une situation où l'existence d'un préteur en dernier ressort pourrait encourager une prise de risque trop importante par l'acteur concerné.</w:t>
      </w:r>
    </w:p>
  </w:footnote>
  <w:footnote w:id="7">
    <w:p w14:paraId="4E4CA50F" w14:textId="47BBDD87" w:rsidR="00383C9E" w:rsidRDefault="00383C9E" w:rsidP="002F6779">
      <w:pPr>
        <w:pStyle w:val="Footnote"/>
        <w:ind w:left="0"/>
        <w:jc w:val="both"/>
      </w:pPr>
      <w:r>
        <w:footnoteRef/>
      </w:r>
      <w:r>
        <w:tab/>
        <w:t>Adopter cette perspective permet notamment de contourner un écueil méthodologique important, car il n'est pas possible de savoir comment et dans quel but les décisions sont prises au conseil des gouverneurs ou des groupes d'experts de la Troïka au moyen d'entretiens semi-dirigés ou d'une exploration des trajectoires sociologiques des acteurs clés.</w:t>
      </w:r>
      <w:r w:rsidRPr="00BF3DD6">
        <w:rPr>
          <w:lang w:val="fr-BE"/>
        </w:rPr>
        <w:t xml:space="preserve"> </w:t>
      </w:r>
      <w:r>
        <w:rPr>
          <w:lang w:val="fr-BE"/>
        </w:rPr>
        <w:t>L’asymétrie de la conditionnalité des interventions de la BCE est étudiée plus en détail dans Fontan (2018).</w:t>
      </w:r>
    </w:p>
  </w:footnote>
  <w:footnote w:id="8">
    <w:p w14:paraId="442DC2FB" w14:textId="44BF217C" w:rsidR="00383C9E" w:rsidRPr="00BF3DD6" w:rsidRDefault="00383C9E">
      <w:pPr>
        <w:pStyle w:val="Notedebasdepage"/>
        <w:rPr>
          <w:lang w:val="fr-BE"/>
        </w:rPr>
      </w:pPr>
    </w:p>
  </w:footnote>
  <w:footnote w:id="9">
    <w:p w14:paraId="6D6519F2" w14:textId="0D9956C5" w:rsidR="00383C9E" w:rsidRDefault="00383C9E" w:rsidP="002F6779">
      <w:pPr>
        <w:pStyle w:val="Footnote"/>
        <w:ind w:left="0"/>
        <w:jc w:val="both"/>
      </w:pPr>
      <w:r>
        <w:footnoteRef/>
      </w:r>
      <w:r>
        <w:tab/>
        <w:t xml:space="preserve">Discours de Mario </w:t>
      </w:r>
      <w:proofErr w:type="spellStart"/>
      <w:r>
        <w:t>Draghi</w:t>
      </w:r>
      <w:proofErr w:type="spellEnd"/>
      <w:r>
        <w:t xml:space="preserve">, 22 mai 2015. </w:t>
      </w:r>
    </w:p>
  </w:footnote>
  <w:footnote w:id="10">
    <w:p w14:paraId="5AA14F86" w14:textId="680C8A40" w:rsidR="00383C9E" w:rsidRDefault="00383C9E" w:rsidP="002F6779">
      <w:pPr>
        <w:pStyle w:val="Footnote"/>
        <w:ind w:left="0"/>
        <w:jc w:val="both"/>
      </w:pPr>
      <w:r>
        <w:footnoteRef/>
      </w:r>
      <w:r>
        <w:tab/>
        <w:t xml:space="preserve">Président de la BCE de 2003 à 2011. Un président de la BCE ne parle jamais en son nom, mais en tant que représentant de l’institution. </w:t>
      </w:r>
    </w:p>
  </w:footnote>
  <w:footnote w:id="11">
    <w:p w14:paraId="7974B632" w14:textId="77777777" w:rsidR="00383C9E" w:rsidRDefault="00383C9E" w:rsidP="002F6779">
      <w:pPr>
        <w:pStyle w:val="Footnote"/>
        <w:ind w:left="0"/>
        <w:jc w:val="both"/>
      </w:pPr>
      <w:r>
        <w:footnoteRef/>
      </w:r>
      <w:r>
        <w:tab/>
        <w:t>Discours de Jean-Claude Trichet, 3 novembre 2007.</w:t>
      </w:r>
    </w:p>
  </w:footnote>
  <w:footnote w:id="12">
    <w:p w14:paraId="0D7E994C" w14:textId="77777777" w:rsidR="00383C9E" w:rsidRDefault="00383C9E" w:rsidP="002F6779">
      <w:pPr>
        <w:pStyle w:val="Footnote"/>
        <w:ind w:left="0"/>
        <w:jc w:val="both"/>
      </w:pPr>
      <w:r>
        <w:footnoteRef/>
      </w:r>
      <w:r>
        <w:tab/>
        <w:t>Interview de Jean-Claude Trichet, 8 juin 2007.</w:t>
      </w:r>
    </w:p>
  </w:footnote>
  <w:footnote w:id="13">
    <w:p w14:paraId="4CCBB946" w14:textId="77777777" w:rsidR="00383C9E" w:rsidRDefault="00383C9E" w:rsidP="002F6779">
      <w:pPr>
        <w:pStyle w:val="Footnote"/>
        <w:ind w:left="0"/>
        <w:jc w:val="both"/>
      </w:pPr>
      <w:r>
        <w:footnoteRef/>
      </w:r>
      <w:r>
        <w:tab/>
        <w:t>Art. 127 du TFUE.</w:t>
      </w:r>
    </w:p>
  </w:footnote>
  <w:footnote w:id="14">
    <w:p w14:paraId="3E8F82E7" w14:textId="53BAB9B5" w:rsidR="00383C9E" w:rsidRDefault="00383C9E" w:rsidP="002F6779">
      <w:pPr>
        <w:pStyle w:val="Notedebasdepage"/>
        <w:jc w:val="both"/>
      </w:pPr>
      <w:r>
        <w:rPr>
          <w:rStyle w:val="Appelnotedebasdep"/>
        </w:rPr>
        <w:footnoteRef/>
      </w:r>
      <w:r>
        <w:t xml:space="preserve"> Les opérations de refinancement sont les outils principaux de politique monétaire où les banques centrales prêtent de la liquidité aux banques commerciales en échange d’une mise en pension de titres financiers. Les banques centrales décident de manière autonome l’acceptabilité et la valeur des titres acceptés en contrepartie, ainsi que le taux d’intérêt et la durée de ces opérations. </w:t>
      </w:r>
    </w:p>
  </w:footnote>
  <w:footnote w:id="15">
    <w:p w14:paraId="5B8C6CE7" w14:textId="77777777" w:rsidR="00383C9E" w:rsidRDefault="00383C9E" w:rsidP="002F6779">
      <w:pPr>
        <w:pStyle w:val="Footnote"/>
        <w:ind w:left="0"/>
        <w:jc w:val="both"/>
      </w:pPr>
      <w:r>
        <w:footnoteRef/>
      </w:r>
      <w:r>
        <w:tab/>
        <w:t xml:space="preserve">Emergency </w:t>
      </w:r>
      <w:proofErr w:type="spellStart"/>
      <w:r>
        <w:t>Liquidity</w:t>
      </w:r>
      <w:proofErr w:type="spellEnd"/>
      <w:r>
        <w:t xml:space="preserve"> Assistance (ELA).</w:t>
      </w:r>
    </w:p>
  </w:footnote>
  <w:footnote w:id="16">
    <w:p w14:paraId="353AD1BB" w14:textId="77777777" w:rsidR="00383C9E" w:rsidRDefault="00383C9E" w:rsidP="002F6779">
      <w:pPr>
        <w:pStyle w:val="Footnote"/>
        <w:ind w:left="0"/>
        <w:jc w:val="both"/>
        <w:rPr>
          <w:rStyle w:val="InternetLink"/>
          <w:rFonts w:ascii="Arial" w:hAnsi="Arial"/>
          <w:color w:val="1155CC"/>
          <w:sz w:val="23"/>
        </w:rPr>
      </w:pPr>
      <w:r>
        <w:footnoteRef/>
      </w:r>
      <w:r>
        <w:tab/>
        <w:t xml:space="preserve">Dans le cas irlandais, des demandes de la société civile sur l'Ombudsman européen ont poussé la BCE à rendre publiques les lettres de demande d'assistance financière. </w:t>
      </w:r>
      <w:bookmarkStart w:id="0" w:name="docs-internal-guid-b3a66551-72e2-bf0a-89"/>
      <w:bookmarkEnd w:id="0"/>
      <w:r>
        <w:rPr>
          <w:rStyle w:val="InternetLink"/>
          <w:rFonts w:ascii="Arial" w:hAnsi="Arial"/>
          <w:color w:val="1155CC"/>
          <w:sz w:val="23"/>
        </w:rPr>
        <w:t>http://www.ecb.europa.eu/press/html/irish-letters.en.html</w:t>
      </w:r>
    </w:p>
  </w:footnote>
  <w:footnote w:id="17">
    <w:p w14:paraId="2C8CB76B" w14:textId="77777777" w:rsidR="00383C9E" w:rsidRDefault="00383C9E" w:rsidP="002F6779">
      <w:pPr>
        <w:pStyle w:val="Footnote"/>
        <w:ind w:left="0"/>
        <w:jc w:val="both"/>
      </w:pPr>
      <w:r>
        <w:footnoteRef/>
      </w:r>
      <w:r>
        <w:tab/>
        <w:t>Discours de Lorenzo Bini-</w:t>
      </w:r>
      <w:proofErr w:type="spellStart"/>
      <w:r>
        <w:t>Smaghi</w:t>
      </w:r>
      <w:proofErr w:type="spellEnd"/>
      <w:r>
        <w:t>, 6 juin 2011.</w:t>
      </w:r>
    </w:p>
  </w:footnote>
  <w:footnote w:id="18">
    <w:p w14:paraId="2D655E76" w14:textId="7F5D5D00" w:rsidR="00383C9E" w:rsidRDefault="00383C9E" w:rsidP="002F6779">
      <w:pPr>
        <w:pStyle w:val="Footnote"/>
        <w:ind w:left="0"/>
        <w:jc w:val="both"/>
      </w:pPr>
      <w:r>
        <w:footnoteRef/>
      </w:r>
      <w:r>
        <w:tab/>
        <w:t>Le montant détenu par la BCE en juin 2011 était estimé à 45 milliards d’euros</w:t>
      </w:r>
      <w:r w:rsidR="00B666A8">
        <w:t>.</w:t>
      </w:r>
    </w:p>
  </w:footnote>
  <w:footnote w:id="19">
    <w:p w14:paraId="24E59F7F" w14:textId="77777777" w:rsidR="00383C9E" w:rsidRDefault="00383C9E" w:rsidP="002F6779">
      <w:pPr>
        <w:pStyle w:val="Footnote"/>
        <w:ind w:left="0"/>
        <w:jc w:val="both"/>
      </w:pPr>
      <w:r>
        <w:footnoteRef/>
      </w:r>
      <w:r>
        <w:tab/>
        <w:t xml:space="preserve"> L'argument des divisions internes à la BCE se trouve limité, car les membres les plus orthodoxes du Conseil des gouverneurs étaient en faveur d'une restructuration rapide de la dette grecque (</w:t>
      </w:r>
      <w:proofErr w:type="spellStart"/>
      <w:r>
        <w:t>Blustein</w:t>
      </w:r>
      <w:proofErr w:type="spellEnd"/>
      <w:r>
        <w:t xml:space="preserve"> 2015).</w:t>
      </w:r>
    </w:p>
  </w:footnote>
  <w:footnote w:id="20">
    <w:p w14:paraId="2EAB11AC" w14:textId="005DDAD6" w:rsidR="00383C9E" w:rsidRDefault="00383C9E" w:rsidP="002F6779">
      <w:pPr>
        <w:pStyle w:val="Notedebasdepage"/>
        <w:jc w:val="both"/>
      </w:pPr>
      <w:r>
        <w:rPr>
          <w:rStyle w:val="Appelnotedebasdep"/>
        </w:rPr>
        <w:footnoteRef/>
      </w:r>
      <w:r>
        <w:t xml:space="preserve"> Le pouvoir de l’Allemagne au sein du Conseil en matière de réformes économiques est fortement lié à son statut de pays créditeur principal de la zone euro. La garantie financière de l’Allemagne est un prérequis indispensable pour que les programmes d’assistance financière obtiennent la confiance des marchés. </w:t>
      </w:r>
    </w:p>
  </w:footnote>
  <w:footnote w:id="21">
    <w:p w14:paraId="1824A1AF" w14:textId="77777777" w:rsidR="00383C9E" w:rsidRDefault="00383C9E" w:rsidP="002F6779">
      <w:pPr>
        <w:pStyle w:val="Footnote"/>
        <w:ind w:left="0"/>
        <w:jc w:val="both"/>
      </w:pPr>
      <w:r>
        <w:footnoteRef/>
      </w:r>
      <w:r>
        <w:tab/>
        <w:t xml:space="preserve">Audition de Mario </w:t>
      </w:r>
      <w:proofErr w:type="spellStart"/>
      <w:r>
        <w:t>Draghi</w:t>
      </w:r>
      <w:proofErr w:type="spellEnd"/>
      <w:r>
        <w:t xml:space="preserve"> devant le Parlement Européen, 3 mars 2014.</w:t>
      </w:r>
    </w:p>
  </w:footnote>
  <w:footnote w:id="22">
    <w:p w14:paraId="505B622F" w14:textId="77777777" w:rsidR="00383C9E" w:rsidRDefault="00383C9E" w:rsidP="002F6779">
      <w:pPr>
        <w:pStyle w:val="Footnote"/>
        <w:ind w:left="0"/>
        <w:jc w:val="both"/>
      </w:pPr>
      <w:r>
        <w:footnoteRef/>
      </w:r>
      <w:r>
        <w:tab/>
        <w:t>Résolution du Parlement européen du 13 mars 2014 sur le rapport d'enquête sur le rôle et les activités de la troïka.</w:t>
      </w:r>
    </w:p>
  </w:footnote>
  <w:footnote w:id="23">
    <w:p w14:paraId="73B198D2" w14:textId="6B127719" w:rsidR="003F5199" w:rsidRPr="003F5199" w:rsidRDefault="003F5199">
      <w:pPr>
        <w:pStyle w:val="Notedebasdepage"/>
        <w:rPr>
          <w:lang w:val="fr-BE"/>
        </w:rPr>
      </w:pPr>
      <w:r>
        <w:rPr>
          <w:rStyle w:val="Appelnotedebasdep"/>
        </w:rPr>
        <w:footnoteRef/>
      </w:r>
      <w:r>
        <w:t xml:space="preserve"> </w:t>
      </w:r>
      <w:r w:rsidRPr="00FC218C">
        <w:rPr>
          <w:rFonts w:cs="Times New Roman"/>
        </w:rPr>
        <w:t xml:space="preserve">Conclusions de l’avocat général m. Pedro Cruz </w:t>
      </w:r>
      <w:proofErr w:type="spellStart"/>
      <w:r w:rsidRPr="00FC218C">
        <w:rPr>
          <w:rFonts w:cs="Times New Roman"/>
        </w:rPr>
        <w:t>Villalón</w:t>
      </w:r>
      <w:proofErr w:type="spellEnd"/>
      <w:r w:rsidRPr="00FC218C">
        <w:rPr>
          <w:rFonts w:cs="Times New Roman"/>
        </w:rPr>
        <w:t xml:space="preserve"> présentées le 14 janvier 2015. Accessible sur </w:t>
      </w:r>
      <w:hyperlink r:id="rId1" w:history="1">
        <w:r w:rsidRPr="00BD7375">
          <w:rPr>
            <w:rStyle w:val="Lienhypertexte"/>
            <w:rFonts w:cs="Times New Roman"/>
          </w:rPr>
          <w:t>http://curia.europa.eu/juris/document/document.jsf?docid=161370&amp;doclang=FR</w:t>
        </w:r>
      </w:hyperlink>
    </w:p>
  </w:footnote>
  <w:footnote w:id="24">
    <w:p w14:paraId="10B7FB90" w14:textId="77777777" w:rsidR="00383C9E" w:rsidRDefault="00383C9E" w:rsidP="002F6779">
      <w:pPr>
        <w:pStyle w:val="Footnote"/>
        <w:ind w:left="0"/>
        <w:jc w:val="both"/>
      </w:pPr>
      <w:r>
        <w:footnoteRef/>
      </w:r>
      <w:r>
        <w:tab/>
        <w:t>L’enquête du Parlement Européen a démontré qu'une fois définies l'orientation générale des programmes, le Conseil Européen n'a plus exercé de contrôle sur la troïka qui disposait donc d'une grande autonomie dans la définition des mesures.</w:t>
      </w:r>
    </w:p>
  </w:footnote>
  <w:footnote w:id="25">
    <w:p w14:paraId="13C33E04" w14:textId="77777777" w:rsidR="00383C9E" w:rsidRDefault="00383C9E" w:rsidP="002F6779">
      <w:pPr>
        <w:pStyle w:val="Notedebasdepage"/>
        <w:jc w:val="both"/>
      </w:pPr>
      <w:r>
        <w:rPr>
          <w:rStyle w:val="Appelnotedebasdep"/>
        </w:rPr>
        <w:footnoteRef/>
      </w:r>
      <w:r>
        <w:t xml:space="preserve"> En Grèce les dépenses des politiques de </w:t>
      </w:r>
      <w:proofErr w:type="gramStart"/>
      <w:r>
        <w:t>santé  ont</w:t>
      </w:r>
      <w:proofErr w:type="gramEnd"/>
      <w:r>
        <w:t xml:space="preserve"> été abaissées à  6 % du PIB, à</w:t>
      </w:r>
      <w:r w:rsidRPr="004E3A3B">
        <w:t xml:space="preserve"> </w:t>
      </w:r>
      <w:r>
        <w:t>titre de comparaison, les dépenses de l'Allemagne atteignent 10 %.</w:t>
      </w:r>
    </w:p>
  </w:footnote>
  <w:footnote w:id="26">
    <w:p w14:paraId="442EE30A" w14:textId="3DBB03CC" w:rsidR="00383C9E" w:rsidRDefault="00383C9E" w:rsidP="002F6779">
      <w:pPr>
        <w:pStyle w:val="Notedebasdepage"/>
        <w:jc w:val="both"/>
      </w:pPr>
      <w:r>
        <w:rPr>
          <w:rStyle w:val="Appelnotedebasdep"/>
        </w:rPr>
        <w:footnoteRef/>
      </w:r>
      <w:r>
        <w:t xml:space="preserve"> Au total, entre 2010 à 2014, la dette publique grecque est passée de 146 à 175 % de son PIB, tandis que son PIB a décliné de presque 20% de 2010 à 2013</w:t>
      </w:r>
    </w:p>
  </w:footnote>
  <w:footnote w:id="27">
    <w:p w14:paraId="55C8CA54" w14:textId="77777777" w:rsidR="00383C9E" w:rsidRDefault="00383C9E" w:rsidP="002F6779">
      <w:pPr>
        <w:pStyle w:val="Footnote"/>
        <w:ind w:left="0"/>
        <w:jc w:val="both"/>
      </w:pPr>
      <w:r>
        <w:footnoteRef/>
      </w:r>
      <w:r>
        <w:tab/>
        <w:t xml:space="preserve">Les privatisations grecques ont d'ailleurs bénéficié aux oligarques les plus fortunés comme </w:t>
      </w:r>
      <w:proofErr w:type="spellStart"/>
      <w:r>
        <w:t>Spiros</w:t>
      </w:r>
      <w:proofErr w:type="spellEnd"/>
      <w:r>
        <w:t xml:space="preserve"> </w:t>
      </w:r>
      <w:proofErr w:type="spellStart"/>
      <w:r>
        <w:t>Latsis</w:t>
      </w:r>
      <w:proofErr w:type="spellEnd"/>
      <w:r>
        <w:t xml:space="preserve">, au mépris de leurs pratiques préalables d'évasion fiscale. </w:t>
      </w:r>
    </w:p>
  </w:footnote>
  <w:footnote w:id="28">
    <w:p w14:paraId="1306CE3D" w14:textId="77777777" w:rsidR="00383C9E" w:rsidRDefault="00383C9E" w:rsidP="002F6779">
      <w:pPr>
        <w:pStyle w:val="Notedebasdepage"/>
        <w:jc w:val="both"/>
      </w:pPr>
      <w:r>
        <w:rPr>
          <w:rStyle w:val="Appelnotedebasdep"/>
        </w:rPr>
        <w:footnoteRef/>
      </w:r>
      <w:r>
        <w:t xml:space="preserve"> A titre d’exemple, les premières opérations de LTRO ont atteint mille milliards d’euros, soit 10% du PIB de la zone euro.</w:t>
      </w:r>
    </w:p>
  </w:footnote>
  <w:footnote w:id="29">
    <w:p w14:paraId="0722A5D9" w14:textId="77777777" w:rsidR="00383C9E" w:rsidRDefault="00383C9E" w:rsidP="002F6779">
      <w:pPr>
        <w:pStyle w:val="Footnote"/>
        <w:ind w:left="0"/>
        <w:jc w:val="both"/>
      </w:pPr>
      <w:r>
        <w:footnoteRef/>
      </w:r>
      <w:r>
        <w:tab/>
        <w:t>Le carry-</w:t>
      </w:r>
      <w:proofErr w:type="spellStart"/>
      <w:r>
        <w:t>trade</w:t>
      </w:r>
      <w:proofErr w:type="spellEnd"/>
      <w:r>
        <w:t xml:space="preserve"> est une opération quasiment sans risque qui consiste à contracter un prêt auprès d'une banque centrale à un taux d'intérêt inférieur à celui lié à la détention de la dette souveraine. Le différentiel des taux d’intérêts représente la plus-value dont bénéficie la banque commerciale par l'opération. </w:t>
      </w:r>
    </w:p>
  </w:footnote>
  <w:footnote w:id="30">
    <w:p w14:paraId="57412556" w14:textId="77777777" w:rsidR="00383C9E" w:rsidRDefault="00383C9E" w:rsidP="002F6779">
      <w:pPr>
        <w:pStyle w:val="Footnote"/>
        <w:ind w:left="0"/>
        <w:jc w:val="both"/>
      </w:pPr>
      <w:r>
        <w:footnoteRef/>
      </w:r>
      <w:r>
        <w:tab/>
        <w:t xml:space="preserve">Audition de </w:t>
      </w:r>
      <w:proofErr w:type="spellStart"/>
      <w:proofErr w:type="gramStart"/>
      <w:r>
        <w:t>M.Draghi</w:t>
      </w:r>
      <w:proofErr w:type="spellEnd"/>
      <w:proofErr w:type="gramEnd"/>
      <w:r>
        <w:t>, Parlement Européen, 14 juillet 2014.</w:t>
      </w:r>
    </w:p>
  </w:footnote>
  <w:footnote w:id="31">
    <w:p w14:paraId="1849FB68" w14:textId="1DB9A9DA" w:rsidR="00E73378" w:rsidRPr="00E73378" w:rsidRDefault="00E73378">
      <w:pPr>
        <w:pStyle w:val="Notedebasdepage"/>
        <w:rPr>
          <w:lang w:val="en-US"/>
        </w:rPr>
      </w:pPr>
      <w:r>
        <w:rPr>
          <w:rStyle w:val="Appelnotedebasdep"/>
        </w:rPr>
        <w:footnoteRef/>
      </w:r>
      <w:r w:rsidRPr="00E73378">
        <w:rPr>
          <w:lang w:val="en-US"/>
        </w:rPr>
        <w:t xml:space="preserve"> </w:t>
      </w:r>
      <w:r>
        <w:rPr>
          <w:rFonts w:ascii="Times New Roman" w:hAnsi="Times New Roman" w:cs="Times New Roman"/>
          <w:lang w:val="en-US"/>
        </w:rPr>
        <w:t xml:space="preserve">ECB </w:t>
      </w:r>
      <w:r w:rsidRPr="00E73378">
        <w:rPr>
          <w:rFonts w:ascii="Times New Roman" w:hAnsi="Times New Roman" w:cs="Times New Roman"/>
          <w:lang w:val="en-US"/>
        </w:rPr>
        <w:t>Fin</w:t>
      </w:r>
      <w:r>
        <w:rPr>
          <w:rFonts w:ascii="Times New Roman" w:hAnsi="Times New Roman" w:cs="Times New Roman"/>
          <w:lang w:val="en-US"/>
        </w:rPr>
        <w:t xml:space="preserve">ancial Stability Review, </w:t>
      </w:r>
      <w:proofErr w:type="spellStart"/>
      <w:r>
        <w:rPr>
          <w:rFonts w:ascii="Times New Roman" w:hAnsi="Times New Roman" w:cs="Times New Roman"/>
          <w:lang w:val="en-US"/>
        </w:rPr>
        <w:t>novemb</w:t>
      </w:r>
      <w:r w:rsidRPr="00E73378">
        <w:rPr>
          <w:rFonts w:ascii="Times New Roman" w:hAnsi="Times New Roman" w:cs="Times New Roman"/>
          <w:lang w:val="en-US"/>
        </w:rPr>
        <w:t>r</w:t>
      </w:r>
      <w:r>
        <w:rPr>
          <w:rFonts w:ascii="Times New Roman" w:hAnsi="Times New Roman" w:cs="Times New Roman"/>
          <w:lang w:val="en-US"/>
        </w:rPr>
        <w:t>e</w:t>
      </w:r>
      <w:proofErr w:type="spellEnd"/>
      <w:r w:rsidRPr="00E73378">
        <w:rPr>
          <w:rFonts w:ascii="Times New Roman" w:hAnsi="Times New Roman" w:cs="Times New Roman"/>
          <w:lang w:val="en-US"/>
        </w:rPr>
        <w:t xml:space="preserve"> 2016. https://www.ecb.europa.eu/pub/pdf/other/financialstabilityreview201611.en.pdf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67BCD" w14:textId="77777777" w:rsidR="00383C9E" w:rsidRDefault="00383C9E">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119F2" w14:textId="77777777" w:rsidR="00383C9E" w:rsidRDefault="00383C9E">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EB284E" w14:textId="77777777" w:rsidR="00383C9E" w:rsidRDefault="00383C9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E71354"/>
    <w:multiLevelType w:val="hybridMultilevel"/>
    <w:tmpl w:val="50D091A8"/>
    <w:lvl w:ilvl="0" w:tplc="8CDAFAF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540"/>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F6F"/>
    <w:rsid w:val="00013D84"/>
    <w:rsid w:val="000442DC"/>
    <w:rsid w:val="00045DDE"/>
    <w:rsid w:val="00054533"/>
    <w:rsid w:val="00073857"/>
    <w:rsid w:val="000753D3"/>
    <w:rsid w:val="00076336"/>
    <w:rsid w:val="0008023E"/>
    <w:rsid w:val="00093D31"/>
    <w:rsid w:val="000B3A21"/>
    <w:rsid w:val="000D2A52"/>
    <w:rsid w:val="000D43F4"/>
    <w:rsid w:val="000F28F9"/>
    <w:rsid w:val="000F71CA"/>
    <w:rsid w:val="00102E20"/>
    <w:rsid w:val="00121BEE"/>
    <w:rsid w:val="00123BE7"/>
    <w:rsid w:val="0014365D"/>
    <w:rsid w:val="00144729"/>
    <w:rsid w:val="00155CA2"/>
    <w:rsid w:val="00163C92"/>
    <w:rsid w:val="00163F6F"/>
    <w:rsid w:val="0016406B"/>
    <w:rsid w:val="00173F36"/>
    <w:rsid w:val="0017752A"/>
    <w:rsid w:val="00184924"/>
    <w:rsid w:val="001C39A5"/>
    <w:rsid w:val="001E0A52"/>
    <w:rsid w:val="001F0422"/>
    <w:rsid w:val="001F670B"/>
    <w:rsid w:val="00231FFE"/>
    <w:rsid w:val="0024444F"/>
    <w:rsid w:val="0029590B"/>
    <w:rsid w:val="002C07D3"/>
    <w:rsid w:val="002D069F"/>
    <w:rsid w:val="002D3A76"/>
    <w:rsid w:val="002F173B"/>
    <w:rsid w:val="002F6779"/>
    <w:rsid w:val="003371D6"/>
    <w:rsid w:val="00350452"/>
    <w:rsid w:val="00352DE1"/>
    <w:rsid w:val="00380E70"/>
    <w:rsid w:val="00383C9E"/>
    <w:rsid w:val="003A74FE"/>
    <w:rsid w:val="003B2795"/>
    <w:rsid w:val="003F5199"/>
    <w:rsid w:val="004130EC"/>
    <w:rsid w:val="00416DA1"/>
    <w:rsid w:val="004241A7"/>
    <w:rsid w:val="0042656A"/>
    <w:rsid w:val="00444186"/>
    <w:rsid w:val="0047018E"/>
    <w:rsid w:val="00471C59"/>
    <w:rsid w:val="00476805"/>
    <w:rsid w:val="00481E1F"/>
    <w:rsid w:val="00487A28"/>
    <w:rsid w:val="00496059"/>
    <w:rsid w:val="004E3A3B"/>
    <w:rsid w:val="004E4A57"/>
    <w:rsid w:val="00503B1B"/>
    <w:rsid w:val="005041C8"/>
    <w:rsid w:val="00552FFB"/>
    <w:rsid w:val="00564167"/>
    <w:rsid w:val="00573E21"/>
    <w:rsid w:val="005930ED"/>
    <w:rsid w:val="005A07EB"/>
    <w:rsid w:val="005A3511"/>
    <w:rsid w:val="005F28B9"/>
    <w:rsid w:val="005F4C63"/>
    <w:rsid w:val="005F7C3F"/>
    <w:rsid w:val="00640884"/>
    <w:rsid w:val="006565D5"/>
    <w:rsid w:val="0068063C"/>
    <w:rsid w:val="00681FDE"/>
    <w:rsid w:val="00685C0C"/>
    <w:rsid w:val="00693589"/>
    <w:rsid w:val="006B6BBC"/>
    <w:rsid w:val="006C2D88"/>
    <w:rsid w:val="006D6918"/>
    <w:rsid w:val="006E72CB"/>
    <w:rsid w:val="00731446"/>
    <w:rsid w:val="007322B1"/>
    <w:rsid w:val="00764E41"/>
    <w:rsid w:val="00771181"/>
    <w:rsid w:val="007A3BDB"/>
    <w:rsid w:val="007B2D1A"/>
    <w:rsid w:val="007B53AC"/>
    <w:rsid w:val="007E51A9"/>
    <w:rsid w:val="007F54E0"/>
    <w:rsid w:val="008036B0"/>
    <w:rsid w:val="008140BE"/>
    <w:rsid w:val="008245A0"/>
    <w:rsid w:val="0083062F"/>
    <w:rsid w:val="008316F8"/>
    <w:rsid w:val="00850744"/>
    <w:rsid w:val="00890653"/>
    <w:rsid w:val="008D70CA"/>
    <w:rsid w:val="009207F5"/>
    <w:rsid w:val="009222CA"/>
    <w:rsid w:val="009243DC"/>
    <w:rsid w:val="009305C7"/>
    <w:rsid w:val="00934D50"/>
    <w:rsid w:val="009469D4"/>
    <w:rsid w:val="00957AEA"/>
    <w:rsid w:val="00961D7F"/>
    <w:rsid w:val="00966108"/>
    <w:rsid w:val="00972DA9"/>
    <w:rsid w:val="00990F1B"/>
    <w:rsid w:val="009A182B"/>
    <w:rsid w:val="009A4F74"/>
    <w:rsid w:val="009A50BE"/>
    <w:rsid w:val="009D6923"/>
    <w:rsid w:val="009E0AC9"/>
    <w:rsid w:val="009E623B"/>
    <w:rsid w:val="009E7C37"/>
    <w:rsid w:val="009F12C8"/>
    <w:rsid w:val="009F43E8"/>
    <w:rsid w:val="00A01D9E"/>
    <w:rsid w:val="00A02DFD"/>
    <w:rsid w:val="00A05D4A"/>
    <w:rsid w:val="00A24B19"/>
    <w:rsid w:val="00A53ECB"/>
    <w:rsid w:val="00A61740"/>
    <w:rsid w:val="00AA6287"/>
    <w:rsid w:val="00AA6560"/>
    <w:rsid w:val="00AD3765"/>
    <w:rsid w:val="00AE28D8"/>
    <w:rsid w:val="00B03789"/>
    <w:rsid w:val="00B04170"/>
    <w:rsid w:val="00B2106B"/>
    <w:rsid w:val="00B2150A"/>
    <w:rsid w:val="00B350E7"/>
    <w:rsid w:val="00B63271"/>
    <w:rsid w:val="00B66277"/>
    <w:rsid w:val="00B666A8"/>
    <w:rsid w:val="00BB55F4"/>
    <w:rsid w:val="00BC0534"/>
    <w:rsid w:val="00BD1BC0"/>
    <w:rsid w:val="00BD71E2"/>
    <w:rsid w:val="00BF3DD6"/>
    <w:rsid w:val="00C071C5"/>
    <w:rsid w:val="00C40FE1"/>
    <w:rsid w:val="00C50F10"/>
    <w:rsid w:val="00C52F54"/>
    <w:rsid w:val="00C66749"/>
    <w:rsid w:val="00C72ED5"/>
    <w:rsid w:val="00C86579"/>
    <w:rsid w:val="00CE1DAC"/>
    <w:rsid w:val="00CE4C45"/>
    <w:rsid w:val="00D72212"/>
    <w:rsid w:val="00D72346"/>
    <w:rsid w:val="00D8374E"/>
    <w:rsid w:val="00D84761"/>
    <w:rsid w:val="00D849E2"/>
    <w:rsid w:val="00D85A0F"/>
    <w:rsid w:val="00D95487"/>
    <w:rsid w:val="00DA510A"/>
    <w:rsid w:val="00DB3D3A"/>
    <w:rsid w:val="00DD2D48"/>
    <w:rsid w:val="00DD6E0B"/>
    <w:rsid w:val="00DF6566"/>
    <w:rsid w:val="00E02AAD"/>
    <w:rsid w:val="00E0520A"/>
    <w:rsid w:val="00E33BCE"/>
    <w:rsid w:val="00E73378"/>
    <w:rsid w:val="00E73699"/>
    <w:rsid w:val="00E818CD"/>
    <w:rsid w:val="00E845F6"/>
    <w:rsid w:val="00E91583"/>
    <w:rsid w:val="00E94DE1"/>
    <w:rsid w:val="00EA4E50"/>
    <w:rsid w:val="00EB2F77"/>
    <w:rsid w:val="00ED62CC"/>
    <w:rsid w:val="00F17D39"/>
    <w:rsid w:val="00F20E2A"/>
    <w:rsid w:val="00F25893"/>
    <w:rsid w:val="00F46879"/>
    <w:rsid w:val="00F75293"/>
    <w:rsid w:val="00FA0826"/>
    <w:rsid w:val="00FB5E9A"/>
    <w:rsid w:val="00FB7C66"/>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9B34E7"/>
  <w15:docId w15:val="{7567B69E-101D-49A1-AE80-ADB895666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roid Sans Fallback" w:hAnsi="Liberation Serif" w:cs="FreeSans"/>
        <w:sz w:val="24"/>
        <w:szCs w:val="24"/>
        <w:lang w:val="fr-FR"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14EB"/>
    <w:pPr>
      <w:widowControl w:val="0"/>
      <w:suppressAutoHyphens/>
    </w:pPr>
    <w:rPr>
      <w:color w:val="00000A"/>
    </w:rPr>
  </w:style>
  <w:style w:type="paragraph" w:styleId="Titre1">
    <w:name w:val="heading 1"/>
    <w:basedOn w:val="Heading"/>
    <w:rsid w:val="000914EB"/>
    <w:pPr>
      <w:outlineLvl w:val="0"/>
    </w:pPr>
  </w:style>
  <w:style w:type="paragraph" w:styleId="Titre2">
    <w:name w:val="heading 2"/>
    <w:basedOn w:val="Heading"/>
    <w:rsid w:val="000914EB"/>
    <w:pPr>
      <w:spacing w:before="200"/>
      <w:outlineLvl w:val="1"/>
    </w:pPr>
    <w:rPr>
      <w:rFonts w:ascii="Liberation Serif" w:hAnsi="Liberation Serif"/>
      <w:b/>
      <w:bCs/>
      <w:sz w:val="36"/>
      <w:szCs w:val="36"/>
    </w:rPr>
  </w:style>
  <w:style w:type="paragraph" w:styleId="Titre3">
    <w:name w:val="heading 3"/>
    <w:basedOn w:val="Heading"/>
    <w:rsid w:val="000914EB"/>
    <w:pPr>
      <w:outlineLvl w:val="2"/>
    </w:pPr>
  </w:style>
  <w:style w:type="paragraph" w:styleId="Titre4">
    <w:name w:val="heading 4"/>
    <w:basedOn w:val="Heading"/>
    <w:rsid w:val="000914EB"/>
    <w:pPr>
      <w:spacing w:before="120"/>
      <w:outlineLvl w:val="3"/>
    </w:pPr>
    <w:rPr>
      <w:rFonts w:ascii="Liberation Serif" w:hAnsi="Liberation Serif"/>
      <w:b/>
      <w:bCs/>
      <w:color w:val="808080"/>
      <w:sz w:val="24"/>
      <w:szCs w:val="24"/>
    </w:rPr>
  </w:style>
  <w:style w:type="paragraph" w:styleId="Titre5">
    <w:name w:val="heading 5"/>
    <w:basedOn w:val="Heading"/>
    <w:rsid w:val="000914EB"/>
    <w:pPr>
      <w:spacing w:before="120" w:after="60"/>
      <w:outlineLvl w:val="4"/>
    </w:pPr>
    <w:rPr>
      <w:rFonts w:ascii="Liberation Serif" w:hAnsi="Liberation Serif"/>
      <w:b/>
      <w:bCs/>
      <w:sz w:val="20"/>
      <w:szCs w:val="20"/>
    </w:rPr>
  </w:style>
  <w:style w:type="paragraph" w:styleId="Titre6">
    <w:name w:val="heading 6"/>
    <w:basedOn w:val="Heading"/>
    <w:rsid w:val="000914EB"/>
    <w:pPr>
      <w:spacing w:before="60" w:after="60"/>
      <w:outlineLvl w:val="5"/>
    </w:pPr>
    <w:rPr>
      <w:rFonts w:ascii="Liberation Serif" w:hAnsi="Liberation Serif"/>
      <w:b/>
      <w:bCs/>
      <w:sz w:val="14"/>
      <w:szCs w:val="1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FootnoteAnchor">
    <w:name w:val="Footnote Anchor"/>
    <w:rsid w:val="000914EB"/>
    <w:rPr>
      <w:vertAlign w:val="superscript"/>
    </w:rPr>
  </w:style>
  <w:style w:type="character" w:customStyle="1" w:styleId="Bullets">
    <w:name w:val="Bullets"/>
    <w:rsid w:val="000914EB"/>
    <w:rPr>
      <w:rFonts w:ascii="OpenSymbol" w:eastAsia="OpenSymbol" w:hAnsi="OpenSymbol" w:cs="OpenSymbol"/>
    </w:rPr>
  </w:style>
  <w:style w:type="character" w:customStyle="1" w:styleId="InternetLink">
    <w:name w:val="Internet Link"/>
    <w:basedOn w:val="Policepardfaut"/>
    <w:uiPriority w:val="99"/>
    <w:unhideWhenUsed/>
    <w:rsid w:val="00FB3827"/>
    <w:rPr>
      <w:color w:val="0000FF"/>
      <w:u w:val="single"/>
    </w:rPr>
  </w:style>
  <w:style w:type="character" w:customStyle="1" w:styleId="StrongEmphasis">
    <w:name w:val="Strong Emphasis"/>
    <w:rsid w:val="000914EB"/>
    <w:rPr>
      <w:b/>
      <w:bCs/>
    </w:rPr>
  </w:style>
  <w:style w:type="character" w:customStyle="1" w:styleId="EndnoteAnchor">
    <w:name w:val="Endnote Anchor"/>
    <w:rsid w:val="000914EB"/>
    <w:rPr>
      <w:vertAlign w:val="superscript"/>
    </w:rPr>
  </w:style>
  <w:style w:type="character" w:customStyle="1" w:styleId="FootnoteCharacters">
    <w:name w:val="Footnote Characters"/>
    <w:rsid w:val="000914EB"/>
  </w:style>
  <w:style w:type="character" w:customStyle="1" w:styleId="EndnoteCharacters">
    <w:name w:val="Endnote Characters"/>
    <w:rsid w:val="000914EB"/>
  </w:style>
  <w:style w:type="character" w:customStyle="1" w:styleId="TextedebullesCar">
    <w:name w:val="Texte de bulles Car"/>
    <w:basedOn w:val="Policepardfaut"/>
    <w:link w:val="Textedebulles"/>
    <w:uiPriority w:val="99"/>
    <w:semiHidden/>
    <w:rsid w:val="00195DBA"/>
    <w:rPr>
      <w:rFonts w:ascii="Segoe UI" w:hAnsi="Segoe UI" w:cs="Mangal"/>
      <w:color w:val="00000A"/>
      <w:sz w:val="18"/>
      <w:szCs w:val="16"/>
    </w:rPr>
  </w:style>
  <w:style w:type="character" w:styleId="Marquedecommentaire">
    <w:name w:val="annotation reference"/>
    <w:basedOn w:val="Policepardfaut"/>
    <w:uiPriority w:val="99"/>
    <w:semiHidden/>
    <w:unhideWhenUsed/>
    <w:rsid w:val="00E87239"/>
    <w:rPr>
      <w:sz w:val="16"/>
      <w:szCs w:val="16"/>
    </w:rPr>
  </w:style>
  <w:style w:type="character" w:customStyle="1" w:styleId="CommentaireCar">
    <w:name w:val="Commentaire Car"/>
    <w:basedOn w:val="Policepardfaut"/>
    <w:link w:val="Commentaire"/>
    <w:uiPriority w:val="99"/>
    <w:semiHidden/>
    <w:rsid w:val="00E87239"/>
    <w:rPr>
      <w:rFonts w:cs="Mangal"/>
      <w:color w:val="00000A"/>
      <w:sz w:val="20"/>
      <w:szCs w:val="18"/>
    </w:rPr>
  </w:style>
  <w:style w:type="character" w:customStyle="1" w:styleId="ObjetducommentaireCar">
    <w:name w:val="Objet du commentaire Car"/>
    <w:basedOn w:val="CommentaireCar"/>
    <w:link w:val="Objetducommentaire"/>
    <w:uiPriority w:val="99"/>
    <w:semiHidden/>
    <w:rsid w:val="00E87239"/>
    <w:rPr>
      <w:rFonts w:cs="Mangal"/>
      <w:b/>
      <w:bCs/>
      <w:color w:val="00000A"/>
      <w:sz w:val="20"/>
      <w:szCs w:val="18"/>
    </w:rPr>
  </w:style>
  <w:style w:type="paragraph" w:customStyle="1" w:styleId="Heading">
    <w:name w:val="Heading"/>
    <w:basedOn w:val="Normal"/>
    <w:next w:val="TextBody"/>
    <w:rsid w:val="000914EB"/>
    <w:pPr>
      <w:keepNext/>
      <w:spacing w:before="240" w:after="120"/>
    </w:pPr>
    <w:rPr>
      <w:rFonts w:ascii="Liberation Sans" w:hAnsi="Liberation Sans"/>
      <w:sz w:val="28"/>
      <w:szCs w:val="28"/>
    </w:rPr>
  </w:style>
  <w:style w:type="paragraph" w:customStyle="1" w:styleId="TextBody">
    <w:name w:val="Text Body"/>
    <w:basedOn w:val="Normal"/>
    <w:rsid w:val="000914EB"/>
    <w:pPr>
      <w:spacing w:after="140" w:line="288" w:lineRule="auto"/>
    </w:pPr>
  </w:style>
  <w:style w:type="paragraph" w:styleId="Liste">
    <w:name w:val="List"/>
    <w:basedOn w:val="TextBody"/>
    <w:rsid w:val="000914EB"/>
  </w:style>
  <w:style w:type="paragraph" w:styleId="Lgende">
    <w:name w:val="caption"/>
    <w:basedOn w:val="Normal"/>
    <w:rsid w:val="000914EB"/>
    <w:pPr>
      <w:suppressLineNumbers/>
      <w:spacing w:before="120" w:after="120"/>
    </w:pPr>
    <w:rPr>
      <w:i/>
      <w:iCs/>
    </w:rPr>
  </w:style>
  <w:style w:type="paragraph" w:customStyle="1" w:styleId="Index">
    <w:name w:val="Index"/>
    <w:basedOn w:val="Normal"/>
    <w:rsid w:val="000914EB"/>
    <w:pPr>
      <w:suppressLineNumbers/>
    </w:pPr>
  </w:style>
  <w:style w:type="paragraph" w:customStyle="1" w:styleId="Footnote">
    <w:name w:val="Footnote"/>
    <w:basedOn w:val="Normal"/>
    <w:rsid w:val="000914EB"/>
    <w:pPr>
      <w:suppressLineNumbers/>
      <w:ind w:left="339" w:hanging="339"/>
    </w:pPr>
    <w:rPr>
      <w:sz w:val="20"/>
      <w:szCs w:val="20"/>
    </w:rPr>
  </w:style>
  <w:style w:type="paragraph" w:customStyle="1" w:styleId="Quotations">
    <w:name w:val="Quotations"/>
    <w:basedOn w:val="Normal"/>
    <w:rsid w:val="000914EB"/>
  </w:style>
  <w:style w:type="paragraph" w:styleId="Titre">
    <w:name w:val="Title"/>
    <w:basedOn w:val="Heading"/>
    <w:rsid w:val="000914EB"/>
  </w:style>
  <w:style w:type="paragraph" w:styleId="Sous-titre">
    <w:name w:val="Subtitle"/>
    <w:basedOn w:val="Heading"/>
    <w:rsid w:val="000914EB"/>
  </w:style>
  <w:style w:type="paragraph" w:customStyle="1" w:styleId="TableContents">
    <w:name w:val="Table Contents"/>
    <w:basedOn w:val="Normal"/>
    <w:rsid w:val="00BB0ADD"/>
  </w:style>
  <w:style w:type="paragraph" w:styleId="Rvision">
    <w:name w:val="Revision"/>
    <w:uiPriority w:val="99"/>
    <w:semiHidden/>
    <w:rsid w:val="00195DBA"/>
    <w:pPr>
      <w:suppressAutoHyphens/>
    </w:pPr>
    <w:rPr>
      <w:rFonts w:cs="Mangal"/>
      <w:color w:val="00000A"/>
      <w:szCs w:val="21"/>
    </w:rPr>
  </w:style>
  <w:style w:type="paragraph" w:styleId="Textedebulles">
    <w:name w:val="Balloon Text"/>
    <w:basedOn w:val="Normal"/>
    <w:link w:val="TextedebullesCar"/>
    <w:uiPriority w:val="99"/>
    <w:semiHidden/>
    <w:unhideWhenUsed/>
    <w:rsid w:val="00195DBA"/>
    <w:rPr>
      <w:rFonts w:ascii="Segoe UI" w:hAnsi="Segoe UI" w:cs="Mangal"/>
      <w:sz w:val="18"/>
      <w:szCs w:val="16"/>
    </w:rPr>
  </w:style>
  <w:style w:type="paragraph" w:styleId="Commentaire">
    <w:name w:val="annotation text"/>
    <w:basedOn w:val="Normal"/>
    <w:link w:val="CommentaireCar"/>
    <w:uiPriority w:val="99"/>
    <w:semiHidden/>
    <w:unhideWhenUsed/>
    <w:rsid w:val="00E87239"/>
    <w:rPr>
      <w:rFonts w:cs="Mangal"/>
      <w:sz w:val="20"/>
      <w:szCs w:val="18"/>
    </w:rPr>
  </w:style>
  <w:style w:type="paragraph" w:styleId="Objetducommentaire">
    <w:name w:val="annotation subject"/>
    <w:basedOn w:val="Commentaire"/>
    <w:link w:val="ObjetducommentaireCar"/>
    <w:uiPriority w:val="99"/>
    <w:semiHidden/>
    <w:unhideWhenUsed/>
    <w:rsid w:val="00E87239"/>
    <w:rPr>
      <w:b/>
      <w:bCs/>
    </w:rPr>
  </w:style>
  <w:style w:type="paragraph" w:styleId="Notedebasdepage">
    <w:name w:val="footnote text"/>
    <w:basedOn w:val="Normal"/>
    <w:link w:val="NotedebasdepageCar"/>
    <w:uiPriority w:val="99"/>
    <w:unhideWhenUsed/>
    <w:rsid w:val="001F0422"/>
    <w:rPr>
      <w:rFonts w:cs="Mangal"/>
      <w:sz w:val="20"/>
      <w:szCs w:val="18"/>
    </w:rPr>
  </w:style>
  <w:style w:type="character" w:customStyle="1" w:styleId="NotedebasdepageCar">
    <w:name w:val="Note de bas de page Car"/>
    <w:basedOn w:val="Policepardfaut"/>
    <w:link w:val="Notedebasdepage"/>
    <w:uiPriority w:val="99"/>
    <w:rsid w:val="001F0422"/>
    <w:rPr>
      <w:rFonts w:cs="Mangal"/>
      <w:color w:val="00000A"/>
      <w:sz w:val="20"/>
      <w:szCs w:val="18"/>
    </w:rPr>
  </w:style>
  <w:style w:type="character" w:styleId="Appelnotedebasdep">
    <w:name w:val="footnote reference"/>
    <w:basedOn w:val="Policepardfaut"/>
    <w:uiPriority w:val="99"/>
    <w:semiHidden/>
    <w:unhideWhenUsed/>
    <w:rsid w:val="001F0422"/>
    <w:rPr>
      <w:vertAlign w:val="superscript"/>
    </w:rPr>
  </w:style>
  <w:style w:type="paragraph" w:styleId="Sansinterligne">
    <w:name w:val="No Spacing"/>
    <w:uiPriority w:val="1"/>
    <w:qFormat/>
    <w:rsid w:val="009469D4"/>
    <w:pPr>
      <w:widowControl w:val="0"/>
      <w:suppressAutoHyphens/>
    </w:pPr>
    <w:rPr>
      <w:rFonts w:cs="Mangal"/>
      <w:color w:val="00000A"/>
      <w:szCs w:val="21"/>
    </w:rPr>
  </w:style>
  <w:style w:type="paragraph" w:styleId="En-tte">
    <w:name w:val="header"/>
    <w:basedOn w:val="Normal"/>
    <w:link w:val="En-tteCar"/>
    <w:uiPriority w:val="99"/>
    <w:unhideWhenUsed/>
    <w:rsid w:val="007F54E0"/>
    <w:pPr>
      <w:tabs>
        <w:tab w:val="center" w:pos="4536"/>
        <w:tab w:val="right" w:pos="9072"/>
      </w:tabs>
    </w:pPr>
    <w:rPr>
      <w:rFonts w:cs="Mangal"/>
      <w:szCs w:val="21"/>
    </w:rPr>
  </w:style>
  <w:style w:type="character" w:customStyle="1" w:styleId="En-tteCar">
    <w:name w:val="En-tête Car"/>
    <w:basedOn w:val="Policepardfaut"/>
    <w:link w:val="En-tte"/>
    <w:uiPriority w:val="99"/>
    <w:rsid w:val="007F54E0"/>
    <w:rPr>
      <w:rFonts w:cs="Mangal"/>
      <w:color w:val="00000A"/>
      <w:szCs w:val="21"/>
    </w:rPr>
  </w:style>
  <w:style w:type="paragraph" w:styleId="Pieddepage">
    <w:name w:val="footer"/>
    <w:basedOn w:val="Normal"/>
    <w:link w:val="PieddepageCar"/>
    <w:uiPriority w:val="99"/>
    <w:unhideWhenUsed/>
    <w:rsid w:val="007F54E0"/>
    <w:pPr>
      <w:tabs>
        <w:tab w:val="center" w:pos="4536"/>
        <w:tab w:val="right" w:pos="9072"/>
      </w:tabs>
    </w:pPr>
    <w:rPr>
      <w:rFonts w:cs="Mangal"/>
      <w:szCs w:val="21"/>
    </w:rPr>
  </w:style>
  <w:style w:type="character" w:customStyle="1" w:styleId="PieddepageCar">
    <w:name w:val="Pied de page Car"/>
    <w:basedOn w:val="Policepardfaut"/>
    <w:link w:val="Pieddepage"/>
    <w:uiPriority w:val="99"/>
    <w:rsid w:val="007F54E0"/>
    <w:rPr>
      <w:rFonts w:cs="Mangal"/>
      <w:color w:val="00000A"/>
      <w:szCs w:val="21"/>
    </w:rPr>
  </w:style>
  <w:style w:type="character" w:styleId="Lienhypertexte">
    <w:name w:val="Hyperlink"/>
    <w:basedOn w:val="Policepardfaut"/>
    <w:uiPriority w:val="99"/>
    <w:unhideWhenUsed/>
    <w:rsid w:val="003F51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62047">
      <w:bodyDiv w:val="1"/>
      <w:marLeft w:val="0"/>
      <w:marRight w:val="0"/>
      <w:marTop w:val="0"/>
      <w:marBottom w:val="0"/>
      <w:divBdr>
        <w:top w:val="none" w:sz="0" w:space="0" w:color="auto"/>
        <w:left w:val="none" w:sz="0" w:space="0" w:color="auto"/>
        <w:bottom w:val="none" w:sz="0" w:space="0" w:color="auto"/>
        <w:right w:val="none" w:sz="0" w:space="0" w:color="auto"/>
      </w:divBdr>
      <w:divsChild>
        <w:div w:id="1806661937">
          <w:marLeft w:val="480"/>
          <w:marRight w:val="0"/>
          <w:marTop w:val="0"/>
          <w:marBottom w:val="0"/>
          <w:divBdr>
            <w:top w:val="none" w:sz="0" w:space="0" w:color="auto"/>
            <w:left w:val="none" w:sz="0" w:space="0" w:color="auto"/>
            <w:bottom w:val="none" w:sz="0" w:space="0" w:color="auto"/>
            <w:right w:val="none" w:sz="0" w:space="0" w:color="auto"/>
          </w:divBdr>
          <w:divsChild>
            <w:div w:id="51133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8018529">
      <w:bodyDiv w:val="1"/>
      <w:marLeft w:val="0"/>
      <w:marRight w:val="0"/>
      <w:marTop w:val="0"/>
      <w:marBottom w:val="0"/>
      <w:divBdr>
        <w:top w:val="none" w:sz="0" w:space="0" w:color="auto"/>
        <w:left w:val="none" w:sz="0" w:space="0" w:color="auto"/>
        <w:bottom w:val="none" w:sz="0" w:space="0" w:color="auto"/>
        <w:right w:val="none" w:sz="0" w:space="0" w:color="auto"/>
      </w:divBdr>
      <w:divsChild>
        <w:div w:id="107705013">
          <w:marLeft w:val="480"/>
          <w:marRight w:val="0"/>
          <w:marTop w:val="0"/>
          <w:marBottom w:val="0"/>
          <w:divBdr>
            <w:top w:val="none" w:sz="0" w:space="0" w:color="auto"/>
            <w:left w:val="none" w:sz="0" w:space="0" w:color="auto"/>
            <w:bottom w:val="none" w:sz="0" w:space="0" w:color="auto"/>
            <w:right w:val="none" w:sz="0" w:space="0" w:color="auto"/>
          </w:divBdr>
          <w:divsChild>
            <w:div w:id="195043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07615">
      <w:bodyDiv w:val="1"/>
      <w:marLeft w:val="0"/>
      <w:marRight w:val="0"/>
      <w:marTop w:val="0"/>
      <w:marBottom w:val="0"/>
      <w:divBdr>
        <w:top w:val="none" w:sz="0" w:space="0" w:color="auto"/>
        <w:left w:val="none" w:sz="0" w:space="0" w:color="auto"/>
        <w:bottom w:val="none" w:sz="0" w:space="0" w:color="auto"/>
        <w:right w:val="none" w:sz="0" w:space="0" w:color="auto"/>
      </w:divBdr>
      <w:divsChild>
        <w:div w:id="2110808172">
          <w:marLeft w:val="480"/>
          <w:marRight w:val="0"/>
          <w:marTop w:val="0"/>
          <w:marBottom w:val="0"/>
          <w:divBdr>
            <w:top w:val="none" w:sz="0" w:space="0" w:color="auto"/>
            <w:left w:val="none" w:sz="0" w:space="0" w:color="auto"/>
            <w:bottom w:val="none" w:sz="0" w:space="0" w:color="auto"/>
            <w:right w:val="none" w:sz="0" w:space="0" w:color="auto"/>
          </w:divBdr>
          <w:divsChild>
            <w:div w:id="82034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68225">
      <w:bodyDiv w:val="1"/>
      <w:marLeft w:val="0"/>
      <w:marRight w:val="0"/>
      <w:marTop w:val="0"/>
      <w:marBottom w:val="0"/>
      <w:divBdr>
        <w:top w:val="none" w:sz="0" w:space="0" w:color="auto"/>
        <w:left w:val="none" w:sz="0" w:space="0" w:color="auto"/>
        <w:bottom w:val="none" w:sz="0" w:space="0" w:color="auto"/>
        <w:right w:val="none" w:sz="0" w:space="0" w:color="auto"/>
      </w:divBdr>
      <w:divsChild>
        <w:div w:id="124353296">
          <w:marLeft w:val="480"/>
          <w:marRight w:val="0"/>
          <w:marTop w:val="0"/>
          <w:marBottom w:val="0"/>
          <w:divBdr>
            <w:top w:val="none" w:sz="0" w:space="0" w:color="auto"/>
            <w:left w:val="none" w:sz="0" w:space="0" w:color="auto"/>
            <w:bottom w:val="none" w:sz="0" w:space="0" w:color="auto"/>
            <w:right w:val="none" w:sz="0" w:space="0" w:color="auto"/>
          </w:divBdr>
          <w:divsChild>
            <w:div w:id="9720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6951">
      <w:bodyDiv w:val="1"/>
      <w:marLeft w:val="0"/>
      <w:marRight w:val="0"/>
      <w:marTop w:val="0"/>
      <w:marBottom w:val="0"/>
      <w:divBdr>
        <w:top w:val="none" w:sz="0" w:space="0" w:color="auto"/>
        <w:left w:val="none" w:sz="0" w:space="0" w:color="auto"/>
        <w:bottom w:val="none" w:sz="0" w:space="0" w:color="auto"/>
        <w:right w:val="none" w:sz="0" w:space="0" w:color="auto"/>
      </w:divBdr>
      <w:divsChild>
        <w:div w:id="388891917">
          <w:marLeft w:val="480"/>
          <w:marRight w:val="0"/>
          <w:marTop w:val="0"/>
          <w:marBottom w:val="0"/>
          <w:divBdr>
            <w:top w:val="none" w:sz="0" w:space="0" w:color="auto"/>
            <w:left w:val="none" w:sz="0" w:space="0" w:color="auto"/>
            <w:bottom w:val="none" w:sz="0" w:space="0" w:color="auto"/>
            <w:right w:val="none" w:sz="0" w:space="0" w:color="auto"/>
          </w:divBdr>
          <w:divsChild>
            <w:div w:id="843780754">
              <w:marLeft w:val="0"/>
              <w:marRight w:val="0"/>
              <w:marTop w:val="0"/>
              <w:marBottom w:val="0"/>
              <w:divBdr>
                <w:top w:val="none" w:sz="0" w:space="0" w:color="auto"/>
                <w:left w:val="none" w:sz="0" w:space="0" w:color="auto"/>
                <w:bottom w:val="none" w:sz="0" w:space="0" w:color="auto"/>
                <w:right w:val="none" w:sz="0" w:space="0" w:color="auto"/>
              </w:divBdr>
            </w:div>
            <w:div w:id="2059477897">
              <w:marLeft w:val="0"/>
              <w:marRight w:val="0"/>
              <w:marTop w:val="0"/>
              <w:marBottom w:val="0"/>
              <w:divBdr>
                <w:top w:val="none" w:sz="0" w:space="0" w:color="auto"/>
                <w:left w:val="none" w:sz="0" w:space="0" w:color="auto"/>
                <w:bottom w:val="none" w:sz="0" w:space="0" w:color="auto"/>
                <w:right w:val="none" w:sz="0" w:space="0" w:color="auto"/>
              </w:divBdr>
            </w:div>
            <w:div w:id="1373535974">
              <w:marLeft w:val="0"/>
              <w:marRight w:val="0"/>
              <w:marTop w:val="0"/>
              <w:marBottom w:val="0"/>
              <w:divBdr>
                <w:top w:val="none" w:sz="0" w:space="0" w:color="auto"/>
                <w:left w:val="none" w:sz="0" w:space="0" w:color="auto"/>
                <w:bottom w:val="none" w:sz="0" w:space="0" w:color="auto"/>
                <w:right w:val="none" w:sz="0" w:space="0" w:color="auto"/>
              </w:divBdr>
            </w:div>
            <w:div w:id="1956789746">
              <w:marLeft w:val="0"/>
              <w:marRight w:val="0"/>
              <w:marTop w:val="0"/>
              <w:marBottom w:val="0"/>
              <w:divBdr>
                <w:top w:val="none" w:sz="0" w:space="0" w:color="auto"/>
                <w:left w:val="none" w:sz="0" w:space="0" w:color="auto"/>
                <w:bottom w:val="none" w:sz="0" w:space="0" w:color="auto"/>
                <w:right w:val="none" w:sz="0" w:space="0" w:color="auto"/>
              </w:divBdr>
            </w:div>
            <w:div w:id="182129545">
              <w:marLeft w:val="0"/>
              <w:marRight w:val="0"/>
              <w:marTop w:val="0"/>
              <w:marBottom w:val="0"/>
              <w:divBdr>
                <w:top w:val="none" w:sz="0" w:space="0" w:color="auto"/>
                <w:left w:val="none" w:sz="0" w:space="0" w:color="auto"/>
                <w:bottom w:val="none" w:sz="0" w:space="0" w:color="auto"/>
                <w:right w:val="none" w:sz="0" w:space="0" w:color="auto"/>
              </w:divBdr>
            </w:div>
            <w:div w:id="1768231273">
              <w:marLeft w:val="0"/>
              <w:marRight w:val="0"/>
              <w:marTop w:val="0"/>
              <w:marBottom w:val="0"/>
              <w:divBdr>
                <w:top w:val="none" w:sz="0" w:space="0" w:color="auto"/>
                <w:left w:val="none" w:sz="0" w:space="0" w:color="auto"/>
                <w:bottom w:val="none" w:sz="0" w:space="0" w:color="auto"/>
                <w:right w:val="none" w:sz="0" w:space="0" w:color="auto"/>
              </w:divBdr>
            </w:div>
            <w:div w:id="2057125631">
              <w:marLeft w:val="0"/>
              <w:marRight w:val="0"/>
              <w:marTop w:val="0"/>
              <w:marBottom w:val="0"/>
              <w:divBdr>
                <w:top w:val="none" w:sz="0" w:space="0" w:color="auto"/>
                <w:left w:val="none" w:sz="0" w:space="0" w:color="auto"/>
                <w:bottom w:val="none" w:sz="0" w:space="0" w:color="auto"/>
                <w:right w:val="none" w:sz="0" w:space="0" w:color="auto"/>
              </w:divBdr>
            </w:div>
            <w:div w:id="1219588031">
              <w:marLeft w:val="0"/>
              <w:marRight w:val="0"/>
              <w:marTop w:val="0"/>
              <w:marBottom w:val="0"/>
              <w:divBdr>
                <w:top w:val="none" w:sz="0" w:space="0" w:color="auto"/>
                <w:left w:val="none" w:sz="0" w:space="0" w:color="auto"/>
                <w:bottom w:val="none" w:sz="0" w:space="0" w:color="auto"/>
                <w:right w:val="none" w:sz="0" w:space="0" w:color="auto"/>
              </w:divBdr>
            </w:div>
            <w:div w:id="213542998">
              <w:marLeft w:val="0"/>
              <w:marRight w:val="0"/>
              <w:marTop w:val="0"/>
              <w:marBottom w:val="0"/>
              <w:divBdr>
                <w:top w:val="none" w:sz="0" w:space="0" w:color="auto"/>
                <w:left w:val="none" w:sz="0" w:space="0" w:color="auto"/>
                <w:bottom w:val="none" w:sz="0" w:space="0" w:color="auto"/>
                <w:right w:val="none" w:sz="0" w:space="0" w:color="auto"/>
              </w:divBdr>
            </w:div>
            <w:div w:id="1628004882">
              <w:marLeft w:val="0"/>
              <w:marRight w:val="0"/>
              <w:marTop w:val="0"/>
              <w:marBottom w:val="0"/>
              <w:divBdr>
                <w:top w:val="none" w:sz="0" w:space="0" w:color="auto"/>
                <w:left w:val="none" w:sz="0" w:space="0" w:color="auto"/>
                <w:bottom w:val="none" w:sz="0" w:space="0" w:color="auto"/>
                <w:right w:val="none" w:sz="0" w:space="0" w:color="auto"/>
              </w:divBdr>
            </w:div>
            <w:div w:id="1821993392">
              <w:marLeft w:val="0"/>
              <w:marRight w:val="0"/>
              <w:marTop w:val="0"/>
              <w:marBottom w:val="0"/>
              <w:divBdr>
                <w:top w:val="none" w:sz="0" w:space="0" w:color="auto"/>
                <w:left w:val="none" w:sz="0" w:space="0" w:color="auto"/>
                <w:bottom w:val="none" w:sz="0" w:space="0" w:color="auto"/>
                <w:right w:val="none" w:sz="0" w:space="0" w:color="auto"/>
              </w:divBdr>
            </w:div>
            <w:div w:id="436756521">
              <w:marLeft w:val="0"/>
              <w:marRight w:val="0"/>
              <w:marTop w:val="0"/>
              <w:marBottom w:val="0"/>
              <w:divBdr>
                <w:top w:val="none" w:sz="0" w:space="0" w:color="auto"/>
                <w:left w:val="none" w:sz="0" w:space="0" w:color="auto"/>
                <w:bottom w:val="none" w:sz="0" w:space="0" w:color="auto"/>
                <w:right w:val="none" w:sz="0" w:space="0" w:color="auto"/>
              </w:divBdr>
            </w:div>
            <w:div w:id="894311566">
              <w:marLeft w:val="0"/>
              <w:marRight w:val="0"/>
              <w:marTop w:val="0"/>
              <w:marBottom w:val="0"/>
              <w:divBdr>
                <w:top w:val="none" w:sz="0" w:space="0" w:color="auto"/>
                <w:left w:val="none" w:sz="0" w:space="0" w:color="auto"/>
                <w:bottom w:val="none" w:sz="0" w:space="0" w:color="auto"/>
                <w:right w:val="none" w:sz="0" w:space="0" w:color="auto"/>
              </w:divBdr>
            </w:div>
            <w:div w:id="337587807">
              <w:marLeft w:val="0"/>
              <w:marRight w:val="0"/>
              <w:marTop w:val="0"/>
              <w:marBottom w:val="0"/>
              <w:divBdr>
                <w:top w:val="none" w:sz="0" w:space="0" w:color="auto"/>
                <w:left w:val="none" w:sz="0" w:space="0" w:color="auto"/>
                <w:bottom w:val="none" w:sz="0" w:space="0" w:color="auto"/>
                <w:right w:val="none" w:sz="0" w:space="0" w:color="auto"/>
              </w:divBdr>
            </w:div>
            <w:div w:id="338971742">
              <w:marLeft w:val="0"/>
              <w:marRight w:val="0"/>
              <w:marTop w:val="0"/>
              <w:marBottom w:val="0"/>
              <w:divBdr>
                <w:top w:val="none" w:sz="0" w:space="0" w:color="auto"/>
                <w:left w:val="none" w:sz="0" w:space="0" w:color="auto"/>
                <w:bottom w:val="none" w:sz="0" w:space="0" w:color="auto"/>
                <w:right w:val="none" w:sz="0" w:space="0" w:color="auto"/>
              </w:divBdr>
            </w:div>
            <w:div w:id="1534534087">
              <w:marLeft w:val="0"/>
              <w:marRight w:val="0"/>
              <w:marTop w:val="0"/>
              <w:marBottom w:val="0"/>
              <w:divBdr>
                <w:top w:val="none" w:sz="0" w:space="0" w:color="auto"/>
                <w:left w:val="none" w:sz="0" w:space="0" w:color="auto"/>
                <w:bottom w:val="none" w:sz="0" w:space="0" w:color="auto"/>
                <w:right w:val="none" w:sz="0" w:space="0" w:color="auto"/>
              </w:divBdr>
            </w:div>
            <w:div w:id="1768651120">
              <w:marLeft w:val="0"/>
              <w:marRight w:val="0"/>
              <w:marTop w:val="0"/>
              <w:marBottom w:val="0"/>
              <w:divBdr>
                <w:top w:val="none" w:sz="0" w:space="0" w:color="auto"/>
                <w:left w:val="none" w:sz="0" w:space="0" w:color="auto"/>
                <w:bottom w:val="none" w:sz="0" w:space="0" w:color="auto"/>
                <w:right w:val="none" w:sz="0" w:space="0" w:color="auto"/>
              </w:divBdr>
            </w:div>
            <w:div w:id="1804693343">
              <w:marLeft w:val="0"/>
              <w:marRight w:val="0"/>
              <w:marTop w:val="0"/>
              <w:marBottom w:val="0"/>
              <w:divBdr>
                <w:top w:val="none" w:sz="0" w:space="0" w:color="auto"/>
                <w:left w:val="none" w:sz="0" w:space="0" w:color="auto"/>
                <w:bottom w:val="none" w:sz="0" w:space="0" w:color="auto"/>
                <w:right w:val="none" w:sz="0" w:space="0" w:color="auto"/>
              </w:divBdr>
            </w:div>
            <w:div w:id="989017194">
              <w:marLeft w:val="0"/>
              <w:marRight w:val="0"/>
              <w:marTop w:val="0"/>
              <w:marBottom w:val="0"/>
              <w:divBdr>
                <w:top w:val="none" w:sz="0" w:space="0" w:color="auto"/>
                <w:left w:val="none" w:sz="0" w:space="0" w:color="auto"/>
                <w:bottom w:val="none" w:sz="0" w:space="0" w:color="auto"/>
                <w:right w:val="none" w:sz="0" w:space="0" w:color="auto"/>
              </w:divBdr>
            </w:div>
            <w:div w:id="1317684201">
              <w:marLeft w:val="0"/>
              <w:marRight w:val="0"/>
              <w:marTop w:val="0"/>
              <w:marBottom w:val="0"/>
              <w:divBdr>
                <w:top w:val="none" w:sz="0" w:space="0" w:color="auto"/>
                <w:left w:val="none" w:sz="0" w:space="0" w:color="auto"/>
                <w:bottom w:val="none" w:sz="0" w:space="0" w:color="auto"/>
                <w:right w:val="none" w:sz="0" w:space="0" w:color="auto"/>
              </w:divBdr>
            </w:div>
            <w:div w:id="1366370662">
              <w:marLeft w:val="0"/>
              <w:marRight w:val="0"/>
              <w:marTop w:val="0"/>
              <w:marBottom w:val="0"/>
              <w:divBdr>
                <w:top w:val="none" w:sz="0" w:space="0" w:color="auto"/>
                <w:left w:val="none" w:sz="0" w:space="0" w:color="auto"/>
                <w:bottom w:val="none" w:sz="0" w:space="0" w:color="auto"/>
                <w:right w:val="none" w:sz="0" w:space="0" w:color="auto"/>
              </w:divBdr>
            </w:div>
            <w:div w:id="948126318">
              <w:marLeft w:val="0"/>
              <w:marRight w:val="0"/>
              <w:marTop w:val="0"/>
              <w:marBottom w:val="0"/>
              <w:divBdr>
                <w:top w:val="none" w:sz="0" w:space="0" w:color="auto"/>
                <w:left w:val="none" w:sz="0" w:space="0" w:color="auto"/>
                <w:bottom w:val="none" w:sz="0" w:space="0" w:color="auto"/>
                <w:right w:val="none" w:sz="0" w:space="0" w:color="auto"/>
              </w:divBdr>
            </w:div>
            <w:div w:id="256989849">
              <w:marLeft w:val="0"/>
              <w:marRight w:val="0"/>
              <w:marTop w:val="0"/>
              <w:marBottom w:val="0"/>
              <w:divBdr>
                <w:top w:val="none" w:sz="0" w:space="0" w:color="auto"/>
                <w:left w:val="none" w:sz="0" w:space="0" w:color="auto"/>
                <w:bottom w:val="none" w:sz="0" w:space="0" w:color="auto"/>
                <w:right w:val="none" w:sz="0" w:space="0" w:color="auto"/>
              </w:divBdr>
            </w:div>
            <w:div w:id="964198376">
              <w:marLeft w:val="0"/>
              <w:marRight w:val="0"/>
              <w:marTop w:val="0"/>
              <w:marBottom w:val="0"/>
              <w:divBdr>
                <w:top w:val="none" w:sz="0" w:space="0" w:color="auto"/>
                <w:left w:val="none" w:sz="0" w:space="0" w:color="auto"/>
                <w:bottom w:val="none" w:sz="0" w:space="0" w:color="auto"/>
                <w:right w:val="none" w:sz="0" w:space="0" w:color="auto"/>
              </w:divBdr>
            </w:div>
            <w:div w:id="350033848">
              <w:marLeft w:val="0"/>
              <w:marRight w:val="0"/>
              <w:marTop w:val="0"/>
              <w:marBottom w:val="0"/>
              <w:divBdr>
                <w:top w:val="none" w:sz="0" w:space="0" w:color="auto"/>
                <w:left w:val="none" w:sz="0" w:space="0" w:color="auto"/>
                <w:bottom w:val="none" w:sz="0" w:space="0" w:color="auto"/>
                <w:right w:val="none" w:sz="0" w:space="0" w:color="auto"/>
              </w:divBdr>
            </w:div>
            <w:div w:id="103966791">
              <w:marLeft w:val="0"/>
              <w:marRight w:val="0"/>
              <w:marTop w:val="0"/>
              <w:marBottom w:val="0"/>
              <w:divBdr>
                <w:top w:val="none" w:sz="0" w:space="0" w:color="auto"/>
                <w:left w:val="none" w:sz="0" w:space="0" w:color="auto"/>
                <w:bottom w:val="none" w:sz="0" w:space="0" w:color="auto"/>
                <w:right w:val="none" w:sz="0" w:space="0" w:color="auto"/>
              </w:divBdr>
            </w:div>
            <w:div w:id="58940126">
              <w:marLeft w:val="0"/>
              <w:marRight w:val="0"/>
              <w:marTop w:val="0"/>
              <w:marBottom w:val="0"/>
              <w:divBdr>
                <w:top w:val="none" w:sz="0" w:space="0" w:color="auto"/>
                <w:left w:val="none" w:sz="0" w:space="0" w:color="auto"/>
                <w:bottom w:val="none" w:sz="0" w:space="0" w:color="auto"/>
                <w:right w:val="none" w:sz="0" w:space="0" w:color="auto"/>
              </w:divBdr>
            </w:div>
            <w:div w:id="577982025">
              <w:marLeft w:val="0"/>
              <w:marRight w:val="0"/>
              <w:marTop w:val="0"/>
              <w:marBottom w:val="0"/>
              <w:divBdr>
                <w:top w:val="none" w:sz="0" w:space="0" w:color="auto"/>
                <w:left w:val="none" w:sz="0" w:space="0" w:color="auto"/>
                <w:bottom w:val="none" w:sz="0" w:space="0" w:color="auto"/>
                <w:right w:val="none" w:sz="0" w:space="0" w:color="auto"/>
              </w:divBdr>
            </w:div>
            <w:div w:id="1536961858">
              <w:marLeft w:val="0"/>
              <w:marRight w:val="0"/>
              <w:marTop w:val="0"/>
              <w:marBottom w:val="0"/>
              <w:divBdr>
                <w:top w:val="none" w:sz="0" w:space="0" w:color="auto"/>
                <w:left w:val="none" w:sz="0" w:space="0" w:color="auto"/>
                <w:bottom w:val="none" w:sz="0" w:space="0" w:color="auto"/>
                <w:right w:val="none" w:sz="0" w:space="0" w:color="auto"/>
              </w:divBdr>
            </w:div>
            <w:div w:id="1671787741">
              <w:marLeft w:val="0"/>
              <w:marRight w:val="0"/>
              <w:marTop w:val="0"/>
              <w:marBottom w:val="0"/>
              <w:divBdr>
                <w:top w:val="none" w:sz="0" w:space="0" w:color="auto"/>
                <w:left w:val="none" w:sz="0" w:space="0" w:color="auto"/>
                <w:bottom w:val="none" w:sz="0" w:space="0" w:color="auto"/>
                <w:right w:val="none" w:sz="0" w:space="0" w:color="auto"/>
              </w:divBdr>
            </w:div>
            <w:div w:id="2073577331">
              <w:marLeft w:val="0"/>
              <w:marRight w:val="0"/>
              <w:marTop w:val="0"/>
              <w:marBottom w:val="0"/>
              <w:divBdr>
                <w:top w:val="none" w:sz="0" w:space="0" w:color="auto"/>
                <w:left w:val="none" w:sz="0" w:space="0" w:color="auto"/>
                <w:bottom w:val="none" w:sz="0" w:space="0" w:color="auto"/>
                <w:right w:val="none" w:sz="0" w:space="0" w:color="auto"/>
              </w:divBdr>
            </w:div>
            <w:div w:id="883179804">
              <w:marLeft w:val="0"/>
              <w:marRight w:val="0"/>
              <w:marTop w:val="0"/>
              <w:marBottom w:val="0"/>
              <w:divBdr>
                <w:top w:val="none" w:sz="0" w:space="0" w:color="auto"/>
                <w:left w:val="none" w:sz="0" w:space="0" w:color="auto"/>
                <w:bottom w:val="none" w:sz="0" w:space="0" w:color="auto"/>
                <w:right w:val="none" w:sz="0" w:space="0" w:color="auto"/>
              </w:divBdr>
            </w:div>
            <w:div w:id="1542857886">
              <w:marLeft w:val="0"/>
              <w:marRight w:val="0"/>
              <w:marTop w:val="0"/>
              <w:marBottom w:val="0"/>
              <w:divBdr>
                <w:top w:val="none" w:sz="0" w:space="0" w:color="auto"/>
                <w:left w:val="none" w:sz="0" w:space="0" w:color="auto"/>
                <w:bottom w:val="none" w:sz="0" w:space="0" w:color="auto"/>
                <w:right w:val="none" w:sz="0" w:space="0" w:color="auto"/>
              </w:divBdr>
            </w:div>
            <w:div w:id="1652712957">
              <w:marLeft w:val="0"/>
              <w:marRight w:val="0"/>
              <w:marTop w:val="0"/>
              <w:marBottom w:val="0"/>
              <w:divBdr>
                <w:top w:val="none" w:sz="0" w:space="0" w:color="auto"/>
                <w:left w:val="none" w:sz="0" w:space="0" w:color="auto"/>
                <w:bottom w:val="none" w:sz="0" w:space="0" w:color="auto"/>
                <w:right w:val="none" w:sz="0" w:space="0" w:color="auto"/>
              </w:divBdr>
            </w:div>
            <w:div w:id="1019618816">
              <w:marLeft w:val="0"/>
              <w:marRight w:val="0"/>
              <w:marTop w:val="0"/>
              <w:marBottom w:val="0"/>
              <w:divBdr>
                <w:top w:val="none" w:sz="0" w:space="0" w:color="auto"/>
                <w:left w:val="none" w:sz="0" w:space="0" w:color="auto"/>
                <w:bottom w:val="none" w:sz="0" w:space="0" w:color="auto"/>
                <w:right w:val="none" w:sz="0" w:space="0" w:color="auto"/>
              </w:divBdr>
            </w:div>
            <w:div w:id="1357851129">
              <w:marLeft w:val="0"/>
              <w:marRight w:val="0"/>
              <w:marTop w:val="0"/>
              <w:marBottom w:val="0"/>
              <w:divBdr>
                <w:top w:val="none" w:sz="0" w:space="0" w:color="auto"/>
                <w:left w:val="none" w:sz="0" w:space="0" w:color="auto"/>
                <w:bottom w:val="none" w:sz="0" w:space="0" w:color="auto"/>
                <w:right w:val="none" w:sz="0" w:space="0" w:color="auto"/>
              </w:divBdr>
            </w:div>
            <w:div w:id="922035813">
              <w:marLeft w:val="0"/>
              <w:marRight w:val="0"/>
              <w:marTop w:val="0"/>
              <w:marBottom w:val="0"/>
              <w:divBdr>
                <w:top w:val="none" w:sz="0" w:space="0" w:color="auto"/>
                <w:left w:val="none" w:sz="0" w:space="0" w:color="auto"/>
                <w:bottom w:val="none" w:sz="0" w:space="0" w:color="auto"/>
                <w:right w:val="none" w:sz="0" w:space="0" w:color="auto"/>
              </w:divBdr>
            </w:div>
            <w:div w:id="295724233">
              <w:marLeft w:val="0"/>
              <w:marRight w:val="0"/>
              <w:marTop w:val="0"/>
              <w:marBottom w:val="0"/>
              <w:divBdr>
                <w:top w:val="none" w:sz="0" w:space="0" w:color="auto"/>
                <w:left w:val="none" w:sz="0" w:space="0" w:color="auto"/>
                <w:bottom w:val="none" w:sz="0" w:space="0" w:color="auto"/>
                <w:right w:val="none" w:sz="0" w:space="0" w:color="auto"/>
              </w:divBdr>
            </w:div>
            <w:div w:id="690913177">
              <w:marLeft w:val="0"/>
              <w:marRight w:val="0"/>
              <w:marTop w:val="0"/>
              <w:marBottom w:val="0"/>
              <w:divBdr>
                <w:top w:val="none" w:sz="0" w:space="0" w:color="auto"/>
                <w:left w:val="none" w:sz="0" w:space="0" w:color="auto"/>
                <w:bottom w:val="none" w:sz="0" w:space="0" w:color="auto"/>
                <w:right w:val="none" w:sz="0" w:space="0" w:color="auto"/>
              </w:divBdr>
            </w:div>
            <w:div w:id="1213347685">
              <w:marLeft w:val="0"/>
              <w:marRight w:val="0"/>
              <w:marTop w:val="0"/>
              <w:marBottom w:val="0"/>
              <w:divBdr>
                <w:top w:val="none" w:sz="0" w:space="0" w:color="auto"/>
                <w:left w:val="none" w:sz="0" w:space="0" w:color="auto"/>
                <w:bottom w:val="none" w:sz="0" w:space="0" w:color="auto"/>
                <w:right w:val="none" w:sz="0" w:space="0" w:color="auto"/>
              </w:divBdr>
            </w:div>
            <w:div w:id="623117409">
              <w:marLeft w:val="0"/>
              <w:marRight w:val="0"/>
              <w:marTop w:val="0"/>
              <w:marBottom w:val="0"/>
              <w:divBdr>
                <w:top w:val="none" w:sz="0" w:space="0" w:color="auto"/>
                <w:left w:val="none" w:sz="0" w:space="0" w:color="auto"/>
                <w:bottom w:val="none" w:sz="0" w:space="0" w:color="auto"/>
                <w:right w:val="none" w:sz="0" w:space="0" w:color="auto"/>
              </w:divBdr>
            </w:div>
            <w:div w:id="31852833">
              <w:marLeft w:val="0"/>
              <w:marRight w:val="0"/>
              <w:marTop w:val="0"/>
              <w:marBottom w:val="0"/>
              <w:divBdr>
                <w:top w:val="none" w:sz="0" w:space="0" w:color="auto"/>
                <w:left w:val="none" w:sz="0" w:space="0" w:color="auto"/>
                <w:bottom w:val="none" w:sz="0" w:space="0" w:color="auto"/>
                <w:right w:val="none" w:sz="0" w:space="0" w:color="auto"/>
              </w:divBdr>
            </w:div>
            <w:div w:id="890307967">
              <w:marLeft w:val="0"/>
              <w:marRight w:val="0"/>
              <w:marTop w:val="0"/>
              <w:marBottom w:val="0"/>
              <w:divBdr>
                <w:top w:val="none" w:sz="0" w:space="0" w:color="auto"/>
                <w:left w:val="none" w:sz="0" w:space="0" w:color="auto"/>
                <w:bottom w:val="none" w:sz="0" w:space="0" w:color="auto"/>
                <w:right w:val="none" w:sz="0" w:space="0" w:color="auto"/>
              </w:divBdr>
            </w:div>
            <w:div w:id="1446080009">
              <w:marLeft w:val="0"/>
              <w:marRight w:val="0"/>
              <w:marTop w:val="0"/>
              <w:marBottom w:val="0"/>
              <w:divBdr>
                <w:top w:val="none" w:sz="0" w:space="0" w:color="auto"/>
                <w:left w:val="none" w:sz="0" w:space="0" w:color="auto"/>
                <w:bottom w:val="none" w:sz="0" w:space="0" w:color="auto"/>
                <w:right w:val="none" w:sz="0" w:space="0" w:color="auto"/>
              </w:divBdr>
            </w:div>
            <w:div w:id="96802082">
              <w:marLeft w:val="0"/>
              <w:marRight w:val="0"/>
              <w:marTop w:val="0"/>
              <w:marBottom w:val="0"/>
              <w:divBdr>
                <w:top w:val="none" w:sz="0" w:space="0" w:color="auto"/>
                <w:left w:val="none" w:sz="0" w:space="0" w:color="auto"/>
                <w:bottom w:val="none" w:sz="0" w:space="0" w:color="auto"/>
                <w:right w:val="none" w:sz="0" w:space="0" w:color="auto"/>
              </w:divBdr>
            </w:div>
            <w:div w:id="1461996212">
              <w:marLeft w:val="0"/>
              <w:marRight w:val="0"/>
              <w:marTop w:val="0"/>
              <w:marBottom w:val="0"/>
              <w:divBdr>
                <w:top w:val="none" w:sz="0" w:space="0" w:color="auto"/>
                <w:left w:val="none" w:sz="0" w:space="0" w:color="auto"/>
                <w:bottom w:val="none" w:sz="0" w:space="0" w:color="auto"/>
                <w:right w:val="none" w:sz="0" w:space="0" w:color="auto"/>
              </w:divBdr>
            </w:div>
            <w:div w:id="1777752065">
              <w:marLeft w:val="0"/>
              <w:marRight w:val="0"/>
              <w:marTop w:val="0"/>
              <w:marBottom w:val="0"/>
              <w:divBdr>
                <w:top w:val="none" w:sz="0" w:space="0" w:color="auto"/>
                <w:left w:val="none" w:sz="0" w:space="0" w:color="auto"/>
                <w:bottom w:val="none" w:sz="0" w:space="0" w:color="auto"/>
                <w:right w:val="none" w:sz="0" w:space="0" w:color="auto"/>
              </w:divBdr>
            </w:div>
            <w:div w:id="1225145649">
              <w:marLeft w:val="0"/>
              <w:marRight w:val="0"/>
              <w:marTop w:val="0"/>
              <w:marBottom w:val="0"/>
              <w:divBdr>
                <w:top w:val="none" w:sz="0" w:space="0" w:color="auto"/>
                <w:left w:val="none" w:sz="0" w:space="0" w:color="auto"/>
                <w:bottom w:val="none" w:sz="0" w:space="0" w:color="auto"/>
                <w:right w:val="none" w:sz="0" w:space="0" w:color="auto"/>
              </w:divBdr>
            </w:div>
            <w:div w:id="266423154">
              <w:marLeft w:val="0"/>
              <w:marRight w:val="0"/>
              <w:marTop w:val="0"/>
              <w:marBottom w:val="0"/>
              <w:divBdr>
                <w:top w:val="none" w:sz="0" w:space="0" w:color="auto"/>
                <w:left w:val="none" w:sz="0" w:space="0" w:color="auto"/>
                <w:bottom w:val="none" w:sz="0" w:space="0" w:color="auto"/>
                <w:right w:val="none" w:sz="0" w:space="0" w:color="auto"/>
              </w:divBdr>
            </w:div>
            <w:div w:id="1811509752">
              <w:marLeft w:val="0"/>
              <w:marRight w:val="0"/>
              <w:marTop w:val="0"/>
              <w:marBottom w:val="0"/>
              <w:divBdr>
                <w:top w:val="none" w:sz="0" w:space="0" w:color="auto"/>
                <w:left w:val="none" w:sz="0" w:space="0" w:color="auto"/>
                <w:bottom w:val="none" w:sz="0" w:space="0" w:color="auto"/>
                <w:right w:val="none" w:sz="0" w:space="0" w:color="auto"/>
              </w:divBdr>
            </w:div>
            <w:div w:id="1379622212">
              <w:marLeft w:val="0"/>
              <w:marRight w:val="0"/>
              <w:marTop w:val="0"/>
              <w:marBottom w:val="0"/>
              <w:divBdr>
                <w:top w:val="none" w:sz="0" w:space="0" w:color="auto"/>
                <w:left w:val="none" w:sz="0" w:space="0" w:color="auto"/>
                <w:bottom w:val="none" w:sz="0" w:space="0" w:color="auto"/>
                <w:right w:val="none" w:sz="0" w:space="0" w:color="auto"/>
              </w:divBdr>
            </w:div>
            <w:div w:id="294409304">
              <w:marLeft w:val="0"/>
              <w:marRight w:val="0"/>
              <w:marTop w:val="0"/>
              <w:marBottom w:val="0"/>
              <w:divBdr>
                <w:top w:val="none" w:sz="0" w:space="0" w:color="auto"/>
                <w:left w:val="none" w:sz="0" w:space="0" w:color="auto"/>
                <w:bottom w:val="none" w:sz="0" w:space="0" w:color="auto"/>
                <w:right w:val="none" w:sz="0" w:space="0" w:color="auto"/>
              </w:divBdr>
            </w:div>
            <w:div w:id="1162041919">
              <w:marLeft w:val="0"/>
              <w:marRight w:val="0"/>
              <w:marTop w:val="0"/>
              <w:marBottom w:val="0"/>
              <w:divBdr>
                <w:top w:val="none" w:sz="0" w:space="0" w:color="auto"/>
                <w:left w:val="none" w:sz="0" w:space="0" w:color="auto"/>
                <w:bottom w:val="none" w:sz="0" w:space="0" w:color="auto"/>
                <w:right w:val="none" w:sz="0" w:space="0" w:color="auto"/>
              </w:divBdr>
            </w:div>
            <w:div w:id="1142697539">
              <w:marLeft w:val="0"/>
              <w:marRight w:val="0"/>
              <w:marTop w:val="0"/>
              <w:marBottom w:val="0"/>
              <w:divBdr>
                <w:top w:val="none" w:sz="0" w:space="0" w:color="auto"/>
                <w:left w:val="none" w:sz="0" w:space="0" w:color="auto"/>
                <w:bottom w:val="none" w:sz="0" w:space="0" w:color="auto"/>
                <w:right w:val="none" w:sz="0" w:space="0" w:color="auto"/>
              </w:divBdr>
            </w:div>
            <w:div w:id="1461730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212772">
      <w:bodyDiv w:val="1"/>
      <w:marLeft w:val="0"/>
      <w:marRight w:val="0"/>
      <w:marTop w:val="0"/>
      <w:marBottom w:val="0"/>
      <w:divBdr>
        <w:top w:val="none" w:sz="0" w:space="0" w:color="auto"/>
        <w:left w:val="none" w:sz="0" w:space="0" w:color="auto"/>
        <w:bottom w:val="none" w:sz="0" w:space="0" w:color="auto"/>
        <w:right w:val="none" w:sz="0" w:space="0" w:color="auto"/>
      </w:divBdr>
      <w:divsChild>
        <w:div w:id="509567883">
          <w:marLeft w:val="480"/>
          <w:marRight w:val="0"/>
          <w:marTop w:val="0"/>
          <w:marBottom w:val="0"/>
          <w:divBdr>
            <w:top w:val="none" w:sz="0" w:space="0" w:color="auto"/>
            <w:left w:val="none" w:sz="0" w:space="0" w:color="auto"/>
            <w:bottom w:val="none" w:sz="0" w:space="0" w:color="auto"/>
            <w:right w:val="none" w:sz="0" w:space="0" w:color="auto"/>
          </w:divBdr>
          <w:divsChild>
            <w:div w:id="128719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031698">
      <w:bodyDiv w:val="1"/>
      <w:marLeft w:val="0"/>
      <w:marRight w:val="0"/>
      <w:marTop w:val="0"/>
      <w:marBottom w:val="0"/>
      <w:divBdr>
        <w:top w:val="none" w:sz="0" w:space="0" w:color="auto"/>
        <w:left w:val="none" w:sz="0" w:space="0" w:color="auto"/>
        <w:bottom w:val="none" w:sz="0" w:space="0" w:color="auto"/>
        <w:right w:val="none" w:sz="0" w:space="0" w:color="auto"/>
      </w:divBdr>
      <w:divsChild>
        <w:div w:id="1722367540">
          <w:marLeft w:val="0"/>
          <w:marRight w:val="0"/>
          <w:marTop w:val="0"/>
          <w:marBottom w:val="0"/>
          <w:divBdr>
            <w:top w:val="none" w:sz="0" w:space="0" w:color="auto"/>
            <w:left w:val="none" w:sz="0" w:space="0" w:color="auto"/>
            <w:bottom w:val="none" w:sz="0" w:space="0" w:color="auto"/>
            <w:right w:val="none" w:sz="0" w:space="0" w:color="auto"/>
          </w:divBdr>
        </w:div>
      </w:divsChild>
    </w:div>
    <w:div w:id="1928464061">
      <w:bodyDiv w:val="1"/>
      <w:marLeft w:val="0"/>
      <w:marRight w:val="0"/>
      <w:marTop w:val="0"/>
      <w:marBottom w:val="0"/>
      <w:divBdr>
        <w:top w:val="none" w:sz="0" w:space="0" w:color="auto"/>
        <w:left w:val="none" w:sz="0" w:space="0" w:color="auto"/>
        <w:bottom w:val="none" w:sz="0" w:space="0" w:color="auto"/>
        <w:right w:val="none" w:sz="0" w:space="0" w:color="auto"/>
      </w:divBdr>
      <w:divsChild>
        <w:div w:id="947155919">
          <w:marLeft w:val="480"/>
          <w:marRight w:val="0"/>
          <w:marTop w:val="0"/>
          <w:marBottom w:val="0"/>
          <w:divBdr>
            <w:top w:val="none" w:sz="0" w:space="0" w:color="auto"/>
            <w:left w:val="none" w:sz="0" w:space="0" w:color="auto"/>
            <w:bottom w:val="none" w:sz="0" w:space="0" w:color="auto"/>
            <w:right w:val="none" w:sz="0" w:space="0" w:color="auto"/>
          </w:divBdr>
          <w:divsChild>
            <w:div w:id="25397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493201">
      <w:bodyDiv w:val="1"/>
      <w:marLeft w:val="0"/>
      <w:marRight w:val="0"/>
      <w:marTop w:val="0"/>
      <w:marBottom w:val="0"/>
      <w:divBdr>
        <w:top w:val="none" w:sz="0" w:space="0" w:color="auto"/>
        <w:left w:val="none" w:sz="0" w:space="0" w:color="auto"/>
        <w:bottom w:val="none" w:sz="0" w:space="0" w:color="auto"/>
        <w:right w:val="none" w:sz="0" w:space="0" w:color="auto"/>
      </w:divBdr>
      <w:divsChild>
        <w:div w:id="57477360">
          <w:marLeft w:val="0"/>
          <w:marRight w:val="0"/>
          <w:marTop w:val="0"/>
          <w:marBottom w:val="0"/>
          <w:divBdr>
            <w:top w:val="none" w:sz="0" w:space="0" w:color="auto"/>
            <w:left w:val="none" w:sz="0" w:space="0" w:color="auto"/>
            <w:bottom w:val="none" w:sz="0" w:space="0" w:color="auto"/>
            <w:right w:val="none" w:sz="0" w:space="0" w:color="auto"/>
          </w:divBdr>
        </w:div>
      </w:divsChild>
    </w:div>
    <w:div w:id="2094277097">
      <w:bodyDiv w:val="1"/>
      <w:marLeft w:val="0"/>
      <w:marRight w:val="0"/>
      <w:marTop w:val="0"/>
      <w:marBottom w:val="0"/>
      <w:divBdr>
        <w:top w:val="none" w:sz="0" w:space="0" w:color="auto"/>
        <w:left w:val="none" w:sz="0" w:space="0" w:color="auto"/>
        <w:bottom w:val="none" w:sz="0" w:space="0" w:color="auto"/>
        <w:right w:val="none" w:sz="0" w:space="0" w:color="auto"/>
      </w:divBdr>
      <w:divsChild>
        <w:div w:id="1215199364">
          <w:marLeft w:val="0"/>
          <w:marRight w:val="0"/>
          <w:marTop w:val="0"/>
          <w:marBottom w:val="0"/>
          <w:divBdr>
            <w:top w:val="none" w:sz="0" w:space="0" w:color="auto"/>
            <w:left w:val="none" w:sz="0" w:space="0" w:color="auto"/>
            <w:bottom w:val="none" w:sz="0" w:space="0" w:color="auto"/>
            <w:right w:val="none" w:sz="0" w:space="0" w:color="auto"/>
          </w:divBdr>
        </w:div>
      </w:divsChild>
    </w:div>
    <w:div w:id="2121222708">
      <w:bodyDiv w:val="1"/>
      <w:marLeft w:val="0"/>
      <w:marRight w:val="0"/>
      <w:marTop w:val="0"/>
      <w:marBottom w:val="0"/>
      <w:divBdr>
        <w:top w:val="none" w:sz="0" w:space="0" w:color="auto"/>
        <w:left w:val="none" w:sz="0" w:space="0" w:color="auto"/>
        <w:bottom w:val="none" w:sz="0" w:space="0" w:color="auto"/>
        <w:right w:val="none" w:sz="0" w:space="0" w:color="auto"/>
      </w:divBdr>
      <w:divsChild>
        <w:div w:id="208071475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478929919868600"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80/13563467.2019.1657077"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curia.europa.eu/juris/document/document.jsf?docid=161370&amp;doclang=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C35B9B-B209-4E76-903A-91B86D1E0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7405</Words>
  <Characters>42212</Characters>
  <Application>Microsoft Office Word</Application>
  <DocSecurity>0</DocSecurity>
  <Lines>351</Lines>
  <Paragraphs>99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dc:creator>
  <cp:lastModifiedBy>Clément Fontan</cp:lastModifiedBy>
  <cp:revision>2</cp:revision>
  <dcterms:created xsi:type="dcterms:W3CDTF">2019-09-10T15:21:00Z</dcterms:created>
  <dcterms:modified xsi:type="dcterms:W3CDTF">2019-09-10T15:21:00Z</dcterms:modified>
  <dc:language>fr-CA</dc:language>
</cp:coreProperties>
</file>