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C3FB2" w14:textId="77777777" w:rsidR="005F7D67" w:rsidRDefault="005F7D67" w:rsidP="005F7D67">
      <w:pPr>
        <w:jc w:val="center"/>
        <w:rPr>
          <w:rFonts w:ascii="Times New Roman" w:hAnsi="Times New Roman" w:cs="Times New Roman"/>
          <w:i/>
        </w:rPr>
      </w:pPr>
      <w:r w:rsidRPr="005F7D67">
        <w:rPr>
          <w:rFonts w:ascii="Times New Roman" w:hAnsi="Times New Roman" w:cs="Times New Roman"/>
          <w:i/>
        </w:rPr>
        <w:t>Le schéma an</w:t>
      </w:r>
      <w:r>
        <w:rPr>
          <w:rFonts w:ascii="Times New Roman" w:hAnsi="Times New Roman" w:cs="Times New Roman"/>
          <w:i/>
        </w:rPr>
        <w:t>thropologique de</w:t>
      </w:r>
      <w:r w:rsidR="00341098">
        <w:rPr>
          <w:rFonts w:ascii="Times New Roman" w:hAnsi="Times New Roman" w:cs="Times New Roman"/>
          <w:i/>
        </w:rPr>
        <w:t>s paradoxes éducatifs chez</w:t>
      </w:r>
      <w:r w:rsidRPr="005F7D67">
        <w:rPr>
          <w:rFonts w:ascii="Times New Roman" w:hAnsi="Times New Roman" w:cs="Times New Roman"/>
          <w:i/>
        </w:rPr>
        <w:t xml:space="preserve"> Tolstoï</w:t>
      </w:r>
      <w:r>
        <w:rPr>
          <w:rFonts w:ascii="Times New Roman" w:hAnsi="Times New Roman" w:cs="Times New Roman"/>
          <w:i/>
        </w:rPr>
        <w:t xml:space="preserve"> lecteur de Rousseau</w:t>
      </w:r>
    </w:p>
    <w:p w14:paraId="3F744F0E" w14:textId="77777777" w:rsidR="005F7D67" w:rsidRDefault="005F7D67" w:rsidP="005F7D67">
      <w:pPr>
        <w:jc w:val="both"/>
        <w:rPr>
          <w:rFonts w:ascii="Times New Roman" w:hAnsi="Times New Roman" w:cs="Times New Roman"/>
        </w:rPr>
      </w:pPr>
    </w:p>
    <w:p w14:paraId="6C09992F" w14:textId="77777777" w:rsidR="005F7D67" w:rsidRDefault="005F7D67" w:rsidP="00F41A01">
      <w:pPr>
        <w:ind w:firstLine="708"/>
        <w:jc w:val="both"/>
        <w:rPr>
          <w:rFonts w:ascii="Times New Roman" w:hAnsi="Times New Roman" w:cs="Times New Roman"/>
        </w:rPr>
      </w:pPr>
      <w:r>
        <w:rPr>
          <w:rFonts w:ascii="Times New Roman" w:hAnsi="Times New Roman" w:cs="Times New Roman"/>
        </w:rPr>
        <w:t xml:space="preserve">Dans cette intervention, je vais présenter les éléments centraux de la théorie pédagogique de l’écrivain russe Léon Tolstoï en prenant pour fil directeur </w:t>
      </w:r>
      <w:r w:rsidR="00F23E57">
        <w:rPr>
          <w:rFonts w:ascii="Times New Roman" w:hAnsi="Times New Roman" w:cs="Times New Roman"/>
        </w:rPr>
        <w:t>a</w:t>
      </w:r>
      <w:r w:rsidR="005F42DE">
        <w:rPr>
          <w:rFonts w:ascii="Times New Roman" w:hAnsi="Times New Roman" w:cs="Times New Roman"/>
        </w:rPr>
        <w:t>/</w:t>
      </w:r>
      <w:r w:rsidR="00F23E57">
        <w:rPr>
          <w:rFonts w:ascii="Times New Roman" w:hAnsi="Times New Roman" w:cs="Times New Roman"/>
        </w:rPr>
        <w:t xml:space="preserve"> quelques concepts clés de la</w:t>
      </w:r>
      <w:r>
        <w:rPr>
          <w:rFonts w:ascii="Times New Roman" w:hAnsi="Times New Roman" w:cs="Times New Roman"/>
        </w:rPr>
        <w:t xml:space="preserve"> pédagogie</w:t>
      </w:r>
      <w:r w:rsidR="00F23E57">
        <w:rPr>
          <w:rFonts w:ascii="Times New Roman" w:hAnsi="Times New Roman" w:cs="Times New Roman"/>
        </w:rPr>
        <w:t xml:space="preserve"> de Jean-Jacques Rousseau et </w:t>
      </w:r>
      <w:r w:rsidR="005F42DE">
        <w:rPr>
          <w:rFonts w:ascii="Times New Roman" w:hAnsi="Times New Roman" w:cs="Times New Roman"/>
        </w:rPr>
        <w:t>b/</w:t>
      </w:r>
      <w:r w:rsidR="00F23E57">
        <w:rPr>
          <w:rFonts w:ascii="Times New Roman" w:hAnsi="Times New Roman" w:cs="Times New Roman"/>
        </w:rPr>
        <w:t xml:space="preserve"> les principes anthropologiques qui en constituent les conditions de possibilité</w:t>
      </w:r>
      <w:r w:rsidR="005F42DE">
        <w:rPr>
          <w:rFonts w:ascii="Times New Roman" w:hAnsi="Times New Roman" w:cs="Times New Roman"/>
        </w:rPr>
        <w:t xml:space="preserve"> historiquement déterminées.</w:t>
      </w:r>
    </w:p>
    <w:p w14:paraId="47469CC1" w14:textId="77777777" w:rsidR="00F23E57" w:rsidRDefault="00F23E57" w:rsidP="005F7D67">
      <w:pPr>
        <w:jc w:val="both"/>
        <w:rPr>
          <w:rFonts w:ascii="Times New Roman" w:hAnsi="Times New Roman" w:cs="Times New Roman"/>
        </w:rPr>
      </w:pPr>
    </w:p>
    <w:p w14:paraId="7AF87B8A" w14:textId="16DC6704" w:rsidR="00F23E57" w:rsidRDefault="00F23E57" w:rsidP="00F41A01">
      <w:pPr>
        <w:ind w:firstLine="708"/>
        <w:jc w:val="both"/>
        <w:rPr>
          <w:rFonts w:ascii="Times New Roman" w:hAnsi="Times New Roman" w:cs="Times New Roman"/>
        </w:rPr>
      </w:pPr>
      <w:r>
        <w:rPr>
          <w:rFonts w:ascii="Times New Roman" w:hAnsi="Times New Roman" w:cs="Times New Roman"/>
        </w:rPr>
        <w:t>S’il faut prendre en considération les travaux de Tolstoï pédagogue dans le dialogue avec l’œuvre de Rousseau, c’est pour deux raisons notamment. D’une part, Tolstoï fut, aux cô</w:t>
      </w:r>
      <w:r w:rsidR="005F42DE">
        <w:rPr>
          <w:rFonts w:ascii="Times New Roman" w:hAnsi="Times New Roman" w:cs="Times New Roman"/>
        </w:rPr>
        <w:t>tés d</w:t>
      </w:r>
      <w:r w:rsidR="00022A27">
        <w:rPr>
          <w:rFonts w:ascii="Times New Roman" w:hAnsi="Times New Roman" w:cs="Times New Roman"/>
        </w:rPr>
        <w:t>e</w:t>
      </w:r>
      <w:r>
        <w:rPr>
          <w:rFonts w:ascii="Times New Roman" w:hAnsi="Times New Roman" w:cs="Times New Roman"/>
        </w:rPr>
        <w:t xml:space="preserve"> Herzen </w:t>
      </w:r>
      <w:r w:rsidR="005F42DE">
        <w:rPr>
          <w:rFonts w:ascii="Times New Roman" w:hAnsi="Times New Roman" w:cs="Times New Roman"/>
        </w:rPr>
        <w:t xml:space="preserve">et de </w:t>
      </w:r>
      <w:r w:rsidR="00022A27">
        <w:rPr>
          <w:rFonts w:ascii="Times New Roman" w:hAnsi="Times New Roman" w:cs="Times New Roman"/>
        </w:rPr>
        <w:t>Tchernychevski</w:t>
      </w:r>
      <w:r w:rsidR="005F42DE">
        <w:rPr>
          <w:rFonts w:ascii="Times New Roman" w:hAnsi="Times New Roman" w:cs="Times New Roman"/>
        </w:rPr>
        <w:t xml:space="preserve"> </w:t>
      </w:r>
      <w:r>
        <w:rPr>
          <w:rFonts w:ascii="Times New Roman" w:hAnsi="Times New Roman" w:cs="Times New Roman"/>
        </w:rPr>
        <w:t xml:space="preserve">notamment, l’une des figures russes emblématiques de l’intellectuel engagé : </w:t>
      </w:r>
      <w:r w:rsidR="005F42DE">
        <w:rPr>
          <w:rFonts w:ascii="Times New Roman" w:hAnsi="Times New Roman" w:cs="Times New Roman"/>
        </w:rPr>
        <w:t>pensons, par exemple, à l’</w:t>
      </w:r>
      <w:r>
        <w:rPr>
          <w:rFonts w:ascii="Times New Roman" w:hAnsi="Times New Roman" w:cs="Times New Roman"/>
        </w:rPr>
        <w:t>école</w:t>
      </w:r>
      <w:r w:rsidR="005F42DE">
        <w:rPr>
          <w:rFonts w:ascii="Times New Roman" w:hAnsi="Times New Roman" w:cs="Times New Roman"/>
        </w:rPr>
        <w:t xml:space="preserve"> qu’il a fondée</w:t>
      </w:r>
      <w:r>
        <w:rPr>
          <w:rFonts w:ascii="Times New Roman" w:hAnsi="Times New Roman" w:cs="Times New Roman"/>
        </w:rPr>
        <w:t xml:space="preserve"> à </w:t>
      </w:r>
      <w:proofErr w:type="spellStart"/>
      <w:r>
        <w:rPr>
          <w:rFonts w:ascii="Times New Roman" w:hAnsi="Times New Roman" w:cs="Times New Roman"/>
        </w:rPr>
        <w:t>Iasna</w:t>
      </w:r>
      <w:r w:rsidR="003A59E3">
        <w:rPr>
          <w:rFonts w:ascii="Times New Roman" w:hAnsi="Times New Roman" w:cs="Times New Roman"/>
        </w:rPr>
        <w:t>ï</w:t>
      </w:r>
      <w:r>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Poliana</w:t>
      </w:r>
      <w:proofErr w:type="spellEnd"/>
      <w:r>
        <w:rPr>
          <w:rFonts w:ascii="Times New Roman" w:hAnsi="Times New Roman" w:cs="Times New Roman"/>
        </w:rPr>
        <w:t xml:space="preserve"> </w:t>
      </w:r>
      <w:r w:rsidR="005F42DE">
        <w:rPr>
          <w:rFonts w:ascii="Times New Roman" w:hAnsi="Times New Roman" w:cs="Times New Roman"/>
        </w:rPr>
        <w:t>dont objectif principal a été la lutte</w:t>
      </w:r>
      <w:r>
        <w:rPr>
          <w:rFonts w:ascii="Times New Roman" w:hAnsi="Times New Roman" w:cs="Times New Roman"/>
        </w:rPr>
        <w:t xml:space="preserve"> contre l’analphabétisme de </w:t>
      </w:r>
      <w:r w:rsidR="005F42DE">
        <w:rPr>
          <w:rFonts w:ascii="Times New Roman" w:hAnsi="Times New Roman" w:cs="Times New Roman"/>
        </w:rPr>
        <w:t>l’</w:t>
      </w:r>
      <w:r>
        <w:rPr>
          <w:rFonts w:ascii="Times New Roman" w:hAnsi="Times New Roman" w:cs="Times New Roman"/>
        </w:rPr>
        <w:t xml:space="preserve">époque. Mais il faut également mentionner, d’autre part, que les écrits pédagogiques de Tolstoï reviennent souvent </w:t>
      </w:r>
      <w:r w:rsidR="005F42DE">
        <w:rPr>
          <w:rFonts w:ascii="Times New Roman" w:hAnsi="Times New Roman" w:cs="Times New Roman"/>
        </w:rPr>
        <w:t>sous la plume des</w:t>
      </w:r>
      <w:r>
        <w:rPr>
          <w:rFonts w:ascii="Times New Roman" w:hAnsi="Times New Roman" w:cs="Times New Roman"/>
        </w:rPr>
        <w:t xml:space="preserve"> gra</w:t>
      </w:r>
      <w:r w:rsidR="005F42DE">
        <w:rPr>
          <w:rFonts w:ascii="Times New Roman" w:hAnsi="Times New Roman" w:cs="Times New Roman"/>
        </w:rPr>
        <w:t>nds pédagogues soviétiques</w:t>
      </w:r>
      <w:r w:rsidR="003A59E3">
        <w:rPr>
          <w:rFonts w:ascii="Times New Roman" w:hAnsi="Times New Roman" w:cs="Times New Roman"/>
        </w:rPr>
        <w:t xml:space="preserve"> des années 1920-1930</w:t>
      </w:r>
      <w:r w:rsidR="005F42DE">
        <w:rPr>
          <w:rFonts w:ascii="Times New Roman" w:hAnsi="Times New Roman" w:cs="Times New Roman"/>
        </w:rPr>
        <w:t xml:space="preserve">, comme en témoigne l’œuvre de Lev </w:t>
      </w:r>
      <w:proofErr w:type="spellStart"/>
      <w:r w:rsidR="005F42DE">
        <w:rPr>
          <w:rFonts w:ascii="Times New Roman" w:hAnsi="Times New Roman" w:cs="Times New Roman"/>
        </w:rPr>
        <w:t>Vygotski</w:t>
      </w:r>
      <w:proofErr w:type="spellEnd"/>
      <w:r w:rsidR="00304BA0">
        <w:rPr>
          <w:rFonts w:ascii="Times New Roman" w:hAnsi="Times New Roman" w:cs="Times New Roman"/>
        </w:rPr>
        <w:t xml:space="preserve"> ou encore d’Anton</w:t>
      </w:r>
      <w:r w:rsidR="005F42DE">
        <w:rPr>
          <w:rFonts w:ascii="Times New Roman" w:hAnsi="Times New Roman" w:cs="Times New Roman"/>
        </w:rPr>
        <w:t xml:space="preserve"> Makarenko, </w:t>
      </w:r>
      <w:r w:rsidR="009B3123">
        <w:rPr>
          <w:rFonts w:ascii="Times New Roman" w:hAnsi="Times New Roman" w:cs="Times New Roman"/>
        </w:rPr>
        <w:t>en y jouant à la fois le rôle de modèle indépassable que l’objet d’une critique véhémente. Tolstoï est ainsi une figure emblématique de son époque, mais il est en même temps un de ces personnages charnières qui a contribué, à sa façon</w:t>
      </w:r>
      <w:r w:rsidR="00304BA0">
        <w:rPr>
          <w:rFonts w:ascii="Times New Roman" w:hAnsi="Times New Roman" w:cs="Times New Roman"/>
        </w:rPr>
        <w:t xml:space="preserve"> et par l’entremise de son œuvre</w:t>
      </w:r>
      <w:r w:rsidR="009B3123">
        <w:rPr>
          <w:rFonts w:ascii="Times New Roman" w:hAnsi="Times New Roman" w:cs="Times New Roman"/>
        </w:rPr>
        <w:t xml:space="preserve">, au passage d’une époque à une autre, de l’Empire tsariste vers ce que deviendra à l’aube du vingtième siècle l’Union soviétique. </w:t>
      </w:r>
    </w:p>
    <w:p w14:paraId="29A85EC3" w14:textId="77777777" w:rsidR="009B3123" w:rsidRDefault="009B3123" w:rsidP="005F7D67">
      <w:pPr>
        <w:jc w:val="both"/>
        <w:rPr>
          <w:rFonts w:ascii="Times New Roman" w:hAnsi="Times New Roman" w:cs="Times New Roman"/>
        </w:rPr>
      </w:pPr>
    </w:p>
    <w:p w14:paraId="3B481B9B" w14:textId="1440A8EE" w:rsidR="005F7D67" w:rsidRDefault="00ED6718" w:rsidP="00F41A01">
      <w:pPr>
        <w:ind w:firstLine="708"/>
        <w:jc w:val="both"/>
        <w:rPr>
          <w:rFonts w:ascii="Times New Roman" w:hAnsi="Times New Roman" w:cs="Times New Roman"/>
        </w:rPr>
      </w:pPr>
      <w:r>
        <w:rPr>
          <w:rFonts w:ascii="Times New Roman" w:hAnsi="Times New Roman" w:cs="Times New Roman"/>
        </w:rPr>
        <w:t>Pourtant, p</w:t>
      </w:r>
      <w:r w:rsidR="009B3123">
        <w:rPr>
          <w:rFonts w:ascii="Times New Roman" w:hAnsi="Times New Roman" w:cs="Times New Roman"/>
        </w:rPr>
        <w:t xml:space="preserve">our peu que l’on y prête attention, force est de constater </w:t>
      </w:r>
      <w:r>
        <w:rPr>
          <w:rFonts w:ascii="Times New Roman" w:hAnsi="Times New Roman" w:cs="Times New Roman"/>
        </w:rPr>
        <w:t xml:space="preserve">l’impossibilité de saisir en un seul principe </w:t>
      </w:r>
      <w:r w:rsidR="009B3123">
        <w:rPr>
          <w:rFonts w:ascii="Times New Roman" w:hAnsi="Times New Roman" w:cs="Times New Roman"/>
        </w:rPr>
        <w:t>la théorie pédagogique de Tolstoï</w:t>
      </w:r>
      <w:r>
        <w:rPr>
          <w:rFonts w:ascii="Times New Roman" w:hAnsi="Times New Roman" w:cs="Times New Roman"/>
        </w:rPr>
        <w:t>. C’est que, premièrement, toute « définition de la pédagogie » est selon Tolstoï « impossible, inutile et nuisible »</w:t>
      </w:r>
      <w:r w:rsidR="00DA64D7">
        <w:rPr>
          <w:rStyle w:val="Appelnotedebasdep"/>
          <w:rFonts w:ascii="Times New Roman" w:hAnsi="Times New Roman" w:cs="Times New Roman"/>
        </w:rPr>
        <w:footnoteReference w:id="1"/>
      </w:r>
      <w:r>
        <w:rPr>
          <w:rFonts w:ascii="Times New Roman" w:hAnsi="Times New Roman" w:cs="Times New Roman"/>
        </w:rPr>
        <w:t>. Mais cette impossibilité de principe se double d’une série de paradoxes éducatifs qui traversent l’ensemble des travaux tolstoïens sur la pratique pédagogique. Le paradoxe le plus saillant est celui qui se situe au cœur même de l’éducation car</w:t>
      </w:r>
      <w:r>
        <w:rPr>
          <w:rFonts w:ascii="Times New Roman" w:hAnsi="Times New Roman" w:cs="Times New Roman"/>
        </w:rPr>
        <w:t xml:space="preserve">, comme le soutient </w:t>
      </w:r>
      <w:r>
        <w:rPr>
          <w:rFonts w:ascii="Times New Roman" w:hAnsi="Times New Roman" w:cs="Times New Roman"/>
        </w:rPr>
        <w:t xml:space="preserve">Tolstoï, « l’éducation, c’est la culture </w:t>
      </w:r>
      <w:r w:rsidRPr="00ED6718">
        <w:rPr>
          <w:rFonts w:ascii="Times New Roman" w:hAnsi="Times New Roman" w:cs="Times New Roman"/>
          <w:i/>
        </w:rPr>
        <w:t>par force </w:t>
      </w:r>
      <w:r>
        <w:rPr>
          <w:rFonts w:ascii="Times New Roman" w:hAnsi="Times New Roman" w:cs="Times New Roman"/>
        </w:rPr>
        <w:t xml:space="preserve">» en même temps que « la culture, c’est la </w:t>
      </w:r>
      <w:r w:rsidRPr="00ED6718">
        <w:rPr>
          <w:rFonts w:ascii="Times New Roman" w:hAnsi="Times New Roman" w:cs="Times New Roman"/>
          <w:i/>
        </w:rPr>
        <w:t>liberté</w:t>
      </w:r>
      <w:r>
        <w:rPr>
          <w:rFonts w:ascii="Times New Roman" w:hAnsi="Times New Roman" w:cs="Times New Roman"/>
        </w:rPr>
        <w:t> »</w:t>
      </w:r>
      <w:r w:rsidR="00D54093">
        <w:rPr>
          <w:rStyle w:val="Appelnotedebasdep"/>
          <w:rFonts w:ascii="Times New Roman" w:hAnsi="Times New Roman" w:cs="Times New Roman"/>
        </w:rPr>
        <w:footnoteReference w:id="2"/>
      </w:r>
      <w:r>
        <w:rPr>
          <w:rFonts w:ascii="Times New Roman" w:hAnsi="Times New Roman" w:cs="Times New Roman"/>
        </w:rPr>
        <w:t xml:space="preserve">. </w:t>
      </w:r>
    </w:p>
    <w:p w14:paraId="5857EF0F" w14:textId="77777777" w:rsidR="00ED6718" w:rsidRDefault="00ED6718" w:rsidP="005F7D67">
      <w:pPr>
        <w:jc w:val="both"/>
        <w:rPr>
          <w:rFonts w:ascii="Times New Roman" w:hAnsi="Times New Roman" w:cs="Times New Roman"/>
        </w:rPr>
      </w:pPr>
    </w:p>
    <w:p w14:paraId="407B05EA" w14:textId="4A0E0E38" w:rsidR="005F7D67" w:rsidRDefault="00304BA0" w:rsidP="00F41A01">
      <w:pPr>
        <w:ind w:firstLine="708"/>
        <w:jc w:val="both"/>
        <w:rPr>
          <w:rFonts w:ascii="Times New Roman" w:hAnsi="Times New Roman" w:cs="Times New Roman"/>
        </w:rPr>
      </w:pPr>
      <w:r>
        <w:rPr>
          <w:rFonts w:ascii="Times New Roman" w:hAnsi="Times New Roman" w:cs="Times New Roman"/>
        </w:rPr>
        <w:t>Mon</w:t>
      </w:r>
      <w:r w:rsidR="00ED6718">
        <w:rPr>
          <w:rFonts w:ascii="Times New Roman" w:hAnsi="Times New Roman" w:cs="Times New Roman"/>
        </w:rPr>
        <w:t xml:space="preserve"> hypothèse de travail </w:t>
      </w:r>
      <w:r>
        <w:rPr>
          <w:rFonts w:ascii="Times New Roman" w:hAnsi="Times New Roman" w:cs="Times New Roman"/>
        </w:rPr>
        <w:t xml:space="preserve">est </w:t>
      </w:r>
      <w:r w:rsidR="00ED6718">
        <w:rPr>
          <w:rFonts w:ascii="Times New Roman" w:hAnsi="Times New Roman" w:cs="Times New Roman"/>
        </w:rPr>
        <w:t xml:space="preserve">que si la pédagogie tolstoïenne se définit par un ensemble de paradoxes, c’est dans la mesure où </w:t>
      </w:r>
      <w:r>
        <w:rPr>
          <w:rFonts w:ascii="Times New Roman" w:hAnsi="Times New Roman" w:cs="Times New Roman"/>
        </w:rPr>
        <w:t xml:space="preserve">le projet éducatif de Rousseau, </w:t>
      </w:r>
      <w:r w:rsidR="00ED6718">
        <w:rPr>
          <w:rFonts w:ascii="Times New Roman" w:hAnsi="Times New Roman" w:cs="Times New Roman"/>
        </w:rPr>
        <w:t xml:space="preserve">l’une </w:t>
      </w:r>
      <w:r>
        <w:rPr>
          <w:rFonts w:ascii="Times New Roman" w:hAnsi="Times New Roman" w:cs="Times New Roman"/>
        </w:rPr>
        <w:t xml:space="preserve">sinon </w:t>
      </w:r>
      <w:r w:rsidRPr="00341098">
        <w:rPr>
          <w:rFonts w:ascii="Times New Roman" w:hAnsi="Times New Roman" w:cs="Times New Roman"/>
          <w:i/>
        </w:rPr>
        <w:t>la</w:t>
      </w:r>
      <w:r>
        <w:rPr>
          <w:rFonts w:ascii="Times New Roman" w:hAnsi="Times New Roman" w:cs="Times New Roman"/>
        </w:rPr>
        <w:t xml:space="preserve"> source essentielle</w:t>
      </w:r>
      <w:r w:rsidR="00ED6718">
        <w:rPr>
          <w:rFonts w:ascii="Times New Roman" w:hAnsi="Times New Roman" w:cs="Times New Roman"/>
        </w:rPr>
        <w:t xml:space="preserve"> de </w:t>
      </w:r>
      <w:r>
        <w:rPr>
          <w:rFonts w:ascii="Times New Roman" w:hAnsi="Times New Roman" w:cs="Times New Roman"/>
        </w:rPr>
        <w:t>l</w:t>
      </w:r>
      <w:r w:rsidR="00ED6718">
        <w:rPr>
          <w:rFonts w:ascii="Times New Roman" w:hAnsi="Times New Roman" w:cs="Times New Roman"/>
        </w:rPr>
        <w:t>a</w:t>
      </w:r>
      <w:r>
        <w:rPr>
          <w:rFonts w:ascii="Times New Roman" w:hAnsi="Times New Roman" w:cs="Times New Roman"/>
        </w:rPr>
        <w:t xml:space="preserve"> pensée pédagogique tolstoïenne, est lui-même un projet paradoxal. Pour étayer cette hypothèse, je vais organiser ma présentation en </w:t>
      </w:r>
      <w:r w:rsidR="00B24B65">
        <w:rPr>
          <w:rFonts w:ascii="Times New Roman" w:hAnsi="Times New Roman" w:cs="Times New Roman"/>
        </w:rPr>
        <w:t>trois</w:t>
      </w:r>
      <w:r>
        <w:rPr>
          <w:rFonts w:ascii="Times New Roman" w:hAnsi="Times New Roman" w:cs="Times New Roman"/>
        </w:rPr>
        <w:t xml:space="preserve"> temps. 1/ Je vais premièrement me concentrer sur</w:t>
      </w:r>
      <w:r w:rsidR="00341098">
        <w:rPr>
          <w:rFonts w:ascii="Times New Roman" w:hAnsi="Times New Roman" w:cs="Times New Roman"/>
        </w:rPr>
        <w:t xml:space="preserve"> quelques</w:t>
      </w:r>
      <w:r w:rsidR="003A59E3">
        <w:rPr>
          <w:rFonts w:ascii="Times New Roman" w:hAnsi="Times New Roman" w:cs="Times New Roman"/>
        </w:rPr>
        <w:t xml:space="preserve"> </w:t>
      </w:r>
      <w:r>
        <w:rPr>
          <w:rFonts w:ascii="Times New Roman" w:hAnsi="Times New Roman" w:cs="Times New Roman"/>
        </w:rPr>
        <w:t>paradoxes éducatifs</w:t>
      </w:r>
      <w:r w:rsidR="00B24B65">
        <w:rPr>
          <w:rFonts w:ascii="Times New Roman" w:hAnsi="Times New Roman" w:cs="Times New Roman"/>
        </w:rPr>
        <w:t xml:space="preserve"> chez Tolstoï en montrant qu’ils tirent leur source du projet éducatif</w:t>
      </w:r>
      <w:r>
        <w:rPr>
          <w:rFonts w:ascii="Times New Roman" w:hAnsi="Times New Roman" w:cs="Times New Roman"/>
        </w:rPr>
        <w:t xml:space="preserve"> de Rousseau</w:t>
      </w:r>
      <w:r w:rsidR="00B24B65">
        <w:rPr>
          <w:rFonts w:ascii="Times New Roman" w:hAnsi="Times New Roman" w:cs="Times New Roman"/>
        </w:rPr>
        <w:t>. Je vais alors</w:t>
      </w:r>
      <w:r>
        <w:rPr>
          <w:rFonts w:ascii="Times New Roman" w:hAnsi="Times New Roman" w:cs="Times New Roman"/>
        </w:rPr>
        <w:t xml:space="preserve"> </w:t>
      </w:r>
      <w:r w:rsidR="00B24B65">
        <w:rPr>
          <w:rFonts w:ascii="Times New Roman" w:hAnsi="Times New Roman" w:cs="Times New Roman"/>
        </w:rPr>
        <w:t>mettre en évidence le paradoxe</w:t>
      </w:r>
      <w:r w:rsidR="00341098">
        <w:rPr>
          <w:rFonts w:ascii="Times New Roman" w:hAnsi="Times New Roman" w:cs="Times New Roman"/>
        </w:rPr>
        <w:t xml:space="preserve"> qui </w:t>
      </w:r>
      <w:r w:rsidR="00B24B65">
        <w:rPr>
          <w:rFonts w:ascii="Times New Roman" w:hAnsi="Times New Roman" w:cs="Times New Roman"/>
        </w:rPr>
        <w:t>me paraît le plus central dans l’</w:t>
      </w:r>
      <w:r w:rsidR="00B24B65" w:rsidRPr="00B24B65">
        <w:rPr>
          <w:rFonts w:ascii="Times New Roman" w:hAnsi="Times New Roman" w:cs="Times New Roman"/>
          <w:i/>
        </w:rPr>
        <w:t>Emile</w:t>
      </w:r>
      <w:r w:rsidR="00B24B65">
        <w:rPr>
          <w:rFonts w:ascii="Times New Roman" w:hAnsi="Times New Roman" w:cs="Times New Roman"/>
        </w:rPr>
        <w:t xml:space="preserve"> de Rousseau</w:t>
      </w:r>
      <w:r w:rsidR="00341098">
        <w:rPr>
          <w:rFonts w:ascii="Times New Roman" w:hAnsi="Times New Roman" w:cs="Times New Roman"/>
        </w:rPr>
        <w:t xml:space="preserve"> et que l’on peut saisir dans l’expression « naturalisation de l’éducation » : si l’éducation est selon Rousseau un artefact humain, </w:t>
      </w:r>
      <w:r w:rsidR="00022A27">
        <w:rPr>
          <w:rFonts w:ascii="Times New Roman" w:hAnsi="Times New Roman" w:cs="Times New Roman"/>
        </w:rPr>
        <w:t xml:space="preserve">fait qui nous conduirait à poser comme indépassable </w:t>
      </w:r>
      <w:r w:rsidR="00B24B65">
        <w:rPr>
          <w:rFonts w:ascii="Times New Roman" w:hAnsi="Times New Roman" w:cs="Times New Roman"/>
        </w:rPr>
        <w:t>le</w:t>
      </w:r>
      <w:r w:rsidR="00022A27">
        <w:rPr>
          <w:rFonts w:ascii="Times New Roman" w:hAnsi="Times New Roman" w:cs="Times New Roman"/>
        </w:rPr>
        <w:t xml:space="preserve"> clivage entre nature et culture, </w:t>
      </w:r>
      <w:r w:rsidR="00341098">
        <w:rPr>
          <w:rFonts w:ascii="Times New Roman" w:hAnsi="Times New Roman" w:cs="Times New Roman"/>
        </w:rPr>
        <w:t xml:space="preserve">c’est néanmoins par l’imitation des règles de la nature que la méthode </w:t>
      </w:r>
      <w:r w:rsidR="00022A27">
        <w:rPr>
          <w:rFonts w:ascii="Times New Roman" w:hAnsi="Times New Roman" w:cs="Times New Roman"/>
        </w:rPr>
        <w:t>pédagogique doit être réfléchie et mise en pratique. 2/ Je vais deuxièmement présenter les éléments centraux du « schéma anthropologique » conditionnant, et par là même limitant, la pensée pédagogique de Tolstoï et de Rousseau. Il m’emporte dans cette deuxième étape d’insister sur l’un de ces éléments</w:t>
      </w:r>
      <w:r w:rsidR="0001405B">
        <w:rPr>
          <w:rFonts w:ascii="Times New Roman" w:hAnsi="Times New Roman" w:cs="Times New Roman"/>
        </w:rPr>
        <w:t>,</w:t>
      </w:r>
      <w:r w:rsidR="00022A27">
        <w:rPr>
          <w:rFonts w:ascii="Times New Roman" w:hAnsi="Times New Roman" w:cs="Times New Roman"/>
        </w:rPr>
        <w:t xml:space="preserve"> </w:t>
      </w:r>
      <w:r w:rsidR="0001405B">
        <w:rPr>
          <w:rFonts w:ascii="Times New Roman" w:hAnsi="Times New Roman" w:cs="Times New Roman"/>
          <w:i/>
        </w:rPr>
        <w:t>i.e.</w:t>
      </w:r>
      <w:r w:rsidR="00022A27">
        <w:rPr>
          <w:rFonts w:ascii="Times New Roman" w:hAnsi="Times New Roman" w:cs="Times New Roman"/>
        </w:rPr>
        <w:t xml:space="preserve"> l’identité de soi à soi de l’</w:t>
      </w:r>
      <w:r w:rsidR="0001405B">
        <w:rPr>
          <w:rFonts w:ascii="Times New Roman" w:hAnsi="Times New Roman" w:cs="Times New Roman"/>
        </w:rPr>
        <w:t>être humain</w:t>
      </w:r>
      <w:r w:rsidR="00022A27">
        <w:rPr>
          <w:rFonts w:ascii="Times New Roman" w:hAnsi="Times New Roman" w:cs="Times New Roman"/>
        </w:rPr>
        <w:t xml:space="preserve"> que je vais discuter en analysant, chez Tolstoï et Rousseau, le rapport d’harmonie que les facultés humaines entretiennent entre elles. 3/ </w:t>
      </w:r>
      <w:r w:rsidR="00B24B65">
        <w:rPr>
          <w:rFonts w:ascii="Times New Roman" w:hAnsi="Times New Roman" w:cs="Times New Roman"/>
        </w:rPr>
        <w:t xml:space="preserve">Ce parcours me permettra d’esquisser en conclusion </w:t>
      </w:r>
      <w:r w:rsidR="0001405B">
        <w:rPr>
          <w:rFonts w:ascii="Times New Roman" w:hAnsi="Times New Roman" w:cs="Times New Roman"/>
        </w:rPr>
        <w:t xml:space="preserve">trois </w:t>
      </w:r>
      <w:r w:rsidR="00B24B65">
        <w:rPr>
          <w:rFonts w:ascii="Times New Roman" w:hAnsi="Times New Roman" w:cs="Times New Roman"/>
        </w:rPr>
        <w:t>difficultés que pose le schéma anthropologique tolstoïen et rousseauiste lorsqu</w:t>
      </w:r>
      <w:r w:rsidR="005A5605">
        <w:rPr>
          <w:rFonts w:ascii="Times New Roman" w:hAnsi="Times New Roman" w:cs="Times New Roman"/>
        </w:rPr>
        <w:t xml:space="preserve">e, après les bouleversements sociaux produits par la révolution de 1917, </w:t>
      </w:r>
      <w:r w:rsidR="00B24B65">
        <w:rPr>
          <w:rFonts w:ascii="Times New Roman" w:hAnsi="Times New Roman" w:cs="Times New Roman"/>
        </w:rPr>
        <w:t xml:space="preserve">il a été remis en cause par </w:t>
      </w:r>
      <w:r w:rsidR="005A5605">
        <w:rPr>
          <w:rFonts w:ascii="Times New Roman" w:hAnsi="Times New Roman" w:cs="Times New Roman"/>
        </w:rPr>
        <w:t xml:space="preserve">Lev </w:t>
      </w:r>
      <w:proofErr w:type="spellStart"/>
      <w:r w:rsidR="00B24B65">
        <w:rPr>
          <w:rFonts w:ascii="Times New Roman" w:hAnsi="Times New Roman" w:cs="Times New Roman"/>
        </w:rPr>
        <w:t>Vygotski</w:t>
      </w:r>
      <w:proofErr w:type="spellEnd"/>
      <w:r w:rsidR="00B24B65">
        <w:rPr>
          <w:rFonts w:ascii="Times New Roman" w:hAnsi="Times New Roman" w:cs="Times New Roman"/>
        </w:rPr>
        <w:t xml:space="preserve"> </w:t>
      </w:r>
      <w:r w:rsidR="0001405B">
        <w:rPr>
          <w:rFonts w:ascii="Times New Roman" w:hAnsi="Times New Roman" w:cs="Times New Roman"/>
        </w:rPr>
        <w:t xml:space="preserve">dans son ouvrage majeur </w:t>
      </w:r>
      <w:r w:rsidR="0001405B">
        <w:rPr>
          <w:rFonts w:ascii="Times New Roman" w:hAnsi="Times New Roman" w:cs="Times New Roman"/>
          <w:i/>
        </w:rPr>
        <w:t>Pensée et langage</w:t>
      </w:r>
      <w:r w:rsidR="005A5605">
        <w:rPr>
          <w:rFonts w:ascii="Times New Roman" w:hAnsi="Times New Roman" w:cs="Times New Roman"/>
        </w:rPr>
        <w:t>.</w:t>
      </w:r>
    </w:p>
    <w:p w14:paraId="1CAAEA51" w14:textId="77777777" w:rsidR="00F1371A" w:rsidRDefault="00F1371A" w:rsidP="00F41A01">
      <w:pPr>
        <w:ind w:firstLine="708"/>
        <w:jc w:val="both"/>
        <w:rPr>
          <w:rFonts w:ascii="Times New Roman" w:hAnsi="Times New Roman" w:cs="Times New Roman"/>
        </w:rPr>
      </w:pPr>
    </w:p>
    <w:p w14:paraId="63EBDB5F" w14:textId="1E2948A5" w:rsidR="00F1371A" w:rsidRDefault="00F1371A" w:rsidP="00F1371A">
      <w:pPr>
        <w:ind w:firstLine="708"/>
        <w:jc w:val="both"/>
        <w:rPr>
          <w:rFonts w:ascii="Times New Roman" w:hAnsi="Times New Roman" w:cs="Times New Roman"/>
        </w:rPr>
      </w:pPr>
      <w:r>
        <w:rPr>
          <w:rFonts w:ascii="Times New Roman" w:hAnsi="Times New Roman" w:cs="Times New Roman"/>
        </w:rPr>
        <w:lastRenderedPageBreak/>
        <w:t xml:space="preserve">Oleg Bernaz, Post-doctorant en Philosophie au Centre de Philosophie du Droit (CPDR/Université catholique de Louvain) ; Professeur invité à l’Haute École Libre Ilya Prigogine, Bruxelles (2017-2018). </w:t>
      </w:r>
    </w:p>
    <w:p w14:paraId="3586F548" w14:textId="77777777" w:rsidR="00F1371A" w:rsidRDefault="00F1371A" w:rsidP="00F41A01">
      <w:pPr>
        <w:ind w:firstLine="708"/>
        <w:jc w:val="both"/>
        <w:rPr>
          <w:rFonts w:ascii="Times New Roman" w:hAnsi="Times New Roman" w:cs="Times New Roman"/>
        </w:rPr>
      </w:pPr>
    </w:p>
    <w:p w14:paraId="157C9F61" w14:textId="1E7DE01D" w:rsidR="00F1371A" w:rsidRPr="00F1371A" w:rsidRDefault="00F1371A" w:rsidP="00F41A01">
      <w:pPr>
        <w:ind w:firstLine="708"/>
        <w:jc w:val="both"/>
        <w:rPr>
          <w:rFonts w:ascii="Times New Roman" w:hAnsi="Times New Roman" w:cs="Times New Roman"/>
          <w:lang w:val="de-CH"/>
        </w:rPr>
      </w:pPr>
      <w:r>
        <w:rPr>
          <w:rFonts w:ascii="Times New Roman" w:hAnsi="Times New Roman" w:cs="Times New Roman"/>
        </w:rPr>
        <w:t xml:space="preserve">E-mail : </w:t>
      </w:r>
      <w:hyperlink r:id="rId7" w:history="1">
        <w:r w:rsidRPr="00665B18">
          <w:rPr>
            <w:rStyle w:val="Lienhypertexte"/>
            <w:rFonts w:ascii="Times New Roman" w:hAnsi="Times New Roman" w:cs="Times New Roman"/>
          </w:rPr>
          <w:t>oleg.bernaz@uclouvain.be</w:t>
        </w:r>
      </w:hyperlink>
      <w:r>
        <w:rPr>
          <w:rFonts w:ascii="Times New Roman" w:hAnsi="Times New Roman" w:cs="Times New Roman"/>
        </w:rPr>
        <w:t xml:space="preserve">; </w:t>
      </w:r>
      <w:hyperlink r:id="rId8" w:history="1">
        <w:r w:rsidRPr="00665B18">
          <w:rPr>
            <w:rStyle w:val="Lienhypertexte"/>
            <w:rFonts w:ascii="Times New Roman" w:hAnsi="Times New Roman" w:cs="Times New Roman"/>
          </w:rPr>
          <w:t>oleg.bernaz@gmail.com</w:t>
        </w:r>
      </w:hyperlink>
      <w:r>
        <w:rPr>
          <w:rFonts w:ascii="Times New Roman" w:hAnsi="Times New Roman" w:cs="Times New Roman"/>
        </w:rPr>
        <w:t xml:space="preserve"> </w:t>
      </w:r>
      <w:bookmarkStart w:id="0" w:name="_GoBack"/>
      <w:bookmarkEnd w:id="0"/>
    </w:p>
    <w:sectPr w:rsidR="00F1371A" w:rsidRPr="00F1371A" w:rsidSect="00075882">
      <w:pgSz w:w="11900" w:h="16840"/>
      <w:pgMar w:top="1417" w:right="1417" w:bottom="1417" w:left="1417" w:header="708" w:footer="708" w:gutter="0"/>
      <w:cols w:space="708"/>
      <w:docGrid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75DF0" w14:textId="77777777" w:rsidR="00592772" w:rsidRDefault="00592772" w:rsidP="00022A27">
      <w:r>
        <w:separator/>
      </w:r>
    </w:p>
  </w:endnote>
  <w:endnote w:type="continuationSeparator" w:id="0">
    <w:p w14:paraId="48BE57EB" w14:textId="77777777" w:rsidR="00592772" w:rsidRDefault="00592772" w:rsidP="00022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16D55" w14:textId="77777777" w:rsidR="00592772" w:rsidRDefault="00592772" w:rsidP="00022A27">
      <w:r>
        <w:separator/>
      </w:r>
    </w:p>
  </w:footnote>
  <w:footnote w:type="continuationSeparator" w:id="0">
    <w:p w14:paraId="5133925C" w14:textId="77777777" w:rsidR="00592772" w:rsidRDefault="00592772" w:rsidP="00022A27">
      <w:r>
        <w:continuationSeparator/>
      </w:r>
    </w:p>
  </w:footnote>
  <w:footnote w:id="1">
    <w:p w14:paraId="12A4F13F" w14:textId="0F9D8197" w:rsidR="00DA64D7" w:rsidRPr="00D54093" w:rsidRDefault="00DA64D7" w:rsidP="00D54093">
      <w:pPr>
        <w:pStyle w:val="Sansinterligne"/>
        <w:jc w:val="both"/>
        <w:rPr>
          <w:rFonts w:ascii="Times New Roman" w:hAnsi="Times New Roman" w:cs="Times New Roman"/>
          <w:sz w:val="20"/>
          <w:szCs w:val="20"/>
          <w:lang w:val="fr-BE"/>
        </w:rPr>
      </w:pPr>
      <w:r w:rsidRPr="00D54093">
        <w:rPr>
          <w:rStyle w:val="Appelnotedebasdep"/>
          <w:rFonts w:ascii="Times New Roman" w:hAnsi="Times New Roman" w:cs="Times New Roman"/>
          <w:sz w:val="20"/>
          <w:szCs w:val="20"/>
        </w:rPr>
        <w:footnoteRef/>
      </w:r>
      <w:r w:rsidRPr="00D54093">
        <w:rPr>
          <w:rFonts w:ascii="Times New Roman" w:hAnsi="Times New Roman" w:cs="Times New Roman"/>
          <w:sz w:val="20"/>
          <w:szCs w:val="20"/>
        </w:rPr>
        <w:t xml:space="preserve"> </w:t>
      </w:r>
      <w:r w:rsidR="00D54093" w:rsidRPr="00D54093">
        <w:rPr>
          <w:rFonts w:ascii="Times New Roman" w:hAnsi="Times New Roman" w:cs="Times New Roman"/>
          <w:sz w:val="20"/>
          <w:szCs w:val="20"/>
        </w:rPr>
        <w:t xml:space="preserve">Léon </w:t>
      </w:r>
      <w:r w:rsidR="00D54093" w:rsidRPr="00D54093">
        <w:rPr>
          <w:rFonts w:ascii="Times New Roman" w:hAnsi="Times New Roman" w:cs="Times New Roman"/>
          <w:sz w:val="20"/>
          <w:szCs w:val="20"/>
          <w:lang w:val="fr-BE"/>
        </w:rPr>
        <w:t xml:space="preserve">Tolstoï, « Sur l’instruction publique », in </w:t>
      </w:r>
      <w:r w:rsidR="00D54093" w:rsidRPr="00D54093">
        <w:rPr>
          <w:rFonts w:ascii="Times New Roman" w:hAnsi="Times New Roman" w:cs="Times New Roman"/>
          <w:i/>
          <w:sz w:val="20"/>
          <w:szCs w:val="20"/>
          <w:lang w:val="fr-BE"/>
        </w:rPr>
        <w:t>id.</w:t>
      </w:r>
      <w:r w:rsidR="00D54093" w:rsidRPr="00D54093">
        <w:rPr>
          <w:rFonts w:ascii="Times New Roman" w:hAnsi="Times New Roman" w:cs="Times New Roman"/>
          <w:sz w:val="20"/>
          <w:szCs w:val="20"/>
          <w:lang w:val="fr-BE"/>
        </w:rPr>
        <w:t>,</w:t>
      </w:r>
      <w:r w:rsidR="00D54093" w:rsidRPr="00D54093">
        <w:rPr>
          <w:rFonts w:ascii="Times New Roman" w:hAnsi="Times New Roman" w:cs="Times New Roman"/>
          <w:i/>
          <w:sz w:val="20"/>
          <w:szCs w:val="20"/>
          <w:lang w:val="fr-BE"/>
        </w:rPr>
        <w:t xml:space="preserve"> Œuvres complètes</w:t>
      </w:r>
      <w:r w:rsidR="00D54093" w:rsidRPr="00D54093">
        <w:rPr>
          <w:rFonts w:ascii="Times New Roman" w:hAnsi="Times New Roman" w:cs="Times New Roman"/>
          <w:sz w:val="20"/>
          <w:szCs w:val="20"/>
          <w:lang w:val="fr-BE"/>
        </w:rPr>
        <w:t xml:space="preserve">, Tome XIII, trad. J.-W. </w:t>
      </w:r>
      <w:proofErr w:type="spellStart"/>
      <w:r w:rsidR="00D54093" w:rsidRPr="00D54093">
        <w:rPr>
          <w:rFonts w:ascii="Times New Roman" w:hAnsi="Times New Roman" w:cs="Times New Roman"/>
          <w:sz w:val="20"/>
          <w:szCs w:val="20"/>
          <w:lang w:val="fr-BE"/>
        </w:rPr>
        <w:t>Bienstock</w:t>
      </w:r>
      <w:proofErr w:type="spellEnd"/>
      <w:r w:rsidR="00D54093" w:rsidRPr="00D54093">
        <w:rPr>
          <w:rFonts w:ascii="Times New Roman" w:hAnsi="Times New Roman" w:cs="Times New Roman"/>
          <w:sz w:val="20"/>
          <w:szCs w:val="20"/>
          <w:lang w:val="fr-BE"/>
        </w:rPr>
        <w:t>, Paris, Stock, 1906, pp. 19-20.</w:t>
      </w:r>
    </w:p>
  </w:footnote>
  <w:footnote w:id="2">
    <w:p w14:paraId="0A30B993" w14:textId="751A4307" w:rsidR="00D54093" w:rsidRPr="00D54093" w:rsidRDefault="00D54093" w:rsidP="00D54093">
      <w:pPr>
        <w:pStyle w:val="Sansinterligne"/>
        <w:jc w:val="both"/>
        <w:rPr>
          <w:rFonts w:ascii="Times New Roman" w:hAnsi="Times New Roman" w:cs="Times New Roman"/>
          <w:sz w:val="20"/>
          <w:szCs w:val="20"/>
        </w:rPr>
      </w:pPr>
      <w:r w:rsidRPr="00D54093">
        <w:rPr>
          <w:rStyle w:val="Appelnotedebasdep"/>
          <w:rFonts w:ascii="Times New Roman" w:hAnsi="Times New Roman" w:cs="Times New Roman"/>
          <w:sz w:val="20"/>
          <w:szCs w:val="20"/>
        </w:rPr>
        <w:footnoteRef/>
      </w:r>
      <w:r w:rsidRPr="00D54093">
        <w:rPr>
          <w:rFonts w:ascii="Times New Roman" w:hAnsi="Times New Roman" w:cs="Times New Roman"/>
          <w:sz w:val="20"/>
          <w:szCs w:val="20"/>
        </w:rPr>
        <w:t xml:space="preserve"> </w:t>
      </w:r>
      <w:r w:rsidRPr="00D54093">
        <w:rPr>
          <w:rFonts w:ascii="Times New Roman" w:hAnsi="Times New Roman" w:cs="Times New Roman"/>
          <w:sz w:val="20"/>
          <w:szCs w:val="20"/>
        </w:rPr>
        <w:t xml:space="preserve">Léon </w:t>
      </w:r>
      <w:r w:rsidRPr="00D54093">
        <w:rPr>
          <w:rFonts w:ascii="Times New Roman" w:hAnsi="Times New Roman" w:cs="Times New Roman"/>
          <w:sz w:val="20"/>
          <w:szCs w:val="20"/>
          <w:lang w:val="fr-BE"/>
        </w:rPr>
        <w:t xml:space="preserve">Tolstoï, </w:t>
      </w:r>
      <w:r w:rsidRPr="00D54093">
        <w:rPr>
          <w:rFonts w:ascii="Times New Roman" w:hAnsi="Times New Roman" w:cs="Times New Roman"/>
          <w:sz w:val="20"/>
          <w:szCs w:val="20"/>
          <w:lang w:val="fr-BE"/>
        </w:rPr>
        <w:t>« </w:t>
      </w:r>
      <w:r w:rsidRPr="00D54093">
        <w:rPr>
          <w:rFonts w:ascii="Times New Roman" w:hAnsi="Times New Roman" w:cs="Times New Roman"/>
          <w:sz w:val="20"/>
          <w:szCs w:val="20"/>
          <w:lang w:val="fr-BE"/>
        </w:rPr>
        <w:t>L’éducation et la culture</w:t>
      </w:r>
      <w:r w:rsidRPr="00D54093">
        <w:rPr>
          <w:rFonts w:ascii="Times New Roman" w:hAnsi="Times New Roman" w:cs="Times New Roman"/>
          <w:sz w:val="20"/>
          <w:szCs w:val="20"/>
          <w:lang w:val="fr-BE"/>
        </w:rPr>
        <w:t xml:space="preserve"> », </w:t>
      </w:r>
      <w:r w:rsidRPr="00D54093">
        <w:rPr>
          <w:rFonts w:ascii="Times New Roman" w:hAnsi="Times New Roman" w:cs="Times New Roman"/>
          <w:i/>
          <w:sz w:val="20"/>
          <w:szCs w:val="20"/>
          <w:lang w:val="fr-BE"/>
        </w:rPr>
        <w:t xml:space="preserve">op. </w:t>
      </w:r>
      <w:proofErr w:type="spellStart"/>
      <w:r w:rsidRPr="00D54093">
        <w:rPr>
          <w:rFonts w:ascii="Times New Roman" w:hAnsi="Times New Roman" w:cs="Times New Roman"/>
          <w:i/>
          <w:sz w:val="20"/>
          <w:szCs w:val="20"/>
          <w:lang w:val="fr-BE"/>
        </w:rPr>
        <w:t>cit</w:t>
      </w:r>
      <w:proofErr w:type="spellEnd"/>
      <w:r w:rsidRPr="00D54093">
        <w:rPr>
          <w:rFonts w:ascii="Times New Roman" w:hAnsi="Times New Roman" w:cs="Times New Roman"/>
          <w:i/>
          <w:sz w:val="20"/>
          <w:szCs w:val="20"/>
          <w:lang w:val="fr-BE"/>
        </w:rPr>
        <w:t>.</w:t>
      </w:r>
      <w:r w:rsidR="002E6922">
        <w:rPr>
          <w:rFonts w:ascii="Times New Roman" w:hAnsi="Times New Roman" w:cs="Times New Roman"/>
          <w:sz w:val="20"/>
          <w:szCs w:val="20"/>
          <w:lang w:val="fr-BE"/>
        </w:rPr>
        <w:t>, p. 158 (je souligne)</w:t>
      </w:r>
      <w:r w:rsidRPr="00D54093">
        <w:rPr>
          <w:rFonts w:ascii="Times New Roman" w:hAnsi="Times New Roman" w:cs="Times New Roman"/>
          <w:sz w:val="20"/>
          <w:szCs w:val="20"/>
          <w:lang w:val="fr-B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D67"/>
    <w:rsid w:val="0001405B"/>
    <w:rsid w:val="00022A27"/>
    <w:rsid w:val="00075882"/>
    <w:rsid w:val="00211D70"/>
    <w:rsid w:val="002E6922"/>
    <w:rsid w:val="00304BA0"/>
    <w:rsid w:val="00341098"/>
    <w:rsid w:val="003A59E3"/>
    <w:rsid w:val="00554297"/>
    <w:rsid w:val="00581CBB"/>
    <w:rsid w:val="00592772"/>
    <w:rsid w:val="005A5605"/>
    <w:rsid w:val="005F42DE"/>
    <w:rsid w:val="005F7D67"/>
    <w:rsid w:val="009B3123"/>
    <w:rsid w:val="00A912EE"/>
    <w:rsid w:val="00B24B65"/>
    <w:rsid w:val="00D00EDB"/>
    <w:rsid w:val="00D54093"/>
    <w:rsid w:val="00DA64D7"/>
    <w:rsid w:val="00DD0913"/>
    <w:rsid w:val="00ED6718"/>
    <w:rsid w:val="00F1371A"/>
    <w:rsid w:val="00F23E57"/>
    <w:rsid w:val="00F41A0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D320F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22A27"/>
  </w:style>
  <w:style w:type="character" w:customStyle="1" w:styleId="NotedebasdepageCar">
    <w:name w:val="Note de bas de page Car"/>
    <w:basedOn w:val="Policepardfaut"/>
    <w:link w:val="Notedebasdepage"/>
    <w:uiPriority w:val="99"/>
    <w:rsid w:val="00022A27"/>
  </w:style>
  <w:style w:type="character" w:styleId="Appelnotedebasdep">
    <w:name w:val="footnote reference"/>
    <w:basedOn w:val="Policepardfaut"/>
    <w:uiPriority w:val="99"/>
    <w:unhideWhenUsed/>
    <w:rsid w:val="00022A27"/>
    <w:rPr>
      <w:vertAlign w:val="superscript"/>
    </w:rPr>
  </w:style>
  <w:style w:type="paragraph" w:styleId="Sansinterligne">
    <w:name w:val="No Spacing"/>
    <w:uiPriority w:val="1"/>
    <w:qFormat/>
    <w:rsid w:val="00D54093"/>
  </w:style>
  <w:style w:type="character" w:styleId="Lienhypertexte">
    <w:name w:val="Hyperlink"/>
    <w:basedOn w:val="Policepardfaut"/>
    <w:uiPriority w:val="99"/>
    <w:unhideWhenUsed/>
    <w:rsid w:val="00F137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oleg.bernaz@uclouvain.be" TargetMode="External"/><Relationship Id="rId8" Type="http://schemas.openxmlformats.org/officeDocument/2006/relationships/hyperlink" Target="mailto:oleg.bernaz@gmai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FA756EE-5D51-5749-BF73-448ED21FB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639</Words>
  <Characters>3520</Characters>
  <Application>Microsoft Macintosh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Bernaz Oleg</dc:creator>
  <cp:keywords/>
  <dc:description/>
  <cp:lastModifiedBy>Bernaz Oleg</cp:lastModifiedBy>
  <cp:revision>18</cp:revision>
  <dcterms:created xsi:type="dcterms:W3CDTF">2017-11-16T10:27:00Z</dcterms:created>
  <dcterms:modified xsi:type="dcterms:W3CDTF">2017-11-16T14:00:00Z</dcterms:modified>
</cp:coreProperties>
</file>