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B6E" w:rsidRDefault="004B4B6E" w:rsidP="008E0E33"/>
    <w:p w:rsidR="00995F7E" w:rsidRDefault="00995F7E" w:rsidP="000C20BB">
      <w:pPr>
        <w:jc w:val="center"/>
      </w:pPr>
      <w:r>
        <w:t>DE LA CONFRONTATION DE PLATON ET ARISTOTE DANS L’ITINERAIRE DE HEGEL</w:t>
      </w:r>
    </w:p>
    <w:p w:rsidR="000C20BB" w:rsidRDefault="000C20BB" w:rsidP="000C20BB">
      <w:pPr>
        <w:jc w:val="center"/>
      </w:pPr>
      <w:r>
        <w:t xml:space="preserve">ANALYSE D’UN RENVERSEMENT D’APPRECIATION </w:t>
      </w:r>
    </w:p>
    <w:p w:rsidR="000C20BB" w:rsidRDefault="000C20BB" w:rsidP="000C20BB">
      <w:pPr>
        <w:jc w:val="center"/>
      </w:pPr>
    </w:p>
    <w:p w:rsidR="000C20BB" w:rsidRDefault="000C20BB" w:rsidP="000C20BB">
      <w:pPr>
        <w:jc w:val="both"/>
      </w:pPr>
      <w:r>
        <w:t xml:space="preserve">Dans les écrits de Hegel, Platon et Aristote sont souvent rapprochés et, dans ce rapprochement, confrontés l’un à l’autre et diversement appréciés. On observe en effet une variation remarquable dans cette appréciation : dans l’article d’Iéna sur le </w:t>
      </w:r>
      <w:r>
        <w:rPr>
          <w:i/>
        </w:rPr>
        <w:t>Droit naturel</w:t>
      </w:r>
      <w:r>
        <w:t xml:space="preserve">, sa dernière contribution au </w:t>
      </w:r>
      <w:r w:rsidR="00995F7E">
        <w:rPr>
          <w:i/>
        </w:rPr>
        <w:t>Journal critique de</w:t>
      </w:r>
      <w:r>
        <w:rPr>
          <w:i/>
        </w:rPr>
        <w:t xml:space="preserve"> philosophie</w:t>
      </w:r>
      <w:r>
        <w:t xml:space="preserve"> qu’il publia en collaboration avec Schelling de début 1802 jusqu’au milieu de 1803</w:t>
      </w:r>
      <w:r w:rsidR="00221C43">
        <w:rPr>
          <w:rStyle w:val="Appelnotedebasdep"/>
        </w:rPr>
        <w:footnoteReference w:id="1"/>
      </w:r>
      <w:r w:rsidR="00221C43">
        <w:t>, Hegel, dans la présentation qu’il donne de la manière dont l’absolu se configure au sein de la « vie éthique » (</w:t>
      </w:r>
      <w:r w:rsidR="00221C43">
        <w:rPr>
          <w:i/>
        </w:rPr>
        <w:t>Sittlichkeit</w:t>
      </w:r>
      <w:r w:rsidR="00221C43">
        <w:t>), fait mention</w:t>
      </w:r>
      <w:r w:rsidR="00805DA8">
        <w:t xml:space="preserve"> de la « vitalité supérieure » de Platon comparé à Aristote</w:t>
      </w:r>
      <w:r w:rsidR="00805DA8">
        <w:rPr>
          <w:rStyle w:val="Appelnotedebasdep"/>
        </w:rPr>
        <w:footnoteReference w:id="2"/>
      </w:r>
      <w:r w:rsidR="003E53B3">
        <w:t xml:space="preserve"> ; en revanche, dans les </w:t>
      </w:r>
      <w:r w:rsidR="003E53B3">
        <w:rPr>
          <w:i/>
        </w:rPr>
        <w:t xml:space="preserve">Leçons sur l’histoire de la philosophie </w:t>
      </w:r>
      <w:r w:rsidR="003E53B3">
        <w:t>de Berlin, il soutient qu’ « Aristote est supérieur à Platon en profondeur spéculative »</w:t>
      </w:r>
      <w:r w:rsidR="003E53B3">
        <w:rPr>
          <w:rStyle w:val="Appelnotedebasdep"/>
        </w:rPr>
        <w:footnoteReference w:id="3"/>
      </w:r>
      <w:r w:rsidR="00DC6FA1">
        <w:t>. L’objet de cette étude est d’examiner la signification de ce renversement dans le jugement de Hegel.</w:t>
      </w:r>
    </w:p>
    <w:p w:rsidR="00E12B04" w:rsidRDefault="00E12B04" w:rsidP="000C20BB">
      <w:pPr>
        <w:jc w:val="both"/>
      </w:pPr>
      <w:r>
        <w:t>Mais il faut commencer par envisager une question préjudicielle : a-t-on bien ici affaire à un « renversement » d’appréciation ? Car, en somme, la plus grande vitalité de l’un peut fort bien, à première vue, coexister avec la plus grande profondeur spéculative de l’autre. Sans doute, à ceci près que chez Hegel, spéculation et vitalité sont étroitement liées</w:t>
      </w:r>
      <w:r w:rsidR="00A016CA">
        <w:t xml:space="preserve"> et qu’il n’est d’authentique spéculation que foncièrement vivante, mettant en œuvre un </w:t>
      </w:r>
      <w:r w:rsidR="00A016CA">
        <w:rPr>
          <w:i/>
        </w:rPr>
        <w:t>logos vivant</w:t>
      </w:r>
      <w:r w:rsidR="00A016CA">
        <w:rPr>
          <w:rStyle w:val="Appelnotedebasdep"/>
          <w:i/>
        </w:rPr>
        <w:footnoteReference w:id="4"/>
      </w:r>
      <w:r w:rsidR="00A016CA">
        <w:t xml:space="preserve">, de sorte que lorsqu’il évoque, d’un côté, la « vitalité supérieure » de Platon, il ne peut s’agir que de la vitalité de sa </w:t>
      </w:r>
      <w:r w:rsidR="00A016CA">
        <w:rPr>
          <w:i/>
        </w:rPr>
        <w:t>pensée</w:t>
      </w:r>
      <w:r w:rsidR="00A016CA">
        <w:t xml:space="preserve"> et que quand, de l’autre, il impute à Aristote une plus grande profondeur spéculative, il ne peut être question que d’une spéculation qui est </w:t>
      </w:r>
      <w:r w:rsidR="00A016CA">
        <w:rPr>
          <w:i/>
        </w:rPr>
        <w:t>plus active et vivante</w:t>
      </w:r>
      <w:r w:rsidR="00A016CA">
        <w:t xml:space="preserve">. C’est donc sur le même terrain, celui de la </w:t>
      </w:r>
      <w:r w:rsidR="00A016CA">
        <w:rPr>
          <w:i/>
        </w:rPr>
        <w:t>pensée vivante</w:t>
      </w:r>
      <w:r w:rsidR="00A016CA">
        <w:t>, que se joue l’appréciation contrastée du rapport entre Platon et Aristote</w:t>
      </w:r>
      <w:r w:rsidR="00995F7E">
        <w:t xml:space="preserve"> et on est, par conséquent, en droit de parler d’un « renversement d’appréciation ».</w:t>
      </w:r>
    </w:p>
    <w:p w:rsidR="00995F7E" w:rsidRDefault="00995F7E" w:rsidP="000C20BB">
      <w:pPr>
        <w:jc w:val="both"/>
      </w:pPr>
      <w:r>
        <w:t>Analysons tour à tour les deux déclarations en présence.</w:t>
      </w:r>
    </w:p>
    <w:p w:rsidR="008E0E33" w:rsidRDefault="008E0E33" w:rsidP="000C20BB">
      <w:pPr>
        <w:jc w:val="both"/>
      </w:pPr>
      <w:r>
        <w:t xml:space="preserve">Lorsque, dans l’article sur le </w:t>
      </w:r>
      <w:r>
        <w:rPr>
          <w:i/>
        </w:rPr>
        <w:t>Droit naturel</w:t>
      </w:r>
      <w:r>
        <w:t xml:space="preserve">, Hegel attribue une « vitalité supérieure » à Platon, c’est, comme on l’a noté, dans le cadre d’une présentation de la </w:t>
      </w:r>
      <w:r>
        <w:rPr>
          <w:i/>
        </w:rPr>
        <w:t>vie éthique</w:t>
      </w:r>
      <w:r>
        <w:t xml:space="preserve"> relevant comme telle de la philosophe politique. La supériorité platonicienne tient en ceci que là où Aristote, dans sa </w:t>
      </w:r>
      <w:r>
        <w:rPr>
          <w:i/>
        </w:rPr>
        <w:t>Politique</w:t>
      </w:r>
      <w:r>
        <w:t xml:space="preserve">, </w:t>
      </w:r>
      <w:r w:rsidR="00555626">
        <w:t xml:space="preserve">mentionne le « politeuein » - terme grec que Hegel traduit par la périphrase : « vivre dans, avec et </w:t>
      </w:r>
      <w:r>
        <w:t xml:space="preserve">pour son peuple, mener une vie universelle appartenant entièrement à la chose publique » - et « l’acte de philosopher » comme les </w:t>
      </w:r>
      <w:r>
        <w:rPr>
          <w:i/>
        </w:rPr>
        <w:t xml:space="preserve">deux </w:t>
      </w:r>
      <w:r>
        <w:t xml:space="preserve">occupations auxquelles s’adonnent les membres de la </w:t>
      </w:r>
      <w:r>
        <w:lastRenderedPageBreak/>
        <w:t xml:space="preserve">« classe des </w:t>
      </w:r>
      <w:r w:rsidR="0071740D">
        <w:t xml:space="preserve"> hommes libres », Platon, pour sa part, « ne veut pas voir [ces activités] séparées, mais absolument </w:t>
      </w:r>
      <w:r w:rsidR="00555626">
        <w:t>liées »</w:t>
      </w:r>
      <w:r w:rsidR="00555626">
        <w:rPr>
          <w:rStyle w:val="Appelnotedebasdep"/>
        </w:rPr>
        <w:footnoteReference w:id="5"/>
      </w:r>
      <w:r w:rsidR="0071740D">
        <w:t xml:space="preserve">. On a ici, on s’en rend compte, une allusion transparente à la doctrine du philosophe-roi exposée par Platon dans la </w:t>
      </w:r>
      <w:r w:rsidR="0071740D">
        <w:rPr>
          <w:i/>
        </w:rPr>
        <w:t>République</w:t>
      </w:r>
      <w:r w:rsidR="0071740D">
        <w:t xml:space="preserve">, doctrine qui semble donc avoir les faveurs de Hegel lorsque, fin 1802, il rédige l’article sur le </w:t>
      </w:r>
      <w:r w:rsidR="0071740D">
        <w:rPr>
          <w:i/>
        </w:rPr>
        <w:t>Droit naturel</w:t>
      </w:r>
      <w:r w:rsidR="0071740D">
        <w:t>. Comment comprendre pareille appréciation ? Il convient, pour répondre à cette question, de procéder à une rapide mise en contexte en évoquant la situation de la pensée hégélienne telle qu’elle se présente à ce moment de son développement, c’est-à-dire durant les premières années du séjour à Iéna marquées par la collaboration avec Schelling</w:t>
      </w:r>
      <w:r w:rsidR="0071740D">
        <w:rPr>
          <w:rStyle w:val="Appelnotedebasdep"/>
        </w:rPr>
        <w:footnoteReference w:id="6"/>
      </w:r>
      <w:r w:rsidR="008C47CC">
        <w:t>.</w:t>
      </w:r>
    </w:p>
    <w:p w:rsidR="008C47CC" w:rsidRDefault="008C47CC" w:rsidP="000C20BB">
      <w:pPr>
        <w:jc w:val="both"/>
      </w:pPr>
      <w:r>
        <w:t xml:space="preserve">Commençons par remonter un peu plus haut dans le temps. Comme il est connu, Hegel, dès les premiers pas de son itinéraire, a conçu sa tâche d’intellectuel comme </w:t>
      </w:r>
      <w:r>
        <w:rPr>
          <w:i/>
        </w:rPr>
        <w:t>foncièrement active et pratique </w:t>
      </w:r>
      <w:r>
        <w:t>:</w:t>
      </w:r>
      <w:r w:rsidR="00B32E2B">
        <w:t xml:space="preserve"> il s’agit d’intervenir dans la vie des hommes, de l’éclairer et de la réformer, bref d’éduquer le genre humain afin de le conduire à l’accomplissement de son humanité essentielle, c’</w:t>
      </w:r>
      <w:r w:rsidR="000C0E13">
        <w:t>e</w:t>
      </w:r>
      <w:r w:rsidR="00B32E2B">
        <w:t>st-à-dire à la liberté dans le cadre d’un peuple libre, comme l’a été exemplairement en son temps le peuple grec – on sait en effet le modèle qu’a constitué la Grèce antique pour le jeune Hegel, modèle qu’il oppose à ce qu’il considère alors comme la défaillance de la modernité chrétienne. Dans ses Ecrits de jeunesse, de Stuttgart à Francfort, le moyen</w:t>
      </w:r>
      <w:r w:rsidR="00F73F5C">
        <w:t xml:space="preserve"> d’une telle éducation réside dans la </w:t>
      </w:r>
      <w:r w:rsidR="00F73F5C">
        <w:rPr>
          <w:i/>
        </w:rPr>
        <w:t>religion</w:t>
      </w:r>
      <w:r w:rsidR="00F73F5C">
        <w:t>, jugée seule à même d’agir efficacement sur l’</w:t>
      </w:r>
      <w:r w:rsidR="00F73F5C">
        <w:rPr>
          <w:i/>
        </w:rPr>
        <w:t xml:space="preserve">ensemble </w:t>
      </w:r>
      <w:r w:rsidR="00F73F5C">
        <w:t xml:space="preserve">du peuple dans la mesure où, comme le dit le </w:t>
      </w:r>
      <w:r w:rsidR="00F73F5C">
        <w:rPr>
          <w:i/>
        </w:rPr>
        <w:t>Fragment de Tübingen</w:t>
      </w:r>
      <w:r w:rsidR="00F73F5C">
        <w:t>, premier écrit de quelque conséquence de Hegel, elle est « une des affaires les plus importantes de</w:t>
      </w:r>
      <w:r w:rsidR="00ED4AF6">
        <w:t xml:space="preserve"> notre vie »</w:t>
      </w:r>
      <w:r w:rsidR="00ED4AF6">
        <w:rPr>
          <w:rStyle w:val="Appelnotedebasdep"/>
        </w:rPr>
        <w:footnoteReference w:id="7"/>
      </w:r>
      <w:r w:rsidR="00C87537">
        <w:t xml:space="preserve">, accompagnant et rythmant celle-ci du berceau jusqu’à la tombe. Il s’agit donc de </w:t>
      </w:r>
      <w:r w:rsidR="00D345E0">
        <w:t>promouvoir une religion de la liberté contribuant à l’institution d’un peuple libre. D’où la manière dont</w:t>
      </w:r>
      <w:r w:rsidR="00A511BA">
        <w:t xml:space="preserve"> </w:t>
      </w:r>
      <w:r w:rsidR="00D345E0">
        <w:t xml:space="preserve"> </w:t>
      </w:r>
      <w:r w:rsidR="00A511BA">
        <w:t>les Ecrits de jeunesse se centrent sur la problématique religieuse dans une perspective foncièrement politique</w:t>
      </w:r>
      <w:r w:rsidR="00A511BA">
        <w:rPr>
          <w:rStyle w:val="Appelnotedebasdep"/>
        </w:rPr>
        <w:footnoteReference w:id="8"/>
      </w:r>
      <w:r w:rsidR="00D345E0">
        <w:t>.</w:t>
      </w:r>
      <w:r w:rsidR="00DD7C75">
        <w:t xml:space="preserve"> </w:t>
      </w:r>
    </w:p>
    <w:p w:rsidR="00DD7C75" w:rsidRDefault="00DD7C75" w:rsidP="000C20BB">
      <w:pPr>
        <w:jc w:val="both"/>
      </w:pPr>
      <w:r>
        <w:t xml:space="preserve">Avec le passage à Iéna en janvier 1801, un tournant décisif se produit dans l’itinéraire de Hegel : celui par lequel il devient proprement philosophe (alors que, jusque-là, sa vocation d’éducateur du peuple l’incitait à plutôt se méfier du caractère abstrait et élitaire de la philosophie comme construction conceptuelle) et entend explicitement s’engager dans l’élaboration d’un </w:t>
      </w:r>
      <w:r w:rsidRPr="00DD7C75">
        <w:rPr>
          <w:i/>
        </w:rPr>
        <w:t>système scientifique de la</w:t>
      </w:r>
      <w:r>
        <w:t xml:space="preserve"> </w:t>
      </w:r>
      <w:r w:rsidRPr="00DD7C75">
        <w:rPr>
          <w:i/>
        </w:rPr>
        <w:t>philosophie</w:t>
      </w:r>
      <w:r>
        <w:t xml:space="preserve"> – ce qu’Otto Pöggeler a éloquemment qualifié de </w:t>
      </w:r>
      <w:r>
        <w:rPr>
          <w:i/>
        </w:rPr>
        <w:t>Schritt zur Wissenschaft</w:t>
      </w:r>
      <w:r>
        <w:rPr>
          <w:rStyle w:val="Appelnotedebasdep"/>
          <w:i/>
        </w:rPr>
        <w:footnoteReference w:id="9"/>
      </w:r>
      <w:r w:rsidR="00ED4AF6">
        <w:t xml:space="preserve">. Ce tournant, pour incontestable qu’il soit, ne doit cependant pas masquer la profonde continuité qui subsiste avec les Ecrits de jeunesse. Continuité, tout d’abord, quant au </w:t>
      </w:r>
      <w:r w:rsidR="00ED4AF6">
        <w:rPr>
          <w:i/>
        </w:rPr>
        <w:t>souci pratique</w:t>
      </w:r>
      <w:r w:rsidR="00C87537">
        <w:rPr>
          <w:i/>
        </w:rPr>
        <w:t xml:space="preserve"> </w:t>
      </w:r>
      <w:r w:rsidR="00C87537">
        <w:t>qui sous-tendait ceux-ci, car, comme l’observe Hegel dans un de ses premiers cours à l’Université d’Iéna</w:t>
      </w:r>
      <w:r w:rsidR="00C87537">
        <w:rPr>
          <w:rStyle w:val="Appelnotedebasdep"/>
        </w:rPr>
        <w:footnoteReference w:id="10"/>
      </w:r>
      <w:r w:rsidR="00D8050A">
        <w:t xml:space="preserve">, « le vrai besoin de la philosophie » est d’ordre « pratique » et « ne tend tout de même à rien d’autre qu’à apprendre à </w:t>
      </w:r>
      <w:r w:rsidR="00D8050A">
        <w:lastRenderedPageBreak/>
        <w:t>vivre d’elle et par elle »</w:t>
      </w:r>
      <w:r w:rsidR="00D8050A">
        <w:rPr>
          <w:rStyle w:val="Appelnotedebasdep"/>
        </w:rPr>
        <w:footnoteReference w:id="11"/>
      </w:r>
      <w:r w:rsidR="00D8050A">
        <w:t xml:space="preserve">. Aussi bien, dans la fameuse lettre du 2 novembre 1800 dans laquelle, peu de temps avant de quitter Francfort pour Iéna, il fait part à Schelling, son ancien condisciple du </w:t>
      </w:r>
      <w:r w:rsidR="00D8050A">
        <w:rPr>
          <w:i/>
        </w:rPr>
        <w:t xml:space="preserve">Stift </w:t>
      </w:r>
      <w:r w:rsidR="00D8050A">
        <w:t>de Tübingen qu’il va bientôt rejoindre</w:t>
      </w:r>
      <w:r w:rsidR="00B60838">
        <w:t>, de son passage à la science, il ajoute directement à la suite de cette annonce : « je me demande maintenant, tandis que je suis encore occupé à cela [</w:t>
      </w:r>
      <w:r w:rsidR="00B60838">
        <w:rPr>
          <w:i/>
        </w:rPr>
        <w:t xml:space="preserve">i.e. </w:t>
      </w:r>
      <w:r w:rsidR="00B60838">
        <w:t>au passage à la philosophie comme système scientifique], comment on peut trouver moyen de revenir à une intervention dans la vie des hommes »</w:t>
      </w:r>
      <w:r w:rsidR="00B60838">
        <w:rPr>
          <w:rStyle w:val="Appelnotedebasdep"/>
        </w:rPr>
        <w:footnoteReference w:id="12"/>
      </w:r>
      <w:r w:rsidR="00B60838">
        <w:t xml:space="preserve">. La question se pose en effet si on considère la déclaration qui figure dans l’article introductif du </w:t>
      </w:r>
      <w:r w:rsidR="00B60838">
        <w:rPr>
          <w:i/>
        </w:rPr>
        <w:t>Journal critique de philosophie </w:t>
      </w:r>
      <w:r w:rsidR="00B60838">
        <w:t>: « La philosophie est selon sa nature quelque chose d’ésotérique qui n’est pour soi ni fait pour le vulgaire (</w:t>
      </w:r>
      <w:r w:rsidR="00B60838">
        <w:rPr>
          <w:i/>
        </w:rPr>
        <w:t>Pöbel</w:t>
      </w:r>
      <w:r w:rsidR="00B60838">
        <w:t>), ni susceptible d’une préparation pour le vulgaire »</w:t>
      </w:r>
      <w:r w:rsidR="00B60838">
        <w:rPr>
          <w:rStyle w:val="Appelnotedebasdep"/>
        </w:rPr>
        <w:footnoteReference w:id="13"/>
      </w:r>
      <w:r w:rsidR="008503F1">
        <w:t>. Comment, dans ces conditions, concevoir la possibilité pour le philosophe qu’est devenu Hegel d’une action sur la vie des hommes ?</w:t>
      </w:r>
    </w:p>
    <w:p w:rsidR="00E764FC" w:rsidRDefault="00E764FC" w:rsidP="000C20BB">
      <w:pPr>
        <w:jc w:val="both"/>
      </w:pPr>
      <w:r>
        <w:t>Un examen attentif des textes d’Iéna s’échelonnant de 1801 à 1803 permet de faire à cette question une réponse relativement précise. Il faut tout d’</w:t>
      </w:r>
      <w:r w:rsidR="00117D5D">
        <w:t>abord signal</w:t>
      </w:r>
      <w:r>
        <w:t xml:space="preserve">er que le système philosophique tel que Hegel le conçoit alors trouve son accomplissement comme système </w:t>
      </w:r>
      <w:r>
        <w:rPr>
          <w:i/>
        </w:rPr>
        <w:t>de la vie éthique</w:t>
      </w:r>
      <w:r w:rsidR="0047026E">
        <w:t>,</w:t>
      </w:r>
      <w:r>
        <w:t xml:space="preserve"> dans la mesure où c’est en se configurant </w:t>
      </w:r>
      <w:r w:rsidRPr="0047026E">
        <w:rPr>
          <w:i/>
        </w:rPr>
        <w:t>dans un peuple</w:t>
      </w:r>
      <w:r>
        <w:t xml:space="preserve"> que l’absolu trouve son expression la plus explicite et la plus parfaite</w:t>
      </w:r>
      <w:r>
        <w:rPr>
          <w:rStyle w:val="Appelnotedebasdep"/>
        </w:rPr>
        <w:footnoteReference w:id="14"/>
      </w:r>
      <w:r w:rsidR="0047026E">
        <w:t xml:space="preserve">. Ceci étant, il ne saurait être </w:t>
      </w:r>
      <w:r w:rsidR="009A25EF">
        <w:t xml:space="preserve">toutefois </w:t>
      </w:r>
      <w:r w:rsidR="0047026E">
        <w:t xml:space="preserve">question d’une action </w:t>
      </w:r>
      <w:r w:rsidR="0047026E" w:rsidRPr="0047026E">
        <w:rPr>
          <w:i/>
        </w:rPr>
        <w:t>directe</w:t>
      </w:r>
      <w:r w:rsidR="0047026E">
        <w:rPr>
          <w:i/>
        </w:rPr>
        <w:t xml:space="preserve"> </w:t>
      </w:r>
      <w:r w:rsidR="0047026E">
        <w:t>de la philosophie en tant que telle</w:t>
      </w:r>
      <w:r w:rsidR="00117D5D">
        <w:t xml:space="preserve"> (</w:t>
      </w:r>
      <w:r w:rsidR="0047026E">
        <w:t>fût-ce comme philosophie politique</w:t>
      </w:r>
      <w:r w:rsidR="00117D5D">
        <w:t>)</w:t>
      </w:r>
      <w:r w:rsidR="0047026E">
        <w:t xml:space="preserve"> sur le peuple : son caractère spéculatif et « ésotérique » l’interdit, comme on vient de le voir. Cette action, que réclame sa visée pratique, ne peut se produire que par un </w:t>
      </w:r>
      <w:r w:rsidR="0047026E">
        <w:rPr>
          <w:i/>
        </w:rPr>
        <w:t>intermédiaire </w:t>
      </w:r>
      <w:r w:rsidR="0047026E">
        <w:t xml:space="preserve">: </w:t>
      </w:r>
      <w:r w:rsidR="00117D5D">
        <w:t xml:space="preserve">celui que constitue le « grand homme » (ou le « grand esprit ») qu’évoque </w:t>
      </w:r>
      <w:r w:rsidR="00F6526E">
        <w:t xml:space="preserve"> un autre des premiers cours de Hegel à Iéna</w:t>
      </w:r>
      <w:r w:rsidR="00F6526E">
        <w:rPr>
          <w:rStyle w:val="Appelnotedebasdep"/>
        </w:rPr>
        <w:footnoteReference w:id="15"/>
      </w:r>
      <w:r w:rsidR="00C609B8">
        <w:t>. Ce cours nous apprend en effet que, « formé à l’école de la philosophie », le grand homme comprend « la nature éthique en progrès » et qu’affranchi des limitations du monde présent, il est en mesure de donner corps à l’aspiration à un monde nouveau qui , lors des périodes d</w:t>
      </w:r>
      <w:r w:rsidR="006A2655">
        <w:t>e crise (qui sont celles de la</w:t>
      </w:r>
      <w:r w:rsidR="00C027EE">
        <w:t xml:space="preserve"> </w:t>
      </w:r>
      <w:r w:rsidR="00C609B8">
        <w:t xml:space="preserve"> philosophie), travaille obscurément la masse du peuple, tel Alexandre le Grand « passé de l’école d’Aristote à la conquête du</w:t>
      </w:r>
      <w:r w:rsidR="007B167A">
        <w:t xml:space="preserve"> monde » ou davantage encore, ajoute</w:t>
      </w:r>
      <w:r w:rsidR="00C609B8">
        <w:t>rons-nous, tel le philosophe-roi de Platon en qui agir politique et philosophie sont, comme on l’a vu, « absolument liés »</w:t>
      </w:r>
      <w:r w:rsidR="00C609B8">
        <w:rPr>
          <w:rStyle w:val="Appelnotedebasdep"/>
        </w:rPr>
        <w:footnoteReference w:id="16"/>
      </w:r>
      <w:r w:rsidR="006A2655">
        <w:t>.</w:t>
      </w:r>
      <w:r w:rsidR="00C027EE">
        <w:t xml:space="preserve"> Mais cette première </w:t>
      </w:r>
      <w:r w:rsidR="00C027EE">
        <w:lastRenderedPageBreak/>
        <w:t>réponse ne suffit pas, car la question resurgit aussitôt sous une forme nouvelle : qu’est-ce qui va permettre au philosophe-roi (ou au roi « formé à l’école de la philosophie ») d’agir sur le peuple ? Quel va être l’instrument de son action de façon à ce que celle-ci pénètre effectivement la masse du peuple et soit l’affaire de tous ? Ce problème, qui est celui de l’</w:t>
      </w:r>
      <w:r w:rsidR="00C027EE">
        <w:rPr>
          <w:i/>
        </w:rPr>
        <w:t xml:space="preserve">unité </w:t>
      </w:r>
      <w:r w:rsidR="00C027EE">
        <w:t>du peuple – c’est-à-dire, d’un point de vue philosophique, de sa capacité à exprimer l’absolu –</w:t>
      </w:r>
      <w:r w:rsidR="00762A2D">
        <w:t>,</w:t>
      </w:r>
      <w:r w:rsidR="00C027EE">
        <w:t xml:space="preserve"> affleure tant dans l’article sur le </w:t>
      </w:r>
      <w:r w:rsidR="00C027EE">
        <w:rPr>
          <w:i/>
        </w:rPr>
        <w:t>Droit nature</w:t>
      </w:r>
      <w:r w:rsidR="004F6CF1">
        <w:rPr>
          <w:i/>
        </w:rPr>
        <w:t>l</w:t>
      </w:r>
      <w:r w:rsidR="004F6CF1">
        <w:t>,</w:t>
      </w:r>
      <w:r w:rsidR="00C027EE">
        <w:t xml:space="preserve"> au niveau de l’organisation du peuple en « états » (</w:t>
      </w:r>
      <w:r w:rsidR="00C027EE">
        <w:rPr>
          <w:i/>
        </w:rPr>
        <w:t>Stände</w:t>
      </w:r>
      <w:r w:rsidR="00C027EE">
        <w:t>) ou classes différentes</w:t>
      </w:r>
      <w:r w:rsidR="004F6CF1">
        <w:t>,</w:t>
      </w:r>
      <w:r w:rsidR="00C027EE">
        <w:t xml:space="preserve"> que dans le </w:t>
      </w:r>
      <w:r w:rsidR="00C027EE">
        <w:rPr>
          <w:i/>
        </w:rPr>
        <w:t>Système de la vie éthique</w:t>
      </w:r>
      <w:r w:rsidR="004F6CF1">
        <w:t xml:space="preserve"> qui </w:t>
      </w:r>
      <w:r w:rsidR="00C027EE">
        <w:t>est à peu près contemporain</w:t>
      </w:r>
      <w:r w:rsidR="004F6CF1">
        <w:t xml:space="preserve"> et où le problème se pose au niveau du rapport entre gouvernants et gouvernés</w:t>
      </w:r>
      <w:r w:rsidR="004F6CF1">
        <w:rPr>
          <w:rStyle w:val="Appelnotedebasdep"/>
        </w:rPr>
        <w:footnoteReference w:id="17"/>
      </w:r>
      <w:r w:rsidR="00502B80">
        <w:t xml:space="preserve">. Et dans les deux cas, c’est la même réponse qui est avancée : celle qu’apporte la </w:t>
      </w:r>
      <w:r w:rsidR="00502B80" w:rsidRPr="002E1301">
        <w:rPr>
          <w:i/>
        </w:rPr>
        <w:t>religion</w:t>
      </w:r>
      <w:r w:rsidR="00502B80">
        <w:t xml:space="preserve"> dont on voit par là qu’elle continue d’être au centre des réfle</w:t>
      </w:r>
      <w:r w:rsidR="002E1301">
        <w:t>xions de Hegel après son arrivée</w:t>
      </w:r>
      <w:r w:rsidR="00502B80">
        <w:t xml:space="preserve"> à Iéna. </w:t>
      </w:r>
      <w:r w:rsidR="00502B80" w:rsidRPr="00502B80">
        <w:t>Le</w:t>
      </w:r>
      <w:r w:rsidR="00502B80">
        <w:t xml:space="preserve"> texte qu’il convient de consulter ici en priorité est, à notre sens, celui qui, sur la base de sa restitution fragmentaire par Karl Rosenkranz et Rudolf Haym, a été intitulé « Continuation du Système de la vie éthique »</w:t>
      </w:r>
      <w:r w:rsidR="00502B80">
        <w:rPr>
          <w:rStyle w:val="Appelnotedebasdep"/>
        </w:rPr>
        <w:footnoteReference w:id="18"/>
      </w:r>
      <w:r w:rsidR="00502B80">
        <w:t>.</w:t>
      </w:r>
    </w:p>
    <w:p w:rsidR="002E1301" w:rsidRDefault="002E1301" w:rsidP="000C20BB">
      <w:pPr>
        <w:jc w:val="both"/>
      </w:pPr>
      <w:r>
        <w:t xml:space="preserve">En bref, Hegel y montre dans la religion ce que nous avons caractérisé ailleurs comme « le complément </w:t>
      </w:r>
      <w:r>
        <w:rPr>
          <w:i/>
        </w:rPr>
        <w:t xml:space="preserve">réaliste </w:t>
      </w:r>
      <w:r>
        <w:t>de la spéculation »</w:t>
      </w:r>
      <w:r>
        <w:rPr>
          <w:rStyle w:val="Appelnotedebasdep"/>
        </w:rPr>
        <w:footnoteReference w:id="19"/>
      </w:r>
      <w:r w:rsidR="00111180">
        <w:t>. Religion et philosophie, assure-t-il, ont même matière ou contenu, toutes deux manifestant l’esprit dans la plénitude de son identité absolue. C’est donc du point de vue de la forme qu’elles diffèrent, en ce sens qu’à « l’idéalité » de l’expression scientifique de l’esprit dans la philosophie s’oppose son expression plus réaliste dans la religion où il advient non plus simplement comme « esprit pur », mais « en relation avec la réalité », en l’espèce avec celle du peuple, soit son être-là empirique</w:t>
      </w:r>
      <w:r w:rsidR="00095EBC">
        <w:t>, son histoire, ses faits et gestes etc., qui se trouvent ainsi incorporés à l’essence de l’esprit et, par là, « transfigurés ». On le voit,</w:t>
      </w:r>
      <w:r w:rsidR="00F47ADC">
        <w:t xml:space="preserve"> ce qui se passe avec la religion, c’est que la manifestation de l’esprit se fait à tous égards plus concrète, plus proche du peuple, de sorte qu’au cœur de la religion, dans le </w:t>
      </w:r>
      <w:r w:rsidR="00F47ADC">
        <w:rPr>
          <w:i/>
        </w:rPr>
        <w:t>culte</w:t>
      </w:r>
      <w:r w:rsidR="00F47ADC">
        <w:t xml:space="preserve"> qui instaure un rapport actif et vécu à l’esprit, ce dernier « n’ait honte d’aucun de ses individus, ne se refuse à apparaître à aucun et que chacun dispose sur lui du pouvoir de l’invoquer ». Bref, la religion est ce qui, dans un peuple, rompt l’isolement élitaire de la philosophie en livrant à l’ensemble de la communauté, de façon accessible à tous, la vérité qu’elle recèle, étant entendu que la religion la plus accomplie est alors celle qui, en retour, va se nourrir de la spéculation et advenir grâce à elle, dans une sorte de réciprocité entre les deux</w:t>
      </w:r>
      <w:r w:rsidR="00F47ADC">
        <w:rPr>
          <w:rStyle w:val="Appelnotedebasdep"/>
        </w:rPr>
        <w:footnoteReference w:id="20"/>
      </w:r>
      <w:r w:rsidR="004A6984">
        <w:t xml:space="preserve">. Posons la question : ne peut-on, à partir de là, former l’hypothèse que celui qui dirige le </w:t>
      </w:r>
      <w:r w:rsidR="004A6984">
        <w:lastRenderedPageBreak/>
        <w:t xml:space="preserve">peuple et préside à ses destinée aura à s’appuyer sur la religion pour l’atteindre et le mobiliser ? On notera tout d’abord à ce propos que le « grand homme », dont on a vu que, formé à l’école de la philosophie, il est en mesure de donner réalité à l’aspiration du peuple à un monde éthique nouveau, </w:t>
      </w:r>
      <w:r w:rsidR="00C61646">
        <w:t>reçoit l’inspiration de celui-ci d’ « une nouvelle révélation divine […] qui lui apparut en rêve, comme idéal, qu’il porte à présent au jour et promeut à l’être-là »</w:t>
      </w:r>
      <w:r w:rsidR="00C61646">
        <w:rPr>
          <w:rStyle w:val="Appelnotedebasdep"/>
        </w:rPr>
        <w:footnoteReference w:id="21"/>
      </w:r>
      <w:r w:rsidR="00C61646">
        <w:t xml:space="preserve">. Cette dimension religieuse se confirme dans la manière dont le </w:t>
      </w:r>
      <w:r w:rsidR="00C61646">
        <w:rPr>
          <w:i/>
        </w:rPr>
        <w:t>Système de la vie éthique</w:t>
      </w:r>
      <w:r w:rsidR="00C61646">
        <w:t xml:space="preserve"> conçoit l’autorité suprême dans le peuple, ce qu’il nomme « le gouvernement absolu »</w:t>
      </w:r>
      <w:r w:rsidR="00C61646">
        <w:rPr>
          <w:rStyle w:val="Appelnotedebasdep"/>
        </w:rPr>
        <w:footnoteReference w:id="22"/>
      </w:r>
      <w:r w:rsidR="00C61646">
        <w:t>. Celui-ci, dont le rôle est d’assurer la manifestation de l’Idée absolue au sein du peuple, est composé d’anciens qui ont mené « une vie divine »</w:t>
      </w:r>
      <w:r w:rsidR="00762A2D">
        <w:rPr>
          <w:rStyle w:val="Appelnotedebasdep"/>
        </w:rPr>
        <w:footnoteReference w:id="23"/>
      </w:r>
      <w:r w:rsidR="00C61646">
        <w:t xml:space="preserve">, tout entière au service du peuple, et dont l’appartenance au divin leur vaut, une fois la vieillesse atteinte, le statut de </w:t>
      </w:r>
      <w:r w:rsidR="00903949">
        <w:rPr>
          <w:i/>
        </w:rPr>
        <w:t>prêtres</w:t>
      </w:r>
      <w:r w:rsidR="00903949">
        <w:t xml:space="preserve"> dont les « paroles sont [les] sentences de Dieu »</w:t>
      </w:r>
      <w:r w:rsidR="00903949">
        <w:rPr>
          <w:rStyle w:val="Appelnotedebasdep"/>
        </w:rPr>
        <w:footnoteReference w:id="24"/>
      </w:r>
      <w:r w:rsidR="00903949">
        <w:t> : le gouvernement absolu, précise Hegel, « est la manifestation de Dieu […] ; il est la prêtrise immédiate du Très-haut dans le sanctuaire duquel il délibère avec lui et reçoit ses révélations »</w:t>
      </w:r>
      <w:r w:rsidR="00903949">
        <w:rPr>
          <w:rStyle w:val="Appelnotedebasdep"/>
        </w:rPr>
        <w:footnoteReference w:id="25"/>
      </w:r>
      <w:r w:rsidR="00903949">
        <w:t>. Karl Rosenkranz, dans sa biographie de Hegel, relève, non sans raison, le caractère fortement platonisant de pareille conception, caractère qui imprègne d’ailleurs, selon lui, toute la philosophie politique développée à l’époque par Hegel</w:t>
      </w:r>
      <w:r w:rsidR="00903949">
        <w:rPr>
          <w:rStyle w:val="Appelnotedebasdep"/>
        </w:rPr>
        <w:footnoteReference w:id="26"/>
      </w:r>
      <w:r w:rsidR="002C56E1">
        <w:t xml:space="preserve"> et même, renchérirons- nous, toute sa conception de la </w:t>
      </w:r>
      <w:r w:rsidR="00003DD5">
        <w:t>philosophie</w:t>
      </w:r>
      <w:r w:rsidR="00093A1B">
        <w:t xml:space="preserve"> </w:t>
      </w:r>
      <w:r w:rsidR="002C56E1">
        <w:t xml:space="preserve">depuis sa base logico-métaphysique. Nous ne pouvons développer ici ce point comme il le mériterait ; nous l’avons brièvement abordé ailleurs en traitant de la première </w:t>
      </w:r>
      <w:r w:rsidR="002C56E1">
        <w:rPr>
          <w:i/>
        </w:rPr>
        <w:t xml:space="preserve">Logique et métaphysique </w:t>
      </w:r>
      <w:r w:rsidR="002C56E1">
        <w:t>d’Iéna</w:t>
      </w:r>
      <w:r w:rsidR="002C56E1">
        <w:rPr>
          <w:rStyle w:val="Appelnotedebasdep"/>
        </w:rPr>
        <w:footnoteReference w:id="27"/>
      </w:r>
      <w:r w:rsidR="002C56E1">
        <w:t xml:space="preserve">. Il nous permet toutefois de revenir à ce qui forme le cœur de notre propos : la déclaration faite par Hegel dans l’article sur le </w:t>
      </w:r>
      <w:r w:rsidR="002C56E1">
        <w:rPr>
          <w:i/>
        </w:rPr>
        <w:t xml:space="preserve">Droit naturel </w:t>
      </w:r>
      <w:r w:rsidR="002C56E1">
        <w:t>concernant la « vitalité supérieure » de Platon par rapport à Aristote. Résumons les résultats que nous avons acquis sur ce point.</w:t>
      </w:r>
    </w:p>
    <w:p w:rsidR="00DA469B" w:rsidRPr="006032B2" w:rsidRDefault="00DA469B" w:rsidP="000C20BB">
      <w:pPr>
        <w:jc w:val="both"/>
      </w:pPr>
      <w:r>
        <w:t>Nous avons jusqu’ici cherché à déterminer le contexte dans lequel cette déclaration prend place. Ce contexte est celui des premières années d’Iéna, entre 1801 et début 1803, où Hegel s’engage, en étroite collaboration avec Schelling, dans le travail proprement philosophique de constitution d’un système scientifique de la philosophie. Nous avons vu que la supériorité qu’il consent à Platon dans ce cadre se situe sur le terrain de la philosop</w:t>
      </w:r>
      <w:r w:rsidR="006D5693">
        <w:t>hie politique et se rapporte à l</w:t>
      </w:r>
      <w:r>
        <w:t>a doctrine du philosophe-roi</w:t>
      </w:r>
      <w:r w:rsidR="006D5693">
        <w:t xml:space="preserve"> du penseur grec</w:t>
      </w:r>
      <w:r>
        <w:t xml:space="preserve">. C’est qu’au cours de cette période, Hegel, en continuité avec ses Ecrits de jeunesse, met en relief la finalité </w:t>
      </w:r>
      <w:r w:rsidRPr="006D5693">
        <w:rPr>
          <w:i/>
        </w:rPr>
        <w:t>pratique</w:t>
      </w:r>
      <w:r>
        <w:t xml:space="preserve"> de la philosophie</w:t>
      </w:r>
      <w:r w:rsidR="00734628">
        <w:t>,</w:t>
      </w:r>
      <w:r>
        <w:t xml:space="preserve"> entendue au sens où elle a à intervenir activement dans la vie des hommes afin qu’</w:t>
      </w:r>
      <w:r w:rsidR="00734628">
        <w:t>ils puissent « apprendre à vivre d’elle et par elle », ce qu’elle ne peut effectivement faire qu’en s’unissant de la façon la plus étroite au pouvoir et en gouvernant. On l’a noté, c’est ce qui explique la prééminence que Hegel accorde alors à la philosophie politique au sein de son système</w:t>
      </w:r>
      <w:r w:rsidR="004452FB">
        <w:t>,</w:t>
      </w:r>
      <w:r w:rsidR="00734628">
        <w:t xml:space="preserve"> dans la mesure où c’est en elle, c’est-à-dire en se déployant au sein de la vie éthique, que l’absolu parvient à sa manifestation la plus accomplie. Mais cela ne suffit pas : la philosophie ne saurait </w:t>
      </w:r>
      <w:r w:rsidR="00734628" w:rsidRPr="004452FB">
        <w:rPr>
          <w:i/>
        </w:rPr>
        <w:t>à elle seule</w:t>
      </w:r>
      <w:r w:rsidR="00734628">
        <w:t xml:space="preserve">, dans son idéalité abstraite et élitaire qui l’isole du peuple, asseoir son autorité sur celui-ci. Il lui faut l’appoint de la </w:t>
      </w:r>
      <w:r w:rsidR="00734628" w:rsidRPr="006D5693">
        <w:rPr>
          <w:i/>
        </w:rPr>
        <w:t>religion</w:t>
      </w:r>
      <w:r w:rsidR="00734628">
        <w:t xml:space="preserve"> qui, en rendant la vérité accessible à tous, permet seule à l’</w:t>
      </w:r>
      <w:r w:rsidR="006032B2">
        <w:t>absolu de pénétrer intégrale</w:t>
      </w:r>
      <w:r w:rsidR="00734628">
        <w:t>ment</w:t>
      </w:r>
      <w:r w:rsidR="006032B2">
        <w:t xml:space="preserve"> le peuple et de s’incarner en lui. Aussi bien, si la philosophie politique constitue le sommet du système, c’est dans la mesure où elle débouche sur une </w:t>
      </w:r>
      <w:r w:rsidR="006D5693">
        <w:t>« </w:t>
      </w:r>
      <w:r w:rsidR="006032B2" w:rsidRPr="006D5693">
        <w:t>philosophie de la religion</w:t>
      </w:r>
      <w:r w:rsidR="00EE1E0E" w:rsidRPr="006D5693">
        <w:t xml:space="preserve"> et de l’art</w:t>
      </w:r>
      <w:r w:rsidR="006D5693">
        <w:t> »</w:t>
      </w:r>
      <w:r w:rsidR="006032B2">
        <w:rPr>
          <w:i/>
        </w:rPr>
        <w:t xml:space="preserve"> </w:t>
      </w:r>
      <w:r w:rsidR="00EE1E0E">
        <w:t xml:space="preserve">qui </w:t>
      </w:r>
      <w:r w:rsidR="006032B2">
        <w:t xml:space="preserve">montre comment le peuple, « en </w:t>
      </w:r>
      <w:r w:rsidR="006032B2">
        <w:lastRenderedPageBreak/>
        <w:t>tant que peuple libre […] fait retour à l’Idée pure et organise l’intuition de Dieu »</w:t>
      </w:r>
      <w:r w:rsidR="006032B2">
        <w:rPr>
          <w:rStyle w:val="Appelnotedebasdep"/>
        </w:rPr>
        <w:footnoteReference w:id="28"/>
      </w:r>
      <w:r w:rsidR="006D5693">
        <w:t>. Bref, pour être roi, il faut que le philosophe se fasse prêtre.</w:t>
      </w:r>
    </w:p>
    <w:p w:rsidR="00995F7E" w:rsidRDefault="00D24674" w:rsidP="000C20BB">
      <w:pPr>
        <w:jc w:val="both"/>
      </w:pPr>
      <w:r>
        <w:t xml:space="preserve"> </w:t>
      </w:r>
      <w:r w:rsidR="0093459F">
        <w:t xml:space="preserve">Passons à présent, après cette esquisse du contexte dans lequel prend place la thèse de l’article sur le </w:t>
      </w:r>
      <w:r w:rsidR="0093459F">
        <w:rPr>
          <w:i/>
        </w:rPr>
        <w:t>Droit naturel</w:t>
      </w:r>
      <w:r w:rsidR="0093459F">
        <w:t xml:space="preserve"> à propos de la « vitalité supérieure » de Platon, à l’autre terme de notre confrontation, celui où, dans les </w:t>
      </w:r>
      <w:r w:rsidR="0093459F">
        <w:rPr>
          <w:i/>
        </w:rPr>
        <w:t xml:space="preserve">Leçons sur l’histoire de la philosophie </w:t>
      </w:r>
      <w:r w:rsidR="0093459F">
        <w:t>de Berlin, Hegel crédite Aristote</w:t>
      </w:r>
      <w:r w:rsidR="000727D3">
        <w:t xml:space="preserve"> d’une profondeur spéculative supérieure à celle de Platon. Ce qu’il est essentiel de comprendre pour saisir la véritable portée de ce renversement d’appréciation, c’est qu’il ne s’est pas produit isolément, comme une modification simplement locale, mais qu’il est solidaire d’un changement décisif dans la conception d’ensemble du système, changement qui a mené au système de la maturité et dans lequel l’étude d’Aristote a précisément joué un rôle déterminant.</w:t>
      </w:r>
    </w:p>
    <w:p w:rsidR="004E4C57" w:rsidRDefault="004E4C57" w:rsidP="000C20BB">
      <w:pPr>
        <w:jc w:val="both"/>
      </w:pPr>
      <w:r>
        <w:t>A en croire Rudolf Haym, c’est « au cours des dernières années [du séjour à Iéna] » que Hegel « s’est jeté avec zèle dans l’étude des écrits du Stagirite »</w:t>
      </w:r>
      <w:r>
        <w:rPr>
          <w:rStyle w:val="Appelnotedebasdep"/>
        </w:rPr>
        <w:footnoteReference w:id="29"/>
      </w:r>
      <w:r w:rsidR="009F3D23">
        <w:t>, vraisemblablement dans le cadre de la préparation de son premier cours d’histoire de la philosophie qu’il professe durant l’hiver 1805/06 et dont Rosenkranz a relevé l’importance dans l’évolution de sa pensée</w:t>
      </w:r>
      <w:r w:rsidR="009F3D23">
        <w:rPr>
          <w:rStyle w:val="Appelnotedebasdep"/>
        </w:rPr>
        <w:footnoteReference w:id="30"/>
      </w:r>
      <w:r w:rsidR="009F3D23">
        <w:t xml:space="preserve">. Le manuscrit de ce cours est malheureusement aujourd’hui perdu. Nous pouvons toutefois nous en faire une certaine idée d’après la première édition des </w:t>
      </w:r>
      <w:r w:rsidR="009F3D23">
        <w:rPr>
          <w:i/>
        </w:rPr>
        <w:t xml:space="preserve">Leçons sur l’histoire de la philosophie </w:t>
      </w:r>
      <w:r w:rsidR="009F3D23">
        <w:t xml:space="preserve">réalisée par Karl Ludwig Michelet dans le cadre de l’édition des amis du défunt entreprise dès après la mort de Hegel. Michelet, qui avait sous les yeux « le cahier d’Iéna » relatif au cours en question, relate en effet qu’il a été amené, dans son travail d’éditeur, à considérer ce cahier « comme la base […] ou pour ainsi dire </w:t>
      </w:r>
      <w:r w:rsidR="00984250">
        <w:t xml:space="preserve"> le squelette auquel devait s’attacher la chair plus consistante de la richesse de pensée ultérieure »</w:t>
      </w:r>
      <w:r w:rsidR="00984250">
        <w:rPr>
          <w:rStyle w:val="Appelnotedebasdep"/>
        </w:rPr>
        <w:footnoteReference w:id="31"/>
      </w:r>
      <w:r w:rsidR="00984250">
        <w:t>. A quoi fait écho le témoignage de Rosenkranz, qui a lui aussi pu encore consulter le cahier des leçons d’</w:t>
      </w:r>
      <w:r w:rsidR="008C7190">
        <w:t>Iéna et qui signale que Hegel n’y a rien changé d’essentiel dans les exposés ultérieurs qu’il a consacrés à cette matière, mais « n’a fait qu’enrichir leurs développements »</w:t>
      </w:r>
      <w:r w:rsidR="008C7190">
        <w:rPr>
          <w:rStyle w:val="Appelnotedebasdep"/>
        </w:rPr>
        <w:footnoteReference w:id="32"/>
      </w:r>
      <w:r w:rsidR="008C7190">
        <w:t>.</w:t>
      </w:r>
    </w:p>
    <w:p w:rsidR="000D1DB6" w:rsidRDefault="000D1DB6" w:rsidP="000C20BB">
      <w:pPr>
        <w:jc w:val="both"/>
      </w:pPr>
      <w:r>
        <w:t xml:space="preserve">Qu’est-ce que Hegel découvre donc au cours de cette étude approfondie d’Aristote qui l’amène à réviser son jugement en proclamant sa plus grande profondeur spéculative par rapport à Platon ? En un mot, la </w:t>
      </w:r>
      <w:r>
        <w:rPr>
          <w:i/>
        </w:rPr>
        <w:t xml:space="preserve">modernité </w:t>
      </w:r>
      <w:r>
        <w:t xml:space="preserve">de sa pensée qu’il ne cesse de louer et dont il s’émerveille dans les pages que lui consacrent ses </w:t>
      </w:r>
      <w:r>
        <w:rPr>
          <w:i/>
        </w:rPr>
        <w:t>Leçons sur l’histoire de la philosophe</w:t>
      </w:r>
      <w:r>
        <w:t xml:space="preserve">, tout particulièrement dans celles dévolues à </w:t>
      </w:r>
      <w:r>
        <w:lastRenderedPageBreak/>
        <w:t>l’exposé de sa métaphysique. Ainsi remarque-t-il que sa détermination de l’essence absolue « comme pure activité » anticipe de façon aussi décisive que surprenante sur les doctrines les plus modernes</w:t>
      </w:r>
      <w:r w:rsidR="009E0CCA">
        <w:rPr>
          <w:rStyle w:val="Appelnotedebasdep"/>
        </w:rPr>
        <w:footnoteReference w:id="33"/>
      </w:r>
      <w:r>
        <w:t> : « Si dans les temps modernes (</w:t>
      </w:r>
      <w:r>
        <w:rPr>
          <w:i/>
        </w:rPr>
        <w:t>in neueren Zeiten</w:t>
      </w:r>
      <w:r>
        <w:t xml:space="preserve">), il a paru </w:t>
      </w:r>
      <w:r>
        <w:rPr>
          <w:i/>
        </w:rPr>
        <w:t xml:space="preserve">nouveau </w:t>
      </w:r>
      <w:r>
        <w:t xml:space="preserve">de définir l’essence </w:t>
      </w:r>
      <w:r w:rsidR="004452FB">
        <w:t xml:space="preserve">absolue </w:t>
      </w:r>
      <w:r>
        <w:t>comme pure activité (</w:t>
      </w:r>
      <w:r>
        <w:rPr>
          <w:i/>
        </w:rPr>
        <w:t>als reine Tätigkeit</w:t>
      </w:r>
      <w:r>
        <w:t>), cette apparence de nouveauté procède, nous le voyons, de l’ignorance du concept aristotélicien » ; ce qu’il ponctue par la déclaration : « il n’y a pas d’idéalisme supérieur [à cela]</w:t>
      </w:r>
      <w:r w:rsidR="009E0CCA">
        <w:t> »</w:t>
      </w:r>
      <w:r w:rsidR="009E0CCA">
        <w:rPr>
          <w:rStyle w:val="Appelnotedebasdep"/>
        </w:rPr>
        <w:footnoteReference w:id="34"/>
      </w:r>
      <w:r w:rsidR="009E0CCA">
        <w:t>. On le constate, l’admiration vouée désormais par Hegel à Aristote est liée au privilège qu’il accorde à la modernité : c’est parce que la détermination aristotélicienne de l’absolu est, comme il l’écrit encore, « de même teneur que les déterminations modernes »</w:t>
      </w:r>
      <w:r w:rsidR="009E0CCA">
        <w:rPr>
          <w:rStyle w:val="Appelnotedebasdep"/>
        </w:rPr>
        <w:footnoteReference w:id="35"/>
      </w:r>
      <w:r w:rsidR="009E0CCA">
        <w:t xml:space="preserve"> que le Stagirite suscite l’enthousiasme de </w:t>
      </w:r>
      <w:r w:rsidR="004452FB">
        <w:t>Hegel qui ajoute que : « Parmi</w:t>
      </w:r>
      <w:r w:rsidR="009E0CCA">
        <w:t xml:space="preserve"> les anciens, Aristote est celui qui mérite le plus d’être étudié »</w:t>
      </w:r>
      <w:r w:rsidR="009E0CCA">
        <w:rPr>
          <w:rStyle w:val="Appelnotedebasdep"/>
        </w:rPr>
        <w:footnoteReference w:id="36"/>
      </w:r>
      <w:r w:rsidR="00BE0146">
        <w:t>. Arrêtons-nous un instant à cette promotion de la modernité : c’est en elle que réside le changement dans la conception d’ensemble du système dont nous avons signalé que la nouvelle appréciation d’Aristote était solidaire. Il convient donc d’en préciser brièvement les contours.</w:t>
      </w:r>
    </w:p>
    <w:p w:rsidR="004A5F47" w:rsidRDefault="004A5F47" w:rsidP="000C20BB">
      <w:pPr>
        <w:jc w:val="both"/>
      </w:pPr>
      <w:r>
        <w:t>Ce changement peut être daté avec plus ou moins de précision. Il s’amorce à partir de 1803 (année du départ de Schelling pour Würzburg</w:t>
      </w:r>
      <w:r>
        <w:rPr>
          <w:rStyle w:val="Appelnotedebasdep"/>
        </w:rPr>
        <w:footnoteReference w:id="37"/>
      </w:r>
      <w:r>
        <w:t xml:space="preserve">) et se développe tout au long de la deuxième moitié du séjour à Iéna jusqu’à produire ses pleins effets dans la </w:t>
      </w:r>
      <w:r w:rsidRPr="004A5F47">
        <w:rPr>
          <w:i/>
        </w:rPr>
        <w:t>Phénoménologie de l’esprit</w:t>
      </w:r>
      <w:r>
        <w:rPr>
          <w:i/>
        </w:rPr>
        <w:t xml:space="preserve"> </w:t>
      </w:r>
      <w:r>
        <w:t>parue début 1807. Jusque-là, en effet, l’avis de Hegel à propos de la modernité avait été globalement défavorable : c’était le cas des Ecrits de jeunesse avec la primauté de l’idéal grec qui les caractérise ; c’était encore celui des premiers textes d’Iéna dominés par la critique du dualisme moderne inspiré de Descartes et</w:t>
      </w:r>
      <w:r w:rsidR="00682B4B">
        <w:t xml:space="preserve"> qui, comme l’écrit l’article introductif du </w:t>
      </w:r>
      <w:r w:rsidR="00682B4B">
        <w:rPr>
          <w:i/>
        </w:rPr>
        <w:t>Journal critique de philosophie</w:t>
      </w:r>
      <w:r w:rsidR="00682B4B">
        <w:t>, s’est « universellement</w:t>
      </w:r>
      <w:r>
        <w:t xml:space="preserve"> </w:t>
      </w:r>
      <w:r w:rsidR="00682B4B">
        <w:t xml:space="preserve"> </w:t>
      </w:r>
      <w:r>
        <w:t>répandu dans la culture de l’</w:t>
      </w:r>
      <w:r w:rsidR="00A27A73">
        <w:t xml:space="preserve">histoire moderne de notre monde </w:t>
      </w:r>
      <w:r>
        <w:t>du nord-ouest », provoquant « le déclin de toute vie ancienne »</w:t>
      </w:r>
      <w:r>
        <w:rPr>
          <w:rStyle w:val="Appelnotedebasdep"/>
        </w:rPr>
        <w:footnoteReference w:id="38"/>
      </w:r>
      <w:r w:rsidR="00567BDC">
        <w:t xml:space="preserve">. A pareil dualisme, qui </w:t>
      </w:r>
      <w:r w:rsidR="00913FA6">
        <w:t xml:space="preserve">fige la différence de la pensée et de l’être – en termes modernes, du sujet et l’objet – et qui enferme dès lors la pensée dans le formalisme subjectiviste de représentations vides, tout justes capables d’atteindre dans le kantisme une phénoménalité disjointe de l’en soi des choses, Hegel oppose à ce moment, avec Schelling, leur identité </w:t>
      </w:r>
      <w:r w:rsidR="00913FA6">
        <w:rPr>
          <w:i/>
        </w:rPr>
        <w:t xml:space="preserve">substantielle </w:t>
      </w:r>
      <w:r w:rsidR="00913FA6">
        <w:t>qui, ni subjective ni objective, réunit en elle pensée et être et constitue leur point d’indifférence absolu « = 0 »</w:t>
      </w:r>
      <w:r w:rsidR="00913FA6">
        <w:rPr>
          <w:rStyle w:val="Appelnotedebasdep"/>
        </w:rPr>
        <w:footnoteReference w:id="39"/>
      </w:r>
      <w:r w:rsidR="00913FA6">
        <w:t>.</w:t>
      </w:r>
      <w:r w:rsidR="005F7E5D">
        <w:t xml:space="preserve"> C’est avec cette conception, dont il se rend progressivement compte qu’elle ne permet pas de réellement surmonter le formalisme, son ennemi de toujours, et d’instituer une pensée authentiquement concrète</w:t>
      </w:r>
      <w:r w:rsidR="005F7E5D">
        <w:rPr>
          <w:rStyle w:val="Appelnotedebasdep"/>
        </w:rPr>
        <w:footnoteReference w:id="40"/>
      </w:r>
      <w:r w:rsidR="005F7E5D">
        <w:t xml:space="preserve">, qu’il commence à rompre à partir de 1803. Non pas qu’il renonce au thème de l’identité pensée-être, qui demeure au contraire fondamental dans son système, mais cette identité, il en complexifie singulièrement la nature </w:t>
      </w:r>
      <w:r w:rsidR="00682B4B">
        <w:t>e</w:t>
      </w:r>
      <w:r w:rsidR="005F7E5D">
        <w:t xml:space="preserve">n la concevant désormais, moyennant une réévaluation décisive de l’apport moderne, comme l’œuvre d’un absolu </w:t>
      </w:r>
      <w:r w:rsidR="005F7E5D">
        <w:rPr>
          <w:i/>
        </w:rPr>
        <w:t xml:space="preserve">sujet </w:t>
      </w:r>
      <w:r w:rsidR="005F7E5D">
        <w:t xml:space="preserve">ou </w:t>
      </w:r>
      <w:r w:rsidR="005F7E5D">
        <w:rPr>
          <w:i/>
        </w:rPr>
        <w:t>esprit</w:t>
      </w:r>
      <w:r w:rsidR="005F7E5D">
        <w:t>, c’est-à-dire non plus (de manière platonicienne) comme une identité substantielle, métaphysiquement indemne de toute opposition et détermination, mais comme étant au contraire logée dans le déterminé</w:t>
      </w:r>
      <w:r w:rsidR="00411EB9">
        <w:t xml:space="preserve"> et ayant à se constituer dialectiquement à partir de lui.</w:t>
      </w:r>
      <w:r w:rsidR="007A253E">
        <w:t xml:space="preserve"> Un tel absolu n’est </w:t>
      </w:r>
      <w:r w:rsidR="007A253E">
        <w:lastRenderedPageBreak/>
        <w:t xml:space="preserve">dès lors plus rien d’autre que </w:t>
      </w:r>
      <w:r w:rsidR="007A253E">
        <w:rPr>
          <w:i/>
        </w:rPr>
        <w:t xml:space="preserve">l’acte auto-finalisé de sa propre effectuation </w:t>
      </w:r>
      <w:r w:rsidR="007A253E">
        <w:t xml:space="preserve">dans l’être qui n’a d’autre propos que de s’y </w:t>
      </w:r>
      <w:r w:rsidR="007A253E">
        <w:rPr>
          <w:i/>
        </w:rPr>
        <w:t xml:space="preserve">réfléchir </w:t>
      </w:r>
      <w:r w:rsidR="007A253E">
        <w:t>en tant que tel.</w:t>
      </w:r>
      <w:r w:rsidR="00EF71EC">
        <w:t xml:space="preserve"> C’est dans le cours de l’élaboration de cette nouvelle conception de l’absolu que Hegel</w:t>
      </w:r>
      <w:r w:rsidR="000142C9">
        <w:t xml:space="preserve"> trouve en Aristote un appui décis</w:t>
      </w:r>
      <w:r w:rsidR="00EF71EC">
        <w:t>if.</w:t>
      </w:r>
    </w:p>
    <w:p w:rsidR="00F1304D" w:rsidRDefault="005C04C3" w:rsidP="000C20BB">
      <w:pPr>
        <w:jc w:val="both"/>
      </w:pPr>
      <w:r>
        <w:t xml:space="preserve">En quoi consiste donc la modernité que Hegel découvre dans la pensée d’Aristote ? En ceci que, d’après la lecture qu’il en fait, le principe de la </w:t>
      </w:r>
      <w:r>
        <w:rPr>
          <w:i/>
        </w:rPr>
        <w:t xml:space="preserve">subjectivité </w:t>
      </w:r>
      <w:r>
        <w:t>de l’absolu – dont il estime par ailleurs qu’il est loin d’être totalement absent de la philosophie ancienne (même s’il ne saurait y être réfléchi intégralement et sous la forme qui lui convient, ainsi que ce sera le cas au sein de la philosophie moderne)</w:t>
      </w:r>
      <w:r>
        <w:rPr>
          <w:rStyle w:val="Appelnotedebasdep"/>
        </w:rPr>
        <w:footnoteReference w:id="41"/>
      </w:r>
      <w:r w:rsidR="00682791">
        <w:t xml:space="preserve"> – trouve, dans ce cadre limité de la philosophie ancienne, sa plus haute formulation dans la métaphysique d’Aristote, c’est-à-dire dans sa conception de la substance (</w:t>
      </w:r>
      <w:r w:rsidR="00682791">
        <w:rPr>
          <w:i/>
        </w:rPr>
        <w:t>ousia</w:t>
      </w:r>
      <w:r w:rsidR="00682791">
        <w:t>), laquelle est dès lors au plus proche des conceptions modernes les plus abouties : « c’est ce principe de la vitalité, de la subjectivité, non pas d’une subjectivité contingente, seulement particulière, mais de la pure subjectivité qui est spécifique à Aristote »</w:t>
      </w:r>
      <w:r w:rsidR="00682791">
        <w:rPr>
          <w:rStyle w:val="Appelnotedebasdep"/>
        </w:rPr>
        <w:footnoteReference w:id="42"/>
      </w:r>
      <w:r w:rsidR="00980A45">
        <w:t>. Et c’est ce qui fait sa supériorité par rapport à Platon. Comment Hegel en</w:t>
      </w:r>
      <w:r w:rsidR="00A7725B">
        <w:t xml:space="preserve">visage-t-il </w:t>
      </w:r>
      <w:r w:rsidR="00980A45">
        <w:t>à présent ce rapport ? En fait, il voit dans Aristote, plutôt que le contradicteur réaliste et empiriste de l’idéa</w:t>
      </w:r>
      <w:r w:rsidR="00A27A73">
        <w:t>liste Platon selon</w:t>
      </w:r>
      <w:r w:rsidR="00980A45">
        <w:t xml:space="preserve"> la vulgate bien connue, son successeur et continuateur qui l’accomplit : tous deux partagent la même perspective idéaliste qui fait de l’</w:t>
      </w:r>
      <w:r w:rsidR="00516AAF">
        <w:rPr>
          <w:i/>
        </w:rPr>
        <w:t>i</w:t>
      </w:r>
      <w:r w:rsidR="00980A45">
        <w:rPr>
          <w:i/>
        </w:rPr>
        <w:t>dée</w:t>
      </w:r>
      <w:r w:rsidR="00980A45">
        <w:t>, c’est-à-dire de la pensée, l’essence absolue, la substance de tout ce qui est, la différence entre les deux tenant à ce qu’Aristote « va plus loin (</w:t>
      </w:r>
      <w:r w:rsidR="00980A45">
        <w:rPr>
          <w:i/>
        </w:rPr>
        <w:t>geht weiter</w:t>
      </w:r>
      <w:r w:rsidR="00980A45">
        <w:t>)</w:t>
      </w:r>
      <w:r w:rsidR="00A27A73">
        <w:t> »</w:t>
      </w:r>
      <w:r w:rsidR="00A7725B">
        <w:rPr>
          <w:rStyle w:val="Appelnotedebasdep"/>
        </w:rPr>
        <w:footnoteReference w:id="43"/>
      </w:r>
      <w:r w:rsidR="00A7725B">
        <w:t xml:space="preserve"> et plus profond dans la pénétration de l’</w:t>
      </w:r>
      <w:r w:rsidR="00516AAF">
        <w:t>i</w:t>
      </w:r>
      <w:r w:rsidR="00A7725B">
        <w:t>dée. De f</w:t>
      </w:r>
      <w:r w:rsidR="00516AAF">
        <w:t>ait, Platon pense</w:t>
      </w:r>
      <w:r w:rsidR="00A7725B">
        <w:t xml:space="preserve"> l’</w:t>
      </w:r>
      <w:r w:rsidR="00516AAF">
        <w:t>i</w:t>
      </w:r>
      <w:r w:rsidR="00A7725B">
        <w:t>dée comme quelque chose d’ « objectif », comme un pur « en soi » positif et « inerte » (de l’ordre de l’</w:t>
      </w:r>
      <w:r w:rsidR="00A7725B">
        <w:rPr>
          <w:i/>
        </w:rPr>
        <w:t>être</w:t>
      </w:r>
      <w:r w:rsidR="00A7725B">
        <w:t xml:space="preserve">), dont l’universalité idéelle se ramène dès lors au seul régime « abstrait » de la </w:t>
      </w:r>
      <w:r w:rsidR="00A7725B">
        <w:rPr>
          <w:i/>
        </w:rPr>
        <w:t>d</w:t>
      </w:r>
      <w:r w:rsidR="00516AAF">
        <w:rPr>
          <w:i/>
        </w:rPr>
        <w:t>u</w:t>
      </w:r>
      <w:r w:rsidR="00A7725B">
        <w:rPr>
          <w:i/>
        </w:rPr>
        <w:t>namis</w:t>
      </w:r>
      <w:r w:rsidR="00A7725B" w:rsidRPr="00A7725B">
        <w:t>, c’est-à-dire de la simple</w:t>
      </w:r>
      <w:r w:rsidR="00A7725B" w:rsidRPr="00A7725B">
        <w:rPr>
          <w:i/>
        </w:rPr>
        <w:t xml:space="preserve"> possibilité</w:t>
      </w:r>
      <w:r w:rsidR="00A7725B">
        <w:rPr>
          <w:i/>
        </w:rPr>
        <w:t xml:space="preserve"> </w:t>
      </w:r>
      <w:r w:rsidR="00A7725B" w:rsidRPr="00A7725B">
        <w:t>en</w:t>
      </w:r>
      <w:r w:rsidR="00A7725B">
        <w:rPr>
          <w:i/>
        </w:rPr>
        <w:t xml:space="preserve"> </w:t>
      </w:r>
      <w:r w:rsidR="00A7725B" w:rsidRPr="00A7725B">
        <w:t>défaut de toute véritable « effectuation »</w:t>
      </w:r>
      <w:r w:rsidR="00A7725B">
        <w:t xml:space="preserve"> (</w:t>
      </w:r>
      <w:r w:rsidR="00A7725B">
        <w:rPr>
          <w:i/>
        </w:rPr>
        <w:t>Verwirklichung</w:t>
      </w:r>
      <w:r w:rsidR="00A7725B">
        <w:t>)</w:t>
      </w:r>
      <w:r w:rsidR="00516AAF">
        <w:rPr>
          <w:rStyle w:val="Appelnotedebasdep"/>
        </w:rPr>
        <w:footnoteReference w:id="44"/>
      </w:r>
      <w:r w:rsidR="00516AAF">
        <w:t>. Certes, il développe une conception dialectique de l’idée qui fait de celle-ci quelque chose d’essentiellement déterminé et concret, un universel « qui résout en lui-même les contradictions »</w:t>
      </w:r>
      <w:r w:rsidR="00516AAF">
        <w:rPr>
          <w:rStyle w:val="Appelnotedebasdep"/>
        </w:rPr>
        <w:footnoteReference w:id="45"/>
      </w:r>
      <w:r w:rsidR="00C71188">
        <w:t xml:space="preserve">, ainsi que l’attestent tout particulièrement, aux yeux de Hegel, les grands dialogues de la vieillesse de Platon, tels le </w:t>
      </w:r>
      <w:r w:rsidR="00C71188">
        <w:rPr>
          <w:i/>
        </w:rPr>
        <w:t>Sophiste</w:t>
      </w:r>
      <w:r w:rsidR="00C71188">
        <w:t xml:space="preserve">, le </w:t>
      </w:r>
      <w:r w:rsidR="00C71188">
        <w:rPr>
          <w:i/>
        </w:rPr>
        <w:t>Philèbe</w:t>
      </w:r>
      <w:r w:rsidR="00C71188">
        <w:t xml:space="preserve"> et le </w:t>
      </w:r>
      <w:r w:rsidR="00C71188">
        <w:rPr>
          <w:i/>
        </w:rPr>
        <w:t>Parménide</w:t>
      </w:r>
      <w:r w:rsidR="00C71188">
        <w:t xml:space="preserve"> sur lesquels s’attarde son commentaire. Mais cette conception dialectique n’en est chez lui qu’ « à son début »</w:t>
      </w:r>
      <w:r w:rsidR="00C71188">
        <w:rPr>
          <w:rStyle w:val="Appelnotedebasdep"/>
        </w:rPr>
        <w:footnoteReference w:id="46"/>
      </w:r>
      <w:r w:rsidR="00C71188">
        <w:t xml:space="preserve"> et n’est « pas encore développée »</w:t>
      </w:r>
      <w:r w:rsidR="00C71188">
        <w:rPr>
          <w:rStyle w:val="Appelnotedebasdep"/>
        </w:rPr>
        <w:footnoteReference w:id="47"/>
      </w:r>
      <w:r w:rsidR="00C71188">
        <w:t> : l’unité des contraires, qui constitue l’idée en tant que déterminée et concrète, « n’est pas montrée dans sa genèse (</w:t>
      </w:r>
      <w:r w:rsidR="00C71188">
        <w:rPr>
          <w:i/>
        </w:rPr>
        <w:t>Entstehung</w:t>
      </w:r>
      <w:r w:rsidR="00C71188">
        <w:t>)</w:t>
      </w:r>
      <w:r w:rsidR="00DE1729">
        <w:t> », elle « n’apparaî[t] pas en tant que résultat, mais en tant que présupposition adoptée de façon immédiate »</w:t>
      </w:r>
      <w:r w:rsidR="00DE1729">
        <w:rPr>
          <w:rStyle w:val="Appelnotedebasdep"/>
        </w:rPr>
        <w:footnoteReference w:id="48"/>
      </w:r>
      <w:r w:rsidR="00DE1729">
        <w:t>. Tel est le défaut de Platon dans sa conception de l’idée, et sa théorie du philosophe-roi, que Hegel juge à présent sévèrement au titre de « représentation creuse », de l’ordre du « roman politique »</w:t>
      </w:r>
      <w:r w:rsidR="00DE1729">
        <w:rPr>
          <w:rStyle w:val="Appelnotedebasdep"/>
        </w:rPr>
        <w:footnoteReference w:id="49"/>
      </w:r>
      <w:r w:rsidR="00DE1729">
        <w:t xml:space="preserve">, en est directement tributaire : c’est en effet parce qu’il fait de l’idée quelque chose d’inerte, une simple </w:t>
      </w:r>
      <w:r w:rsidR="00DE1729">
        <w:rPr>
          <w:i/>
        </w:rPr>
        <w:t>dunamis</w:t>
      </w:r>
      <w:r w:rsidR="00DE1729">
        <w:t xml:space="preserve"> dépourvue de véritable activité qu’elle requiert alors, pour son application au réel, l’intervention d’un tiers qui, concentrant la double compétence du philosophe et du gouvernant, opère le rapprochement entre les deux et permet ainsi à l’idée d’agir sur le réel. Mais en réalité, </w:t>
      </w:r>
      <w:r w:rsidR="00DE1729">
        <w:lastRenderedPageBreak/>
        <w:t>professe à présent Hegel, l’idée, ressaisie en vérité, dans la plénitude de sa dialecticité</w:t>
      </w:r>
      <w:r w:rsidR="003D6F3E">
        <w:t xml:space="preserve">, n’en a guère besoin ; elle détient </w:t>
      </w:r>
      <w:r w:rsidR="003D6F3E">
        <w:rPr>
          <w:i/>
        </w:rPr>
        <w:t xml:space="preserve">en elle-même </w:t>
      </w:r>
      <w:r w:rsidR="003D6F3E">
        <w:t>le pouvoir de se réaliser, elle est « la puissance absolue qui s’engendre », qui « se réalise dans le monde », et qui le fait « de façon naturelle » (</w:t>
      </w:r>
      <w:r w:rsidR="003D6F3E">
        <w:rPr>
          <w:i/>
        </w:rPr>
        <w:t>auf natürliche Weise</w:t>
      </w:r>
      <w:r w:rsidR="003D6F3E">
        <w:t>), sans aucun mal, de sorte qu’ « il n’est pas nécessaire que les gouvernants possèdent l’idée », et qu’ils soient philosophes</w:t>
      </w:r>
      <w:r w:rsidR="003D6F3E">
        <w:rPr>
          <w:rStyle w:val="Appelnotedebasdep"/>
        </w:rPr>
        <w:footnoteReference w:id="50"/>
      </w:r>
      <w:r w:rsidR="001A7FA7">
        <w:t>. Or cette activité intrinsèque, autoréalisatrice de l’idée, c’est précisément ce qu’Aristote, allant plus loin que Platon, met en évidence sous l’appellation d’</w:t>
      </w:r>
      <w:r w:rsidR="001A7FA7">
        <w:rPr>
          <w:i/>
        </w:rPr>
        <w:t>energeia</w:t>
      </w:r>
      <w:r w:rsidR="001A7FA7">
        <w:t>. Qu’en est-il de l’</w:t>
      </w:r>
      <w:r w:rsidR="001A7FA7">
        <w:rPr>
          <w:i/>
        </w:rPr>
        <w:t xml:space="preserve">energeia </w:t>
      </w:r>
      <w:r w:rsidR="001A7FA7" w:rsidRPr="001A7FA7">
        <w:t>aristotélicienne ?</w:t>
      </w:r>
    </w:p>
    <w:p w:rsidR="005C04C3" w:rsidRDefault="00FC4975" w:rsidP="000C20BB">
      <w:pPr>
        <w:jc w:val="both"/>
        <w:rPr>
          <w:i/>
        </w:rPr>
      </w:pPr>
      <w:r>
        <w:t>Nous ne pouv</w:t>
      </w:r>
      <w:r w:rsidR="00F1304D">
        <w:t xml:space="preserve">ons être ici que fort concis par rapport aux amples développements que Hegel consacre à ce sujet dans ses </w:t>
      </w:r>
      <w:r w:rsidR="00F1304D">
        <w:rPr>
          <w:i/>
        </w:rPr>
        <w:t>Leçons sur l’histoire de la philosophie</w:t>
      </w:r>
      <w:r w:rsidR="00F1304D" w:rsidRPr="00F1304D">
        <w:rPr>
          <w:rStyle w:val="Appelnotedebasdep"/>
        </w:rPr>
        <w:footnoteReference w:id="51"/>
      </w:r>
      <w:r w:rsidR="00F1304D">
        <w:rPr>
          <w:i/>
        </w:rPr>
        <w:t xml:space="preserve">. </w:t>
      </w:r>
      <w:r w:rsidR="00F1304D" w:rsidRPr="00F1304D">
        <w:t>Commençons par observer</w:t>
      </w:r>
      <w:r w:rsidR="00F1304D">
        <w:t xml:space="preserve"> qu’il traduit </w:t>
      </w:r>
      <w:r w:rsidR="00F1304D">
        <w:rPr>
          <w:i/>
        </w:rPr>
        <w:t>energeia</w:t>
      </w:r>
      <w:r w:rsidR="00F1304D">
        <w:t xml:space="preserve"> par l’allemand </w:t>
      </w:r>
      <w:r w:rsidR="00F1304D">
        <w:rPr>
          <w:i/>
        </w:rPr>
        <w:t>Wirklichkeit</w:t>
      </w:r>
      <w:r w:rsidR="00F1304D">
        <w:t xml:space="preserve">, ce qui, en français, donne assez fidèlement </w:t>
      </w:r>
      <w:r w:rsidR="00F1304D">
        <w:rPr>
          <w:i/>
        </w:rPr>
        <w:t>effectivité</w:t>
      </w:r>
      <w:r w:rsidR="00F1304D" w:rsidRPr="00264DE5">
        <w:rPr>
          <w:rStyle w:val="Appelnotedebasdep"/>
        </w:rPr>
        <w:footnoteReference w:id="52"/>
      </w:r>
      <w:r w:rsidR="00264DE5">
        <w:rPr>
          <w:i/>
        </w:rPr>
        <w:t>.</w:t>
      </w:r>
      <w:r w:rsidR="00264DE5">
        <w:t xml:space="preserve"> L’</w:t>
      </w:r>
      <w:r w:rsidR="00264DE5">
        <w:rPr>
          <w:i/>
        </w:rPr>
        <w:t xml:space="preserve">energeia, </w:t>
      </w:r>
      <w:r w:rsidR="00264DE5" w:rsidRPr="00264DE5">
        <w:t>explique-t-il, est</w:t>
      </w:r>
      <w:r w:rsidR="00264DE5">
        <w:t xml:space="preserve"> essentiellement </w:t>
      </w:r>
      <w:r w:rsidR="00264DE5">
        <w:rPr>
          <w:i/>
        </w:rPr>
        <w:t>activité,</w:t>
      </w:r>
      <w:r w:rsidR="00264DE5">
        <w:t xml:space="preserve"> elle consiste plus précisément dans </w:t>
      </w:r>
      <w:r w:rsidR="00264DE5">
        <w:rPr>
          <w:i/>
        </w:rPr>
        <w:t xml:space="preserve">l’acte de s’effectuer </w:t>
      </w:r>
      <w:r w:rsidR="00264DE5">
        <w:t xml:space="preserve">(ou de se réaliser) en prenant </w:t>
      </w:r>
      <w:r w:rsidR="00264DE5">
        <w:rPr>
          <w:i/>
        </w:rPr>
        <w:t>forme</w:t>
      </w:r>
      <w:r w:rsidR="00264DE5">
        <w:rPr>
          <w:rStyle w:val="Appelnotedebasdep"/>
          <w:i/>
        </w:rPr>
        <w:footnoteReference w:id="53"/>
      </w:r>
      <w:r w:rsidR="00264DE5">
        <w:rPr>
          <w:i/>
        </w:rPr>
        <w:t xml:space="preserve"> </w:t>
      </w:r>
      <w:r w:rsidR="00264DE5">
        <w:t>et constitue comme telle l’</w:t>
      </w:r>
      <w:r w:rsidR="00264DE5">
        <w:rPr>
          <w:i/>
        </w:rPr>
        <w:t xml:space="preserve">essence </w:t>
      </w:r>
      <w:r w:rsidR="00264DE5">
        <w:t xml:space="preserve"> ou la </w:t>
      </w:r>
      <w:r w:rsidR="00264DE5">
        <w:rPr>
          <w:i/>
        </w:rPr>
        <w:t xml:space="preserve">dunamis </w:t>
      </w:r>
      <w:r w:rsidR="00264DE5">
        <w:t xml:space="preserve"> de la substance absolue qu’est l’idée. L’effectivité – on y reviendra – est l’une des catégories clés de la logique hégélienne. Ramenée au strict essentiel, elle consiste dans un </w:t>
      </w:r>
      <w:r w:rsidR="00264DE5">
        <w:rPr>
          <w:i/>
        </w:rPr>
        <w:t xml:space="preserve">mouvement </w:t>
      </w:r>
      <w:r w:rsidR="00264DE5">
        <w:t xml:space="preserve">double : d’abord, celui, </w:t>
      </w:r>
      <w:r w:rsidR="00264DE5">
        <w:rPr>
          <w:i/>
        </w:rPr>
        <w:t>négatif</w:t>
      </w:r>
      <w:r w:rsidR="00264DE5">
        <w:t>, de s’extérioriser, c’est-à-dire de se scinder</w:t>
      </w:r>
      <w:r w:rsidR="002E110D">
        <w:t xml:space="preserve"> et de</w:t>
      </w:r>
      <w:r w:rsidR="00552098">
        <w:t xml:space="preserve"> se</w:t>
      </w:r>
      <w:r w:rsidR="002E110D">
        <w:t xml:space="preserve"> faire autre – de changer -, cette « négativité » de la séparation de soi étant, selon la lecture de Hegel, déjà présente dans l’</w:t>
      </w:r>
      <w:r w:rsidR="002E110D">
        <w:rPr>
          <w:i/>
        </w:rPr>
        <w:t xml:space="preserve">energeia </w:t>
      </w:r>
      <w:r w:rsidR="002E110D">
        <w:t>aristotélicienne</w:t>
      </w:r>
      <w:r w:rsidR="002E110D">
        <w:rPr>
          <w:rStyle w:val="Appelnotedebasdep"/>
        </w:rPr>
        <w:footnoteReference w:id="54"/>
      </w:r>
      <w:r w:rsidR="002E110D">
        <w:t xml:space="preserve">, mais ceci de telle manière que cette négativité, loin de se solder par une suppression pure et simple, comme dans le cas du </w:t>
      </w:r>
      <w:r w:rsidR="002E110D" w:rsidRPr="005444FA">
        <w:rPr>
          <w:i/>
        </w:rPr>
        <w:t>devenir</w:t>
      </w:r>
      <w:r w:rsidR="002E110D">
        <w:t xml:space="preserve"> d’Héraclite</w:t>
      </w:r>
      <w:r>
        <w:t xml:space="preserve"> où tout ne fait que passer et disparaître</w:t>
      </w:r>
      <w:r w:rsidR="002E110D">
        <w:t>, constitue au contraire l’authentique affirmation de l’idée, son affirmation médiatisée par sa négativité. De fait, pour autant que l’extériorisation de soi en quoi consiste l’</w:t>
      </w:r>
      <w:r w:rsidR="002E110D">
        <w:rPr>
          <w:i/>
        </w:rPr>
        <w:t>energeia</w:t>
      </w:r>
      <w:r w:rsidR="002E110D">
        <w:t xml:space="preserve"> constitue, comme on l’a noté, son essence ou sa </w:t>
      </w:r>
      <w:r w:rsidR="002E110D">
        <w:rPr>
          <w:i/>
        </w:rPr>
        <w:t xml:space="preserve">dunamis </w:t>
      </w:r>
      <w:r w:rsidR="002E110D">
        <w:t xml:space="preserve">–et Hegel insiste </w:t>
      </w:r>
      <w:r w:rsidR="00BE09E9">
        <w:t xml:space="preserve">fortement </w:t>
      </w:r>
      <w:r w:rsidR="002E110D">
        <w:t>sur ce point</w:t>
      </w:r>
      <w:r w:rsidR="002E110D">
        <w:rPr>
          <w:rStyle w:val="Appelnotedebasdep"/>
        </w:rPr>
        <w:footnoteReference w:id="55"/>
      </w:r>
      <w:r w:rsidR="00BE09E9">
        <w:t xml:space="preserve"> -, l’idée n’y disparaît pas, elle s’y </w:t>
      </w:r>
      <w:r w:rsidR="00BE09E9">
        <w:rPr>
          <w:i/>
        </w:rPr>
        <w:t>maintient</w:t>
      </w:r>
      <w:r w:rsidR="00BE09E9">
        <w:t xml:space="preserve"> en y faisant retour à soi, c’est-à-dire en s’y </w:t>
      </w:r>
      <w:r w:rsidR="00BE09E9">
        <w:rPr>
          <w:i/>
        </w:rPr>
        <w:t>réfléchissant en elle-même</w:t>
      </w:r>
      <w:r w:rsidR="00F3435C">
        <w:t>. I</w:t>
      </w:r>
      <w:r w:rsidR="00BE09E9">
        <w:t>l s’agit</w:t>
      </w:r>
      <w:r w:rsidR="00F3435C">
        <w:t xml:space="preserve"> en effet</w:t>
      </w:r>
      <w:r w:rsidR="00BE09E9">
        <w:t xml:space="preserve"> ici de l’acte </w:t>
      </w:r>
      <w:r w:rsidR="00BE09E9">
        <w:rPr>
          <w:i/>
        </w:rPr>
        <w:t>de l’idée</w:t>
      </w:r>
      <w:r w:rsidR="00BE09E9">
        <w:t xml:space="preserve"> qui ne peut</w:t>
      </w:r>
      <w:r w:rsidR="008B468F">
        <w:t xml:space="preserve"> être</w:t>
      </w:r>
      <w:r>
        <w:t>, comme</w:t>
      </w:r>
      <w:r w:rsidR="00BE09E9">
        <w:t xml:space="preserve"> tel, que de nature réflexive, soit </w:t>
      </w:r>
      <w:r w:rsidR="00BE09E9">
        <w:lastRenderedPageBreak/>
        <w:t xml:space="preserve">encore cet acte par lequel, pour ainsi dire, l’idée est </w:t>
      </w:r>
      <w:r w:rsidR="00BE09E9">
        <w:rPr>
          <w:i/>
        </w:rPr>
        <w:t>à dessein de soi</w:t>
      </w:r>
      <w:r w:rsidR="00BE09E9">
        <w:t>, « en soi fin (</w:t>
      </w:r>
      <w:r w:rsidR="00BE09E9">
        <w:rPr>
          <w:i/>
        </w:rPr>
        <w:t>Zweck</w:t>
      </w:r>
      <w:r w:rsidR="00BE09E9">
        <w:t>) et réalisation de la fin »</w:t>
      </w:r>
      <w:r w:rsidR="00BE09E9">
        <w:rPr>
          <w:rStyle w:val="Appelnotedebasdep"/>
        </w:rPr>
        <w:footnoteReference w:id="56"/>
      </w:r>
      <w:r w:rsidR="008B468F">
        <w:t>, à quoi Aristote confère le nom d’</w:t>
      </w:r>
      <w:r w:rsidR="008B468F">
        <w:rPr>
          <w:i/>
        </w:rPr>
        <w:t>entelecheia</w:t>
      </w:r>
      <w:r w:rsidR="005444FA">
        <w:t xml:space="preserve"> dont Hegel observ</w:t>
      </w:r>
      <w:r w:rsidR="008B468F">
        <w:t>e qu’il s’agit d’une détermination plus précise de l’</w:t>
      </w:r>
      <w:r w:rsidR="008B468F">
        <w:rPr>
          <w:i/>
        </w:rPr>
        <w:t>energeia</w:t>
      </w:r>
      <w:r w:rsidR="00552098">
        <w:rPr>
          <w:rStyle w:val="Appelnotedebasdep"/>
          <w:i/>
        </w:rPr>
        <w:footnoteReference w:id="57"/>
      </w:r>
      <w:r w:rsidR="008B468F">
        <w:t>.</w:t>
      </w:r>
      <w:r w:rsidR="00552098">
        <w:t xml:space="preserve"> Cet acte réflexif</w:t>
      </w:r>
      <w:r w:rsidR="0068725F">
        <w:t>, enfin, dans lequel l’idée est ainsi tout entière tendue vers elle-même, au plus profond d</w:t>
      </w:r>
      <w:r w:rsidR="00E84C29">
        <w:t>e soi</w:t>
      </w:r>
      <w:r w:rsidR="0068725F">
        <w:t xml:space="preserve"> </w:t>
      </w:r>
      <w:r w:rsidR="0068725F" w:rsidRPr="00E84C29">
        <w:rPr>
          <w:i/>
        </w:rPr>
        <w:t>désir</w:t>
      </w:r>
      <w:r w:rsidR="0068725F">
        <w:t xml:space="preserve"> de soi qui la meut vers elle-même comme vers sa propre fin, c’est, poursuit Hegel, ce qu’Aristote a posé au sommet de sa métaphysique en concevant la substance absolue comme « </w:t>
      </w:r>
      <w:r w:rsidR="0068725F">
        <w:rPr>
          <w:i/>
        </w:rPr>
        <w:t>penser du penser</w:t>
      </w:r>
      <w:r w:rsidR="0068725F">
        <w:t> », c’est-à-dire comme « </w:t>
      </w:r>
      <w:r w:rsidR="0068725F">
        <w:rPr>
          <w:i/>
        </w:rPr>
        <w:t>theôria</w:t>
      </w:r>
      <w:r w:rsidR="0068725F">
        <w:t> »</w:t>
      </w:r>
      <w:r w:rsidR="00E84C29">
        <w:t xml:space="preserve">, ce qu’il traduit par « spéculation », faisant du coup de l’acte de philosopher le partage par excellence du divin et par conséquent, selon les mots de </w:t>
      </w:r>
      <w:r w:rsidR="00E84C29">
        <w:rPr>
          <w:i/>
        </w:rPr>
        <w:t>Métaphysique</w:t>
      </w:r>
      <w:r w:rsidR="00E84C29">
        <w:t xml:space="preserve"> lambda 7, « ce qu’il y a de plus réjouissant […] et de meilleur »</w:t>
      </w:r>
      <w:r w:rsidR="00E84C29">
        <w:rPr>
          <w:rStyle w:val="Appelnotedebasdep"/>
        </w:rPr>
        <w:footnoteReference w:id="58"/>
      </w:r>
      <w:r w:rsidR="009D1438">
        <w:t xml:space="preserve">. </w:t>
      </w:r>
      <w:r w:rsidR="00750C79">
        <w:t>Mais, prévient Hegel, il s’agit alors de concevoir cette activité spéculativ</w:t>
      </w:r>
      <w:r w:rsidR="005444FA">
        <w:t>e correctement, en se gardant d’y voir</w:t>
      </w:r>
      <w:r w:rsidR="00750C79">
        <w:t xml:space="preserve"> un rapport simplement passif de l’ordre de la pure contemplation objective qui se borne à recevoir, en une simple « </w:t>
      </w:r>
      <w:r w:rsidR="00750C79">
        <w:rPr>
          <w:i/>
        </w:rPr>
        <w:t>metalêpsis</w:t>
      </w:r>
      <w:r w:rsidR="00750C79">
        <w:t xml:space="preserve"> », ce qu’elle perçoit ; il s’agit d’un rapport essentiellement </w:t>
      </w:r>
      <w:r w:rsidR="00750C79">
        <w:rPr>
          <w:i/>
        </w:rPr>
        <w:t xml:space="preserve">actif et vivant </w:t>
      </w:r>
      <w:r w:rsidR="00750C79">
        <w:t>dans lequel c’est l’</w:t>
      </w:r>
      <w:r w:rsidR="00750C79">
        <w:rPr>
          <w:i/>
        </w:rPr>
        <w:t xml:space="preserve">énergie </w:t>
      </w:r>
      <w:r w:rsidR="00750C79">
        <w:t>de la pensée qui est à la manœuvre, formant la source et la mesure de sa propre passivité, de sorte que, écrit Hegel, « l’objet se renverse (</w:t>
      </w:r>
      <w:r w:rsidR="00750C79">
        <w:rPr>
          <w:i/>
        </w:rPr>
        <w:t>schlägt um</w:t>
      </w:r>
      <w:r w:rsidR="00750C79">
        <w:t>) en activité, en énergie »</w:t>
      </w:r>
      <w:r w:rsidR="00750C79">
        <w:rPr>
          <w:rStyle w:val="Appelnotedebasdep"/>
        </w:rPr>
        <w:footnoteReference w:id="59"/>
      </w:r>
      <w:r w:rsidR="00750C79">
        <w:t>.</w:t>
      </w:r>
      <w:r w:rsidR="004F7CC2">
        <w:t xml:space="preserve"> Autrement dit, c’est la pensée en son caractère foncièrement actif et énergique qui, d’elle-même, se pose et s’oppose l’objectivité pour s’y faire son propre objet et se produire ainsi comme </w:t>
      </w:r>
      <w:r w:rsidR="004F7CC2">
        <w:rPr>
          <w:i/>
        </w:rPr>
        <w:t xml:space="preserve">cause </w:t>
      </w:r>
      <w:r w:rsidR="004F7CC2">
        <w:t>d’elle-même.</w:t>
      </w:r>
      <w:r w:rsidR="004D0EBD">
        <w:t xml:space="preserve"> C’est en effet en tant qu’elle se produit comme « cause » (</w:t>
      </w:r>
      <w:r w:rsidR="004D0EBD">
        <w:rPr>
          <w:i/>
        </w:rPr>
        <w:t>aition</w:t>
      </w:r>
      <w:r w:rsidR="004D0EBD">
        <w:t xml:space="preserve">, </w:t>
      </w:r>
      <w:r w:rsidR="004D0EBD">
        <w:rPr>
          <w:i/>
        </w:rPr>
        <w:t>Ursache</w:t>
      </w:r>
      <w:r w:rsidR="004D0EBD">
        <w:t xml:space="preserve">) – en l’occurrence comme </w:t>
      </w:r>
      <w:r w:rsidR="004D0EBD">
        <w:rPr>
          <w:i/>
        </w:rPr>
        <w:t>cause première</w:t>
      </w:r>
      <w:r w:rsidR="004D0EBD">
        <w:t xml:space="preserve">, principe et fin de tout être </w:t>
      </w:r>
      <w:r w:rsidR="00892F6B">
        <w:t>–</w:t>
      </w:r>
      <w:r w:rsidR="004D0EBD">
        <w:t xml:space="preserve"> </w:t>
      </w:r>
      <w:r w:rsidR="00892F6B">
        <w:t>que l’idée aristotélicienne atteste au mieux son « efficience » (</w:t>
      </w:r>
      <w:r w:rsidR="00892F6B">
        <w:rPr>
          <w:i/>
        </w:rPr>
        <w:t>Wirksamkeit</w:t>
      </w:r>
      <w:r w:rsidR="00F3435C">
        <w:t>) intrinsèque : elle s’y présente</w:t>
      </w:r>
      <w:r w:rsidR="00751EAC">
        <w:t xml:space="preserve"> comme ce qui, dans son rapport</w:t>
      </w:r>
      <w:r w:rsidR="00892F6B">
        <w:t xml:space="preserve"> à soi essentie</w:t>
      </w:r>
      <w:r w:rsidR="00751EAC">
        <w:t>l</w:t>
      </w:r>
      <w:r w:rsidR="00FA7D25">
        <w:t>, génère l’univers</w:t>
      </w:r>
      <w:r w:rsidR="00892F6B">
        <w:t xml:space="preserve"> entier pour s’y extérioriser et s’y rendre visible. P</w:t>
      </w:r>
      <w:r w:rsidR="00751EAC">
        <w:t xml:space="preserve">assant dans sa lecture d’Aristote de la </w:t>
      </w:r>
      <w:r w:rsidR="00751EAC">
        <w:rPr>
          <w:i/>
        </w:rPr>
        <w:t xml:space="preserve">Métaphysique </w:t>
      </w:r>
      <w:r w:rsidR="00751EAC">
        <w:t xml:space="preserve">à la </w:t>
      </w:r>
      <w:r w:rsidR="00751EAC">
        <w:rPr>
          <w:i/>
        </w:rPr>
        <w:t>Physique</w:t>
      </w:r>
      <w:r w:rsidR="00751EAC">
        <w:t>, Hegel écrit : « Aristote passe à présent […] au Dieu visible, au ciel. Dieu, en tant que Dieu vivant, est l’univers ; dans l’univers Dieu éclate (</w:t>
      </w:r>
      <w:r w:rsidR="00751EAC">
        <w:rPr>
          <w:i/>
        </w:rPr>
        <w:t xml:space="preserve">bricht aus) </w:t>
      </w:r>
      <w:r w:rsidR="00751EAC">
        <w:t>comme Dieu vivant »</w:t>
      </w:r>
      <w:r w:rsidR="00751EAC">
        <w:rPr>
          <w:rStyle w:val="Appelnotedebasdep"/>
        </w:rPr>
        <w:footnoteReference w:id="60"/>
      </w:r>
      <w:r w:rsidR="002155FA">
        <w:t>. Prenons la mesure de cette</w:t>
      </w:r>
      <w:r w:rsidR="005444FA">
        <w:t xml:space="preserve"> dernière</w:t>
      </w:r>
      <w:r w:rsidR="002155FA">
        <w:t xml:space="preserve"> formulation dont on p</w:t>
      </w:r>
      <w:r w:rsidR="007D1280">
        <w:t>ourra évidemment questionn</w:t>
      </w:r>
      <w:r>
        <w:t>er</w:t>
      </w:r>
      <w:r w:rsidR="002155FA">
        <w:t xml:space="preserve"> la stricte fidélité à Aristote ; elle entend dire que, comme cause du monde, le divin </w:t>
      </w:r>
      <w:r w:rsidR="002155FA">
        <w:rPr>
          <w:i/>
        </w:rPr>
        <w:t>sort de soi</w:t>
      </w:r>
      <w:r w:rsidR="002155FA">
        <w:t xml:space="preserve">, qu’il </w:t>
      </w:r>
      <w:r w:rsidR="002155FA">
        <w:rPr>
          <w:i/>
        </w:rPr>
        <w:t>se brise</w:t>
      </w:r>
      <w:r w:rsidR="002155FA">
        <w:t xml:space="preserve"> et vole littéralement en éclats, pour, dans cette fragmentation</w:t>
      </w:r>
      <w:r w:rsidR="00FB001C">
        <w:t xml:space="preserve"> de soi</w:t>
      </w:r>
      <w:r w:rsidR="002155FA">
        <w:t>,</w:t>
      </w:r>
      <w:r w:rsidR="005444FA">
        <w:t xml:space="preserve"> se rendre visible et, ainsi,</w:t>
      </w:r>
      <w:r w:rsidR="002155FA">
        <w:t xml:space="preserve"> </w:t>
      </w:r>
      <w:r w:rsidR="002155FA">
        <w:rPr>
          <w:i/>
        </w:rPr>
        <w:t>se manifester.</w:t>
      </w:r>
    </w:p>
    <w:p w:rsidR="004C3E7E" w:rsidRDefault="004C3E7E" w:rsidP="000C20BB">
      <w:pPr>
        <w:jc w:val="both"/>
      </w:pPr>
      <w:r>
        <w:t xml:space="preserve">Nous arrêterons là notre examen des pages que les </w:t>
      </w:r>
      <w:r>
        <w:rPr>
          <w:i/>
        </w:rPr>
        <w:t xml:space="preserve">Leçons sur l’histoire de la philosophie </w:t>
      </w:r>
      <w:r>
        <w:t>consacrent à Aristote.</w:t>
      </w:r>
      <w:r w:rsidR="00D37010">
        <w:t xml:space="preserve"> Bien que fort condensé, nous pensons qu’il est toutefois suffisant pour constater que ce que Hegel découvre avec émerveillement dans la pensée du Stagirite lorsque, vers la fin de son séjour à Iéna, il se jette avec zèle dans l’étude de ses écrits, c’est cela même qu’il va placer au fondement de son propre système tel que les grands textes de la maturité vont le développer : le principe d’un absolu – l’Idée, la pensée – qui, en tant que </w:t>
      </w:r>
      <w:r w:rsidR="00D37010">
        <w:rPr>
          <w:i/>
        </w:rPr>
        <w:t>sujet</w:t>
      </w:r>
      <w:r w:rsidR="00D37010">
        <w:t xml:space="preserve">, est foncièrement </w:t>
      </w:r>
      <w:r w:rsidR="00D37010">
        <w:rPr>
          <w:i/>
        </w:rPr>
        <w:t>actif</w:t>
      </w:r>
      <w:r w:rsidR="00D37010">
        <w:t xml:space="preserve">, mouvement ou mieux acte de se rendre </w:t>
      </w:r>
      <w:r w:rsidR="00D37010">
        <w:rPr>
          <w:i/>
        </w:rPr>
        <w:t>effectif</w:t>
      </w:r>
      <w:r w:rsidR="00D37010">
        <w:t xml:space="preserve">, c’est-à-dire </w:t>
      </w:r>
      <w:r w:rsidR="00D37010">
        <w:rPr>
          <w:i/>
        </w:rPr>
        <w:t>de s’extérioriser et de se manifester en se différenciant de soi</w:t>
      </w:r>
      <w:r w:rsidR="00D37010">
        <w:t xml:space="preserve"> pour être, dans le </w:t>
      </w:r>
      <w:r w:rsidR="00D37010">
        <w:rPr>
          <w:i/>
        </w:rPr>
        <w:t xml:space="preserve">négatif </w:t>
      </w:r>
      <w:r w:rsidR="00D37010">
        <w:t>de cette différenciation seulement, réellement auprès de soi,</w:t>
      </w:r>
      <w:r w:rsidR="00D37010" w:rsidRPr="005A4772">
        <w:rPr>
          <w:i/>
        </w:rPr>
        <w:t xml:space="preserve"> réflexion</w:t>
      </w:r>
      <w:r w:rsidR="00D37010">
        <w:t xml:space="preserve"> de soi en soi-même et, à terme, spéculation.</w:t>
      </w:r>
      <w:r w:rsidR="00FE34B1">
        <w:t xml:space="preserve"> Aussi bien l’</w:t>
      </w:r>
      <w:r w:rsidR="00FE34B1">
        <w:rPr>
          <w:i/>
        </w:rPr>
        <w:t>effectivité</w:t>
      </w:r>
      <w:r w:rsidR="00FE34B1">
        <w:t xml:space="preserve">, telle que Hegel </w:t>
      </w:r>
      <w:r w:rsidR="00FA7D25">
        <w:t>en trouve l’expression initial</w:t>
      </w:r>
      <w:r w:rsidR="00FE34B1">
        <w:t>e dans l’</w:t>
      </w:r>
      <w:r w:rsidR="00FE34B1">
        <w:rPr>
          <w:i/>
        </w:rPr>
        <w:t xml:space="preserve">energeia </w:t>
      </w:r>
      <w:r w:rsidR="00FE34B1">
        <w:t>aristotélicienne, va-t-elle former, comme on l’a noté, un des concepts clés de sa pensée.</w:t>
      </w:r>
      <w:r w:rsidR="00D40034">
        <w:t xml:space="preserve"> Elle intervien</w:t>
      </w:r>
      <w:r w:rsidR="00664F41">
        <w:t>t en un endroit stratégique de l</w:t>
      </w:r>
      <w:r w:rsidR="00D40034">
        <w:t xml:space="preserve">a </w:t>
      </w:r>
      <w:r w:rsidR="00D40034">
        <w:rPr>
          <w:i/>
        </w:rPr>
        <w:t>Science de la logique</w:t>
      </w:r>
      <w:r w:rsidR="00D40034">
        <w:t xml:space="preserve">, à la charnière de ses deux grandes divisions que sont la </w:t>
      </w:r>
      <w:r w:rsidR="00D40034">
        <w:rPr>
          <w:i/>
        </w:rPr>
        <w:t xml:space="preserve">logique objective </w:t>
      </w:r>
      <w:r w:rsidR="00D40034">
        <w:t xml:space="preserve">et la </w:t>
      </w:r>
      <w:r w:rsidR="00D40034">
        <w:rPr>
          <w:i/>
        </w:rPr>
        <w:t>logique subjective</w:t>
      </w:r>
      <w:r w:rsidR="001406E8">
        <w:t>, là où, après s’être développé dans la forme traditionnelle de l’</w:t>
      </w:r>
      <w:r w:rsidR="001406E8">
        <w:rPr>
          <w:i/>
        </w:rPr>
        <w:t>être</w:t>
      </w:r>
      <w:r w:rsidR="001406E8">
        <w:t xml:space="preserve"> au sein de la logique objective – laquelle, précise Hegel, consiste dans la reprise critique de « l’ancienne </w:t>
      </w:r>
      <w:r w:rsidR="001406E8" w:rsidRPr="00FA7D25">
        <w:rPr>
          <w:i/>
        </w:rPr>
        <w:t>métaphysique</w:t>
      </w:r>
      <w:r w:rsidR="001406E8">
        <w:t> »</w:t>
      </w:r>
      <w:r w:rsidR="001406E8">
        <w:rPr>
          <w:rStyle w:val="Appelnotedebasdep"/>
        </w:rPr>
        <w:footnoteReference w:id="61"/>
      </w:r>
      <w:r w:rsidR="001406E8">
        <w:t xml:space="preserve"> -, le </w:t>
      </w:r>
      <w:r w:rsidR="001406E8">
        <w:rPr>
          <w:i/>
        </w:rPr>
        <w:t>concept</w:t>
      </w:r>
      <w:r w:rsidR="001406E8">
        <w:t>, qui forme le « principe » et l’ « </w:t>
      </w:r>
      <w:r w:rsidR="001406E8" w:rsidRPr="00FA7D25">
        <w:rPr>
          <w:i/>
        </w:rPr>
        <w:t>élément</w:t>
      </w:r>
      <w:r w:rsidR="001406E8">
        <w:t> » de la logique tout entière</w:t>
      </w:r>
      <w:r w:rsidR="001406E8">
        <w:rPr>
          <w:rStyle w:val="Appelnotedebasdep"/>
        </w:rPr>
        <w:footnoteReference w:id="62"/>
      </w:r>
      <w:r w:rsidR="001406E8">
        <w:t xml:space="preserve">, en arrive à se </w:t>
      </w:r>
      <w:r w:rsidR="001406E8">
        <w:lastRenderedPageBreak/>
        <w:t>poser, à même la logique subjective, dans sa forme appropriée, comme « concept en tant que tel »</w:t>
      </w:r>
      <w:r w:rsidR="001406E8">
        <w:rPr>
          <w:rStyle w:val="Appelnotedebasdep"/>
        </w:rPr>
        <w:footnoteReference w:id="63"/>
      </w:r>
      <w:r w:rsidR="00E64511">
        <w:t xml:space="preserve"> ; </w:t>
      </w:r>
      <w:r w:rsidR="00E22486">
        <w:t xml:space="preserve">il s’y développe jusqu’à se faire </w:t>
      </w:r>
      <w:r w:rsidR="00E22486">
        <w:rPr>
          <w:i/>
        </w:rPr>
        <w:t>Idée absolue</w:t>
      </w:r>
      <w:r w:rsidR="00E22486">
        <w:t xml:space="preserve">, terme et sommet de toute la logique, pour, à partir de là, emprunter la voie de sa </w:t>
      </w:r>
      <w:r w:rsidR="00E22486">
        <w:rPr>
          <w:i/>
        </w:rPr>
        <w:t xml:space="preserve">pleine </w:t>
      </w:r>
      <w:r w:rsidR="00664F41">
        <w:rPr>
          <w:i/>
        </w:rPr>
        <w:t xml:space="preserve">et totale </w:t>
      </w:r>
      <w:r w:rsidR="00E22486">
        <w:rPr>
          <w:i/>
        </w:rPr>
        <w:t xml:space="preserve">effectuation </w:t>
      </w:r>
      <w:r w:rsidR="00E22486">
        <w:t xml:space="preserve">en s’abandonnant </w:t>
      </w:r>
      <w:r w:rsidR="00E22486">
        <w:rPr>
          <w:i/>
        </w:rPr>
        <w:t xml:space="preserve">librement </w:t>
      </w:r>
      <w:r w:rsidR="00E22486">
        <w:t>à l’ordre adverse du réel, nature et esprit. Et ce n’est qu’au terme de ce périple, qui embrasse la totalité de ce qui est,</w:t>
      </w:r>
      <w:r w:rsidR="00664F41">
        <w:t xml:space="preserve"> que l’effectivité de l’Idée se trouve</w:t>
      </w:r>
      <w:r w:rsidR="00E22486">
        <w:t xml:space="preserve"> pleinement accomplie : là où s’étant engendrée comme </w:t>
      </w:r>
      <w:r w:rsidR="00E22486">
        <w:rPr>
          <w:i/>
        </w:rPr>
        <w:t>esprit</w:t>
      </w:r>
      <w:r w:rsidR="00E22486">
        <w:t>, elle constitue ce qui « seul […] est l’</w:t>
      </w:r>
      <w:r w:rsidR="00E22486">
        <w:rPr>
          <w:i/>
        </w:rPr>
        <w:t>effectif</w:t>
      </w:r>
      <w:r w:rsidR="00E22486">
        <w:t> »</w:t>
      </w:r>
      <w:r w:rsidR="00E22486">
        <w:rPr>
          <w:rStyle w:val="Appelnotedebasdep"/>
        </w:rPr>
        <w:footnoteReference w:id="64"/>
      </w:r>
      <w:r w:rsidR="00664F41">
        <w:t>.</w:t>
      </w:r>
    </w:p>
    <w:p w:rsidR="00063238" w:rsidRPr="00F35346" w:rsidRDefault="00774BA0" w:rsidP="000C20BB">
      <w:pPr>
        <w:jc w:val="both"/>
      </w:pPr>
      <w:r>
        <w:t>Ramassons, pour conclure,</w:t>
      </w:r>
      <w:r w:rsidR="00E650F2">
        <w:t xml:space="preserve"> les résultats de notre enquête : que nous a appris l’examen du revirement d’appréciation intervenu dans le jugement de Hegel à propos de Platon et Aristote ? Tout d’abord, comme nous l’avons suffisamment noté, Il ne s’agit en aucune façon d’une simple modification locale qui ne concernerait qu’un point particulier de sa pensée, mais bien du symptôme d’une transformation </w:t>
      </w:r>
      <w:r w:rsidR="00E650F2">
        <w:rPr>
          <w:i/>
        </w:rPr>
        <w:t xml:space="preserve">globale </w:t>
      </w:r>
      <w:r w:rsidR="00E650F2">
        <w:t xml:space="preserve">du </w:t>
      </w:r>
      <w:r w:rsidR="00E650F2" w:rsidRPr="00E650F2">
        <w:rPr>
          <w:i/>
        </w:rPr>
        <w:t>système</w:t>
      </w:r>
      <w:r w:rsidR="00E650F2">
        <w:t xml:space="preserve"> tel qu’il en a entrepris l’élaboration depuis son arrivée à Iéna en janvier 1801. Cette transformation, c’est, en résumé, celle qui le conduit</w:t>
      </w:r>
      <w:r w:rsidR="00F8691F">
        <w:t xml:space="preserve"> </w:t>
      </w:r>
      <w:r w:rsidR="00E650F2">
        <w:t xml:space="preserve">de la conception somme toute traditionnelle d’un absolu </w:t>
      </w:r>
      <w:r w:rsidR="00E650F2">
        <w:rPr>
          <w:i/>
        </w:rPr>
        <w:t>subs</w:t>
      </w:r>
      <w:r w:rsidR="0033321B">
        <w:rPr>
          <w:i/>
        </w:rPr>
        <w:t>tantiel</w:t>
      </w:r>
      <w:r w:rsidR="0033321B">
        <w:t xml:space="preserve">, essentiellement neutre et indifférent qu’il développe en </w:t>
      </w:r>
      <w:r w:rsidR="00350C93">
        <w:t xml:space="preserve">étroite </w:t>
      </w:r>
      <w:r w:rsidR="0033321B">
        <w:t>collaboration avec Schelling</w:t>
      </w:r>
      <w:r w:rsidR="00350C93">
        <w:t xml:space="preserve"> durant les premières années du séjour à Iéna</w:t>
      </w:r>
      <w:r w:rsidR="0033321B">
        <w:t xml:space="preserve">, à celle d’un absolu </w:t>
      </w:r>
      <w:r w:rsidR="0033321B">
        <w:rPr>
          <w:i/>
        </w:rPr>
        <w:t>sujet</w:t>
      </w:r>
      <w:r w:rsidR="0033321B">
        <w:t>, foncièrement mobile, qui n’</w:t>
      </w:r>
      <w:r w:rsidR="0033321B">
        <w:rPr>
          <w:i/>
        </w:rPr>
        <w:t xml:space="preserve">est </w:t>
      </w:r>
      <w:r w:rsidR="0033321B">
        <w:t xml:space="preserve">rien d’autre que l’acte réflexif de sa propre effectuation. Reste toutefois, à travers </w:t>
      </w:r>
      <w:r w:rsidR="00D6709C">
        <w:t xml:space="preserve">cette transformation </w:t>
      </w:r>
      <w:r w:rsidR="0033321B">
        <w:t xml:space="preserve">décisive, le </w:t>
      </w:r>
      <w:r w:rsidR="0033321B" w:rsidRPr="00413F78">
        <w:rPr>
          <w:i/>
        </w:rPr>
        <w:t>maintien</w:t>
      </w:r>
      <w:r w:rsidR="0033321B">
        <w:t xml:space="preserve"> d’une pe</w:t>
      </w:r>
      <w:r w:rsidR="00350C93">
        <w:t xml:space="preserve">rspective qui poursuit </w:t>
      </w:r>
      <w:r w:rsidR="0033321B">
        <w:t>la démarche hégélienne depuis ses p</w:t>
      </w:r>
      <w:r w:rsidR="006A34CE">
        <w:t>remiers pas : celle qui le pousse à</w:t>
      </w:r>
      <w:r w:rsidR="0033321B">
        <w:t xml:space="preserve"> constituer une pensée </w:t>
      </w:r>
      <w:r w:rsidR="0033321B">
        <w:rPr>
          <w:i/>
        </w:rPr>
        <w:t>concrète</w:t>
      </w:r>
      <w:r w:rsidR="0033321B">
        <w:t xml:space="preserve"> qui, loin de demeurer abstraitement confinée en elle-même, soit à même d’intervenir </w:t>
      </w:r>
      <w:r w:rsidR="0033321B" w:rsidRPr="00F8691F">
        <w:rPr>
          <w:i/>
        </w:rPr>
        <w:t>efficacement</w:t>
      </w:r>
      <w:r w:rsidR="0033321B">
        <w:t xml:space="preserve"> dans le réel, en pa</w:t>
      </w:r>
      <w:r w:rsidR="002D0663">
        <w:t>rticulier dans la réalité spiritu</w:t>
      </w:r>
      <w:r w:rsidR="0033321B">
        <w:t>elle et historique de l’homme.</w:t>
      </w:r>
      <w:r w:rsidR="00F8691F">
        <w:t xml:space="preserve"> Comme on l’a vu, pareille perspective devient l’objet d’un souci par</w:t>
      </w:r>
      <w:r w:rsidR="00350C93">
        <w:t xml:space="preserve">ticulièrement aigu </w:t>
      </w:r>
      <w:r w:rsidR="00F8691F">
        <w:t>à partir du moment où la réflexion de Hegel prend le tour d’une pensée systématique et scientifique, comme c’est précisément le cas à Iéna. Toute la</w:t>
      </w:r>
      <w:r w:rsidR="00350C93">
        <w:t xml:space="preserve"> question devient alors celle</w:t>
      </w:r>
      <w:r w:rsidR="00F8691F">
        <w:t xml:space="preserve"> de dégager les conditions auxquelles cette pensée systématique, de prime ab</w:t>
      </w:r>
      <w:r w:rsidR="00350C93">
        <w:t>ord strictement théorique,</w:t>
      </w:r>
      <w:r w:rsidR="00F8691F">
        <w:t xml:space="preserve"> est en mesure de se faire authentiquement concrète et vivante</w:t>
      </w:r>
      <w:r w:rsidR="00F2438F">
        <w:t xml:space="preserve">, c’est-à-dire </w:t>
      </w:r>
      <w:r w:rsidR="00F2438F">
        <w:rPr>
          <w:i/>
        </w:rPr>
        <w:t>pratique</w:t>
      </w:r>
      <w:r w:rsidR="00350C93">
        <w:t>. La réponse que Hegel</w:t>
      </w:r>
      <w:r w:rsidR="00413F78">
        <w:t xml:space="preserve"> apporte à cette question</w:t>
      </w:r>
      <w:r w:rsidR="00BE4599">
        <w:t xml:space="preserve">  connaît une va</w:t>
      </w:r>
      <w:r w:rsidR="00350C93">
        <w:t>riation importante, liée au</w:t>
      </w:r>
      <w:r w:rsidR="00F2438F">
        <w:t xml:space="preserve"> changement dans s</w:t>
      </w:r>
      <w:r w:rsidR="00BE4599">
        <w:t>a conception du s</w:t>
      </w:r>
      <w:r w:rsidR="00F2438F">
        <w:t>ystème</w:t>
      </w:r>
      <w:r w:rsidR="00BE4599">
        <w:t> : aussi longtemps que l’absolu dont il s’agit en celui-ci s’est trouvé rivé à son indifférence substantielle</w:t>
      </w:r>
      <w:r w:rsidR="006E42D3">
        <w:t>, il a fallu l’appoint d’un recours extérieur pour que la pensée de cet absolu puisse se faire réellement concrète, et tel est le philosophe-roi de Platon usant de la religion pour gouverner le peuple dans lequel Hegel voit à ce moment la plus haute manifestation de l’absolu ; à partir du moment o</w:t>
      </w:r>
      <w:r w:rsidR="00510E35">
        <w:t>ù, en revanche, il découvre en étudiant</w:t>
      </w:r>
      <w:r w:rsidR="006E42D3">
        <w:t xml:space="preserve"> Aristote que l’essence même de l’absolu consiste dans l’acte de sa propre effectuation, il en conclut</w:t>
      </w:r>
      <w:r w:rsidR="00510E35">
        <w:t xml:space="preserve"> qu’un tel absolu est à même de se rendre lui-même  concret, sans plus nécessiter un appui extérieur, mieux qu’il est l’acte même de sa propre concréti</w:t>
      </w:r>
      <w:r w:rsidR="006A34CE">
        <w:t>sation qui ac</w:t>
      </w:r>
      <w:r w:rsidR="00350C93">
        <w:t>quiert</w:t>
      </w:r>
      <w:r w:rsidR="00510E35">
        <w:t>, en tant qu’il s’agit d’un agir foncièrement réflexif, sa suprême</w:t>
      </w:r>
      <w:r w:rsidR="00B24055">
        <w:t xml:space="preserve"> expression d</w:t>
      </w:r>
      <w:r w:rsidR="00F2438F">
        <w:t>ans la spéculation, qu’il faut</w:t>
      </w:r>
      <w:r w:rsidR="00D6709C">
        <w:t xml:space="preserve"> dès lors</w:t>
      </w:r>
      <w:r w:rsidR="00B24055">
        <w:t xml:space="preserve"> comprendre, en sa nature théorique même, comme un rapport à soi de la pensée  absolument actif</w:t>
      </w:r>
      <w:r w:rsidR="00063238">
        <w:t xml:space="preserve"> et productif. </w:t>
      </w:r>
      <w:r w:rsidR="00F2438F">
        <w:t>Ainsi est-ce dans l’Idée elle-m</w:t>
      </w:r>
      <w:r w:rsidR="00D6709C">
        <w:t xml:space="preserve">ême </w:t>
      </w:r>
      <w:r w:rsidR="00B54670">
        <w:t>qu’allait</w:t>
      </w:r>
      <w:r w:rsidR="00F2438F">
        <w:t xml:space="preserve"> désormais </w:t>
      </w:r>
      <w:r w:rsidR="00B54670">
        <w:t xml:space="preserve">reposer pour Hegel </w:t>
      </w:r>
      <w:r w:rsidR="00F2438F">
        <w:t>le ressort de toute concréité véritable</w:t>
      </w:r>
      <w:r w:rsidR="00B54670">
        <w:t>, en ce</w:t>
      </w:r>
      <w:r w:rsidR="00D6709C">
        <w:t xml:space="preserve"> compris celle de l’</w:t>
      </w:r>
      <w:r w:rsidR="00F35346">
        <w:t xml:space="preserve">ordre politique et historique, de sorte que celui-ci, pour constituer assurément encore toujours une expression cruciale de l’Idée, n’en formerait toutefois plus la manifestation la plus accomplie expressément réservée à ce qui a pour tâche de le </w:t>
      </w:r>
      <w:r w:rsidR="00F35346" w:rsidRPr="00F35346">
        <w:rPr>
          <w:i/>
        </w:rPr>
        <w:t>penser</w:t>
      </w:r>
      <w:r w:rsidR="00F35346">
        <w:t>.</w:t>
      </w:r>
    </w:p>
    <w:p w:rsidR="00774BA0" w:rsidRDefault="006A34CE" w:rsidP="000C20BB">
      <w:pPr>
        <w:jc w:val="both"/>
      </w:pPr>
      <w:r>
        <w:t>Revenons, pour terminer</w:t>
      </w:r>
      <w:r w:rsidR="00F35346">
        <w:t xml:space="preserve"> cet </w:t>
      </w:r>
      <w:r>
        <w:t xml:space="preserve">examen de </w:t>
      </w:r>
      <w:r w:rsidR="00063238">
        <w:t>l’appréciation</w:t>
      </w:r>
      <w:r w:rsidR="00F35346">
        <w:t xml:space="preserve"> hégélienne</w:t>
      </w:r>
      <w:r w:rsidR="00063238">
        <w:t xml:space="preserve"> de Platon et Aristote</w:t>
      </w:r>
      <w:r>
        <w:t>,</w:t>
      </w:r>
      <w:r w:rsidR="00063238">
        <w:t xml:space="preserve"> à ce que nous avons dit du rapport plus large de Hegel aux anciens et aux modernes. A n’</w:t>
      </w:r>
      <w:r w:rsidR="001370A0">
        <w:t>en pas douter, Platon fu</w:t>
      </w:r>
      <w:r w:rsidR="00063238">
        <w:t xml:space="preserve">t, à ses yeux, </w:t>
      </w:r>
      <w:r w:rsidR="00D6709C">
        <w:t xml:space="preserve">un penseur </w:t>
      </w:r>
      <w:r w:rsidR="00063238">
        <w:t>foncièrement grec, l’expression</w:t>
      </w:r>
      <w:r w:rsidR="001370A0">
        <w:t xml:space="preserve"> philosophique</w:t>
      </w:r>
      <w:r w:rsidR="00063238">
        <w:t xml:space="preserve"> accomplie de l’esprit grec</w:t>
      </w:r>
      <w:r w:rsidR="001370A0">
        <w:t>, ainsi que l’attesten</w:t>
      </w:r>
      <w:r w:rsidR="00D6709C">
        <w:t>t différents points de sa démarche</w:t>
      </w:r>
      <w:r w:rsidR="00F35346">
        <w:t xml:space="preserve"> relevés par Hegel</w:t>
      </w:r>
      <w:r>
        <w:t>,</w:t>
      </w:r>
      <w:r w:rsidR="001370A0">
        <w:t xml:space="preserve"> comme sa conception encore substantialiste de l’idée, sa vision de l’E</w:t>
      </w:r>
      <w:r>
        <w:t>tat ou encore la qualité esthéti</w:t>
      </w:r>
      <w:r w:rsidR="001370A0">
        <w:t>que de ses dialogues</w:t>
      </w:r>
      <w:r>
        <w:t xml:space="preserve"> </w:t>
      </w:r>
      <w:r>
        <w:lastRenderedPageBreak/>
        <w:t>qui en fait de véritables œuvres d’art</w:t>
      </w:r>
      <w:r w:rsidR="006A6F54">
        <w:t>, et c’est ce qui explique</w:t>
      </w:r>
      <w:r w:rsidR="001370A0">
        <w:t xml:space="preserve"> que Hegel l’a tout d’abord placé au pinacle de son panthéon philosophique, jusqu’à ce qu</w:t>
      </w:r>
      <w:r w:rsidR="006E67D5">
        <w:t>’il découvre</w:t>
      </w:r>
      <w:r w:rsidR="001370A0">
        <w:t xml:space="preserve"> en Aristote le précurseur d’une modernité </w:t>
      </w:r>
      <w:r>
        <w:t>qui allait</w:t>
      </w:r>
      <w:r w:rsidR="00801F5D">
        <w:t xml:space="preserve"> bientôt</w:t>
      </w:r>
      <w:r w:rsidR="006E67D5">
        <w:t xml:space="preserve"> supplante</w:t>
      </w:r>
      <w:r w:rsidR="00801F5D">
        <w:t>r</w:t>
      </w:r>
      <w:r w:rsidR="001370A0">
        <w:t xml:space="preserve"> l’</w:t>
      </w:r>
      <w:r w:rsidR="006E67D5">
        <w:t>antique dans son esprit. C’est pourquoi, une fois la pleine maturité conquise, il dira, contre la vogue du platonisme à son époque, qu’en dépit de son importance, « on ne peut y demeurer, ni s’y reporter [car] la raison a de plus hautes exigences »</w:t>
      </w:r>
      <w:r w:rsidR="006E67D5">
        <w:rPr>
          <w:rStyle w:val="Appelnotedebasdep"/>
        </w:rPr>
        <w:footnoteReference w:id="65"/>
      </w:r>
      <w:r w:rsidR="006E67D5">
        <w:t xml:space="preserve">, tandis </w:t>
      </w:r>
      <w:r w:rsidR="00D6709C">
        <w:t>q</w:t>
      </w:r>
      <w:r>
        <w:t>ue, comme on l’a vu, il soutiendra</w:t>
      </w:r>
      <w:r w:rsidR="006E67D5">
        <w:t xml:space="preserve"> à propos d’Aristote que : « De tous les anciens, [il] est celui qui mérite le plus d’être étudié ».</w:t>
      </w:r>
    </w:p>
    <w:p w:rsidR="00D6709C" w:rsidRDefault="00D6709C" w:rsidP="000C20BB">
      <w:pPr>
        <w:jc w:val="both"/>
      </w:pPr>
    </w:p>
    <w:p w:rsidR="00D6709C" w:rsidRDefault="00D6709C" w:rsidP="00D6709C">
      <w:pPr>
        <w:jc w:val="right"/>
      </w:pPr>
    </w:p>
    <w:p w:rsidR="00D6709C" w:rsidRDefault="00D6709C" w:rsidP="00D6709C">
      <w:pPr>
        <w:jc w:val="right"/>
      </w:pPr>
      <w:r>
        <w:t>Gilbert Gérard</w:t>
      </w:r>
    </w:p>
    <w:p w:rsidR="00D6709C" w:rsidRDefault="00D6709C" w:rsidP="00D6709C">
      <w:pPr>
        <w:jc w:val="right"/>
      </w:pPr>
      <w:r>
        <w:t>Professeur émérite de</w:t>
      </w:r>
    </w:p>
    <w:p w:rsidR="00D6709C" w:rsidRPr="0033321B" w:rsidRDefault="00D6709C" w:rsidP="00D6709C">
      <w:pPr>
        <w:jc w:val="right"/>
      </w:pPr>
      <w:r>
        <w:t>L’Université catholique de Louvain</w:t>
      </w:r>
    </w:p>
    <w:p w:rsidR="00676280" w:rsidRPr="00484BB3" w:rsidRDefault="00484BB3" w:rsidP="000C20BB">
      <w:pPr>
        <w:jc w:val="both"/>
      </w:pPr>
      <w:r>
        <w:t xml:space="preserve"> </w:t>
      </w:r>
    </w:p>
    <w:p w:rsidR="008C7190" w:rsidRPr="009F3D23" w:rsidRDefault="009E0CCA" w:rsidP="000C20BB">
      <w:pPr>
        <w:jc w:val="both"/>
      </w:pPr>
      <w:r>
        <w:t xml:space="preserve"> </w:t>
      </w:r>
    </w:p>
    <w:sectPr w:rsidR="008C7190" w:rsidRPr="009F3D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BB" w:rsidRDefault="000C20BB" w:rsidP="000C20BB">
      <w:pPr>
        <w:spacing w:after="0" w:line="240" w:lineRule="auto"/>
      </w:pPr>
      <w:r>
        <w:separator/>
      </w:r>
    </w:p>
  </w:endnote>
  <w:endnote w:type="continuationSeparator" w:id="0">
    <w:p w:rsidR="000C20BB" w:rsidRDefault="000C20BB" w:rsidP="000C2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411514"/>
      <w:docPartObj>
        <w:docPartGallery w:val="Page Numbers (Bottom of Page)"/>
        <w:docPartUnique/>
      </w:docPartObj>
    </w:sdtPr>
    <w:sdtEndPr/>
    <w:sdtContent>
      <w:p w:rsidR="000C20BB" w:rsidRDefault="000C20BB">
        <w:pPr>
          <w:pStyle w:val="Pieddepage"/>
          <w:jc w:val="right"/>
        </w:pPr>
        <w:r>
          <w:fldChar w:fldCharType="begin"/>
        </w:r>
        <w:r>
          <w:instrText>PAGE   \* MERGEFORMAT</w:instrText>
        </w:r>
        <w:r>
          <w:fldChar w:fldCharType="separate"/>
        </w:r>
        <w:r w:rsidR="001B0869" w:rsidRPr="001B0869">
          <w:rPr>
            <w:noProof/>
            <w:lang w:val="fr-FR"/>
          </w:rPr>
          <w:t>8</w:t>
        </w:r>
        <w:r>
          <w:fldChar w:fldCharType="end"/>
        </w:r>
      </w:p>
    </w:sdtContent>
  </w:sdt>
  <w:p w:rsidR="000C20BB" w:rsidRDefault="000C20B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BB" w:rsidRDefault="000C20BB" w:rsidP="000C20BB">
      <w:pPr>
        <w:spacing w:after="0" w:line="240" w:lineRule="auto"/>
      </w:pPr>
      <w:r>
        <w:separator/>
      </w:r>
    </w:p>
  </w:footnote>
  <w:footnote w:type="continuationSeparator" w:id="0">
    <w:p w:rsidR="000C20BB" w:rsidRDefault="000C20BB" w:rsidP="000C20BB">
      <w:pPr>
        <w:spacing w:after="0" w:line="240" w:lineRule="auto"/>
      </w:pPr>
      <w:r>
        <w:continuationSeparator/>
      </w:r>
    </w:p>
  </w:footnote>
  <w:footnote w:id="1">
    <w:p w:rsidR="00221C43" w:rsidRPr="00221C43" w:rsidRDefault="00221C43" w:rsidP="00221C43">
      <w:pPr>
        <w:pStyle w:val="Notedebasdepage"/>
        <w:jc w:val="both"/>
      </w:pPr>
      <w:r>
        <w:rPr>
          <w:rStyle w:val="Appelnotedebasdep"/>
        </w:rPr>
        <w:footnoteRef/>
      </w:r>
      <w:r>
        <w:t xml:space="preserve"> Cet article, dont le titre complet est : « Des manières de traiter scientifiquement du droit naturel, de sa place dans la philosophie pratique et de son rapport aux sciences positives du droit », parut en deux parties, dans les deux derniers cahiers du </w:t>
      </w:r>
      <w:r>
        <w:rPr>
          <w:i/>
        </w:rPr>
        <w:t>Journal critique de philosophie</w:t>
      </w:r>
      <w:r>
        <w:t>, respectivement celui de novembre-décembre 1802 et celui de mai-juin 1803.</w:t>
      </w:r>
    </w:p>
  </w:footnote>
  <w:footnote w:id="2">
    <w:p w:rsidR="00805DA8" w:rsidRPr="00805DA8" w:rsidRDefault="00805DA8" w:rsidP="00805DA8">
      <w:pPr>
        <w:pStyle w:val="Notedebasdepage"/>
        <w:jc w:val="both"/>
      </w:pPr>
      <w:r>
        <w:rPr>
          <w:rStyle w:val="Appelnotedebasdep"/>
        </w:rPr>
        <w:footnoteRef/>
      </w:r>
      <w:r>
        <w:t xml:space="preserve"> G.W.F. Hegel,</w:t>
      </w:r>
      <w:r>
        <w:rPr>
          <w:i/>
        </w:rPr>
        <w:t xml:space="preserve"> Gesammelte Werke</w:t>
      </w:r>
      <w:r w:rsidR="00995F7E">
        <w:t>, im Auftrag der d</w:t>
      </w:r>
      <w:r>
        <w:t xml:space="preserve">eutschen Forschungsgemeinschaft, hrsg. von der Rheinisch-Westfälischen Akademie der Wissenschaften, Bd. 4 (désormais cité </w:t>
      </w:r>
      <w:r>
        <w:rPr>
          <w:i/>
        </w:rPr>
        <w:t xml:space="preserve">GW </w:t>
      </w:r>
      <w:r>
        <w:t xml:space="preserve">suivi du n° du volume), </w:t>
      </w:r>
      <w:r w:rsidR="003E53B3">
        <w:t>Hamburg, Felix Meiner</w:t>
      </w:r>
      <w:r w:rsidR="005701C9">
        <w:t>,</w:t>
      </w:r>
      <w:r w:rsidR="003E53B3">
        <w:t xml:space="preserve"> 1968 sqq.</w:t>
      </w:r>
      <w:r>
        <w:t xml:space="preserve">, p. 455/trad. Bernard Bourgeois, Paris, Vrin, 1972, p. 63. </w:t>
      </w:r>
      <w:r w:rsidR="003E53B3">
        <w:t>Pour l’ensemble des textes de Hegel que nous citons, nous nous sommes reporté au texte allemand et avons parfois modifié la traduction que nous mentionnons.</w:t>
      </w:r>
    </w:p>
  </w:footnote>
  <w:footnote w:id="3">
    <w:p w:rsidR="003E53B3" w:rsidRPr="00DC6FA1" w:rsidRDefault="003E53B3" w:rsidP="003E53B3">
      <w:pPr>
        <w:pStyle w:val="Notedebasdepage"/>
        <w:jc w:val="both"/>
      </w:pPr>
      <w:r>
        <w:rPr>
          <w:rStyle w:val="Appelnotedebasdep"/>
        </w:rPr>
        <w:footnoteRef/>
      </w:r>
      <w:r>
        <w:t xml:space="preserve"> G.W</w:t>
      </w:r>
      <w:r w:rsidR="005701C9">
        <w:t>.</w:t>
      </w:r>
      <w:r>
        <w:t xml:space="preserve">F. Hegel, </w:t>
      </w:r>
      <w:r>
        <w:rPr>
          <w:i/>
        </w:rPr>
        <w:t>Werke in zwanzig Bänden</w:t>
      </w:r>
      <w:r>
        <w:t xml:space="preserve">, Bd. 19 (désormais cité </w:t>
      </w:r>
      <w:r>
        <w:rPr>
          <w:i/>
        </w:rPr>
        <w:t xml:space="preserve">W </w:t>
      </w:r>
      <w:r w:rsidR="005701C9">
        <w:t>suivi du n° du volume</w:t>
      </w:r>
      <w:r>
        <w:t>), Frankfurt am Main, Suhrkamp</w:t>
      </w:r>
      <w:r w:rsidR="00DC6FA1">
        <w:t>, 1971-1979, p. 133/</w:t>
      </w:r>
      <w:r w:rsidR="00DC6FA1">
        <w:rPr>
          <w:i/>
        </w:rPr>
        <w:t>Leçons sur l’histoire de la philiosophie</w:t>
      </w:r>
      <w:r w:rsidR="00DC6FA1">
        <w:t xml:space="preserve">, trad. Pierre Garniron, vol. 3 (désormais cité </w:t>
      </w:r>
      <w:r w:rsidR="00DC6FA1">
        <w:rPr>
          <w:i/>
        </w:rPr>
        <w:t xml:space="preserve">LHP </w:t>
      </w:r>
      <w:r w:rsidR="009A25EF">
        <w:t>suivi du n° du volume</w:t>
      </w:r>
      <w:r w:rsidR="00DC6FA1">
        <w:t>), Paris, Vrin, 1972, p. 500.</w:t>
      </w:r>
    </w:p>
  </w:footnote>
  <w:footnote w:id="4">
    <w:p w:rsidR="00A016CA" w:rsidRPr="00A016CA" w:rsidRDefault="00A016CA" w:rsidP="00A016CA">
      <w:pPr>
        <w:pStyle w:val="Notedebasdepage"/>
        <w:jc w:val="both"/>
      </w:pPr>
      <w:r>
        <w:rPr>
          <w:rStyle w:val="Appelnotedebasdep"/>
        </w:rPr>
        <w:footnoteRef/>
      </w:r>
      <w:r>
        <w:t xml:space="preserve"> Voir sur ce point la belle contribution du regretté Bernard Mabille : « La vie logique. Hegel, platonisme et christianisme », paru in B. Mabille, </w:t>
      </w:r>
      <w:r>
        <w:rPr>
          <w:i/>
        </w:rPr>
        <w:t>Rencontres. Hegel à l’épreuve du dialogue philosophique</w:t>
      </w:r>
      <w:r>
        <w:t>, Louvain-la-Neuve, Peeters, 2017, pp. 7-45.</w:t>
      </w:r>
    </w:p>
  </w:footnote>
  <w:footnote w:id="5">
    <w:p w:rsidR="00555626" w:rsidRPr="00980A45" w:rsidRDefault="00555626">
      <w:pPr>
        <w:pStyle w:val="Notedebasdepage"/>
      </w:pPr>
      <w:r>
        <w:rPr>
          <w:rStyle w:val="Appelnotedebasdep"/>
        </w:rPr>
        <w:footnoteRef/>
      </w:r>
      <w:r w:rsidRPr="00980A45">
        <w:t xml:space="preserve"> </w:t>
      </w:r>
      <w:r w:rsidRPr="00980A45">
        <w:rPr>
          <w:i/>
        </w:rPr>
        <w:t xml:space="preserve">GW </w:t>
      </w:r>
      <w:r w:rsidRPr="00980A45">
        <w:t>4, p. 455/trad. Bourgeois,</w:t>
      </w:r>
      <w:r w:rsidR="00484BB3" w:rsidRPr="00980A45">
        <w:t xml:space="preserve"> </w:t>
      </w:r>
      <w:r w:rsidR="00484BB3" w:rsidRPr="00980A45">
        <w:rPr>
          <w:i/>
        </w:rPr>
        <w:t>op. cit.</w:t>
      </w:r>
      <w:r w:rsidR="00484BB3" w:rsidRPr="00980A45">
        <w:t>,</w:t>
      </w:r>
      <w:r w:rsidRPr="00980A45">
        <w:t xml:space="preserve"> p. 63.</w:t>
      </w:r>
    </w:p>
  </w:footnote>
  <w:footnote w:id="6">
    <w:p w:rsidR="0071740D" w:rsidRPr="004F1090" w:rsidRDefault="0071740D" w:rsidP="004F1090">
      <w:pPr>
        <w:pStyle w:val="Notedebasdepage"/>
        <w:jc w:val="both"/>
      </w:pPr>
      <w:r>
        <w:rPr>
          <w:rStyle w:val="Appelnotedebasdep"/>
        </w:rPr>
        <w:footnoteRef/>
      </w:r>
      <w:r>
        <w:t xml:space="preserve"> </w:t>
      </w:r>
      <w:r w:rsidR="004F1090">
        <w:t xml:space="preserve">Rappelons que Hegel est demeuré à Iéna de 1801 à 1807, année de la publication de la </w:t>
      </w:r>
      <w:r w:rsidR="004F1090">
        <w:rPr>
          <w:i/>
        </w:rPr>
        <w:t>Phénoménologie de l’esprit</w:t>
      </w:r>
      <w:r w:rsidR="004F1090">
        <w:t>, sa première grande œuvre, et que sa collaboration avec Schelling s’est étendue de 1801 à 18</w:t>
      </w:r>
      <w:r w:rsidR="008C47CC">
        <w:t>03, jusqu’au départ de ce dernier</w:t>
      </w:r>
      <w:r w:rsidR="004F1090">
        <w:t xml:space="preserve"> pour Würzburg en mai 1803.</w:t>
      </w:r>
    </w:p>
  </w:footnote>
  <w:footnote w:id="7">
    <w:p w:rsidR="00ED4AF6" w:rsidRPr="00ED4AF6" w:rsidRDefault="00ED4AF6" w:rsidP="00ED4AF6">
      <w:pPr>
        <w:pStyle w:val="Notedebasdepage"/>
        <w:jc w:val="both"/>
      </w:pPr>
      <w:r>
        <w:rPr>
          <w:rStyle w:val="Appelnotedebasdep"/>
        </w:rPr>
        <w:footnoteRef/>
      </w:r>
      <w:r>
        <w:t xml:space="preserve"> </w:t>
      </w:r>
      <w:r>
        <w:rPr>
          <w:i/>
        </w:rPr>
        <w:t xml:space="preserve">GW </w:t>
      </w:r>
      <w:r>
        <w:t xml:space="preserve">1, p. 83/trad. Robert Legros, in G.W.F. Hegel, </w:t>
      </w:r>
      <w:r>
        <w:rPr>
          <w:i/>
        </w:rPr>
        <w:t xml:space="preserve">La vie de Jésus </w:t>
      </w:r>
      <w:r>
        <w:t xml:space="preserve">précédé de </w:t>
      </w:r>
      <w:r>
        <w:rPr>
          <w:i/>
        </w:rPr>
        <w:t>Dissertations et fragments de</w:t>
      </w:r>
      <w:r w:rsidR="0000146E">
        <w:rPr>
          <w:i/>
        </w:rPr>
        <w:t xml:space="preserve"> l’époque de </w:t>
      </w:r>
      <w:r>
        <w:rPr>
          <w:i/>
        </w:rPr>
        <w:t xml:space="preserve"> Stuttgart et </w:t>
      </w:r>
      <w:r w:rsidR="0000146E">
        <w:rPr>
          <w:i/>
        </w:rPr>
        <w:t xml:space="preserve">de </w:t>
      </w:r>
      <w:r>
        <w:rPr>
          <w:i/>
        </w:rPr>
        <w:t>Tübingen</w:t>
      </w:r>
      <w:r>
        <w:t xml:space="preserve">, Paris, Vrin, 2009, p. 47. Nous nous permettons de renvoyer sur ce point à notre étude : « Requête d’effectivité et choix de la religion chez le jeune Hegel », in </w:t>
      </w:r>
      <w:r>
        <w:rPr>
          <w:i/>
        </w:rPr>
        <w:t xml:space="preserve">Revue philosophique de Louvain </w:t>
      </w:r>
      <w:r>
        <w:t>115, février 2017, pp. 31-59.</w:t>
      </w:r>
    </w:p>
  </w:footnote>
  <w:footnote w:id="8">
    <w:p w:rsidR="00A511BA" w:rsidRDefault="00A511BA" w:rsidP="00A511BA">
      <w:pPr>
        <w:pStyle w:val="Notedebasdepage"/>
        <w:jc w:val="both"/>
      </w:pPr>
      <w:r>
        <w:rPr>
          <w:rStyle w:val="Appelnotedebasdep"/>
        </w:rPr>
        <w:footnoteRef/>
      </w:r>
      <w:r>
        <w:t xml:space="preserve"> On ne saurait à cet égard accepter sans de</w:t>
      </w:r>
      <w:r w:rsidR="00D8050A">
        <w:t xml:space="preserve"> sérieuses réserves le titre d’ </w:t>
      </w:r>
      <w:r>
        <w:t>«</w:t>
      </w:r>
      <w:r w:rsidR="00D345E0">
        <w:t>Ecrits théologiques de jeunesse » (</w:t>
      </w:r>
      <w:r w:rsidR="00D345E0">
        <w:rPr>
          <w:i/>
        </w:rPr>
        <w:t>Hegels theologische Jugendschriften</w:t>
      </w:r>
      <w:r w:rsidR="00D345E0">
        <w:t>) conféré à ces textes par leur premier éditeur, Hermann Nohl, titre</w:t>
      </w:r>
      <w:r>
        <w:t> </w:t>
      </w:r>
      <w:r w:rsidR="00D345E0">
        <w:t>qui présente le grave inconvénient de gommer le véritable enjeu des réflexions du jeune Hegel sur la religion.</w:t>
      </w:r>
    </w:p>
  </w:footnote>
  <w:footnote w:id="9">
    <w:p w:rsidR="00DD7C75" w:rsidRPr="00DD7C75" w:rsidRDefault="00DD7C75" w:rsidP="00DD7C75">
      <w:pPr>
        <w:pStyle w:val="Notedebasdepage"/>
        <w:jc w:val="both"/>
      </w:pPr>
      <w:r>
        <w:rPr>
          <w:rStyle w:val="Appelnotedebasdep"/>
        </w:rPr>
        <w:footnoteRef/>
      </w:r>
      <w:r>
        <w:t xml:space="preserve"> « Pas vers la science » (O. Pöggeler, « Hegels Jenaer Systemkonzeption », in </w:t>
      </w:r>
      <w:r>
        <w:rPr>
          <w:i/>
        </w:rPr>
        <w:t>Philosophisches Jahrbuch</w:t>
      </w:r>
      <w:r>
        <w:t xml:space="preserve"> 71, </w:t>
      </w:r>
      <w:r w:rsidR="00ED4AF6">
        <w:t>(1963/64), p. 288.</w:t>
      </w:r>
    </w:p>
  </w:footnote>
  <w:footnote w:id="10">
    <w:p w:rsidR="00C87537" w:rsidRPr="00C027EE" w:rsidRDefault="00C87537" w:rsidP="00C87537">
      <w:pPr>
        <w:pStyle w:val="Notedebasdepage"/>
        <w:jc w:val="both"/>
        <w:rPr>
          <w:lang w:val="en-US"/>
        </w:rPr>
      </w:pPr>
      <w:r>
        <w:rPr>
          <w:rStyle w:val="Appelnotedebasdep"/>
        </w:rPr>
        <w:footnoteRef/>
      </w:r>
      <w:r>
        <w:t xml:space="preserve"> Il s’agit du cours </w:t>
      </w:r>
      <w:r>
        <w:rPr>
          <w:i/>
        </w:rPr>
        <w:t xml:space="preserve">Introductio in philosophiam </w:t>
      </w:r>
      <w:r>
        <w:t xml:space="preserve">du semestre d’hiver 1801/02 dont il nous reste deux fragments, tous deux repris dans le cinquième volume des </w:t>
      </w:r>
      <w:r>
        <w:rPr>
          <w:i/>
        </w:rPr>
        <w:t xml:space="preserve">Gesammelte Werke </w:t>
      </w:r>
      <w:r>
        <w:t xml:space="preserve">édités chez F. Meiner. Le fragment ici concerné est celui qui commence par les mots : </w:t>
      </w:r>
      <w:r>
        <w:rPr>
          <w:i/>
        </w:rPr>
        <w:t>Diese Vorlesungen</w:t>
      </w:r>
      <w:r>
        <w:t xml:space="preserve">… </w:t>
      </w:r>
      <w:r w:rsidRPr="00C027EE">
        <w:rPr>
          <w:lang w:val="en-US"/>
        </w:rPr>
        <w:t>(</w:t>
      </w:r>
      <w:r w:rsidRPr="00C027EE">
        <w:rPr>
          <w:i/>
          <w:lang w:val="en-US"/>
        </w:rPr>
        <w:t xml:space="preserve">GW </w:t>
      </w:r>
      <w:r w:rsidRPr="00C027EE">
        <w:rPr>
          <w:lang w:val="en-US"/>
        </w:rPr>
        <w:t>5, pp. 259-261).</w:t>
      </w:r>
    </w:p>
  </w:footnote>
  <w:footnote w:id="11">
    <w:p w:rsidR="00D8050A" w:rsidRPr="00C027EE" w:rsidRDefault="00D8050A">
      <w:pPr>
        <w:pStyle w:val="Notedebasdepage"/>
        <w:rPr>
          <w:lang w:val="en-US"/>
        </w:rPr>
      </w:pPr>
      <w:r>
        <w:rPr>
          <w:rStyle w:val="Appelnotedebasdep"/>
        </w:rPr>
        <w:footnoteRef/>
      </w:r>
      <w:r w:rsidRPr="00C027EE">
        <w:rPr>
          <w:lang w:val="en-US"/>
        </w:rPr>
        <w:t xml:space="preserve"> </w:t>
      </w:r>
      <w:r w:rsidRPr="00C027EE">
        <w:rPr>
          <w:i/>
          <w:lang w:val="en-US"/>
        </w:rPr>
        <w:t xml:space="preserve">GW </w:t>
      </w:r>
      <w:r w:rsidRPr="00C027EE">
        <w:rPr>
          <w:lang w:val="en-US"/>
        </w:rPr>
        <w:t>5, p. 261.</w:t>
      </w:r>
    </w:p>
  </w:footnote>
  <w:footnote w:id="12">
    <w:p w:rsidR="00B60838" w:rsidRPr="00B60838" w:rsidRDefault="00B60838" w:rsidP="00B60838">
      <w:pPr>
        <w:pStyle w:val="Notedebasdepage"/>
        <w:jc w:val="both"/>
      </w:pPr>
      <w:r>
        <w:rPr>
          <w:rStyle w:val="Appelnotedebasdep"/>
        </w:rPr>
        <w:footnoteRef/>
      </w:r>
      <w:r w:rsidRPr="00C027EE">
        <w:rPr>
          <w:lang w:val="en-US"/>
        </w:rPr>
        <w:t xml:space="preserve"> </w:t>
      </w:r>
      <w:r w:rsidRPr="00C027EE">
        <w:rPr>
          <w:i/>
          <w:lang w:val="en-US"/>
        </w:rPr>
        <w:t>Briefe von und an Hegel</w:t>
      </w:r>
      <w:r w:rsidRPr="00C027EE">
        <w:rPr>
          <w:lang w:val="en-US"/>
        </w:rPr>
        <w:t xml:space="preserve">, Bd. </w:t>
      </w:r>
      <w:r>
        <w:t>I, Hamburg, F. Meiner, 1952, pp. 59-60/</w:t>
      </w:r>
      <w:r>
        <w:rPr>
          <w:i/>
        </w:rPr>
        <w:t>Correspondance</w:t>
      </w:r>
      <w:r>
        <w:t>, trad. Jean C</w:t>
      </w:r>
      <w:r w:rsidR="007B167A">
        <w:t xml:space="preserve">arrère, Paris, Gallimard, 1962, vol. 1, </w:t>
      </w:r>
      <w:r>
        <w:t>p. 60.</w:t>
      </w:r>
    </w:p>
  </w:footnote>
  <w:footnote w:id="13">
    <w:p w:rsidR="00B60838" w:rsidRPr="008503F1" w:rsidRDefault="00B60838" w:rsidP="008503F1">
      <w:pPr>
        <w:pStyle w:val="Notedebasdepage"/>
        <w:jc w:val="both"/>
      </w:pPr>
      <w:r>
        <w:rPr>
          <w:rStyle w:val="Appelnotedebasdep"/>
        </w:rPr>
        <w:footnoteRef/>
      </w:r>
      <w:r>
        <w:t xml:space="preserve"> </w:t>
      </w:r>
      <w:r w:rsidR="008503F1">
        <w:rPr>
          <w:i/>
        </w:rPr>
        <w:t xml:space="preserve">GW </w:t>
      </w:r>
      <w:r w:rsidR="008503F1">
        <w:t xml:space="preserve">4, p. 124/trad. Bernard Fauquet, in </w:t>
      </w:r>
      <w:r w:rsidR="008503F1">
        <w:rPr>
          <w:i/>
        </w:rPr>
        <w:t xml:space="preserve">La relation du scepticisme avec la philosophie </w:t>
      </w:r>
      <w:r w:rsidR="008503F1">
        <w:t xml:space="preserve">suivi de </w:t>
      </w:r>
      <w:r w:rsidR="008503F1">
        <w:rPr>
          <w:i/>
        </w:rPr>
        <w:t>l’essence de la critique philosophique</w:t>
      </w:r>
      <w:r w:rsidR="008503F1">
        <w:t xml:space="preserve">, Paris, Vrin, 1972, p. 94. Le titre complet de l’article est : « Introduction. L’essence de la critique philosophique en général et son rapport avec l’état présent de la philosophie en particulier ». Il parut dans le premier cahier du </w:t>
      </w:r>
      <w:r w:rsidR="008503F1">
        <w:rPr>
          <w:i/>
        </w:rPr>
        <w:t xml:space="preserve">Journal critique de philosophie </w:t>
      </w:r>
      <w:r w:rsidR="008503F1">
        <w:t>au tout début de 1802.</w:t>
      </w:r>
    </w:p>
  </w:footnote>
  <w:footnote w:id="14">
    <w:p w:rsidR="00E764FC" w:rsidRPr="00D24674" w:rsidRDefault="00E764FC" w:rsidP="00E764FC">
      <w:pPr>
        <w:pStyle w:val="Notedebasdepage"/>
        <w:jc w:val="both"/>
      </w:pPr>
      <w:r>
        <w:rPr>
          <w:rStyle w:val="Appelnotedebasdep"/>
        </w:rPr>
        <w:footnoteRef/>
      </w:r>
      <w:r>
        <w:t xml:space="preserve"> </w:t>
      </w:r>
      <w:r w:rsidR="007B167A">
        <w:t xml:space="preserve">Voir </w:t>
      </w:r>
      <w:r>
        <w:rPr>
          <w:i/>
        </w:rPr>
        <w:t xml:space="preserve">GW </w:t>
      </w:r>
      <w:r>
        <w:t xml:space="preserve">4, p. 58/G.W.F. Hegel, </w:t>
      </w:r>
      <w:r>
        <w:rPr>
          <w:i/>
        </w:rPr>
        <w:t>Premières publications</w:t>
      </w:r>
      <w:r>
        <w:t>, trad. Marcel Méry, Gap, Ophrys, 1970, p. 133, où, critiquant le droit</w:t>
      </w:r>
      <w:r w:rsidR="00D24674">
        <w:t xml:space="preserve"> naturel de Fichte, Hegel déclare que c’est « dans l’org</w:t>
      </w:r>
      <w:r w:rsidR="007E542B">
        <w:t>anisation la plus complète qu’elle</w:t>
      </w:r>
      <w:r w:rsidR="00D24674">
        <w:t xml:space="preserve"> peut se donner, dans </w:t>
      </w:r>
      <w:r w:rsidR="00D24674">
        <w:rPr>
          <w:i/>
        </w:rPr>
        <w:t>l’autoconfiguration au sein d’un peuple</w:t>
      </w:r>
      <w:r w:rsidR="00D24674">
        <w:t>, qu’elle [la raison = l’</w:t>
      </w:r>
      <w:r w:rsidR="00F6526E">
        <w:t xml:space="preserve">absolu] doit se trouver </w:t>
      </w:r>
      <w:r w:rsidR="00D24674">
        <w:t xml:space="preserve">de la façon la plus expresse » (nous soulignons). On se reportera également à cet égard à l’esquisse de système que présente l’article sur le </w:t>
      </w:r>
      <w:r w:rsidR="00D24674">
        <w:rPr>
          <w:i/>
        </w:rPr>
        <w:t xml:space="preserve">Droit naturel </w:t>
      </w:r>
      <w:r w:rsidR="00D24674">
        <w:t xml:space="preserve">et où la manifestation de l’absolu dans l’ordre supérieur de l’esprit se réalise sous la forme d’une « nature éthique » opposée à la « nature physique » (voir </w:t>
      </w:r>
      <w:r w:rsidR="00D24674">
        <w:rPr>
          <w:i/>
        </w:rPr>
        <w:t xml:space="preserve">GW </w:t>
      </w:r>
      <w:r w:rsidR="00D24674">
        <w:t xml:space="preserve">4, pp. 432-433/trad. Bourgeois, </w:t>
      </w:r>
      <w:r w:rsidR="007B167A">
        <w:rPr>
          <w:i/>
        </w:rPr>
        <w:t>op. cit.</w:t>
      </w:r>
      <w:r w:rsidR="007B167A">
        <w:t xml:space="preserve">, </w:t>
      </w:r>
      <w:r w:rsidR="00D24674">
        <w:t>pp. 31-33). Cette pe</w:t>
      </w:r>
      <w:r w:rsidR="00762A2D">
        <w:t>rspective qui consacre le</w:t>
      </w:r>
      <w:r w:rsidR="00D24674">
        <w:t xml:space="preserve"> politique au sommet du système aura la vie dure puisque, dans les </w:t>
      </w:r>
      <w:r w:rsidR="00D24674">
        <w:rPr>
          <w:i/>
        </w:rPr>
        <w:t xml:space="preserve">Projets de système </w:t>
      </w:r>
      <w:r w:rsidR="00003DD5">
        <w:t>de 1805/06, donc à la fin</w:t>
      </w:r>
      <w:r w:rsidR="00D24674">
        <w:t xml:space="preserve"> de la période d’Iéna, c’est encore sous la rubrique </w:t>
      </w:r>
      <w:r w:rsidR="0047026E">
        <w:t xml:space="preserve">de la </w:t>
      </w:r>
      <w:r w:rsidR="00D24674">
        <w:t>« constitution »</w:t>
      </w:r>
      <w:r w:rsidR="0047026E">
        <w:t xml:space="preserve"> que sera envisagée la triade </w:t>
      </w:r>
      <w:r w:rsidR="007E542B">
        <w:t xml:space="preserve">finale </w:t>
      </w:r>
      <w:r w:rsidR="0047026E">
        <w:t>art-religion-philosophie.</w:t>
      </w:r>
    </w:p>
  </w:footnote>
  <w:footnote w:id="15">
    <w:p w:rsidR="00F6526E" w:rsidRPr="00F6526E" w:rsidRDefault="00F6526E" w:rsidP="00F6526E">
      <w:pPr>
        <w:pStyle w:val="Notedebasdepage"/>
        <w:jc w:val="both"/>
      </w:pPr>
      <w:r>
        <w:rPr>
          <w:rStyle w:val="Appelnotedebasdep"/>
        </w:rPr>
        <w:footnoteRef/>
      </w:r>
      <w:r>
        <w:t xml:space="preserve"> Il s’agit du cours </w:t>
      </w:r>
      <w:r>
        <w:rPr>
          <w:i/>
        </w:rPr>
        <w:t>Logica et metaphysica</w:t>
      </w:r>
      <w:r>
        <w:t>, également du semestre d’hiver 1801/02. Un fr</w:t>
      </w:r>
      <w:r w:rsidR="007B167A">
        <w:t>agment se rattachant au début de ce</w:t>
      </w:r>
      <w:r>
        <w:t xml:space="preserve"> cours – il commence par les mots : </w:t>
      </w:r>
      <w:r>
        <w:rPr>
          <w:i/>
        </w:rPr>
        <w:t xml:space="preserve">Dass die Philosophie… </w:t>
      </w:r>
      <w:r>
        <w:t xml:space="preserve">- a été conservé et repris dans </w:t>
      </w:r>
      <w:r>
        <w:rPr>
          <w:i/>
        </w:rPr>
        <w:t xml:space="preserve">GW </w:t>
      </w:r>
      <w:r>
        <w:t>5, pp. 269-275. Nous nous référons ici aux pages 269 à 271. Il peut de prime abord paraître étrange qu’un cours consacré à la « Logique et métaphysique », c’est-à-dire à la partie la plus radicalement spéculative du système, commence par des considérations d’ordre éthico-politiques sur le peuple, ses aspirations et le travail du « grand homme ». Cela manifeste toutefois la finalité pratique de la philosophie telle que Hegel la conçoit à ce moment de son parcours.</w:t>
      </w:r>
    </w:p>
  </w:footnote>
  <w:footnote w:id="16">
    <w:p w:rsidR="00C609B8" w:rsidRPr="00E060C2" w:rsidRDefault="00C609B8" w:rsidP="00E060C2">
      <w:pPr>
        <w:pStyle w:val="Notedebasdepage"/>
        <w:jc w:val="both"/>
      </w:pPr>
      <w:r>
        <w:rPr>
          <w:rStyle w:val="Appelnotedebasdep"/>
        </w:rPr>
        <w:footnoteRef/>
      </w:r>
      <w:r>
        <w:t xml:space="preserve"> On a ici, on l’aura noté, une première émergence de la figure du </w:t>
      </w:r>
      <w:r>
        <w:rPr>
          <w:i/>
        </w:rPr>
        <w:t>grand homme</w:t>
      </w:r>
      <w:r w:rsidR="00E060C2">
        <w:rPr>
          <w:i/>
        </w:rPr>
        <w:t xml:space="preserve"> </w:t>
      </w:r>
      <w:r w:rsidR="00E060C2">
        <w:t xml:space="preserve">dont on sait la fortune qu’elle aura dans les </w:t>
      </w:r>
      <w:r w:rsidR="00E060C2">
        <w:rPr>
          <w:i/>
        </w:rPr>
        <w:t xml:space="preserve">Leçons sur la philosophie de l’histoire </w:t>
      </w:r>
      <w:r w:rsidR="00E060C2">
        <w:t xml:space="preserve">professées à Berlin. Une différence de taille toutefois : il ne sera plus question dans ces </w:t>
      </w:r>
      <w:r w:rsidR="00E060C2">
        <w:rPr>
          <w:i/>
        </w:rPr>
        <w:t xml:space="preserve">Leçons </w:t>
      </w:r>
      <w:r w:rsidR="00E060C2">
        <w:t>d’une formation philosophique nécessaire du héros historique ; celui-ci ne sera plus une « nature plus réfléchie » (</w:t>
      </w:r>
      <w:r w:rsidR="00E060C2">
        <w:rPr>
          <w:i/>
        </w:rPr>
        <w:t xml:space="preserve">GW </w:t>
      </w:r>
      <w:r w:rsidR="00E060C2">
        <w:t xml:space="preserve">5, p. 270) imprégnée du savoir que dispense la philosophie ; son savoir sera </w:t>
      </w:r>
      <w:r w:rsidR="00E060C2">
        <w:rPr>
          <w:i/>
        </w:rPr>
        <w:t>purement pratique</w:t>
      </w:r>
      <w:r w:rsidR="00E060C2">
        <w:t xml:space="preserve">, effet d’une perspicacité naturelle lui permettant de saisir de manière quasi intuitive ce qui est à l’ordre du jour en son monde (voir sur ce point Gilles Marmasse, </w:t>
      </w:r>
      <w:r w:rsidR="00E060C2">
        <w:rPr>
          <w:i/>
        </w:rPr>
        <w:t>L’histoire hégélienne entre malheur et réconciliation</w:t>
      </w:r>
      <w:r w:rsidR="00E060C2">
        <w:t>, Paris, Vrin, 2015, pp. 192 sqq.</w:t>
      </w:r>
      <w:r w:rsidR="006A2655">
        <w:t>). Bref, le grand homme et le philosophe seront entièrement dissociés, oeuvrant chacun sur un plan différent, celui de l’action historico-politique d’une part, celui de sa compréhension réflexive et systématique de l’autre.</w:t>
      </w:r>
    </w:p>
  </w:footnote>
  <w:footnote w:id="17">
    <w:p w:rsidR="004F6CF1" w:rsidRPr="004F6CF1" w:rsidRDefault="004F6CF1" w:rsidP="004F6CF1">
      <w:pPr>
        <w:pStyle w:val="Notedebasdepage"/>
        <w:jc w:val="both"/>
      </w:pPr>
      <w:r>
        <w:rPr>
          <w:rStyle w:val="Appelnotedebasdep"/>
        </w:rPr>
        <w:footnoteRef/>
      </w:r>
      <w:r>
        <w:t xml:space="preserve"> Le </w:t>
      </w:r>
      <w:r>
        <w:rPr>
          <w:i/>
        </w:rPr>
        <w:t xml:space="preserve">Système de la vie éthique </w:t>
      </w:r>
      <w:r>
        <w:t>est un manuscrit que Hegel a rédigé à la charnière des années 1802 et 1803 dans le cadre de ses cours sur le droit naturel à l’Université d’Iéna. Ceux-ci, professés à cinq reprises entre 1802 et 1805, témoignent de la réflexion intensive que Hegel consacre alors à cette matière et, par conséquent, de l’extrême importance qu’elle revêt  dans ses projets systématiques d’Iéna.</w:t>
      </w:r>
    </w:p>
  </w:footnote>
  <w:footnote w:id="18">
    <w:p w:rsidR="00502B80" w:rsidRPr="002E1301" w:rsidRDefault="00502B80" w:rsidP="00502B80">
      <w:pPr>
        <w:pStyle w:val="Notedebasdepage"/>
        <w:jc w:val="both"/>
      </w:pPr>
      <w:r>
        <w:rPr>
          <w:rStyle w:val="Appelnotedebasdep"/>
        </w:rPr>
        <w:footnoteRef/>
      </w:r>
      <w:r>
        <w:t xml:space="preserve"> </w:t>
      </w:r>
      <w:r w:rsidR="002E1301">
        <w:t xml:space="preserve">Ces restitutions figurent dans </w:t>
      </w:r>
      <w:r w:rsidR="002E1301">
        <w:rPr>
          <w:i/>
        </w:rPr>
        <w:t xml:space="preserve">GW </w:t>
      </w:r>
      <w:r w:rsidR="002E1301">
        <w:t>5, pp. 459-467.</w:t>
      </w:r>
    </w:p>
  </w:footnote>
  <w:footnote w:id="19">
    <w:p w:rsidR="002E1301" w:rsidRPr="00111180" w:rsidRDefault="002E1301" w:rsidP="002E1301">
      <w:pPr>
        <w:pStyle w:val="Notedebasdepage"/>
        <w:jc w:val="both"/>
      </w:pPr>
      <w:r>
        <w:rPr>
          <w:rStyle w:val="Appelnotedebasdep"/>
        </w:rPr>
        <w:footnoteRef/>
      </w:r>
      <w:r>
        <w:t xml:space="preserve"> Voir notre article : « La fin du droit naturel hégélien d’Iéna </w:t>
      </w:r>
      <w:r w:rsidR="00111180">
        <w:t xml:space="preserve">selon les comptes rendus de Karl Rosenkranz et de Rudolf Haym. Présentation, traduction et notes », in </w:t>
      </w:r>
      <w:r w:rsidR="00111180">
        <w:rPr>
          <w:i/>
        </w:rPr>
        <w:t xml:space="preserve">Revue philosophique de Louvain </w:t>
      </w:r>
      <w:r w:rsidR="00111180">
        <w:t xml:space="preserve">84, novembre 1986, pp. 460-501. Nous nous référons ici plus spécialement à </w:t>
      </w:r>
      <w:r w:rsidR="00111180">
        <w:rPr>
          <w:i/>
        </w:rPr>
        <w:t xml:space="preserve">GW </w:t>
      </w:r>
      <w:r w:rsidR="00111180">
        <w:t>5, pp. 459-460 (notre traduction, pp. 487-489).</w:t>
      </w:r>
    </w:p>
  </w:footnote>
  <w:footnote w:id="20">
    <w:p w:rsidR="00F47ADC" w:rsidRPr="008C5480" w:rsidRDefault="00F47ADC" w:rsidP="00F47ADC">
      <w:pPr>
        <w:pStyle w:val="Notedebasdepage"/>
        <w:jc w:val="both"/>
      </w:pPr>
      <w:r>
        <w:rPr>
          <w:rStyle w:val="Appelnotedebasdep"/>
        </w:rPr>
        <w:footnoteRef/>
      </w:r>
      <w:r>
        <w:t xml:space="preserve"> Voir sur ce point </w:t>
      </w:r>
      <w:r>
        <w:rPr>
          <w:i/>
        </w:rPr>
        <w:t xml:space="preserve">GW </w:t>
      </w:r>
      <w:r>
        <w:t xml:space="preserve">5, pp. 464-465 et 466/notre traduction, pp. 496-497 et 498. </w:t>
      </w:r>
      <w:r w:rsidR="008C5480">
        <w:t xml:space="preserve">Précisons que cette religion la plus accomplie est, selon notre texte, </w:t>
      </w:r>
      <w:r w:rsidR="007B167A">
        <w:t xml:space="preserve">non plus la religion grecque, dévaluée en tant que « religion de la nature », mais </w:t>
      </w:r>
      <w:r w:rsidR="008C5480">
        <w:t>celle qui doit se constituer « à partir du christianisme » comme une « </w:t>
      </w:r>
      <w:r w:rsidR="008C5480">
        <w:rPr>
          <w:i/>
        </w:rPr>
        <w:t xml:space="preserve">troisième </w:t>
      </w:r>
      <w:r w:rsidR="008C5480">
        <w:t>forme » de celui-ci, par delà ses formes catholique et protestante jugées alors toutes deux insuffisant</w:t>
      </w:r>
      <w:r w:rsidR="007B167A">
        <w:t>es par Hegel. On notera</w:t>
      </w:r>
      <w:r w:rsidR="008C5480">
        <w:t xml:space="preserve"> que la religion gardera, dans le système de la maturité, ce rôle d’expression de la vérité sous une forme et dans un langage qui soient accessibles à tous</w:t>
      </w:r>
      <w:r w:rsidR="004A6984">
        <w:t xml:space="preserve"> et à chacun, ce langage étant alors caractérisé comme celui de la </w:t>
      </w:r>
      <w:r w:rsidR="004A6984" w:rsidRPr="007B167A">
        <w:rPr>
          <w:i/>
        </w:rPr>
        <w:t>rep</w:t>
      </w:r>
      <w:r w:rsidR="00762A2D" w:rsidRPr="007B167A">
        <w:rPr>
          <w:i/>
        </w:rPr>
        <w:t>résentation</w:t>
      </w:r>
      <w:r w:rsidR="00762A2D">
        <w:t xml:space="preserve"> et estimé à ce titre</w:t>
      </w:r>
      <w:r w:rsidR="004A6984">
        <w:t xml:space="preserve"> inférieur au pur langa</w:t>
      </w:r>
      <w:r w:rsidR="00003DD5">
        <w:t>ge conceptuel de la philosophie, bien que d’audience plus générale que celui-ci.</w:t>
      </w:r>
    </w:p>
  </w:footnote>
  <w:footnote w:id="21">
    <w:p w:rsidR="00C61646" w:rsidRPr="00C61646" w:rsidRDefault="00C61646">
      <w:pPr>
        <w:pStyle w:val="Notedebasdepage"/>
      </w:pPr>
      <w:r>
        <w:rPr>
          <w:rStyle w:val="Appelnotedebasdep"/>
        </w:rPr>
        <w:footnoteRef/>
      </w:r>
      <w:r>
        <w:t xml:space="preserve"> </w:t>
      </w:r>
      <w:r>
        <w:rPr>
          <w:i/>
        </w:rPr>
        <w:t xml:space="preserve">GW </w:t>
      </w:r>
      <w:r>
        <w:t>5, p. 270.</w:t>
      </w:r>
    </w:p>
  </w:footnote>
  <w:footnote w:id="22">
    <w:p w:rsidR="00C61646" w:rsidRPr="00C61646" w:rsidRDefault="00C61646">
      <w:pPr>
        <w:pStyle w:val="Notedebasdepage"/>
      </w:pPr>
      <w:r>
        <w:rPr>
          <w:rStyle w:val="Appelnotedebasdep"/>
        </w:rPr>
        <w:footnoteRef/>
      </w:r>
      <w:r>
        <w:t xml:space="preserve"> Voir </w:t>
      </w:r>
      <w:r>
        <w:rPr>
          <w:i/>
        </w:rPr>
        <w:t xml:space="preserve">GW </w:t>
      </w:r>
      <w:r>
        <w:t>5, pp. 340 sqq./trad. Jacques Taminiaux, Paris, Payot, 1976, pp. 177 sqq.</w:t>
      </w:r>
    </w:p>
  </w:footnote>
  <w:footnote w:id="23">
    <w:p w:rsidR="00762A2D" w:rsidRPr="00980A45" w:rsidRDefault="00762A2D">
      <w:pPr>
        <w:pStyle w:val="Notedebasdepage"/>
        <w:rPr>
          <w:lang w:val="en-US"/>
        </w:rPr>
      </w:pPr>
      <w:r>
        <w:rPr>
          <w:rStyle w:val="Appelnotedebasdep"/>
        </w:rPr>
        <w:footnoteRef/>
      </w:r>
      <w:r w:rsidRPr="00980A45">
        <w:rPr>
          <w:lang w:val="en-US"/>
        </w:rPr>
        <w:t xml:space="preserve"> </w:t>
      </w:r>
      <w:r w:rsidR="005E1730" w:rsidRPr="00980A45">
        <w:rPr>
          <w:i/>
          <w:lang w:val="en-US"/>
        </w:rPr>
        <w:t xml:space="preserve">GW </w:t>
      </w:r>
      <w:r w:rsidR="005E1730" w:rsidRPr="00980A45">
        <w:rPr>
          <w:lang w:val="en-US"/>
        </w:rPr>
        <w:t>5, p. 343/trad. Taminiaux, p. 180.</w:t>
      </w:r>
    </w:p>
  </w:footnote>
  <w:footnote w:id="24">
    <w:p w:rsidR="00903949" w:rsidRPr="00903949" w:rsidRDefault="00903949">
      <w:pPr>
        <w:pStyle w:val="Notedebasdepage"/>
        <w:rPr>
          <w:lang w:val="en-US"/>
        </w:rPr>
      </w:pPr>
      <w:r>
        <w:rPr>
          <w:rStyle w:val="Appelnotedebasdep"/>
        </w:rPr>
        <w:footnoteRef/>
      </w:r>
      <w:r w:rsidRPr="00903949">
        <w:rPr>
          <w:lang w:val="en-US"/>
        </w:rPr>
        <w:t xml:space="preserve"> </w:t>
      </w:r>
      <w:r w:rsidRPr="00903949">
        <w:rPr>
          <w:i/>
          <w:lang w:val="en-US"/>
        </w:rPr>
        <w:t xml:space="preserve">GW </w:t>
      </w:r>
      <w:r w:rsidRPr="00903949">
        <w:rPr>
          <w:lang w:val="en-US"/>
        </w:rPr>
        <w:t>5, p. 345/trad. Taminiaux, p. 183.</w:t>
      </w:r>
    </w:p>
  </w:footnote>
  <w:footnote w:id="25">
    <w:p w:rsidR="00903949" w:rsidRPr="00903949" w:rsidRDefault="00903949">
      <w:pPr>
        <w:pStyle w:val="Notedebasdepage"/>
        <w:rPr>
          <w:lang w:val="en-US"/>
        </w:rPr>
      </w:pPr>
      <w:r>
        <w:rPr>
          <w:rStyle w:val="Appelnotedebasdep"/>
        </w:rPr>
        <w:footnoteRef/>
      </w:r>
      <w:r w:rsidRPr="00903949">
        <w:rPr>
          <w:lang w:val="en-US"/>
        </w:rPr>
        <w:t xml:space="preserve"> </w:t>
      </w:r>
      <w:r w:rsidRPr="00903949">
        <w:rPr>
          <w:i/>
          <w:lang w:val="en-US"/>
        </w:rPr>
        <w:t xml:space="preserve">GW </w:t>
      </w:r>
      <w:r w:rsidRPr="00903949">
        <w:rPr>
          <w:lang w:val="en-US"/>
        </w:rPr>
        <w:t>5, pp. 345-346/trad. Taminiaux, p. 183.</w:t>
      </w:r>
    </w:p>
  </w:footnote>
  <w:footnote w:id="26">
    <w:p w:rsidR="00903949" w:rsidRPr="00903949" w:rsidRDefault="00903949">
      <w:pPr>
        <w:pStyle w:val="Notedebasdepage"/>
      </w:pPr>
      <w:r>
        <w:rPr>
          <w:rStyle w:val="Appelnotedebasdep"/>
        </w:rPr>
        <w:footnoteRef/>
      </w:r>
      <w:r>
        <w:t xml:space="preserve"> </w:t>
      </w:r>
      <w:r w:rsidR="002C56E1">
        <w:t xml:space="preserve">Voir </w:t>
      </w:r>
      <w:r>
        <w:t xml:space="preserve">Karl Rosenkranz, </w:t>
      </w:r>
      <w:r>
        <w:rPr>
          <w:i/>
        </w:rPr>
        <w:t>Vie de Hegel</w:t>
      </w:r>
      <w:r>
        <w:t xml:space="preserve">, trad. </w:t>
      </w:r>
      <w:r w:rsidR="002C56E1">
        <w:t>Pierre Osmo, P</w:t>
      </w:r>
      <w:r>
        <w:t>ar</w:t>
      </w:r>
      <w:r w:rsidR="002C56E1">
        <w:t>is, Gallimard, 2004, pp. 244 sqq.</w:t>
      </w:r>
    </w:p>
  </w:footnote>
  <w:footnote w:id="27">
    <w:p w:rsidR="002C56E1" w:rsidRPr="002C56E1" w:rsidRDefault="002C56E1" w:rsidP="002C56E1">
      <w:pPr>
        <w:pStyle w:val="Notedebasdepage"/>
        <w:jc w:val="both"/>
      </w:pPr>
      <w:r>
        <w:rPr>
          <w:rStyle w:val="Appelnotedebasdep"/>
        </w:rPr>
        <w:footnoteRef/>
      </w:r>
      <w:r>
        <w:t xml:space="preserve"> Voir notre </w:t>
      </w:r>
      <w:r>
        <w:rPr>
          <w:i/>
        </w:rPr>
        <w:t>Critique et dialectique. L’itinéraire de Hegel à Iéna (1801-1805)</w:t>
      </w:r>
      <w:r>
        <w:t>, Bruxelles, Publications des Facultés universitaires Saint-Louis, 1982, pp. 319 sqq. (en particulier, pp. 326-327).</w:t>
      </w:r>
    </w:p>
  </w:footnote>
  <w:footnote w:id="28">
    <w:p w:rsidR="006032B2" w:rsidRPr="001B0869" w:rsidRDefault="006032B2" w:rsidP="00EE1E0E">
      <w:pPr>
        <w:pStyle w:val="Notedebasdepage"/>
        <w:jc w:val="both"/>
        <w:rPr>
          <w:lang w:val="en-US"/>
        </w:rPr>
      </w:pPr>
      <w:r>
        <w:rPr>
          <w:rStyle w:val="Appelnotedebasdep"/>
        </w:rPr>
        <w:footnoteRef/>
      </w:r>
      <w:r>
        <w:t xml:space="preserve"> </w:t>
      </w:r>
      <w:r w:rsidR="00EE1E0E">
        <w:t>Voir fragment  « </w:t>
      </w:r>
      <w:r w:rsidR="00EE1E0E">
        <w:rPr>
          <w:i/>
        </w:rPr>
        <w:t>Die Idee des absoluten Wesens…</w:t>
      </w:r>
      <w:r w:rsidR="00EE1E0E">
        <w:t> »</w:t>
      </w:r>
      <w:r w:rsidR="00EE1E0E">
        <w:rPr>
          <w:i/>
        </w:rPr>
        <w:t xml:space="preserve">  </w:t>
      </w:r>
      <w:r w:rsidR="00EE1E0E">
        <w:t xml:space="preserve">du cours </w:t>
      </w:r>
      <w:r w:rsidR="00EE1E0E">
        <w:rPr>
          <w:i/>
        </w:rPr>
        <w:t xml:space="preserve">Introductio in philosophiam </w:t>
      </w:r>
      <w:r w:rsidR="00EE1E0E">
        <w:t xml:space="preserve">de 1801/02, </w:t>
      </w:r>
      <w:r>
        <w:rPr>
          <w:i/>
        </w:rPr>
        <w:t xml:space="preserve">GW </w:t>
      </w:r>
      <w:r>
        <w:t>5, p. 264.</w:t>
      </w:r>
      <w:r w:rsidR="00EE1E0E">
        <w:t xml:space="preserve"> Nous ne pouvons nous enga</w:t>
      </w:r>
      <w:r w:rsidR="004452FB">
        <w:t>ger ici dans</w:t>
      </w:r>
      <w:r w:rsidR="00EE1E0E">
        <w:t xml:space="preserve"> la </w:t>
      </w:r>
      <w:r w:rsidR="00A81307">
        <w:t xml:space="preserve">délicate </w:t>
      </w:r>
      <w:r w:rsidR="004452FB">
        <w:t>question de l’articulation de</w:t>
      </w:r>
      <w:r w:rsidR="00EE1E0E">
        <w:t xml:space="preserve"> la religion et l’art, tel</w:t>
      </w:r>
      <w:r w:rsidR="004452FB">
        <w:t>le</w:t>
      </w:r>
      <w:r w:rsidR="00EE1E0E">
        <w:t xml:space="preserve"> que H</w:t>
      </w:r>
      <w:r w:rsidR="00856203">
        <w:t>e</w:t>
      </w:r>
      <w:r w:rsidR="004452FB">
        <w:t>gel la</w:t>
      </w:r>
      <w:r w:rsidR="00EE1E0E">
        <w:t xml:space="preserve"> conçoit à </w:t>
      </w:r>
      <w:r w:rsidR="00856203">
        <w:t>ce moment du développement de sa pensée. Notons simplement 1) que c’est dans la religion que l’art parvient à sa « suprême perfection esthétique » (</w:t>
      </w:r>
      <w:r w:rsidR="00856203">
        <w:rPr>
          <w:i/>
        </w:rPr>
        <w:t xml:space="preserve">GW </w:t>
      </w:r>
      <w:r w:rsidR="00856203">
        <w:t xml:space="preserve">4, p. 14/trad. Méry, </w:t>
      </w:r>
      <w:r w:rsidR="00484BB3">
        <w:rPr>
          <w:i/>
        </w:rPr>
        <w:t>op. cit.</w:t>
      </w:r>
      <w:r w:rsidR="00484BB3">
        <w:t xml:space="preserve">, </w:t>
      </w:r>
      <w:r w:rsidR="00856203">
        <w:t>p. 88), 2) q</w:t>
      </w:r>
      <w:r w:rsidR="004452FB">
        <w:t xml:space="preserve">u’il contribue </w:t>
      </w:r>
      <w:r w:rsidR="00856203">
        <w:t>au caractère « populaire »</w:t>
      </w:r>
      <w:r w:rsidR="004D411D">
        <w:t xml:space="preserve"> de la religion, étant ce dans quoi</w:t>
      </w:r>
      <w:r w:rsidR="00856203">
        <w:t>, sous la forme de l’ « œuvre »</w:t>
      </w:r>
      <w:r w:rsidR="004D411D">
        <w:t xml:space="preserve"> comme</w:t>
      </w:r>
      <w:r w:rsidR="00856203">
        <w:t xml:space="preserve"> </w:t>
      </w:r>
      <w:r w:rsidR="004D411D">
        <w:t>« </w:t>
      </w:r>
      <w:r w:rsidR="00856203">
        <w:t>produit</w:t>
      </w:r>
      <w:r w:rsidR="004D411D">
        <w:t> […] du génie », la vérité « appartient à l’humanité » et à « chaque [individu] singulier » (</w:t>
      </w:r>
      <w:r w:rsidR="004D411D">
        <w:rPr>
          <w:i/>
        </w:rPr>
        <w:t xml:space="preserve">GW </w:t>
      </w:r>
      <w:r w:rsidR="004D411D">
        <w:t>4, p. 75/trad. Méry, p.152), 3) que le lien entre l’art et la religion tend toutefois à se détend</w:t>
      </w:r>
      <w:r w:rsidR="00A81307">
        <w:t xml:space="preserve">re au fur et à mesure que la « puissance de la scission » se renforce, comme c’est </w:t>
      </w:r>
      <w:r w:rsidR="004452FB">
        <w:t xml:space="preserve">typiquement </w:t>
      </w:r>
      <w:r w:rsidR="00A81307">
        <w:t>le cas dans la culture moderne (</w:t>
      </w:r>
      <w:r w:rsidR="00A81307">
        <w:rPr>
          <w:i/>
        </w:rPr>
        <w:t xml:space="preserve">GW </w:t>
      </w:r>
      <w:r w:rsidR="00A81307">
        <w:t>4, pp. 14-15/trad. Méry, pp. 88-89</w:t>
      </w:r>
      <w:r w:rsidR="00296423">
        <w:t>)</w:t>
      </w:r>
      <w:r w:rsidR="00A81307">
        <w:t xml:space="preserve"> et 4) </w:t>
      </w:r>
      <w:r w:rsidR="00296423">
        <w:t>qu’enfin, « art et spéculation sont en leur essence le service divin » (</w:t>
      </w:r>
      <w:r w:rsidR="00296423">
        <w:rPr>
          <w:i/>
        </w:rPr>
        <w:t xml:space="preserve">GW </w:t>
      </w:r>
      <w:r w:rsidR="00296423">
        <w:t xml:space="preserve">4, p. 76/trad. Méry, p. 152), la religion étant ainsi ce qui vient rassembler </w:t>
      </w:r>
      <w:r w:rsidR="00EE5790">
        <w:t>en une même sphère</w:t>
      </w:r>
      <w:r w:rsidR="004452FB">
        <w:t xml:space="preserve"> </w:t>
      </w:r>
      <w:r w:rsidR="00296423">
        <w:t>ces deux expressions suprêmes de l’intuit</w:t>
      </w:r>
      <w:r w:rsidR="00EE5790">
        <w:t>ion de l’Absolu, thèse</w:t>
      </w:r>
      <w:r w:rsidR="00296423">
        <w:t xml:space="preserve"> qui se maintiendra au sein du système de la maturité (voir </w:t>
      </w:r>
      <w:r w:rsidR="00296423">
        <w:rPr>
          <w:i/>
        </w:rPr>
        <w:t xml:space="preserve">Encyclopédie </w:t>
      </w:r>
      <w:r w:rsidR="00296423">
        <w:t>1830, § 554</w:t>
      </w:r>
      <w:r w:rsidR="006D5693">
        <w:t>. Nous avons partiellement abordé ce point dans notre étude : « La philosophie comme service divin. Approche du rapport entre philosophie et religion</w:t>
      </w:r>
      <w:r w:rsidR="0093459F">
        <w:t xml:space="preserve"> chez Hegel</w:t>
      </w:r>
      <w:r w:rsidR="006D5693">
        <w:t xml:space="preserve"> », in </w:t>
      </w:r>
      <w:r w:rsidR="004452FB">
        <w:rPr>
          <w:i/>
        </w:rPr>
        <w:t xml:space="preserve">Philosophie et théologie. </w:t>
      </w:r>
      <w:r w:rsidR="004452FB" w:rsidRPr="001B0869">
        <w:rPr>
          <w:i/>
          <w:lang w:val="en-US"/>
        </w:rPr>
        <w:t>Festschrift Emilio Brito</w:t>
      </w:r>
      <w:r w:rsidR="004452FB" w:rsidRPr="001B0869">
        <w:rPr>
          <w:lang w:val="en-US"/>
        </w:rPr>
        <w:t>, L</w:t>
      </w:r>
      <w:r w:rsidR="00EE5790" w:rsidRPr="001B0869">
        <w:rPr>
          <w:lang w:val="en-US"/>
        </w:rPr>
        <w:t>euven University Press, 2007, pp</w:t>
      </w:r>
      <w:r w:rsidR="004452FB" w:rsidRPr="001B0869">
        <w:rPr>
          <w:lang w:val="en-US"/>
        </w:rPr>
        <w:t>. 85-103).</w:t>
      </w:r>
    </w:p>
  </w:footnote>
  <w:footnote w:id="29">
    <w:p w:rsidR="004E4C57" w:rsidRPr="004E4C57" w:rsidRDefault="004E4C57">
      <w:pPr>
        <w:pStyle w:val="Notedebasdepage"/>
      </w:pPr>
      <w:r>
        <w:rPr>
          <w:rStyle w:val="Appelnotedebasdep"/>
        </w:rPr>
        <w:footnoteRef/>
      </w:r>
      <w:r w:rsidRPr="001B0869">
        <w:rPr>
          <w:lang w:val="en-US"/>
        </w:rPr>
        <w:t xml:space="preserve"> R. Haym, </w:t>
      </w:r>
      <w:r w:rsidRPr="001B0869">
        <w:rPr>
          <w:i/>
          <w:lang w:val="en-US"/>
        </w:rPr>
        <w:t>Hegel et son temps</w:t>
      </w:r>
      <w:r w:rsidRPr="001B0869">
        <w:rPr>
          <w:lang w:val="en-US"/>
        </w:rPr>
        <w:t xml:space="preserve">, trad. </w:t>
      </w:r>
      <w:r>
        <w:t>Pierre Osmo, Paris, Gallimard, 2008, p. 288.</w:t>
      </w:r>
    </w:p>
  </w:footnote>
  <w:footnote w:id="30">
    <w:p w:rsidR="009F3D23" w:rsidRPr="001B0869" w:rsidRDefault="009F3D23">
      <w:pPr>
        <w:pStyle w:val="Notedebasdepage"/>
      </w:pPr>
      <w:r>
        <w:rPr>
          <w:rStyle w:val="Appelnotedebasdep"/>
        </w:rPr>
        <w:footnoteRef/>
      </w:r>
      <w:r w:rsidRPr="001B0869">
        <w:t xml:space="preserve"> K. Rosenkranz, </w:t>
      </w:r>
      <w:r w:rsidRPr="001B0869">
        <w:rPr>
          <w:i/>
        </w:rPr>
        <w:t>op. cit.</w:t>
      </w:r>
      <w:r w:rsidRPr="001B0869">
        <w:t>, p. 338.</w:t>
      </w:r>
    </w:p>
  </w:footnote>
  <w:footnote w:id="31">
    <w:p w:rsidR="00984250" w:rsidRPr="00984250" w:rsidRDefault="00984250" w:rsidP="00984250">
      <w:pPr>
        <w:pStyle w:val="Notedebasdepage"/>
        <w:jc w:val="both"/>
      </w:pPr>
      <w:r>
        <w:rPr>
          <w:rStyle w:val="Appelnotedebasdep"/>
        </w:rPr>
        <w:footnoteRef/>
      </w:r>
      <w:r>
        <w:t xml:space="preserve"> </w:t>
      </w:r>
      <w:r>
        <w:rPr>
          <w:i/>
        </w:rPr>
        <w:t xml:space="preserve">LHP </w:t>
      </w:r>
      <w:r>
        <w:t>1, Av</w:t>
      </w:r>
      <w:r w:rsidR="00EE5790">
        <w:t>ant-propos de Michelet, trad. Pierre</w:t>
      </w:r>
      <w:r>
        <w:t xml:space="preserve"> Garniron, p. 17. On notera toutefois que Michelet, ayant rassemblé en un texte continu les témoignages à sa disposition issus des différents cours sur l’h</w:t>
      </w:r>
      <w:r w:rsidR="004452FB">
        <w:t>istoire de la philosophie dispen</w:t>
      </w:r>
      <w:r>
        <w:t>sés par Hegel (qui a tenu à neuf reprises des leçons sur ce sujet) afin de « donner l’impression d’un tout qui serait né d’un seul jet de l’esprit de l’auteur » (</w:t>
      </w:r>
      <w:r>
        <w:rPr>
          <w:i/>
        </w:rPr>
        <w:t>ibid.</w:t>
      </w:r>
      <w:r>
        <w:t>), rend difficile, sinon impossible, une délimitation exacte de ces cours.</w:t>
      </w:r>
    </w:p>
  </w:footnote>
  <w:footnote w:id="32">
    <w:p w:rsidR="008C7190" w:rsidRPr="00980A45" w:rsidRDefault="008C7190">
      <w:pPr>
        <w:pStyle w:val="Notedebasdepage"/>
        <w:rPr>
          <w:lang w:val="en-US"/>
        </w:rPr>
      </w:pPr>
      <w:r>
        <w:rPr>
          <w:rStyle w:val="Appelnotedebasdep"/>
        </w:rPr>
        <w:footnoteRef/>
      </w:r>
      <w:r w:rsidRPr="00980A45">
        <w:rPr>
          <w:lang w:val="en-US"/>
        </w:rPr>
        <w:t xml:space="preserve"> K. Rosenkranz, </w:t>
      </w:r>
      <w:r w:rsidRPr="00980A45">
        <w:rPr>
          <w:i/>
          <w:lang w:val="en-US"/>
        </w:rPr>
        <w:t>op. cit.</w:t>
      </w:r>
      <w:r w:rsidRPr="00980A45">
        <w:rPr>
          <w:lang w:val="en-US"/>
        </w:rPr>
        <w:t>, pp. 338-339.</w:t>
      </w:r>
    </w:p>
  </w:footnote>
  <w:footnote w:id="33">
    <w:p w:rsidR="009E0CCA" w:rsidRDefault="009E0CCA">
      <w:pPr>
        <w:pStyle w:val="Notedebasdepage"/>
      </w:pPr>
      <w:r>
        <w:rPr>
          <w:rStyle w:val="Appelnotedebasdep"/>
        </w:rPr>
        <w:footnoteRef/>
      </w:r>
      <w:r>
        <w:t xml:space="preserve"> Sans doute Hegel pense-t-il ici à Fichte.</w:t>
      </w:r>
    </w:p>
  </w:footnote>
  <w:footnote w:id="34">
    <w:p w:rsidR="009E0CCA" w:rsidRPr="00980A45" w:rsidRDefault="009E0CCA">
      <w:pPr>
        <w:pStyle w:val="Notedebasdepage"/>
        <w:rPr>
          <w:lang w:val="en-US"/>
        </w:rPr>
      </w:pPr>
      <w:r>
        <w:rPr>
          <w:rStyle w:val="Appelnotedebasdep"/>
        </w:rPr>
        <w:footnoteRef/>
      </w:r>
      <w:r w:rsidRPr="00980A45">
        <w:rPr>
          <w:lang w:val="en-US"/>
        </w:rPr>
        <w:t xml:space="preserve"> </w:t>
      </w:r>
      <w:r w:rsidRPr="00980A45">
        <w:rPr>
          <w:i/>
          <w:lang w:val="en-US"/>
        </w:rPr>
        <w:t xml:space="preserve">W </w:t>
      </w:r>
      <w:r w:rsidRPr="00980A45">
        <w:rPr>
          <w:lang w:val="en-US"/>
        </w:rPr>
        <w:t>19, p. 158/</w:t>
      </w:r>
      <w:r w:rsidRPr="00980A45">
        <w:rPr>
          <w:i/>
          <w:lang w:val="en-US"/>
        </w:rPr>
        <w:t xml:space="preserve">LHP </w:t>
      </w:r>
      <w:r w:rsidRPr="00980A45">
        <w:rPr>
          <w:lang w:val="en-US"/>
        </w:rPr>
        <w:t>3, pp. 524-525.</w:t>
      </w:r>
    </w:p>
  </w:footnote>
  <w:footnote w:id="35">
    <w:p w:rsidR="009E0CCA" w:rsidRPr="00980A45" w:rsidRDefault="009E0CCA">
      <w:pPr>
        <w:pStyle w:val="Notedebasdepage"/>
        <w:rPr>
          <w:lang w:val="en-US"/>
        </w:rPr>
      </w:pPr>
      <w:r>
        <w:rPr>
          <w:rStyle w:val="Appelnotedebasdep"/>
        </w:rPr>
        <w:footnoteRef/>
      </w:r>
      <w:r w:rsidRPr="00980A45">
        <w:rPr>
          <w:lang w:val="en-US"/>
        </w:rPr>
        <w:t xml:space="preserve"> </w:t>
      </w:r>
      <w:r w:rsidRPr="00980A45">
        <w:rPr>
          <w:i/>
          <w:lang w:val="en-US"/>
        </w:rPr>
        <w:t xml:space="preserve">W </w:t>
      </w:r>
      <w:r w:rsidRPr="00980A45">
        <w:rPr>
          <w:lang w:val="en-US"/>
        </w:rPr>
        <w:t>19, p. 161/</w:t>
      </w:r>
      <w:r w:rsidRPr="00980A45">
        <w:rPr>
          <w:i/>
          <w:lang w:val="en-US"/>
        </w:rPr>
        <w:t xml:space="preserve">LHP </w:t>
      </w:r>
      <w:r w:rsidRPr="00980A45">
        <w:rPr>
          <w:lang w:val="en-US"/>
        </w:rPr>
        <w:t>3, p. 527.</w:t>
      </w:r>
    </w:p>
  </w:footnote>
  <w:footnote w:id="36">
    <w:p w:rsidR="009E0CCA" w:rsidRPr="00BE0146" w:rsidRDefault="009E0CCA">
      <w:pPr>
        <w:pStyle w:val="Notedebasdepage"/>
      </w:pPr>
      <w:r>
        <w:rPr>
          <w:rStyle w:val="Appelnotedebasdep"/>
        </w:rPr>
        <w:footnoteRef/>
      </w:r>
      <w:r>
        <w:t xml:space="preserve"> </w:t>
      </w:r>
      <w:r>
        <w:rPr>
          <w:i/>
        </w:rPr>
        <w:t xml:space="preserve">W </w:t>
      </w:r>
      <w:r>
        <w:t xml:space="preserve">19, p. </w:t>
      </w:r>
      <w:r w:rsidR="00BE0146">
        <w:t>246/</w:t>
      </w:r>
      <w:r w:rsidR="00BE0146">
        <w:rPr>
          <w:i/>
        </w:rPr>
        <w:t xml:space="preserve">LHP </w:t>
      </w:r>
      <w:r w:rsidR="00BE0146">
        <w:t>3, p. 610.</w:t>
      </w:r>
    </w:p>
  </w:footnote>
  <w:footnote w:id="37">
    <w:p w:rsidR="004A5F47" w:rsidRDefault="004A5F47">
      <w:pPr>
        <w:pStyle w:val="Notedebasdepage"/>
      </w:pPr>
      <w:r>
        <w:rPr>
          <w:rStyle w:val="Appelnotedebasdep"/>
        </w:rPr>
        <w:footnoteRef/>
      </w:r>
      <w:r>
        <w:t xml:space="preserve"> Voir ci-dessus note 6. </w:t>
      </w:r>
    </w:p>
  </w:footnote>
  <w:footnote w:id="38">
    <w:p w:rsidR="004A5F47" w:rsidRPr="00567BDC" w:rsidRDefault="004A5F47" w:rsidP="00567BDC">
      <w:pPr>
        <w:pStyle w:val="Notedebasdepage"/>
        <w:jc w:val="both"/>
      </w:pPr>
      <w:r>
        <w:rPr>
          <w:rStyle w:val="Appelnotedebasdep"/>
        </w:rPr>
        <w:footnoteRef/>
      </w:r>
      <w:r>
        <w:t xml:space="preserve"> </w:t>
      </w:r>
      <w:r w:rsidR="00567BDC">
        <w:rPr>
          <w:i/>
        </w:rPr>
        <w:t xml:space="preserve">GW </w:t>
      </w:r>
      <w:r w:rsidR="00567BDC">
        <w:t xml:space="preserve">4, p. 126/trad. Fauquet, </w:t>
      </w:r>
      <w:r w:rsidR="00567BDC">
        <w:rPr>
          <w:i/>
        </w:rPr>
        <w:t>op. cit.</w:t>
      </w:r>
      <w:r w:rsidR="00567BDC">
        <w:t xml:space="preserve">, p. 97. On notera encore sur ce point, dans le cours </w:t>
      </w:r>
      <w:r w:rsidR="00567BDC">
        <w:rPr>
          <w:i/>
        </w:rPr>
        <w:t>Logica et metaphysica</w:t>
      </w:r>
      <w:r w:rsidR="00567BDC">
        <w:t xml:space="preserve"> de l’hiver 1801/02, la déclaration par laquelle Hegel annonce l’horizon général de son propos : « je ne</w:t>
      </w:r>
      <w:r w:rsidR="00A27A73">
        <w:t xml:space="preserve"> vous</w:t>
      </w:r>
      <w:r w:rsidR="00567BDC">
        <w:t xml:space="preserve"> promets donc non seulement</w:t>
      </w:r>
      <w:r w:rsidR="00A27A73">
        <w:t xml:space="preserve"> rien de neuf, mais à proprement parler de rétablir dans mes efforts philosophiques </w:t>
      </w:r>
      <w:r w:rsidR="00567BDC">
        <w:t>l’ancien le plus ancien (</w:t>
      </w:r>
      <w:r w:rsidR="00567BDC">
        <w:rPr>
          <w:i/>
        </w:rPr>
        <w:t>das älteste Alte</w:t>
      </w:r>
      <w:r w:rsidR="00567BDC">
        <w:t xml:space="preserve">) et </w:t>
      </w:r>
      <w:r w:rsidR="00A27A73">
        <w:t xml:space="preserve">de </w:t>
      </w:r>
      <w:r w:rsidR="00567BDC">
        <w:t>le libérer du malentendu dans lequel l’ont enseveli les temps modernes de la non-philosophie (</w:t>
      </w:r>
      <w:r w:rsidR="00567BDC">
        <w:rPr>
          <w:i/>
        </w:rPr>
        <w:t>die neuern Zeiten der Unphilosophie</w:t>
      </w:r>
      <w:r w:rsidR="00567BDC">
        <w:t>)</w:t>
      </w:r>
      <w:r w:rsidR="00A27A73">
        <w:t> »</w:t>
      </w:r>
      <w:r w:rsidR="00567BDC">
        <w:t xml:space="preserve"> (</w:t>
      </w:r>
      <w:r w:rsidR="00567BDC">
        <w:rPr>
          <w:i/>
        </w:rPr>
        <w:t xml:space="preserve">GW </w:t>
      </w:r>
      <w:r w:rsidR="00567BDC">
        <w:t>5, p. 274).</w:t>
      </w:r>
    </w:p>
  </w:footnote>
  <w:footnote w:id="39">
    <w:p w:rsidR="00913FA6" w:rsidRPr="00913FA6" w:rsidRDefault="00913FA6">
      <w:pPr>
        <w:pStyle w:val="Notedebasdepage"/>
      </w:pPr>
      <w:r>
        <w:rPr>
          <w:rStyle w:val="Appelnotedebasdep"/>
        </w:rPr>
        <w:footnoteRef/>
      </w:r>
      <w:r>
        <w:t xml:space="preserve"> </w:t>
      </w:r>
      <w:r>
        <w:rPr>
          <w:i/>
        </w:rPr>
        <w:t xml:space="preserve">GW </w:t>
      </w:r>
      <w:r>
        <w:t xml:space="preserve">4, p. 447/trad. Bourgeois, </w:t>
      </w:r>
      <w:r>
        <w:rPr>
          <w:i/>
        </w:rPr>
        <w:t>op. cit.</w:t>
      </w:r>
      <w:r>
        <w:t>, p. 51.</w:t>
      </w:r>
    </w:p>
  </w:footnote>
  <w:footnote w:id="40">
    <w:p w:rsidR="005F7E5D" w:rsidRPr="005F7E5D" w:rsidRDefault="005F7E5D" w:rsidP="005F7E5D">
      <w:pPr>
        <w:pStyle w:val="Notedebasdepage"/>
        <w:jc w:val="both"/>
      </w:pPr>
      <w:r>
        <w:rPr>
          <w:rStyle w:val="Appelnotedebasdep"/>
        </w:rPr>
        <w:footnoteRef/>
      </w:r>
      <w:r>
        <w:t xml:space="preserve"> Il thématisera ce point dans la Préface de la </w:t>
      </w:r>
      <w:r>
        <w:rPr>
          <w:i/>
        </w:rPr>
        <w:t xml:space="preserve">Phénoménologie de l’esprit </w:t>
      </w:r>
      <w:r>
        <w:t>où, comme on le sait, il dénoncera explicitement le formalisme dont est, à son gré, demeuré prisonnier le système de l’identité de Schelling.</w:t>
      </w:r>
    </w:p>
  </w:footnote>
  <w:footnote w:id="41">
    <w:p w:rsidR="005C04C3" w:rsidRPr="00F3435C" w:rsidRDefault="005C04C3" w:rsidP="005C04C3">
      <w:pPr>
        <w:pStyle w:val="Notedebasdepage"/>
        <w:jc w:val="both"/>
      </w:pPr>
      <w:r>
        <w:rPr>
          <w:rStyle w:val="Appelnotedebasdep"/>
        </w:rPr>
        <w:footnoteRef/>
      </w:r>
      <w:r w:rsidR="00A27A73">
        <w:t xml:space="preserve"> Au moins depuis Anaxagore, pour qui c’est le </w:t>
      </w:r>
      <w:r w:rsidR="00A27A73">
        <w:rPr>
          <w:i/>
        </w:rPr>
        <w:t xml:space="preserve">nous </w:t>
      </w:r>
      <w:r w:rsidR="00A27A73">
        <w:t>qui gouverne le monde</w:t>
      </w:r>
      <w:r w:rsidR="00151795">
        <w:t>, Hegel découvr</w:t>
      </w:r>
      <w:r w:rsidR="00F3435C">
        <w:t>e des ébauches de la subjectivité de l’Idée au sein de la philosophie grecque. Mentionnons encore les Sophistes et</w:t>
      </w:r>
      <w:r w:rsidR="00151795">
        <w:t>, surtout,</w:t>
      </w:r>
      <w:r w:rsidR="00F3435C">
        <w:t xml:space="preserve"> Socrate avec qui, écrit Hegel, « commence l’ère de la réflexion subjective, la position de l’absolu comme sujet » (</w:t>
      </w:r>
      <w:r w:rsidR="00F3435C">
        <w:rPr>
          <w:i/>
        </w:rPr>
        <w:t xml:space="preserve">W </w:t>
      </w:r>
      <w:r w:rsidR="001B0869">
        <w:t>18, p.</w:t>
      </w:r>
      <w:bookmarkStart w:id="0" w:name="_GoBack"/>
      <w:bookmarkEnd w:id="0"/>
      <w:r w:rsidR="001B0869">
        <w:t xml:space="preserve"> 404</w:t>
      </w:r>
      <w:r w:rsidR="00F3435C">
        <w:t>/</w:t>
      </w:r>
      <w:r w:rsidR="00F3435C">
        <w:rPr>
          <w:i/>
        </w:rPr>
        <w:t xml:space="preserve">LHP </w:t>
      </w:r>
      <w:r w:rsidR="00F3435C">
        <w:t>2, p. 239).</w:t>
      </w:r>
    </w:p>
  </w:footnote>
  <w:footnote w:id="42">
    <w:p w:rsidR="00682791" w:rsidRPr="00F1304D" w:rsidRDefault="00682791">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153/</w:t>
      </w:r>
      <w:r w:rsidRPr="00F1304D">
        <w:rPr>
          <w:i/>
          <w:lang w:val="en-US"/>
        </w:rPr>
        <w:t xml:space="preserve">LHP </w:t>
      </w:r>
      <w:r w:rsidRPr="00F1304D">
        <w:rPr>
          <w:lang w:val="en-US"/>
        </w:rPr>
        <w:t>3, p. 517.</w:t>
      </w:r>
    </w:p>
  </w:footnote>
  <w:footnote w:id="43">
    <w:p w:rsidR="00A7725B" w:rsidRPr="00F1304D" w:rsidRDefault="00A7725B">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152/</w:t>
      </w:r>
      <w:r w:rsidRPr="00F1304D">
        <w:rPr>
          <w:i/>
          <w:lang w:val="en-US"/>
        </w:rPr>
        <w:t xml:space="preserve">LHP </w:t>
      </w:r>
      <w:r w:rsidRPr="00F1304D">
        <w:rPr>
          <w:lang w:val="en-US"/>
        </w:rPr>
        <w:t>3, p. 517.</w:t>
      </w:r>
    </w:p>
  </w:footnote>
  <w:footnote w:id="44">
    <w:p w:rsidR="00516AAF" w:rsidRPr="00516AAF" w:rsidRDefault="00516AAF" w:rsidP="00516AAF">
      <w:pPr>
        <w:pStyle w:val="Notedebasdepage"/>
        <w:jc w:val="both"/>
      </w:pPr>
      <w:r>
        <w:rPr>
          <w:rStyle w:val="Appelnotedebasdep"/>
        </w:rPr>
        <w:footnoteRef/>
      </w:r>
      <w:r>
        <w:t xml:space="preserve"> </w:t>
      </w:r>
      <w:r>
        <w:rPr>
          <w:i/>
        </w:rPr>
        <w:t xml:space="preserve">W </w:t>
      </w:r>
      <w:r>
        <w:t>19, pp. 152-153 et 155/</w:t>
      </w:r>
      <w:r>
        <w:rPr>
          <w:i/>
        </w:rPr>
        <w:t>LHP</w:t>
      </w:r>
      <w:r>
        <w:t xml:space="preserve"> 3, pp. 517 et 519-521. Dans l’addition au § 142 de l’</w:t>
      </w:r>
      <w:r>
        <w:rPr>
          <w:i/>
        </w:rPr>
        <w:t>Encyclopédie</w:t>
      </w:r>
      <w:r>
        <w:t xml:space="preserve">, Hegel observe « que l’Idée platonicienne est caractérisée comme simple </w:t>
      </w:r>
      <w:r>
        <w:rPr>
          <w:i/>
        </w:rPr>
        <w:t>dunamis</w:t>
      </w:r>
      <w:r>
        <w:t> ».</w:t>
      </w:r>
    </w:p>
  </w:footnote>
  <w:footnote w:id="45">
    <w:p w:rsidR="00516AAF" w:rsidRPr="00516AAF" w:rsidRDefault="00516AAF" w:rsidP="00516AAF">
      <w:pPr>
        <w:pStyle w:val="Notedebasdepage"/>
        <w:jc w:val="both"/>
      </w:pPr>
      <w:r>
        <w:rPr>
          <w:rStyle w:val="Appelnotedebasdep"/>
        </w:rPr>
        <w:footnoteRef/>
      </w:r>
      <w:r>
        <w:t xml:space="preserve"> </w:t>
      </w:r>
      <w:r>
        <w:rPr>
          <w:i/>
        </w:rPr>
        <w:t xml:space="preserve">W </w:t>
      </w:r>
      <w:r>
        <w:t>19, p. 65/</w:t>
      </w:r>
      <w:r>
        <w:rPr>
          <w:i/>
        </w:rPr>
        <w:t xml:space="preserve">LHP </w:t>
      </w:r>
      <w:r w:rsidR="00C71188">
        <w:t>3, p. 436. Et c</w:t>
      </w:r>
      <w:r>
        <w:t>’est e</w:t>
      </w:r>
      <w:r w:rsidR="00C71188">
        <w:t>n cela, ajout</w:t>
      </w:r>
      <w:r>
        <w:t>e Hegel, que la dialectique platonicienne est</w:t>
      </w:r>
      <w:r w:rsidR="00C71188">
        <w:t xml:space="preserve"> « spéculative, en tant qu’elle ne se termine pas par un résultat négatif, mais […] montre la réunion des opposés qui se sont annulés ».</w:t>
      </w:r>
    </w:p>
  </w:footnote>
  <w:footnote w:id="46">
    <w:p w:rsidR="00C71188" w:rsidRPr="00F1304D" w:rsidRDefault="00C71188">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65/</w:t>
      </w:r>
      <w:r w:rsidRPr="00F1304D">
        <w:rPr>
          <w:i/>
          <w:lang w:val="en-US"/>
        </w:rPr>
        <w:t>LHP</w:t>
      </w:r>
      <w:r w:rsidRPr="00F1304D">
        <w:rPr>
          <w:lang w:val="en-US"/>
        </w:rPr>
        <w:t xml:space="preserve"> 3, p. 436.</w:t>
      </w:r>
    </w:p>
  </w:footnote>
  <w:footnote w:id="47">
    <w:p w:rsidR="00C71188" w:rsidRPr="00F1304D" w:rsidRDefault="00C71188">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66/</w:t>
      </w:r>
      <w:r w:rsidRPr="00F1304D">
        <w:rPr>
          <w:i/>
          <w:lang w:val="en-US"/>
        </w:rPr>
        <w:t xml:space="preserve">LHP </w:t>
      </w:r>
      <w:r w:rsidRPr="00F1304D">
        <w:rPr>
          <w:lang w:val="en-US"/>
        </w:rPr>
        <w:t>3, p. 437. </w:t>
      </w:r>
    </w:p>
  </w:footnote>
  <w:footnote w:id="48">
    <w:p w:rsidR="00DE1729" w:rsidRPr="00F1304D" w:rsidRDefault="00DE1729">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69/</w:t>
      </w:r>
      <w:r w:rsidRPr="00F1304D">
        <w:rPr>
          <w:i/>
          <w:lang w:val="en-US"/>
        </w:rPr>
        <w:t xml:space="preserve">LHP </w:t>
      </w:r>
      <w:r w:rsidRPr="00F1304D">
        <w:rPr>
          <w:lang w:val="en-US"/>
        </w:rPr>
        <w:t>3, p. 439.</w:t>
      </w:r>
    </w:p>
  </w:footnote>
  <w:footnote w:id="49">
    <w:p w:rsidR="00DE1729" w:rsidRPr="00F1304D" w:rsidRDefault="00DE1729">
      <w:pPr>
        <w:pStyle w:val="Notedebasdepage"/>
        <w:rPr>
          <w:lang w:val="en-US"/>
        </w:rPr>
      </w:pPr>
      <w:r>
        <w:rPr>
          <w:rStyle w:val="Appelnotedebasdep"/>
        </w:rPr>
        <w:footnoteRef/>
      </w:r>
      <w:r w:rsidRPr="00F1304D">
        <w:rPr>
          <w:lang w:val="en-US"/>
        </w:rPr>
        <w:t xml:space="preserve"> </w:t>
      </w:r>
      <w:r w:rsidRPr="00F1304D">
        <w:rPr>
          <w:i/>
          <w:lang w:val="en-US"/>
        </w:rPr>
        <w:t xml:space="preserve">W </w:t>
      </w:r>
      <w:r w:rsidRPr="00F1304D">
        <w:rPr>
          <w:lang w:val="en-US"/>
        </w:rPr>
        <w:t>19, p. 16/</w:t>
      </w:r>
      <w:r w:rsidRPr="00F1304D">
        <w:rPr>
          <w:i/>
          <w:lang w:val="en-US"/>
        </w:rPr>
        <w:t xml:space="preserve">LHP </w:t>
      </w:r>
      <w:r w:rsidRPr="00F1304D">
        <w:rPr>
          <w:lang w:val="en-US"/>
        </w:rPr>
        <w:t>3, p. 393.</w:t>
      </w:r>
    </w:p>
  </w:footnote>
  <w:footnote w:id="50">
    <w:p w:rsidR="003D6F3E" w:rsidRPr="001A7FA7" w:rsidRDefault="003D6F3E" w:rsidP="003D6F3E">
      <w:pPr>
        <w:pStyle w:val="Notedebasdepage"/>
        <w:jc w:val="both"/>
      </w:pPr>
      <w:r>
        <w:rPr>
          <w:rStyle w:val="Appelnotedebasdep"/>
        </w:rPr>
        <w:footnoteRef/>
      </w:r>
      <w:r>
        <w:t xml:space="preserve"> </w:t>
      </w:r>
      <w:r>
        <w:rPr>
          <w:i/>
        </w:rPr>
        <w:t xml:space="preserve">W </w:t>
      </w:r>
      <w:r>
        <w:t>19, p. 34/</w:t>
      </w:r>
      <w:r>
        <w:rPr>
          <w:i/>
        </w:rPr>
        <w:t xml:space="preserve">LHP </w:t>
      </w:r>
      <w:r>
        <w:t>3, p. 409. Certes, Hegel revient dans les leçons de Berlin sur la relation d’Aristote avec Alexandre le Grand et il en remarque la fécondité. Mais il montre en même temps ici que la perspective est tout a</w:t>
      </w:r>
      <w:r w:rsidR="001A7FA7">
        <w:t>utre que chez</w:t>
      </w:r>
      <w:r>
        <w:t xml:space="preserve"> Platon : il ne s’agit pas pour Aristote de faire passer dans le réel son idée de l’Etat par l’intermédiaire d’Alexandre (comme Platon cherchait à le faire par l’intermédiaire de Denys de Syracuse</w:t>
      </w:r>
      <w:r w:rsidR="001A7FA7">
        <w:t>) ; avec lui, « ce dessein disparaissait ; son projet était seulement d’élever, de former l’individu, l’individualité comme telle » (</w:t>
      </w:r>
      <w:r w:rsidR="001A7FA7">
        <w:rPr>
          <w:i/>
        </w:rPr>
        <w:t xml:space="preserve">W </w:t>
      </w:r>
      <w:r w:rsidR="00F3435C">
        <w:t>19, p. 136</w:t>
      </w:r>
      <w:r w:rsidR="001A7FA7">
        <w:t>/</w:t>
      </w:r>
      <w:r w:rsidR="001A7FA7">
        <w:rPr>
          <w:i/>
        </w:rPr>
        <w:t xml:space="preserve">LHP </w:t>
      </w:r>
      <w:r w:rsidR="001A7FA7">
        <w:t>3, p. 503). On notera la différence d’interprétation par rapport à celle qu’on a tout à l’heure évoquée dans le contexte des premières années d’Iéna, alors que Hegel lisait la relation d’Aristote avec Alexandre à la lumière du philosophe-roi de Platon.</w:t>
      </w:r>
    </w:p>
  </w:footnote>
  <w:footnote w:id="51">
    <w:p w:rsidR="00F1304D" w:rsidRPr="00F3435C" w:rsidRDefault="00F1304D" w:rsidP="00F1304D">
      <w:pPr>
        <w:pStyle w:val="Notedebasdepage"/>
        <w:jc w:val="both"/>
      </w:pPr>
      <w:r>
        <w:rPr>
          <w:rStyle w:val="Appelnotedebasdep"/>
        </w:rPr>
        <w:footnoteRef/>
      </w:r>
      <w:r>
        <w:t xml:space="preserve"> Nous nous permettons de renvoyer pour plus de d</w:t>
      </w:r>
      <w:r w:rsidR="00F3435C">
        <w:t>étails à notre article</w:t>
      </w:r>
      <w:r>
        <w:t xml:space="preserve"> sur « Hegel, lecteur de la métaphysique d’Aristote</w:t>
      </w:r>
      <w:r w:rsidR="00F3435C">
        <w:t xml:space="preserve">. La substance en tant que sujet », in </w:t>
      </w:r>
      <w:r w:rsidR="00F3435C">
        <w:rPr>
          <w:i/>
        </w:rPr>
        <w:t>Revue de métaphysique et de morale</w:t>
      </w:r>
      <w:r w:rsidR="00F3435C">
        <w:t>, avril-juin 2012 – N° 2, pp. 195-223.</w:t>
      </w:r>
    </w:p>
  </w:footnote>
  <w:footnote w:id="52">
    <w:p w:rsidR="00F1304D" w:rsidRPr="000046C0" w:rsidRDefault="00F1304D" w:rsidP="00F1304D">
      <w:pPr>
        <w:pStyle w:val="Notedebasdepage"/>
        <w:jc w:val="both"/>
      </w:pPr>
      <w:r>
        <w:rPr>
          <w:rStyle w:val="Appelnotedebasdep"/>
        </w:rPr>
        <w:footnoteRef/>
      </w:r>
      <w:r>
        <w:t xml:space="preserve"> Nous ne nous engagerons pas ici dans le débat autour de cette traduction tel qu’il s’est noué depuis les remarques critiques de Heidegger dans son </w:t>
      </w:r>
      <w:r>
        <w:rPr>
          <w:i/>
        </w:rPr>
        <w:t>Nietzsche</w:t>
      </w:r>
      <w:r>
        <w:t xml:space="preserve"> (voir, dans le deuxième volume, le paragraphe intitulé : « Der Wandel der </w:t>
      </w:r>
      <w:r>
        <w:rPr>
          <w:i/>
        </w:rPr>
        <w:t xml:space="preserve">energeia </w:t>
      </w:r>
      <w:r>
        <w:t xml:space="preserve">zur </w:t>
      </w:r>
      <w:r>
        <w:rPr>
          <w:i/>
        </w:rPr>
        <w:t>actualitas</w:t>
      </w:r>
      <w:r>
        <w:t xml:space="preserve"> »). </w:t>
      </w:r>
      <w:r w:rsidR="000046C0">
        <w:t>Notons seulement que la traduction d’</w:t>
      </w:r>
      <w:r w:rsidR="000046C0">
        <w:rPr>
          <w:i/>
        </w:rPr>
        <w:t xml:space="preserve">energeia </w:t>
      </w:r>
      <w:r w:rsidR="000046C0">
        <w:t xml:space="preserve">par </w:t>
      </w:r>
      <w:r w:rsidR="000046C0">
        <w:rPr>
          <w:i/>
        </w:rPr>
        <w:t>Wirklichkeit</w:t>
      </w:r>
      <w:r w:rsidR="000046C0">
        <w:t xml:space="preserve"> est profondément pensée par Hegel dans la mesure où il y voit un mode d’être tout à fait spécifique qu’il distingue avec soin de ceux d’être-là (</w:t>
      </w:r>
      <w:r w:rsidR="000046C0">
        <w:rPr>
          <w:i/>
        </w:rPr>
        <w:t>Dasein</w:t>
      </w:r>
      <w:r w:rsidR="000046C0">
        <w:t>), réalité (</w:t>
      </w:r>
      <w:r w:rsidR="000046C0">
        <w:rPr>
          <w:i/>
        </w:rPr>
        <w:t>Realität</w:t>
      </w:r>
      <w:r w:rsidR="000046C0">
        <w:t>) ou d’existence (</w:t>
      </w:r>
      <w:r w:rsidR="000046C0">
        <w:rPr>
          <w:i/>
        </w:rPr>
        <w:t>Existenz</w:t>
      </w:r>
      <w:r w:rsidR="000046C0">
        <w:t>). Voir sur ce point le § 6 de l’</w:t>
      </w:r>
      <w:r w:rsidR="000046C0">
        <w:rPr>
          <w:i/>
        </w:rPr>
        <w:t>Encyclopédie</w:t>
      </w:r>
      <w:r w:rsidR="000046C0">
        <w:t xml:space="preserve"> (1830).</w:t>
      </w:r>
    </w:p>
  </w:footnote>
  <w:footnote w:id="53">
    <w:p w:rsidR="00264DE5" w:rsidRPr="00264DE5" w:rsidRDefault="00264DE5">
      <w:pPr>
        <w:pStyle w:val="Notedebasdepage"/>
      </w:pPr>
      <w:r>
        <w:rPr>
          <w:rStyle w:val="Appelnotedebasdep"/>
        </w:rPr>
        <w:footnoteRef/>
      </w:r>
      <w:r>
        <w:t xml:space="preserve"> </w:t>
      </w:r>
      <w:r w:rsidR="00F3435C">
        <w:t xml:space="preserve">Voir </w:t>
      </w:r>
      <w:r>
        <w:rPr>
          <w:i/>
        </w:rPr>
        <w:t xml:space="preserve">W </w:t>
      </w:r>
      <w:r>
        <w:t>19, pp. 154-155/</w:t>
      </w:r>
      <w:r>
        <w:rPr>
          <w:i/>
        </w:rPr>
        <w:t xml:space="preserve">LHP </w:t>
      </w:r>
      <w:r>
        <w:t>3, pp. 518-520.</w:t>
      </w:r>
    </w:p>
  </w:footnote>
  <w:footnote w:id="54">
    <w:p w:rsidR="002E110D" w:rsidRPr="002E110D" w:rsidRDefault="002E110D">
      <w:pPr>
        <w:pStyle w:val="Notedebasdepage"/>
      </w:pPr>
      <w:r>
        <w:rPr>
          <w:rStyle w:val="Appelnotedebasdep"/>
        </w:rPr>
        <w:footnoteRef/>
      </w:r>
      <w:r>
        <w:t xml:space="preserve"> Voir </w:t>
      </w:r>
      <w:r>
        <w:rPr>
          <w:i/>
        </w:rPr>
        <w:t xml:space="preserve">W </w:t>
      </w:r>
      <w:r>
        <w:t>19, p. 155/</w:t>
      </w:r>
      <w:r>
        <w:rPr>
          <w:i/>
        </w:rPr>
        <w:t>LHP</w:t>
      </w:r>
      <w:r w:rsidR="00BE09E9">
        <w:rPr>
          <w:i/>
        </w:rPr>
        <w:t xml:space="preserve"> </w:t>
      </w:r>
      <w:r w:rsidR="00BE09E9">
        <w:t>3</w:t>
      </w:r>
      <w:r>
        <w:t>, p. 520.</w:t>
      </w:r>
    </w:p>
  </w:footnote>
  <w:footnote w:id="55">
    <w:p w:rsidR="002E110D" w:rsidRPr="00BE09E9" w:rsidRDefault="002E110D" w:rsidP="002E110D">
      <w:pPr>
        <w:pStyle w:val="Notedebasdepage"/>
        <w:jc w:val="both"/>
      </w:pPr>
      <w:r>
        <w:rPr>
          <w:rStyle w:val="Appelnotedebasdep"/>
        </w:rPr>
        <w:footnoteRef/>
      </w:r>
      <w:r>
        <w:t xml:space="preserve"> Un des traits les plus remarquables de l’interprétation hégélienne de la métaphysique d’Aristote est de maintenir jusqu’au bout, c’est-à-dire</w:t>
      </w:r>
      <w:r w:rsidR="002F1551">
        <w:t xml:space="preserve"> jusqu’au niveau de la substance absolue, les deux principes que sont </w:t>
      </w:r>
      <w:r w:rsidR="002F1551">
        <w:rPr>
          <w:i/>
        </w:rPr>
        <w:t xml:space="preserve">dunamis </w:t>
      </w:r>
      <w:r w:rsidR="002F1551">
        <w:t xml:space="preserve">et </w:t>
      </w:r>
      <w:r w:rsidR="002F1551">
        <w:rPr>
          <w:i/>
        </w:rPr>
        <w:t>energeia</w:t>
      </w:r>
      <w:r w:rsidR="002F1551">
        <w:t xml:space="preserve">. Certes Hegel sait parfaitement que la substance absolue est acte pur, activité sans mélange, mais, observe-t-il, cela signifie que son essence, c’est-à-dire sa </w:t>
      </w:r>
      <w:r w:rsidR="002F1551">
        <w:rPr>
          <w:i/>
        </w:rPr>
        <w:t>dunamis</w:t>
      </w:r>
      <w:r w:rsidR="002F1551">
        <w:t xml:space="preserve">, consiste </w:t>
      </w:r>
      <w:r w:rsidR="002F1551" w:rsidRPr="002F1551">
        <w:t>tout entière</w:t>
      </w:r>
      <w:r w:rsidR="002F1551">
        <w:t xml:space="preserve"> dans son </w:t>
      </w:r>
      <w:r w:rsidR="002F1551">
        <w:rPr>
          <w:i/>
        </w:rPr>
        <w:t>energeia</w:t>
      </w:r>
      <w:r w:rsidR="002F1551">
        <w:t>, ce maintien de l’essence étant ce par quoi, tout en changeant et s’altérant constamment, la substance absolue demeure identique à soi, « dans l’acte de la différenciation (</w:t>
      </w:r>
      <w:r w:rsidR="002F1551">
        <w:rPr>
          <w:i/>
        </w:rPr>
        <w:t xml:space="preserve">im </w:t>
      </w:r>
      <w:r w:rsidR="002F1551" w:rsidRPr="002F1551">
        <w:rPr>
          <w:i/>
        </w:rPr>
        <w:t>Unterscheiden</w:t>
      </w:r>
      <w:r w:rsidR="002F1551">
        <w:t>)</w:t>
      </w:r>
      <w:r w:rsidR="002F1551">
        <w:rPr>
          <w:i/>
        </w:rPr>
        <w:t xml:space="preserve"> </w:t>
      </w:r>
      <w:r w:rsidR="002F1551" w:rsidRPr="002F1551">
        <w:rPr>
          <w:i/>
        </w:rPr>
        <w:t>en</w:t>
      </w:r>
      <w:r w:rsidR="002F1551">
        <w:t xml:space="preserve"> même temps identique à soi » (</w:t>
      </w:r>
      <w:r w:rsidR="002F1551">
        <w:rPr>
          <w:i/>
        </w:rPr>
        <w:t xml:space="preserve">W </w:t>
      </w:r>
      <w:r w:rsidR="002F1551">
        <w:t>19, p. 164/</w:t>
      </w:r>
      <w:r w:rsidR="002F1551">
        <w:rPr>
          <w:i/>
        </w:rPr>
        <w:t xml:space="preserve">LHP </w:t>
      </w:r>
      <w:r w:rsidR="002F1551">
        <w:t xml:space="preserve">3, p. </w:t>
      </w:r>
      <w:r w:rsidR="00BE09E9">
        <w:t>531)</w:t>
      </w:r>
      <w:r w:rsidR="002F1551">
        <w:t> : elle est ce « dont l’essence (</w:t>
      </w:r>
      <w:r w:rsidR="002F1551">
        <w:rPr>
          <w:i/>
        </w:rPr>
        <w:t>potentia</w:t>
      </w:r>
      <w:r w:rsidR="002F1551">
        <w:t>) est l’activité elle-même » (</w:t>
      </w:r>
      <w:r w:rsidR="002F1551">
        <w:rPr>
          <w:i/>
        </w:rPr>
        <w:t xml:space="preserve">W </w:t>
      </w:r>
      <w:r w:rsidR="002F1551">
        <w:t>19, p. 158/</w:t>
      </w:r>
      <w:r w:rsidR="002F1551">
        <w:rPr>
          <w:i/>
        </w:rPr>
        <w:t xml:space="preserve">LHP </w:t>
      </w:r>
      <w:r w:rsidR="002F1551">
        <w:t>3, p. 525). On</w:t>
      </w:r>
      <w:r w:rsidR="00BE09E9">
        <w:t xml:space="preserve"> notera dans cette interprétation l’entente de la </w:t>
      </w:r>
      <w:r w:rsidR="00BE09E9">
        <w:rPr>
          <w:i/>
        </w:rPr>
        <w:t xml:space="preserve">dunamis </w:t>
      </w:r>
      <w:r w:rsidR="00BE09E9" w:rsidRPr="00BE09E9">
        <w:t>aristotélicienne, c’est-à-dire de la</w:t>
      </w:r>
      <w:r w:rsidR="00BE09E9">
        <w:rPr>
          <w:i/>
        </w:rPr>
        <w:t xml:space="preserve"> </w:t>
      </w:r>
      <w:r w:rsidR="00BE09E9">
        <w:t>possibilité (</w:t>
      </w:r>
      <w:r w:rsidR="00BE09E9">
        <w:rPr>
          <w:i/>
        </w:rPr>
        <w:t>Möglichkeit</w:t>
      </w:r>
      <w:r w:rsidR="00BE09E9">
        <w:t>), comme essence, sans doute héritée de Leibniz.</w:t>
      </w:r>
    </w:p>
  </w:footnote>
  <w:footnote w:id="56">
    <w:p w:rsidR="00BE09E9" w:rsidRPr="00E650F2" w:rsidRDefault="00BE09E9">
      <w:pPr>
        <w:pStyle w:val="Notedebasdepage"/>
        <w:rPr>
          <w:lang w:val="en-US"/>
        </w:rPr>
      </w:pPr>
      <w:r>
        <w:rPr>
          <w:rStyle w:val="Appelnotedebasdep"/>
        </w:rPr>
        <w:footnoteRef/>
      </w:r>
      <w:r w:rsidRPr="00E650F2">
        <w:rPr>
          <w:lang w:val="en-US"/>
        </w:rPr>
        <w:t xml:space="preserve"> </w:t>
      </w:r>
      <w:r w:rsidRPr="00E650F2">
        <w:rPr>
          <w:i/>
          <w:lang w:val="en-US"/>
        </w:rPr>
        <w:t xml:space="preserve">W </w:t>
      </w:r>
      <w:r w:rsidRPr="00E650F2">
        <w:rPr>
          <w:lang w:val="en-US"/>
        </w:rPr>
        <w:t>19, p. 154/</w:t>
      </w:r>
      <w:r w:rsidRPr="00E650F2">
        <w:rPr>
          <w:i/>
          <w:lang w:val="en-US"/>
        </w:rPr>
        <w:t xml:space="preserve">LHP </w:t>
      </w:r>
      <w:r w:rsidRPr="00E650F2">
        <w:rPr>
          <w:lang w:val="en-US"/>
        </w:rPr>
        <w:t xml:space="preserve"> 3, p. </w:t>
      </w:r>
      <w:r w:rsidR="00E84C29" w:rsidRPr="00E650F2">
        <w:rPr>
          <w:lang w:val="en-US"/>
        </w:rPr>
        <w:t>518</w:t>
      </w:r>
      <w:r w:rsidR="008B468F" w:rsidRPr="00E650F2">
        <w:rPr>
          <w:lang w:val="en-US"/>
        </w:rPr>
        <w:t>.</w:t>
      </w:r>
    </w:p>
  </w:footnote>
  <w:footnote w:id="57">
    <w:p w:rsidR="00552098" w:rsidRPr="00E650F2" w:rsidRDefault="00552098">
      <w:pPr>
        <w:pStyle w:val="Notedebasdepage"/>
        <w:rPr>
          <w:lang w:val="en-US"/>
        </w:rPr>
      </w:pPr>
      <w:r>
        <w:rPr>
          <w:rStyle w:val="Appelnotedebasdep"/>
        </w:rPr>
        <w:footnoteRef/>
      </w:r>
      <w:r w:rsidRPr="00E650F2">
        <w:rPr>
          <w:lang w:val="en-US"/>
        </w:rPr>
        <w:t xml:space="preserve"> </w:t>
      </w:r>
      <w:r w:rsidR="00E84C29" w:rsidRPr="00E650F2">
        <w:rPr>
          <w:i/>
          <w:lang w:val="en-US"/>
        </w:rPr>
        <w:t>Ibid.</w:t>
      </w:r>
    </w:p>
  </w:footnote>
  <w:footnote w:id="58">
    <w:p w:rsidR="00E84C29" w:rsidRPr="00E650F2" w:rsidRDefault="00E84C29">
      <w:pPr>
        <w:pStyle w:val="Notedebasdepage"/>
        <w:rPr>
          <w:lang w:val="en-US"/>
        </w:rPr>
      </w:pPr>
      <w:r>
        <w:rPr>
          <w:rStyle w:val="Appelnotedebasdep"/>
        </w:rPr>
        <w:footnoteRef/>
      </w:r>
      <w:r w:rsidRPr="00E650F2">
        <w:rPr>
          <w:lang w:val="en-US"/>
        </w:rPr>
        <w:t xml:space="preserve"> </w:t>
      </w:r>
      <w:r w:rsidRPr="00E650F2">
        <w:rPr>
          <w:i/>
          <w:lang w:val="en-US"/>
        </w:rPr>
        <w:t xml:space="preserve">W </w:t>
      </w:r>
      <w:r w:rsidRPr="00E650F2">
        <w:rPr>
          <w:lang w:val="en-US"/>
        </w:rPr>
        <w:t>19, p. 163/</w:t>
      </w:r>
      <w:r w:rsidRPr="00E650F2">
        <w:rPr>
          <w:i/>
          <w:lang w:val="en-US"/>
        </w:rPr>
        <w:t>LHP</w:t>
      </w:r>
      <w:r w:rsidR="005701C9">
        <w:rPr>
          <w:i/>
          <w:lang w:val="en-US"/>
        </w:rPr>
        <w:t xml:space="preserve"> </w:t>
      </w:r>
      <w:r w:rsidRPr="00E650F2">
        <w:rPr>
          <w:lang w:val="en-US"/>
        </w:rPr>
        <w:t>3, p. 530.</w:t>
      </w:r>
    </w:p>
  </w:footnote>
  <w:footnote w:id="59">
    <w:p w:rsidR="00750C79" w:rsidRPr="00E650F2" w:rsidRDefault="00750C79">
      <w:pPr>
        <w:pStyle w:val="Notedebasdepage"/>
        <w:rPr>
          <w:lang w:val="en-US"/>
        </w:rPr>
      </w:pPr>
      <w:r>
        <w:rPr>
          <w:rStyle w:val="Appelnotedebasdep"/>
        </w:rPr>
        <w:footnoteRef/>
      </w:r>
      <w:r w:rsidRPr="00E650F2">
        <w:rPr>
          <w:lang w:val="en-US"/>
        </w:rPr>
        <w:t xml:space="preserve"> </w:t>
      </w:r>
      <w:r w:rsidRPr="00E650F2">
        <w:rPr>
          <w:i/>
          <w:lang w:val="en-US"/>
        </w:rPr>
        <w:t xml:space="preserve">W </w:t>
      </w:r>
      <w:r w:rsidRPr="00E650F2">
        <w:rPr>
          <w:lang w:val="en-US"/>
        </w:rPr>
        <w:t>19, p. 162/</w:t>
      </w:r>
      <w:r w:rsidRPr="00E650F2">
        <w:rPr>
          <w:i/>
          <w:lang w:val="en-US"/>
        </w:rPr>
        <w:t xml:space="preserve">LHP </w:t>
      </w:r>
      <w:r w:rsidRPr="00E650F2">
        <w:rPr>
          <w:lang w:val="en-US"/>
        </w:rPr>
        <w:t>3, p. 529.</w:t>
      </w:r>
    </w:p>
  </w:footnote>
  <w:footnote w:id="60">
    <w:p w:rsidR="00751EAC" w:rsidRPr="00751EAC" w:rsidRDefault="00751EAC" w:rsidP="00751EAC">
      <w:pPr>
        <w:pStyle w:val="Notedebasdepage"/>
        <w:jc w:val="both"/>
      </w:pPr>
      <w:r>
        <w:rPr>
          <w:rStyle w:val="Appelnotedebasdep"/>
        </w:rPr>
        <w:footnoteRef/>
      </w:r>
      <w:r>
        <w:t xml:space="preserve"> </w:t>
      </w:r>
      <w:r>
        <w:rPr>
          <w:i/>
        </w:rPr>
        <w:t xml:space="preserve">W </w:t>
      </w:r>
      <w:r>
        <w:t>19, p. 167/</w:t>
      </w:r>
      <w:r>
        <w:rPr>
          <w:i/>
        </w:rPr>
        <w:t xml:space="preserve">LHP </w:t>
      </w:r>
      <w:r>
        <w:t>3, p. 534. A noter que, dans sa traduction de ces lignes, Garniron omet la dernière phrase.</w:t>
      </w:r>
    </w:p>
  </w:footnote>
  <w:footnote w:id="61">
    <w:p w:rsidR="001406E8" w:rsidRPr="001406E8" w:rsidRDefault="001406E8" w:rsidP="001406E8">
      <w:pPr>
        <w:pStyle w:val="Notedebasdepage"/>
        <w:jc w:val="both"/>
      </w:pPr>
      <w:r>
        <w:rPr>
          <w:rStyle w:val="Appelnotedebasdep"/>
        </w:rPr>
        <w:footnoteRef/>
      </w:r>
      <w:r>
        <w:t xml:space="preserve"> </w:t>
      </w:r>
      <w:r>
        <w:rPr>
          <w:i/>
        </w:rPr>
        <w:t xml:space="preserve">GW </w:t>
      </w:r>
      <w:r>
        <w:t>21, p. 48/</w:t>
      </w:r>
      <w:r>
        <w:rPr>
          <w:i/>
        </w:rPr>
        <w:t>Science de la logique. Livre premier -  L’être</w:t>
      </w:r>
      <w:r>
        <w:t xml:space="preserve">, trad. Bernard Bourgeois (désormais cité </w:t>
      </w:r>
      <w:r>
        <w:rPr>
          <w:i/>
        </w:rPr>
        <w:t xml:space="preserve">SL </w:t>
      </w:r>
      <w:r>
        <w:t>I) Paris, Vrin, 2015, p. 74.</w:t>
      </w:r>
    </w:p>
  </w:footnote>
  <w:footnote w:id="62">
    <w:p w:rsidR="001406E8" w:rsidRPr="001B0869" w:rsidRDefault="001406E8">
      <w:pPr>
        <w:pStyle w:val="Notedebasdepage"/>
        <w:rPr>
          <w:lang w:val="en-US"/>
        </w:rPr>
      </w:pPr>
      <w:r>
        <w:rPr>
          <w:rStyle w:val="Appelnotedebasdep"/>
        </w:rPr>
        <w:footnoteRef/>
      </w:r>
      <w:r w:rsidRPr="001B0869">
        <w:rPr>
          <w:lang w:val="en-US"/>
        </w:rPr>
        <w:t xml:space="preserve"> </w:t>
      </w:r>
      <w:r w:rsidRPr="001B0869">
        <w:rPr>
          <w:i/>
          <w:lang w:val="en-US"/>
        </w:rPr>
        <w:t xml:space="preserve">GW </w:t>
      </w:r>
      <w:r w:rsidRPr="001B0869">
        <w:rPr>
          <w:lang w:val="en-US"/>
        </w:rPr>
        <w:t>21, p.</w:t>
      </w:r>
      <w:r w:rsidR="00801F5D" w:rsidRPr="001B0869">
        <w:rPr>
          <w:lang w:val="en-US"/>
        </w:rPr>
        <w:t xml:space="preserve"> 45</w:t>
      </w:r>
      <w:r w:rsidRPr="001B0869">
        <w:rPr>
          <w:lang w:val="en-US"/>
        </w:rPr>
        <w:t>/</w:t>
      </w:r>
      <w:r w:rsidR="00E64511" w:rsidRPr="001B0869">
        <w:rPr>
          <w:i/>
          <w:lang w:val="en-US"/>
        </w:rPr>
        <w:t xml:space="preserve">SL </w:t>
      </w:r>
      <w:r w:rsidR="00E64511" w:rsidRPr="001B0869">
        <w:rPr>
          <w:lang w:val="en-US"/>
        </w:rPr>
        <w:t>I</w:t>
      </w:r>
      <w:r w:rsidRPr="001B0869">
        <w:rPr>
          <w:lang w:val="en-US"/>
        </w:rPr>
        <w:t>, p. 69.</w:t>
      </w:r>
    </w:p>
  </w:footnote>
  <w:footnote w:id="63">
    <w:p w:rsidR="001406E8" w:rsidRPr="001B0869" w:rsidRDefault="001406E8">
      <w:pPr>
        <w:pStyle w:val="Notedebasdepage"/>
        <w:rPr>
          <w:lang w:val="en-US"/>
        </w:rPr>
      </w:pPr>
      <w:r>
        <w:rPr>
          <w:rStyle w:val="Appelnotedebasdep"/>
        </w:rPr>
        <w:footnoteRef/>
      </w:r>
      <w:r w:rsidRPr="001B0869">
        <w:rPr>
          <w:lang w:val="en-US"/>
        </w:rPr>
        <w:t xml:space="preserve"> </w:t>
      </w:r>
      <w:r w:rsidR="00E64511" w:rsidRPr="001B0869">
        <w:rPr>
          <w:i/>
          <w:lang w:val="en-US"/>
        </w:rPr>
        <w:t xml:space="preserve">GW </w:t>
      </w:r>
      <w:r w:rsidR="00E64511" w:rsidRPr="001B0869">
        <w:rPr>
          <w:lang w:val="en-US"/>
        </w:rPr>
        <w:t>21, pp. 45-46/</w:t>
      </w:r>
      <w:r w:rsidR="00E64511" w:rsidRPr="001B0869">
        <w:rPr>
          <w:i/>
          <w:lang w:val="en-US"/>
        </w:rPr>
        <w:t xml:space="preserve">SL </w:t>
      </w:r>
      <w:r w:rsidR="00E64511" w:rsidRPr="001B0869">
        <w:rPr>
          <w:lang w:val="en-US"/>
        </w:rPr>
        <w:t>I, p. 70.</w:t>
      </w:r>
    </w:p>
  </w:footnote>
  <w:footnote w:id="64">
    <w:p w:rsidR="00E22486" w:rsidRPr="00E22486" w:rsidRDefault="00E22486">
      <w:pPr>
        <w:pStyle w:val="Notedebasdepage"/>
      </w:pPr>
      <w:r>
        <w:rPr>
          <w:rStyle w:val="Appelnotedebasdep"/>
        </w:rPr>
        <w:footnoteRef/>
      </w:r>
      <w:r>
        <w:t xml:space="preserve"> </w:t>
      </w:r>
      <w:r>
        <w:rPr>
          <w:i/>
        </w:rPr>
        <w:t xml:space="preserve">GW </w:t>
      </w:r>
      <w:r>
        <w:t>9, p. 22/</w:t>
      </w:r>
      <w:r>
        <w:rPr>
          <w:i/>
        </w:rPr>
        <w:t>Phénoménologie de l’esprit</w:t>
      </w:r>
      <w:r>
        <w:t>, trad. Bernard Bourgeois, Paris, Vrin, 2006, p. 73.</w:t>
      </w:r>
    </w:p>
  </w:footnote>
  <w:footnote w:id="65">
    <w:p w:rsidR="006E67D5" w:rsidRPr="006E67D5" w:rsidRDefault="006E67D5">
      <w:pPr>
        <w:pStyle w:val="Notedebasdepage"/>
      </w:pPr>
      <w:r>
        <w:rPr>
          <w:rStyle w:val="Appelnotedebasdep"/>
        </w:rPr>
        <w:footnoteRef/>
      </w:r>
      <w:r>
        <w:t xml:space="preserve"> </w:t>
      </w:r>
      <w:r>
        <w:rPr>
          <w:i/>
        </w:rPr>
        <w:t xml:space="preserve">W </w:t>
      </w:r>
      <w:r>
        <w:t>19, p. 20/</w:t>
      </w:r>
      <w:r>
        <w:rPr>
          <w:i/>
        </w:rPr>
        <w:t>LHP</w:t>
      </w:r>
      <w:r w:rsidR="005701C9">
        <w:rPr>
          <w:i/>
        </w:rPr>
        <w:t xml:space="preserve"> </w:t>
      </w:r>
      <w:r w:rsidR="00083857">
        <w:t>3</w:t>
      </w:r>
      <w:r w:rsidR="006A6F54">
        <w:t>, p.</w:t>
      </w:r>
      <w:r>
        <w:t xml:space="preserve"> 397.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366"/>
    <w:rsid w:val="0000146E"/>
    <w:rsid w:val="00003DD5"/>
    <w:rsid w:val="000046C0"/>
    <w:rsid w:val="000142C9"/>
    <w:rsid w:val="00063238"/>
    <w:rsid w:val="000727D3"/>
    <w:rsid w:val="00083857"/>
    <w:rsid w:val="00093A1B"/>
    <w:rsid w:val="00095EBC"/>
    <w:rsid w:val="000C0E13"/>
    <w:rsid w:val="000C20BB"/>
    <w:rsid w:val="000D1DB6"/>
    <w:rsid w:val="00107854"/>
    <w:rsid w:val="00111180"/>
    <w:rsid w:val="00117D5D"/>
    <w:rsid w:val="001370A0"/>
    <w:rsid w:val="001406E8"/>
    <w:rsid w:val="00151795"/>
    <w:rsid w:val="001549B2"/>
    <w:rsid w:val="001A7FA7"/>
    <w:rsid w:val="001B0869"/>
    <w:rsid w:val="002155FA"/>
    <w:rsid w:val="00221C43"/>
    <w:rsid w:val="00264DE5"/>
    <w:rsid w:val="00296423"/>
    <w:rsid w:val="002C56E1"/>
    <w:rsid w:val="002D0663"/>
    <w:rsid w:val="002E110D"/>
    <w:rsid w:val="002E1301"/>
    <w:rsid w:val="002F1551"/>
    <w:rsid w:val="0031019C"/>
    <w:rsid w:val="0033321B"/>
    <w:rsid w:val="00350C93"/>
    <w:rsid w:val="003D6F3E"/>
    <w:rsid w:val="003E53B3"/>
    <w:rsid w:val="00411EB9"/>
    <w:rsid w:val="00413F78"/>
    <w:rsid w:val="004452FB"/>
    <w:rsid w:val="0047026E"/>
    <w:rsid w:val="00484BB3"/>
    <w:rsid w:val="0048656A"/>
    <w:rsid w:val="004A5F47"/>
    <w:rsid w:val="004A6984"/>
    <w:rsid w:val="004B4B6E"/>
    <w:rsid w:val="004C3E7E"/>
    <w:rsid w:val="004D0EBD"/>
    <w:rsid w:val="004D411D"/>
    <w:rsid w:val="004E4C57"/>
    <w:rsid w:val="004F1090"/>
    <w:rsid w:val="004F6CF1"/>
    <w:rsid w:val="004F7CC2"/>
    <w:rsid w:val="00502B80"/>
    <w:rsid w:val="00510E35"/>
    <w:rsid w:val="00516AAF"/>
    <w:rsid w:val="005444FA"/>
    <w:rsid w:val="00552098"/>
    <w:rsid w:val="00555626"/>
    <w:rsid w:val="00567BDC"/>
    <w:rsid w:val="005701C9"/>
    <w:rsid w:val="005A4772"/>
    <w:rsid w:val="005C04C3"/>
    <w:rsid w:val="005E1730"/>
    <w:rsid w:val="005F7E5D"/>
    <w:rsid w:val="006025AC"/>
    <w:rsid w:val="006032B2"/>
    <w:rsid w:val="00664F41"/>
    <w:rsid w:val="00676280"/>
    <w:rsid w:val="00682791"/>
    <w:rsid w:val="00682B4B"/>
    <w:rsid w:val="0068725F"/>
    <w:rsid w:val="006A2655"/>
    <w:rsid w:val="006A34CE"/>
    <w:rsid w:val="006A6F54"/>
    <w:rsid w:val="006D5693"/>
    <w:rsid w:val="006E42D3"/>
    <w:rsid w:val="006E67D5"/>
    <w:rsid w:val="0071740D"/>
    <w:rsid w:val="00734628"/>
    <w:rsid w:val="00750C79"/>
    <w:rsid w:val="00751EAC"/>
    <w:rsid w:val="00762A2D"/>
    <w:rsid w:val="00774BA0"/>
    <w:rsid w:val="00782859"/>
    <w:rsid w:val="007A253E"/>
    <w:rsid w:val="007B167A"/>
    <w:rsid w:val="007C1366"/>
    <w:rsid w:val="007D1280"/>
    <w:rsid w:val="007E542B"/>
    <w:rsid w:val="00801F5D"/>
    <w:rsid w:val="00805DA8"/>
    <w:rsid w:val="008503F1"/>
    <w:rsid w:val="00856203"/>
    <w:rsid w:val="00875A64"/>
    <w:rsid w:val="00892F6B"/>
    <w:rsid w:val="008B468F"/>
    <w:rsid w:val="008C47CC"/>
    <w:rsid w:val="008C5480"/>
    <w:rsid w:val="008C7190"/>
    <w:rsid w:val="008E0E33"/>
    <w:rsid w:val="00903949"/>
    <w:rsid w:val="00913FA6"/>
    <w:rsid w:val="0093459F"/>
    <w:rsid w:val="00980A45"/>
    <w:rsid w:val="00984250"/>
    <w:rsid w:val="00995F7E"/>
    <w:rsid w:val="009A25EF"/>
    <w:rsid w:val="009D1438"/>
    <w:rsid w:val="009E0CCA"/>
    <w:rsid w:val="009F3D23"/>
    <w:rsid w:val="00A016CA"/>
    <w:rsid w:val="00A27A73"/>
    <w:rsid w:val="00A511BA"/>
    <w:rsid w:val="00A7725B"/>
    <w:rsid w:val="00A81307"/>
    <w:rsid w:val="00B24055"/>
    <w:rsid w:val="00B32E2B"/>
    <w:rsid w:val="00B54670"/>
    <w:rsid w:val="00B60838"/>
    <w:rsid w:val="00BE0146"/>
    <w:rsid w:val="00BE09E9"/>
    <w:rsid w:val="00BE4599"/>
    <w:rsid w:val="00C027EE"/>
    <w:rsid w:val="00C609B8"/>
    <w:rsid w:val="00C61646"/>
    <w:rsid w:val="00C71188"/>
    <w:rsid w:val="00C87537"/>
    <w:rsid w:val="00CB4BC9"/>
    <w:rsid w:val="00D24674"/>
    <w:rsid w:val="00D26338"/>
    <w:rsid w:val="00D345E0"/>
    <w:rsid w:val="00D37010"/>
    <w:rsid w:val="00D40034"/>
    <w:rsid w:val="00D636E8"/>
    <w:rsid w:val="00D6709C"/>
    <w:rsid w:val="00D8050A"/>
    <w:rsid w:val="00DA469B"/>
    <w:rsid w:val="00DC6FA1"/>
    <w:rsid w:val="00DD7C75"/>
    <w:rsid w:val="00DE1729"/>
    <w:rsid w:val="00E060C2"/>
    <w:rsid w:val="00E12B04"/>
    <w:rsid w:val="00E22486"/>
    <w:rsid w:val="00E64511"/>
    <w:rsid w:val="00E650F2"/>
    <w:rsid w:val="00E764FC"/>
    <w:rsid w:val="00E84C29"/>
    <w:rsid w:val="00ED4AF6"/>
    <w:rsid w:val="00EE1E0E"/>
    <w:rsid w:val="00EE5790"/>
    <w:rsid w:val="00EF71EC"/>
    <w:rsid w:val="00F1304D"/>
    <w:rsid w:val="00F2438F"/>
    <w:rsid w:val="00F3435C"/>
    <w:rsid w:val="00F35346"/>
    <w:rsid w:val="00F47ADC"/>
    <w:rsid w:val="00F6526E"/>
    <w:rsid w:val="00F73F5C"/>
    <w:rsid w:val="00F8691F"/>
    <w:rsid w:val="00FA7D25"/>
    <w:rsid w:val="00FB001C"/>
    <w:rsid w:val="00FC4975"/>
    <w:rsid w:val="00FE34B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20BB"/>
    <w:pPr>
      <w:tabs>
        <w:tab w:val="center" w:pos="4536"/>
        <w:tab w:val="right" w:pos="9072"/>
      </w:tabs>
      <w:spacing w:after="0" w:line="240" w:lineRule="auto"/>
    </w:pPr>
  </w:style>
  <w:style w:type="character" w:customStyle="1" w:styleId="En-tteCar">
    <w:name w:val="En-tête Car"/>
    <w:basedOn w:val="Policepardfaut"/>
    <w:link w:val="En-tte"/>
    <w:uiPriority w:val="99"/>
    <w:rsid w:val="000C20BB"/>
  </w:style>
  <w:style w:type="paragraph" w:styleId="Pieddepage">
    <w:name w:val="footer"/>
    <w:basedOn w:val="Normal"/>
    <w:link w:val="PieddepageCar"/>
    <w:uiPriority w:val="99"/>
    <w:unhideWhenUsed/>
    <w:rsid w:val="000C20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0BB"/>
  </w:style>
  <w:style w:type="paragraph" w:styleId="Notedebasdepage">
    <w:name w:val="footnote text"/>
    <w:basedOn w:val="Normal"/>
    <w:link w:val="NotedebasdepageCar"/>
    <w:uiPriority w:val="99"/>
    <w:semiHidden/>
    <w:unhideWhenUsed/>
    <w:rsid w:val="000C20B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20BB"/>
    <w:rPr>
      <w:sz w:val="20"/>
      <w:szCs w:val="20"/>
    </w:rPr>
  </w:style>
  <w:style w:type="character" w:styleId="Appelnotedebasdep">
    <w:name w:val="footnote reference"/>
    <w:basedOn w:val="Policepardfaut"/>
    <w:uiPriority w:val="99"/>
    <w:semiHidden/>
    <w:unhideWhenUsed/>
    <w:rsid w:val="000C20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20BB"/>
    <w:pPr>
      <w:tabs>
        <w:tab w:val="center" w:pos="4536"/>
        <w:tab w:val="right" w:pos="9072"/>
      </w:tabs>
      <w:spacing w:after="0" w:line="240" w:lineRule="auto"/>
    </w:pPr>
  </w:style>
  <w:style w:type="character" w:customStyle="1" w:styleId="En-tteCar">
    <w:name w:val="En-tête Car"/>
    <w:basedOn w:val="Policepardfaut"/>
    <w:link w:val="En-tte"/>
    <w:uiPriority w:val="99"/>
    <w:rsid w:val="000C20BB"/>
  </w:style>
  <w:style w:type="paragraph" w:styleId="Pieddepage">
    <w:name w:val="footer"/>
    <w:basedOn w:val="Normal"/>
    <w:link w:val="PieddepageCar"/>
    <w:uiPriority w:val="99"/>
    <w:unhideWhenUsed/>
    <w:rsid w:val="000C20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0BB"/>
  </w:style>
  <w:style w:type="paragraph" w:styleId="Notedebasdepage">
    <w:name w:val="footnote text"/>
    <w:basedOn w:val="Normal"/>
    <w:link w:val="NotedebasdepageCar"/>
    <w:uiPriority w:val="99"/>
    <w:semiHidden/>
    <w:unhideWhenUsed/>
    <w:rsid w:val="000C20B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20BB"/>
    <w:rPr>
      <w:sz w:val="20"/>
      <w:szCs w:val="20"/>
    </w:rPr>
  </w:style>
  <w:style w:type="character" w:styleId="Appelnotedebasdep">
    <w:name w:val="footnote reference"/>
    <w:basedOn w:val="Policepardfaut"/>
    <w:uiPriority w:val="99"/>
    <w:semiHidden/>
    <w:unhideWhenUsed/>
    <w:rsid w:val="000C2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A3B9A-A6BD-483F-B8F1-F66253CD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12</Pages>
  <Words>5394</Words>
  <Characters>29671</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Gilbert Gérard</cp:lastModifiedBy>
  <cp:revision>62</cp:revision>
  <cp:lastPrinted>2018-04-27T09:50:00Z</cp:lastPrinted>
  <dcterms:created xsi:type="dcterms:W3CDTF">2018-04-23T03:52:00Z</dcterms:created>
  <dcterms:modified xsi:type="dcterms:W3CDTF">2018-05-02T07:58:00Z</dcterms:modified>
</cp:coreProperties>
</file>