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32E0D" w14:textId="7B142873" w:rsidR="00FB18AA" w:rsidRDefault="00A22103" w:rsidP="00FB18AA">
      <w:pPr>
        <w:spacing w:line="480" w:lineRule="auto"/>
        <w:jc w:val="both"/>
        <w:rPr>
          <w:rFonts w:ascii="Times New Roman" w:hAnsi="Times New Roman" w:cs="Times New Roman"/>
          <w:b/>
          <w:bCs/>
        </w:rPr>
      </w:pPr>
      <w:r w:rsidRPr="001655E5">
        <w:rPr>
          <w:rFonts w:ascii="Times New Roman" w:hAnsi="Times New Roman" w:cs="Times New Roman"/>
          <w:b/>
          <w:bCs/>
        </w:rPr>
        <w:t>Synodality</w:t>
      </w:r>
      <w:r>
        <w:rPr>
          <w:rFonts w:ascii="Times New Roman" w:hAnsi="Times New Roman" w:cs="Times New Roman"/>
          <w:b/>
          <w:bCs/>
        </w:rPr>
        <w:t>, African Christianity,</w:t>
      </w:r>
      <w:r w:rsidRPr="001655E5">
        <w:rPr>
          <w:rFonts w:ascii="Times New Roman" w:hAnsi="Times New Roman" w:cs="Times New Roman"/>
          <w:b/>
          <w:bCs/>
        </w:rPr>
        <w:t xml:space="preserve"> and the Making of an Ecumenical Ecclesiology</w:t>
      </w:r>
    </w:p>
    <w:p w14:paraId="4E73841F" w14:textId="77777777" w:rsidR="00A22103" w:rsidRPr="001655E5" w:rsidRDefault="00A22103" w:rsidP="00FB18AA">
      <w:pPr>
        <w:spacing w:line="480" w:lineRule="auto"/>
        <w:jc w:val="both"/>
        <w:rPr>
          <w:rFonts w:ascii="Times New Roman" w:hAnsi="Times New Roman" w:cs="Times New Roman"/>
          <w:b/>
          <w:bCs/>
        </w:rPr>
      </w:pPr>
    </w:p>
    <w:p w14:paraId="714A6676" w14:textId="77777777" w:rsidR="00FB18AA" w:rsidRPr="001655E5" w:rsidRDefault="00FB18AA" w:rsidP="00FB18AA">
      <w:pPr>
        <w:spacing w:line="480" w:lineRule="auto"/>
        <w:jc w:val="both"/>
        <w:rPr>
          <w:rFonts w:ascii="Times New Roman" w:hAnsi="Times New Roman" w:cs="Times New Roman"/>
          <w:b/>
          <w:bCs/>
          <w:lang w:val="en-US"/>
        </w:rPr>
      </w:pPr>
      <w:r w:rsidRPr="001655E5">
        <w:rPr>
          <w:rFonts w:ascii="Times New Roman" w:hAnsi="Times New Roman" w:cs="Times New Roman"/>
          <w:b/>
          <w:bCs/>
          <w:lang w:val="en-US"/>
        </w:rPr>
        <w:t>Introduction</w:t>
      </w:r>
    </w:p>
    <w:p w14:paraId="4E49B07B" w14:textId="77777777" w:rsidR="00FB18AA" w:rsidRPr="001655E5" w:rsidRDefault="00FB18AA" w:rsidP="00FB18AA">
      <w:pPr>
        <w:spacing w:line="480" w:lineRule="auto"/>
        <w:jc w:val="both"/>
        <w:rPr>
          <w:rFonts w:ascii="Times New Roman" w:hAnsi="Times New Roman" w:cs="Times New Roman"/>
          <w:lang w:val="en-US"/>
        </w:rPr>
      </w:pPr>
    </w:p>
    <w:p w14:paraId="7C044302"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t>In providing an ecclesial space for multiple conversation in which the voice of everyone is heard, or at least where every person has equal right to speak and to be heard, African synodality would have succeeded in the task of retrieving a value that had shaped most African culture in the past. Since culture is a continuum, its present status must be critiqued if it does not profit from the wisdom of the past. The arena of ‘the-right-to-speech’ for everyone characterized as the ‘palaver’ presumes the validity of each one’s thought, at least from the subjective judgement of the speaker (“</w:t>
      </w:r>
      <w:proofErr w:type="spellStart"/>
      <w:r w:rsidRPr="001655E5">
        <w:rPr>
          <w:rFonts w:ascii="Times New Roman" w:hAnsi="Times New Roman" w:cs="Times New Roman"/>
          <w:lang w:val="en-US"/>
        </w:rPr>
        <w:t>uche</w:t>
      </w:r>
      <w:proofErr w:type="spellEnd"/>
      <w:r w:rsidRPr="001655E5">
        <w:rPr>
          <w:rFonts w:ascii="Times New Roman" w:hAnsi="Times New Roman" w:cs="Times New Roman"/>
          <w:lang w:val="en-US"/>
        </w:rPr>
        <w:t xml:space="preserve"> </w:t>
      </w:r>
      <w:proofErr w:type="spellStart"/>
      <w:r w:rsidRPr="001655E5">
        <w:rPr>
          <w:rFonts w:ascii="Times New Roman" w:hAnsi="Times New Roman" w:cs="Times New Roman"/>
          <w:lang w:val="en-US"/>
        </w:rPr>
        <w:t>onye</w:t>
      </w:r>
      <w:proofErr w:type="spellEnd"/>
      <w:r w:rsidRPr="001655E5">
        <w:rPr>
          <w:rFonts w:ascii="Times New Roman" w:hAnsi="Times New Roman" w:cs="Times New Roman"/>
          <w:lang w:val="en-US"/>
        </w:rPr>
        <w:t xml:space="preserve"> </w:t>
      </w:r>
      <w:proofErr w:type="spellStart"/>
      <w:r w:rsidRPr="001655E5">
        <w:rPr>
          <w:rFonts w:ascii="Times New Roman" w:hAnsi="Times New Roman" w:cs="Times New Roman"/>
          <w:lang w:val="en-US"/>
        </w:rPr>
        <w:t>adiya</w:t>
      </w:r>
      <w:proofErr w:type="spellEnd"/>
      <w:r w:rsidRPr="001655E5">
        <w:rPr>
          <w:rFonts w:ascii="Times New Roman" w:hAnsi="Times New Roman" w:cs="Times New Roman"/>
          <w:lang w:val="en-US"/>
        </w:rPr>
        <w:t xml:space="preserve"> </w:t>
      </w:r>
      <w:proofErr w:type="spellStart"/>
      <w:r w:rsidRPr="001655E5">
        <w:rPr>
          <w:rFonts w:ascii="Times New Roman" w:hAnsi="Times New Roman" w:cs="Times New Roman"/>
          <w:lang w:val="en-US"/>
        </w:rPr>
        <w:t>njo</w:t>
      </w:r>
      <w:proofErr w:type="spellEnd"/>
      <w:r w:rsidRPr="001655E5">
        <w:rPr>
          <w:rFonts w:ascii="Times New Roman" w:hAnsi="Times New Roman" w:cs="Times New Roman"/>
          <w:lang w:val="en-US"/>
        </w:rPr>
        <w:t xml:space="preserve">”), and so cannot be shut down prior to being expressed. The wisdom of recognizing the subjective validity of individual thought within the communal setting </w:t>
      </w:r>
      <w:proofErr w:type="gramStart"/>
      <w:r w:rsidRPr="001655E5">
        <w:rPr>
          <w:rFonts w:ascii="Times New Roman" w:hAnsi="Times New Roman" w:cs="Times New Roman"/>
          <w:lang w:val="en-US"/>
        </w:rPr>
        <w:t>opens up</w:t>
      </w:r>
      <w:proofErr w:type="gramEnd"/>
      <w:r w:rsidRPr="001655E5">
        <w:rPr>
          <w:rFonts w:ascii="Times New Roman" w:hAnsi="Times New Roman" w:cs="Times New Roman"/>
          <w:lang w:val="en-US"/>
        </w:rPr>
        <w:t xml:space="preserve"> to an inclusive system of discernment in which individuality is recognized and affirmed within the community. Such an inclusive system goes beyond the theoretical principles that affirm the voice of the other to create a system that justifies the belongingness of multiple and, even sometimes, disparate identities. It is the space for a homegrown hospitality, and in the Christian sense, Eucharistic hospitality, that ought to define elastic (ecumenical) nature of synodal ecclesiology. In the light of the foregoing claim, this essay experiments with the idea of constructing the nature and shape of such a synodal ecclesiology, one that is decidedly African yet ecumenical.</w:t>
      </w:r>
    </w:p>
    <w:p w14:paraId="4A8BAC3F" w14:textId="77777777" w:rsidR="00FB18AA" w:rsidRPr="001655E5" w:rsidRDefault="00FB18AA" w:rsidP="00FB18AA">
      <w:pPr>
        <w:spacing w:line="480" w:lineRule="auto"/>
        <w:jc w:val="both"/>
        <w:rPr>
          <w:rFonts w:ascii="Times New Roman" w:hAnsi="Times New Roman" w:cs="Times New Roman"/>
          <w:lang w:val="en-US"/>
        </w:rPr>
      </w:pPr>
    </w:p>
    <w:p w14:paraId="6B5BC4C6" w14:textId="77777777" w:rsidR="00FB18AA" w:rsidRPr="001655E5" w:rsidRDefault="00FB18AA" w:rsidP="00FB18AA">
      <w:pPr>
        <w:spacing w:line="480" w:lineRule="auto"/>
        <w:jc w:val="both"/>
        <w:rPr>
          <w:rFonts w:ascii="Times New Roman" w:hAnsi="Times New Roman" w:cs="Times New Roman"/>
          <w:b/>
          <w:bCs/>
          <w:lang w:val="en-US"/>
        </w:rPr>
      </w:pPr>
      <w:r w:rsidRPr="001655E5">
        <w:rPr>
          <w:rFonts w:ascii="Times New Roman" w:hAnsi="Times New Roman" w:cs="Times New Roman"/>
          <w:b/>
          <w:bCs/>
          <w:lang w:val="en-US"/>
        </w:rPr>
        <w:t>Synodality and the impossibility of uniformity</w:t>
      </w:r>
    </w:p>
    <w:p w14:paraId="3A98E29B" w14:textId="77777777" w:rsidR="00FB18AA" w:rsidRPr="001655E5" w:rsidRDefault="00FB18AA" w:rsidP="00FB18AA">
      <w:pPr>
        <w:spacing w:line="480" w:lineRule="auto"/>
        <w:jc w:val="both"/>
        <w:rPr>
          <w:rFonts w:ascii="Times New Roman" w:hAnsi="Times New Roman" w:cs="Times New Roman"/>
          <w:lang w:val="en-US"/>
        </w:rPr>
      </w:pPr>
    </w:p>
    <w:p w14:paraId="163A25C2"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lastRenderedPageBreak/>
        <w:t>The African ‘space for polylogue’</w:t>
      </w:r>
      <w:r w:rsidRPr="001655E5">
        <w:rPr>
          <w:rStyle w:val="FootnoteReference"/>
          <w:rFonts w:ascii="Times New Roman" w:hAnsi="Times New Roman" w:cs="Times New Roman"/>
          <w:lang w:val="en-US"/>
        </w:rPr>
        <w:footnoteReference w:id="1"/>
      </w:r>
      <w:r w:rsidRPr="001655E5">
        <w:rPr>
          <w:rFonts w:ascii="Times New Roman" w:hAnsi="Times New Roman" w:cs="Times New Roman"/>
          <w:lang w:val="en-US"/>
        </w:rPr>
        <w:t xml:space="preserve"> as the Nigerian theologian at DePaul University, Stan Chu Ilo rightly calls it, contains not only a list of concerns that are shared among members of the community ranging from the lamentations, crises, deprivations, aspirations, and celebrations but also a difference of positions. In other words, the space is marked by both a diversity </w:t>
      </w:r>
      <w:r w:rsidRPr="001655E5">
        <w:rPr>
          <w:rFonts w:ascii="Times New Roman" w:hAnsi="Times New Roman" w:cs="Times New Roman"/>
          <w:i/>
          <w:iCs/>
          <w:lang w:val="en-US"/>
        </w:rPr>
        <w:t xml:space="preserve">of </w:t>
      </w:r>
      <w:r w:rsidRPr="001655E5">
        <w:rPr>
          <w:rFonts w:ascii="Times New Roman" w:hAnsi="Times New Roman" w:cs="Times New Roman"/>
          <w:lang w:val="en-US"/>
        </w:rPr>
        <w:t xml:space="preserve">voices and a diversity </w:t>
      </w:r>
      <w:r w:rsidRPr="001655E5">
        <w:rPr>
          <w:rFonts w:ascii="Times New Roman" w:hAnsi="Times New Roman" w:cs="Times New Roman"/>
          <w:i/>
          <w:iCs/>
          <w:lang w:val="en-US"/>
        </w:rPr>
        <w:t>in</w:t>
      </w:r>
      <w:r w:rsidRPr="001655E5">
        <w:rPr>
          <w:rFonts w:ascii="Times New Roman" w:hAnsi="Times New Roman" w:cs="Times New Roman"/>
          <w:lang w:val="en-US"/>
        </w:rPr>
        <w:t xml:space="preserve"> the voices. Uniformity is therefore suspect and does not portray a community that is sincere with itself. Even the fact that some voices of dissent are deliberate and not premised on logical grounds is a welcome development, lest a single instance of a ‘nonsense’ speech be taken as a decisive argument for perpetual exclusion. Recognizing the possibility of such instances creates the awareness that a synodal conversation should not be considered as a naïve process of consensus building; that the vision of an ecclesial community in which multiple forms of diversity is realized is much more important than a successful decision that rather silences contrary voices. </w:t>
      </w:r>
    </w:p>
    <w:p w14:paraId="4FC747F6" w14:textId="77777777" w:rsidR="00FB18AA" w:rsidRPr="001655E5" w:rsidRDefault="00FB18AA" w:rsidP="00FB18AA">
      <w:pPr>
        <w:spacing w:line="480" w:lineRule="auto"/>
        <w:ind w:firstLine="720"/>
        <w:jc w:val="both"/>
        <w:rPr>
          <w:rFonts w:ascii="Times New Roman" w:hAnsi="Times New Roman" w:cs="Times New Roman"/>
          <w:lang w:val="en-US"/>
        </w:rPr>
      </w:pPr>
      <w:r w:rsidRPr="001655E5">
        <w:rPr>
          <w:rFonts w:ascii="Times New Roman" w:hAnsi="Times New Roman" w:cs="Times New Roman"/>
          <w:lang w:val="en-US"/>
        </w:rPr>
        <w:t xml:space="preserve">The dynamic of diversity when it comes to synodality must not be read in a way that limits it to the inner-Catholic circle, although it must begin from an intra-ecclesial understanding as a starting point. This methodological approach is already factored into the African </w:t>
      </w:r>
      <w:r w:rsidRPr="001655E5">
        <w:rPr>
          <w:rFonts w:ascii="Times New Roman" w:hAnsi="Times New Roman" w:cs="Times New Roman"/>
          <w:i/>
          <w:iCs/>
          <w:lang w:val="en-US"/>
        </w:rPr>
        <w:t>Familia Dei</w:t>
      </w:r>
      <w:r w:rsidRPr="001655E5">
        <w:rPr>
          <w:rFonts w:ascii="Times New Roman" w:hAnsi="Times New Roman" w:cs="Times New Roman"/>
          <w:lang w:val="en-US"/>
        </w:rPr>
        <w:t xml:space="preserve"> ecclesiology in which the very understanding of family is expansive, integrating both the </w:t>
      </w:r>
      <w:r w:rsidRPr="001655E5">
        <w:rPr>
          <w:rFonts w:ascii="Times New Roman" w:hAnsi="Times New Roman" w:cs="Times New Roman"/>
          <w:i/>
          <w:iCs/>
          <w:lang w:val="en-US"/>
        </w:rPr>
        <w:t>ad intra</w:t>
      </w:r>
      <w:r w:rsidRPr="001655E5">
        <w:rPr>
          <w:rFonts w:ascii="Times New Roman" w:hAnsi="Times New Roman" w:cs="Times New Roman"/>
          <w:lang w:val="en-US"/>
        </w:rPr>
        <w:t xml:space="preserve"> and </w:t>
      </w:r>
      <w:proofErr w:type="spellStart"/>
      <w:r w:rsidRPr="001655E5">
        <w:rPr>
          <w:rFonts w:ascii="Times New Roman" w:hAnsi="Times New Roman" w:cs="Times New Roman"/>
          <w:i/>
          <w:iCs/>
          <w:lang w:val="en-US"/>
        </w:rPr>
        <w:t>ad</w:t>
      </w:r>
      <w:proofErr w:type="spellEnd"/>
      <w:r w:rsidRPr="001655E5">
        <w:rPr>
          <w:rFonts w:ascii="Times New Roman" w:hAnsi="Times New Roman" w:cs="Times New Roman"/>
          <w:i/>
          <w:iCs/>
          <w:lang w:val="en-US"/>
        </w:rPr>
        <w:t xml:space="preserve"> extra</w:t>
      </w:r>
      <w:r w:rsidRPr="001655E5">
        <w:rPr>
          <w:rFonts w:ascii="Times New Roman" w:hAnsi="Times New Roman" w:cs="Times New Roman"/>
          <w:lang w:val="en-US"/>
        </w:rPr>
        <w:t xml:space="preserve"> elements. The Igbo notion of family, as </w:t>
      </w:r>
      <w:proofErr w:type="spellStart"/>
      <w:r w:rsidRPr="001655E5">
        <w:rPr>
          <w:rFonts w:ascii="Times New Roman" w:hAnsi="Times New Roman" w:cs="Times New Roman"/>
          <w:i/>
          <w:iCs/>
          <w:lang w:val="en-US"/>
        </w:rPr>
        <w:t>ezinulo</w:t>
      </w:r>
      <w:proofErr w:type="spellEnd"/>
      <w:r w:rsidRPr="001655E5">
        <w:rPr>
          <w:rFonts w:ascii="Times New Roman" w:hAnsi="Times New Roman" w:cs="Times New Roman"/>
          <w:lang w:val="en-US"/>
        </w:rPr>
        <w:t xml:space="preserve">, does justice to the integration of the internal and external components of familial network. </w:t>
      </w:r>
      <w:proofErr w:type="spellStart"/>
      <w:r w:rsidRPr="001655E5">
        <w:rPr>
          <w:rFonts w:ascii="Times New Roman" w:hAnsi="Times New Roman" w:cs="Times New Roman"/>
          <w:lang w:val="en-US"/>
        </w:rPr>
        <w:t>Ezi</w:t>
      </w:r>
      <w:proofErr w:type="spellEnd"/>
      <w:r w:rsidRPr="001655E5">
        <w:rPr>
          <w:rFonts w:ascii="Times New Roman" w:hAnsi="Times New Roman" w:cs="Times New Roman"/>
          <w:lang w:val="en-US"/>
        </w:rPr>
        <w:t>-n-ulo is a ‘compound’ term that integrates the double elements of ‘</w:t>
      </w:r>
      <w:proofErr w:type="spellStart"/>
      <w:r w:rsidRPr="001655E5">
        <w:rPr>
          <w:rFonts w:ascii="Times New Roman" w:hAnsi="Times New Roman" w:cs="Times New Roman"/>
          <w:lang w:val="en-US"/>
        </w:rPr>
        <w:t>ezi</w:t>
      </w:r>
      <w:proofErr w:type="spellEnd"/>
      <w:r w:rsidRPr="001655E5">
        <w:rPr>
          <w:rFonts w:ascii="Times New Roman" w:hAnsi="Times New Roman" w:cs="Times New Roman"/>
          <w:lang w:val="en-US"/>
        </w:rPr>
        <w:t>’ and ‘ulo’ to underscore that the family is not limited to the household ‘ulo’ but includes external relatives ‘</w:t>
      </w:r>
      <w:proofErr w:type="spellStart"/>
      <w:r w:rsidRPr="001655E5">
        <w:rPr>
          <w:rFonts w:ascii="Times New Roman" w:hAnsi="Times New Roman" w:cs="Times New Roman"/>
          <w:lang w:val="en-US"/>
        </w:rPr>
        <w:t>ezi</w:t>
      </w:r>
      <w:proofErr w:type="spellEnd"/>
      <w:r w:rsidRPr="001655E5">
        <w:rPr>
          <w:rFonts w:ascii="Times New Roman" w:hAnsi="Times New Roman" w:cs="Times New Roman"/>
          <w:lang w:val="en-US"/>
        </w:rPr>
        <w:t xml:space="preserve">’. The integrated binary in this </w:t>
      </w:r>
      <w:proofErr w:type="spellStart"/>
      <w:r w:rsidRPr="001655E5">
        <w:rPr>
          <w:rFonts w:ascii="Times New Roman" w:hAnsi="Times New Roman" w:cs="Times New Roman"/>
          <w:lang w:val="en-US"/>
        </w:rPr>
        <w:t>lgbo</w:t>
      </w:r>
      <w:proofErr w:type="spellEnd"/>
      <w:r w:rsidRPr="001655E5">
        <w:rPr>
          <w:rFonts w:ascii="Times New Roman" w:hAnsi="Times New Roman" w:cs="Times New Roman"/>
          <w:lang w:val="en-US"/>
        </w:rPr>
        <w:t xml:space="preserve"> notion is a phenomenological recognition of the entangled nature of identity, in which every in-group is inextricably intermixed with an out-group to form a corpus. Within this matrix, the community emerges as an extended family in which the </w:t>
      </w:r>
      <w:r w:rsidRPr="001655E5">
        <w:rPr>
          <w:rFonts w:ascii="Times New Roman" w:hAnsi="Times New Roman" w:cs="Times New Roman"/>
          <w:lang w:val="en-US"/>
        </w:rPr>
        <w:lastRenderedPageBreak/>
        <w:t xml:space="preserve">uniqueness of every individual is respected and </w:t>
      </w:r>
      <w:proofErr w:type="spellStart"/>
      <w:r w:rsidRPr="001655E5">
        <w:rPr>
          <w:rFonts w:ascii="Times New Roman" w:hAnsi="Times New Roman" w:cs="Times New Roman"/>
          <w:lang w:val="en-US"/>
        </w:rPr>
        <w:t>honoured</w:t>
      </w:r>
      <w:proofErr w:type="spellEnd"/>
      <w:r w:rsidRPr="001655E5">
        <w:rPr>
          <w:rFonts w:ascii="Times New Roman" w:hAnsi="Times New Roman" w:cs="Times New Roman"/>
          <w:lang w:val="en-US"/>
        </w:rPr>
        <w:t>, at least in the right to have a voice with its double implication, namely, to speak and to be heard. And so a certain parallel is developed here where on the one hand the diversity of persons, groups, sodalities that you can find in a typical community, say a parish community, imply that each person has ‘the-right-to-speech’ in the discernment process of that faith community, according to the different structure of governance, while on the other hand, the same right is extended to non-Catholic believers in the discourse concerning our common faith even where the subject is the Catholic faith. In the situation where the inside and the outside are now understood as belonging to the same familial corpus, albeit in a differentiated manner, then an appropriate synodal ecclesiology would really invite us to enlarge our hitherto constricted tent of belonging.</w:t>
      </w:r>
    </w:p>
    <w:p w14:paraId="2B2082F5" w14:textId="77777777" w:rsidR="00FB18AA" w:rsidRPr="001655E5" w:rsidRDefault="00FB18AA" w:rsidP="00FB18AA">
      <w:pPr>
        <w:spacing w:line="480" w:lineRule="auto"/>
        <w:jc w:val="both"/>
        <w:rPr>
          <w:rFonts w:ascii="Times New Roman" w:hAnsi="Times New Roman" w:cs="Times New Roman"/>
          <w:lang w:val="en-US"/>
        </w:rPr>
      </w:pPr>
    </w:p>
    <w:p w14:paraId="194CBBA3" w14:textId="77777777" w:rsidR="00FB18AA" w:rsidRPr="001655E5" w:rsidRDefault="00FB18AA" w:rsidP="00FB18AA">
      <w:pPr>
        <w:spacing w:line="480" w:lineRule="auto"/>
        <w:jc w:val="both"/>
        <w:rPr>
          <w:rFonts w:ascii="Times New Roman" w:hAnsi="Times New Roman" w:cs="Times New Roman"/>
          <w:b/>
          <w:bCs/>
          <w:lang w:val="en-US"/>
        </w:rPr>
      </w:pPr>
      <w:r w:rsidRPr="001655E5">
        <w:rPr>
          <w:rFonts w:ascii="Times New Roman" w:hAnsi="Times New Roman" w:cs="Times New Roman"/>
          <w:b/>
          <w:bCs/>
          <w:lang w:val="en-US"/>
        </w:rPr>
        <w:t>Widening the space, expanding the tent</w:t>
      </w:r>
    </w:p>
    <w:p w14:paraId="2FC70C65" w14:textId="77777777" w:rsidR="00FB18AA" w:rsidRPr="001655E5" w:rsidRDefault="00FB18AA" w:rsidP="00FB18AA">
      <w:pPr>
        <w:spacing w:line="480" w:lineRule="auto"/>
        <w:jc w:val="both"/>
        <w:rPr>
          <w:rFonts w:ascii="Times New Roman" w:hAnsi="Times New Roman" w:cs="Times New Roman"/>
          <w:lang w:val="en-US"/>
        </w:rPr>
      </w:pPr>
    </w:p>
    <w:p w14:paraId="023350AB"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t xml:space="preserve">The working document for the continental stage of the Synod on Synodality specifically adopted the theme: “Enlarge the space of your tent” (Is 54:2) in articulating the task before the church in preparation for the First Session of the XVI Ordinary general Assembly of the Synod of Bishops that took place from 4 to 29 October 2023. The theme functions in indicating the next level of the conversation, from the dioceses to the continents, but could equally be applied in the deepening of an understanding of synodality as characteristically catholic in truest understanding of the concept. The document recaptured in its introduction some of the very popular vocabularies of synodality such ‘walking together’, </w:t>
      </w:r>
      <w:proofErr w:type="spellStart"/>
      <w:r w:rsidRPr="001655E5">
        <w:rPr>
          <w:rFonts w:ascii="Times New Roman" w:hAnsi="Times New Roman" w:cs="Times New Roman"/>
          <w:i/>
          <w:iCs/>
          <w:lang w:val="en-US"/>
        </w:rPr>
        <w:t>sensus</w:t>
      </w:r>
      <w:proofErr w:type="spellEnd"/>
      <w:r w:rsidRPr="001655E5">
        <w:rPr>
          <w:rFonts w:ascii="Times New Roman" w:hAnsi="Times New Roman" w:cs="Times New Roman"/>
          <w:i/>
          <w:iCs/>
          <w:lang w:val="en-US"/>
        </w:rPr>
        <w:t xml:space="preserve"> fidei</w:t>
      </w:r>
      <w:r w:rsidRPr="001655E5">
        <w:rPr>
          <w:rFonts w:ascii="Times New Roman" w:hAnsi="Times New Roman" w:cs="Times New Roman"/>
          <w:lang w:val="en-US"/>
        </w:rPr>
        <w:t xml:space="preserve">, listening as openness, and so on. The drafters interpret this tent as “a space of </w:t>
      </w:r>
      <w:r w:rsidRPr="001655E5">
        <w:rPr>
          <w:rFonts w:ascii="Times New Roman" w:hAnsi="Times New Roman" w:cs="Times New Roman"/>
          <w:i/>
          <w:iCs/>
          <w:lang w:val="en-US"/>
        </w:rPr>
        <w:t>communion</w:t>
      </w:r>
      <w:r w:rsidRPr="001655E5">
        <w:rPr>
          <w:rFonts w:ascii="Times New Roman" w:hAnsi="Times New Roman" w:cs="Times New Roman"/>
          <w:lang w:val="en-US"/>
        </w:rPr>
        <w:t xml:space="preserve">, a place of participation, and a foundation of mission” (§11), while recognizing how the experience of synodality at the local churches emerges as “a profound re-appropriation of the common dignity of all the baptized.”  This is exactly where one can locate “the authentic pillar of a synodal Church and </w:t>
      </w:r>
      <w:r w:rsidRPr="001655E5">
        <w:rPr>
          <w:rFonts w:ascii="Times New Roman" w:hAnsi="Times New Roman" w:cs="Times New Roman"/>
          <w:lang w:val="en-US"/>
        </w:rPr>
        <w:lastRenderedPageBreak/>
        <w:t>the theological foundation of a unity which is incapable of resisting the push towards homogenization.” (§9)</w:t>
      </w:r>
    </w:p>
    <w:p w14:paraId="05AA58A9" w14:textId="77777777" w:rsidR="00FB18AA" w:rsidRPr="001655E5" w:rsidRDefault="00FB18AA" w:rsidP="00FB18AA">
      <w:pPr>
        <w:spacing w:line="480" w:lineRule="auto"/>
        <w:ind w:firstLine="720"/>
        <w:jc w:val="both"/>
        <w:rPr>
          <w:rFonts w:ascii="Times New Roman" w:hAnsi="Times New Roman" w:cs="Times New Roman"/>
          <w:lang w:val="en-US"/>
        </w:rPr>
      </w:pPr>
      <w:r w:rsidRPr="001655E5">
        <w:rPr>
          <w:rFonts w:ascii="Times New Roman" w:hAnsi="Times New Roman" w:cs="Times New Roman"/>
          <w:lang w:val="en-US"/>
        </w:rPr>
        <w:t xml:space="preserve">Widening the space of the Catholic tent is to recognize that catholicity is implied in an ecumenical disposition of the church. What is required here is a hermeneutical shift that re-appropriates catholicity in what the Evangelical theologian Christopher </w:t>
      </w:r>
      <w:proofErr w:type="spellStart"/>
      <w:r w:rsidRPr="001655E5">
        <w:rPr>
          <w:rFonts w:ascii="Times New Roman" w:hAnsi="Times New Roman" w:cs="Times New Roman"/>
          <w:lang w:val="en-US"/>
        </w:rPr>
        <w:t>Duraisingh</w:t>
      </w:r>
      <w:proofErr w:type="spellEnd"/>
      <w:r w:rsidRPr="001655E5">
        <w:rPr>
          <w:rFonts w:ascii="Times New Roman" w:hAnsi="Times New Roman" w:cs="Times New Roman"/>
          <w:lang w:val="en-US"/>
        </w:rPr>
        <w:t xml:space="preserve"> refers to as a ‘hermeneutics of solidarity’ against a ‘hermeneutics of domination’ in which Christian relations is determined by the universalizing capacity of the group with the power.</w:t>
      </w:r>
      <w:r w:rsidRPr="001655E5">
        <w:rPr>
          <w:rStyle w:val="FootnoteReference"/>
          <w:rFonts w:ascii="Times New Roman" w:hAnsi="Times New Roman" w:cs="Times New Roman"/>
          <w:lang w:val="en-US"/>
        </w:rPr>
        <w:footnoteReference w:id="2"/>
      </w:r>
      <w:r w:rsidRPr="001655E5">
        <w:rPr>
          <w:rFonts w:ascii="Times New Roman" w:hAnsi="Times New Roman" w:cs="Times New Roman"/>
          <w:lang w:val="en-US"/>
        </w:rPr>
        <w:t xml:space="preserve"> </w:t>
      </w:r>
      <w:proofErr w:type="spellStart"/>
      <w:r w:rsidRPr="001655E5">
        <w:rPr>
          <w:rFonts w:ascii="Times New Roman" w:hAnsi="Times New Roman" w:cs="Times New Roman"/>
          <w:lang w:val="en-US"/>
        </w:rPr>
        <w:t>Duraisingh</w:t>
      </w:r>
      <w:proofErr w:type="spellEnd"/>
      <w:r w:rsidRPr="001655E5">
        <w:rPr>
          <w:rFonts w:ascii="Times New Roman" w:hAnsi="Times New Roman" w:cs="Times New Roman"/>
          <w:lang w:val="en-US"/>
        </w:rPr>
        <w:t xml:space="preserve"> critiques any tendency to universalize the Christian faith without the balancing act of integrating lived realities. Faith experience ought to accompany theological articulation of the nature of Christian faith as a unum. This is important for a type of cross-cultural hermeneutics that he advocates, which has implications for the way and manner scriptural and theological interpretations are done. And perhaps more pertinent is the effect of such hermeneutics on the self-understanding of the church as some sort of ‘community of interpretation’ (</w:t>
      </w:r>
      <w:proofErr w:type="spellStart"/>
      <w:r w:rsidRPr="001655E5">
        <w:rPr>
          <w:rFonts w:ascii="Times New Roman" w:hAnsi="Times New Roman" w:cs="Times New Roman"/>
          <w:i/>
          <w:iCs/>
          <w:lang w:val="en-US"/>
        </w:rPr>
        <w:t>Interpretationsgemeinschaft</w:t>
      </w:r>
      <w:proofErr w:type="spellEnd"/>
      <w:r w:rsidRPr="001655E5">
        <w:rPr>
          <w:rFonts w:ascii="Times New Roman" w:hAnsi="Times New Roman" w:cs="Times New Roman"/>
          <w:lang w:val="en-US"/>
        </w:rPr>
        <w:t>). This concept of ‘community of interpretation’ was first popularized by Francis Schuessler Fiorenza</w:t>
      </w:r>
      <w:r w:rsidRPr="001655E5">
        <w:rPr>
          <w:rStyle w:val="FootnoteReference"/>
          <w:rFonts w:ascii="Times New Roman" w:hAnsi="Times New Roman" w:cs="Times New Roman"/>
          <w:lang w:val="en-US"/>
        </w:rPr>
        <w:footnoteReference w:id="3"/>
      </w:r>
      <w:r w:rsidRPr="001655E5">
        <w:rPr>
          <w:rFonts w:ascii="Times New Roman" w:hAnsi="Times New Roman" w:cs="Times New Roman"/>
          <w:lang w:val="en-US"/>
        </w:rPr>
        <w:t xml:space="preserve"> in his development of a public theology that accounts for the legitimacy of the church within the public sphere. He argues that the hermeneutical processes of tradition in the church have something concrete to offer in public discourse following a critique of Habermas’ </w:t>
      </w:r>
      <w:r w:rsidRPr="001655E5">
        <w:rPr>
          <w:rFonts w:ascii="Times New Roman" w:hAnsi="Times New Roman" w:cs="Times New Roman"/>
          <w:i/>
          <w:iCs/>
          <w:lang w:val="en-US"/>
        </w:rPr>
        <w:t>Theory of Communicative Action</w:t>
      </w:r>
      <w:r w:rsidRPr="001655E5">
        <w:rPr>
          <w:rFonts w:ascii="Times New Roman" w:hAnsi="Times New Roman" w:cs="Times New Roman"/>
          <w:lang w:val="en-US"/>
        </w:rPr>
        <w:t xml:space="preserve">. Although Fiorenza’s political theology is praised for its clarity, he has been critiqued as providing insufficient explanation of the concept of ‘community of interpretation.’ In the context of social theory, Michael Haspel rejects this idea of ‘community’ in </w:t>
      </w:r>
      <w:proofErr w:type="spellStart"/>
      <w:r w:rsidRPr="001655E5">
        <w:rPr>
          <w:rFonts w:ascii="Times New Roman" w:hAnsi="Times New Roman" w:cs="Times New Roman"/>
          <w:lang w:val="en-US"/>
        </w:rPr>
        <w:t>favour</w:t>
      </w:r>
      <w:proofErr w:type="spellEnd"/>
      <w:r w:rsidRPr="001655E5">
        <w:rPr>
          <w:rFonts w:ascii="Times New Roman" w:hAnsi="Times New Roman" w:cs="Times New Roman"/>
          <w:lang w:val="en-US"/>
        </w:rPr>
        <w:t xml:space="preserve"> of ‘institution’ while </w:t>
      </w:r>
      <w:r w:rsidRPr="001655E5">
        <w:rPr>
          <w:rFonts w:ascii="Times New Roman" w:hAnsi="Times New Roman" w:cs="Times New Roman"/>
          <w:lang w:val="en-US"/>
        </w:rPr>
        <w:lastRenderedPageBreak/>
        <w:t>reinterpreting Fiorenza’s concept as referring to an “institutionalized communication based on the reinterpretation of religious tradition.”</w:t>
      </w:r>
      <w:r w:rsidRPr="001655E5">
        <w:rPr>
          <w:rStyle w:val="FootnoteReference"/>
          <w:rFonts w:ascii="Times New Roman" w:hAnsi="Times New Roman" w:cs="Times New Roman"/>
          <w:lang w:val="en-US"/>
        </w:rPr>
        <w:footnoteReference w:id="4"/>
      </w:r>
      <w:r w:rsidRPr="001655E5">
        <w:rPr>
          <w:rFonts w:ascii="Times New Roman" w:hAnsi="Times New Roman" w:cs="Times New Roman"/>
          <w:lang w:val="en-US"/>
        </w:rPr>
        <w:t xml:space="preserve"> According to Haspel, a clearer understanding of what Fiorenza refers to would imply that “the church participates in the reproduction of the life-world in all three structural fields: in the shaping of personal identities in processes of socialization and education, in the production of intersubjectively shared knowledge in the sphere of culture, as well as in the institutionalized normative social integration of society, all based on the reinterpretation of the tradition in discourses.”</w:t>
      </w:r>
      <w:r w:rsidRPr="001655E5">
        <w:rPr>
          <w:rStyle w:val="FootnoteReference"/>
          <w:rFonts w:ascii="Times New Roman" w:hAnsi="Times New Roman" w:cs="Times New Roman"/>
          <w:lang w:val="en-US"/>
        </w:rPr>
        <w:footnoteReference w:id="5"/>
      </w:r>
      <w:r w:rsidRPr="001655E5">
        <w:rPr>
          <w:rFonts w:ascii="Times New Roman" w:hAnsi="Times New Roman" w:cs="Times New Roman"/>
          <w:lang w:val="en-US"/>
        </w:rPr>
        <w:t xml:space="preserve"> If we keep this discourse for the sake of its benefit to church’s public engagement, the ecclesiological question remains unaddressed. What is the nature of the community that interprets tradition? If the singularity of the community is already in question, then we might be dealing with ‘communities of interpretations’ since the plurality of community imply by the same measure the plurality of tradition, hence of the hermeneutics that follows.</w:t>
      </w:r>
    </w:p>
    <w:p w14:paraId="73180923" w14:textId="77777777" w:rsidR="00FB18AA" w:rsidRPr="001655E5" w:rsidRDefault="00FB18AA" w:rsidP="00FB18AA">
      <w:pPr>
        <w:spacing w:line="480" w:lineRule="auto"/>
        <w:ind w:firstLine="720"/>
        <w:jc w:val="both"/>
        <w:rPr>
          <w:rFonts w:ascii="Times New Roman" w:hAnsi="Times New Roman" w:cs="Times New Roman"/>
          <w:lang w:val="en-US"/>
        </w:rPr>
      </w:pPr>
      <w:r w:rsidRPr="001655E5">
        <w:rPr>
          <w:rFonts w:ascii="Times New Roman" w:hAnsi="Times New Roman" w:cs="Times New Roman"/>
          <w:lang w:val="en-US"/>
        </w:rPr>
        <w:t xml:space="preserve">The concerns above bring to the front burner the nature of the unum, and the universalizing claims that ecclesiologists often make. For </w:t>
      </w:r>
      <w:proofErr w:type="spellStart"/>
      <w:r w:rsidRPr="001655E5">
        <w:rPr>
          <w:rFonts w:ascii="Times New Roman" w:hAnsi="Times New Roman" w:cs="Times New Roman"/>
          <w:lang w:val="en-US"/>
        </w:rPr>
        <w:t>Duraisingh</w:t>
      </w:r>
      <w:proofErr w:type="spellEnd"/>
      <w:r w:rsidRPr="001655E5">
        <w:rPr>
          <w:rFonts w:ascii="Times New Roman" w:hAnsi="Times New Roman" w:cs="Times New Roman"/>
          <w:lang w:val="en-US"/>
        </w:rPr>
        <w:t xml:space="preserve"> the multiplicity of communities and of interpretations does not necessarily imply a plurality of tradition. He utilizes the idea of ‘</w:t>
      </w:r>
      <w:proofErr w:type="spellStart"/>
      <w:r w:rsidRPr="001655E5">
        <w:rPr>
          <w:rFonts w:ascii="Times New Roman" w:hAnsi="Times New Roman" w:cs="Times New Roman"/>
          <w:lang w:val="en-US"/>
        </w:rPr>
        <w:t>traditioning</w:t>
      </w:r>
      <w:proofErr w:type="spellEnd"/>
      <w:r w:rsidRPr="001655E5">
        <w:rPr>
          <w:rFonts w:ascii="Times New Roman" w:hAnsi="Times New Roman" w:cs="Times New Roman"/>
          <w:lang w:val="en-US"/>
        </w:rPr>
        <w:t xml:space="preserve">’ to explain this hermeneutical process: “Every encounter with a tradition is an event in the process of the community’s </w:t>
      </w:r>
      <w:proofErr w:type="spellStart"/>
      <w:r w:rsidRPr="001655E5">
        <w:rPr>
          <w:rFonts w:ascii="Times New Roman" w:hAnsi="Times New Roman" w:cs="Times New Roman"/>
          <w:lang w:val="en-US"/>
        </w:rPr>
        <w:t>traditioning</w:t>
      </w:r>
      <w:proofErr w:type="spellEnd"/>
      <w:r w:rsidRPr="001655E5">
        <w:rPr>
          <w:rFonts w:ascii="Times New Roman" w:hAnsi="Times New Roman" w:cs="Times New Roman"/>
          <w:lang w:val="en-US"/>
        </w:rPr>
        <w:t xml:space="preserve">, handing-over. Every interpretation is not so much of the tradition as it is a happening within the </w:t>
      </w:r>
      <w:proofErr w:type="spellStart"/>
      <w:r w:rsidRPr="001655E5">
        <w:rPr>
          <w:rFonts w:ascii="Times New Roman" w:hAnsi="Times New Roman" w:cs="Times New Roman"/>
          <w:lang w:val="en-US"/>
        </w:rPr>
        <w:t>traditioning</w:t>
      </w:r>
      <w:proofErr w:type="spellEnd"/>
      <w:r w:rsidRPr="001655E5">
        <w:rPr>
          <w:rFonts w:ascii="Times New Roman" w:hAnsi="Times New Roman" w:cs="Times New Roman"/>
          <w:lang w:val="en-US"/>
        </w:rPr>
        <w:t xml:space="preserve"> process.”</w:t>
      </w:r>
      <w:r w:rsidRPr="001655E5">
        <w:rPr>
          <w:rStyle w:val="FootnoteReference"/>
          <w:rFonts w:ascii="Times New Roman" w:hAnsi="Times New Roman" w:cs="Times New Roman"/>
          <w:lang w:val="en-US"/>
        </w:rPr>
        <w:footnoteReference w:id="6"/>
      </w:r>
      <w:r w:rsidRPr="001655E5">
        <w:rPr>
          <w:rFonts w:ascii="Times New Roman" w:hAnsi="Times New Roman" w:cs="Times New Roman"/>
          <w:lang w:val="en-US"/>
        </w:rPr>
        <w:t xml:space="preserve"> The presupposition is that tradition is something that stands above and beyond all of us; it can neither be possessed by us but on the contrary, we belong to it. We are the subjects of tradition rather than its master. For him, “a tradition lives on in shared memory, praxis and hope of a given community, the encounter with the tradition is communal.”</w:t>
      </w:r>
      <w:r w:rsidRPr="001655E5">
        <w:rPr>
          <w:rStyle w:val="FootnoteReference"/>
          <w:rFonts w:ascii="Times New Roman" w:hAnsi="Times New Roman" w:cs="Times New Roman"/>
          <w:lang w:val="en-US"/>
        </w:rPr>
        <w:footnoteReference w:id="7"/>
      </w:r>
      <w:r w:rsidRPr="001655E5">
        <w:rPr>
          <w:rFonts w:ascii="Times New Roman" w:hAnsi="Times New Roman" w:cs="Times New Roman"/>
          <w:lang w:val="en-US"/>
        </w:rPr>
        <w:t xml:space="preserve"> This attempt at </w:t>
      </w:r>
      <w:r w:rsidRPr="001655E5">
        <w:rPr>
          <w:rFonts w:ascii="Times New Roman" w:hAnsi="Times New Roman" w:cs="Times New Roman"/>
          <w:lang w:val="en-US"/>
        </w:rPr>
        <w:lastRenderedPageBreak/>
        <w:t>dismissing the essentialist or propositional understanding of tradition emphasizes the relational, intersubjective nature of tradition. Yet the notion of intersubjectivity and relationality must create an overture for something essential or objective about tradition. Keeping the tension between the universal and the particular/local is important as evident in Roman Catholic ecclesiology. This is even necessary in the proposal for a cross-cultural hermeneutics that foreclose the chances for provincialism or denominationalism.</w:t>
      </w:r>
    </w:p>
    <w:p w14:paraId="7C2367F6" w14:textId="77777777" w:rsidR="00FB18AA" w:rsidRPr="001655E5" w:rsidRDefault="00FB18AA" w:rsidP="00FB18AA">
      <w:pPr>
        <w:spacing w:line="480" w:lineRule="auto"/>
        <w:ind w:firstLine="720"/>
        <w:jc w:val="both"/>
        <w:rPr>
          <w:rFonts w:ascii="Times New Roman" w:hAnsi="Times New Roman" w:cs="Times New Roman"/>
          <w:lang w:val="en-US"/>
        </w:rPr>
      </w:pPr>
      <w:proofErr w:type="spellStart"/>
      <w:r w:rsidRPr="001655E5">
        <w:rPr>
          <w:rFonts w:ascii="Times New Roman" w:hAnsi="Times New Roman" w:cs="Times New Roman"/>
          <w:lang w:val="en-US"/>
        </w:rPr>
        <w:t>Duraisingh</w:t>
      </w:r>
      <w:proofErr w:type="spellEnd"/>
      <w:r w:rsidRPr="001655E5">
        <w:rPr>
          <w:rFonts w:ascii="Times New Roman" w:hAnsi="Times New Roman" w:cs="Times New Roman"/>
          <w:lang w:val="en-US"/>
        </w:rPr>
        <w:t xml:space="preserve"> prioritizes the idea of ‘the catholicity of the gospel’</w:t>
      </w:r>
      <w:r w:rsidRPr="001655E5">
        <w:rPr>
          <w:rStyle w:val="FootnoteReference"/>
          <w:rFonts w:ascii="Times New Roman" w:hAnsi="Times New Roman" w:cs="Times New Roman"/>
          <w:lang w:val="en-US"/>
        </w:rPr>
        <w:footnoteReference w:id="8"/>
      </w:r>
      <w:r w:rsidRPr="001655E5">
        <w:rPr>
          <w:rFonts w:ascii="Times New Roman" w:hAnsi="Times New Roman" w:cs="Times New Roman"/>
          <w:lang w:val="en-US"/>
        </w:rPr>
        <w:t xml:space="preserve"> which sets the ground for determining the authenticity and criteria for cross-cultural hermeneutics. The objective is to foster the experience of mutual recognition and mutual accountability among churches.</w:t>
      </w:r>
      <w:r w:rsidRPr="001655E5">
        <w:rPr>
          <w:rStyle w:val="FootnoteReference"/>
          <w:rFonts w:ascii="Times New Roman" w:hAnsi="Times New Roman" w:cs="Times New Roman"/>
          <w:lang w:val="en-US"/>
        </w:rPr>
        <w:footnoteReference w:id="9"/>
      </w:r>
      <w:r w:rsidRPr="001655E5">
        <w:rPr>
          <w:rFonts w:ascii="Times New Roman" w:hAnsi="Times New Roman" w:cs="Times New Roman"/>
          <w:lang w:val="en-US"/>
        </w:rPr>
        <w:t xml:space="preserve"> And so, while </w:t>
      </w:r>
      <w:proofErr w:type="spellStart"/>
      <w:r w:rsidRPr="001655E5">
        <w:rPr>
          <w:rFonts w:ascii="Times New Roman" w:hAnsi="Times New Roman" w:cs="Times New Roman"/>
          <w:lang w:val="en-US"/>
        </w:rPr>
        <w:t>Duraisingh’s</w:t>
      </w:r>
      <w:proofErr w:type="spellEnd"/>
      <w:r w:rsidRPr="001655E5">
        <w:rPr>
          <w:rFonts w:ascii="Times New Roman" w:hAnsi="Times New Roman" w:cs="Times New Roman"/>
          <w:lang w:val="en-US"/>
        </w:rPr>
        <w:t xml:space="preserve"> catholicity requires a movement ad-extra </w:t>
      </w:r>
      <w:proofErr w:type="gramStart"/>
      <w:r w:rsidRPr="001655E5">
        <w:rPr>
          <w:rFonts w:ascii="Times New Roman" w:hAnsi="Times New Roman" w:cs="Times New Roman"/>
          <w:lang w:val="en-US"/>
        </w:rPr>
        <w:t>with regard to</w:t>
      </w:r>
      <w:proofErr w:type="gramEnd"/>
      <w:r w:rsidRPr="001655E5">
        <w:rPr>
          <w:rFonts w:ascii="Times New Roman" w:hAnsi="Times New Roman" w:cs="Times New Roman"/>
          <w:lang w:val="en-US"/>
        </w:rPr>
        <w:t xml:space="preserve"> the Catholic Church which claims a peculiar understanding of tradition, Yves Congar’s ecumenical catholicity, particularly in </w:t>
      </w:r>
      <w:proofErr w:type="spellStart"/>
      <w:r w:rsidRPr="001655E5">
        <w:rPr>
          <w:rFonts w:ascii="Times New Roman" w:hAnsi="Times New Roman" w:cs="Times New Roman"/>
          <w:i/>
          <w:iCs/>
          <w:lang w:val="en-US"/>
        </w:rPr>
        <w:t>Chrétiens</w:t>
      </w:r>
      <w:proofErr w:type="spellEnd"/>
      <w:r w:rsidRPr="001655E5">
        <w:rPr>
          <w:rFonts w:ascii="Times New Roman" w:hAnsi="Times New Roman" w:cs="Times New Roman"/>
          <w:i/>
          <w:iCs/>
          <w:lang w:val="en-US"/>
        </w:rPr>
        <w:t xml:space="preserve"> </w:t>
      </w:r>
      <w:proofErr w:type="spellStart"/>
      <w:r w:rsidRPr="001655E5">
        <w:rPr>
          <w:rFonts w:ascii="Times New Roman" w:hAnsi="Times New Roman" w:cs="Times New Roman"/>
          <w:i/>
          <w:iCs/>
          <w:lang w:val="en-US"/>
        </w:rPr>
        <w:t>désunis</w:t>
      </w:r>
      <w:proofErr w:type="spellEnd"/>
      <w:r w:rsidRPr="001655E5">
        <w:rPr>
          <w:rFonts w:ascii="Times New Roman" w:hAnsi="Times New Roman" w:cs="Times New Roman"/>
          <w:lang w:val="en-US"/>
        </w:rPr>
        <w:t xml:space="preserve">, focuses primarily on the intra-Catholic understanding of the non-Catholics as part of his </w:t>
      </w:r>
      <w:r w:rsidRPr="001655E5">
        <w:rPr>
          <w:rFonts w:ascii="Times New Roman" w:hAnsi="Times New Roman" w:cs="Times New Roman"/>
          <w:i/>
          <w:iCs/>
          <w:lang w:val="en-US"/>
        </w:rPr>
        <w:t>complete</w:t>
      </w:r>
      <w:r w:rsidRPr="001655E5">
        <w:rPr>
          <w:rFonts w:ascii="Times New Roman" w:hAnsi="Times New Roman" w:cs="Times New Roman"/>
          <w:lang w:val="en-US"/>
        </w:rPr>
        <w:t xml:space="preserve"> ecclesiology. For Congar, catholicity is not an identity that the church aspires to, but it’s very identity-marker: “The Church of Jesus Christ is presently really catholic.”</w:t>
      </w:r>
      <w:r w:rsidRPr="001655E5">
        <w:rPr>
          <w:rStyle w:val="FootnoteReference"/>
          <w:rFonts w:ascii="Times New Roman" w:hAnsi="Times New Roman" w:cs="Times New Roman"/>
          <w:lang w:val="en-US"/>
        </w:rPr>
        <w:footnoteReference w:id="10"/>
      </w:r>
      <w:r w:rsidRPr="001655E5">
        <w:rPr>
          <w:rFonts w:ascii="Times New Roman" w:hAnsi="Times New Roman" w:cs="Times New Roman"/>
          <w:lang w:val="en-US"/>
        </w:rPr>
        <w:t xml:space="preserve"> Hence, any ecclesiology must be framed from the perspective of plenitude, fullness, or totality. On the one hand, this ecclesiology recognizes the ecumenical space for catholicity as the path to the full realization of catholicity, not a return to uniformity. Catholicity is already a </w:t>
      </w:r>
      <w:r w:rsidRPr="001655E5">
        <w:rPr>
          <w:rFonts w:ascii="Times New Roman" w:hAnsi="Times New Roman" w:cs="Times New Roman"/>
          <w:i/>
          <w:iCs/>
          <w:lang w:val="en-US"/>
        </w:rPr>
        <w:t>donum</w:t>
      </w:r>
      <w:r w:rsidRPr="001655E5">
        <w:rPr>
          <w:rFonts w:ascii="Times New Roman" w:hAnsi="Times New Roman" w:cs="Times New Roman"/>
          <w:lang w:val="en-US"/>
        </w:rPr>
        <w:t xml:space="preserve"> in Christ, and the task of believers is to march towards it, the pilgrimage towards fullness. In constructing a total ecclesiology for the Catholic Church, ecumenism emerges as an inseparable dimension of the self-understanding of the church that is premised on baptism and the notion of the people of God. On the other hand, Congar uses the idea of Catholic fidelity as a way of deepening the Christian identity of catholicity of those in the Catholic Church. This is the basis for constant reform and renewal </w:t>
      </w:r>
      <w:r w:rsidRPr="001655E5">
        <w:rPr>
          <w:rFonts w:ascii="Times New Roman" w:hAnsi="Times New Roman" w:cs="Times New Roman"/>
          <w:lang w:val="en-US"/>
        </w:rPr>
        <w:lastRenderedPageBreak/>
        <w:t>in the church. Implied here is the double source of catholicity “the fullness of Christ and the virtual fullness of humanity.”</w:t>
      </w:r>
      <w:r w:rsidRPr="001655E5">
        <w:rPr>
          <w:rStyle w:val="FootnoteReference"/>
          <w:rFonts w:ascii="Times New Roman" w:hAnsi="Times New Roman" w:cs="Times New Roman"/>
          <w:lang w:val="en-US"/>
        </w:rPr>
        <w:footnoteReference w:id="11"/>
      </w:r>
      <w:r w:rsidRPr="001655E5">
        <w:rPr>
          <w:rFonts w:ascii="Times New Roman" w:hAnsi="Times New Roman" w:cs="Times New Roman"/>
          <w:lang w:val="en-US"/>
        </w:rPr>
        <w:t xml:space="preserve"> Another implication of Congar’s ‘total ecclesiology’ is its eschatological orientation:</w:t>
      </w:r>
    </w:p>
    <w:p w14:paraId="75584246" w14:textId="77777777" w:rsidR="00FB18AA" w:rsidRPr="001655E5" w:rsidRDefault="00FB18AA" w:rsidP="00FB18AA">
      <w:pPr>
        <w:spacing w:line="480" w:lineRule="auto"/>
        <w:ind w:firstLine="720"/>
        <w:jc w:val="both"/>
        <w:rPr>
          <w:rFonts w:ascii="Times New Roman" w:hAnsi="Times New Roman" w:cs="Times New Roman"/>
          <w:lang w:val="en-US"/>
        </w:rPr>
      </w:pPr>
    </w:p>
    <w:p w14:paraId="55F365A6" w14:textId="77777777" w:rsidR="00FB18AA" w:rsidRPr="001655E5" w:rsidRDefault="00FB18AA" w:rsidP="00FB18AA">
      <w:pPr>
        <w:spacing w:line="480" w:lineRule="auto"/>
        <w:ind w:left="567" w:right="804"/>
        <w:jc w:val="both"/>
        <w:rPr>
          <w:rFonts w:ascii="Times New Roman" w:hAnsi="Times New Roman" w:cs="Times New Roman"/>
          <w:lang w:val="en-US"/>
        </w:rPr>
      </w:pPr>
      <w:r w:rsidRPr="001655E5">
        <w:rPr>
          <w:rFonts w:ascii="Times New Roman" w:hAnsi="Times New Roman" w:cs="Times New Roman"/>
          <w:lang w:val="en-US"/>
        </w:rPr>
        <w:t>“In any case, the duty for the Church remains to undertake a process of reintegration which will only be consummated eschatologically. It is something entirely other than the reunion of ‘wanderers’ [</w:t>
      </w:r>
      <w:proofErr w:type="spellStart"/>
      <w:r w:rsidRPr="001655E5">
        <w:rPr>
          <w:rFonts w:ascii="Times New Roman" w:hAnsi="Times New Roman" w:cs="Times New Roman"/>
          <w:i/>
          <w:iCs/>
          <w:lang w:val="en-US"/>
        </w:rPr>
        <w:t>errants</w:t>
      </w:r>
      <w:proofErr w:type="spellEnd"/>
      <w:r w:rsidRPr="001655E5">
        <w:rPr>
          <w:rFonts w:ascii="Times New Roman" w:hAnsi="Times New Roman" w:cs="Times New Roman"/>
          <w:lang w:val="en-US"/>
        </w:rPr>
        <w:t>] by apologetic and controversy. It is a business requiring great patience, coextensive with the very history of the Church and which supposes of it a double effort towards purity and plenitude, engaging it in a broad return to the sources, openness and dialogue, reform and freedom [</w:t>
      </w:r>
      <w:proofErr w:type="spellStart"/>
      <w:r w:rsidRPr="001655E5">
        <w:rPr>
          <w:rFonts w:ascii="Times New Roman" w:hAnsi="Times New Roman" w:cs="Times New Roman"/>
          <w:i/>
          <w:iCs/>
          <w:lang w:val="en-US"/>
        </w:rPr>
        <w:t>élargissement</w:t>
      </w:r>
      <w:proofErr w:type="spellEnd"/>
      <w:r w:rsidRPr="001655E5">
        <w:rPr>
          <w:rFonts w:ascii="Times New Roman" w:hAnsi="Times New Roman" w:cs="Times New Roman"/>
          <w:lang w:val="en-US"/>
        </w:rPr>
        <w:t xml:space="preserve">]. </w:t>
      </w:r>
      <w:proofErr w:type="gramStart"/>
      <w:r w:rsidRPr="001655E5">
        <w:rPr>
          <w:rFonts w:ascii="Times New Roman" w:hAnsi="Times New Roman" w:cs="Times New Roman"/>
          <w:lang w:val="en-US"/>
        </w:rPr>
        <w:t>It is clear that the</w:t>
      </w:r>
      <w:proofErr w:type="gramEnd"/>
      <w:r w:rsidRPr="001655E5">
        <w:rPr>
          <w:rFonts w:ascii="Times New Roman" w:hAnsi="Times New Roman" w:cs="Times New Roman"/>
          <w:lang w:val="en-US"/>
        </w:rPr>
        <w:t xml:space="preserve"> Church, particularly in our time, is called to this task.”</w:t>
      </w:r>
      <w:r w:rsidRPr="001655E5">
        <w:rPr>
          <w:rStyle w:val="FootnoteReference"/>
          <w:rFonts w:ascii="Times New Roman" w:hAnsi="Times New Roman" w:cs="Times New Roman"/>
          <w:lang w:val="en-US"/>
        </w:rPr>
        <w:footnoteReference w:id="12"/>
      </w:r>
    </w:p>
    <w:p w14:paraId="758F72A2" w14:textId="77777777" w:rsidR="00FB18AA" w:rsidRPr="001655E5" w:rsidRDefault="00FB18AA" w:rsidP="00FB18AA">
      <w:pPr>
        <w:spacing w:line="480" w:lineRule="auto"/>
        <w:jc w:val="both"/>
        <w:rPr>
          <w:rFonts w:ascii="Times New Roman" w:hAnsi="Times New Roman" w:cs="Times New Roman"/>
          <w:lang w:val="en-US"/>
        </w:rPr>
      </w:pPr>
    </w:p>
    <w:p w14:paraId="1B2DAF2F"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t xml:space="preserve">As such even the ‘ecumenical catholic other’ is incorporated within this eschatological </w:t>
      </w:r>
      <w:proofErr w:type="spellStart"/>
      <w:r w:rsidRPr="001655E5">
        <w:rPr>
          <w:rFonts w:ascii="Times New Roman" w:hAnsi="Times New Roman" w:cs="Times New Roman"/>
          <w:lang w:val="en-US"/>
        </w:rPr>
        <w:t>orientedness</w:t>
      </w:r>
      <w:proofErr w:type="spellEnd"/>
      <w:r w:rsidRPr="001655E5">
        <w:rPr>
          <w:rFonts w:ascii="Times New Roman" w:hAnsi="Times New Roman" w:cs="Times New Roman"/>
          <w:lang w:val="en-US"/>
        </w:rPr>
        <w:t xml:space="preserve"> of the total ecclesiology. This should not be understood as a resignation in the face of ecumenical roadblocks but a theological recognition of the catholicity of all baptized in Christ (cf. 1Cor.15:28). Beyond understanding the nature and position of the ‘ecumenical catholic other’ is the commitment to the practice of solidarity which could emerge in the form of ‘mutual recognition’ and ‘cross-cultural conversation’.</w:t>
      </w:r>
      <w:r w:rsidRPr="001655E5">
        <w:rPr>
          <w:rStyle w:val="FootnoteReference"/>
          <w:rFonts w:ascii="Times New Roman" w:hAnsi="Times New Roman" w:cs="Times New Roman"/>
          <w:lang w:val="en-US"/>
        </w:rPr>
        <w:footnoteReference w:id="13"/>
      </w:r>
      <w:r w:rsidRPr="001655E5">
        <w:rPr>
          <w:rFonts w:ascii="Times New Roman" w:hAnsi="Times New Roman" w:cs="Times New Roman"/>
          <w:lang w:val="en-US"/>
        </w:rPr>
        <w:t xml:space="preserve"> Here the tendency to universalizing </w:t>
      </w:r>
      <w:r w:rsidRPr="001655E5">
        <w:rPr>
          <w:rFonts w:ascii="Times New Roman" w:hAnsi="Times New Roman" w:cs="Times New Roman"/>
          <w:lang w:val="en-US"/>
        </w:rPr>
        <w:lastRenderedPageBreak/>
        <w:t xml:space="preserve">faith experience </w:t>
      </w:r>
      <w:proofErr w:type="gramStart"/>
      <w:r w:rsidRPr="001655E5">
        <w:rPr>
          <w:rFonts w:ascii="Times New Roman" w:hAnsi="Times New Roman" w:cs="Times New Roman"/>
          <w:lang w:val="en-US"/>
        </w:rPr>
        <w:t>on the basis of</w:t>
      </w:r>
      <w:proofErr w:type="gramEnd"/>
      <w:r w:rsidRPr="001655E5">
        <w:rPr>
          <w:rFonts w:ascii="Times New Roman" w:hAnsi="Times New Roman" w:cs="Times New Roman"/>
          <w:lang w:val="en-US"/>
        </w:rPr>
        <w:t xml:space="preserve"> the dynamics of power is replaced by an expanded polylogue of all baptized. </w:t>
      </w:r>
    </w:p>
    <w:p w14:paraId="42A65AFE" w14:textId="77777777" w:rsidR="00FB18AA" w:rsidRPr="001655E5" w:rsidRDefault="00FB18AA" w:rsidP="00FB18AA">
      <w:pPr>
        <w:spacing w:line="480" w:lineRule="auto"/>
        <w:ind w:firstLine="720"/>
        <w:jc w:val="both"/>
        <w:rPr>
          <w:rFonts w:ascii="Times New Roman" w:hAnsi="Times New Roman" w:cs="Times New Roman"/>
          <w:lang w:val="en-US"/>
        </w:rPr>
      </w:pPr>
      <w:r w:rsidRPr="001655E5">
        <w:rPr>
          <w:rFonts w:ascii="Times New Roman" w:hAnsi="Times New Roman" w:cs="Times New Roman"/>
          <w:lang w:val="en-US"/>
        </w:rPr>
        <w:t xml:space="preserve">For African Christians, this provides a reassurance that synodal engagement with the other is not contrary to one’s denominational identity, and conversely that a trans/cross-ecclesial ‘walking together’ has a space within the elastic tent of the Christian faith. Perhaps this reasoning could explain the emphasis on African unity in the 2019 Kampala document of the Symposium of Episcopal Conference of Africa and Madagascar (SELAM), although a strong emphasis of the ecumenical pathway towards this unity is lacking. The shortcoming of the Kampala document is in its attempt to project the socio-political realities of Africa as the ground for African unity while missing the step in its analysis of the foundations for synodal praxis. If the self-definition of the specific African Catholic ecclesiology as </w:t>
      </w:r>
      <w:r w:rsidRPr="001655E5">
        <w:rPr>
          <w:rFonts w:ascii="Times New Roman" w:hAnsi="Times New Roman" w:cs="Times New Roman"/>
          <w:i/>
          <w:iCs/>
          <w:lang w:val="en-US"/>
        </w:rPr>
        <w:t>Familia Dei</w:t>
      </w:r>
      <w:r w:rsidRPr="001655E5">
        <w:rPr>
          <w:rFonts w:ascii="Times New Roman" w:hAnsi="Times New Roman" w:cs="Times New Roman"/>
          <w:lang w:val="en-US"/>
        </w:rPr>
        <w:t xml:space="preserve"> is provided as the first step to be taken one would then have expected, as the second step, an ecumenical invitation, perhaps </w:t>
      </w:r>
      <w:proofErr w:type="gramStart"/>
      <w:r w:rsidRPr="001655E5">
        <w:rPr>
          <w:rFonts w:ascii="Times New Roman" w:hAnsi="Times New Roman" w:cs="Times New Roman"/>
          <w:lang w:val="en-US"/>
        </w:rPr>
        <w:t>on the basis of</w:t>
      </w:r>
      <w:proofErr w:type="gramEnd"/>
      <w:r w:rsidRPr="001655E5">
        <w:rPr>
          <w:rFonts w:ascii="Times New Roman" w:hAnsi="Times New Roman" w:cs="Times New Roman"/>
          <w:lang w:val="en-US"/>
        </w:rPr>
        <w:t xml:space="preserve"> the same ecclesiology albeit expanded. These two should necessarily precede the general call for African unity. To put it rather frontally: Why is the Church in Africa too averse to ecumenical engagement? The ecumenical disinterestedness of the Catholic Church in Africa calls for serious concern because it points to a strong prevalence of the same sentiments of rivalry and competition that doted the praxis of African Christianity during the missionary era.</w:t>
      </w:r>
      <w:r w:rsidRPr="001655E5">
        <w:rPr>
          <w:rStyle w:val="FootnoteReference"/>
          <w:rFonts w:ascii="Times New Roman" w:hAnsi="Times New Roman" w:cs="Times New Roman"/>
          <w:lang w:val="en-US"/>
        </w:rPr>
        <w:footnoteReference w:id="14"/>
      </w:r>
      <w:r w:rsidRPr="001655E5">
        <w:rPr>
          <w:rFonts w:ascii="Times New Roman" w:hAnsi="Times New Roman" w:cs="Times New Roman"/>
          <w:lang w:val="en-US"/>
        </w:rPr>
        <w:t xml:space="preserve"> In a world that is increasingly growing in unbelief, and in a continent that is plagued by poverty, conflicts and other challenges, Christians are better off united than standing in feeble camps. Of course, one understands the tendency to claim the right doctrine and praxis, but a ‘total ecclesiology’ as an encompassing definer of an African synodal ecumenical ecclesiology leads towards the double path of recognizing our incompleteness and of visualizing the possibilities of fullness. It should lead to a rediscovery </w:t>
      </w:r>
      <w:r w:rsidRPr="001655E5">
        <w:rPr>
          <w:rFonts w:ascii="Times New Roman" w:hAnsi="Times New Roman" w:cs="Times New Roman"/>
          <w:lang w:val="en-US"/>
        </w:rPr>
        <w:lastRenderedPageBreak/>
        <w:t xml:space="preserve">and relearning of the identity-defining hospitality of Africans, which is now marked by the Eucharist as the same center of Christian life and community in Africa. From an ethical point of view, we are confronted once again with the Genesis question of ‘where is your brother?’ this time in the African voice of ‘Olee </w:t>
      </w:r>
      <w:proofErr w:type="spellStart"/>
      <w:r w:rsidRPr="001655E5">
        <w:rPr>
          <w:rFonts w:ascii="Times New Roman" w:hAnsi="Times New Roman" w:cs="Times New Roman"/>
          <w:lang w:val="en-US"/>
        </w:rPr>
        <w:t>nwanne</w:t>
      </w:r>
      <w:proofErr w:type="spellEnd"/>
      <w:r w:rsidRPr="001655E5">
        <w:rPr>
          <w:rFonts w:ascii="Times New Roman" w:hAnsi="Times New Roman" w:cs="Times New Roman"/>
          <w:lang w:val="en-US"/>
        </w:rPr>
        <w:t xml:space="preserve"> </w:t>
      </w:r>
      <w:proofErr w:type="spellStart"/>
      <w:r w:rsidRPr="001655E5">
        <w:rPr>
          <w:rFonts w:ascii="Times New Roman" w:hAnsi="Times New Roman" w:cs="Times New Roman"/>
          <w:lang w:val="en-US"/>
        </w:rPr>
        <w:t>gi</w:t>
      </w:r>
      <w:proofErr w:type="spellEnd"/>
      <w:r w:rsidRPr="001655E5">
        <w:rPr>
          <w:rFonts w:ascii="Times New Roman" w:hAnsi="Times New Roman" w:cs="Times New Roman"/>
          <w:lang w:val="en-US"/>
        </w:rPr>
        <w:t xml:space="preserve">?’ (‘where is the child of your mother?’), where the mother is Africa, and the child is everyone, beginning with every baptized. </w:t>
      </w:r>
    </w:p>
    <w:p w14:paraId="02FD8F9A" w14:textId="77777777" w:rsidR="00FB18AA" w:rsidRPr="001655E5" w:rsidRDefault="00FB18AA" w:rsidP="00FB18AA">
      <w:pPr>
        <w:spacing w:line="480" w:lineRule="auto"/>
        <w:jc w:val="both"/>
        <w:rPr>
          <w:rFonts w:ascii="Times New Roman" w:hAnsi="Times New Roman" w:cs="Times New Roman"/>
          <w:lang w:val="en-US"/>
        </w:rPr>
      </w:pPr>
    </w:p>
    <w:p w14:paraId="547ACBCE" w14:textId="77777777" w:rsidR="00FB18AA" w:rsidRPr="001655E5" w:rsidRDefault="00FB18AA" w:rsidP="00FB18AA">
      <w:pPr>
        <w:spacing w:line="480" w:lineRule="auto"/>
        <w:jc w:val="both"/>
        <w:rPr>
          <w:rFonts w:ascii="Times New Roman" w:hAnsi="Times New Roman" w:cs="Times New Roman"/>
          <w:b/>
          <w:bCs/>
          <w:lang w:val="en-US"/>
        </w:rPr>
      </w:pPr>
      <w:r w:rsidRPr="001655E5">
        <w:rPr>
          <w:rFonts w:ascii="Times New Roman" w:hAnsi="Times New Roman" w:cs="Times New Roman"/>
          <w:b/>
          <w:bCs/>
          <w:lang w:val="en-US"/>
        </w:rPr>
        <w:t>Practicing Hospitality, African, Eucharistic</w:t>
      </w:r>
    </w:p>
    <w:p w14:paraId="05E974E9" w14:textId="77777777" w:rsidR="00FB18AA" w:rsidRPr="001655E5" w:rsidRDefault="00FB18AA" w:rsidP="00FB18AA">
      <w:pPr>
        <w:spacing w:line="480" w:lineRule="auto"/>
        <w:jc w:val="both"/>
        <w:rPr>
          <w:rFonts w:ascii="Times New Roman" w:hAnsi="Times New Roman" w:cs="Times New Roman"/>
          <w:lang w:val="en-US"/>
        </w:rPr>
      </w:pPr>
    </w:p>
    <w:p w14:paraId="6836B54E"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t>At the end of the First Session of the Synod on Synodality, African theologians and pastoral agents, under the aegis of Pan-African Catholic Theology and Pastoral Network (PACTPAN), organized a 14-week (7 June 2024 – 6 September 2024) synodal conversation dubbed the “Palaver Series”.</w:t>
      </w:r>
      <w:r w:rsidRPr="001655E5">
        <w:rPr>
          <w:rStyle w:val="FootnoteReference"/>
          <w:rFonts w:ascii="Times New Roman" w:hAnsi="Times New Roman" w:cs="Times New Roman"/>
          <w:lang w:val="en-US"/>
        </w:rPr>
        <w:footnoteReference w:id="15"/>
      </w:r>
      <w:r w:rsidRPr="001655E5">
        <w:rPr>
          <w:rFonts w:ascii="Times New Roman" w:hAnsi="Times New Roman" w:cs="Times New Roman"/>
          <w:lang w:val="en-US"/>
        </w:rPr>
        <w:t xml:space="preserve"> The key objective was to review the synthesis report of the First Session of the Synod with the ‘African eyes’ as part of the ongoing reception of the Synod but also a means of subjecting the conversation to the theological laboratory of Africans. Part of the outcome of this series of conversation is a strong emphasis on the ecclesiology of Family of God that displays profound recognition of the presence and faith practices of other Christian churches. Beyond recognition is the call to a Eucharistic hospitality in the lived ecumenical realities in Africa.</w:t>
      </w:r>
    </w:p>
    <w:p w14:paraId="15D6670D" w14:textId="77777777" w:rsidR="00FB18AA" w:rsidRPr="001655E5" w:rsidRDefault="00FB18AA" w:rsidP="00FB18AA">
      <w:pPr>
        <w:spacing w:line="480" w:lineRule="auto"/>
        <w:ind w:firstLine="720"/>
        <w:jc w:val="both"/>
        <w:rPr>
          <w:rFonts w:ascii="Times New Roman" w:hAnsi="Times New Roman" w:cs="Times New Roman"/>
          <w:sz w:val="23"/>
          <w:szCs w:val="23"/>
          <w:bdr w:val="single" w:sz="2" w:space="0" w:color="000000" w:frame="1"/>
        </w:rPr>
      </w:pPr>
      <w:r w:rsidRPr="001655E5">
        <w:rPr>
          <w:rFonts w:ascii="Times New Roman" w:hAnsi="Times New Roman" w:cs="Times New Roman"/>
          <w:lang w:val="en-US"/>
        </w:rPr>
        <w:t xml:space="preserve">To explain the use of ‘lived ecumenical realities’ I make reference to a clip that was posted on the on the X (formerly Twitter) handle @UchePOkoye on 24 August 2024, featured a mashed up video by a ‘Gen Z lady’ who narrated her first experience of ‘August meeting’ – an annual meeting of women in Igbo communities, marked by reconciliation, community planning, fund raising, charity, and celebration. Her story was filled with so much excitement. </w:t>
      </w:r>
      <w:r w:rsidRPr="001655E5">
        <w:rPr>
          <w:rFonts w:ascii="Times New Roman" w:hAnsi="Times New Roman" w:cs="Times New Roman"/>
          <w:lang w:val="en-US"/>
        </w:rPr>
        <w:lastRenderedPageBreak/>
        <w:t xml:space="preserve">The geographical setting was a town in Southeastern Nigeria called </w:t>
      </w:r>
      <w:proofErr w:type="spellStart"/>
      <w:r w:rsidRPr="001655E5">
        <w:rPr>
          <w:rFonts w:ascii="Times New Roman" w:hAnsi="Times New Roman" w:cs="Times New Roman"/>
          <w:lang w:val="en-US"/>
        </w:rPr>
        <w:t>Aguluzuigbo</w:t>
      </w:r>
      <w:proofErr w:type="spellEnd"/>
      <w:r w:rsidRPr="001655E5">
        <w:rPr>
          <w:rFonts w:ascii="Times New Roman" w:hAnsi="Times New Roman" w:cs="Times New Roman"/>
          <w:lang w:val="en-US"/>
        </w:rPr>
        <w:t>. The meetings were organized according to the different Christian denominations that exist in that town, and she told the story from the Anglican Communion point of view. Part of her narrative was how the grand finale of the events was the combined meeting of both Anglican and Catholic women, who prayed together, feasted together, planned for common community projects, and helped the needy together. No other example of ecumenical synodality would have been more powerful than this. The church in Africa really needs to relearn hospitality and synodality from these women who have found a way to negotiate their multiple identities or belongings in their common search for, and maintenance of, unity. From these women we come to learn once again, the meaning and full implications of the ecclesiology of the ‘Family of God’ beyond the narrow paradigms of nuclear units</w:t>
      </w:r>
      <w:r w:rsidRPr="001655E5">
        <w:rPr>
          <w:rFonts w:ascii="Times New Roman" w:hAnsi="Times New Roman" w:cs="Times New Roman"/>
          <w:color w:val="000000" w:themeColor="text1"/>
        </w:rPr>
        <w:t>.</w:t>
      </w:r>
      <w:r w:rsidRPr="001655E5">
        <w:rPr>
          <w:rStyle w:val="FootnoteReference"/>
          <w:rFonts w:ascii="Times New Roman" w:hAnsi="Times New Roman" w:cs="Times New Roman"/>
          <w:color w:val="000000" w:themeColor="text1"/>
        </w:rPr>
        <w:footnoteReference w:id="16"/>
      </w:r>
      <w:r w:rsidRPr="001655E5">
        <w:rPr>
          <w:rFonts w:ascii="Times New Roman" w:hAnsi="Times New Roman" w:cs="Times New Roman"/>
          <w:color w:val="000000" w:themeColor="text1"/>
        </w:rPr>
        <w:t xml:space="preserve"> They demonstrate the communion of interchurch groups and families. From a broader perspective, these women point us to what the shape of Eucharistic hospitality</w:t>
      </w:r>
      <w:r w:rsidRPr="001655E5">
        <w:rPr>
          <w:rFonts w:ascii="Times New Roman" w:hAnsi="Times New Roman" w:cs="Times New Roman"/>
          <w:b/>
          <w:bCs/>
          <w:color w:val="000000" w:themeColor="text1"/>
        </w:rPr>
        <w:t xml:space="preserve"> </w:t>
      </w:r>
      <w:r w:rsidRPr="001655E5">
        <w:rPr>
          <w:rFonts w:ascii="Times New Roman" w:hAnsi="Times New Roman" w:cs="Times New Roman"/>
          <w:color w:val="000000" w:themeColor="text1"/>
        </w:rPr>
        <w:t>ought to be.</w:t>
      </w:r>
    </w:p>
    <w:p w14:paraId="5D3C1EE9" w14:textId="77777777" w:rsidR="00FB18AA" w:rsidRPr="001655E5" w:rsidRDefault="00FB18AA" w:rsidP="00FB18AA">
      <w:pPr>
        <w:spacing w:line="480" w:lineRule="auto"/>
        <w:ind w:firstLine="720"/>
        <w:jc w:val="both"/>
        <w:rPr>
          <w:rFonts w:ascii="Times New Roman" w:hAnsi="Times New Roman" w:cs="Times New Roman"/>
          <w:lang w:val="en-US"/>
        </w:rPr>
      </w:pPr>
      <w:r w:rsidRPr="001655E5">
        <w:rPr>
          <w:rFonts w:ascii="Times New Roman" w:hAnsi="Times New Roman" w:cs="Times New Roman"/>
        </w:rPr>
        <w:t xml:space="preserve">I would like to capture the idea of Eucharistic hospitality under the notion of </w:t>
      </w:r>
      <w:r w:rsidRPr="001655E5">
        <w:rPr>
          <w:rFonts w:ascii="Times New Roman" w:hAnsi="Times New Roman" w:cs="Times New Roman"/>
          <w:i/>
          <w:iCs/>
        </w:rPr>
        <w:t>communicatio in sacris</w:t>
      </w:r>
      <w:r w:rsidRPr="001655E5">
        <w:rPr>
          <w:rFonts w:ascii="Times New Roman" w:hAnsi="Times New Roman" w:cs="Times New Roman"/>
        </w:rPr>
        <w:t>, which is not limited to the reception of the Holy Communion but involves the ‘sharing of everything sacred’, that is, the praxis of common worship. The Second Vatican Council clarifies that “[t]here are two main principles governing the practice of such common worship: first, the bearing witness to the unity of the Church, and second, the sharing in the means of grace” (</w:t>
      </w:r>
      <w:r w:rsidRPr="001655E5">
        <w:rPr>
          <w:rFonts w:ascii="Times New Roman" w:hAnsi="Times New Roman" w:cs="Times New Roman"/>
          <w:i/>
          <w:iCs/>
        </w:rPr>
        <w:t>Unitatis Redintegratio</w:t>
      </w:r>
      <w:r w:rsidRPr="001655E5">
        <w:rPr>
          <w:rFonts w:ascii="Times New Roman" w:hAnsi="Times New Roman" w:cs="Times New Roman"/>
        </w:rPr>
        <w:t xml:space="preserve"> §8). Beside the Eucharist, this would also translate to praying together, jointly sharing the Word, singing the psalms and hymns together, doing corporal works of mercy together, fighting for justice together, etc. Part of the outcome of the Synod on Synodality is that it launches us into the era of ecclesial hospitality with one </w:t>
      </w:r>
      <w:r w:rsidRPr="001655E5">
        <w:rPr>
          <w:rFonts w:ascii="Times New Roman" w:hAnsi="Times New Roman" w:cs="Times New Roman"/>
        </w:rPr>
        <w:lastRenderedPageBreak/>
        <w:t>another and with the ‘ecumenical catholic other’, in which the witness to ecclesial unity and participation in the channels of grace become the concern of all baptized without discrimination.</w:t>
      </w:r>
    </w:p>
    <w:p w14:paraId="667AAB88" w14:textId="77777777" w:rsidR="00FB18AA" w:rsidRPr="001655E5" w:rsidRDefault="00FB18AA" w:rsidP="00FB18AA">
      <w:pPr>
        <w:spacing w:line="480" w:lineRule="auto"/>
        <w:ind w:firstLine="720"/>
        <w:jc w:val="both"/>
        <w:rPr>
          <w:rFonts w:ascii="Times New Roman" w:hAnsi="Times New Roman" w:cs="Times New Roman"/>
          <w:b/>
          <w:bCs/>
        </w:rPr>
      </w:pPr>
      <w:r w:rsidRPr="001655E5">
        <w:rPr>
          <w:rFonts w:ascii="Times New Roman" w:hAnsi="Times New Roman" w:cs="Times New Roman"/>
        </w:rPr>
        <w:t>But then, what does the moment of synodality offer the Church in African when it comes to Eucharistic hospitality? Responding to this implies creating a space for the praxis of a truly synodal ecumenical ecclesiology that functions both ad intra and ad extra.</w:t>
      </w:r>
      <w:r w:rsidRPr="001655E5">
        <w:rPr>
          <w:rFonts w:ascii="Times New Roman" w:hAnsi="Times New Roman" w:cs="Times New Roman"/>
          <w:b/>
          <w:bCs/>
        </w:rPr>
        <w:t xml:space="preserve"> </w:t>
      </w:r>
      <w:r w:rsidRPr="001655E5">
        <w:rPr>
          <w:rFonts w:ascii="Times New Roman" w:hAnsi="Times New Roman" w:cs="Times New Roman"/>
        </w:rPr>
        <w:t>In articlating the nature of this praxis, I would like to attempt few lessons.</w:t>
      </w:r>
    </w:p>
    <w:p w14:paraId="0B1366E9" w14:textId="77777777" w:rsidR="00FB18AA" w:rsidRPr="001655E5" w:rsidRDefault="00FB18AA" w:rsidP="00FB18AA">
      <w:pPr>
        <w:spacing w:line="480" w:lineRule="auto"/>
        <w:ind w:left="284" w:hanging="284"/>
        <w:jc w:val="both"/>
        <w:rPr>
          <w:rFonts w:ascii="Times New Roman" w:hAnsi="Times New Roman" w:cs="Times New Roman"/>
        </w:rPr>
      </w:pPr>
    </w:p>
    <w:p w14:paraId="025FBEB5" w14:textId="77777777" w:rsidR="00FB18AA" w:rsidRPr="001655E5" w:rsidRDefault="00FB18AA" w:rsidP="00FB18AA">
      <w:pPr>
        <w:spacing w:line="480" w:lineRule="auto"/>
        <w:jc w:val="both"/>
        <w:rPr>
          <w:rFonts w:ascii="Times New Roman" w:hAnsi="Times New Roman" w:cs="Times New Roman"/>
        </w:rPr>
      </w:pPr>
      <w:r w:rsidRPr="001655E5">
        <w:rPr>
          <w:rFonts w:ascii="Times New Roman" w:hAnsi="Times New Roman" w:cs="Times New Roman"/>
          <w:i/>
          <w:iCs/>
        </w:rPr>
        <w:t>The first is that it offers us an</w:t>
      </w:r>
      <w:r w:rsidRPr="001655E5">
        <w:rPr>
          <w:rFonts w:ascii="Times New Roman" w:hAnsi="Times New Roman" w:cs="Times New Roman"/>
        </w:rPr>
        <w:t xml:space="preserve"> </w:t>
      </w:r>
      <w:r w:rsidRPr="001655E5">
        <w:rPr>
          <w:rFonts w:ascii="Times New Roman" w:hAnsi="Times New Roman" w:cs="Times New Roman"/>
          <w:i/>
          <w:iCs/>
        </w:rPr>
        <w:t>ecumenical Kairos for Eucharistic hospitality</w:t>
      </w:r>
      <w:r w:rsidRPr="001655E5">
        <w:rPr>
          <w:rFonts w:ascii="Times New Roman" w:hAnsi="Times New Roman" w:cs="Times New Roman"/>
        </w:rPr>
        <w:t>. Recall that on 30 September 2023, the eve of the First Session of the Synod, an ecumenical vigil was held and in line with that, the Synthesis Report described this epoch as an ‘ecumenical kairos.’ In the light of the consistent African theological denunciation of the idea of denominationalism as an inherited, and so, an artificially created form of ecclesial division, it is quite clear that we now have the opportunity to demonstrate in action what true hospitality is. There is always the tendency to reduce Eucharistic hospitality to the an ‘open table’, namely the common reception of the Eucharist, but it is important to approach it broadly. In that sense, a Christian hospitality is a Eucharistic hospitality (in a sense), and by the same argument, an African Christian hospitality is a Eucharistic hospitality. To consider this as the starting point of ecumenical Eucharistic hospitality gives room for the African claim of being champions of hospitality.</w:t>
      </w:r>
    </w:p>
    <w:p w14:paraId="2E23D2DD" w14:textId="77777777" w:rsidR="00FB18AA" w:rsidRPr="001655E5" w:rsidRDefault="00FB18AA" w:rsidP="00FB18AA">
      <w:pPr>
        <w:spacing w:line="480" w:lineRule="auto"/>
        <w:jc w:val="both"/>
        <w:rPr>
          <w:rFonts w:ascii="Times New Roman" w:hAnsi="Times New Roman" w:cs="Times New Roman"/>
        </w:rPr>
      </w:pPr>
    </w:p>
    <w:p w14:paraId="2F5D291A" w14:textId="77777777" w:rsidR="00FB18AA" w:rsidRPr="001655E5" w:rsidRDefault="00FB18AA" w:rsidP="00FB18AA">
      <w:pPr>
        <w:spacing w:line="480" w:lineRule="auto"/>
        <w:jc w:val="both"/>
        <w:rPr>
          <w:rFonts w:ascii="Times New Roman" w:hAnsi="Times New Roman" w:cs="Times New Roman"/>
        </w:rPr>
      </w:pPr>
      <w:r w:rsidRPr="001655E5">
        <w:rPr>
          <w:rFonts w:ascii="Times New Roman" w:hAnsi="Times New Roman" w:cs="Times New Roman"/>
          <w:i/>
          <w:iCs/>
        </w:rPr>
        <w:t xml:space="preserve">The second is that it offers us the opportunity to relearn the place of baptism in African Christianity. </w:t>
      </w:r>
      <w:r w:rsidRPr="001655E5">
        <w:rPr>
          <w:rFonts w:ascii="Times New Roman" w:hAnsi="Times New Roman" w:cs="Times New Roman"/>
        </w:rPr>
        <w:t xml:space="preserve">To facilitate Eucharistic hospitality, it is not clear whether we should take baptism as the only starting point for ecumenical recognition, cooperation and unity. This is not a relativization of baptism but a recognition that the African identity is ontologically prior to the experience of baptism. In Africa, communities are primarily held together by blood ties and </w:t>
      </w:r>
      <w:r w:rsidRPr="001655E5">
        <w:rPr>
          <w:rFonts w:ascii="Times New Roman" w:hAnsi="Times New Roman" w:cs="Times New Roman"/>
        </w:rPr>
        <w:lastRenderedPageBreak/>
        <w:t xml:space="preserve">ancestral relations that keep a person rooted within a family. Baptism therefore does not confer an identity that severs one’s bonds with others in this familial bond, that we experience in the fundamentalist notion of born-againism or denominationalism. Instead of creating a gulf between the saved and the damned, baptism rather transforms the recipient, while purifying and deepening the prior familial bonds with others.  </w:t>
      </w:r>
    </w:p>
    <w:p w14:paraId="23FE997F" w14:textId="77777777" w:rsidR="00FB18AA" w:rsidRPr="001655E5" w:rsidRDefault="00FB18AA" w:rsidP="00FB18AA">
      <w:pPr>
        <w:spacing w:line="480" w:lineRule="auto"/>
        <w:ind w:firstLine="720"/>
        <w:jc w:val="both"/>
        <w:rPr>
          <w:rFonts w:ascii="Times New Roman" w:hAnsi="Times New Roman" w:cs="Times New Roman"/>
          <w:i/>
          <w:iCs/>
        </w:rPr>
      </w:pPr>
      <w:r w:rsidRPr="001655E5">
        <w:rPr>
          <w:rFonts w:ascii="Times New Roman" w:hAnsi="Times New Roman" w:cs="Times New Roman"/>
        </w:rPr>
        <w:t>Understanding this bond makes easy the praxis of</w:t>
      </w:r>
      <w:r w:rsidRPr="001655E5">
        <w:rPr>
          <w:rFonts w:ascii="Times New Roman" w:hAnsi="Times New Roman" w:cs="Times New Roman"/>
          <w:color w:val="000000" w:themeColor="text1"/>
        </w:rPr>
        <w:t xml:space="preserve"> Eucharistic hospitality (</w:t>
      </w:r>
      <w:r w:rsidRPr="001655E5">
        <w:rPr>
          <w:rFonts w:ascii="Times New Roman" w:hAnsi="Times New Roman" w:cs="Times New Roman"/>
          <w:i/>
          <w:iCs/>
          <w:color w:val="000000" w:themeColor="text1"/>
        </w:rPr>
        <w:t>Communicatio in sacris</w:t>
      </w:r>
      <w:r w:rsidRPr="001655E5">
        <w:rPr>
          <w:rFonts w:ascii="Times New Roman" w:hAnsi="Times New Roman" w:cs="Times New Roman"/>
          <w:color w:val="000000" w:themeColor="text1"/>
        </w:rPr>
        <w:t>) from the point of view of African ecclesiology. However, a situation where non-Catholics are informed that ‘the Holy Communion is only for Catholics who have prepared themselves and are in the state of grace’, as if often the case in Nigeria, does not indicate an openness towards Eucharistic hospitality. What if we just keep quiet and accept that it is Jesus who is freely offering himself to all? What if the formular is changed to something like ‘the Holy Communion is for Catholics, but everyone is invited to receive blessing from the priest’, if we consider this extremely important? Sadly, innstead of having such a prudent, hospitable disposition towards the ‘ecumenical catholic other’, we now have ‘Eucharistic gatekeepers’ whose job is to monitor those who are either worthy or unworthy to receive the Lord, and who get so angry if a non-Catholic ‘mistakenly’ receives the Lord as if we have the power to determine who Christ should enter into or not. Grave pastoral infractions have occurred under this Eucharistic controlism. Sometimes, what is revealed behind the agitation for the ‘sacrality’ of the Holy Communion is the non-recognition of the struggles of the First Communion catechetical classes rather than the effort to forestall abuse. Of course we are aware that the dialogue on the Eucharist is still ongoing, but then fellow Christians who freely join us in the Eucharistic celebration must not be made to feel like total strangers.</w:t>
      </w:r>
    </w:p>
    <w:p w14:paraId="795368D0" w14:textId="77777777" w:rsidR="00FB18AA" w:rsidRPr="001655E5" w:rsidRDefault="00FB18AA" w:rsidP="00FB18AA">
      <w:pPr>
        <w:spacing w:line="480" w:lineRule="auto"/>
        <w:ind w:left="284" w:hanging="284"/>
        <w:jc w:val="both"/>
        <w:rPr>
          <w:rFonts w:ascii="Times New Roman" w:hAnsi="Times New Roman" w:cs="Times New Roman"/>
        </w:rPr>
      </w:pPr>
    </w:p>
    <w:p w14:paraId="0FE8DEF0" w14:textId="77777777" w:rsidR="00FB18AA" w:rsidRPr="001655E5" w:rsidRDefault="00FB18AA" w:rsidP="00FB18AA">
      <w:pPr>
        <w:spacing w:line="480" w:lineRule="auto"/>
        <w:jc w:val="both"/>
        <w:rPr>
          <w:rFonts w:ascii="Times New Roman" w:hAnsi="Times New Roman" w:cs="Times New Roman"/>
          <w:i/>
          <w:iCs/>
        </w:rPr>
      </w:pPr>
      <w:r w:rsidRPr="001655E5">
        <w:rPr>
          <w:rFonts w:ascii="Times New Roman" w:hAnsi="Times New Roman" w:cs="Times New Roman"/>
          <w:i/>
          <w:iCs/>
        </w:rPr>
        <w:t xml:space="preserve">Third, it presents before us as Africans the challenge to practice the ‘ecumenism of blood’. </w:t>
      </w:r>
      <w:r w:rsidRPr="001655E5">
        <w:rPr>
          <w:rFonts w:ascii="Times New Roman" w:hAnsi="Times New Roman" w:cs="Times New Roman"/>
        </w:rPr>
        <w:t xml:space="preserve">More than in secularized nations where religion privatizes itself or is rather privatized by the </w:t>
      </w:r>
      <w:r w:rsidRPr="001655E5">
        <w:rPr>
          <w:rFonts w:ascii="Times New Roman" w:hAnsi="Times New Roman" w:cs="Times New Roman"/>
        </w:rPr>
        <w:lastRenderedPageBreak/>
        <w:t>requirements of the state, the Christian religion faces a more hideous challenge of persecution in most African states.</w:t>
      </w:r>
      <w:r w:rsidRPr="001655E5">
        <w:rPr>
          <w:rStyle w:val="FootnoteReference"/>
          <w:rFonts w:ascii="Times New Roman" w:hAnsi="Times New Roman" w:cs="Times New Roman"/>
        </w:rPr>
        <w:footnoteReference w:id="17"/>
      </w:r>
      <w:r w:rsidRPr="001655E5">
        <w:rPr>
          <w:rFonts w:ascii="Times New Roman" w:hAnsi="Times New Roman" w:cs="Times New Roman"/>
        </w:rPr>
        <w:t xml:space="preserve"> According to Lela Gilbert of the Hudson Institute, 36% of the global persecutors of Christians reside in Africa. Since Christian persecution in Africa is non-discriminatory, the ‘ecumenism of blood’ invites Christians to pay attention to the fullest implication of the Eucharist as the ‘body and blood of Christ that is shed for all of us’ – in that sacrifice, we are to lift together our brothers and sisters whose blood have been shed on account of their faith in Christ, irrespective of their denomination. In that sense, initiating</w:t>
      </w:r>
      <w:r w:rsidRPr="001655E5">
        <w:rPr>
          <w:rFonts w:ascii="Times New Roman" w:hAnsi="Times New Roman" w:cs="Times New Roman"/>
          <w:color w:val="000000" w:themeColor="text1"/>
        </w:rPr>
        <w:t xml:space="preserve"> an African ecumenical martyrology in collaboration with other churches aligns with a broad understanding of Eucharistic hospitality.</w:t>
      </w:r>
    </w:p>
    <w:p w14:paraId="73BD5BE6" w14:textId="77777777" w:rsidR="00FB18AA" w:rsidRPr="001655E5" w:rsidRDefault="00FB18AA" w:rsidP="00FB18AA">
      <w:pPr>
        <w:spacing w:line="480" w:lineRule="auto"/>
        <w:ind w:left="284" w:hanging="284"/>
        <w:jc w:val="both"/>
        <w:rPr>
          <w:rFonts w:ascii="Times New Roman" w:hAnsi="Times New Roman" w:cs="Times New Roman"/>
        </w:rPr>
      </w:pPr>
    </w:p>
    <w:p w14:paraId="427B8808" w14:textId="77777777" w:rsidR="00FB18AA" w:rsidRPr="001655E5" w:rsidRDefault="00FB18AA" w:rsidP="00FB18AA">
      <w:pPr>
        <w:spacing w:line="480" w:lineRule="auto"/>
        <w:jc w:val="both"/>
        <w:rPr>
          <w:rFonts w:ascii="Times New Roman" w:hAnsi="Times New Roman" w:cs="Times New Roman"/>
        </w:rPr>
      </w:pPr>
      <w:r w:rsidRPr="001655E5">
        <w:rPr>
          <w:rFonts w:ascii="Times New Roman" w:hAnsi="Times New Roman" w:cs="Times New Roman"/>
          <w:i/>
          <w:iCs/>
        </w:rPr>
        <w:t>Finally, it offers us the chance to consider the proposal of inter-church marriage as fertile ground for ecumenical synodality</w:t>
      </w:r>
      <w:r w:rsidRPr="001655E5">
        <w:rPr>
          <w:rFonts w:ascii="Times New Roman" w:hAnsi="Times New Roman" w:cs="Times New Roman"/>
        </w:rPr>
        <w:t>. In Africa, this is one area of mutual discrimination among African Christians that needs to be addressed.</w:t>
      </w:r>
      <w:r w:rsidRPr="001655E5">
        <w:rPr>
          <w:rStyle w:val="FootnoteReference"/>
          <w:rFonts w:ascii="Times New Roman" w:hAnsi="Times New Roman" w:cs="Times New Roman"/>
        </w:rPr>
        <w:footnoteReference w:id="18"/>
      </w:r>
      <w:r w:rsidRPr="001655E5">
        <w:rPr>
          <w:rFonts w:ascii="Times New Roman" w:hAnsi="Times New Roman" w:cs="Times New Roman"/>
        </w:rPr>
        <w:t xml:space="preserve"> There is need to relax the bureaucratic canonical process of obtaining the bishop’s approval for mixed marriages. </w:t>
      </w:r>
      <w:r w:rsidRPr="001655E5">
        <w:rPr>
          <w:rFonts w:ascii="Times New Roman" w:hAnsi="Times New Roman" w:cs="Times New Roman"/>
          <w:color w:val="000000" w:themeColor="text1"/>
        </w:rPr>
        <w:t xml:space="preserve">For some pastors, inter-marriage leads to further crisis due to different denominational belongings, but this is not enough reason if adequate catechesis is prioritized. </w:t>
      </w:r>
      <w:r w:rsidRPr="001655E5">
        <w:rPr>
          <w:rFonts w:ascii="Times New Roman" w:hAnsi="Times New Roman" w:cs="Times New Roman"/>
        </w:rPr>
        <w:t xml:space="preserve">Perhaps it is also important to re-enact the Article 14 of </w:t>
      </w:r>
      <w:r w:rsidRPr="001655E5">
        <w:rPr>
          <w:rFonts w:ascii="Times New Roman" w:hAnsi="Times New Roman" w:cs="Times New Roman"/>
          <w:i/>
          <w:iCs/>
        </w:rPr>
        <w:t>Matrimonium Mixta</w:t>
      </w:r>
      <w:r w:rsidRPr="001655E5">
        <w:rPr>
          <w:rFonts w:ascii="Times New Roman" w:hAnsi="Times New Roman" w:cs="Times New Roman"/>
        </w:rPr>
        <w:t xml:space="preserve"> that sought to integrate ecumenical goals in inter-church marriages. But beyond the collaboration between the Catholic pastor and the minister of other ecclesial communities is the testimony of the lives of the couples which could be “a living sign of hope that the ecumenical pilgrimage towards greater unity can be fulfilled and a reminder that efforts for Christian unity must always be based on good faith and founded on the strength </w:t>
      </w:r>
      <w:r w:rsidRPr="001655E5">
        <w:rPr>
          <w:rFonts w:ascii="Times New Roman" w:hAnsi="Times New Roman" w:cs="Times New Roman"/>
        </w:rPr>
        <w:lastRenderedPageBreak/>
        <w:t>of God to overcome all difficulties.”</w:t>
      </w:r>
      <w:r w:rsidRPr="001655E5">
        <w:rPr>
          <w:rStyle w:val="FootnoteReference"/>
          <w:rFonts w:ascii="Times New Roman" w:hAnsi="Times New Roman" w:cs="Times New Roman"/>
        </w:rPr>
        <w:footnoteReference w:id="19"/>
      </w:r>
      <w:r w:rsidRPr="001655E5">
        <w:rPr>
          <w:rFonts w:ascii="Times New Roman" w:hAnsi="Times New Roman" w:cs="Times New Roman"/>
        </w:rPr>
        <w:t xml:space="preserve"> </w:t>
      </w:r>
      <w:r w:rsidRPr="001655E5">
        <w:rPr>
          <w:rFonts w:ascii="Times New Roman" w:hAnsi="Times New Roman" w:cs="Times New Roman"/>
          <w:color w:val="000000" w:themeColor="text1"/>
        </w:rPr>
        <w:t>Added to this are the questions of communion for non-Catholic spouses, those in polygamy, the remarried and the divorced. Even unmarried single mothers are prevented from receiving Holy Communion in most places. Christianity in Africa has come of age, and the maturity of our faith invites us to both fidelity to the Gospel and greater love for God and neighbour.</w:t>
      </w:r>
      <w:r w:rsidRPr="001655E5">
        <w:rPr>
          <w:rFonts w:ascii="Times New Roman" w:hAnsi="Times New Roman" w:cs="Times New Roman"/>
        </w:rPr>
        <w:t xml:space="preserve"> </w:t>
      </w:r>
      <w:r w:rsidRPr="001655E5">
        <w:rPr>
          <w:rFonts w:ascii="Times New Roman" w:hAnsi="Times New Roman" w:cs="Times New Roman"/>
          <w:color w:val="000000" w:themeColor="text1"/>
        </w:rPr>
        <w:t xml:space="preserve">Of course, I recognize that a certain level of ecumenical conversation and education is necessary for inter-marriages to thrive. And this must necessarily include an interpretation of the </w:t>
      </w:r>
      <w:r w:rsidRPr="001655E5">
        <w:rPr>
          <w:rFonts w:ascii="Times New Roman" w:hAnsi="Times New Roman" w:cs="Times New Roman"/>
          <w:i/>
          <w:iCs/>
          <w:color w:val="000000" w:themeColor="text1"/>
        </w:rPr>
        <w:t>Familia Dei</w:t>
      </w:r>
      <w:r w:rsidRPr="001655E5">
        <w:rPr>
          <w:rFonts w:ascii="Times New Roman" w:hAnsi="Times New Roman" w:cs="Times New Roman"/>
          <w:color w:val="000000" w:themeColor="text1"/>
        </w:rPr>
        <w:t xml:space="preserve"> ecclesiology in a manner that captures the complex diversity of a typical African family. </w:t>
      </w:r>
    </w:p>
    <w:p w14:paraId="181E6FF4" w14:textId="77777777" w:rsidR="00FB18AA" w:rsidRPr="001655E5" w:rsidRDefault="00FB18AA" w:rsidP="00FB18AA">
      <w:pPr>
        <w:spacing w:line="480" w:lineRule="auto"/>
        <w:jc w:val="both"/>
        <w:rPr>
          <w:rFonts w:ascii="Times New Roman" w:hAnsi="Times New Roman" w:cs="Times New Roman"/>
          <w:lang w:val="en-US"/>
        </w:rPr>
      </w:pPr>
    </w:p>
    <w:p w14:paraId="62B99D55" w14:textId="77777777" w:rsidR="00FB18AA" w:rsidRPr="001655E5" w:rsidRDefault="00FB18AA" w:rsidP="00FB18AA">
      <w:pPr>
        <w:spacing w:line="480" w:lineRule="auto"/>
        <w:jc w:val="both"/>
        <w:rPr>
          <w:rFonts w:ascii="Times New Roman" w:hAnsi="Times New Roman" w:cs="Times New Roman"/>
          <w:b/>
          <w:bCs/>
          <w:lang w:val="en-US"/>
        </w:rPr>
      </w:pPr>
      <w:r w:rsidRPr="001655E5">
        <w:rPr>
          <w:rFonts w:ascii="Times New Roman" w:hAnsi="Times New Roman" w:cs="Times New Roman"/>
          <w:b/>
          <w:bCs/>
          <w:lang w:val="en-US"/>
        </w:rPr>
        <w:t>Conclusion: Thinking of further practical steps to be taken</w:t>
      </w:r>
    </w:p>
    <w:p w14:paraId="05D5C0D7" w14:textId="77777777" w:rsidR="00FB18AA" w:rsidRPr="001655E5" w:rsidRDefault="00FB18AA" w:rsidP="00FB18AA">
      <w:pPr>
        <w:spacing w:line="480" w:lineRule="auto"/>
        <w:jc w:val="both"/>
        <w:rPr>
          <w:rFonts w:ascii="Times New Roman" w:hAnsi="Times New Roman" w:cs="Times New Roman"/>
          <w:lang w:val="en-US"/>
        </w:rPr>
      </w:pPr>
    </w:p>
    <w:p w14:paraId="7453AE5A" w14:textId="77777777" w:rsidR="00FB18AA" w:rsidRPr="001655E5" w:rsidRDefault="00FB18AA" w:rsidP="00FB18AA">
      <w:pPr>
        <w:spacing w:line="480" w:lineRule="auto"/>
        <w:jc w:val="both"/>
        <w:rPr>
          <w:rFonts w:ascii="Times New Roman" w:hAnsi="Times New Roman" w:cs="Times New Roman"/>
          <w:lang w:val="en-US"/>
        </w:rPr>
      </w:pPr>
      <w:r w:rsidRPr="001655E5">
        <w:rPr>
          <w:rFonts w:ascii="Times New Roman" w:hAnsi="Times New Roman" w:cs="Times New Roman"/>
          <w:lang w:val="en-US"/>
        </w:rPr>
        <w:t xml:space="preserve">A synodal ecumenical ecclesiology provides an extra theological reasoning for ecumenical engagement since it already implies a praxis. To be synodal is to ‘walk together’ with the other under the guidance of the Holy Spirit. It implies being Christian in a certain way, as well as being church in a certain way. Synodality does not prioritize a set of acts but rather argues that </w:t>
      </w:r>
      <w:r w:rsidRPr="001655E5">
        <w:rPr>
          <w:rFonts w:ascii="Times New Roman" w:hAnsi="Times New Roman" w:cs="Times New Roman"/>
          <w:i/>
          <w:iCs/>
          <w:lang w:val="en-US"/>
        </w:rPr>
        <w:t>a way of being</w:t>
      </w:r>
      <w:r w:rsidRPr="001655E5">
        <w:rPr>
          <w:rFonts w:ascii="Times New Roman" w:hAnsi="Times New Roman" w:cs="Times New Roman"/>
          <w:lang w:val="en-US"/>
        </w:rPr>
        <w:t xml:space="preserve"> invariably impacts actions – same principle of </w:t>
      </w:r>
      <w:proofErr w:type="spellStart"/>
      <w:r w:rsidRPr="001655E5">
        <w:rPr>
          <w:rFonts w:ascii="Times New Roman" w:hAnsi="Times New Roman" w:cs="Times New Roman"/>
          <w:i/>
          <w:iCs/>
          <w:lang w:val="en-US"/>
        </w:rPr>
        <w:t>agere</w:t>
      </w:r>
      <w:proofErr w:type="spellEnd"/>
      <w:r w:rsidRPr="001655E5">
        <w:rPr>
          <w:rFonts w:ascii="Times New Roman" w:hAnsi="Times New Roman" w:cs="Times New Roman"/>
          <w:i/>
          <w:iCs/>
          <w:lang w:val="en-US"/>
        </w:rPr>
        <w:t xml:space="preserve"> sequitur </w:t>
      </w:r>
      <w:proofErr w:type="spellStart"/>
      <w:r w:rsidRPr="001655E5">
        <w:rPr>
          <w:rFonts w:ascii="Times New Roman" w:hAnsi="Times New Roman" w:cs="Times New Roman"/>
          <w:i/>
          <w:iCs/>
          <w:lang w:val="en-US"/>
        </w:rPr>
        <w:t>esse</w:t>
      </w:r>
      <w:proofErr w:type="spellEnd"/>
      <w:r w:rsidRPr="001655E5">
        <w:rPr>
          <w:rFonts w:ascii="Times New Roman" w:hAnsi="Times New Roman" w:cs="Times New Roman"/>
          <w:lang w:val="en-US"/>
        </w:rPr>
        <w:t>, understood constitutively rather than chronologically. Nevertheless, there are reasons to point out some areas of consideration for the praxis of ‘walking together’ ecumenically, which would be the agenda of the synodal ecumenical conversations in which every baptized has ‘the-right-to-speech’. Below are two broad suggestions that correspond closely to the recommendations of the Synthesis Report of the First Session of the Synod on Synodality but are contextualized to the African setting:</w:t>
      </w:r>
    </w:p>
    <w:p w14:paraId="4954A004" w14:textId="77777777" w:rsidR="00FB18AA" w:rsidRPr="001655E5" w:rsidRDefault="00FB18AA" w:rsidP="00FB18AA">
      <w:pPr>
        <w:spacing w:line="480" w:lineRule="auto"/>
        <w:jc w:val="both"/>
        <w:rPr>
          <w:rFonts w:ascii="Times New Roman" w:hAnsi="Times New Roman" w:cs="Times New Roman"/>
          <w:lang w:val="en-US"/>
        </w:rPr>
      </w:pPr>
    </w:p>
    <w:p w14:paraId="4E8B93E4" w14:textId="77777777" w:rsidR="00FB18AA" w:rsidRPr="001655E5" w:rsidRDefault="00FB18AA" w:rsidP="00FB18AA">
      <w:pPr>
        <w:pStyle w:val="ListParagraph"/>
        <w:numPr>
          <w:ilvl w:val="0"/>
          <w:numId w:val="1"/>
        </w:numPr>
        <w:spacing w:line="480" w:lineRule="auto"/>
        <w:ind w:left="567" w:hanging="283"/>
        <w:jc w:val="both"/>
        <w:rPr>
          <w:rFonts w:ascii="Times New Roman" w:hAnsi="Times New Roman" w:cs="Times New Roman"/>
          <w:lang w:val="en-US"/>
        </w:rPr>
      </w:pPr>
      <w:r w:rsidRPr="001655E5">
        <w:rPr>
          <w:rFonts w:ascii="Times New Roman" w:hAnsi="Times New Roman" w:cs="Times New Roman"/>
          <w:i/>
          <w:iCs/>
          <w:lang w:val="en-US"/>
        </w:rPr>
        <w:lastRenderedPageBreak/>
        <w:t>There should be a revision of the catechetical resources that currently exist in the African church</w:t>
      </w:r>
      <w:r w:rsidRPr="001655E5">
        <w:rPr>
          <w:rFonts w:ascii="Times New Roman" w:hAnsi="Times New Roman" w:cs="Times New Roman"/>
          <w:lang w:val="en-US"/>
        </w:rPr>
        <w:t xml:space="preserve">. This is a necessary means of teaching broader understanding of catholicity that appreciates the shared baptism of all Christians as the foundation for synodal ecumenical conversation. This would then provoke discussions regarding the possibilities and organization of </w:t>
      </w:r>
      <w:proofErr w:type="spellStart"/>
      <w:r w:rsidRPr="001655E5">
        <w:rPr>
          <w:rFonts w:ascii="Times New Roman" w:hAnsi="Times New Roman" w:cs="Times New Roman"/>
          <w:i/>
          <w:iCs/>
          <w:lang w:val="en-US"/>
        </w:rPr>
        <w:t>communicatio</w:t>
      </w:r>
      <w:proofErr w:type="spellEnd"/>
      <w:r w:rsidRPr="001655E5">
        <w:rPr>
          <w:rFonts w:ascii="Times New Roman" w:hAnsi="Times New Roman" w:cs="Times New Roman"/>
          <w:i/>
          <w:iCs/>
          <w:lang w:val="en-US"/>
        </w:rPr>
        <w:t xml:space="preserve"> in </w:t>
      </w:r>
      <w:proofErr w:type="spellStart"/>
      <w:r w:rsidRPr="001655E5">
        <w:rPr>
          <w:rFonts w:ascii="Times New Roman" w:hAnsi="Times New Roman" w:cs="Times New Roman"/>
          <w:i/>
          <w:iCs/>
          <w:lang w:val="en-US"/>
        </w:rPr>
        <w:t>sacris</w:t>
      </w:r>
      <w:proofErr w:type="spellEnd"/>
      <w:r w:rsidRPr="001655E5">
        <w:rPr>
          <w:rFonts w:ascii="Times New Roman" w:hAnsi="Times New Roman" w:cs="Times New Roman"/>
          <w:lang w:val="en-US"/>
        </w:rPr>
        <w:t xml:space="preserve"> (UR §15), for if we share in baptism then we must share in some form of common fellowship. In some contexts, the praxis of </w:t>
      </w:r>
      <w:proofErr w:type="spellStart"/>
      <w:r w:rsidRPr="001655E5">
        <w:rPr>
          <w:rFonts w:ascii="Times New Roman" w:hAnsi="Times New Roman" w:cs="Times New Roman"/>
          <w:i/>
          <w:iCs/>
          <w:lang w:val="en-US"/>
        </w:rPr>
        <w:t>communicatio</w:t>
      </w:r>
      <w:proofErr w:type="spellEnd"/>
      <w:r w:rsidRPr="001655E5">
        <w:rPr>
          <w:rFonts w:ascii="Times New Roman" w:hAnsi="Times New Roman" w:cs="Times New Roman"/>
          <w:i/>
          <w:iCs/>
          <w:lang w:val="en-US"/>
        </w:rPr>
        <w:t xml:space="preserve"> in </w:t>
      </w:r>
      <w:proofErr w:type="spellStart"/>
      <w:r w:rsidRPr="001655E5">
        <w:rPr>
          <w:rFonts w:ascii="Times New Roman" w:hAnsi="Times New Roman" w:cs="Times New Roman"/>
          <w:i/>
          <w:iCs/>
          <w:lang w:val="en-US"/>
        </w:rPr>
        <w:t>sacris</w:t>
      </w:r>
      <w:proofErr w:type="spellEnd"/>
      <w:r w:rsidRPr="001655E5">
        <w:rPr>
          <w:rFonts w:ascii="Times New Roman" w:hAnsi="Times New Roman" w:cs="Times New Roman"/>
          <w:lang w:val="en-US"/>
        </w:rPr>
        <w:t xml:space="preserve"> is dubbed interdenominational service, yet extra work could be done to define such fellowship from both the intra-ecclesial and inter-ecclesial perspectives. More still, the catechetical revision would also deal with the issues concerning inter-marriage among Christians as I already indicated. While the Roman Catholic canons </w:t>
      </w:r>
      <w:proofErr w:type="gramStart"/>
      <w:r w:rsidRPr="001655E5">
        <w:rPr>
          <w:rFonts w:ascii="Times New Roman" w:hAnsi="Times New Roman" w:cs="Times New Roman"/>
          <w:lang w:val="en-US"/>
        </w:rPr>
        <w:t>sets</w:t>
      </w:r>
      <w:proofErr w:type="gramEnd"/>
      <w:r w:rsidRPr="001655E5">
        <w:rPr>
          <w:rFonts w:ascii="Times New Roman" w:hAnsi="Times New Roman" w:cs="Times New Roman"/>
          <w:lang w:val="en-US"/>
        </w:rPr>
        <w:t xml:space="preserve"> clear guidelines, there are often external considerations that frustrate such marriages. An example is the presumption that it is not proper for either of the couples to belong to another Christian community of faith. Often this presumption is informed by sexist ideology that puts the burden of relinquishing one of the partner’s </w:t>
      </w:r>
      <w:proofErr w:type="gramStart"/>
      <w:r w:rsidRPr="001655E5">
        <w:rPr>
          <w:rFonts w:ascii="Times New Roman" w:hAnsi="Times New Roman" w:cs="Times New Roman"/>
          <w:lang w:val="en-US"/>
        </w:rPr>
        <w:t>faith</w:t>
      </w:r>
      <w:proofErr w:type="gramEnd"/>
      <w:r w:rsidRPr="001655E5">
        <w:rPr>
          <w:rFonts w:ascii="Times New Roman" w:hAnsi="Times New Roman" w:cs="Times New Roman"/>
          <w:lang w:val="en-US"/>
        </w:rPr>
        <w:t xml:space="preserve"> on the women. Eucharistic hospitality requires a proper catechesis that places our shared humanity and faith at the center. Certainly, “ecumenism does not make our faith easier”, yet “bygone prejudices and self-preoccupying fears must be eliminated,” because, at the end “a loving faith, one based on divine charity, must be the beginning, the middle and the end of our mission encounter.”</w:t>
      </w:r>
      <w:r w:rsidRPr="001655E5">
        <w:rPr>
          <w:rStyle w:val="FootnoteReference"/>
          <w:rFonts w:ascii="Times New Roman" w:hAnsi="Times New Roman" w:cs="Times New Roman"/>
          <w:lang w:val="en-US"/>
        </w:rPr>
        <w:footnoteReference w:id="20"/>
      </w:r>
      <w:r w:rsidRPr="001655E5">
        <w:rPr>
          <w:rFonts w:ascii="Times New Roman" w:hAnsi="Times New Roman" w:cs="Times New Roman"/>
          <w:lang w:val="en-US"/>
        </w:rPr>
        <w:t xml:space="preserve">  When we start feeling comfortable in sharing and praying together like the women of </w:t>
      </w:r>
      <w:proofErr w:type="spellStart"/>
      <w:r w:rsidRPr="001655E5">
        <w:rPr>
          <w:rFonts w:ascii="Times New Roman" w:hAnsi="Times New Roman" w:cs="Times New Roman"/>
          <w:lang w:val="en-US"/>
        </w:rPr>
        <w:t>Aguluzigbo</w:t>
      </w:r>
      <w:proofErr w:type="spellEnd"/>
      <w:r w:rsidRPr="001655E5">
        <w:rPr>
          <w:rFonts w:ascii="Times New Roman" w:hAnsi="Times New Roman" w:cs="Times New Roman"/>
          <w:lang w:val="en-US"/>
        </w:rPr>
        <w:t>, then we are already on the road to a more profound praxis of Eucharistic hospitality.</w:t>
      </w:r>
    </w:p>
    <w:p w14:paraId="5BB574E2" w14:textId="77777777" w:rsidR="00FB18AA" w:rsidRPr="001655E5" w:rsidRDefault="00FB18AA" w:rsidP="00FB18AA">
      <w:pPr>
        <w:spacing w:line="480" w:lineRule="auto"/>
        <w:ind w:left="567" w:hanging="283"/>
        <w:jc w:val="both"/>
        <w:rPr>
          <w:rFonts w:ascii="Times New Roman" w:hAnsi="Times New Roman" w:cs="Times New Roman"/>
          <w:lang w:val="en-US"/>
        </w:rPr>
      </w:pPr>
    </w:p>
    <w:p w14:paraId="5B51E0E2" w14:textId="77777777" w:rsidR="00FB18AA" w:rsidRPr="001655E5" w:rsidRDefault="00FB18AA" w:rsidP="00FB18AA">
      <w:pPr>
        <w:pStyle w:val="ListParagraph"/>
        <w:numPr>
          <w:ilvl w:val="0"/>
          <w:numId w:val="1"/>
        </w:numPr>
        <w:spacing w:line="480" w:lineRule="auto"/>
        <w:ind w:left="567" w:hanging="283"/>
        <w:jc w:val="both"/>
        <w:rPr>
          <w:rFonts w:ascii="Times New Roman" w:hAnsi="Times New Roman" w:cs="Times New Roman"/>
        </w:rPr>
      </w:pPr>
      <w:r w:rsidRPr="001655E5">
        <w:rPr>
          <w:rFonts w:ascii="Times New Roman" w:hAnsi="Times New Roman" w:cs="Times New Roman"/>
          <w:i/>
          <w:iCs/>
        </w:rPr>
        <w:lastRenderedPageBreak/>
        <w:t>The existing ecumenical engagements among churches in Africa should enter a new phase of praxis.</w:t>
      </w:r>
      <w:r w:rsidRPr="001655E5">
        <w:rPr>
          <w:rFonts w:ascii="Times New Roman" w:hAnsi="Times New Roman" w:cs="Times New Roman"/>
        </w:rPr>
        <w:t xml:space="preserve"> The series of near-impactless ecumenical dialogue in most countries of Africa has to be reviewed lest African ecumenism remains a pretentious form of diplomacy that is neither rooted in the Christian faith conviction nor grounded in the commitment to the common good in Africa. For a continent that is in dire need of human development and in which the questions of powerty, social injustice, political instability and natural disasters confront the people daily, what is practiced in many circles is simply a lazy form of ecumenism that has failed to highlight the radically transformative nature of the Gospel as good news. It is therefore time for churches to stand together on the side of the poor and marginalized. It is time for churches in Africa to develop an African matyrology that tells the stories of Christians who have died because of their faith in Africa. It is time for the churches to make a commitment to ecumencial education within their respective theological institutions, which would systematically put rest to the senseless rivalry and competition that service </w:t>
      </w:r>
      <w:r w:rsidRPr="001655E5">
        <w:rPr>
          <w:rFonts w:ascii="Times New Roman" w:hAnsi="Times New Roman" w:cs="Times New Roman"/>
          <w:i/>
          <w:iCs/>
        </w:rPr>
        <w:t>ecclesial identity egos</w:t>
      </w:r>
      <w:r w:rsidRPr="001655E5">
        <w:rPr>
          <w:rFonts w:ascii="Times New Roman" w:hAnsi="Times New Roman" w:cs="Times New Roman"/>
        </w:rPr>
        <w:t xml:space="preserve"> rather that the central message of the Gospel and the measure of true discipleship: “love one another as I have loved you” (cf. Jn.13:34-35).</w:t>
      </w:r>
    </w:p>
    <w:p w14:paraId="6F2D35AF" w14:textId="77777777" w:rsidR="00FB18AA" w:rsidRPr="001655E5" w:rsidRDefault="00FB18AA" w:rsidP="00FB18AA">
      <w:pPr>
        <w:spacing w:line="480" w:lineRule="auto"/>
        <w:jc w:val="both"/>
        <w:rPr>
          <w:rFonts w:ascii="Times New Roman" w:hAnsi="Times New Roman" w:cs="Times New Roman"/>
        </w:rPr>
      </w:pPr>
    </w:p>
    <w:p w14:paraId="347176E2" w14:textId="77777777" w:rsidR="00FB18AA" w:rsidRPr="001655E5" w:rsidRDefault="00FB18AA" w:rsidP="00FB18AA">
      <w:pPr>
        <w:spacing w:line="480" w:lineRule="auto"/>
        <w:jc w:val="both"/>
        <w:rPr>
          <w:rFonts w:ascii="Times New Roman" w:hAnsi="Times New Roman" w:cs="Times New Roman"/>
        </w:rPr>
      </w:pPr>
      <w:r w:rsidRPr="001655E5">
        <w:rPr>
          <w:rFonts w:ascii="Times New Roman" w:hAnsi="Times New Roman" w:cs="Times New Roman"/>
        </w:rPr>
        <w:t>Will these suggestions automatically remedy the challenge here? There is no guarantee for that but they provide pathways for articulating a synodal ecumenical ecclesiology that is oriented towards praxis, one that is deeply rooted in the African value of ‘the-right-to-speech’, the right to be heard, and ultimately the right to be included. This is one effective way of offering a correct African interpretation of the ‘Family of God’ as an expansive belonging that incorporates kinship within an understanidng of what a family truly is.</w:t>
      </w:r>
    </w:p>
    <w:p w14:paraId="7FEA7CC3" w14:textId="77777777" w:rsidR="00FB18AA" w:rsidRPr="001655E5" w:rsidRDefault="00FB18AA" w:rsidP="00FB18AA">
      <w:pPr>
        <w:spacing w:line="480" w:lineRule="auto"/>
        <w:jc w:val="both"/>
        <w:rPr>
          <w:rFonts w:ascii="Times New Roman" w:hAnsi="Times New Roman" w:cs="Times New Roman"/>
        </w:rPr>
      </w:pPr>
    </w:p>
    <w:p w14:paraId="61C13BAD" w14:textId="77777777" w:rsidR="00FB18AA" w:rsidRPr="001655E5" w:rsidRDefault="00FB18AA" w:rsidP="00FB18AA">
      <w:pPr>
        <w:spacing w:line="480" w:lineRule="auto"/>
        <w:jc w:val="both"/>
        <w:rPr>
          <w:rFonts w:ascii="Times New Roman" w:hAnsi="Times New Roman" w:cs="Times New Roman"/>
        </w:rPr>
      </w:pPr>
    </w:p>
    <w:p w14:paraId="6B4F439D" w14:textId="77777777" w:rsidR="00FB18AA" w:rsidRPr="001655E5" w:rsidRDefault="00FB18AA" w:rsidP="00FB18AA">
      <w:pPr>
        <w:spacing w:line="480" w:lineRule="auto"/>
        <w:jc w:val="both"/>
        <w:rPr>
          <w:rFonts w:ascii="Times New Roman" w:hAnsi="Times New Roman" w:cs="Times New Roman"/>
        </w:rPr>
      </w:pPr>
    </w:p>
    <w:p w14:paraId="5AE1BB9F" w14:textId="77777777" w:rsidR="00FB18AA" w:rsidRPr="001655E5" w:rsidRDefault="00FB18AA" w:rsidP="00FB18AA">
      <w:pPr>
        <w:spacing w:line="480" w:lineRule="auto"/>
        <w:jc w:val="both"/>
        <w:rPr>
          <w:rFonts w:ascii="Times New Roman" w:hAnsi="Times New Roman" w:cs="Times New Roman"/>
        </w:rPr>
      </w:pPr>
    </w:p>
    <w:p w14:paraId="20E797A8" w14:textId="77777777" w:rsidR="00FB18AA" w:rsidRPr="001655E5" w:rsidRDefault="00FB18AA" w:rsidP="00FB18AA">
      <w:pPr>
        <w:spacing w:line="480" w:lineRule="auto"/>
        <w:jc w:val="both"/>
        <w:rPr>
          <w:rFonts w:ascii="Times New Roman" w:hAnsi="Times New Roman" w:cs="Times New Roman"/>
        </w:rPr>
      </w:pPr>
    </w:p>
    <w:p w14:paraId="56138F39" w14:textId="77777777" w:rsidR="00803626" w:rsidRDefault="00803626"/>
    <w:sectPr w:rsidR="00803626" w:rsidSect="00FB18AA">
      <w:footerReference w:type="even" r:id="rId7"/>
      <w:foot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26648" w14:textId="77777777" w:rsidR="00490C32" w:rsidRDefault="00490C32" w:rsidP="00FB18AA">
      <w:r>
        <w:separator/>
      </w:r>
    </w:p>
  </w:endnote>
  <w:endnote w:type="continuationSeparator" w:id="0">
    <w:p w14:paraId="10A828D3" w14:textId="77777777" w:rsidR="00490C32" w:rsidRDefault="00490C32" w:rsidP="00FB18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16767787"/>
      <w:docPartObj>
        <w:docPartGallery w:val="Page Numbers (Bottom of Page)"/>
        <w:docPartUnique/>
      </w:docPartObj>
    </w:sdtPr>
    <w:sdtContent>
      <w:p w14:paraId="641DE8C5" w14:textId="77777777" w:rsidR="00CD7272" w:rsidRDefault="00000000" w:rsidP="009741E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A77A741" w14:textId="77777777" w:rsidR="00CD7272" w:rsidRDefault="00CD7272" w:rsidP="005D30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aramond" w:hAnsi="Garamond"/>
        <w:sz w:val="22"/>
        <w:szCs w:val="22"/>
      </w:rPr>
      <w:id w:val="1831021842"/>
      <w:docPartObj>
        <w:docPartGallery w:val="Page Numbers (Bottom of Page)"/>
        <w:docPartUnique/>
      </w:docPartObj>
    </w:sdtPr>
    <w:sdtContent>
      <w:p w14:paraId="5669F1BF" w14:textId="77777777" w:rsidR="00CD7272" w:rsidRPr="005D30C8" w:rsidRDefault="00000000" w:rsidP="009741E2">
        <w:pPr>
          <w:pStyle w:val="Footer"/>
          <w:framePr w:wrap="none" w:vAnchor="text" w:hAnchor="margin" w:xAlign="right" w:y="1"/>
          <w:rPr>
            <w:rStyle w:val="PageNumber"/>
            <w:rFonts w:ascii="Garamond" w:hAnsi="Garamond"/>
            <w:sz w:val="22"/>
            <w:szCs w:val="22"/>
          </w:rPr>
        </w:pPr>
        <w:r w:rsidRPr="005D30C8">
          <w:rPr>
            <w:rStyle w:val="PageNumber"/>
            <w:rFonts w:ascii="Garamond" w:hAnsi="Garamond"/>
            <w:sz w:val="22"/>
            <w:szCs w:val="22"/>
          </w:rPr>
          <w:fldChar w:fldCharType="begin"/>
        </w:r>
        <w:r w:rsidRPr="005D30C8">
          <w:rPr>
            <w:rStyle w:val="PageNumber"/>
            <w:rFonts w:ascii="Garamond" w:hAnsi="Garamond"/>
            <w:sz w:val="22"/>
            <w:szCs w:val="22"/>
          </w:rPr>
          <w:instrText xml:space="preserve"> PAGE </w:instrText>
        </w:r>
        <w:r w:rsidRPr="005D30C8">
          <w:rPr>
            <w:rStyle w:val="PageNumber"/>
            <w:rFonts w:ascii="Garamond" w:hAnsi="Garamond"/>
            <w:sz w:val="22"/>
            <w:szCs w:val="22"/>
          </w:rPr>
          <w:fldChar w:fldCharType="separate"/>
        </w:r>
        <w:r w:rsidRPr="005D30C8">
          <w:rPr>
            <w:rStyle w:val="PageNumber"/>
            <w:rFonts w:ascii="Garamond" w:hAnsi="Garamond"/>
            <w:noProof/>
            <w:sz w:val="22"/>
            <w:szCs w:val="22"/>
          </w:rPr>
          <w:t>2</w:t>
        </w:r>
        <w:r w:rsidRPr="005D30C8">
          <w:rPr>
            <w:rStyle w:val="PageNumber"/>
            <w:rFonts w:ascii="Garamond" w:hAnsi="Garamond"/>
            <w:sz w:val="22"/>
            <w:szCs w:val="22"/>
          </w:rPr>
          <w:fldChar w:fldCharType="end"/>
        </w:r>
      </w:p>
    </w:sdtContent>
  </w:sdt>
  <w:p w14:paraId="396C203A" w14:textId="77777777" w:rsidR="00CD7272" w:rsidRPr="005D30C8" w:rsidRDefault="00CD7272" w:rsidP="005D30C8">
    <w:pPr>
      <w:pStyle w:val="Footer"/>
      <w:ind w:right="360"/>
      <w:rPr>
        <w:rFonts w:ascii="Garamond" w:hAnsi="Garamond"/>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261782" w14:textId="77777777" w:rsidR="00490C32" w:rsidRDefault="00490C32" w:rsidP="00FB18AA">
      <w:r>
        <w:separator/>
      </w:r>
    </w:p>
  </w:footnote>
  <w:footnote w:type="continuationSeparator" w:id="0">
    <w:p w14:paraId="3F545FA0" w14:textId="77777777" w:rsidR="00490C32" w:rsidRDefault="00490C32" w:rsidP="00FB18AA">
      <w:r>
        <w:continuationSeparator/>
      </w:r>
    </w:p>
  </w:footnote>
  <w:footnote w:id="1">
    <w:p w14:paraId="6FB1DA26"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8E7E8E">
        <w:rPr>
          <w:rFonts w:ascii="Garamond" w:hAnsi="Garamond"/>
        </w:rPr>
        <w:t xml:space="preserve">Stan Chu Ilo, “Embracing everyone as a family of God: Samaritanizing the Synodal Process in Local Churches,” </w:t>
      </w:r>
      <w:r w:rsidRPr="008E7E8E">
        <w:rPr>
          <w:rFonts w:ascii="Garamond" w:hAnsi="Garamond"/>
          <w:i/>
          <w:iCs/>
        </w:rPr>
        <w:t>L’Osservatore Romano</w:t>
      </w:r>
      <w:r w:rsidRPr="008E7E8E">
        <w:rPr>
          <w:rFonts w:ascii="Garamond" w:hAnsi="Garamond"/>
        </w:rPr>
        <w:t xml:space="preserve"> (01 December 2023), https://www.osservatoreromano.va/en/news/2023-12/ing-048/embracing-everyone-as-a-family-of-god.html (accessed 24 </w:t>
      </w:r>
      <w:r>
        <w:rPr>
          <w:rFonts w:ascii="Garamond" w:hAnsi="Garamond"/>
        </w:rPr>
        <w:t>February</w:t>
      </w:r>
      <w:r w:rsidRPr="008E7E8E">
        <w:rPr>
          <w:rFonts w:ascii="Garamond" w:hAnsi="Garamond"/>
        </w:rPr>
        <w:t xml:space="preserve"> 202</w:t>
      </w:r>
      <w:r>
        <w:rPr>
          <w:rFonts w:ascii="Garamond" w:hAnsi="Garamond"/>
        </w:rPr>
        <w:t>5</w:t>
      </w:r>
      <w:r w:rsidRPr="008E7E8E">
        <w:rPr>
          <w:rFonts w:ascii="Garamond" w:hAnsi="Garamond"/>
        </w:rPr>
        <w:t>).</w:t>
      </w:r>
    </w:p>
  </w:footnote>
  <w:footnote w:id="2">
    <w:p w14:paraId="150AE702" w14:textId="77777777" w:rsidR="00FB18AA" w:rsidRPr="008E7E8E" w:rsidRDefault="00FB18AA" w:rsidP="00FB18AA">
      <w:pPr>
        <w:pStyle w:val="FootnoteText"/>
        <w:jc w:val="both"/>
        <w:rPr>
          <w:rFonts w:ascii="Garamond" w:hAnsi="Garamond"/>
          <w:lang w:val="en-US"/>
        </w:rPr>
      </w:pPr>
      <w:r w:rsidRPr="008E7E8E">
        <w:rPr>
          <w:rStyle w:val="FootnoteReference"/>
          <w:rFonts w:ascii="Garamond" w:hAnsi="Garamond"/>
        </w:rPr>
        <w:footnoteRef/>
      </w:r>
      <w:r w:rsidRPr="008E7E8E">
        <w:rPr>
          <w:rFonts w:ascii="Garamond" w:hAnsi="Garamond"/>
        </w:rPr>
        <w:t xml:space="preserve"> </w:t>
      </w:r>
      <w:bookmarkStart w:id="0" w:name="OLE_LINK1"/>
      <w:r w:rsidRPr="008E7E8E">
        <w:rPr>
          <w:rFonts w:ascii="Garamond" w:hAnsi="Garamond"/>
        </w:rPr>
        <w:t>Christopher Duraisingh, “Contextual and Catholic: Conditions for Cross-Cultural Hermeneutics,”</w:t>
      </w:r>
      <w:r w:rsidRPr="008E7E8E">
        <w:rPr>
          <w:rFonts w:ascii="Garamond" w:hAnsi="Garamond"/>
          <w:i/>
          <w:iCs/>
        </w:rPr>
        <w:t xml:space="preserve"> Anglican Theological Review</w:t>
      </w:r>
      <w:r w:rsidRPr="008E7E8E">
        <w:rPr>
          <w:rFonts w:ascii="Garamond" w:hAnsi="Garamond"/>
        </w:rPr>
        <w:t xml:space="preserve"> </w:t>
      </w:r>
      <w:bookmarkEnd w:id="0"/>
      <w:r w:rsidRPr="008E7E8E">
        <w:rPr>
          <w:rFonts w:ascii="Garamond" w:hAnsi="Garamond"/>
        </w:rPr>
        <w:t>82, no. 4 (2000): 679-701; 685.</w:t>
      </w:r>
    </w:p>
  </w:footnote>
  <w:footnote w:id="3">
    <w:p w14:paraId="5E4CED4C" w14:textId="77777777" w:rsidR="00FB18AA" w:rsidRPr="007B4CD7" w:rsidRDefault="00FB18AA" w:rsidP="00FB18AA">
      <w:pPr>
        <w:pStyle w:val="FootnoteText"/>
        <w:jc w:val="both"/>
        <w:rPr>
          <w:rFonts w:ascii="Garamond" w:hAnsi="Garamond"/>
        </w:rPr>
      </w:pPr>
      <w:r w:rsidRPr="007B4CD7">
        <w:rPr>
          <w:rStyle w:val="FootnoteReference"/>
          <w:rFonts w:ascii="Garamond" w:hAnsi="Garamond"/>
        </w:rPr>
        <w:footnoteRef/>
      </w:r>
      <w:r w:rsidRPr="007B4CD7">
        <w:rPr>
          <w:rFonts w:ascii="Garamond" w:hAnsi="Garamond"/>
        </w:rPr>
        <w:t xml:space="preserve"> Cf. Francis Schuessler Fiorenza, “Die Kirche als Interpretationsgemeinschaft. Politische Theologie zwischen Diskursethik und hermeneutischer Rekonstruktion,” 115-144 in Edmund Arens, ed., </w:t>
      </w:r>
      <w:r w:rsidRPr="007B4CD7">
        <w:rPr>
          <w:rFonts w:ascii="Garamond" w:hAnsi="Garamond"/>
          <w:i/>
          <w:iCs/>
        </w:rPr>
        <w:t>Habermas und die Theologie</w:t>
      </w:r>
      <w:r w:rsidRPr="007B4CD7">
        <w:rPr>
          <w:rFonts w:ascii="Garamond" w:hAnsi="Garamond"/>
        </w:rPr>
        <w:t xml:space="preserve"> (Düsseldorf: Patmos, 1989)/ Francis Schuessler Fiorenza, “The Church as a Community of Interpretation: Political Theology between Discourse Ethics and Hermeneutical Reconstruction,” 66-91 in Don S. Browning and Francis Schuessler Fiorenza, eds, </w:t>
      </w:r>
      <w:r w:rsidRPr="007B4CD7">
        <w:rPr>
          <w:rFonts w:ascii="Garamond" w:hAnsi="Garamond"/>
          <w:i/>
          <w:iCs/>
        </w:rPr>
        <w:t>Habermas, Modernity, and Public Theology</w:t>
      </w:r>
      <w:r w:rsidRPr="007B4CD7">
        <w:rPr>
          <w:rFonts w:ascii="Garamond" w:hAnsi="Garamond"/>
        </w:rPr>
        <w:t xml:space="preserve"> (New York: Crossroad, 1992).</w:t>
      </w:r>
    </w:p>
  </w:footnote>
  <w:footnote w:id="4">
    <w:p w14:paraId="483877F1"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7B4CD7">
        <w:rPr>
          <w:rFonts w:ascii="Garamond" w:hAnsi="Garamond"/>
          <w:lang w:val="en-US"/>
        </w:rPr>
        <w:t xml:space="preserve">Michael Haspel, “Hermeneutical Reconstruction and Discourse Ethics: A Critical Assessment of Francis Schuessler Fiorenza’s Concept of ‘The Church as a Community of Interpretation’,” </w:t>
      </w:r>
      <w:r w:rsidRPr="007B4CD7">
        <w:rPr>
          <w:rFonts w:ascii="Garamond" w:hAnsi="Garamond"/>
          <w:i/>
          <w:iCs/>
          <w:lang w:val="en-US"/>
        </w:rPr>
        <w:t>Scriptura</w:t>
      </w:r>
      <w:r w:rsidRPr="007B4CD7">
        <w:rPr>
          <w:rFonts w:ascii="Garamond" w:hAnsi="Garamond"/>
          <w:lang w:val="en-US"/>
        </w:rPr>
        <w:t xml:space="preserve"> 82, no.1 (2003): 49-62; 60.</w:t>
      </w:r>
    </w:p>
  </w:footnote>
  <w:footnote w:id="5">
    <w:p w14:paraId="395E31A4"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7B4CD7">
        <w:rPr>
          <w:rFonts w:ascii="Garamond" w:hAnsi="Garamond"/>
          <w:lang w:val="en-US"/>
        </w:rPr>
        <w:t>Haspel, “Hermeneutical Reconstruction and Discourse Ethics,” 60.</w:t>
      </w:r>
    </w:p>
  </w:footnote>
  <w:footnote w:id="6">
    <w:p w14:paraId="6DA3394A"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8E7E8E">
        <w:rPr>
          <w:rFonts w:ascii="Garamond" w:hAnsi="Garamond"/>
        </w:rPr>
        <w:t>Duraisingh, “Contextual and Catholic,” 690.</w:t>
      </w:r>
    </w:p>
  </w:footnote>
  <w:footnote w:id="7">
    <w:p w14:paraId="29D9CE7C"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8E7E8E">
        <w:rPr>
          <w:rFonts w:ascii="Garamond" w:hAnsi="Garamond"/>
        </w:rPr>
        <w:t>Duraisingh, “Contextual and Catholic,” 690.</w:t>
      </w:r>
    </w:p>
  </w:footnote>
  <w:footnote w:id="8">
    <w:p w14:paraId="23D3359A"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8E7E8E">
        <w:rPr>
          <w:rFonts w:ascii="Garamond" w:hAnsi="Garamond"/>
        </w:rPr>
        <w:t>Duraisingh, “Contextual and Catholic,” 696.</w:t>
      </w:r>
    </w:p>
  </w:footnote>
  <w:footnote w:id="9">
    <w:p w14:paraId="78BC2484"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8E7E8E">
        <w:rPr>
          <w:rFonts w:ascii="Garamond" w:hAnsi="Garamond"/>
        </w:rPr>
        <w:t>Duraisingh, “Contextual and Catholic,” 697.</w:t>
      </w:r>
    </w:p>
  </w:footnote>
  <w:footnote w:id="10">
    <w:p w14:paraId="64D1D868"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7B4CD7">
        <w:rPr>
          <w:rFonts w:ascii="Garamond" w:hAnsi="Garamond"/>
          <w:lang w:val="en-US"/>
        </w:rPr>
        <w:t xml:space="preserve">Yves Congar, </w:t>
      </w:r>
      <w:r w:rsidRPr="007B4CD7">
        <w:rPr>
          <w:rFonts w:ascii="Garamond" w:hAnsi="Garamond"/>
          <w:i/>
          <w:iCs/>
          <w:lang w:val="en-US"/>
        </w:rPr>
        <w:t>Chrétiens désunis</w:t>
      </w:r>
      <w:r w:rsidRPr="007B4CD7">
        <w:rPr>
          <w:rFonts w:ascii="Garamond" w:hAnsi="Garamond"/>
        </w:rPr>
        <w:t>: principes</w:t>
      </w:r>
      <w:r w:rsidRPr="007B4CD7">
        <w:rPr>
          <w:rFonts w:ascii="Garamond" w:hAnsi="Garamond"/>
          <w:i/>
          <w:iCs/>
          <w:lang w:val="en-US"/>
        </w:rPr>
        <w:t xml:space="preserve"> d</w:t>
      </w:r>
      <w:r>
        <w:rPr>
          <w:rFonts w:ascii="Garamond" w:hAnsi="Garamond"/>
          <w:i/>
          <w:iCs/>
          <w:lang w:val="en-US"/>
        </w:rPr>
        <w:t>’</w:t>
      </w:r>
      <w:r w:rsidRPr="007B4CD7">
        <w:rPr>
          <w:rFonts w:ascii="Garamond" w:hAnsi="Garamond"/>
          <w:i/>
          <w:iCs/>
          <w:lang w:val="en-US"/>
        </w:rPr>
        <w:t xml:space="preserve">un </w:t>
      </w:r>
      <w:r>
        <w:rPr>
          <w:rFonts w:ascii="Garamond" w:hAnsi="Garamond"/>
          <w:i/>
          <w:iCs/>
          <w:lang w:val="en-US"/>
        </w:rPr>
        <w:t>‘</w:t>
      </w:r>
      <w:r w:rsidRPr="007B4CD7">
        <w:rPr>
          <w:rFonts w:ascii="Garamond" w:hAnsi="Garamond"/>
          <w:i/>
          <w:iCs/>
          <w:lang w:val="en-US"/>
        </w:rPr>
        <w:t>oecuménisme</w:t>
      </w:r>
      <w:r>
        <w:rPr>
          <w:rFonts w:ascii="Garamond" w:hAnsi="Garamond"/>
          <w:i/>
          <w:iCs/>
          <w:lang w:val="en-US"/>
        </w:rPr>
        <w:t>’</w:t>
      </w:r>
      <w:r w:rsidRPr="007B4CD7">
        <w:rPr>
          <w:rFonts w:ascii="Garamond" w:hAnsi="Garamond"/>
          <w:i/>
          <w:iCs/>
          <w:lang w:val="en-US"/>
        </w:rPr>
        <w:t xml:space="preserve"> catholique</w:t>
      </w:r>
      <w:r w:rsidRPr="007B4CD7">
        <w:rPr>
          <w:rFonts w:ascii="Garamond" w:hAnsi="Garamond"/>
          <w:lang w:val="en-US"/>
        </w:rPr>
        <w:t xml:space="preserve"> (Paris: Cerf, 1937), 315.</w:t>
      </w:r>
    </w:p>
  </w:footnote>
  <w:footnote w:id="11">
    <w:p w14:paraId="616802BE"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Gabriel Flynn, </w:t>
      </w:r>
      <w:r w:rsidRPr="007B4CD7">
        <w:rPr>
          <w:rFonts w:ascii="Garamond" w:hAnsi="Garamond"/>
          <w:i/>
          <w:iCs/>
        </w:rPr>
        <w:t>Yves Congar’s Vision of the Church in a World of Unbelief</w:t>
      </w:r>
      <w:r w:rsidRPr="007B4CD7">
        <w:rPr>
          <w:rFonts w:ascii="Garamond" w:hAnsi="Garamond"/>
        </w:rPr>
        <w:t xml:space="preserve"> (New York: Routledge, 2016), 156.</w:t>
      </w:r>
    </w:p>
  </w:footnote>
  <w:footnote w:id="12">
    <w:p w14:paraId="6E3E219D"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Yves Congar, </w:t>
      </w:r>
      <w:r w:rsidRPr="007B4CD7">
        <w:rPr>
          <w:rFonts w:ascii="Garamond" w:hAnsi="Garamond"/>
          <w:i/>
          <w:iCs/>
        </w:rPr>
        <w:t>L’Église une, sainte, catholique et apostolique</w:t>
      </w:r>
      <w:r w:rsidRPr="007B4CD7">
        <w:rPr>
          <w:rStyle w:val="apple-converted-space"/>
          <w:rFonts w:ascii="Garamond" w:hAnsi="Garamond"/>
          <w:i/>
          <w:iCs/>
        </w:rPr>
        <w:t> </w:t>
      </w:r>
      <w:r w:rsidRPr="007B4CD7">
        <w:rPr>
          <w:rFonts w:ascii="Garamond" w:hAnsi="Garamond"/>
        </w:rPr>
        <w:t xml:space="preserve">(Paris: Cerf, 1970), 121. It must be noted that Congar’s later proposal of ‘reconciled diversities’ as the criterion for unity away from his original thesis on catholicity has been critiqued as inimical to the nature of catholicity since it tends to institutionalize Christian division. Cf. Flynn, </w:t>
      </w:r>
      <w:r w:rsidRPr="007B4CD7">
        <w:rPr>
          <w:rFonts w:ascii="Garamond" w:hAnsi="Garamond"/>
          <w:i/>
          <w:iCs/>
        </w:rPr>
        <w:t>Yves Congar’s Vision of the Church in a World of Unbelief</w:t>
      </w:r>
      <w:r w:rsidRPr="007B4CD7">
        <w:rPr>
          <w:rFonts w:ascii="Garamond" w:hAnsi="Garamond"/>
        </w:rPr>
        <w:t xml:space="preserve">, 219. If this interpretation is accepted then the eschatological perspective remains a sign of resignation rather than orientation. Nonetheless, reconciling diversities could be interpreted from the perspective ‘traditioning’ that was proposed by Duraisingh, according to which the subjectivized relationalities to tradition are brought into a catholic embrace. Of course teasing out the exact nature of such ‘catholic embrace’ is a theological task that I shall not explore here. </w:t>
      </w:r>
    </w:p>
  </w:footnote>
  <w:footnote w:id="13">
    <w:p w14:paraId="609C8822" w14:textId="77777777" w:rsidR="00FB18AA" w:rsidRPr="008E7E8E" w:rsidRDefault="00FB18AA" w:rsidP="00FB18AA">
      <w:pPr>
        <w:pStyle w:val="FootnoteText"/>
        <w:jc w:val="both"/>
        <w:rPr>
          <w:rFonts w:ascii="Garamond" w:hAnsi="Garamond"/>
          <w:lang w:val="en-US"/>
        </w:rPr>
      </w:pPr>
      <w:r w:rsidRPr="008E7E8E">
        <w:rPr>
          <w:rStyle w:val="FootnoteReference"/>
          <w:rFonts w:ascii="Garamond" w:hAnsi="Garamond"/>
        </w:rPr>
        <w:footnoteRef/>
      </w:r>
      <w:r w:rsidRPr="008E7E8E">
        <w:rPr>
          <w:rFonts w:ascii="Garamond" w:hAnsi="Garamond"/>
        </w:rPr>
        <w:t xml:space="preserve"> </w:t>
      </w:r>
      <w:r w:rsidRPr="008E7E8E">
        <w:rPr>
          <w:rFonts w:ascii="Garamond" w:hAnsi="Garamond" w:cs="Arial"/>
          <w:color w:val="222222"/>
          <w:shd w:val="clear" w:color="auto" w:fill="FFFFFF"/>
        </w:rPr>
        <w:t>Gerard Mannion, “What’s in a Name? Hermeneutical Questions on ‘Globalisation’, Catholicity and Ecumenism,”</w:t>
      </w:r>
      <w:r w:rsidRPr="008E7E8E">
        <w:rPr>
          <w:rStyle w:val="apple-converted-space"/>
          <w:rFonts w:ascii="Garamond" w:hAnsi="Garamond" w:cs="Arial"/>
          <w:color w:val="222222"/>
          <w:shd w:val="clear" w:color="auto" w:fill="FFFFFF"/>
        </w:rPr>
        <w:t> </w:t>
      </w:r>
      <w:r w:rsidRPr="008E7E8E">
        <w:rPr>
          <w:rFonts w:ascii="Garamond" w:hAnsi="Garamond" w:cs="Arial"/>
          <w:i/>
          <w:iCs/>
          <w:color w:val="222222"/>
        </w:rPr>
        <w:t>New blackfriars</w:t>
      </w:r>
      <w:r w:rsidRPr="008E7E8E">
        <w:rPr>
          <w:rStyle w:val="apple-converted-space"/>
          <w:rFonts w:ascii="Garamond" w:hAnsi="Garamond" w:cs="Arial"/>
          <w:color w:val="222222"/>
          <w:shd w:val="clear" w:color="auto" w:fill="FFFFFF"/>
        </w:rPr>
        <w:t> </w:t>
      </w:r>
      <w:r w:rsidRPr="008E7E8E">
        <w:rPr>
          <w:rFonts w:ascii="Garamond" w:hAnsi="Garamond" w:cs="Arial"/>
          <w:color w:val="222222"/>
          <w:shd w:val="clear" w:color="auto" w:fill="FFFFFF"/>
        </w:rPr>
        <w:t>86, no. 1002 (2005): 204-215; 212.</w:t>
      </w:r>
    </w:p>
  </w:footnote>
  <w:footnote w:id="14">
    <w:p w14:paraId="701F632E"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7B4CD7">
        <w:rPr>
          <w:rFonts w:ascii="Garamond" w:hAnsi="Garamond"/>
          <w:lang w:val="en-US"/>
        </w:rPr>
        <w:t xml:space="preserve">Ikenna Paschal Okpaleke, </w:t>
      </w:r>
      <w:r w:rsidRPr="008E7E8E">
        <w:rPr>
          <w:rFonts w:ascii="Garamond" w:hAnsi="Garamond" w:cstheme="majorHAnsi"/>
          <w:color w:val="000000" w:themeColor="text1"/>
        </w:rPr>
        <w:t xml:space="preserve">“Crossing the Niger: An Ecumenical Option for the Post-Reformation Mission Conflict in Nigeria,” </w:t>
      </w:r>
      <w:r w:rsidRPr="008E7E8E">
        <w:rPr>
          <w:rFonts w:ascii="Garamond" w:hAnsi="Garamond" w:cstheme="majorHAnsi"/>
          <w:i/>
          <w:iCs/>
          <w:color w:val="000000" w:themeColor="text1"/>
        </w:rPr>
        <w:t>Bulletin of Ecumenical Theology</w:t>
      </w:r>
      <w:r w:rsidRPr="008E7E8E">
        <w:rPr>
          <w:rFonts w:ascii="Garamond" w:hAnsi="Garamond" w:cstheme="majorHAnsi"/>
          <w:iCs/>
          <w:color w:val="000000" w:themeColor="text1"/>
        </w:rPr>
        <w:t xml:space="preserve"> 29, no.1</w:t>
      </w:r>
      <w:r w:rsidRPr="008E7E8E">
        <w:rPr>
          <w:rFonts w:ascii="Garamond" w:hAnsi="Garamond" w:cstheme="majorHAnsi"/>
          <w:color w:val="000000" w:themeColor="text1"/>
        </w:rPr>
        <w:t xml:space="preserve"> (2017): 113-138.</w:t>
      </w:r>
    </w:p>
  </w:footnote>
  <w:footnote w:id="15">
    <w:p w14:paraId="7F2CCBF3" w14:textId="77777777" w:rsidR="00FB18AA" w:rsidRPr="007B4CD7" w:rsidRDefault="00FB18AA" w:rsidP="00FB18AA">
      <w:pPr>
        <w:pStyle w:val="FootnoteText"/>
        <w:jc w:val="both"/>
        <w:rPr>
          <w:rFonts w:ascii="Garamond" w:hAnsi="Garamond"/>
          <w:lang w:val="en-US"/>
        </w:rPr>
      </w:pPr>
      <w:r w:rsidRPr="007B4CD7">
        <w:rPr>
          <w:rStyle w:val="FootnoteReference"/>
          <w:rFonts w:ascii="Garamond" w:hAnsi="Garamond"/>
        </w:rPr>
        <w:footnoteRef/>
      </w:r>
      <w:r w:rsidRPr="007B4CD7">
        <w:rPr>
          <w:rFonts w:ascii="Garamond" w:hAnsi="Garamond"/>
        </w:rPr>
        <w:t xml:space="preserve"> </w:t>
      </w:r>
      <w:r w:rsidRPr="007B4CD7">
        <w:rPr>
          <w:rFonts w:ascii="Garamond" w:hAnsi="Garamond"/>
          <w:lang w:val="en-US"/>
        </w:rPr>
        <w:t xml:space="preserve">Augustine Ikenna Anwuchie, Jude Ilo, and Redemptor Atieno, eds., </w:t>
      </w:r>
      <w:r w:rsidRPr="007B4CD7">
        <w:rPr>
          <w:rFonts w:ascii="Garamond" w:hAnsi="Garamond"/>
          <w:i/>
          <w:iCs/>
          <w:lang w:val="en-US"/>
        </w:rPr>
        <w:t xml:space="preserve">An African Palaver Series on the Future of the Church in Africa </w:t>
      </w:r>
      <w:r w:rsidRPr="007B4CD7">
        <w:rPr>
          <w:rFonts w:ascii="Garamond" w:hAnsi="Garamond"/>
          <w:lang w:val="en-US"/>
        </w:rPr>
        <w:t>(Abuja: African Catholic Press Limited, 2024).</w:t>
      </w:r>
    </w:p>
  </w:footnote>
  <w:footnote w:id="16">
    <w:p w14:paraId="74992D39" w14:textId="77777777" w:rsidR="00FB18AA" w:rsidRPr="00D87AA5" w:rsidRDefault="00FB18AA" w:rsidP="00FB18AA">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w:t>
      </w:r>
      <w:r w:rsidRPr="00DA68C9">
        <w:rPr>
          <w:rFonts w:ascii="Garamond" w:hAnsi="Garamond"/>
          <w:i/>
          <w:iCs/>
        </w:rPr>
        <w:t>Familia Dei</w:t>
      </w:r>
      <w:r w:rsidRPr="00D46FF0">
        <w:rPr>
          <w:rFonts w:ascii="Garamond" w:hAnsi="Garamond" w:cstheme="majorHAnsi"/>
          <w:color w:val="000000" w:themeColor="text1"/>
        </w:rPr>
        <w:t xml:space="preserve"> is considered as the African interpretation of the Vatican II’s </w:t>
      </w:r>
      <w:r w:rsidRPr="00D46FF0">
        <w:rPr>
          <w:rFonts w:ascii="Garamond" w:hAnsi="Garamond" w:cstheme="majorHAnsi"/>
          <w:i/>
          <w:iCs/>
          <w:color w:val="000000" w:themeColor="text1"/>
        </w:rPr>
        <w:t>communio</w:t>
      </w:r>
      <w:r w:rsidRPr="00D46FF0">
        <w:rPr>
          <w:rFonts w:ascii="Garamond" w:hAnsi="Garamond" w:cstheme="majorHAnsi"/>
          <w:color w:val="000000" w:themeColor="text1"/>
        </w:rPr>
        <w:t xml:space="preserve"> ecclesiology</w:t>
      </w:r>
      <w:r>
        <w:rPr>
          <w:rFonts w:ascii="Garamond" w:hAnsi="Garamond" w:cstheme="majorHAnsi"/>
          <w:color w:val="000000" w:themeColor="text1"/>
        </w:rPr>
        <w:t>. See,</w:t>
      </w:r>
      <w:r w:rsidRPr="00D87AA5">
        <w:rPr>
          <w:rFonts w:ascii="Garamond" w:hAnsi="Garamond"/>
        </w:rPr>
        <w:t xml:space="preserve"> Agbokiahnmeghe E. Orobator, “Church in Dialogue as the Family of God,” 33-50 in Cecil McGarry, ed., </w:t>
      </w:r>
      <w:r w:rsidRPr="00D87AA5">
        <w:rPr>
          <w:rFonts w:ascii="Garamond" w:hAnsi="Garamond"/>
          <w:i/>
          <w:iCs/>
        </w:rPr>
        <w:t xml:space="preserve">What Happened at the African Synod? </w:t>
      </w:r>
      <w:r w:rsidRPr="00D87AA5">
        <w:rPr>
          <w:rFonts w:ascii="Garamond" w:hAnsi="Garamond"/>
        </w:rPr>
        <w:t>(Nairobi: Paulines Publications, 1995), 33, 34.</w:t>
      </w:r>
      <w:r>
        <w:rPr>
          <w:rFonts w:ascii="Garamond" w:hAnsi="Garamond"/>
        </w:rPr>
        <w:t xml:space="preserve"> </w:t>
      </w:r>
      <w:r w:rsidRPr="00D46FF0">
        <w:rPr>
          <w:rFonts w:ascii="Garamond" w:hAnsi="Garamond" w:cstheme="majorHAnsi"/>
          <w:color w:val="000000" w:themeColor="text1"/>
        </w:rPr>
        <w:t xml:space="preserve">The principles that characterize this ecclesiology, namely “care for others, solidarity, warmth in human relationships, acceptance, dialogue and trust” (John Paul II, </w:t>
      </w:r>
      <w:r w:rsidRPr="00D46FF0">
        <w:rPr>
          <w:rFonts w:ascii="Garamond" w:hAnsi="Garamond" w:cstheme="majorHAnsi"/>
          <w:i/>
          <w:iCs/>
          <w:color w:val="000000" w:themeColor="text1"/>
        </w:rPr>
        <w:t>Ecclesia in Africa</w:t>
      </w:r>
      <w:r w:rsidRPr="00D46FF0">
        <w:rPr>
          <w:rFonts w:ascii="Garamond" w:hAnsi="Garamond" w:cstheme="majorHAnsi"/>
          <w:color w:val="000000" w:themeColor="text1"/>
        </w:rPr>
        <w:t xml:space="preserve"> [EA] §63; see also the Kampala document §§78-85), apply both in the internal synodal relationship of the Church and its external ecumenical encounters with the Christian other.</w:t>
      </w:r>
    </w:p>
  </w:footnote>
  <w:footnote w:id="17">
    <w:p w14:paraId="3368DEF7" w14:textId="77777777" w:rsidR="00FB18AA" w:rsidRPr="00D87AA5" w:rsidRDefault="00FB18AA" w:rsidP="00FB18AA">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w:t>
      </w:r>
      <w:r w:rsidRPr="00D46FF0">
        <w:rPr>
          <w:rFonts w:ascii="Garamond" w:hAnsi="Garamond"/>
        </w:rPr>
        <w:t xml:space="preserve">The Open Doors’ </w:t>
      </w:r>
      <w:r w:rsidRPr="00D46FF0">
        <w:rPr>
          <w:rFonts w:ascii="Garamond" w:hAnsi="Garamond"/>
          <w:i/>
          <w:iCs/>
        </w:rPr>
        <w:t>2023 World Watch List</w:t>
      </w:r>
      <w:r w:rsidRPr="00D46FF0">
        <w:rPr>
          <w:rFonts w:ascii="Garamond" w:hAnsi="Garamond"/>
        </w:rPr>
        <w:t xml:space="preserve">, and the </w:t>
      </w:r>
      <w:r w:rsidRPr="00D46FF0">
        <w:rPr>
          <w:rFonts w:ascii="Garamond" w:hAnsi="Garamond"/>
          <w:i/>
          <w:iCs/>
        </w:rPr>
        <w:t>Religious Freedom World Report 2023</w:t>
      </w:r>
      <w:r w:rsidRPr="00D46FF0">
        <w:rPr>
          <w:rFonts w:ascii="Garamond" w:hAnsi="Garamond"/>
        </w:rPr>
        <w:t xml:space="preserve"> by the Aid to the Church in Need (ACN) place about 18 African countries within the top 50 countries</w:t>
      </w:r>
      <w:r>
        <w:rPr>
          <w:rFonts w:ascii="Garamond" w:hAnsi="Garamond"/>
        </w:rPr>
        <w:t>. Cf.</w:t>
      </w:r>
      <w:r w:rsidRPr="00D87AA5">
        <w:rPr>
          <w:rFonts w:ascii="Garamond" w:hAnsi="Garamond"/>
        </w:rPr>
        <w:t xml:space="preserve"> Open Doors, World Watch List 2023: The Top 50 countries where Christians experience the most persecution, https://www.opendoors.org.za/christian-persecution/world-watch-list-2023/ (10 December 2023); Aid to the Church in Need (22 June 2023), Religious Freedom World Report 2023, </w:t>
      </w:r>
      <w:hyperlink r:id="rId1" w:history="1">
        <w:r w:rsidRPr="00D87AA5">
          <w:rPr>
            <w:rStyle w:val="Hyperlink"/>
            <w:rFonts w:ascii="Garamond" w:hAnsi="Garamond"/>
          </w:rPr>
          <w:t>https://acninternational.org/religiousfreedomreport/</w:t>
        </w:r>
      </w:hyperlink>
      <w:r w:rsidRPr="00D87AA5">
        <w:rPr>
          <w:rFonts w:ascii="Garamond" w:hAnsi="Garamond"/>
        </w:rPr>
        <w:t xml:space="preserve"> (</w:t>
      </w:r>
      <w:r>
        <w:rPr>
          <w:rFonts w:ascii="Garamond" w:hAnsi="Garamond"/>
        </w:rPr>
        <w:t>accessed 4 March</w:t>
      </w:r>
      <w:r w:rsidRPr="00D87AA5">
        <w:rPr>
          <w:rFonts w:ascii="Garamond" w:hAnsi="Garamond"/>
        </w:rPr>
        <w:t xml:space="preserve"> 202</w:t>
      </w:r>
      <w:r>
        <w:rPr>
          <w:rFonts w:ascii="Garamond" w:hAnsi="Garamond"/>
        </w:rPr>
        <w:t>5</w:t>
      </w:r>
      <w:r w:rsidRPr="00D87AA5">
        <w:rPr>
          <w:rFonts w:ascii="Garamond" w:hAnsi="Garamond"/>
        </w:rPr>
        <w:t>).</w:t>
      </w:r>
    </w:p>
  </w:footnote>
  <w:footnote w:id="18">
    <w:p w14:paraId="593E7BED" w14:textId="77777777" w:rsidR="00FB18AA" w:rsidRPr="00210CFC" w:rsidRDefault="00FB18AA" w:rsidP="00FB18AA">
      <w:pPr>
        <w:pStyle w:val="FootnoteText"/>
        <w:jc w:val="both"/>
        <w:rPr>
          <w:rFonts w:ascii="Garamond" w:hAnsi="Garamond"/>
        </w:rPr>
      </w:pPr>
      <w:r w:rsidRPr="00210CFC">
        <w:rPr>
          <w:rStyle w:val="FootnoteReference"/>
          <w:rFonts w:ascii="Garamond" w:hAnsi="Garamond"/>
        </w:rPr>
        <w:footnoteRef/>
      </w:r>
      <w:r w:rsidRPr="00210CFC">
        <w:rPr>
          <w:rFonts w:ascii="Garamond" w:hAnsi="Garamond"/>
        </w:rPr>
        <w:t xml:space="preserve"> Christian Ikenna Umeanolue, “Religion and Marriage in the Book of Ruth: The</w:t>
      </w:r>
      <w:r>
        <w:rPr>
          <w:rFonts w:ascii="Garamond" w:hAnsi="Garamond"/>
        </w:rPr>
        <w:t xml:space="preserve"> </w:t>
      </w:r>
      <w:r w:rsidRPr="00210CFC">
        <w:rPr>
          <w:rFonts w:ascii="Garamond" w:hAnsi="Garamond"/>
        </w:rPr>
        <w:t xml:space="preserve">Implications for Contemporary Nigerian Christians,” </w:t>
      </w:r>
      <w:r w:rsidRPr="00210CFC">
        <w:rPr>
          <w:rFonts w:ascii="Garamond" w:hAnsi="Garamond"/>
          <w:i/>
          <w:iCs/>
        </w:rPr>
        <w:t>UJAH</w:t>
      </w:r>
      <w:r w:rsidRPr="00210CFC">
        <w:rPr>
          <w:rFonts w:ascii="Garamond" w:hAnsi="Garamond"/>
        </w:rPr>
        <w:t xml:space="preserve"> 12, no.2 (2011): 152-166; 165.</w:t>
      </w:r>
    </w:p>
  </w:footnote>
  <w:footnote w:id="19">
    <w:p w14:paraId="4D2516E7" w14:textId="77777777" w:rsidR="00FB18AA" w:rsidRPr="00D87AA5" w:rsidRDefault="00FB18AA" w:rsidP="00FB18AA">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Leonard D. Pivonka, “Ecumenical or Mixed Marriages in the New Code of Canon Law,” </w:t>
      </w:r>
      <w:r w:rsidRPr="00D87AA5">
        <w:rPr>
          <w:rFonts w:ascii="Garamond" w:hAnsi="Garamond"/>
          <w:i/>
          <w:iCs/>
        </w:rPr>
        <w:t xml:space="preserve">Jurist </w:t>
      </w:r>
      <w:r w:rsidRPr="00D87AA5">
        <w:rPr>
          <w:rFonts w:ascii="Garamond" w:hAnsi="Garamond"/>
        </w:rPr>
        <w:t>43, no.1 (1983): 103-124; 124.</w:t>
      </w:r>
    </w:p>
  </w:footnote>
  <w:footnote w:id="20">
    <w:p w14:paraId="22EC73A9" w14:textId="77777777" w:rsidR="00FB18AA" w:rsidRPr="007B4CD7" w:rsidRDefault="00FB18AA" w:rsidP="00FB18AA">
      <w:pPr>
        <w:pStyle w:val="FootnoteText"/>
        <w:jc w:val="both"/>
        <w:rPr>
          <w:lang w:val="en-US"/>
        </w:rPr>
      </w:pPr>
      <w:r>
        <w:rPr>
          <w:rStyle w:val="FootnoteReference"/>
        </w:rPr>
        <w:footnoteRef/>
      </w:r>
      <w:r>
        <w:t xml:space="preserve"> </w:t>
      </w:r>
      <w:r w:rsidRPr="000E3C91">
        <w:rPr>
          <w:rFonts w:ascii="Garamond" w:hAnsi="Garamond"/>
        </w:rPr>
        <w:t>John Prah, “</w:t>
      </w:r>
      <w:r w:rsidRPr="000E3C91">
        <w:rPr>
          <w:rFonts w:ascii="Garamond" w:hAnsi="Garamond"/>
          <w:i/>
          <w:iCs/>
        </w:rPr>
        <w:t>Communication in Sacris</w:t>
      </w:r>
      <w:r w:rsidRPr="000E3C91">
        <w:rPr>
          <w:rFonts w:ascii="Garamond" w:hAnsi="Garamond"/>
        </w:rPr>
        <w:t xml:space="preserve">: Present Trends,” 41-60, </w:t>
      </w:r>
      <w:r w:rsidRPr="000E3C91">
        <w:rPr>
          <w:rFonts w:ascii="Garamond" w:hAnsi="Garamond"/>
          <w:i/>
          <w:iCs/>
        </w:rPr>
        <w:t xml:space="preserve">Proceedings of the Catholic Theological Society of America </w:t>
      </w:r>
      <w:r w:rsidRPr="000E3C91">
        <w:rPr>
          <w:rFonts w:ascii="Garamond" w:hAnsi="Garamond"/>
        </w:rPr>
        <w:t>(Iowa: The Society, 1964), 60.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5E3EF1"/>
    <w:multiLevelType w:val="hybridMultilevel"/>
    <w:tmpl w:val="B37C21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89846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8AA"/>
    <w:rsid w:val="003B7F48"/>
    <w:rsid w:val="00490C32"/>
    <w:rsid w:val="00552337"/>
    <w:rsid w:val="00553D8F"/>
    <w:rsid w:val="00803626"/>
    <w:rsid w:val="00A22103"/>
    <w:rsid w:val="00A83E25"/>
    <w:rsid w:val="00CD7272"/>
    <w:rsid w:val="00FB18AA"/>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195A5C6B"/>
  <w15:chartTrackingRefBased/>
  <w15:docId w15:val="{94310242-2A44-C041-A728-629FF9A85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8AA"/>
  </w:style>
  <w:style w:type="paragraph" w:styleId="Heading1">
    <w:name w:val="heading 1"/>
    <w:basedOn w:val="Normal"/>
    <w:next w:val="Normal"/>
    <w:link w:val="Heading1Char"/>
    <w:uiPriority w:val="9"/>
    <w:qFormat/>
    <w:rsid w:val="00FB18A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B18A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B18A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B18A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B18A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B18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B18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18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18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18A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B18A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B18A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B18A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B18A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B18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18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18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18AA"/>
    <w:rPr>
      <w:rFonts w:eastAsiaTheme="majorEastAsia" w:cstheme="majorBidi"/>
      <w:color w:val="272727" w:themeColor="text1" w:themeTint="D8"/>
    </w:rPr>
  </w:style>
  <w:style w:type="paragraph" w:styleId="Title">
    <w:name w:val="Title"/>
    <w:basedOn w:val="Normal"/>
    <w:next w:val="Normal"/>
    <w:link w:val="TitleChar"/>
    <w:uiPriority w:val="10"/>
    <w:qFormat/>
    <w:rsid w:val="00FB18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18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18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18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18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B18AA"/>
    <w:rPr>
      <w:i/>
      <w:iCs/>
      <w:color w:val="404040" w:themeColor="text1" w:themeTint="BF"/>
    </w:rPr>
  </w:style>
  <w:style w:type="paragraph" w:styleId="ListParagraph">
    <w:name w:val="List Paragraph"/>
    <w:basedOn w:val="Normal"/>
    <w:uiPriority w:val="34"/>
    <w:qFormat/>
    <w:rsid w:val="00FB18AA"/>
    <w:pPr>
      <w:ind w:left="720"/>
      <w:contextualSpacing/>
    </w:pPr>
  </w:style>
  <w:style w:type="character" w:styleId="IntenseEmphasis">
    <w:name w:val="Intense Emphasis"/>
    <w:basedOn w:val="DefaultParagraphFont"/>
    <w:uiPriority w:val="21"/>
    <w:qFormat/>
    <w:rsid w:val="00FB18AA"/>
    <w:rPr>
      <w:i/>
      <w:iCs/>
      <w:color w:val="2F5496" w:themeColor="accent1" w:themeShade="BF"/>
    </w:rPr>
  </w:style>
  <w:style w:type="paragraph" w:styleId="IntenseQuote">
    <w:name w:val="Intense Quote"/>
    <w:basedOn w:val="Normal"/>
    <w:next w:val="Normal"/>
    <w:link w:val="IntenseQuoteChar"/>
    <w:uiPriority w:val="30"/>
    <w:qFormat/>
    <w:rsid w:val="00FB18A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B18AA"/>
    <w:rPr>
      <w:i/>
      <w:iCs/>
      <w:color w:val="2F5496" w:themeColor="accent1" w:themeShade="BF"/>
    </w:rPr>
  </w:style>
  <w:style w:type="character" w:styleId="IntenseReference">
    <w:name w:val="Intense Reference"/>
    <w:basedOn w:val="DefaultParagraphFont"/>
    <w:uiPriority w:val="32"/>
    <w:qFormat/>
    <w:rsid w:val="00FB18AA"/>
    <w:rPr>
      <w:b/>
      <w:bCs/>
      <w:smallCaps/>
      <w:color w:val="2F5496" w:themeColor="accent1" w:themeShade="BF"/>
      <w:spacing w:val="5"/>
    </w:rPr>
  </w:style>
  <w:style w:type="paragraph" w:styleId="FootnoteText">
    <w:name w:val="footnote text"/>
    <w:aliases w:val="Footnote Text Char Char"/>
    <w:basedOn w:val="Normal"/>
    <w:link w:val="FootnoteTextChar"/>
    <w:semiHidden/>
    <w:unhideWhenUsed/>
    <w:rsid w:val="00FB18AA"/>
    <w:rPr>
      <w:sz w:val="20"/>
      <w:szCs w:val="20"/>
    </w:rPr>
  </w:style>
  <w:style w:type="character" w:customStyle="1" w:styleId="FootnoteTextChar">
    <w:name w:val="Footnote Text Char"/>
    <w:aliases w:val="Footnote Text Char Char Char"/>
    <w:basedOn w:val="DefaultParagraphFont"/>
    <w:link w:val="FootnoteText"/>
    <w:semiHidden/>
    <w:rsid w:val="00FB18AA"/>
    <w:rPr>
      <w:sz w:val="20"/>
      <w:szCs w:val="20"/>
    </w:rPr>
  </w:style>
  <w:style w:type="character" w:styleId="FootnoteReference">
    <w:name w:val="footnote reference"/>
    <w:basedOn w:val="DefaultParagraphFont"/>
    <w:semiHidden/>
    <w:unhideWhenUsed/>
    <w:rsid w:val="00FB18AA"/>
    <w:rPr>
      <w:vertAlign w:val="superscript"/>
    </w:rPr>
  </w:style>
  <w:style w:type="character" w:customStyle="1" w:styleId="apple-converted-space">
    <w:name w:val="apple-converted-space"/>
    <w:basedOn w:val="DefaultParagraphFont"/>
    <w:rsid w:val="00FB18AA"/>
  </w:style>
  <w:style w:type="paragraph" w:styleId="Footer">
    <w:name w:val="footer"/>
    <w:basedOn w:val="Normal"/>
    <w:link w:val="FooterChar"/>
    <w:uiPriority w:val="99"/>
    <w:unhideWhenUsed/>
    <w:rsid w:val="00FB18AA"/>
    <w:pPr>
      <w:tabs>
        <w:tab w:val="center" w:pos="4513"/>
        <w:tab w:val="right" w:pos="9026"/>
      </w:tabs>
    </w:pPr>
  </w:style>
  <w:style w:type="character" w:customStyle="1" w:styleId="FooterChar">
    <w:name w:val="Footer Char"/>
    <w:basedOn w:val="DefaultParagraphFont"/>
    <w:link w:val="Footer"/>
    <w:uiPriority w:val="99"/>
    <w:rsid w:val="00FB18AA"/>
  </w:style>
  <w:style w:type="character" w:styleId="PageNumber">
    <w:name w:val="page number"/>
    <w:basedOn w:val="DefaultParagraphFont"/>
    <w:uiPriority w:val="99"/>
    <w:semiHidden/>
    <w:unhideWhenUsed/>
    <w:rsid w:val="00FB18AA"/>
  </w:style>
  <w:style w:type="character" w:styleId="Hyperlink">
    <w:name w:val="Hyperlink"/>
    <w:basedOn w:val="DefaultParagraphFont"/>
    <w:uiPriority w:val="99"/>
    <w:unhideWhenUsed/>
    <w:rsid w:val="00FB18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acninternational.org/religiousfreedomreport/"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4765</Words>
  <Characters>25589</Characters>
  <Application>Microsoft Office Word</Application>
  <DocSecurity>0</DocSecurity>
  <Lines>412</Lines>
  <Paragraphs>60</Paragraphs>
  <ScaleCrop>false</ScaleCrop>
  <Company/>
  <LinksUpToDate>false</LinksUpToDate>
  <CharactersWithSpaces>30294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3</cp:revision>
  <dcterms:created xsi:type="dcterms:W3CDTF">2025-04-16T13:21:00Z</dcterms:created>
  <dcterms:modified xsi:type="dcterms:W3CDTF">2025-04-16T13:56:00Z</dcterms:modified>
</cp:coreProperties>
</file>