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8432BE" w14:textId="77777777" w:rsidR="007A2F50" w:rsidRDefault="002A6D42" w:rsidP="006E5BAE">
      <w:pPr>
        <w:spacing w:line="360" w:lineRule="auto"/>
        <w:ind w:firstLine="425"/>
        <w:jc w:val="center"/>
        <w:rPr>
          <w:b/>
          <w:i/>
        </w:rPr>
      </w:pPr>
      <w:r w:rsidRPr="002A6D42">
        <w:rPr>
          <w:b/>
        </w:rPr>
        <w:t>L</w:t>
      </w:r>
      <w:r w:rsidR="008F49C7">
        <w:rPr>
          <w:b/>
        </w:rPr>
        <w:t>es fonction</w:t>
      </w:r>
      <w:r w:rsidR="007A2F50">
        <w:rPr>
          <w:b/>
        </w:rPr>
        <w:t>s</w:t>
      </w:r>
      <w:r w:rsidR="008F49C7">
        <w:rPr>
          <w:b/>
        </w:rPr>
        <w:t xml:space="preserve"> systémat</w:t>
      </w:r>
      <w:r w:rsidRPr="002A6D42">
        <w:rPr>
          <w:b/>
        </w:rPr>
        <w:t>ique</w:t>
      </w:r>
      <w:r w:rsidR="007A2F50">
        <w:rPr>
          <w:b/>
        </w:rPr>
        <w:t>s</w:t>
      </w:r>
      <w:r w:rsidRPr="002A6D42">
        <w:rPr>
          <w:b/>
        </w:rPr>
        <w:t xml:space="preserve"> de la </w:t>
      </w:r>
      <w:r w:rsidRPr="002A6D42">
        <w:rPr>
          <w:b/>
          <w:i/>
        </w:rPr>
        <w:t xml:space="preserve">summa divisio </w:t>
      </w:r>
    </w:p>
    <w:p w14:paraId="4E02C6FC" w14:textId="219B71B3" w:rsidR="006E3457" w:rsidRPr="002A6D42" w:rsidRDefault="002A6D42" w:rsidP="006E5BAE">
      <w:pPr>
        <w:spacing w:line="360" w:lineRule="auto"/>
        <w:ind w:firstLine="425"/>
        <w:jc w:val="center"/>
        <w:rPr>
          <w:b/>
        </w:rPr>
      </w:pPr>
      <w:r w:rsidRPr="002A6D42">
        <w:rPr>
          <w:b/>
        </w:rPr>
        <w:t>dans la philosophie</w:t>
      </w:r>
      <w:r w:rsidR="007A2F50">
        <w:rPr>
          <w:b/>
        </w:rPr>
        <w:t xml:space="preserve"> du droit</w:t>
      </w:r>
      <w:r w:rsidRPr="002A6D42">
        <w:rPr>
          <w:b/>
        </w:rPr>
        <w:t xml:space="preserve"> </w:t>
      </w:r>
      <w:r w:rsidR="007A2F50">
        <w:rPr>
          <w:b/>
        </w:rPr>
        <w:t>de Kant</w:t>
      </w:r>
    </w:p>
    <w:p w14:paraId="5B989919" w14:textId="77777777" w:rsidR="002A6D42" w:rsidRDefault="002A6D42" w:rsidP="004E6222">
      <w:pPr>
        <w:spacing w:line="360" w:lineRule="auto"/>
        <w:ind w:firstLine="425"/>
        <w:jc w:val="center"/>
      </w:pPr>
    </w:p>
    <w:p w14:paraId="51D5F784" w14:textId="3EA0645E" w:rsidR="004E6222" w:rsidRPr="004E6222" w:rsidRDefault="004E6222" w:rsidP="004E6222">
      <w:pPr>
        <w:spacing w:line="360" w:lineRule="auto"/>
        <w:ind w:firstLine="425"/>
        <w:jc w:val="center"/>
        <w:rPr>
          <w:i/>
        </w:rPr>
      </w:pPr>
      <w:r w:rsidRPr="004E6222">
        <w:rPr>
          <w:i/>
        </w:rPr>
        <w:t xml:space="preserve">Quentin Landenne, FNRS/Université Saint-Louis – Bruxelles </w:t>
      </w:r>
    </w:p>
    <w:p w14:paraId="4EA25315" w14:textId="77777777" w:rsidR="004E6222" w:rsidRDefault="004E6222" w:rsidP="006E5BAE">
      <w:pPr>
        <w:spacing w:line="360" w:lineRule="auto"/>
        <w:ind w:firstLine="425"/>
        <w:jc w:val="both"/>
      </w:pPr>
    </w:p>
    <w:p w14:paraId="1624E588" w14:textId="77777777" w:rsidR="00452386" w:rsidRDefault="00452386" w:rsidP="006E5BAE">
      <w:pPr>
        <w:spacing w:line="360" w:lineRule="auto"/>
        <w:ind w:firstLine="425"/>
        <w:jc w:val="both"/>
      </w:pPr>
    </w:p>
    <w:p w14:paraId="445A28A4" w14:textId="77777777" w:rsidR="004E6222" w:rsidRDefault="004E6222" w:rsidP="006E5BAE">
      <w:pPr>
        <w:spacing w:line="360" w:lineRule="auto"/>
        <w:ind w:firstLine="425"/>
        <w:jc w:val="both"/>
      </w:pPr>
    </w:p>
    <w:p w14:paraId="398C276C" w14:textId="77777777" w:rsidR="00B56952" w:rsidRDefault="004F0F10" w:rsidP="006E5BAE">
      <w:pPr>
        <w:spacing w:line="360" w:lineRule="auto"/>
        <w:ind w:firstLine="425"/>
        <w:jc w:val="both"/>
      </w:pPr>
      <w:r>
        <w:t xml:space="preserve">Ma contribution vise à clarifier le sens de la </w:t>
      </w:r>
      <w:r w:rsidRPr="004F0F10">
        <w:rPr>
          <w:i/>
        </w:rPr>
        <w:t>summa divisio</w:t>
      </w:r>
      <w:r>
        <w:t xml:space="preserve"> dans la philosophie du droit d’Immanuel Kant, que d’aucuns, à l’instar de Michel Troper</w:t>
      </w:r>
      <w:r w:rsidR="006D3123">
        <w:rPr>
          <w:rStyle w:val="Marquenotebasdepage"/>
        </w:rPr>
        <w:footnoteReference w:id="1"/>
      </w:r>
      <w:r>
        <w:t>, désignent comme l’un des</w:t>
      </w:r>
      <w:r w:rsidR="006D3123">
        <w:t xml:space="preserve"> premiers</w:t>
      </w:r>
      <w:r>
        <w:t xml:space="preserve"> philosophes</w:t>
      </w:r>
      <w:r w:rsidR="00DF4C29">
        <w:t xml:space="preserve"> modernes</w:t>
      </w:r>
      <w:r w:rsidR="006D3123">
        <w:t xml:space="preserve"> à avoir </w:t>
      </w:r>
      <w:r w:rsidR="006D63B6">
        <w:t xml:space="preserve">fondé en raison et </w:t>
      </w:r>
      <w:r w:rsidR="006D3123">
        <w:t xml:space="preserve">systématisé la distinction entre droit privé et droit public. Si l’on suit la périodisation proposée par Jérémie Van Meerbeeck dans </w:t>
      </w:r>
      <w:r w:rsidR="00AD413E">
        <w:t>le volume consacré à la distinction public/privé</w:t>
      </w:r>
      <w:r w:rsidR="00AD413E">
        <w:rPr>
          <w:rStyle w:val="Marquenotebasdepage"/>
        </w:rPr>
        <w:footnoteReference w:id="2"/>
      </w:r>
      <w:r w:rsidR="006D3123">
        <w:t>, Kant appartiendrait en effet au moment de l’émancipation du droit public</w:t>
      </w:r>
      <w:r w:rsidR="009C6CE8">
        <w:t>,</w:t>
      </w:r>
      <w:r w:rsidR="006D3123">
        <w:t xml:space="preserve"> qui ouvre la voie à l’accession au statut de </w:t>
      </w:r>
      <w:r w:rsidR="006D3123" w:rsidRPr="005132ED">
        <w:rPr>
          <w:i/>
        </w:rPr>
        <w:t>summa divisio</w:t>
      </w:r>
      <w:r w:rsidR="009C6CE8">
        <w:t xml:space="preserve">. Or, les </w:t>
      </w:r>
      <w:r w:rsidR="005132ED">
        <w:t>usage</w:t>
      </w:r>
      <w:r w:rsidR="009C6CE8">
        <w:t>s</w:t>
      </w:r>
      <w:r w:rsidR="005132ED">
        <w:t xml:space="preserve"> </w:t>
      </w:r>
      <w:r w:rsidR="009C6CE8">
        <w:t>répétés et significatifs</w:t>
      </w:r>
      <w:r w:rsidR="005132ED">
        <w:t xml:space="preserve"> que le </w:t>
      </w:r>
      <w:r w:rsidR="00670F62">
        <w:t>maître</w:t>
      </w:r>
      <w:r w:rsidR="005132ED">
        <w:t xml:space="preserve"> de Königsberg a pu faire des ter</w:t>
      </w:r>
      <w:r w:rsidR="009C6CE8">
        <w:t xml:space="preserve">mes </w:t>
      </w:r>
      <w:r w:rsidR="000862D3">
        <w:t>« </w:t>
      </w:r>
      <w:r w:rsidR="009C6CE8">
        <w:t>public</w:t>
      </w:r>
      <w:r w:rsidR="000862D3">
        <w:t> »</w:t>
      </w:r>
      <w:r w:rsidR="009C6CE8">
        <w:t xml:space="preserve"> et </w:t>
      </w:r>
      <w:r w:rsidR="000862D3">
        <w:t>« </w:t>
      </w:r>
      <w:r w:rsidR="009C6CE8">
        <w:t>privé</w:t>
      </w:r>
      <w:r w:rsidR="000862D3">
        <w:t> »</w:t>
      </w:r>
      <w:r w:rsidR="009C6CE8">
        <w:t xml:space="preserve"> ne laissent pas d’être complexes, méandreux et parfois même surprenant</w:t>
      </w:r>
      <w:r w:rsidR="002C443E">
        <w:t>s</w:t>
      </w:r>
      <w:r w:rsidR="009C6CE8">
        <w:t xml:space="preserve"> ou difficiles, notamment quand il se</w:t>
      </w:r>
      <w:r w:rsidR="00DF4C29">
        <w:t>mble assimiler le droit privé à l’état de nature</w:t>
      </w:r>
      <w:r w:rsidR="009C6CE8">
        <w:t xml:space="preserve">, comme cela avait été rappelé dans </w:t>
      </w:r>
      <w:r w:rsidR="00B56952">
        <w:t>le même article programme de Jérémie Van Meerbeeck</w:t>
      </w:r>
      <w:r w:rsidR="00563C67">
        <w:rPr>
          <w:rStyle w:val="Marquenotebasdepage"/>
        </w:rPr>
        <w:footnoteReference w:id="3"/>
      </w:r>
      <w:r w:rsidR="009C6CE8">
        <w:t xml:space="preserve">. </w:t>
      </w:r>
    </w:p>
    <w:p w14:paraId="5B32584B" w14:textId="5B90CE4F" w:rsidR="00A04A3E" w:rsidRDefault="009C6CE8" w:rsidP="006E5BAE">
      <w:pPr>
        <w:spacing w:line="360" w:lineRule="auto"/>
        <w:ind w:firstLine="425"/>
        <w:jc w:val="both"/>
      </w:pPr>
      <w:r>
        <w:t xml:space="preserve">J’aimerais aujourd’hui mettre au jour trois fonctions </w:t>
      </w:r>
      <w:r w:rsidR="00B56952">
        <w:t xml:space="preserve">systématiques </w:t>
      </w:r>
      <w:r>
        <w:t xml:space="preserve">différentes de la distinction public-privé dans la philosophie kantienne du droit, pour tenter de démêler ces difficultés et pour montrer que la </w:t>
      </w:r>
      <w:r w:rsidRPr="009C6CE8">
        <w:rPr>
          <w:i/>
        </w:rPr>
        <w:t>summa divisio</w:t>
      </w:r>
      <w:r>
        <w:t xml:space="preserve">, si elle est bien une division </w:t>
      </w:r>
      <w:r w:rsidRPr="007A6936">
        <w:rPr>
          <w:i/>
        </w:rPr>
        <w:t>du droit</w:t>
      </w:r>
      <w:r>
        <w:t xml:space="preserve"> et pas seulement</w:t>
      </w:r>
      <w:r w:rsidR="00670F62">
        <w:t xml:space="preserve"> une division</w:t>
      </w:r>
      <w:r>
        <w:t xml:space="preserve"> </w:t>
      </w:r>
      <w:r w:rsidRPr="007A6936">
        <w:rPr>
          <w:i/>
        </w:rPr>
        <w:t>des juristes</w:t>
      </w:r>
      <w:r w:rsidR="00B56952" w:rsidRPr="008273DC">
        <w:rPr>
          <w:rStyle w:val="Marquenotebasdepage"/>
        </w:rPr>
        <w:footnoteReference w:id="4"/>
      </w:r>
      <w:r w:rsidRPr="008273DC">
        <w:t>,</w:t>
      </w:r>
      <w:r>
        <w:t xml:space="preserve"> n’en demeure pas moins mouvante dans ses significations.</w:t>
      </w:r>
      <w:r w:rsidR="00261A0C">
        <w:t xml:space="preserve"> Cela nous permettra aussi de mieux comprendre le statut du concep</w:t>
      </w:r>
      <w:r w:rsidR="000C053A">
        <w:t>t de « droit humain »</w:t>
      </w:r>
      <w:r w:rsidR="008273DC">
        <w:t xml:space="preserve"> (</w:t>
      </w:r>
      <w:r w:rsidR="008273DC" w:rsidRPr="008273DC">
        <w:rPr>
          <w:i/>
        </w:rPr>
        <w:t>Menschenrecht</w:t>
      </w:r>
      <w:r w:rsidR="008273DC">
        <w:t>)</w:t>
      </w:r>
      <w:r w:rsidR="000C053A">
        <w:t xml:space="preserve"> chez Kant</w:t>
      </w:r>
      <w:r w:rsidR="00795CF8">
        <w:t xml:space="preserve"> et par là même, d’ajouter une pièce au dossier de la catégorisation des droits fondamentaux comme relevant du droit public ou du droit privé.</w:t>
      </w:r>
    </w:p>
    <w:p w14:paraId="2F33A1A4" w14:textId="77777777" w:rsidR="00A9069B" w:rsidRDefault="00A9069B" w:rsidP="006E5BAE">
      <w:pPr>
        <w:spacing w:line="360" w:lineRule="auto"/>
        <w:ind w:firstLine="425"/>
        <w:jc w:val="both"/>
      </w:pPr>
    </w:p>
    <w:p w14:paraId="6EFBDFBE" w14:textId="3590805E" w:rsidR="004E6222" w:rsidRPr="004E6222" w:rsidRDefault="00670F62" w:rsidP="006D63B6">
      <w:pPr>
        <w:spacing w:line="360" w:lineRule="auto"/>
        <w:ind w:firstLine="425"/>
        <w:jc w:val="both"/>
        <w:rPr>
          <w:i/>
        </w:rPr>
      </w:pPr>
      <w:r w:rsidRPr="004E6222">
        <w:rPr>
          <w:i/>
        </w:rPr>
        <w:t xml:space="preserve">1. </w:t>
      </w:r>
      <w:r w:rsidR="004E6222" w:rsidRPr="004E6222">
        <w:rPr>
          <w:i/>
        </w:rPr>
        <w:t>La fonction s</w:t>
      </w:r>
      <w:r w:rsidR="0097408B">
        <w:rPr>
          <w:i/>
        </w:rPr>
        <w:t>tructurale de la division : axe</w:t>
      </w:r>
      <w:r w:rsidR="004E6222" w:rsidRPr="004E6222">
        <w:rPr>
          <w:i/>
        </w:rPr>
        <w:t xml:space="preserve"> horizontal et </w:t>
      </w:r>
      <w:r w:rsidR="0097408B">
        <w:rPr>
          <w:i/>
        </w:rPr>
        <w:t xml:space="preserve">axe </w:t>
      </w:r>
      <w:r w:rsidR="004E6222" w:rsidRPr="004E6222">
        <w:rPr>
          <w:i/>
        </w:rPr>
        <w:t>vertical de la liberté</w:t>
      </w:r>
    </w:p>
    <w:p w14:paraId="51558789" w14:textId="4FC36DD7" w:rsidR="00846A98" w:rsidRDefault="006D63B6" w:rsidP="006D63B6">
      <w:pPr>
        <w:spacing w:line="360" w:lineRule="auto"/>
        <w:ind w:firstLine="425"/>
        <w:jc w:val="both"/>
      </w:pPr>
      <w:r>
        <w:t>La r</w:t>
      </w:r>
      <w:r w:rsidR="00846A98">
        <w:t xml:space="preserve">eprise </w:t>
      </w:r>
      <w:r>
        <w:t xml:space="preserve">la plus directement visible </w:t>
      </w:r>
      <w:r w:rsidR="00846A98">
        <w:t xml:space="preserve">de la </w:t>
      </w:r>
      <w:r w:rsidR="00846A98" w:rsidRPr="00846A98">
        <w:rPr>
          <w:i/>
        </w:rPr>
        <w:t>summa divisio</w:t>
      </w:r>
      <w:r w:rsidR="00846A98">
        <w:t xml:space="preserve"> </w:t>
      </w:r>
      <w:r>
        <w:t>chez Kant se trouve sans doute dans le p</w:t>
      </w:r>
      <w:r w:rsidR="000862D3">
        <w:t>lan</w:t>
      </w:r>
      <w:r w:rsidR="00846A98">
        <w:t xml:space="preserve"> de sa </w:t>
      </w:r>
      <w:r w:rsidR="00846A98" w:rsidRPr="00846A98">
        <w:rPr>
          <w:i/>
        </w:rPr>
        <w:t>Doctrine du droit</w:t>
      </w:r>
      <w:r w:rsidR="00846A98">
        <w:t xml:space="preserve"> de 1797</w:t>
      </w:r>
      <w:r>
        <w:t>, divisé</w:t>
      </w:r>
      <w:r w:rsidR="00583848">
        <w:t xml:space="preserve"> en une première partie consacrée au droit privé et une seconde au droit public. Certes cette division</w:t>
      </w:r>
      <w:r w:rsidR="00846A98">
        <w:t xml:space="preserve"> a</w:t>
      </w:r>
      <w:r w:rsidR="00644E97">
        <w:t xml:space="preserve"> déjà</w:t>
      </w:r>
      <w:r w:rsidR="00846A98">
        <w:t xml:space="preserve"> le mérite de fournir un cadre </w:t>
      </w:r>
      <w:r w:rsidR="00DD7777">
        <w:t>général</w:t>
      </w:r>
      <w:r w:rsidR="00846A98">
        <w:t xml:space="preserve"> pour</w:t>
      </w:r>
      <w:r w:rsidR="00DC2AA5">
        <w:t xml:space="preserve"> mettre en ordre </w:t>
      </w:r>
      <w:r w:rsidR="00846A98">
        <w:t>le droit positif</w:t>
      </w:r>
      <w:r w:rsidR="00583848">
        <w:t xml:space="preserve"> tel qu’il existe</w:t>
      </w:r>
      <w:r w:rsidR="00846A98">
        <w:t>.</w:t>
      </w:r>
      <w:r w:rsidR="00027737">
        <w:t xml:space="preserve"> </w:t>
      </w:r>
      <w:r w:rsidR="00846A98">
        <w:t>Mais</w:t>
      </w:r>
      <w:r w:rsidR="006E5BAE">
        <w:t xml:space="preserve"> au-</w:t>
      </w:r>
      <w:r w:rsidR="00583848">
        <w:t>delà de la question</w:t>
      </w:r>
      <w:r w:rsidR="00846A98">
        <w:t xml:space="preserve"> de </w:t>
      </w:r>
      <w:r w:rsidR="00846A98" w:rsidRPr="005F1343">
        <w:t xml:space="preserve">ce </w:t>
      </w:r>
      <w:r w:rsidR="00846A98" w:rsidRPr="005F1343">
        <w:rPr>
          <w:i/>
        </w:rPr>
        <w:t xml:space="preserve">qu’est </w:t>
      </w:r>
      <w:r w:rsidR="00846A98">
        <w:t>le droit</w:t>
      </w:r>
      <w:r w:rsidR="005F1343">
        <w:t xml:space="preserve"> </w:t>
      </w:r>
      <w:r w:rsidR="000862D3" w:rsidRPr="000862D3">
        <w:t>comme</w:t>
      </w:r>
      <w:r w:rsidR="00846A98">
        <w:t xml:space="preserve"> fait </w:t>
      </w:r>
      <w:r w:rsidR="005F1343">
        <w:t xml:space="preserve">normatif </w:t>
      </w:r>
      <w:r w:rsidR="00846A98">
        <w:t xml:space="preserve">empirique, </w:t>
      </w:r>
      <w:r w:rsidR="00DC2AA5">
        <w:t>ce qui intéresse Kant</w:t>
      </w:r>
      <w:r w:rsidR="008F49C7">
        <w:t>,</w:t>
      </w:r>
      <w:r w:rsidR="00DC2AA5">
        <w:t xml:space="preserve"> c’est la </w:t>
      </w:r>
      <w:r w:rsidR="00846A98">
        <w:t xml:space="preserve">question </w:t>
      </w:r>
      <w:r w:rsidR="00846A98">
        <w:lastRenderedPageBreak/>
        <w:t xml:space="preserve">transcendantale </w:t>
      </w:r>
      <w:r>
        <w:t>du fondement apriori</w:t>
      </w:r>
      <w:r w:rsidR="00846A98">
        <w:t xml:space="preserve"> de la validité du droit, de ce que </w:t>
      </w:r>
      <w:r w:rsidR="00846A98" w:rsidRPr="006E5BAE">
        <w:rPr>
          <w:i/>
        </w:rPr>
        <w:t>doit être</w:t>
      </w:r>
      <w:r w:rsidR="00846A98">
        <w:t xml:space="preserve"> le droit</w:t>
      </w:r>
      <w:r w:rsidR="00AB0649" w:rsidRPr="007A6936">
        <w:rPr>
          <w:rStyle w:val="Marquenotebasdepage"/>
        </w:rPr>
        <w:footnoteReference w:id="5"/>
      </w:r>
      <w:r w:rsidRPr="007A6936">
        <w:t>.</w:t>
      </w:r>
      <w:r>
        <w:t xml:space="preserve"> La division prend</w:t>
      </w:r>
      <w:r w:rsidR="006E5BAE">
        <w:t xml:space="preserve"> alors</w:t>
      </w:r>
      <w:r w:rsidR="00846A98">
        <w:t xml:space="preserve"> une fonction plus fondamentale que celle d’une simple </w:t>
      </w:r>
      <w:r w:rsidR="00583848">
        <w:t xml:space="preserve">classification disciplinaire ou </w:t>
      </w:r>
      <w:r w:rsidR="00DC2AA5">
        <w:t>didactique</w:t>
      </w:r>
      <w:r w:rsidR="00846A98">
        <w:t>.</w:t>
      </w:r>
    </w:p>
    <w:p w14:paraId="252EA654" w14:textId="7FC59103" w:rsidR="00846A98" w:rsidRDefault="00846A98" w:rsidP="006E5BAE">
      <w:pPr>
        <w:spacing w:line="360" w:lineRule="auto"/>
        <w:ind w:firstLine="425"/>
        <w:jc w:val="both"/>
      </w:pPr>
      <w:r>
        <w:t>Si le</w:t>
      </w:r>
      <w:r w:rsidR="00DD4C57">
        <w:t xml:space="preserve"> concept</w:t>
      </w:r>
      <w:r w:rsidR="00426E12">
        <w:t xml:space="preserve"> de</w:t>
      </w:r>
      <w:r>
        <w:t xml:space="preserve"> droit doit avoir une validité</w:t>
      </w:r>
      <w:r w:rsidR="00DD4C57">
        <w:t xml:space="preserve"> </w:t>
      </w:r>
      <w:r w:rsidR="00DD4C57" w:rsidRPr="00DD4C57">
        <w:t>apriori</w:t>
      </w:r>
      <w:r w:rsidR="00DD4C57">
        <w:t>, méta-empirique ou transpositive, il</w:t>
      </w:r>
      <w:r>
        <w:t xml:space="preserve"> doit se fonder sur le principe fondamental</w:t>
      </w:r>
      <w:r w:rsidR="006E5BAE">
        <w:t xml:space="preserve"> </w:t>
      </w:r>
      <w:r w:rsidR="007F0604">
        <w:t>de la raison pratique. P</w:t>
      </w:r>
      <w:r w:rsidR="00261A0C">
        <w:t>our le philosophe idéaliste</w:t>
      </w:r>
      <w:r w:rsidR="00F16419">
        <w:t>,</w:t>
      </w:r>
      <w:r w:rsidR="007F0604">
        <w:t xml:space="preserve"> ce principe est</w:t>
      </w:r>
      <w:r w:rsidR="006E5BAE">
        <w:t xml:space="preserve"> l’autonomie de la volonté, c’est-à-dire le postulat (théoriquement indémontrable</w:t>
      </w:r>
      <w:r w:rsidR="00426E12">
        <w:t>,</w:t>
      </w:r>
      <w:r w:rsidR="006E5BAE">
        <w:t xml:space="preserve"> mais pratiquement nécessaire</w:t>
      </w:r>
      <w:r w:rsidR="00DD4C57">
        <w:t>)</w:t>
      </w:r>
      <w:r w:rsidR="006E5BAE">
        <w:t xml:space="preserve"> de l’autodétermination rationnelle du </w:t>
      </w:r>
      <w:r w:rsidR="00DD4C57">
        <w:t>vouloir par une loi universelle</w:t>
      </w:r>
      <w:r w:rsidR="006E5BAE">
        <w:t xml:space="preserve">. Ce postulat de la raison pratique </w:t>
      </w:r>
      <w:r w:rsidR="005F1343">
        <w:t>appelle</w:t>
      </w:r>
      <w:r w:rsidR="006E5BAE">
        <w:t xml:space="preserve"> une série de distinctions épistémologiques. La </w:t>
      </w:r>
      <w:r w:rsidR="005537D0">
        <w:t xml:space="preserve">distinction la </w:t>
      </w:r>
      <w:r w:rsidR="006E5BAE">
        <w:t xml:space="preserve">plus </w:t>
      </w:r>
      <w:r w:rsidR="007321B0">
        <w:t>large</w:t>
      </w:r>
      <w:r w:rsidR="006E5BAE">
        <w:t xml:space="preserve"> concerne le</w:t>
      </w:r>
      <w:r w:rsidR="00DD4C57">
        <w:t>s</w:t>
      </w:r>
      <w:r w:rsidR="006E5BAE">
        <w:t xml:space="preserve"> domaine</w:t>
      </w:r>
      <w:r w:rsidR="00DD4C57">
        <w:t>s</w:t>
      </w:r>
      <w:r w:rsidR="006E5BAE">
        <w:t xml:space="preserve"> d’application de l’autonomie de la volonté, selon qu’elle constitue la détermination interne</w:t>
      </w:r>
      <w:r w:rsidR="00DD4C57">
        <w:t xml:space="preserve"> ou intime</w:t>
      </w:r>
      <w:r w:rsidR="006E5BAE">
        <w:t xml:space="preserve"> de la volonté (c’est</w:t>
      </w:r>
      <w:r w:rsidR="00F16419">
        <w:t xml:space="preserve"> là</w:t>
      </w:r>
      <w:r w:rsidR="006E5BAE">
        <w:t xml:space="preserve"> le domaine de la morale), ou</w:t>
      </w:r>
      <w:r w:rsidR="00F16419">
        <w:t xml:space="preserve"> qu’elle opère comme</w:t>
      </w:r>
      <w:r w:rsidR="006E5BAE">
        <w:t xml:space="preserve"> la détermination externe de la volonté telle qu’elle peut se manifester et se laisser contraindre à travers le</w:t>
      </w:r>
      <w:r w:rsidR="00DD4C57">
        <w:t>s</w:t>
      </w:r>
      <w:r w:rsidR="006E5BAE">
        <w:t xml:space="preserve"> corps (c’est</w:t>
      </w:r>
      <w:r w:rsidR="00F16419">
        <w:t xml:space="preserve"> là</w:t>
      </w:r>
      <w:r w:rsidR="006E5BAE">
        <w:t xml:space="preserve"> le domaine du droit)</w:t>
      </w:r>
      <w:r w:rsidR="00DC358A">
        <w:rPr>
          <w:rStyle w:val="Marquenotebasdepage"/>
        </w:rPr>
        <w:footnoteReference w:id="6"/>
      </w:r>
      <w:r w:rsidR="006E5BAE">
        <w:t xml:space="preserve">. </w:t>
      </w:r>
      <w:r w:rsidR="00644E97">
        <w:t xml:space="preserve">Ensuite, </w:t>
      </w:r>
      <w:r w:rsidR="004F2FF4">
        <w:t>d</w:t>
      </w:r>
      <w:r w:rsidR="00DD4C57">
        <w:t>u point de vue sensible</w:t>
      </w:r>
      <w:r w:rsidR="00644E97">
        <w:t xml:space="preserve"> ou phénoménal</w:t>
      </w:r>
      <w:r w:rsidR="00DD4C57">
        <w:t>, l’autonomie de la volonté se manifeste par les corps</w:t>
      </w:r>
      <w:r w:rsidR="004F2FF4">
        <w:t xml:space="preserve"> selon</w:t>
      </w:r>
      <w:r w:rsidR="00DD4C57">
        <w:t xml:space="preserve"> deux aspects</w:t>
      </w:r>
      <w:r w:rsidR="00426E12">
        <w:t xml:space="preserve"> </w:t>
      </w:r>
      <w:r w:rsidR="004F2FF4">
        <w:t>distincts</w:t>
      </w:r>
      <w:r w:rsidR="004E6222">
        <w:t> :</w:t>
      </w:r>
      <w:r w:rsidR="00DD4C57">
        <w:t xml:space="preserve"> sous l’aspect de la </w:t>
      </w:r>
      <w:r w:rsidR="00DD4C57" w:rsidRPr="00E810A5">
        <w:rPr>
          <w:i/>
        </w:rPr>
        <w:t>pluralité</w:t>
      </w:r>
      <w:r w:rsidR="00DD4C57">
        <w:t xml:space="preserve"> des volontés individuelles</w:t>
      </w:r>
      <w:r w:rsidR="00E25366">
        <w:t xml:space="preserve"> unilatérales</w:t>
      </w:r>
      <w:r w:rsidR="005A2731">
        <w:t xml:space="preserve"> et bilatérales</w:t>
      </w:r>
      <w:r w:rsidR="00DD4C57">
        <w:t xml:space="preserve"> (c’est le libre arbitre des sujets de droit</w:t>
      </w:r>
      <w:r w:rsidR="00E810A5">
        <w:t xml:space="preserve"> particuliers</w:t>
      </w:r>
      <w:r w:rsidR="00DD4C57">
        <w:t xml:space="preserve">) ou sous l’aspect de la </w:t>
      </w:r>
      <w:r w:rsidR="00DD4C57" w:rsidRPr="00E810A5">
        <w:rPr>
          <w:i/>
        </w:rPr>
        <w:t>t</w:t>
      </w:r>
      <w:r w:rsidR="00DC2AA5" w:rsidRPr="00E810A5">
        <w:rPr>
          <w:i/>
        </w:rPr>
        <w:t>otalité</w:t>
      </w:r>
      <w:r w:rsidR="00DC2AA5">
        <w:t xml:space="preserve"> des volontés</w:t>
      </w:r>
      <w:r w:rsidR="00E25366">
        <w:t xml:space="preserve"> </w:t>
      </w:r>
      <w:r w:rsidR="005F1343">
        <w:t xml:space="preserve">collectivement unifiées ou </w:t>
      </w:r>
      <w:r w:rsidR="00E25366">
        <w:t>« omnilatérales » (</w:t>
      </w:r>
      <w:r w:rsidR="00E25366" w:rsidRPr="00E25366">
        <w:rPr>
          <w:i/>
        </w:rPr>
        <w:t>allseitig</w:t>
      </w:r>
      <w:r w:rsidR="005F1343">
        <w:t xml:space="preserve">) </w:t>
      </w:r>
      <w:r w:rsidR="00F46E09">
        <w:t>(c’est la souveraineté</w:t>
      </w:r>
      <w:r w:rsidR="00DD4C57">
        <w:t xml:space="preserve">, </w:t>
      </w:r>
      <w:r w:rsidR="00E25366">
        <w:t>soit</w:t>
      </w:r>
      <w:r w:rsidR="00DD4C57">
        <w:t xml:space="preserve"> la libre v</w:t>
      </w:r>
      <w:r w:rsidR="00DE7DCC">
        <w:t>olonté d’un peuple institué en É</w:t>
      </w:r>
      <w:r w:rsidR="00DD4C57">
        <w:t>tat)</w:t>
      </w:r>
      <w:r w:rsidR="00C815BC">
        <w:rPr>
          <w:rStyle w:val="Marquenotebasdepage"/>
        </w:rPr>
        <w:footnoteReference w:id="7"/>
      </w:r>
      <w:r w:rsidR="00DD4C57">
        <w:t xml:space="preserve">. </w:t>
      </w:r>
    </w:p>
    <w:p w14:paraId="09AFA495" w14:textId="480E1376" w:rsidR="00426E12" w:rsidRDefault="00426E12" w:rsidP="006E5BAE">
      <w:pPr>
        <w:spacing w:line="360" w:lineRule="auto"/>
        <w:ind w:firstLine="425"/>
        <w:jc w:val="both"/>
      </w:pPr>
      <w:r>
        <w:t>C</w:t>
      </w:r>
      <w:r w:rsidR="00E810A5">
        <w:t xml:space="preserve">ette </w:t>
      </w:r>
      <w:r>
        <w:t xml:space="preserve">dernière distinction des aspects de la manifestation sensible </w:t>
      </w:r>
      <w:r w:rsidR="00E810A5">
        <w:t xml:space="preserve">de l’autonomie de la volonté nous donne ainsi une première </w:t>
      </w:r>
      <w:r w:rsidR="006E2140">
        <w:t>justification</w:t>
      </w:r>
      <w:r w:rsidR="00DC2AA5">
        <w:t xml:space="preserve"> transcendantale de la division entre droit public et droit privé dans la </w:t>
      </w:r>
      <w:r w:rsidR="000C053A">
        <w:rPr>
          <w:i/>
        </w:rPr>
        <w:t xml:space="preserve">Doctrine du droit </w:t>
      </w:r>
      <w:r w:rsidR="00DC2AA5">
        <w:t>kantienne</w:t>
      </w:r>
      <w:r w:rsidR="00027737">
        <w:t xml:space="preserve"> : les deux branches du droit structurent </w:t>
      </w:r>
      <w:r w:rsidR="008342E7">
        <w:t xml:space="preserve">la distinction des aspects fondamentaux sous lesquels la liberté </w:t>
      </w:r>
      <w:r w:rsidR="00E9624E">
        <w:t xml:space="preserve">peut </w:t>
      </w:r>
      <w:r w:rsidR="008342E7">
        <w:t>se manifeste</w:t>
      </w:r>
      <w:r w:rsidR="00E9624E">
        <w:t>r</w:t>
      </w:r>
      <w:r w:rsidR="00F16419">
        <w:t xml:space="preserve">, le droit privé encadrant la liberté comme pluralité des volontés individuelles, le droit public assumant la liberté comme totalité des volontés </w:t>
      </w:r>
      <w:r w:rsidR="00DE7DCC">
        <w:t>unifiées en un É</w:t>
      </w:r>
      <w:r w:rsidR="00F46E09">
        <w:t>tat souverain</w:t>
      </w:r>
      <w:r w:rsidR="00DC2AA5">
        <w:t>.</w:t>
      </w:r>
      <w:r w:rsidR="007321B0">
        <w:t xml:space="preserve"> </w:t>
      </w:r>
      <w:r w:rsidR="003676E0">
        <w:t xml:space="preserve">Dans ce contexte, </w:t>
      </w:r>
      <w:r w:rsidR="00132315">
        <w:t>public</w:t>
      </w:r>
      <w:r w:rsidR="003676E0">
        <w:t xml:space="preserve"> et privé s’opposent donc </w:t>
      </w:r>
      <w:r w:rsidR="00E9624E">
        <w:t xml:space="preserve">comme les </w:t>
      </w:r>
      <w:r w:rsidR="00D14FC2">
        <w:t>deux axes</w:t>
      </w:r>
      <w:r w:rsidR="00E9624E">
        <w:t xml:space="preserve"> complémentaires</w:t>
      </w:r>
      <w:r w:rsidR="00D14FC2">
        <w:t xml:space="preserve"> de la relation juridique : </w:t>
      </w:r>
      <w:r w:rsidR="00E9624E">
        <w:t>l’</w:t>
      </w:r>
      <w:r w:rsidR="00691ABF">
        <w:t xml:space="preserve">axe horizontal de la </w:t>
      </w:r>
      <w:r w:rsidR="00D14FC2">
        <w:t>coordination des arbitres</w:t>
      </w:r>
      <w:r w:rsidR="00691ABF">
        <w:t xml:space="preserve"> particuliers</w:t>
      </w:r>
      <w:r w:rsidR="00E33B33">
        <w:t xml:space="preserve"> entre eux</w:t>
      </w:r>
      <w:r w:rsidR="00D14FC2">
        <w:t xml:space="preserve"> et </w:t>
      </w:r>
      <w:r w:rsidR="00691ABF">
        <w:t xml:space="preserve">l’axe vertical de la </w:t>
      </w:r>
      <w:r w:rsidR="00D14FC2">
        <w:t xml:space="preserve">subordination des arbitres </w:t>
      </w:r>
      <w:r w:rsidR="000045DD">
        <w:t>à la loi ou au s</w:t>
      </w:r>
      <w:r w:rsidR="00D14FC2">
        <w:t>ouverain</w:t>
      </w:r>
      <w:r w:rsidR="00691ABF">
        <w:t xml:space="preserve"> en tant qu’il représente la volonté générale</w:t>
      </w:r>
      <w:r w:rsidR="0046684E">
        <w:rPr>
          <w:rStyle w:val="Marquenotebasdepage"/>
        </w:rPr>
        <w:footnoteReference w:id="8"/>
      </w:r>
      <w:r w:rsidR="00E9624E">
        <w:t>.</w:t>
      </w:r>
      <w:r w:rsidR="00D14FC2">
        <w:t xml:space="preserve"> </w:t>
      </w:r>
      <w:r w:rsidR="007321B0">
        <w:t>Pourtant, si une telle</w:t>
      </w:r>
      <w:r w:rsidR="001A2B7E">
        <w:t xml:space="preserve"> </w:t>
      </w:r>
      <w:r w:rsidR="007321B0">
        <w:t>conception</w:t>
      </w:r>
      <w:r w:rsidR="001A2B7E">
        <w:t xml:space="preserve"> de la </w:t>
      </w:r>
      <w:r w:rsidR="001A2B7E" w:rsidRPr="00027737">
        <w:rPr>
          <w:i/>
        </w:rPr>
        <w:t>summa divisio</w:t>
      </w:r>
      <w:r w:rsidR="00BD5200">
        <w:t>, assez proche de celle des juristes</w:t>
      </w:r>
      <w:r w:rsidR="00F46E09">
        <w:t>,</w:t>
      </w:r>
      <w:r w:rsidR="00BD5200">
        <w:t xml:space="preserve"> </w:t>
      </w:r>
      <w:r w:rsidR="00F57DE8">
        <w:t>est</w:t>
      </w:r>
      <w:r w:rsidR="005537D0">
        <w:t xml:space="preserve"> effectivement </w:t>
      </w:r>
      <w:r w:rsidR="00F57DE8">
        <w:t xml:space="preserve">sous-jacente </w:t>
      </w:r>
      <w:r w:rsidR="007F4262">
        <w:t>à la structure</w:t>
      </w:r>
      <w:r w:rsidR="005537D0">
        <w:t xml:space="preserve"> </w:t>
      </w:r>
      <w:r w:rsidR="007F4262">
        <w:t xml:space="preserve">générale </w:t>
      </w:r>
      <w:r w:rsidR="005537D0">
        <w:t>du texte</w:t>
      </w:r>
      <w:r w:rsidR="001A2B7E">
        <w:t xml:space="preserve">, ce n’est pas cette </w:t>
      </w:r>
      <w:r w:rsidR="001A2B7E">
        <w:lastRenderedPageBreak/>
        <w:t xml:space="preserve">signification </w:t>
      </w:r>
      <w:r w:rsidR="00027737">
        <w:t>structurelle q</w:t>
      </w:r>
      <w:r w:rsidR="004A23F3">
        <w:t>ue Kant lui donne</w:t>
      </w:r>
      <w:r w:rsidR="008342E7">
        <w:t xml:space="preserve"> dans l’I</w:t>
      </w:r>
      <w:r w:rsidR="001A2B7E">
        <w:t>ntroduction, où la première occurrence explicite de la division</w:t>
      </w:r>
      <w:r w:rsidR="00027737">
        <w:t xml:space="preserve"> public-privé</w:t>
      </w:r>
      <w:r w:rsidR="001A2B7E">
        <w:t xml:space="preserve"> trouve un</w:t>
      </w:r>
      <w:r w:rsidR="00027737">
        <w:t>e acception</w:t>
      </w:r>
      <w:r w:rsidR="001A2B7E">
        <w:t xml:space="preserve"> </w:t>
      </w:r>
      <w:r w:rsidR="00027737">
        <w:t xml:space="preserve">assez </w:t>
      </w:r>
      <w:r w:rsidR="008342E7">
        <w:t>différent</w:t>
      </w:r>
      <w:r w:rsidR="004E6222">
        <w:t>e et surprenante.</w:t>
      </w:r>
    </w:p>
    <w:p w14:paraId="04D2D969" w14:textId="77777777" w:rsidR="004E6222" w:rsidRDefault="004E6222" w:rsidP="006E5BAE">
      <w:pPr>
        <w:spacing w:line="360" w:lineRule="auto"/>
        <w:ind w:firstLine="425"/>
        <w:jc w:val="both"/>
      </w:pPr>
    </w:p>
    <w:p w14:paraId="27EB3809" w14:textId="6757611B" w:rsidR="004E6222" w:rsidRPr="0097408B" w:rsidRDefault="00670F62" w:rsidP="006E5BAE">
      <w:pPr>
        <w:spacing w:line="360" w:lineRule="auto"/>
        <w:ind w:firstLine="425"/>
        <w:jc w:val="both"/>
        <w:rPr>
          <w:i/>
        </w:rPr>
      </w:pPr>
      <w:r w:rsidRPr="0097408B">
        <w:rPr>
          <w:i/>
        </w:rPr>
        <w:t xml:space="preserve">2. </w:t>
      </w:r>
      <w:r w:rsidR="0097408B" w:rsidRPr="0097408B">
        <w:rPr>
          <w:i/>
        </w:rPr>
        <w:t xml:space="preserve">La fonction </w:t>
      </w:r>
      <w:r w:rsidR="00DE7DCC">
        <w:rPr>
          <w:i/>
        </w:rPr>
        <w:t>génétiqu</w:t>
      </w:r>
      <w:r w:rsidR="0097408B" w:rsidRPr="0097408B">
        <w:rPr>
          <w:i/>
        </w:rPr>
        <w:t>e de la division : droit provisoire et droit péremptoire</w:t>
      </w:r>
    </w:p>
    <w:p w14:paraId="5F9CB5FE" w14:textId="08320F3D" w:rsidR="00E908CC" w:rsidRDefault="00801E8E" w:rsidP="006E5BAE">
      <w:pPr>
        <w:spacing w:line="360" w:lineRule="auto"/>
        <w:ind w:firstLine="425"/>
        <w:jc w:val="both"/>
      </w:pPr>
      <w:r>
        <w:t>Après avoir rappelé que la doctrine du droit inclut, d’un côté, l’étude systématique du droit positif et, de l’autre, le système du droit pur ou du droit naturel, soit des principes rationnels immuables de toute législation positive, Kant pose que la « division suprême du droit naturel » oppose l’état de</w:t>
      </w:r>
      <w:r w:rsidR="00E908CC">
        <w:t xml:space="preserve"> nature à l’état civil –</w:t>
      </w:r>
      <w:r>
        <w:t xml:space="preserve"> </w:t>
      </w:r>
      <w:r w:rsidR="005F1343">
        <w:t>qu’il ne faut</w:t>
      </w:r>
      <w:r w:rsidR="00011516">
        <w:t xml:space="preserve"> pas confondre, comme le font bien des commentateurs</w:t>
      </w:r>
      <w:r w:rsidR="00011516">
        <w:rPr>
          <w:rStyle w:val="Marquenotebasdepage"/>
        </w:rPr>
        <w:footnoteReference w:id="9"/>
      </w:r>
      <w:r w:rsidR="00011516">
        <w:t>, avec</w:t>
      </w:r>
      <w:r>
        <w:t xml:space="preserve"> l’état </w:t>
      </w:r>
      <w:r w:rsidRPr="005F1343">
        <w:rPr>
          <w:i/>
        </w:rPr>
        <w:t>social</w:t>
      </w:r>
      <w:r>
        <w:t>, car</w:t>
      </w:r>
      <w:r w:rsidR="00011516">
        <w:t xml:space="preserve"> pour le philosophe allemand</w:t>
      </w:r>
      <w:r w:rsidR="004E6222">
        <w:t>,</w:t>
      </w:r>
      <w:r>
        <w:t xml:space="preserve"> même dans l’état de nature, il existe des formes de socialité et de normativité entre les individus. Or, étonnamment, Kant qualifie cette normativité propre à l’état pré-civil ou naturel de « droit privé »</w:t>
      </w:r>
      <w:r w:rsidR="006C42CD">
        <w:t>, réservant au « droit public » le statut de droit dans l’état civil (</w:t>
      </w:r>
      <w:r w:rsidR="006C42CD" w:rsidRPr="006C42CD">
        <w:rPr>
          <w:i/>
        </w:rPr>
        <w:t>bürgerlich</w:t>
      </w:r>
      <w:r w:rsidR="006C42CD">
        <w:t>)</w:t>
      </w:r>
      <w:r w:rsidR="00021917">
        <w:rPr>
          <w:rStyle w:val="Marquenotebasdepage"/>
        </w:rPr>
        <w:footnoteReference w:id="10"/>
      </w:r>
      <w:r w:rsidR="006C42CD">
        <w:t xml:space="preserve">. </w:t>
      </w:r>
      <w:r w:rsidR="00712A91">
        <w:t xml:space="preserve">Cette </w:t>
      </w:r>
      <w:r w:rsidR="00E908CC">
        <w:t>identification</w:t>
      </w:r>
      <w:r w:rsidR="00712A91">
        <w:t xml:space="preserve"> apparente entre droit </w:t>
      </w:r>
      <w:r w:rsidR="005811C8">
        <w:t>à l’état de nature</w:t>
      </w:r>
      <w:r w:rsidR="00712A91">
        <w:t xml:space="preserve"> et droit privé a</w:t>
      </w:r>
      <w:r w:rsidR="00F57DE8">
        <w:t xml:space="preserve"> en effet</w:t>
      </w:r>
      <w:r w:rsidR="00712A91">
        <w:t xml:space="preserve"> de quoi surprendre, puisque, comme on vient de le rappeler, toute la première partie de la doctrine du droit</w:t>
      </w:r>
      <w:r w:rsidR="00E27E25">
        <w:t xml:space="preserve"> (la plus longue du traité)</w:t>
      </w:r>
      <w:r w:rsidR="00712A91">
        <w:t xml:space="preserve"> est consacrée au droit privé, non seulement dans ses principes purs, mais aussi tel qu’il doit être consacré dans le droit positif</w:t>
      </w:r>
      <w:r w:rsidR="00F46E09">
        <w:t>, institué dans un état civil</w:t>
      </w:r>
      <w:r w:rsidR="00712A91">
        <w:t xml:space="preserve">. </w:t>
      </w:r>
      <w:r w:rsidR="00A66717">
        <w:t xml:space="preserve">C’est pourtant </w:t>
      </w:r>
      <w:r w:rsidR="00E047B2">
        <w:t xml:space="preserve">bien </w:t>
      </w:r>
      <w:r w:rsidR="00A66717">
        <w:t>cette identification qu’on retrouve</w:t>
      </w:r>
      <w:r w:rsidR="006A37DF">
        <w:t xml:space="preserve"> plus loin</w:t>
      </w:r>
      <w:r w:rsidR="009859F5">
        <w:t xml:space="preserve"> dans le texte</w:t>
      </w:r>
      <w:r w:rsidR="00E908CC">
        <w:t>,</w:t>
      </w:r>
      <w:r w:rsidR="00A66717">
        <w:t xml:space="preserve"> </w:t>
      </w:r>
      <w:r w:rsidR="00021917">
        <w:t xml:space="preserve">justement </w:t>
      </w:r>
      <w:r w:rsidR="00A66717">
        <w:t>au moment de passer de la</w:t>
      </w:r>
      <w:r w:rsidR="00F46E09">
        <w:t xml:space="preserve"> première</w:t>
      </w:r>
      <w:r w:rsidR="00A66717">
        <w:t xml:space="preserve"> </w:t>
      </w:r>
      <w:r w:rsidR="00F46E09">
        <w:t>partie sur le</w:t>
      </w:r>
      <w:r w:rsidR="00E908CC">
        <w:t xml:space="preserve"> droit privée</w:t>
      </w:r>
      <w:r w:rsidR="00A66717">
        <w:t xml:space="preserve"> à la </w:t>
      </w:r>
      <w:r w:rsidR="002308AF">
        <w:t xml:space="preserve">deuxième </w:t>
      </w:r>
      <w:r w:rsidR="00A66717">
        <w:t xml:space="preserve">partie consacrée au droit public. </w:t>
      </w:r>
      <w:r w:rsidR="00E047B2">
        <w:t xml:space="preserve">Kant y confirme que l’état de nature peut connaître une série d’interactions </w:t>
      </w:r>
      <w:r w:rsidR="00E27E25">
        <w:t xml:space="preserve">juridiques ou </w:t>
      </w:r>
      <w:r w:rsidR="00E047B2">
        <w:t>normées (</w:t>
      </w:r>
      <w:r w:rsidR="00E047B2" w:rsidRPr="00E047B2">
        <w:rPr>
          <w:i/>
        </w:rPr>
        <w:t>gesetzmässig</w:t>
      </w:r>
      <w:r w:rsidR="00E047B2">
        <w:t>), comme les liens conjugaux, filiaux et domestiques en général, ainsi que d’autres formes de transactions, mais que ces modes de socialité</w:t>
      </w:r>
      <w:r w:rsidR="00F57DE8">
        <w:t xml:space="preserve"> et de normativité</w:t>
      </w:r>
      <w:r w:rsidR="00E047B2">
        <w:t xml:space="preserve"> ne sont pas garantis par une loi commune et ne peuvent pas non plus s’imposer comme obligatoires aux individus. Au contraire, dans l’état civil, les rapports privés horizontaux</w:t>
      </w:r>
      <w:r w:rsidR="00B13CA9">
        <w:t>, ceux là même</w:t>
      </w:r>
      <w:r w:rsidR="00E047B2">
        <w:t xml:space="preserve"> qui </w:t>
      </w:r>
      <w:r w:rsidR="0002275C">
        <w:t xml:space="preserve">étaient </w:t>
      </w:r>
      <w:r w:rsidR="00E047B2">
        <w:t>déjà</w:t>
      </w:r>
      <w:r w:rsidR="0002275C">
        <w:t xml:space="preserve"> en vigueur dans</w:t>
      </w:r>
      <w:r w:rsidR="00E047B2">
        <w:t xml:space="preserve"> l’état de nature, sont institués, garantis et protégés par une loi commune et publique. Ce n’est donc pas dans la </w:t>
      </w:r>
      <w:r w:rsidR="004C6CDD">
        <w:t>matière</w:t>
      </w:r>
      <w:r w:rsidR="006F5E07">
        <w:t xml:space="preserve"> ou le contenu</w:t>
      </w:r>
      <w:r w:rsidR="004C6CDD">
        <w:t xml:space="preserve"> des droits que l’état</w:t>
      </w:r>
      <w:r w:rsidR="00651ED6">
        <w:t xml:space="preserve"> naturel et </w:t>
      </w:r>
      <w:r w:rsidR="004C6CDD">
        <w:t>l’état civil</w:t>
      </w:r>
      <w:r w:rsidR="00E047B2">
        <w:t xml:space="preserve"> se distinguent, mais par </w:t>
      </w:r>
      <w:r w:rsidR="002C30B6">
        <w:t>le statut</w:t>
      </w:r>
      <w:r w:rsidR="00E047B2">
        <w:t xml:space="preserve"> de la légalité publique </w:t>
      </w:r>
      <w:r w:rsidR="004C6CDD">
        <w:t>ou de la « C</w:t>
      </w:r>
      <w:r w:rsidR="0002275C">
        <w:t xml:space="preserve">onstitution » </w:t>
      </w:r>
      <w:r w:rsidR="00E047B2">
        <w:t xml:space="preserve">propre à l’état civil. </w:t>
      </w:r>
    </w:p>
    <w:p w14:paraId="62E7F23B" w14:textId="7505AB9D" w:rsidR="00E908CC" w:rsidRDefault="002C30B6" w:rsidP="006E5BAE">
      <w:pPr>
        <w:spacing w:line="360" w:lineRule="auto"/>
        <w:ind w:firstLine="425"/>
        <w:jc w:val="both"/>
      </w:pPr>
      <w:r>
        <w:t>Or, ce statut public</w:t>
      </w:r>
      <w:r w:rsidR="004C6CDD">
        <w:t xml:space="preserve"> de la C</w:t>
      </w:r>
      <w:r w:rsidR="0002275C">
        <w:t>onstitution n’est pas une simple option</w:t>
      </w:r>
      <w:r w:rsidR="00B13CA9">
        <w:t xml:space="preserve"> facultative</w:t>
      </w:r>
      <w:r w:rsidR="0002275C">
        <w:t xml:space="preserve"> soumise à la libre appréciation des individus, comme le sont les interactions</w:t>
      </w:r>
      <w:r w:rsidR="00F57DE8">
        <w:t xml:space="preserve"> et liens</w:t>
      </w:r>
      <w:r w:rsidR="0002275C">
        <w:t xml:space="preserve"> du droit privé ; elle s’impose à eux comme une obligation, </w:t>
      </w:r>
      <w:r w:rsidR="002308AF">
        <w:t xml:space="preserve">et même </w:t>
      </w:r>
      <w:r w:rsidR="0002275C">
        <w:t>comme l’obligation première du droit qui s’adresse à tout être humain</w:t>
      </w:r>
      <w:r w:rsidR="00F57DE8">
        <w:t xml:space="preserve"> dans la mesure où il est amené à</w:t>
      </w:r>
      <w:r w:rsidR="00EF107B">
        <w:t xml:space="preserve"> interagir avec d’autres humains. Cette obligation première</w:t>
      </w:r>
      <w:r w:rsidR="0002275C">
        <w:t xml:space="preserve"> d’o</w:t>
      </w:r>
      <w:r w:rsidR="002308AF">
        <w:t>ù</w:t>
      </w:r>
      <w:r w:rsidR="00EF107B">
        <w:t xml:space="preserve"> dérive toute autre obligation,</w:t>
      </w:r>
      <w:r w:rsidR="0002275C">
        <w:t xml:space="preserve"> Kant </w:t>
      </w:r>
      <w:r w:rsidR="00EF107B">
        <w:t>l’</w:t>
      </w:r>
      <w:r w:rsidR="0002275C">
        <w:t xml:space="preserve">appelle « le postulat du </w:t>
      </w:r>
      <w:r w:rsidR="0002275C">
        <w:lastRenderedPageBreak/>
        <w:t>droit public » : « étant donné l’inévitable rapport de voisinage, tu dois avec tous les autres sortir de cet état de nature pour entrer dans un état juridique »</w:t>
      </w:r>
      <w:r w:rsidR="007D7E42">
        <w:rPr>
          <w:rStyle w:val="Marquenotebasdepage"/>
        </w:rPr>
        <w:footnoteReference w:id="11"/>
      </w:r>
      <w:r w:rsidR="0002275C">
        <w:t xml:space="preserve">. </w:t>
      </w:r>
      <w:r w:rsidR="00E908CC">
        <w:t xml:space="preserve">Ce n’est que dans cet état juridique et sous l’autorité de la loi que la différence entre le mien et le tien, qui est l’opposition </w:t>
      </w:r>
      <w:r w:rsidR="00B13CA9">
        <w:t>transversale</w:t>
      </w:r>
      <w:r w:rsidR="00E908CC">
        <w:t xml:space="preserve"> du droit privé, peut être</w:t>
      </w:r>
      <w:r w:rsidR="00651ED6">
        <w:t xml:space="preserve"> instituée,</w:t>
      </w:r>
      <w:r w:rsidR="00E908CC">
        <w:t xml:space="preserve"> respectée et garantie. C’est donc le postulat du droit privé, soit l’exigence d’autolimitation réciproque des sphères de lib</w:t>
      </w:r>
      <w:r w:rsidR="00EF107B">
        <w:t>ertés individuelles, qui requiert</w:t>
      </w:r>
      <w:r w:rsidR="00E75037">
        <w:t xml:space="preserve"> lui-même</w:t>
      </w:r>
      <w:r w:rsidR="00EF107B">
        <w:t xml:space="preserve"> d’ê</w:t>
      </w:r>
      <w:r w:rsidR="009859F5">
        <w:t>tre complété</w:t>
      </w:r>
      <w:r w:rsidR="00EF107B">
        <w:t xml:space="preserve"> par</w:t>
      </w:r>
      <w:r w:rsidR="00E908CC">
        <w:t xml:space="preserve"> le postulat du droit public, soit l’exigence d’entrer en relation juridique en se soumettant à une loi commune</w:t>
      </w:r>
      <w:r w:rsidR="007D7E42">
        <w:rPr>
          <w:rStyle w:val="Marquenotebasdepage"/>
        </w:rPr>
        <w:footnoteReference w:id="12"/>
      </w:r>
      <w:r w:rsidR="00E908CC">
        <w:t>.</w:t>
      </w:r>
    </w:p>
    <w:p w14:paraId="14BD8DC7" w14:textId="1EB4A0DD" w:rsidR="009441E6" w:rsidRDefault="00E908CC" w:rsidP="006E5BAE">
      <w:pPr>
        <w:spacing w:line="360" w:lineRule="auto"/>
        <w:ind w:firstLine="425"/>
        <w:jc w:val="both"/>
      </w:pPr>
      <w:r>
        <w:t>On comprend mieux ici le sens et la portée de l’</w:t>
      </w:r>
      <w:r w:rsidR="006F5E07">
        <w:t xml:space="preserve">apparente </w:t>
      </w:r>
      <w:r w:rsidR="00D82DCD">
        <w:t>équation</w:t>
      </w:r>
      <w:r>
        <w:t xml:space="preserve"> </w:t>
      </w:r>
      <w:r w:rsidR="00D82DCD">
        <w:t>« </w:t>
      </w:r>
      <w:r w:rsidR="006F5E07">
        <w:t>droit privé =</w:t>
      </w:r>
      <w:r w:rsidR="001D1638">
        <w:t xml:space="preserve"> état de nature</w:t>
      </w:r>
      <w:r w:rsidR="00D82DCD">
        <w:t> »</w:t>
      </w:r>
      <w:r>
        <w:t xml:space="preserve">. </w:t>
      </w:r>
      <w:r w:rsidR="0002275C">
        <w:t>Ce n’est pas le droit privé en général qui est qualifié de droit naturel, mais</w:t>
      </w:r>
      <w:r w:rsidR="00F871B7">
        <w:t>, à l’inverse, c’est</w:t>
      </w:r>
      <w:r w:rsidR="0002275C">
        <w:t xml:space="preserve"> le droit dans l’état</w:t>
      </w:r>
      <w:r w:rsidR="00F871B7">
        <w:t xml:space="preserve"> naturel</w:t>
      </w:r>
      <w:r w:rsidR="009859F5">
        <w:t xml:space="preserve"> ou pré-civil</w:t>
      </w:r>
      <w:r w:rsidR="0002275C">
        <w:t xml:space="preserve"> qui est caractérisé comme droit </w:t>
      </w:r>
      <w:r w:rsidR="0002275C" w:rsidRPr="00E908CC">
        <w:rPr>
          <w:i/>
        </w:rPr>
        <w:t>seulement privé</w:t>
      </w:r>
      <w:r w:rsidR="0002275C">
        <w:t>. Et ce pour deux raisons :</w:t>
      </w:r>
      <w:r w:rsidR="0002275C" w:rsidRPr="0002275C">
        <w:t xml:space="preserve"> </w:t>
      </w:r>
      <w:r w:rsidR="0002275C">
        <w:t>négativement, parce qu’il précède l’i</w:t>
      </w:r>
      <w:r w:rsidR="00D82DCD">
        <w:t>nstitution publique du droit</w:t>
      </w:r>
      <w:r w:rsidR="009859F5">
        <w:t xml:space="preserve"> par la loi</w:t>
      </w:r>
      <w:r w:rsidR="00651ED6">
        <w:t xml:space="preserve"> – en ce sens, </w:t>
      </w:r>
      <w:r>
        <w:t>il est littéralement privé de loi commune au sens strict</w:t>
      </w:r>
      <w:r w:rsidR="00C91A29">
        <w:rPr>
          <w:rStyle w:val="Marquenotebasdepage"/>
        </w:rPr>
        <w:footnoteReference w:id="13"/>
      </w:r>
      <w:r w:rsidR="0002275C">
        <w:t> ; positivement, parce que ce droit ou cette normativité qui est en vigueur dans l’état de simple socialité correspond matériellement aux dispositions normatives du droit privé relatives aux interactions horizontales du droit</w:t>
      </w:r>
      <w:r w:rsidR="00EF107B">
        <w:t xml:space="preserve"> de la propriété, du droit</w:t>
      </w:r>
      <w:r w:rsidR="0002275C">
        <w:t xml:space="preserve"> des contrats ou du droit de la famille.</w:t>
      </w:r>
      <w:r w:rsidR="00651ED6">
        <w:t xml:space="preserve"> </w:t>
      </w:r>
      <w:r w:rsidR="000F16E6">
        <w:t>Notons en passant que Kant semble ici reconnaître dans le</w:t>
      </w:r>
      <w:r w:rsidR="00BA1BC6">
        <w:t xml:space="preserve"> droit privé </w:t>
      </w:r>
      <w:r w:rsidR="000F16E6">
        <w:t>les effets d’</w:t>
      </w:r>
      <w:r w:rsidR="00BA1BC6">
        <w:t xml:space="preserve">une sorte de normativité spontanée ou immanente à l’ordre social. </w:t>
      </w:r>
      <w:r w:rsidR="009859F5">
        <w:t xml:space="preserve">Cette </w:t>
      </w:r>
      <w:r w:rsidR="000F16E6">
        <w:t xml:space="preserve">deuxième fonction de la division public-privé </w:t>
      </w:r>
      <w:r w:rsidR="00F5777C">
        <w:t>est</w:t>
      </w:r>
      <w:r w:rsidR="000F16E6">
        <w:t xml:space="preserve"> </w:t>
      </w:r>
      <w:r w:rsidR="00B13CA9">
        <w:t xml:space="preserve">davantage </w:t>
      </w:r>
      <w:r w:rsidR="000F16E6">
        <w:t>éclairée</w:t>
      </w:r>
      <w:r w:rsidR="00F5777C">
        <w:t xml:space="preserve"> par </w:t>
      </w:r>
      <w:r w:rsidR="000F16E6">
        <w:t>la</w:t>
      </w:r>
      <w:r w:rsidR="00F5777C">
        <w:t xml:space="preserve"> </w:t>
      </w:r>
      <w:r w:rsidR="000F16E6">
        <w:t xml:space="preserve">distinction </w:t>
      </w:r>
      <w:r w:rsidR="00F5777C">
        <w:t>entre droit provisoire et droit péremptoire. Dans l’état pré-civil, en l’absence de lois publiques, les transactions privées, les acquisitions et les droits qui délimitent le mien et le tien ont certes une valeur juridique, mais elle est uniquement « provisoire » ; seule l’entrée dans une constitution commune permet de donner à ces</w:t>
      </w:r>
      <w:r w:rsidR="00F21462">
        <w:t xml:space="preserve"> droits provisoires un statut p</w:t>
      </w:r>
      <w:r w:rsidR="00F5777C">
        <w:t xml:space="preserve">éremptoire ou définitivement consacré et garanti par une justice publique. </w:t>
      </w:r>
    </w:p>
    <w:p w14:paraId="3249A738" w14:textId="6589B666" w:rsidR="002A6D42" w:rsidRDefault="00F5777C" w:rsidP="006E5BAE">
      <w:pPr>
        <w:spacing w:line="360" w:lineRule="auto"/>
        <w:ind w:firstLine="425"/>
        <w:jc w:val="both"/>
      </w:pPr>
      <w:r>
        <w:t>Cette distinction pourrait paraître purement théorique ou hypothétique, s’il n’y avait un niveau d’interaction</w:t>
      </w:r>
      <w:r w:rsidR="00DE3969">
        <w:t xml:space="preserve"> </w:t>
      </w:r>
      <w:r>
        <w:t xml:space="preserve">où l’état de nature n’est pas </w:t>
      </w:r>
      <w:r w:rsidR="00632CE9">
        <w:t>qu’</w:t>
      </w:r>
      <w:r>
        <w:t xml:space="preserve">une simple hypothèse heuristique, mais une réalité persistante, </w:t>
      </w:r>
      <w:r w:rsidR="00DE3969">
        <w:t>jusqu’</w:t>
      </w:r>
      <w:r>
        <w:t xml:space="preserve">à l’époque </w:t>
      </w:r>
      <w:r w:rsidR="00B75F74">
        <w:t>moderne</w:t>
      </w:r>
      <w:r>
        <w:t xml:space="preserve"> </w:t>
      </w:r>
      <w:r w:rsidR="00DE3969">
        <w:t>et encore bien a</w:t>
      </w:r>
      <w:r w:rsidR="009364C8">
        <w:t>u</w:t>
      </w:r>
      <w:r w:rsidR="00DE3969">
        <w:t>-delà</w:t>
      </w:r>
      <w:r w:rsidR="00CE7798">
        <w:t>, soit</w:t>
      </w:r>
      <w:r>
        <w:t xml:space="preserve"> les interactions entre</w:t>
      </w:r>
      <w:r w:rsidR="006F5E07">
        <w:t xml:space="preserve"> les</w:t>
      </w:r>
      <w:r w:rsidR="00DE7DCC">
        <w:t xml:space="preserve"> É</w:t>
      </w:r>
      <w:r>
        <w:t xml:space="preserve">tats. Celles-ci sont </w:t>
      </w:r>
      <w:r w:rsidR="00B73D7C">
        <w:t xml:space="preserve">certes </w:t>
      </w:r>
      <w:r>
        <w:t xml:space="preserve">caractérisées par un grand nombre de dispositions </w:t>
      </w:r>
      <w:r w:rsidR="002C30B6">
        <w:t>normatives, comme les traités ou</w:t>
      </w:r>
      <w:r>
        <w:t xml:space="preserve"> la coutume, </w:t>
      </w:r>
      <w:r w:rsidR="00B73D7C">
        <w:t>mais leur statut juridique indéniable est</w:t>
      </w:r>
      <w:r w:rsidR="00DE3969">
        <w:t xml:space="preserve"> </w:t>
      </w:r>
      <w:r>
        <w:t xml:space="preserve">toujours provisoire, </w:t>
      </w:r>
      <w:r w:rsidR="00D412CD">
        <w:t>pour</w:t>
      </w:r>
      <w:r w:rsidR="00CE7798">
        <w:t xml:space="preserve"> Kant, </w:t>
      </w:r>
      <w:r>
        <w:t xml:space="preserve">tant que le postulat du droit public ne s’est pas imposé </w:t>
      </w:r>
      <w:r w:rsidR="00DE7DCC">
        <w:t>à tous les É</w:t>
      </w:r>
      <w:r w:rsidR="008379E1">
        <w:t xml:space="preserve">tats, </w:t>
      </w:r>
      <w:r w:rsidR="008379E1">
        <w:lastRenderedPageBreak/>
        <w:t>substituant à l’état de guerre plus ou moins latent entre eux un véritable ordre juridique mondial</w:t>
      </w:r>
      <w:r>
        <w:t xml:space="preserve">. </w:t>
      </w:r>
      <w:r w:rsidR="00CF4FAD">
        <w:t xml:space="preserve">En attendant la réalisation complète des </w:t>
      </w:r>
      <w:r w:rsidR="00CF4FAD" w:rsidRPr="00632CE9">
        <w:rPr>
          <w:i/>
        </w:rPr>
        <w:t>trois</w:t>
      </w:r>
      <w:r w:rsidR="00CF4FAD">
        <w:t xml:space="preserve"> niveaux d’intégration du droit pub</w:t>
      </w:r>
      <w:r w:rsidR="009441E6">
        <w:t>lic pour Kant –</w:t>
      </w:r>
      <w:r w:rsidR="00CF4FAD">
        <w:t xml:space="preserve"> soit le niveau vertical du droit interne dans une constitution républicaine, le niveau horizontal du droit international dans une fédération des libres républiques et le niveau diagonal du droit transnational </w:t>
      </w:r>
      <w:r w:rsidR="001D15F3">
        <w:t>comme</w:t>
      </w:r>
      <w:r w:rsidR="009441E6">
        <w:t xml:space="preserve"> droit cosmopolitique</w:t>
      </w:r>
      <w:r w:rsidR="009441E6">
        <w:rPr>
          <w:rStyle w:val="Marquenotebasdepage"/>
        </w:rPr>
        <w:footnoteReference w:id="14"/>
      </w:r>
      <w:r w:rsidR="009441E6">
        <w:t xml:space="preserve"> –</w:t>
      </w:r>
      <w:r w:rsidR="00CF4FAD">
        <w:t xml:space="preserve"> le droit qui régule les interactions exte</w:t>
      </w:r>
      <w:r w:rsidR="00DE7DCC">
        <w:t>rnes des É</w:t>
      </w:r>
      <w:r w:rsidR="00CF4FAD">
        <w:t>tats (entre eux ou av</w:t>
      </w:r>
      <w:r w:rsidR="00DE7DCC">
        <w:t>ec des ressortissants d’autres É</w:t>
      </w:r>
      <w:r w:rsidR="00CF4FAD">
        <w:t>tats) demeure un droit provisoire</w:t>
      </w:r>
      <w:r w:rsidR="0067623B">
        <w:rPr>
          <w:rStyle w:val="Marquenotebasdepage"/>
        </w:rPr>
        <w:footnoteReference w:id="15"/>
      </w:r>
      <w:r w:rsidR="00CF4FAD">
        <w:t xml:space="preserve"> ou </w:t>
      </w:r>
      <w:r w:rsidR="00CE7798">
        <w:t>« </w:t>
      </w:r>
      <w:r w:rsidR="00CF4FAD">
        <w:t>seulement privé</w:t>
      </w:r>
      <w:r w:rsidR="00CE7798">
        <w:t> » (</w:t>
      </w:r>
      <w:r w:rsidR="00CE7798" w:rsidRPr="00CE7798">
        <w:rPr>
          <w:i/>
        </w:rPr>
        <w:t>bloß ein Privatrecht</w:t>
      </w:r>
      <w:r w:rsidR="00CE7798">
        <w:t>)</w:t>
      </w:r>
      <w:r w:rsidR="0017457C">
        <w:rPr>
          <w:rStyle w:val="Marquenotebasdepage"/>
        </w:rPr>
        <w:footnoteReference w:id="16"/>
      </w:r>
      <w:r w:rsidR="00CF4FAD">
        <w:t xml:space="preserve"> au sens indiqué</w:t>
      </w:r>
      <w:r w:rsidR="001D15F3">
        <w:t xml:space="preserve"> à l’instant</w:t>
      </w:r>
      <w:r w:rsidR="00CF4FAD">
        <w:t>.</w:t>
      </w:r>
    </w:p>
    <w:p w14:paraId="1379D722" w14:textId="6C316785" w:rsidR="00651ED6" w:rsidRDefault="00CF4FAD" w:rsidP="007B25F2">
      <w:pPr>
        <w:spacing w:line="360" w:lineRule="auto"/>
        <w:ind w:firstLine="425"/>
        <w:jc w:val="both"/>
      </w:pPr>
      <w:r>
        <w:t xml:space="preserve">La distinction public-privé a </w:t>
      </w:r>
      <w:r w:rsidR="001D15F3">
        <w:t xml:space="preserve">donc </w:t>
      </w:r>
      <w:r w:rsidR="009364C8">
        <w:t>ici non pa</w:t>
      </w:r>
      <w:r>
        <w:t xml:space="preserve">s </w:t>
      </w:r>
      <w:r w:rsidR="009441E6">
        <w:t xml:space="preserve">une fonction </w:t>
      </w:r>
      <w:r>
        <w:t>statique et structurelle</w:t>
      </w:r>
      <w:r w:rsidR="00632CE9">
        <w:t>,</w:t>
      </w:r>
      <w:r w:rsidR="008D186A">
        <w:t xml:space="preserve"> utile</w:t>
      </w:r>
      <w:r w:rsidR="009441E6">
        <w:t xml:space="preserve"> pour classer</w:t>
      </w:r>
      <w:r w:rsidR="00DE3969">
        <w:t xml:space="preserve"> les droits</w:t>
      </w:r>
      <w:r w:rsidR="009441E6">
        <w:t xml:space="preserve"> et mettre en ordre les domaines du droit </w:t>
      </w:r>
      <w:r w:rsidR="009441E6" w:rsidRPr="002C30B6">
        <w:rPr>
          <w:i/>
        </w:rPr>
        <w:t>établi</w:t>
      </w:r>
      <w:r>
        <w:t xml:space="preserve">, </w:t>
      </w:r>
      <w:r w:rsidR="001D15F3">
        <w:t xml:space="preserve">mais </w:t>
      </w:r>
      <w:r w:rsidR="009441E6">
        <w:t xml:space="preserve">une fonction </w:t>
      </w:r>
      <w:r>
        <w:t>dynamique et génétique</w:t>
      </w:r>
      <w:r w:rsidR="001D15F3">
        <w:t>,</w:t>
      </w:r>
      <w:r>
        <w:t xml:space="preserve"> </w:t>
      </w:r>
      <w:r w:rsidR="001D15F3">
        <w:t>dans la mesure</w:t>
      </w:r>
      <w:r>
        <w:t xml:space="preserve"> où </w:t>
      </w:r>
      <w:r w:rsidR="001D15F3">
        <w:t>elle décrit le processus de production du droit et son évolution</w:t>
      </w:r>
      <w:r w:rsidR="009441E6">
        <w:t xml:space="preserve"> progressive</w:t>
      </w:r>
      <w:r w:rsidR="001F03F8">
        <w:t>,</w:t>
      </w:r>
      <w:r w:rsidR="001D15F3">
        <w:t xml:space="preserve"> depuis le statut provisoire d’interactions juridiques privées de la protection d’une constitution et donc </w:t>
      </w:r>
      <w:r w:rsidR="006D03A9">
        <w:t>incomplètes</w:t>
      </w:r>
      <w:r w:rsidR="001D15F3">
        <w:t xml:space="preserve"> dans leur effectivité et leur validité</w:t>
      </w:r>
      <w:r w:rsidR="00632CE9">
        <w:t>,</w:t>
      </w:r>
      <w:r w:rsidR="001D15F3">
        <w:t xml:space="preserve"> jusqu’au statut péremptoire (opposable</w:t>
      </w:r>
      <w:r w:rsidR="000D3791">
        <w:t xml:space="preserve"> et justiciable</w:t>
      </w:r>
      <w:r w:rsidR="0069468C">
        <w:t>,</w:t>
      </w:r>
      <w:r w:rsidR="001D15F3">
        <w:t xml:space="preserve"> dirait-on aujourd’hui) que ces droits </w:t>
      </w:r>
      <w:r w:rsidR="001F03F8">
        <w:t xml:space="preserve">ne </w:t>
      </w:r>
      <w:r w:rsidR="001D15F3">
        <w:t>peuvent recevoir</w:t>
      </w:r>
      <w:r w:rsidR="001F03F8">
        <w:t xml:space="preserve"> que</w:t>
      </w:r>
      <w:r w:rsidR="001D15F3">
        <w:t xml:space="preserve"> dans le cadre d’un ordre juridique institué par une loi publique commune. </w:t>
      </w:r>
      <w:r w:rsidR="000448D4">
        <w:t>Selon cette fonction dynamique de la distinction, il revient certes au droit public le rôle éminent de donner au droit tout entier sa forme accomplie</w:t>
      </w:r>
      <w:r w:rsidR="000448D4" w:rsidRPr="000448D4">
        <w:t xml:space="preserve"> </w:t>
      </w:r>
      <w:r w:rsidR="000448D4">
        <w:t>selon le principe de publicité</w:t>
      </w:r>
      <w:r w:rsidR="006D03A9">
        <w:t xml:space="preserve"> de toutes les lois</w:t>
      </w:r>
      <w:r w:rsidR="000448D4">
        <w:rPr>
          <w:rStyle w:val="Marquenotebasdepage"/>
        </w:rPr>
        <w:footnoteReference w:id="17"/>
      </w:r>
      <w:r w:rsidR="000448D4">
        <w:t xml:space="preserve"> ; mais ce droit public resterait vide sans le rôle préparatoire et anticipatoire du droit dit </w:t>
      </w:r>
      <w:r w:rsidR="006D03A9">
        <w:t>« </w:t>
      </w:r>
      <w:r w:rsidR="00B13CA9">
        <w:t xml:space="preserve">seulement </w:t>
      </w:r>
      <w:r w:rsidR="000448D4">
        <w:t>privé</w:t>
      </w:r>
      <w:r w:rsidR="006D03A9">
        <w:t> »</w:t>
      </w:r>
      <w:r w:rsidR="000448D4">
        <w:t>, qui prend en charge</w:t>
      </w:r>
      <w:r w:rsidR="004D1ACC">
        <w:t xml:space="preserve"> dans sa </w:t>
      </w:r>
      <w:r w:rsidR="002C30B6">
        <w:t>juridicité</w:t>
      </w:r>
      <w:r w:rsidR="004D1ACC">
        <w:t xml:space="preserve"> provisoire</w:t>
      </w:r>
      <w:r w:rsidR="00345FA7">
        <w:t xml:space="preserve"> les exigences</w:t>
      </w:r>
      <w:r w:rsidR="004D1ACC">
        <w:t xml:space="preserve"> du droit naturel ou rationnel avant qu’elles puissent être consacrées dans un ordre de droit public. </w:t>
      </w:r>
      <w:r w:rsidR="007B25F2">
        <w:t>C’est ainsi que chez Kant, le concept de droit humain a à la fois</w:t>
      </w:r>
      <w:r w:rsidR="00651ED6">
        <w:t xml:space="preserve"> un fondement matériel dans le domaine du droit privé et un fondement formel dans le domaine du droit public. </w:t>
      </w:r>
    </w:p>
    <w:p w14:paraId="07CDBB5D" w14:textId="61C78373" w:rsidR="00C21312" w:rsidRDefault="007B25F2" w:rsidP="006D6C62">
      <w:pPr>
        <w:spacing w:line="360" w:lineRule="auto"/>
        <w:ind w:firstLine="425"/>
        <w:jc w:val="both"/>
      </w:pPr>
      <w:r>
        <w:t xml:space="preserve">Dans ses écrits juridiques </w:t>
      </w:r>
      <w:r w:rsidR="00C307AB">
        <w:t xml:space="preserve">et </w:t>
      </w:r>
      <w:r>
        <w:t xml:space="preserve">politiques de maturité, </w:t>
      </w:r>
      <w:r w:rsidR="00B75F74">
        <w:t xml:space="preserve">le philosophe </w:t>
      </w:r>
      <w:r w:rsidR="00011516">
        <w:t xml:space="preserve">allemand </w:t>
      </w:r>
      <w:r>
        <w:t>recourt en effet régulièrement au concept de droit humain (</w:t>
      </w:r>
      <w:r w:rsidRPr="007B25F2">
        <w:rPr>
          <w:i/>
        </w:rPr>
        <w:t>Menschenrecht</w:t>
      </w:r>
      <w:r>
        <w:t>)</w:t>
      </w:r>
      <w:r w:rsidR="00954138">
        <w:rPr>
          <w:rStyle w:val="Marquenotebasdepage"/>
        </w:rPr>
        <w:footnoteReference w:id="18"/>
      </w:r>
      <w:r>
        <w:t xml:space="preserve"> ou de droit des hommes (</w:t>
      </w:r>
      <w:r w:rsidRPr="007B25F2">
        <w:rPr>
          <w:i/>
        </w:rPr>
        <w:t>Recht der Menschen</w:t>
      </w:r>
      <w:r>
        <w:t xml:space="preserve">), </w:t>
      </w:r>
      <w:r w:rsidR="00716F38">
        <w:t>ainsi que</w:t>
      </w:r>
      <w:r>
        <w:t xml:space="preserve"> de droit de l’humanité (</w:t>
      </w:r>
      <w:r w:rsidRPr="007B25F2">
        <w:rPr>
          <w:i/>
        </w:rPr>
        <w:t>Recht der Menschheit</w:t>
      </w:r>
      <w:r w:rsidR="00B75F74">
        <w:t>)</w:t>
      </w:r>
      <w:r w:rsidR="00B73D7C">
        <w:rPr>
          <w:rStyle w:val="Marquenotebasdepage"/>
        </w:rPr>
        <w:footnoteReference w:id="19"/>
      </w:r>
      <w:r w:rsidR="00B75F74">
        <w:t>. S’il utilise c</w:t>
      </w:r>
      <w:r>
        <w:t>e concept de droit humain le plus souvent au singulier, c’est parce qu’il ne l’entend pas comme une liste de droits subjectifs inaliénables et naturels</w:t>
      </w:r>
      <w:r w:rsidR="00733101">
        <w:t>, qui auraient une existence en soi et</w:t>
      </w:r>
      <w:r w:rsidR="00DE7DCC">
        <w:t xml:space="preserve"> que l’É</w:t>
      </w:r>
      <w:r>
        <w:t>tat n’aurait plus qu’à rendre positifs</w:t>
      </w:r>
      <w:r w:rsidR="00F749CF">
        <w:t xml:space="preserve">, tels qu’ils apparaissent formellement dans la </w:t>
      </w:r>
      <w:r w:rsidR="00F749CF">
        <w:lastRenderedPageBreak/>
        <w:t>Déclaration française de 1789</w:t>
      </w:r>
      <w:r>
        <w:t xml:space="preserve">. Pour Kant, il n’y a </w:t>
      </w:r>
      <w:r w:rsidRPr="00954138">
        <w:rPr>
          <w:i/>
        </w:rPr>
        <w:t>stricto sensu</w:t>
      </w:r>
      <w:r>
        <w:t xml:space="preserve"> qu’un seul « droit inné », un seul « droit originaire » qui « appartient</w:t>
      </w:r>
      <w:r w:rsidR="00B75F74">
        <w:t xml:space="preserve"> à tout homme en vertu de son humanité »</w:t>
      </w:r>
      <w:r w:rsidR="00954138">
        <w:t> : la liberté. En tant qu’unique droit humain, cette liberté originaire, qui implique en elle l’égalité innée</w:t>
      </w:r>
      <w:r w:rsidR="00276C2B">
        <w:t xml:space="preserve"> de tous les humains</w:t>
      </w:r>
      <w:r w:rsidR="00954138">
        <w:t xml:space="preserve"> et l’indépendance de </w:t>
      </w:r>
      <w:r w:rsidR="00276C2B">
        <w:t>chacun d’eux</w:t>
      </w:r>
      <w:r w:rsidR="00F749CF">
        <w:rPr>
          <w:rStyle w:val="Marquenotebasdepage"/>
        </w:rPr>
        <w:footnoteReference w:id="20"/>
      </w:r>
      <w:r w:rsidR="00954138">
        <w:t>, constitue toute la matière requise pour établir les distinctions du droit privé entre le mien et le tien. Mais elle donne également la</w:t>
      </w:r>
      <w:r w:rsidR="0040516C">
        <w:t xml:space="preserve"> grammaire </w:t>
      </w:r>
      <w:r w:rsidR="00954138">
        <w:t xml:space="preserve">des </w:t>
      </w:r>
      <w:r w:rsidR="00463110">
        <w:t>« </w:t>
      </w:r>
      <w:r w:rsidR="00954138">
        <w:t>principes purs rationnels du droit humain</w:t>
      </w:r>
      <w:r w:rsidR="00463110">
        <w:t> »</w:t>
      </w:r>
      <w:r w:rsidR="00954138">
        <w:t xml:space="preserve"> sur laquelle doit se baser toute constitution civile, soit la liberté de chaque membre de la société en tant qu’</w:t>
      </w:r>
      <w:r w:rsidR="00954138" w:rsidRPr="00954138">
        <w:rPr>
          <w:i/>
        </w:rPr>
        <w:t>homme</w:t>
      </w:r>
      <w:r w:rsidR="00954138">
        <w:t>, l’égalité de celui</w:t>
      </w:r>
      <w:r w:rsidR="00084C1D">
        <w:t>-ci</w:t>
      </w:r>
      <w:r w:rsidR="00954138">
        <w:t xml:space="preserve"> avec tout autre en tant que </w:t>
      </w:r>
      <w:r w:rsidR="00954138" w:rsidRPr="00954138">
        <w:rPr>
          <w:i/>
        </w:rPr>
        <w:t>sujet</w:t>
      </w:r>
      <w:r w:rsidR="00954138">
        <w:t xml:space="preserve"> et l’indépendance de tout membre d’une communauté en tant que </w:t>
      </w:r>
      <w:r w:rsidR="00954138" w:rsidRPr="00954138">
        <w:rPr>
          <w:i/>
        </w:rPr>
        <w:t>citoyen</w:t>
      </w:r>
      <w:r w:rsidR="00463110" w:rsidRPr="00463110">
        <w:rPr>
          <w:rStyle w:val="Marquenotebasdepage"/>
        </w:rPr>
        <w:footnoteReference w:id="21"/>
      </w:r>
      <w:r w:rsidR="00954138">
        <w:t xml:space="preserve">. </w:t>
      </w:r>
    </w:p>
    <w:p w14:paraId="2E108360" w14:textId="3B4F880A" w:rsidR="0040516C" w:rsidRDefault="006D6C62" w:rsidP="006D6C62">
      <w:pPr>
        <w:spacing w:line="360" w:lineRule="auto"/>
        <w:ind w:firstLine="425"/>
        <w:jc w:val="both"/>
      </w:pPr>
      <w:r>
        <w:t xml:space="preserve">Le droit humain originaire </w:t>
      </w:r>
      <w:r w:rsidR="0040516C">
        <w:t xml:space="preserve">se présente </w:t>
      </w:r>
      <w:r w:rsidR="00084C1D">
        <w:t>ainsi comme la condition</w:t>
      </w:r>
      <w:r>
        <w:t xml:space="preserve"> de l’obligation juridique originaire : celle d’entre</w:t>
      </w:r>
      <w:r w:rsidR="00084C1D">
        <w:t>r</w:t>
      </w:r>
      <w:r>
        <w:t xml:space="preserve"> sous une loi </w:t>
      </w:r>
      <w:r w:rsidR="0040516C">
        <w:t xml:space="preserve">positive </w:t>
      </w:r>
      <w:r>
        <w:t>commune qui garantisse la liberté des humains, l’égalité des sujets de droits e</w:t>
      </w:r>
      <w:r w:rsidR="0040516C">
        <w:t xml:space="preserve">t l’indépendance des citoyens. Le droit </w:t>
      </w:r>
      <w:r w:rsidR="00276C2B">
        <w:t xml:space="preserve">fondamental </w:t>
      </w:r>
      <w:r w:rsidR="00085539">
        <w:t>de liberté</w:t>
      </w:r>
      <w:r w:rsidR="0040516C">
        <w:t xml:space="preserve"> implique donc à la fois </w:t>
      </w:r>
      <w:r w:rsidR="00085539">
        <w:t>l’obligation</w:t>
      </w:r>
      <w:r w:rsidR="00085539" w:rsidRPr="00C307AB">
        <w:rPr>
          <w:i/>
        </w:rPr>
        <w:t xml:space="preserve"> </w:t>
      </w:r>
      <w:r w:rsidR="00084C1D" w:rsidRPr="00C307AB">
        <w:rPr>
          <w:i/>
        </w:rPr>
        <w:t>et</w:t>
      </w:r>
      <w:r w:rsidR="0040516C">
        <w:t xml:space="preserve"> </w:t>
      </w:r>
      <w:r w:rsidR="00085539">
        <w:t>le droit</w:t>
      </w:r>
      <w:r w:rsidR="00084C1D">
        <w:t xml:space="preserve"> originaire</w:t>
      </w:r>
      <w:r w:rsidR="00F749CF">
        <w:t>s</w:t>
      </w:r>
      <w:r w:rsidR="00085539">
        <w:t xml:space="preserve"> </w:t>
      </w:r>
      <w:r w:rsidR="00084C1D">
        <w:t>d’e</w:t>
      </w:r>
      <w:r w:rsidR="00F749CF">
        <w:t xml:space="preserve">ntrer en relation juridique. D’où </w:t>
      </w:r>
      <w:r w:rsidR="00084C1D">
        <w:t xml:space="preserve">la nécessité d’un </w:t>
      </w:r>
      <w:r w:rsidR="0040516C">
        <w:t>droit cosmopolitique</w:t>
      </w:r>
      <w:r w:rsidR="00084C1D">
        <w:t xml:space="preserve"> en tant que complément indispensable au « code non écrit » du « droit humain public » (</w:t>
      </w:r>
      <w:r w:rsidR="00084C1D" w:rsidRPr="00084C1D">
        <w:rPr>
          <w:i/>
        </w:rPr>
        <w:t>öffentliche Menschenrecht</w:t>
      </w:r>
      <w:r w:rsidR="00084C1D">
        <w:t>)</w:t>
      </w:r>
      <w:r w:rsidR="00084C1D">
        <w:rPr>
          <w:rStyle w:val="Marquenotebasdepage"/>
        </w:rPr>
        <w:footnoteReference w:id="22"/>
      </w:r>
      <w:r w:rsidR="0040516C">
        <w:t xml:space="preserve">, </w:t>
      </w:r>
      <w:r w:rsidR="00084C1D">
        <w:t xml:space="preserve">compris </w:t>
      </w:r>
      <w:r w:rsidR="0040516C">
        <w:t>comme droit de se proposer d’entrer dans u</w:t>
      </w:r>
      <w:r w:rsidR="00531625">
        <w:t>ne communauté de droit. C’est ce droit cosmopolitique,</w:t>
      </w:r>
      <w:r w:rsidR="00531625" w:rsidRPr="00531625">
        <w:t xml:space="preserve"> </w:t>
      </w:r>
      <w:r w:rsidR="00531625">
        <w:t xml:space="preserve">ce droit d’avoir des droits ou </w:t>
      </w:r>
      <w:r w:rsidR="0071634C">
        <w:t>« </w:t>
      </w:r>
      <w:r w:rsidR="009F4ADF">
        <w:t xml:space="preserve">ce droit </w:t>
      </w:r>
      <w:r w:rsidR="00531625">
        <w:t>d’acquérir des droits »</w:t>
      </w:r>
      <w:r w:rsidR="0040516C">
        <w:t xml:space="preserve"> que Fichte</w:t>
      </w:r>
      <w:r w:rsidR="0071634C">
        <w:t>,</w:t>
      </w:r>
      <w:r w:rsidR="0040516C">
        <w:t xml:space="preserve"> à la suite de Kant</w:t>
      </w:r>
      <w:r w:rsidR="0071634C">
        <w:t>,</w:t>
      </w:r>
      <w:r w:rsidR="0040516C">
        <w:t xml:space="preserve"> </w:t>
      </w:r>
      <w:r w:rsidR="00531625">
        <w:t>qualifie de</w:t>
      </w:r>
      <w:r w:rsidR="0040516C">
        <w:t xml:space="preserve"> </w:t>
      </w:r>
      <w:r w:rsidR="00085539">
        <w:t>« </w:t>
      </w:r>
      <w:r w:rsidR="0040516C">
        <w:t>véritable droit humain qui revient à l’humain en tant qu’humain</w:t>
      </w:r>
      <w:r w:rsidR="00085539">
        <w:t> »</w:t>
      </w:r>
      <w:r w:rsidR="00531625">
        <w:rPr>
          <w:rStyle w:val="Marquenotebasdepage"/>
        </w:rPr>
        <w:footnoteReference w:id="23"/>
      </w:r>
      <w:r w:rsidR="0040516C">
        <w:t>.</w:t>
      </w:r>
    </w:p>
    <w:p w14:paraId="473B6197" w14:textId="4C1BB5F9" w:rsidR="009D538E" w:rsidRDefault="0040516C" w:rsidP="009D538E">
      <w:pPr>
        <w:spacing w:line="360" w:lineRule="auto"/>
        <w:ind w:firstLine="425"/>
        <w:jc w:val="both"/>
      </w:pPr>
      <w:r>
        <w:t>Aussi, l</w:t>
      </w:r>
      <w:r w:rsidR="006D6C62">
        <w:t>e concept kantie</w:t>
      </w:r>
      <w:r>
        <w:t>n de droit humain</w:t>
      </w:r>
      <w:r w:rsidR="00733101">
        <w:t xml:space="preserve"> </w:t>
      </w:r>
      <w:r>
        <w:t>ne relève-t-il</w:t>
      </w:r>
      <w:r w:rsidR="006D6C62">
        <w:t xml:space="preserve"> ni seulement du droit naturel (puisque </w:t>
      </w:r>
      <w:r w:rsidR="00085539">
        <w:t xml:space="preserve">son </w:t>
      </w:r>
      <w:r w:rsidR="006D6C62">
        <w:t>effe</w:t>
      </w:r>
      <w:r w:rsidR="00C21312">
        <w:t>ctivité exige l’entrée dans l’état civil,</w:t>
      </w:r>
      <w:r w:rsidR="00DE7DCC">
        <w:t xml:space="preserve"> la souveraineté de l’É</w:t>
      </w:r>
      <w:r w:rsidR="006D6C62">
        <w:t xml:space="preserve">tat et </w:t>
      </w:r>
      <w:r w:rsidR="0071634C">
        <w:t>la positivité du droit</w:t>
      </w:r>
      <w:r w:rsidR="006D6C62">
        <w:t>) ni seulem</w:t>
      </w:r>
      <w:r w:rsidR="00085539">
        <w:t>ent du droit positif (puisqu’il</w:t>
      </w:r>
      <w:r w:rsidR="006D6C62">
        <w:t xml:space="preserve"> désign</w:t>
      </w:r>
      <w:r w:rsidR="00085539">
        <w:t>e</w:t>
      </w:r>
      <w:r w:rsidR="006D6C62">
        <w:t xml:space="preserve"> en plus les exigences du droit rationnel comme</w:t>
      </w:r>
      <w:r w:rsidR="009F4ADF">
        <w:t xml:space="preserve"> étalon de mesure de la justesse normative</w:t>
      </w:r>
      <w:r w:rsidR="006D6C62">
        <w:t xml:space="preserve"> du droit positif)</w:t>
      </w:r>
      <w:r w:rsidR="00173247">
        <w:rPr>
          <w:rStyle w:val="Marquenotebasdepage"/>
        </w:rPr>
        <w:footnoteReference w:id="24"/>
      </w:r>
      <w:r w:rsidR="006D6C62">
        <w:t xml:space="preserve">, de même qu’il ne se fonde ni seulement dans le droit privé ni seulement dans le droit public, mais </w:t>
      </w:r>
      <w:r w:rsidR="00085539">
        <w:t>qu’</w:t>
      </w:r>
      <w:r w:rsidR="006D6C62">
        <w:t xml:space="preserve">il constitue </w:t>
      </w:r>
      <w:r w:rsidR="00085539">
        <w:t xml:space="preserve">pour ainsi dire </w:t>
      </w:r>
      <w:r w:rsidR="006D6C62">
        <w:t xml:space="preserve">la synthèse originaire des deux </w:t>
      </w:r>
      <w:r w:rsidR="00275D2A">
        <w:t>grandes branches</w:t>
      </w:r>
      <w:r w:rsidR="006D6C62">
        <w:t xml:space="preserve"> du droit.</w:t>
      </w:r>
    </w:p>
    <w:p w14:paraId="5E20DC4F" w14:textId="77777777" w:rsidR="009D538E" w:rsidRDefault="009D538E" w:rsidP="009D538E">
      <w:pPr>
        <w:spacing w:line="360" w:lineRule="auto"/>
        <w:ind w:firstLine="425"/>
        <w:jc w:val="both"/>
      </w:pPr>
    </w:p>
    <w:p w14:paraId="0E427D9C" w14:textId="543F4F90" w:rsidR="0097408B" w:rsidRPr="0097408B" w:rsidRDefault="00670F62" w:rsidP="00616DBF">
      <w:pPr>
        <w:spacing w:line="360" w:lineRule="auto"/>
        <w:ind w:firstLine="425"/>
        <w:jc w:val="both"/>
        <w:rPr>
          <w:i/>
        </w:rPr>
      </w:pPr>
      <w:r w:rsidRPr="0097408B">
        <w:rPr>
          <w:i/>
        </w:rPr>
        <w:t xml:space="preserve">3. </w:t>
      </w:r>
      <w:r w:rsidR="0097408B" w:rsidRPr="0097408B">
        <w:rPr>
          <w:i/>
        </w:rPr>
        <w:t>Fonction critique de la division : usage public et usage privé de la raison</w:t>
      </w:r>
    </w:p>
    <w:p w14:paraId="55CAAE93" w14:textId="27D98BAF" w:rsidR="00324DF2" w:rsidRDefault="00C21312" w:rsidP="00616DBF">
      <w:pPr>
        <w:spacing w:line="360" w:lineRule="auto"/>
        <w:ind w:firstLine="425"/>
        <w:jc w:val="both"/>
      </w:pPr>
      <w:r>
        <w:t>Cette dynamique progressive du droit nous conduit enfin à la troisième fonction de la division juridique public-privé chez Kant, celle que recouvre l’o</w:t>
      </w:r>
      <w:r w:rsidR="001A6339">
        <w:t>pposition bien connue entre usage</w:t>
      </w:r>
      <w:r>
        <w:t xml:space="preserve"> public et </w:t>
      </w:r>
      <w:r w:rsidR="001A6339">
        <w:t xml:space="preserve">usage </w:t>
      </w:r>
      <w:r>
        <w:t xml:space="preserve">privé de la raison. </w:t>
      </w:r>
      <w:r w:rsidR="00EE50D3">
        <w:t xml:space="preserve">Cette distinction ne </w:t>
      </w:r>
      <w:r w:rsidR="00693BFD">
        <w:t>recoupe</w:t>
      </w:r>
      <w:r w:rsidR="00EE50D3">
        <w:t xml:space="preserve"> </w:t>
      </w:r>
      <w:r w:rsidR="00693BFD">
        <w:t xml:space="preserve">sans doute </w:t>
      </w:r>
      <w:r w:rsidR="00EE50D3">
        <w:t xml:space="preserve">pas </w:t>
      </w:r>
      <w:r w:rsidR="00EE50D3">
        <w:lastRenderedPageBreak/>
        <w:t>directement celle entre droit privé et droit public, mais elle n’en demeure pas moins fondamentalement juridique, non seulement parce qu’elle repose sur le principe de publicité qui a été établi</w:t>
      </w:r>
      <w:r w:rsidR="006B4248">
        <w:t xml:space="preserve"> comme la forme générale de toute loi véritable et la condition de tout état juridique, mais aussi parce qu’elle renvoie aux limitations légitimes ou non qu’on peut opposer à l’une des libertés les plus fondamentales, la liberté d’expression. </w:t>
      </w:r>
      <w:r w:rsidR="00DA781B">
        <w:t xml:space="preserve">Depuis son écrit sur les Lumières de 1784, Kant </w:t>
      </w:r>
      <w:r w:rsidR="00693BFD">
        <w:t xml:space="preserve">a </w:t>
      </w:r>
      <w:r w:rsidR="00DA781B">
        <w:t>posé le principe de publicité et l’usage public de la raison comme les moteurs les plus efficaces de la propagation durable des</w:t>
      </w:r>
      <w:r w:rsidR="00693BFD">
        <w:t xml:space="preserve"> valeurs des</w:t>
      </w:r>
      <w:r w:rsidR="00DA781B">
        <w:t xml:space="preserve"> Lumières. L’usage public de la raison est, dit Kant, celui qu’on peut faire « comme </w:t>
      </w:r>
      <w:r w:rsidR="00DA781B" w:rsidRPr="00DA781B">
        <w:rPr>
          <w:i/>
        </w:rPr>
        <w:t xml:space="preserve">savant </w:t>
      </w:r>
      <w:r w:rsidR="00DA781B">
        <w:t xml:space="preserve">devant l’ensemble du public qui </w:t>
      </w:r>
      <w:r w:rsidR="00DA781B" w:rsidRPr="00DA781B">
        <w:rPr>
          <w:i/>
        </w:rPr>
        <w:t>lit </w:t>
      </w:r>
      <w:r w:rsidR="00DA781B">
        <w:t>», par opposition à l’usage privé qui caractérise l’activité rationnelle dans le cadre d’un poste civil ou d’une fonction q</w:t>
      </w:r>
      <w:r w:rsidR="00693BFD">
        <w:t xml:space="preserve">ui </w:t>
      </w:r>
      <w:r w:rsidR="00DA781B">
        <w:t>est confiée</w:t>
      </w:r>
      <w:r w:rsidR="00693BFD">
        <w:t xml:space="preserve"> à un agent</w:t>
      </w:r>
      <w:r w:rsidR="00DA781B">
        <w:t xml:space="preserve"> dans une communauté</w:t>
      </w:r>
      <w:r w:rsidR="00693BFD">
        <w:t xml:space="preserve"> donnée</w:t>
      </w:r>
      <w:r w:rsidR="00DA781B">
        <w:t>, qu’il s’agisse d’un poste d’instituteur, de fonctionnaire, ou de ministre du culte. Il est bien connu que Kant promeut un usage non restreint de la liberté de s’exprimer par écrit face au public, en tant que cette liberté de plume (</w:t>
      </w:r>
      <w:r w:rsidR="00DA781B" w:rsidRPr="00DA781B">
        <w:rPr>
          <w:i/>
        </w:rPr>
        <w:t>Freiheit der Feder</w:t>
      </w:r>
      <w:r w:rsidR="00DA781B">
        <w:t>) est l’ultime palladium</w:t>
      </w:r>
      <w:r w:rsidR="00616DBF">
        <w:t>, le dernier ref</w:t>
      </w:r>
      <w:r w:rsidR="00C307AB">
        <w:t>uge des droits du peuple face à un</w:t>
      </w:r>
      <w:r w:rsidR="00616DBF">
        <w:t xml:space="preserve"> souverain inique</w:t>
      </w:r>
      <w:r w:rsidR="00616DBF">
        <w:rPr>
          <w:rStyle w:val="Marquenotebasdepage"/>
        </w:rPr>
        <w:footnoteReference w:id="25"/>
      </w:r>
      <w:r w:rsidR="00616DBF">
        <w:t>. Puisqu’il n’y a pas pour Kant de justification juridique possible du droit de</w:t>
      </w:r>
      <w:r w:rsidR="0044613C">
        <w:t xml:space="preserve"> désobéissance, de</w:t>
      </w:r>
      <w:r w:rsidR="00616DBF">
        <w:t xml:space="preserve"> rébellion</w:t>
      </w:r>
      <w:r w:rsidR="0044613C">
        <w:t xml:space="preserve">, ni </w:t>
      </w:r>
      <w:r w:rsidR="0044613C" w:rsidRPr="0097408B">
        <w:rPr>
          <w:i/>
        </w:rPr>
        <w:t xml:space="preserve">a fortiori </w:t>
      </w:r>
      <w:r w:rsidR="0044613C">
        <w:t>de révolution</w:t>
      </w:r>
      <w:r w:rsidR="00616DBF">
        <w:t xml:space="preserve">, l’usage public de la raison par la liberté d’écrire est l’unique façon de critiquer et </w:t>
      </w:r>
      <w:r w:rsidR="0044613C">
        <w:t xml:space="preserve">de tenter </w:t>
      </w:r>
      <w:r w:rsidR="00616DBF">
        <w:t>d’améliorer la législation en cours. Mais le rôle insigne de l’usage public de la raison ne signifie pas que son usage privé, caractérisé par des restrictions opposées à la liberté d’expression, serait pour autant méprisable</w:t>
      </w:r>
      <w:r w:rsidR="0044613C">
        <w:t xml:space="preserve"> ou négligeable</w:t>
      </w:r>
      <w:r w:rsidR="00616DBF">
        <w:t>. Au contraire, s</w:t>
      </w:r>
      <w:r w:rsidR="00324DF2">
        <w:t xml:space="preserve">i Kant défend également la légitimité d’un usage </w:t>
      </w:r>
      <w:r w:rsidR="00324DF2" w:rsidRPr="00BA1BC6">
        <w:rPr>
          <w:i/>
        </w:rPr>
        <w:t>privé</w:t>
      </w:r>
      <w:r w:rsidR="00324DF2">
        <w:t xml:space="preserve"> de la raison, ce n’est pas </w:t>
      </w:r>
      <w:r w:rsidR="002D4E43">
        <w:t>simplement parce qu’il serait</w:t>
      </w:r>
      <w:r w:rsidR="00324DF2">
        <w:t xml:space="preserve"> prudent face à la censure ou conservateur dans ses options politiques, </w:t>
      </w:r>
      <w:r w:rsidR="00616DBF">
        <w:t xml:space="preserve">mais </w:t>
      </w:r>
      <w:r w:rsidR="00324DF2">
        <w:t xml:space="preserve">c’est parce que le droit a </w:t>
      </w:r>
      <w:r w:rsidR="0077379D">
        <w:t xml:space="preserve">en </w:t>
      </w:r>
      <w:r w:rsidR="00324DF2">
        <w:t>lui-même</w:t>
      </w:r>
      <w:r w:rsidR="0077379D">
        <w:t>, outre sa tendance progressive et réformiste,</w:t>
      </w:r>
      <w:r w:rsidR="00324DF2">
        <w:t xml:space="preserve"> une dimension</w:t>
      </w:r>
      <w:r w:rsidR="002D4E43">
        <w:t xml:space="preserve"> prudentielle et</w:t>
      </w:r>
      <w:r w:rsidR="00324DF2">
        <w:t xml:space="preserve"> conservatrice, </w:t>
      </w:r>
      <w:r w:rsidR="00616DBF">
        <w:t>que prend en charge cet usage</w:t>
      </w:r>
      <w:r w:rsidR="005A019B">
        <w:t xml:space="preserve"> privé de la raison</w:t>
      </w:r>
      <w:r w:rsidR="00324DF2">
        <w:t>.</w:t>
      </w:r>
    </w:p>
    <w:p w14:paraId="46399682" w14:textId="7B13284F" w:rsidR="00324DF2" w:rsidRDefault="000362D9" w:rsidP="006E5BAE">
      <w:pPr>
        <w:spacing w:line="360" w:lineRule="auto"/>
        <w:ind w:firstLine="425"/>
        <w:jc w:val="both"/>
      </w:pPr>
      <w:r>
        <w:t>L’usage privé de la raison</w:t>
      </w:r>
      <w:r w:rsidR="00B2280B">
        <w:t xml:space="preserve"> n’a</w:t>
      </w:r>
      <w:r w:rsidR="00733101">
        <w:t xml:space="preserve"> </w:t>
      </w:r>
      <w:r w:rsidR="00B2280B">
        <w:t>plus</w:t>
      </w:r>
      <w:r w:rsidR="00693BFD">
        <w:t xml:space="preserve"> ici</w:t>
      </w:r>
      <w:r w:rsidR="00B2280B">
        <w:t xml:space="preserve"> qu’un rapport analogique</w:t>
      </w:r>
      <w:r w:rsidR="00B2280B" w:rsidRPr="00B2280B">
        <w:t xml:space="preserve"> </w:t>
      </w:r>
      <w:r w:rsidR="00B2280B">
        <w:t xml:space="preserve">avec le droit privé, </w:t>
      </w:r>
      <w:r w:rsidR="00BA1BC6">
        <w:t xml:space="preserve">au sens où </w:t>
      </w:r>
      <w:r w:rsidR="00B2280B">
        <w:t>cet usage</w:t>
      </w:r>
      <w:r w:rsidR="009F4ADF">
        <w:t xml:space="preserve"> est déterminé par les règles d’une </w:t>
      </w:r>
      <w:r w:rsidR="00324DF2">
        <w:t>communauté limitée,</w:t>
      </w:r>
      <w:r w:rsidR="009F4ADF">
        <w:t xml:space="preserve"> qu’il s’agisse d’une communauté politique</w:t>
      </w:r>
      <w:r>
        <w:t>, sociale</w:t>
      </w:r>
      <w:r w:rsidR="009F4ADF">
        <w:t xml:space="preserve"> ou religieuse</w:t>
      </w:r>
      <w:r>
        <w:t xml:space="preserve">, et qu’on s’y comporte, dit Kant, comme « dans une réunion de famille », </w:t>
      </w:r>
      <w:r w:rsidR="00723128">
        <w:t>à l’instar du prêtre dans sa paroisse, qui doit respecter le dogme</w:t>
      </w:r>
      <w:r w:rsidR="0035060B">
        <w:t xml:space="preserve"> de son église</w:t>
      </w:r>
      <w:r w:rsidR="00723128">
        <w:t xml:space="preserve"> dans son activité pastorale</w:t>
      </w:r>
      <w:r w:rsidR="0035060B">
        <w:t xml:space="preserve"> (ce qu</w:t>
      </w:r>
      <w:r w:rsidR="0097408B">
        <w:t>e Kant appelle le symbole de l’É</w:t>
      </w:r>
      <w:r w:rsidR="0035060B">
        <w:t>glise)</w:t>
      </w:r>
      <w:r w:rsidR="00723128">
        <w:t xml:space="preserve"> – quoiqu’il puisse par ailleurs critiquer ce même dogme par écrit, en tant que savant, faisant alors un usage public de sa raison</w:t>
      </w:r>
      <w:r w:rsidR="009D538E">
        <w:rPr>
          <w:rStyle w:val="Marquenotebasdepage"/>
        </w:rPr>
        <w:footnoteReference w:id="26"/>
      </w:r>
      <w:r>
        <w:t>. Il est d’ailleurs piquant de remarquer que cette analogie familiale vaut en principe aussi pour le fonctionnaire qui, dans le</w:t>
      </w:r>
      <w:r w:rsidR="0097408B">
        <w:t xml:space="preserve"> cadre de ses fonctions pour l’É</w:t>
      </w:r>
      <w:r>
        <w:t xml:space="preserve">tat, fait </w:t>
      </w:r>
      <w:r>
        <w:lastRenderedPageBreak/>
        <w:t xml:space="preserve">également un usage </w:t>
      </w:r>
      <w:r w:rsidRPr="0097408B">
        <w:rPr>
          <w:i/>
        </w:rPr>
        <w:t>privé</w:t>
      </w:r>
      <w:r>
        <w:t xml:space="preserve"> et non public de la raison. </w:t>
      </w:r>
      <w:r w:rsidR="0035060B">
        <w:t>Or la</w:t>
      </w:r>
      <w:r w:rsidR="00693BFD">
        <w:t xml:space="preserve"> mission</w:t>
      </w:r>
      <w:r w:rsidR="0035060B">
        <w:t xml:space="preserve"> générale de c</w:t>
      </w:r>
      <w:r>
        <w:t>et</w:t>
      </w:r>
      <w:r w:rsidR="0035060B">
        <w:t xml:space="preserve"> usage privé de la raison est </w:t>
      </w:r>
      <w:r>
        <w:t>de préserver</w:t>
      </w:r>
      <w:r w:rsidR="00324DF2">
        <w:t xml:space="preserve"> la règle de vie </w:t>
      </w:r>
      <w:r w:rsidR="00723128">
        <w:t>propre à une communauté</w:t>
      </w:r>
      <w:r w:rsidR="00324DF2">
        <w:t xml:space="preserve">, dans l’imperfection où elle </w:t>
      </w:r>
      <w:r w:rsidR="00693BFD">
        <w:t>se trouve</w:t>
      </w:r>
      <w:r w:rsidR="009F4ADF">
        <w:t xml:space="preserve"> </w:t>
      </w:r>
      <w:r w:rsidR="005D0730">
        <w:t>à un moment</w:t>
      </w:r>
      <w:r w:rsidR="009F4ADF">
        <w:t xml:space="preserve"> donné</w:t>
      </w:r>
      <w:r w:rsidR="00324DF2">
        <w:t xml:space="preserve">, car </w:t>
      </w:r>
      <w:r w:rsidR="0021347D">
        <w:t>toute imparfaite soit-elle, cette règle</w:t>
      </w:r>
      <w:r w:rsidR="00324DF2">
        <w:t xml:space="preserve"> </w:t>
      </w:r>
      <w:r w:rsidR="0021347D" w:rsidRPr="0097408B">
        <w:rPr>
          <w:i/>
        </w:rPr>
        <w:t xml:space="preserve">conserve </w:t>
      </w:r>
      <w:r w:rsidR="0021347D">
        <w:t xml:space="preserve">l’intégrité juridique de cette communauté. Et c’est parce que cette </w:t>
      </w:r>
      <w:r w:rsidR="0035060B">
        <w:t xml:space="preserve">fonction </w:t>
      </w:r>
      <w:r w:rsidR="0021347D">
        <w:t xml:space="preserve">conservatrice est </w:t>
      </w:r>
      <w:r w:rsidR="0053102E">
        <w:t>d’abord garantie</w:t>
      </w:r>
      <w:r w:rsidR="0021347D">
        <w:t xml:space="preserve"> que l’usage public de la raison peut et doit</w:t>
      </w:r>
      <w:r w:rsidR="0053102E">
        <w:t xml:space="preserve"> ensuite</w:t>
      </w:r>
      <w:r w:rsidR="0021347D">
        <w:t xml:space="preserve"> travailler à perfectionner sans cesse la qualité légistique et la légitimité rationnelle des normes adoptées, en les cr</w:t>
      </w:r>
      <w:r w:rsidR="005F10CE">
        <w:t>itiquant publiquement à l’aune</w:t>
      </w:r>
      <w:r w:rsidR="0021347D">
        <w:t xml:space="preserve"> </w:t>
      </w:r>
      <w:r w:rsidR="005F10CE">
        <w:t xml:space="preserve">de l’étalon normatif </w:t>
      </w:r>
      <w:r w:rsidR="0021347D">
        <w:t>du droit naturel</w:t>
      </w:r>
      <w:r w:rsidR="009859F5">
        <w:t xml:space="preserve"> ou de </w:t>
      </w:r>
      <w:r w:rsidR="005F10CE">
        <w:t xml:space="preserve">l’idée du </w:t>
      </w:r>
      <w:r w:rsidR="009859F5">
        <w:t>« </w:t>
      </w:r>
      <w:r w:rsidR="005F10CE">
        <w:t>droit humain »</w:t>
      </w:r>
      <w:r w:rsidR="0021347D">
        <w:t>.</w:t>
      </w:r>
    </w:p>
    <w:p w14:paraId="49CA2F57" w14:textId="52113FF5" w:rsidR="00033BA4" w:rsidRDefault="00033BA4" w:rsidP="006E5BAE">
      <w:pPr>
        <w:spacing w:line="360" w:lineRule="auto"/>
        <w:ind w:firstLine="425"/>
        <w:jc w:val="both"/>
      </w:pPr>
      <w:r>
        <w:t>La distinction entre usage public et usage privé de la raison renvoie donc</w:t>
      </w:r>
      <w:r w:rsidR="007A2F50">
        <w:t xml:space="preserve"> à une troisième </w:t>
      </w:r>
      <w:r>
        <w:t xml:space="preserve">fonction de la division juridique public-privé : une </w:t>
      </w:r>
      <w:r w:rsidRPr="00F75935">
        <w:rPr>
          <w:i/>
        </w:rPr>
        <w:t>fonction critique</w:t>
      </w:r>
      <w:r>
        <w:t xml:space="preserve"> permettant de discerner les </w:t>
      </w:r>
      <w:r w:rsidR="007A2F50">
        <w:t>communautés</w:t>
      </w:r>
      <w:r>
        <w:t xml:space="preserve"> fermé</w:t>
      </w:r>
      <w:r w:rsidR="007A2F50">
        <w:t>e</w:t>
      </w:r>
      <w:r>
        <w:t>s ou ouvert</w:t>
      </w:r>
      <w:r w:rsidR="007A2F50">
        <w:t>e</w:t>
      </w:r>
      <w:r>
        <w:t>s devant lesquels le droit peut être jugé. Dans son usage privé, la raison ne juge le droit qu’en relation aux règles, besoins, préjugés et attentes d’une communauté limitée (fût-elle la communau</w:t>
      </w:r>
      <w:r w:rsidR="0097408B">
        <w:t>té politique limitée qu’est un É</w:t>
      </w:r>
      <w:r>
        <w:t>tat particulier), en étant restreinte dans son expression par de telles règles et besoins particuliers ; dans son usage public, la raison juge le droit en relation avec les besoins, exigences et attentes de la communauté humaine tout entière, telle qu’elle peut s’exprimer progressivement à travers les échanges du public qui lit et qui écrit</w:t>
      </w:r>
      <w:r w:rsidR="003E210B">
        <w:t xml:space="preserve"> d’une époque</w:t>
      </w:r>
      <w:r>
        <w:t>, en étant restreint</w:t>
      </w:r>
      <w:r w:rsidR="00693BFD">
        <w:t>e</w:t>
      </w:r>
      <w:r>
        <w:t xml:space="preserve"> par rien d’autre que l’idée rationnelle du droit humain et l’obligation de la réalisation lente et progressive d’un ordre juridique mondial. La fonction critique de la dist</w:t>
      </w:r>
      <w:r w:rsidR="00C70546">
        <w:t>inction entre les usages public et privé</w:t>
      </w:r>
      <w:r>
        <w:t xml:space="preserve"> de la raison permet ainsi d’articuler les dimensions </w:t>
      </w:r>
      <w:r w:rsidR="00043AA8">
        <w:t>réformistes et conservatrices du droit, soit d’intégrer le</w:t>
      </w:r>
      <w:r w:rsidR="00C70546">
        <w:t>s réquisits du</w:t>
      </w:r>
      <w:r w:rsidR="00043AA8">
        <w:t xml:space="preserve"> droit humain dans la positivité du droit sans prendre le risque de mettre en cause les fondements de l’ordre constitutionnel.</w:t>
      </w:r>
    </w:p>
    <w:p w14:paraId="1FB48309" w14:textId="77777777" w:rsidR="007F0604" w:rsidRDefault="007F0604" w:rsidP="006E5BAE">
      <w:pPr>
        <w:spacing w:line="360" w:lineRule="auto"/>
        <w:ind w:firstLine="425"/>
        <w:jc w:val="both"/>
      </w:pPr>
    </w:p>
    <w:p w14:paraId="6B13AF22" w14:textId="56DD068F" w:rsidR="007F0604" w:rsidRDefault="00F75935" w:rsidP="006E5BAE">
      <w:pPr>
        <w:spacing w:line="360" w:lineRule="auto"/>
        <w:ind w:firstLine="425"/>
        <w:jc w:val="both"/>
      </w:pPr>
      <w:r>
        <w:t>Pour conclure, l</w:t>
      </w:r>
      <w:r w:rsidR="007B419F">
        <w:t>es trois fonction</w:t>
      </w:r>
      <w:r w:rsidR="006528BA">
        <w:t xml:space="preserve">s que </w:t>
      </w:r>
      <w:r w:rsidR="00694DFC">
        <w:t>Kant donne à</w:t>
      </w:r>
      <w:r w:rsidR="007B419F">
        <w:t xml:space="preserve"> la </w:t>
      </w:r>
      <w:r w:rsidR="00D56135">
        <w:t>distinction</w:t>
      </w:r>
      <w:r w:rsidR="007B419F">
        <w:t xml:space="preserve"> </w:t>
      </w:r>
      <w:r w:rsidR="00774D75">
        <w:t>public-privé</w:t>
      </w:r>
      <w:r w:rsidR="00693BFD">
        <w:t xml:space="preserve"> – fonctions </w:t>
      </w:r>
      <w:r w:rsidR="00DF4C29">
        <w:t>stru</w:t>
      </w:r>
      <w:r w:rsidR="00693BFD">
        <w:t>cturelle, génétique et critique –</w:t>
      </w:r>
      <w:r w:rsidR="007B419F">
        <w:t xml:space="preserve"> </w:t>
      </w:r>
      <w:r>
        <w:t xml:space="preserve">nous </w:t>
      </w:r>
      <w:r w:rsidR="007B419F">
        <w:t>montrent que celle</w:t>
      </w:r>
      <w:r w:rsidR="006528BA">
        <w:t>-</w:t>
      </w:r>
      <w:r w:rsidR="007B419F">
        <w:t xml:space="preserve">ci </w:t>
      </w:r>
      <w:r w:rsidR="006528BA">
        <w:t>est à la fois nécessaire dans son principe</w:t>
      </w:r>
      <w:r w:rsidR="00693BFD">
        <w:t xml:space="preserve"> au concept de droit</w:t>
      </w:r>
      <w:r w:rsidR="006528BA">
        <w:t xml:space="preserve"> et varia</w:t>
      </w:r>
      <w:r w:rsidR="0097408B">
        <w:t>ble dans ses contours, puisque Kant</w:t>
      </w:r>
      <w:r w:rsidR="006528BA">
        <w:t xml:space="preserve"> fait varier le sens même des termes </w:t>
      </w:r>
      <w:r w:rsidR="00774D75">
        <w:t>« </w:t>
      </w:r>
      <w:r w:rsidR="006528BA">
        <w:t>privé</w:t>
      </w:r>
      <w:r w:rsidR="00774D75">
        <w:t> »</w:t>
      </w:r>
      <w:r w:rsidR="006528BA">
        <w:t xml:space="preserve"> et </w:t>
      </w:r>
      <w:r w:rsidR="00774D75">
        <w:t>« </w:t>
      </w:r>
      <w:r w:rsidR="006528BA">
        <w:t>public</w:t>
      </w:r>
      <w:r w:rsidR="00774D75">
        <w:t> »</w:t>
      </w:r>
      <w:r w:rsidR="006528BA">
        <w:t xml:space="preserve"> à mesure où il en développe la di</w:t>
      </w:r>
      <w:r>
        <w:t>alectique</w:t>
      </w:r>
      <w:r w:rsidR="006528BA">
        <w:t xml:space="preserve">. Pour le philosophe, cette division </w:t>
      </w:r>
      <w:r w:rsidR="00276C2B">
        <w:t>renvoie non pas</w:t>
      </w:r>
      <w:r w:rsidR="00305E04">
        <w:t xml:space="preserve"> </w:t>
      </w:r>
      <w:r w:rsidR="00276C2B">
        <w:t xml:space="preserve">à </w:t>
      </w:r>
      <w:r w:rsidR="007B419F">
        <w:t xml:space="preserve">une séparation </w:t>
      </w:r>
      <w:r w:rsidR="006D63B6">
        <w:t xml:space="preserve">figée </w:t>
      </w:r>
      <w:r w:rsidR="006528BA">
        <w:t>entre deux</w:t>
      </w:r>
      <w:r w:rsidR="00276C2B">
        <w:t xml:space="preserve"> </w:t>
      </w:r>
      <w:r w:rsidR="00276C2B" w:rsidRPr="007B419F">
        <w:rPr>
          <w:i/>
        </w:rPr>
        <w:t>domaines</w:t>
      </w:r>
      <w:r w:rsidR="00276C2B">
        <w:t xml:space="preserve"> </w:t>
      </w:r>
      <w:r w:rsidR="007B419F">
        <w:t>ontologiques</w:t>
      </w:r>
      <w:r>
        <w:t xml:space="preserve"> du droit, </w:t>
      </w:r>
      <w:r w:rsidR="00694DFC">
        <w:t xml:space="preserve">mais plutôt </w:t>
      </w:r>
      <w:r w:rsidR="006528BA">
        <w:t>à une distinction</w:t>
      </w:r>
      <w:r w:rsidR="006D63B6">
        <w:t xml:space="preserve"> évolutive</w:t>
      </w:r>
      <w:r>
        <w:t xml:space="preserve"> entre</w:t>
      </w:r>
      <w:r w:rsidR="006528BA">
        <w:t xml:space="preserve"> l</w:t>
      </w:r>
      <w:r w:rsidR="007B419F">
        <w:t xml:space="preserve">es </w:t>
      </w:r>
      <w:r w:rsidR="007B419F" w:rsidRPr="007B419F">
        <w:rPr>
          <w:i/>
        </w:rPr>
        <w:t xml:space="preserve">aspects </w:t>
      </w:r>
      <w:r w:rsidR="007B419F">
        <w:t>opposés et complémentaires des relations juridiques ou des opérations des acteurs juridiq</w:t>
      </w:r>
      <w:r w:rsidR="006528BA">
        <w:t>ues</w:t>
      </w:r>
      <w:r w:rsidR="007B419F">
        <w:t>.</w:t>
      </w:r>
      <w:r>
        <w:t xml:space="preserve"> La</w:t>
      </w:r>
      <w:r w:rsidR="007B419F">
        <w:t xml:space="preserve">dite </w:t>
      </w:r>
      <w:r w:rsidR="007B419F" w:rsidRPr="007B419F">
        <w:rPr>
          <w:i/>
        </w:rPr>
        <w:t xml:space="preserve">summa divisio </w:t>
      </w:r>
      <w:r w:rsidR="007B419F">
        <w:t>n’est donc pas</w:t>
      </w:r>
      <w:r w:rsidR="00694DFC">
        <w:t xml:space="preserve"> tant</w:t>
      </w:r>
      <w:r w:rsidR="007B419F">
        <w:t xml:space="preserve"> </w:t>
      </w:r>
      <w:r w:rsidR="006528BA">
        <w:t>suprême, au sens d’absolue et immuable</w:t>
      </w:r>
      <w:r w:rsidR="007F0604">
        <w:t xml:space="preserve">, </w:t>
      </w:r>
      <w:r w:rsidR="00694DFC">
        <w:t>que</w:t>
      </w:r>
      <w:r w:rsidR="00305E04">
        <w:t xml:space="preserve"> </w:t>
      </w:r>
      <w:r w:rsidR="007F0604" w:rsidRPr="00693BFD">
        <w:rPr>
          <w:i/>
        </w:rPr>
        <w:t>matricielle</w:t>
      </w:r>
      <w:r w:rsidR="007F0604">
        <w:t xml:space="preserve">, </w:t>
      </w:r>
      <w:r w:rsidR="006528BA">
        <w:t>au sens où elle désigne</w:t>
      </w:r>
      <w:r>
        <w:t xml:space="preserve"> d’abord</w:t>
      </w:r>
      <w:r w:rsidR="006528BA">
        <w:t xml:space="preserve"> </w:t>
      </w:r>
      <w:r w:rsidR="007F0604">
        <w:t>une distinction</w:t>
      </w:r>
      <w:r>
        <w:t xml:space="preserve"> transcendantale</w:t>
      </w:r>
      <w:r w:rsidR="00774D75">
        <w:t xml:space="preserve"> originaire</w:t>
      </w:r>
      <w:r>
        <w:t>, entre les aspects de manifestation de la liberté, comme pluralité d’individus et comme totalité du corps social,</w:t>
      </w:r>
      <w:r w:rsidR="006528BA">
        <w:t xml:space="preserve"> qui constitue</w:t>
      </w:r>
      <w:r>
        <w:t xml:space="preserve"> ensuite</w:t>
      </w:r>
      <w:r w:rsidR="007F0604">
        <w:t xml:space="preserve"> le point de départ d’une série de distinctions dérivées, développées par </w:t>
      </w:r>
      <w:r w:rsidR="007F0604">
        <w:lastRenderedPageBreak/>
        <w:t>analogie</w:t>
      </w:r>
      <w:r w:rsidR="00E75037">
        <w:t>, par association</w:t>
      </w:r>
      <w:r w:rsidR="006528BA">
        <w:t xml:space="preserve"> ou par extension, lesquelles</w:t>
      </w:r>
      <w:r w:rsidR="007F0604">
        <w:t xml:space="preserve"> peuvent s’avérer très utiles</w:t>
      </w:r>
      <w:r w:rsidR="00011516">
        <w:t xml:space="preserve"> pour affiner ces contours et en suivre les sinuosités</w:t>
      </w:r>
      <w:r w:rsidR="00E75037">
        <w:t>, voire</w:t>
      </w:r>
      <w:r w:rsidR="00011516">
        <w:t xml:space="preserve"> les inversions</w:t>
      </w:r>
      <w:r w:rsidR="006528BA">
        <w:t xml:space="preserve"> de signes – </w:t>
      </w:r>
      <w:r w:rsidR="00011516">
        <w:t xml:space="preserve">au point, </w:t>
      </w:r>
      <w:r w:rsidR="006528BA">
        <w:t>nous l’avons vu</w:t>
      </w:r>
      <w:r w:rsidR="00011516">
        <w:t xml:space="preserve">, </w:t>
      </w:r>
      <w:r w:rsidR="006D1508">
        <w:t>de qualifier le droit des gens de « droit seulement privé », faute de reposer sur un ordre légal public</w:t>
      </w:r>
      <w:r w:rsidR="00DE7DCC">
        <w:t>,</w:t>
      </w:r>
      <w:r w:rsidR="006D1508">
        <w:t xml:space="preserve"> ou </w:t>
      </w:r>
      <w:r w:rsidR="00011516">
        <w:t>de</w:t>
      </w:r>
      <w:r w:rsidR="00BA1BC6">
        <w:t xml:space="preserve"> considérer que les fonctionnaires font </w:t>
      </w:r>
      <w:r w:rsidR="006D1508">
        <w:t>un usage privé de leur raison</w:t>
      </w:r>
      <w:r w:rsidR="00011516">
        <w:t>.</w:t>
      </w:r>
      <w:r w:rsidR="00276C2B">
        <w:t xml:space="preserve"> </w:t>
      </w:r>
    </w:p>
    <w:p w14:paraId="4398EFA9" w14:textId="77777777" w:rsidR="006973A1" w:rsidRDefault="006973A1" w:rsidP="006E5BAE">
      <w:pPr>
        <w:spacing w:line="360" w:lineRule="auto"/>
        <w:ind w:firstLine="425"/>
        <w:jc w:val="both"/>
      </w:pPr>
    </w:p>
    <w:p w14:paraId="5D2F057A" w14:textId="77777777" w:rsidR="006973A1" w:rsidRDefault="006973A1" w:rsidP="006E5BAE">
      <w:pPr>
        <w:spacing w:line="360" w:lineRule="auto"/>
        <w:ind w:firstLine="425"/>
        <w:jc w:val="both"/>
      </w:pPr>
    </w:p>
    <w:p w14:paraId="6FF2066A" w14:textId="48990B0A" w:rsidR="006973A1" w:rsidRDefault="006973A1" w:rsidP="006E5BAE">
      <w:pPr>
        <w:spacing w:line="360" w:lineRule="auto"/>
        <w:ind w:firstLine="425"/>
        <w:jc w:val="both"/>
        <w:rPr>
          <w:b/>
        </w:rPr>
      </w:pPr>
      <w:r>
        <w:rPr>
          <w:b/>
        </w:rPr>
        <w:t>Bibliographie</w:t>
      </w:r>
    </w:p>
    <w:p w14:paraId="7E7978FA" w14:textId="77777777" w:rsidR="004B46E2" w:rsidRDefault="004B46E2" w:rsidP="00D74388">
      <w:pPr>
        <w:spacing w:line="360" w:lineRule="auto"/>
        <w:jc w:val="both"/>
      </w:pPr>
    </w:p>
    <w:p w14:paraId="15231AF0" w14:textId="21AE4AF2" w:rsidR="004B46E2" w:rsidRDefault="004B46E2" w:rsidP="006E5BAE">
      <w:pPr>
        <w:spacing w:line="360" w:lineRule="auto"/>
        <w:ind w:firstLine="425"/>
        <w:jc w:val="both"/>
      </w:pPr>
      <w:r>
        <w:t>Barraud 2015</w:t>
      </w:r>
    </w:p>
    <w:p w14:paraId="7ECD366F" w14:textId="10A63332" w:rsidR="004B46E2" w:rsidRDefault="004B46E2" w:rsidP="006E5BAE">
      <w:pPr>
        <w:spacing w:line="360" w:lineRule="auto"/>
        <w:ind w:firstLine="425"/>
        <w:jc w:val="both"/>
      </w:pPr>
      <w:r>
        <w:rPr>
          <w:smallCaps/>
        </w:rPr>
        <w:t xml:space="preserve">Barraud (B.), </w:t>
      </w:r>
      <w:r w:rsidR="00ED2831">
        <w:rPr>
          <w:smallCaps/>
        </w:rPr>
        <w:t>« </w:t>
      </w:r>
      <w:r w:rsidR="00ED2831">
        <w:t xml:space="preserve">Droit public – Droit privé : de la </w:t>
      </w:r>
      <w:r w:rsidR="00ED2831" w:rsidRPr="00ED2831">
        <w:rPr>
          <w:i/>
        </w:rPr>
        <w:t>summa divisio</w:t>
      </w:r>
      <w:r w:rsidR="00ED2831">
        <w:t xml:space="preserve"> à la </w:t>
      </w:r>
      <w:r w:rsidR="00ED2831" w:rsidRPr="00ED2831">
        <w:rPr>
          <w:i/>
        </w:rPr>
        <w:t>ratio divisio </w:t>
      </w:r>
      <w:r w:rsidR="00ED2831">
        <w:t xml:space="preserve">? », in </w:t>
      </w:r>
      <w:r w:rsidR="00ED2831" w:rsidRPr="00ED2831">
        <w:rPr>
          <w:i/>
        </w:rPr>
        <w:t>Revue de la recherche juridique – Droit prospectif</w:t>
      </w:r>
      <w:r w:rsidR="00ED2831">
        <w:t>, Presses universitaires d’Aix-Marseille, p. 1101-1132.</w:t>
      </w:r>
    </w:p>
    <w:p w14:paraId="2DF1ECCD" w14:textId="77777777" w:rsidR="00936F4B" w:rsidRDefault="00936F4B" w:rsidP="006E5BAE">
      <w:pPr>
        <w:spacing w:line="360" w:lineRule="auto"/>
        <w:ind w:firstLine="425"/>
        <w:jc w:val="both"/>
      </w:pPr>
    </w:p>
    <w:p w14:paraId="69AB31E6" w14:textId="6D6CBD64" w:rsidR="00936F4B" w:rsidRDefault="00936F4B" w:rsidP="006E5BAE">
      <w:pPr>
        <w:spacing w:line="360" w:lineRule="auto"/>
        <w:ind w:firstLine="425"/>
        <w:jc w:val="both"/>
      </w:pPr>
      <w:r>
        <w:t>Fichte 1984</w:t>
      </w:r>
    </w:p>
    <w:p w14:paraId="67A62F2D" w14:textId="65E21950" w:rsidR="00936F4B" w:rsidRDefault="00936F4B" w:rsidP="006E5BAE">
      <w:pPr>
        <w:spacing w:line="360" w:lineRule="auto"/>
        <w:ind w:firstLine="425"/>
        <w:jc w:val="both"/>
      </w:pPr>
      <w:r>
        <w:rPr>
          <w:smallCaps/>
        </w:rPr>
        <w:t xml:space="preserve">Fichte (J. G.), </w:t>
      </w:r>
      <w:r>
        <w:rPr>
          <w:i/>
        </w:rPr>
        <w:t>Fondement du droit naturel selon les principes de la Doctrine de la science</w:t>
      </w:r>
      <w:r>
        <w:t>, trad. A. Renaut, Paris, Puf, 1984.</w:t>
      </w:r>
    </w:p>
    <w:p w14:paraId="590D14C1" w14:textId="77777777" w:rsidR="00936F4B" w:rsidRDefault="00936F4B" w:rsidP="006E5BAE">
      <w:pPr>
        <w:spacing w:line="360" w:lineRule="auto"/>
        <w:ind w:firstLine="425"/>
        <w:jc w:val="both"/>
      </w:pPr>
    </w:p>
    <w:p w14:paraId="24A5C5A8" w14:textId="434B8CB5" w:rsidR="00B45119" w:rsidRDefault="00B45119" w:rsidP="006E5BAE">
      <w:pPr>
        <w:spacing w:line="360" w:lineRule="auto"/>
        <w:ind w:firstLine="425"/>
        <w:jc w:val="both"/>
      </w:pPr>
      <w:r>
        <w:t>Goyard-Fabre 2015</w:t>
      </w:r>
    </w:p>
    <w:p w14:paraId="3E61A6DF" w14:textId="2AFB1360" w:rsidR="00B45119" w:rsidRPr="00B45119" w:rsidRDefault="00B45119" w:rsidP="006E5BAE">
      <w:pPr>
        <w:spacing w:line="360" w:lineRule="auto"/>
        <w:ind w:firstLine="425"/>
        <w:jc w:val="both"/>
      </w:pPr>
      <w:r>
        <w:rPr>
          <w:smallCaps/>
        </w:rPr>
        <w:t xml:space="preserve">Goyard-Fabre (S.), </w:t>
      </w:r>
      <w:r>
        <w:t xml:space="preserve">« L’horizon transcendantal du droit selon Kant », in </w:t>
      </w:r>
      <w:r>
        <w:rPr>
          <w:i/>
        </w:rPr>
        <w:t>Con-textos Kantianos, International journal of philosophy</w:t>
      </w:r>
      <w:r>
        <w:t>, n°1, juin 2015, p. 77-96.</w:t>
      </w:r>
      <w:bookmarkStart w:id="0" w:name="_GoBack"/>
      <w:bookmarkEnd w:id="0"/>
    </w:p>
    <w:p w14:paraId="069C89DD" w14:textId="77777777" w:rsidR="00B45119" w:rsidRPr="00936F4B" w:rsidRDefault="00B45119" w:rsidP="006E5BAE">
      <w:pPr>
        <w:spacing w:line="360" w:lineRule="auto"/>
        <w:ind w:firstLine="425"/>
        <w:jc w:val="both"/>
      </w:pPr>
    </w:p>
    <w:p w14:paraId="1D6E88D8" w14:textId="77777777" w:rsidR="00D74388" w:rsidRPr="001404F2" w:rsidRDefault="00D74388" w:rsidP="00D74388">
      <w:pPr>
        <w:spacing w:line="360" w:lineRule="auto"/>
        <w:ind w:firstLine="425"/>
        <w:jc w:val="both"/>
      </w:pPr>
      <w:r>
        <w:rPr>
          <w:smallCaps/>
        </w:rPr>
        <w:t>K</w:t>
      </w:r>
      <w:r>
        <w:t>ant 1985</w:t>
      </w:r>
    </w:p>
    <w:p w14:paraId="056BDBC9" w14:textId="5B8030FA" w:rsidR="00D74388" w:rsidRDefault="00D74388" w:rsidP="00D74388">
      <w:pPr>
        <w:spacing w:line="360" w:lineRule="auto"/>
        <w:ind w:firstLine="425"/>
        <w:jc w:val="both"/>
      </w:pPr>
      <w:r>
        <w:rPr>
          <w:smallCaps/>
        </w:rPr>
        <w:t xml:space="preserve">Kant (I.), </w:t>
      </w:r>
      <w:r>
        <w:t xml:space="preserve"> </w:t>
      </w:r>
      <w:r>
        <w:rPr>
          <w:i/>
        </w:rPr>
        <w:t>Réponse à la question : Qu’est-ce que les Lumières ?</w:t>
      </w:r>
      <w:r>
        <w:t xml:space="preserve">, trad. J.L. Delamarre et al., in </w:t>
      </w:r>
      <w:r w:rsidRPr="00ED6318">
        <w:rPr>
          <w:i/>
        </w:rPr>
        <w:t>Critique de la faculté de juger</w:t>
      </w:r>
      <w:r>
        <w:t>, Paris, Gallimard, p. 497-505.</w:t>
      </w:r>
    </w:p>
    <w:p w14:paraId="15DB6997" w14:textId="77777777" w:rsidR="00D74388" w:rsidRDefault="00D74388" w:rsidP="006E5BAE">
      <w:pPr>
        <w:spacing w:line="360" w:lineRule="auto"/>
        <w:ind w:firstLine="425"/>
        <w:jc w:val="both"/>
      </w:pPr>
    </w:p>
    <w:p w14:paraId="3BEE5EA3" w14:textId="65B2AD49" w:rsidR="00173247" w:rsidRDefault="00386B5B" w:rsidP="006E5BAE">
      <w:pPr>
        <w:spacing w:line="360" w:lineRule="auto"/>
        <w:ind w:firstLine="425"/>
        <w:jc w:val="both"/>
      </w:pPr>
      <w:r>
        <w:t>Kant 1986a</w:t>
      </w:r>
    </w:p>
    <w:p w14:paraId="639EFF3D" w14:textId="26B71817" w:rsidR="00386B5B" w:rsidRPr="00386B5B" w:rsidRDefault="00386B5B" w:rsidP="006E5BAE">
      <w:pPr>
        <w:spacing w:line="360" w:lineRule="auto"/>
        <w:ind w:firstLine="425"/>
        <w:jc w:val="both"/>
      </w:pPr>
      <w:r>
        <w:rPr>
          <w:smallCaps/>
        </w:rPr>
        <w:t xml:space="preserve">Kant </w:t>
      </w:r>
      <w:r>
        <w:t xml:space="preserve">(I.), </w:t>
      </w:r>
      <w:r w:rsidRPr="00386B5B">
        <w:rPr>
          <w:i/>
        </w:rPr>
        <w:t>La métaphysique des mœurs</w:t>
      </w:r>
      <w:r>
        <w:t xml:space="preserve">, trad. J. Masson et O. Masson, in </w:t>
      </w:r>
      <w:r w:rsidRPr="00386B5B">
        <w:rPr>
          <w:i/>
        </w:rPr>
        <w:t>Œuvres</w:t>
      </w:r>
      <w:r>
        <w:rPr>
          <w:i/>
        </w:rPr>
        <w:t xml:space="preserve"> philosophiques</w:t>
      </w:r>
      <w:r w:rsidRPr="00386B5B">
        <w:rPr>
          <w:i/>
        </w:rPr>
        <w:t xml:space="preserve"> III</w:t>
      </w:r>
      <w:r w:rsidR="00C25E2D">
        <w:t>, Paris, Gallimard, 1986, p. 447-791.</w:t>
      </w:r>
    </w:p>
    <w:p w14:paraId="3055C1DB" w14:textId="77777777" w:rsidR="00386B5B" w:rsidRDefault="00386B5B" w:rsidP="006E5BAE">
      <w:pPr>
        <w:spacing w:line="360" w:lineRule="auto"/>
        <w:ind w:firstLine="425"/>
        <w:jc w:val="both"/>
        <w:rPr>
          <w:smallCaps/>
        </w:rPr>
      </w:pPr>
    </w:p>
    <w:p w14:paraId="760DAFB2" w14:textId="276E07EE" w:rsidR="00386B5B" w:rsidRPr="00386B5B" w:rsidRDefault="00386B5B" w:rsidP="006E5BAE">
      <w:pPr>
        <w:spacing w:line="360" w:lineRule="auto"/>
        <w:ind w:firstLine="425"/>
        <w:jc w:val="both"/>
      </w:pPr>
      <w:r>
        <w:rPr>
          <w:smallCaps/>
        </w:rPr>
        <w:t>K</w:t>
      </w:r>
      <w:r>
        <w:t>ant</w:t>
      </w:r>
      <w:r w:rsidR="0020643E">
        <w:t xml:space="preserve"> 1986b</w:t>
      </w:r>
    </w:p>
    <w:p w14:paraId="0179DEAA" w14:textId="1703A0AA" w:rsidR="00386B5B" w:rsidRPr="0020643E" w:rsidRDefault="00386B5B" w:rsidP="00386B5B">
      <w:pPr>
        <w:spacing w:line="360" w:lineRule="auto"/>
        <w:ind w:firstLine="425"/>
        <w:jc w:val="both"/>
      </w:pPr>
      <w:r>
        <w:rPr>
          <w:smallCaps/>
        </w:rPr>
        <w:t>Kant</w:t>
      </w:r>
      <w:r w:rsidR="0020643E">
        <w:rPr>
          <w:smallCaps/>
        </w:rPr>
        <w:t xml:space="preserve"> (I.), </w:t>
      </w:r>
      <w:r w:rsidR="0020643E">
        <w:rPr>
          <w:i/>
        </w:rPr>
        <w:t>Sur le lieu commun : il se peut cela soit juste en théorie, mais en pratique cela ne vaut point</w:t>
      </w:r>
      <w:r w:rsidR="0020643E">
        <w:t xml:space="preserve">, trad. L. Ferry, in </w:t>
      </w:r>
      <w:r w:rsidR="0020643E" w:rsidRPr="00386B5B">
        <w:rPr>
          <w:i/>
        </w:rPr>
        <w:t>Œuvres</w:t>
      </w:r>
      <w:r w:rsidR="0020643E">
        <w:rPr>
          <w:i/>
        </w:rPr>
        <w:t xml:space="preserve"> philosophiques</w:t>
      </w:r>
      <w:r w:rsidR="0020643E" w:rsidRPr="00386B5B">
        <w:rPr>
          <w:i/>
        </w:rPr>
        <w:t xml:space="preserve"> III</w:t>
      </w:r>
      <w:r w:rsidR="0020643E">
        <w:t>, Paris, Gallimard, 1986, p. 249-300.</w:t>
      </w:r>
    </w:p>
    <w:p w14:paraId="675129CB" w14:textId="45E73AFD" w:rsidR="00386B5B" w:rsidRPr="001404F2" w:rsidRDefault="001404F2" w:rsidP="00386B5B">
      <w:pPr>
        <w:spacing w:line="360" w:lineRule="auto"/>
        <w:ind w:firstLine="425"/>
        <w:jc w:val="both"/>
      </w:pPr>
      <w:r>
        <w:rPr>
          <w:smallCaps/>
        </w:rPr>
        <w:t>K</w:t>
      </w:r>
      <w:r>
        <w:t>ant 1986c</w:t>
      </w:r>
    </w:p>
    <w:p w14:paraId="3B5FDA94" w14:textId="4384B579" w:rsidR="00386B5B" w:rsidRPr="00D74388" w:rsidRDefault="00386B5B" w:rsidP="00D74388">
      <w:pPr>
        <w:spacing w:line="360" w:lineRule="auto"/>
        <w:ind w:firstLine="425"/>
        <w:jc w:val="both"/>
      </w:pPr>
      <w:r>
        <w:rPr>
          <w:smallCaps/>
        </w:rPr>
        <w:lastRenderedPageBreak/>
        <w:t>Kant</w:t>
      </w:r>
      <w:r w:rsidR="001404F2">
        <w:rPr>
          <w:smallCaps/>
        </w:rPr>
        <w:t xml:space="preserve"> (I.), </w:t>
      </w:r>
      <w:r w:rsidR="001404F2">
        <w:rPr>
          <w:i/>
          <w:smallCaps/>
        </w:rPr>
        <w:t xml:space="preserve">À </w:t>
      </w:r>
      <w:r w:rsidR="001404F2">
        <w:rPr>
          <w:i/>
        </w:rPr>
        <w:t>la paix perpétuelle</w:t>
      </w:r>
      <w:r w:rsidR="001404F2" w:rsidRPr="001404F2">
        <w:t xml:space="preserve">, </w:t>
      </w:r>
      <w:r w:rsidR="00D74388">
        <w:t>trad. revue par H. Wism</w:t>
      </w:r>
      <w:r w:rsidR="001404F2">
        <w:t xml:space="preserve">ann, in </w:t>
      </w:r>
      <w:r w:rsidR="001404F2" w:rsidRPr="00386B5B">
        <w:rPr>
          <w:i/>
        </w:rPr>
        <w:t>Œuvres</w:t>
      </w:r>
      <w:r w:rsidR="001404F2">
        <w:rPr>
          <w:i/>
        </w:rPr>
        <w:t xml:space="preserve"> philosophiques</w:t>
      </w:r>
      <w:r w:rsidR="001404F2" w:rsidRPr="00386B5B">
        <w:rPr>
          <w:i/>
        </w:rPr>
        <w:t xml:space="preserve"> III</w:t>
      </w:r>
      <w:r w:rsidR="001404F2">
        <w:t>, Paris, Gallimard, 1986, p. 327-384.</w:t>
      </w:r>
    </w:p>
    <w:p w14:paraId="1B939D45" w14:textId="77777777" w:rsidR="00B56952" w:rsidRPr="00B56952" w:rsidRDefault="00B56952" w:rsidP="00B56952">
      <w:pPr>
        <w:widowControl w:val="0"/>
        <w:autoSpaceDE w:val="0"/>
        <w:autoSpaceDN w:val="0"/>
        <w:adjustRightInd w:val="0"/>
        <w:spacing w:line="360" w:lineRule="auto"/>
        <w:contextualSpacing/>
        <w:jc w:val="both"/>
      </w:pPr>
    </w:p>
    <w:p w14:paraId="42B16CE7" w14:textId="778BAF15" w:rsidR="00173247" w:rsidRDefault="00173247" w:rsidP="006E5BAE">
      <w:pPr>
        <w:spacing w:line="360" w:lineRule="auto"/>
        <w:ind w:firstLine="425"/>
        <w:jc w:val="both"/>
      </w:pPr>
      <w:r>
        <w:t>Kervégan 2015</w:t>
      </w:r>
    </w:p>
    <w:p w14:paraId="2BABC405" w14:textId="78AFD15F" w:rsidR="00173247" w:rsidRDefault="00173247" w:rsidP="006E5BAE">
      <w:pPr>
        <w:spacing w:line="360" w:lineRule="auto"/>
        <w:ind w:firstLine="425"/>
        <w:jc w:val="both"/>
      </w:pPr>
      <w:r>
        <w:rPr>
          <w:smallCaps/>
        </w:rPr>
        <w:t xml:space="preserve">Kervégan </w:t>
      </w:r>
      <w:r>
        <w:t xml:space="preserve">(J.-F.), </w:t>
      </w:r>
      <w:r>
        <w:rPr>
          <w:i/>
        </w:rPr>
        <w:t>La raison des normes. Essai sur Kant</w:t>
      </w:r>
      <w:r>
        <w:t>, Paris, Vrin, 2015.</w:t>
      </w:r>
    </w:p>
    <w:p w14:paraId="0C001DE1" w14:textId="77777777" w:rsidR="00173247" w:rsidRPr="00173247" w:rsidRDefault="00173247" w:rsidP="006E5BAE">
      <w:pPr>
        <w:spacing w:line="360" w:lineRule="auto"/>
        <w:ind w:firstLine="425"/>
        <w:jc w:val="both"/>
      </w:pPr>
    </w:p>
    <w:p w14:paraId="32496762" w14:textId="32D80C76" w:rsidR="006973A1" w:rsidRDefault="006973A1" w:rsidP="006E5BAE">
      <w:pPr>
        <w:spacing w:line="360" w:lineRule="auto"/>
        <w:ind w:firstLine="425"/>
        <w:jc w:val="both"/>
      </w:pPr>
      <w:r>
        <w:t>Troper 1987</w:t>
      </w:r>
    </w:p>
    <w:p w14:paraId="6AF7BB67" w14:textId="110AA0DE" w:rsidR="006973A1" w:rsidRDefault="006973A1" w:rsidP="006E5BAE">
      <w:pPr>
        <w:spacing w:line="360" w:lineRule="auto"/>
        <w:ind w:firstLine="425"/>
        <w:jc w:val="both"/>
      </w:pPr>
      <w:r>
        <w:rPr>
          <w:smallCaps/>
        </w:rPr>
        <w:t xml:space="preserve">Troper </w:t>
      </w:r>
      <w:r>
        <w:t xml:space="preserve">(M.), </w:t>
      </w:r>
      <w:r w:rsidR="004A5CE7">
        <w:t xml:space="preserve">« L’opposition public-privé et la structure de l’ordre juridique » in </w:t>
      </w:r>
      <w:r w:rsidR="00BA1BC6">
        <w:rPr>
          <w:i/>
        </w:rPr>
        <w:t>Politiques et m</w:t>
      </w:r>
      <w:r w:rsidR="00BA1BC6" w:rsidRPr="00BA1BC6">
        <w:rPr>
          <w:i/>
        </w:rPr>
        <w:t>anagement public</w:t>
      </w:r>
      <w:r w:rsidR="00BA1BC6">
        <w:t>, Vol. 5, n°1, 1987, p.181-198.</w:t>
      </w:r>
    </w:p>
    <w:p w14:paraId="493D3C96" w14:textId="77777777" w:rsidR="008273DC" w:rsidRDefault="008273DC" w:rsidP="006E5BAE">
      <w:pPr>
        <w:spacing w:line="360" w:lineRule="auto"/>
        <w:ind w:firstLine="425"/>
        <w:jc w:val="both"/>
      </w:pPr>
    </w:p>
    <w:p w14:paraId="5A032106" w14:textId="1395038B" w:rsidR="008273DC" w:rsidRPr="00B56952" w:rsidRDefault="008273DC" w:rsidP="008273DC">
      <w:pPr>
        <w:spacing w:line="360" w:lineRule="auto"/>
        <w:ind w:firstLine="425"/>
        <w:contextualSpacing/>
        <w:jc w:val="both"/>
      </w:pPr>
      <w:r>
        <w:t>Van Meerbeeck</w:t>
      </w:r>
      <w:r w:rsidRPr="00B56952">
        <w:t xml:space="preserve"> 2019</w:t>
      </w:r>
    </w:p>
    <w:p w14:paraId="163568E0" w14:textId="01D2013C" w:rsidR="008273DC" w:rsidRDefault="008273DC" w:rsidP="0020643E">
      <w:pPr>
        <w:widowControl w:val="0"/>
        <w:autoSpaceDE w:val="0"/>
        <w:autoSpaceDN w:val="0"/>
        <w:adjustRightInd w:val="0"/>
        <w:spacing w:line="360" w:lineRule="auto"/>
        <w:contextualSpacing/>
        <w:jc w:val="both"/>
      </w:pPr>
      <w:r w:rsidRPr="00B56952">
        <w:rPr>
          <w:smallCaps/>
        </w:rPr>
        <w:t>Van Meerbeeck (J.)</w:t>
      </w:r>
      <w:r w:rsidRPr="00B56952">
        <w:t>, « </w:t>
      </w:r>
      <w:r>
        <w:t>Droit public et droit privé : ni</w:t>
      </w:r>
      <w:r w:rsidRPr="008273DC">
        <w:rPr>
          <w:i/>
        </w:rPr>
        <w:t xml:space="preserve"> summa</w:t>
      </w:r>
      <w:r>
        <w:t xml:space="preserve"> ni </w:t>
      </w:r>
      <w:r w:rsidRPr="008273DC">
        <w:rPr>
          <w:i/>
        </w:rPr>
        <w:t>divisio</w:t>
      </w:r>
      <w:r>
        <w:t> ?</w:t>
      </w:r>
      <w:r w:rsidRPr="00B56952">
        <w:t> »</w:t>
      </w:r>
      <w:r>
        <w:t xml:space="preserve">, in </w:t>
      </w:r>
      <w:r w:rsidRPr="00B56952">
        <w:rPr>
          <w:smallCaps/>
        </w:rPr>
        <w:t>Van Meerbeeck (J.)</w:t>
      </w:r>
      <w:r w:rsidRPr="00B56952">
        <w:t xml:space="preserve">,  </w:t>
      </w:r>
      <w:r w:rsidRPr="00B56952">
        <w:rPr>
          <w:smallCaps/>
        </w:rPr>
        <w:t>De Broux (P.-O.), Léonard (T.), Lombaert (B.)</w:t>
      </w:r>
      <w:r>
        <w:rPr>
          <w:smallCaps/>
        </w:rPr>
        <w:t xml:space="preserve"> (</w:t>
      </w:r>
      <w:r>
        <w:t>éd.)</w:t>
      </w:r>
      <w:r w:rsidRPr="00B56952">
        <w:rPr>
          <w:smallCaps/>
        </w:rPr>
        <w:t xml:space="preserve">, </w:t>
      </w:r>
      <w:r w:rsidRPr="00B56952">
        <w:rPr>
          <w:i/>
        </w:rPr>
        <w:t>La distinction entre droit public et droit privé. Pertinence, influences croisées et questions transversales</w:t>
      </w:r>
      <w:r w:rsidRPr="00B56952">
        <w:t>, Limal</w:t>
      </w:r>
      <w:r>
        <w:t>,</w:t>
      </w:r>
      <w:r w:rsidRPr="00B56952">
        <w:t xml:space="preserve"> Anthémi</w:t>
      </w:r>
      <w:r>
        <w:t>s,</w:t>
      </w:r>
      <w:r w:rsidRPr="00B56952">
        <w:t xml:space="preserve"> 2019, p. </w:t>
      </w:r>
      <w:r>
        <w:t>9-56.</w:t>
      </w:r>
    </w:p>
    <w:p w14:paraId="708618E9" w14:textId="77777777" w:rsidR="0020643E" w:rsidRDefault="0020643E" w:rsidP="0020643E">
      <w:pPr>
        <w:widowControl w:val="0"/>
        <w:autoSpaceDE w:val="0"/>
        <w:autoSpaceDN w:val="0"/>
        <w:adjustRightInd w:val="0"/>
        <w:spacing w:line="360" w:lineRule="auto"/>
        <w:contextualSpacing/>
        <w:jc w:val="both"/>
      </w:pPr>
    </w:p>
    <w:p w14:paraId="2E34C0A8" w14:textId="77777777" w:rsidR="008273DC" w:rsidRPr="00B56952" w:rsidRDefault="008273DC" w:rsidP="008273DC">
      <w:pPr>
        <w:spacing w:line="360" w:lineRule="auto"/>
        <w:ind w:firstLine="425"/>
        <w:contextualSpacing/>
        <w:jc w:val="both"/>
      </w:pPr>
      <w:r>
        <w:t>Van Meerbeeck</w:t>
      </w:r>
      <w:r w:rsidRPr="00B56952">
        <w:t xml:space="preserve"> et al. 2019</w:t>
      </w:r>
    </w:p>
    <w:p w14:paraId="38CFC7EC" w14:textId="77777777" w:rsidR="008273DC" w:rsidRDefault="008273DC" w:rsidP="008273DC">
      <w:pPr>
        <w:widowControl w:val="0"/>
        <w:autoSpaceDE w:val="0"/>
        <w:autoSpaceDN w:val="0"/>
        <w:adjustRightInd w:val="0"/>
        <w:spacing w:line="360" w:lineRule="auto"/>
        <w:contextualSpacing/>
        <w:jc w:val="both"/>
      </w:pPr>
      <w:r w:rsidRPr="00B56952">
        <w:rPr>
          <w:smallCaps/>
        </w:rPr>
        <w:t>Van Meerbeeck (J.)</w:t>
      </w:r>
      <w:r w:rsidRPr="00B56952">
        <w:t xml:space="preserve">, </w:t>
      </w:r>
      <w:r w:rsidRPr="00B56952">
        <w:rPr>
          <w:smallCaps/>
        </w:rPr>
        <w:t xml:space="preserve">De Broux (P.-O.), Léonard (T.), Lombaert (B.), </w:t>
      </w:r>
      <w:r w:rsidRPr="00B56952">
        <w:t>« Conclusions générales »</w:t>
      </w:r>
      <w:r>
        <w:t xml:space="preserve">, in </w:t>
      </w:r>
      <w:r w:rsidRPr="00B56952">
        <w:rPr>
          <w:smallCaps/>
        </w:rPr>
        <w:t>Van Meerbeeck (J.)</w:t>
      </w:r>
      <w:r w:rsidRPr="00B56952">
        <w:t xml:space="preserve">,  </w:t>
      </w:r>
      <w:r w:rsidRPr="00B56952">
        <w:rPr>
          <w:smallCaps/>
        </w:rPr>
        <w:t>De Broux (P.-O.), Léonard (T.), Lombaert (B.)</w:t>
      </w:r>
      <w:r>
        <w:rPr>
          <w:smallCaps/>
        </w:rPr>
        <w:t xml:space="preserve"> (</w:t>
      </w:r>
      <w:r>
        <w:t>éd.)</w:t>
      </w:r>
      <w:r w:rsidRPr="00B56952">
        <w:rPr>
          <w:smallCaps/>
        </w:rPr>
        <w:t xml:space="preserve">, </w:t>
      </w:r>
      <w:r w:rsidRPr="00B56952">
        <w:rPr>
          <w:i/>
        </w:rPr>
        <w:t>La distinction entre droit public et droit privé. Pertinence, influences croisées et questions transversales</w:t>
      </w:r>
      <w:r w:rsidRPr="00B56952">
        <w:t>, Limal</w:t>
      </w:r>
      <w:r>
        <w:t>,</w:t>
      </w:r>
      <w:r w:rsidRPr="00B56952">
        <w:t xml:space="preserve"> Anthémi</w:t>
      </w:r>
      <w:r>
        <w:t>s,</w:t>
      </w:r>
      <w:r w:rsidRPr="00B56952">
        <w:t xml:space="preserve"> 2019, p. 471-477</w:t>
      </w:r>
      <w:r>
        <w:t>.</w:t>
      </w:r>
    </w:p>
    <w:p w14:paraId="4D4A15D7" w14:textId="77777777" w:rsidR="008273DC" w:rsidRDefault="008273DC" w:rsidP="006E5BAE">
      <w:pPr>
        <w:spacing w:line="360" w:lineRule="auto"/>
        <w:ind w:firstLine="425"/>
        <w:jc w:val="both"/>
      </w:pPr>
    </w:p>
    <w:p w14:paraId="1BCAC29D" w14:textId="77777777" w:rsidR="00B56952" w:rsidRDefault="00B56952" w:rsidP="006E5BAE">
      <w:pPr>
        <w:spacing w:line="360" w:lineRule="auto"/>
        <w:ind w:firstLine="425"/>
        <w:jc w:val="both"/>
      </w:pPr>
    </w:p>
    <w:p w14:paraId="4C98C392" w14:textId="77777777" w:rsidR="00B56952" w:rsidRPr="006973A1" w:rsidRDefault="00B56952" w:rsidP="006E5BAE">
      <w:pPr>
        <w:spacing w:line="360" w:lineRule="auto"/>
        <w:ind w:firstLine="425"/>
        <w:jc w:val="both"/>
      </w:pPr>
    </w:p>
    <w:sectPr w:rsidR="00B56952" w:rsidRPr="006973A1" w:rsidSect="00F1510B">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E980F6" w14:textId="77777777" w:rsidR="00936F4B" w:rsidRDefault="00936F4B" w:rsidP="00CD428E">
      <w:r>
        <w:separator/>
      </w:r>
    </w:p>
  </w:endnote>
  <w:endnote w:type="continuationSeparator" w:id="0">
    <w:p w14:paraId="5C97D245" w14:textId="77777777" w:rsidR="00936F4B" w:rsidRDefault="00936F4B" w:rsidP="00CD4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32410C" w14:textId="77777777" w:rsidR="00936F4B" w:rsidRDefault="00936F4B" w:rsidP="00CD428E">
      <w:r>
        <w:separator/>
      </w:r>
    </w:p>
  </w:footnote>
  <w:footnote w:type="continuationSeparator" w:id="0">
    <w:p w14:paraId="00F61064" w14:textId="77777777" w:rsidR="00936F4B" w:rsidRDefault="00936F4B" w:rsidP="00CD428E">
      <w:r>
        <w:continuationSeparator/>
      </w:r>
    </w:p>
  </w:footnote>
  <w:footnote w:id="1">
    <w:p w14:paraId="7AE22871" w14:textId="47FD5796" w:rsidR="00936F4B" w:rsidRDefault="00936F4B">
      <w:pPr>
        <w:pStyle w:val="Notedebasdepage"/>
      </w:pPr>
      <w:r>
        <w:rPr>
          <w:rStyle w:val="Marquenotebasdepage"/>
        </w:rPr>
        <w:footnoteRef/>
      </w:r>
      <w:r>
        <w:t xml:space="preserve"> Troper 1987, p. 189. Barraud 2015, p. 1110.</w:t>
      </w:r>
    </w:p>
  </w:footnote>
  <w:footnote w:id="2">
    <w:p w14:paraId="1553B7C8" w14:textId="1A2FDF09" w:rsidR="00936F4B" w:rsidRDefault="00936F4B">
      <w:pPr>
        <w:pStyle w:val="Notedebasdepage"/>
      </w:pPr>
      <w:r>
        <w:rPr>
          <w:rStyle w:val="Marquenotebasdepage"/>
        </w:rPr>
        <w:footnoteRef/>
      </w:r>
      <w:r>
        <w:t xml:space="preserve"> Van Meerbeeck 2019, p. 13 et s.</w:t>
      </w:r>
    </w:p>
  </w:footnote>
  <w:footnote w:id="3">
    <w:p w14:paraId="2117CB1B" w14:textId="428D1682" w:rsidR="00936F4B" w:rsidRDefault="00936F4B">
      <w:pPr>
        <w:pStyle w:val="Notedebasdepage"/>
      </w:pPr>
      <w:r>
        <w:rPr>
          <w:rStyle w:val="Marquenotebasdepage"/>
        </w:rPr>
        <w:footnoteRef/>
      </w:r>
      <w:r>
        <w:t xml:space="preserve"> Van Meerbeeck 2019, p. 18.</w:t>
      </w:r>
    </w:p>
  </w:footnote>
  <w:footnote w:id="4">
    <w:p w14:paraId="63ECDB3B" w14:textId="62B5C39F" w:rsidR="00936F4B" w:rsidRDefault="00936F4B">
      <w:pPr>
        <w:pStyle w:val="Notedebasdepage"/>
      </w:pPr>
      <w:r>
        <w:rPr>
          <w:rStyle w:val="Marquenotebasdepage"/>
        </w:rPr>
        <w:footnoteRef/>
      </w:r>
      <w:r>
        <w:t xml:space="preserve"> Van Meerbeeck et al. 2019, p. 477.</w:t>
      </w:r>
    </w:p>
  </w:footnote>
  <w:footnote w:id="5">
    <w:p w14:paraId="67A831BE" w14:textId="34BE0ED5" w:rsidR="00936F4B" w:rsidRDefault="00936F4B">
      <w:pPr>
        <w:pStyle w:val="Notedebasdepage"/>
      </w:pPr>
      <w:r>
        <w:rPr>
          <w:rStyle w:val="Marquenotebasdepage"/>
        </w:rPr>
        <w:footnoteRef/>
      </w:r>
      <w:r>
        <w:t xml:space="preserve"> Kant 1986a, p. 478 (AK VI, 229, 230).</w:t>
      </w:r>
    </w:p>
  </w:footnote>
  <w:footnote w:id="6">
    <w:p w14:paraId="33B13238" w14:textId="098901CF" w:rsidR="00936F4B" w:rsidRDefault="00936F4B">
      <w:pPr>
        <w:pStyle w:val="Notedebasdepage"/>
      </w:pPr>
      <w:r>
        <w:rPr>
          <w:rStyle w:val="Marquenotebasdepage"/>
        </w:rPr>
        <w:footnoteRef/>
      </w:r>
      <w:r>
        <w:t xml:space="preserve"> Kant 1986a, p. 463 et s (AK VI, 218 et s).</w:t>
      </w:r>
    </w:p>
  </w:footnote>
  <w:footnote w:id="7">
    <w:p w14:paraId="6EE39777" w14:textId="67722FFE" w:rsidR="00936F4B" w:rsidRDefault="00936F4B">
      <w:pPr>
        <w:pStyle w:val="Notedebasdepage"/>
      </w:pPr>
      <w:r>
        <w:rPr>
          <w:rStyle w:val="Marquenotebasdepage"/>
        </w:rPr>
        <w:footnoteRef/>
      </w:r>
      <w:r>
        <w:t xml:space="preserve"> Kant 1986a, p. 518, 575 (AK VI, 264, 311).</w:t>
      </w:r>
    </w:p>
  </w:footnote>
  <w:footnote w:id="8">
    <w:p w14:paraId="7357E06B" w14:textId="4E4DD53D" w:rsidR="00936F4B" w:rsidRDefault="00936F4B">
      <w:pPr>
        <w:pStyle w:val="Notedebasdepage"/>
      </w:pPr>
      <w:r>
        <w:rPr>
          <w:rStyle w:val="Marquenotebasdepage"/>
        </w:rPr>
        <w:footnoteRef/>
      </w:r>
      <w:r>
        <w:t xml:space="preserve"> Ce sont ces deux axes, horizontal et vertical, qu’on retrouve dans la définition du concept pur de la justice selon le droit : « Est </w:t>
      </w:r>
      <w:r w:rsidRPr="0046684E">
        <w:rPr>
          <w:i/>
        </w:rPr>
        <w:t>juste</w:t>
      </w:r>
      <w:r>
        <w:t xml:space="preserve"> toute action qui peut ou dont la maxime peut </w:t>
      </w:r>
      <w:r w:rsidRPr="0046684E">
        <w:rPr>
          <w:i/>
        </w:rPr>
        <w:t>laisser coexister</w:t>
      </w:r>
      <w:r>
        <w:t xml:space="preserve"> la liberté de l’arbitre de chacun avec la liberté de tout le monde </w:t>
      </w:r>
      <w:r w:rsidRPr="0046684E">
        <w:rPr>
          <w:i/>
        </w:rPr>
        <w:t>d’après une loi</w:t>
      </w:r>
      <w:r>
        <w:t xml:space="preserve"> universelle », Kant, 1986a, p. 479 (AK VI, 230) (nous soulignons : « laisser coexister » et « d’après une loi »).</w:t>
      </w:r>
    </w:p>
  </w:footnote>
  <w:footnote w:id="9">
    <w:p w14:paraId="71AA0102" w14:textId="43715B56" w:rsidR="00936F4B" w:rsidRDefault="00936F4B">
      <w:pPr>
        <w:pStyle w:val="Notedebasdepage"/>
      </w:pPr>
      <w:r>
        <w:rPr>
          <w:rStyle w:val="Marquenotebasdepage"/>
        </w:rPr>
        <w:footnoteRef/>
      </w:r>
      <w:r>
        <w:t xml:space="preserve"> Notamment Troper 1987, p. 189.</w:t>
      </w:r>
    </w:p>
  </w:footnote>
  <w:footnote w:id="10">
    <w:p w14:paraId="12D1199C" w14:textId="63AD577C" w:rsidR="00936F4B" w:rsidRDefault="00936F4B">
      <w:pPr>
        <w:pStyle w:val="Notedebasdepage"/>
      </w:pPr>
      <w:r>
        <w:rPr>
          <w:rStyle w:val="Marquenotebasdepage"/>
        </w:rPr>
        <w:footnoteRef/>
      </w:r>
      <w:r>
        <w:t xml:space="preserve"> Kant 1986a, p. 492, 493 (AK VI, 242).</w:t>
      </w:r>
    </w:p>
  </w:footnote>
  <w:footnote w:id="11">
    <w:p w14:paraId="393B4B69" w14:textId="706680AB" w:rsidR="00936F4B" w:rsidRDefault="00936F4B">
      <w:pPr>
        <w:pStyle w:val="Notedebasdepage"/>
      </w:pPr>
      <w:r>
        <w:rPr>
          <w:rStyle w:val="Marquenotebasdepage"/>
        </w:rPr>
        <w:footnoteRef/>
      </w:r>
      <w:r>
        <w:t xml:space="preserve"> Kant 1986a, p. 573 (AK VI, 307).</w:t>
      </w:r>
    </w:p>
  </w:footnote>
  <w:footnote w:id="12">
    <w:p w14:paraId="70BFAD25" w14:textId="56E84363" w:rsidR="00936F4B" w:rsidRDefault="00936F4B">
      <w:pPr>
        <w:pStyle w:val="Notedebasdepage"/>
      </w:pPr>
      <w:r>
        <w:rPr>
          <w:rStyle w:val="Marquenotebasdepage"/>
        </w:rPr>
        <w:footnoteRef/>
      </w:r>
      <w:r>
        <w:t xml:space="preserve"> Kant 1986a, p. 577 (AK VI, 313) : « Donc, si dans l’état de nature il n’y avait pas aussi, à titre </w:t>
      </w:r>
      <w:r w:rsidRPr="005D2B92">
        <w:rPr>
          <w:i/>
        </w:rPr>
        <w:t>provisoire</w:t>
      </w:r>
      <w:r>
        <w:t>, de mien et de tien extérieur, il n’y aurait pas non plus de devoirs de droit à cet égard, il n’y aurait par conséquent non plus aucun commandement de sortir de cet état ». Cf. aussi Kant 1986b, p. 270 (AK VIII, 290) : « Le</w:t>
      </w:r>
      <w:r w:rsidRPr="006E50F2">
        <w:rPr>
          <w:i/>
        </w:rPr>
        <w:t xml:space="preserve"> droit</w:t>
      </w:r>
      <w:r>
        <w:t xml:space="preserve"> est la limitation de la liberté de chacun à la condition de son accord avec la liberté de tous, dans la mesure où celle-ci est possible d’après une loi générale ; et le </w:t>
      </w:r>
      <w:r w:rsidRPr="006E50F2">
        <w:rPr>
          <w:i/>
        </w:rPr>
        <w:t>droit public</w:t>
      </w:r>
      <w:r>
        <w:t xml:space="preserve"> est l’ensemble des </w:t>
      </w:r>
      <w:r w:rsidRPr="006E50F2">
        <w:rPr>
          <w:i/>
        </w:rPr>
        <w:t>lois extérieures</w:t>
      </w:r>
      <w:r>
        <w:t xml:space="preserve"> qui rendent possible un tel accord général ».</w:t>
      </w:r>
    </w:p>
  </w:footnote>
  <w:footnote w:id="13">
    <w:p w14:paraId="128BF237" w14:textId="01D6B336" w:rsidR="00C91A29" w:rsidRDefault="00C91A29">
      <w:pPr>
        <w:pStyle w:val="Notedebasdepage"/>
      </w:pPr>
      <w:r>
        <w:rPr>
          <w:rStyle w:val="Marquenotebasdepage"/>
        </w:rPr>
        <w:footnoteRef/>
      </w:r>
      <w:r>
        <w:t xml:space="preserve"> Goyard-Fabre 2015, p. 85</w:t>
      </w:r>
      <w:r w:rsidR="00B45119">
        <w:t>.</w:t>
      </w:r>
    </w:p>
  </w:footnote>
  <w:footnote w:id="14">
    <w:p w14:paraId="627137F8" w14:textId="54E76097" w:rsidR="00936F4B" w:rsidRDefault="00936F4B">
      <w:pPr>
        <w:pStyle w:val="Notedebasdepage"/>
      </w:pPr>
      <w:r>
        <w:rPr>
          <w:rStyle w:val="Marquenotebasdepage"/>
        </w:rPr>
        <w:footnoteRef/>
      </w:r>
      <w:r>
        <w:t xml:space="preserve"> Kant 1986c, p. 340 et s (AK VIII, 348 et s).</w:t>
      </w:r>
    </w:p>
  </w:footnote>
  <w:footnote w:id="15">
    <w:p w14:paraId="39E2783B" w14:textId="13924CB3" w:rsidR="00936F4B" w:rsidRDefault="00936F4B">
      <w:pPr>
        <w:pStyle w:val="Notedebasdepage"/>
      </w:pPr>
      <w:r>
        <w:rPr>
          <w:rStyle w:val="Marquenotebasdepage"/>
        </w:rPr>
        <w:footnoteRef/>
      </w:r>
      <w:r>
        <w:t xml:space="preserve"> Kant 1986a, p. 624 (AK VI, 350) </w:t>
      </w:r>
    </w:p>
  </w:footnote>
  <w:footnote w:id="16">
    <w:p w14:paraId="7B6942B3" w14:textId="68CD2707" w:rsidR="00936F4B" w:rsidRDefault="00936F4B" w:rsidP="0017457C">
      <w:pPr>
        <w:pStyle w:val="Notedebasdepage"/>
      </w:pPr>
      <w:r>
        <w:rPr>
          <w:rStyle w:val="Marquenotebasdepage"/>
        </w:rPr>
        <w:footnoteRef/>
      </w:r>
      <w:r>
        <w:t xml:space="preserve"> Kant 1986c, p. 379 (trad. modifiée) (AK VIII, 383).</w:t>
      </w:r>
    </w:p>
  </w:footnote>
  <w:footnote w:id="17">
    <w:p w14:paraId="7E071E1C" w14:textId="5CB3CE84" w:rsidR="00936F4B" w:rsidRDefault="00936F4B">
      <w:pPr>
        <w:pStyle w:val="Notedebasdepage"/>
      </w:pPr>
      <w:r>
        <w:rPr>
          <w:rStyle w:val="Marquenotebasdepage"/>
        </w:rPr>
        <w:footnoteRef/>
      </w:r>
      <w:r>
        <w:t xml:space="preserve"> Kant 1986c, p. 377 (AK VIII, 381).</w:t>
      </w:r>
    </w:p>
  </w:footnote>
  <w:footnote w:id="18">
    <w:p w14:paraId="5CD34807" w14:textId="7D288DE2" w:rsidR="00936F4B" w:rsidRDefault="00936F4B">
      <w:pPr>
        <w:pStyle w:val="Notedebasdepage"/>
      </w:pPr>
      <w:r>
        <w:rPr>
          <w:rStyle w:val="Marquenotebasdepage"/>
        </w:rPr>
        <w:footnoteRef/>
      </w:r>
      <w:r>
        <w:t xml:space="preserve"> </w:t>
      </w:r>
      <w:r w:rsidR="009F5BB4">
        <w:t xml:space="preserve">Cf. par exemple </w:t>
      </w:r>
      <w:r>
        <w:t>Ka</w:t>
      </w:r>
      <w:r w:rsidR="009F5BB4">
        <w:t>nt 1986c, p. 353 (AK VIII, 360) ; Kant 1986b, p. 271</w:t>
      </w:r>
      <w:r w:rsidR="009F5BB4">
        <w:t xml:space="preserve"> (</w:t>
      </w:r>
      <w:r w:rsidR="009F5BB4">
        <w:t>AK VIII, 290).</w:t>
      </w:r>
    </w:p>
  </w:footnote>
  <w:footnote w:id="19">
    <w:p w14:paraId="6EA75AA8" w14:textId="68B1CAC3" w:rsidR="00936F4B" w:rsidRDefault="00936F4B">
      <w:pPr>
        <w:pStyle w:val="Notedebasdepage"/>
      </w:pPr>
      <w:r>
        <w:rPr>
          <w:rStyle w:val="Marquenotebasdepage"/>
        </w:rPr>
        <w:footnoteRef/>
      </w:r>
      <w:r>
        <w:t xml:space="preserve"> Sur la différence entre le « droit des humains », qui concerne les devoirs envers autrui, et le « droit de l’humanité en notre propre personne », qui concerne le devoir envers soi-même, cf. Kant 1986a, p. 490 et 527 (AK VI, 240 et 269).</w:t>
      </w:r>
    </w:p>
  </w:footnote>
  <w:footnote w:id="20">
    <w:p w14:paraId="3B5AE800" w14:textId="68DF04AA" w:rsidR="00936F4B" w:rsidRDefault="00936F4B">
      <w:pPr>
        <w:pStyle w:val="Notedebasdepage"/>
      </w:pPr>
      <w:r>
        <w:rPr>
          <w:rStyle w:val="Marquenotebasdepage"/>
        </w:rPr>
        <w:footnoteRef/>
      </w:r>
      <w:r>
        <w:t xml:space="preserve"> Kant 1986a, p. 487, 488 (AK VI, 237, 238).</w:t>
      </w:r>
    </w:p>
  </w:footnote>
  <w:footnote w:id="21">
    <w:p w14:paraId="4709ED71" w14:textId="70F20433" w:rsidR="00936F4B" w:rsidRDefault="00936F4B">
      <w:pPr>
        <w:pStyle w:val="Notedebasdepage"/>
      </w:pPr>
      <w:r>
        <w:rPr>
          <w:rStyle w:val="Marquenotebasdepage"/>
        </w:rPr>
        <w:footnoteRef/>
      </w:r>
      <w:r>
        <w:t xml:space="preserve"> Kant 1986b, p. 270, 271 (AK VIII, 290). Kant 1986a, p. 578, 579 (AK VI, 314).</w:t>
      </w:r>
    </w:p>
  </w:footnote>
  <w:footnote w:id="22">
    <w:p w14:paraId="0AFFBC17" w14:textId="32B0BD7A" w:rsidR="00936F4B" w:rsidRDefault="00936F4B">
      <w:pPr>
        <w:pStyle w:val="Notedebasdepage"/>
      </w:pPr>
      <w:r>
        <w:rPr>
          <w:rStyle w:val="Marquenotebasdepage"/>
        </w:rPr>
        <w:footnoteRef/>
      </w:r>
      <w:r>
        <w:t xml:space="preserve"> Kant 1986c, p. 353 (trad. modifiée) (AK VIII, 360).</w:t>
      </w:r>
    </w:p>
  </w:footnote>
  <w:footnote w:id="23">
    <w:p w14:paraId="0BA78E67" w14:textId="71EA1D23" w:rsidR="00936F4B" w:rsidRDefault="00936F4B">
      <w:pPr>
        <w:pStyle w:val="Notedebasdepage"/>
      </w:pPr>
      <w:r>
        <w:rPr>
          <w:rStyle w:val="Marquenotebasdepage"/>
        </w:rPr>
        <w:footnoteRef/>
      </w:r>
      <w:r>
        <w:t xml:space="preserve"> Fichte 1984, p. 394 (trad. modifiée) (GA I, 4, 163, 164).</w:t>
      </w:r>
    </w:p>
  </w:footnote>
  <w:footnote w:id="24">
    <w:p w14:paraId="1B85C7C5" w14:textId="242C85C7" w:rsidR="00936F4B" w:rsidRPr="00173247" w:rsidRDefault="00936F4B">
      <w:pPr>
        <w:pStyle w:val="Notedebasdepage"/>
      </w:pPr>
      <w:r>
        <w:rPr>
          <w:rStyle w:val="Marquenotebasdepage"/>
        </w:rPr>
        <w:footnoteRef/>
      </w:r>
      <w:r>
        <w:t xml:space="preserve"> J.-F. Kervégan considère à cet égard que Kant, quoiqu’il ne renonce pas à l’idée de droit naturel pensé comme droit rationnel et étalon de mesure du droit positif, est l’un des pères d’un positivisme juridique raisonnable, puisque le droit rationnel chez lui, n’est pas une norme abstraitement indépendante, mais a vocation à être institué dans le droit statué par l’État (</w:t>
      </w:r>
      <w:r>
        <w:rPr>
          <w:smallCaps/>
        </w:rPr>
        <w:t>K</w:t>
      </w:r>
      <w:r>
        <w:t>ervégan</w:t>
      </w:r>
      <w:r>
        <w:rPr>
          <w:smallCaps/>
        </w:rPr>
        <w:t xml:space="preserve"> </w:t>
      </w:r>
      <w:r>
        <w:t>2015, p. 138-141).</w:t>
      </w:r>
    </w:p>
  </w:footnote>
  <w:footnote w:id="25">
    <w:p w14:paraId="5FC6030E" w14:textId="7B2E9F37" w:rsidR="00936F4B" w:rsidRDefault="00936F4B">
      <w:pPr>
        <w:pStyle w:val="Notedebasdepage"/>
      </w:pPr>
      <w:r>
        <w:rPr>
          <w:rStyle w:val="Marquenotebasdepage"/>
        </w:rPr>
        <w:footnoteRef/>
      </w:r>
      <w:r>
        <w:t xml:space="preserve"> Kant 1986b, p. 288 (AK VIII, 304).</w:t>
      </w:r>
    </w:p>
  </w:footnote>
  <w:footnote w:id="26">
    <w:p w14:paraId="28FE6306" w14:textId="77777777" w:rsidR="009D538E" w:rsidRDefault="009D538E" w:rsidP="009D538E">
      <w:pPr>
        <w:pStyle w:val="Notedebasdepage"/>
      </w:pPr>
      <w:r>
        <w:rPr>
          <w:rStyle w:val="Marquenotebasdepage"/>
        </w:rPr>
        <w:footnoteRef/>
      </w:r>
      <w:r>
        <w:t xml:space="preserve"> Kant 1985, p. 501.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D42"/>
    <w:rsid w:val="000045DD"/>
    <w:rsid w:val="0000782D"/>
    <w:rsid w:val="00011516"/>
    <w:rsid w:val="00021917"/>
    <w:rsid w:val="0002275C"/>
    <w:rsid w:val="00027737"/>
    <w:rsid w:val="00033BA4"/>
    <w:rsid w:val="000362D9"/>
    <w:rsid w:val="00043AA8"/>
    <w:rsid w:val="000448D4"/>
    <w:rsid w:val="00084C1D"/>
    <w:rsid w:val="00085539"/>
    <w:rsid w:val="000862D3"/>
    <w:rsid w:val="000968FE"/>
    <w:rsid w:val="000A4487"/>
    <w:rsid w:val="000C053A"/>
    <w:rsid w:val="000D3791"/>
    <w:rsid w:val="000F16E6"/>
    <w:rsid w:val="00102EAF"/>
    <w:rsid w:val="00132315"/>
    <w:rsid w:val="001404F2"/>
    <w:rsid w:val="00173247"/>
    <w:rsid w:val="0017457C"/>
    <w:rsid w:val="0018483F"/>
    <w:rsid w:val="001A2B7E"/>
    <w:rsid w:val="001A6339"/>
    <w:rsid w:val="001D15F3"/>
    <w:rsid w:val="001D1638"/>
    <w:rsid w:val="001F03F8"/>
    <w:rsid w:val="0020643E"/>
    <w:rsid w:val="0021347D"/>
    <w:rsid w:val="00225B84"/>
    <w:rsid w:val="002308AF"/>
    <w:rsid w:val="00254C8D"/>
    <w:rsid w:val="00261A0C"/>
    <w:rsid w:val="00264FBD"/>
    <w:rsid w:val="00267BEB"/>
    <w:rsid w:val="00270985"/>
    <w:rsid w:val="00275D2A"/>
    <w:rsid w:val="00276C2B"/>
    <w:rsid w:val="002A08FF"/>
    <w:rsid w:val="002A6D42"/>
    <w:rsid w:val="002C30B6"/>
    <w:rsid w:val="002C443E"/>
    <w:rsid w:val="002D4E43"/>
    <w:rsid w:val="002E015A"/>
    <w:rsid w:val="00305E04"/>
    <w:rsid w:val="00324DF2"/>
    <w:rsid w:val="00345FA7"/>
    <w:rsid w:val="0035060B"/>
    <w:rsid w:val="003676E0"/>
    <w:rsid w:val="00386B5B"/>
    <w:rsid w:val="003B7EB8"/>
    <w:rsid w:val="003E210B"/>
    <w:rsid w:val="0040516C"/>
    <w:rsid w:val="00407ADC"/>
    <w:rsid w:val="00426E12"/>
    <w:rsid w:val="004305FE"/>
    <w:rsid w:val="0044613C"/>
    <w:rsid w:val="00452386"/>
    <w:rsid w:val="004604F0"/>
    <w:rsid w:val="00463110"/>
    <w:rsid w:val="0046684E"/>
    <w:rsid w:val="004A23F3"/>
    <w:rsid w:val="004A5CE7"/>
    <w:rsid w:val="004B46E2"/>
    <w:rsid w:val="004B7BAF"/>
    <w:rsid w:val="004C6CDD"/>
    <w:rsid w:val="004D1ACC"/>
    <w:rsid w:val="004E6222"/>
    <w:rsid w:val="004F0F10"/>
    <w:rsid w:val="004F2FF4"/>
    <w:rsid w:val="005132ED"/>
    <w:rsid w:val="00521408"/>
    <w:rsid w:val="00524DF8"/>
    <w:rsid w:val="0053102E"/>
    <w:rsid w:val="00531625"/>
    <w:rsid w:val="005537D0"/>
    <w:rsid w:val="00563C67"/>
    <w:rsid w:val="005811C8"/>
    <w:rsid w:val="00583848"/>
    <w:rsid w:val="005A019B"/>
    <w:rsid w:val="005A2731"/>
    <w:rsid w:val="005D0730"/>
    <w:rsid w:val="005D2B92"/>
    <w:rsid w:val="005F10CE"/>
    <w:rsid w:val="005F1343"/>
    <w:rsid w:val="00616DBF"/>
    <w:rsid w:val="00632CE9"/>
    <w:rsid w:val="00644E97"/>
    <w:rsid w:val="00651ED6"/>
    <w:rsid w:val="006528BA"/>
    <w:rsid w:val="00670F62"/>
    <w:rsid w:val="0067623B"/>
    <w:rsid w:val="00691ABF"/>
    <w:rsid w:val="00693BFD"/>
    <w:rsid w:val="0069468C"/>
    <w:rsid w:val="00694DFC"/>
    <w:rsid w:val="006973A1"/>
    <w:rsid w:val="006A2E3C"/>
    <w:rsid w:val="006A37DF"/>
    <w:rsid w:val="006B4248"/>
    <w:rsid w:val="006B4894"/>
    <w:rsid w:val="006C42CD"/>
    <w:rsid w:val="006C66A3"/>
    <w:rsid w:val="006D03A9"/>
    <w:rsid w:val="006D1508"/>
    <w:rsid w:val="006D3123"/>
    <w:rsid w:val="006D63B6"/>
    <w:rsid w:val="006D6C62"/>
    <w:rsid w:val="006E2140"/>
    <w:rsid w:val="006E3457"/>
    <w:rsid w:val="006E50F2"/>
    <w:rsid w:val="006E5BAE"/>
    <w:rsid w:val="006F5E07"/>
    <w:rsid w:val="00712A91"/>
    <w:rsid w:val="007148A6"/>
    <w:rsid w:val="0071634C"/>
    <w:rsid w:val="00716F38"/>
    <w:rsid w:val="00723128"/>
    <w:rsid w:val="007321B0"/>
    <w:rsid w:val="00733101"/>
    <w:rsid w:val="00742E7F"/>
    <w:rsid w:val="007522B5"/>
    <w:rsid w:val="0077379D"/>
    <w:rsid w:val="007737EB"/>
    <w:rsid w:val="00774D75"/>
    <w:rsid w:val="00795CF8"/>
    <w:rsid w:val="007A2F50"/>
    <w:rsid w:val="007A6936"/>
    <w:rsid w:val="007B25F2"/>
    <w:rsid w:val="007B419F"/>
    <w:rsid w:val="007D7E42"/>
    <w:rsid w:val="007F0604"/>
    <w:rsid w:val="007F4262"/>
    <w:rsid w:val="00801E8E"/>
    <w:rsid w:val="008273DC"/>
    <w:rsid w:val="008342E7"/>
    <w:rsid w:val="008379E1"/>
    <w:rsid w:val="00846A98"/>
    <w:rsid w:val="008617BB"/>
    <w:rsid w:val="00875219"/>
    <w:rsid w:val="008D186A"/>
    <w:rsid w:val="008F49C7"/>
    <w:rsid w:val="009364C8"/>
    <w:rsid w:val="00936F4B"/>
    <w:rsid w:val="009441E6"/>
    <w:rsid w:val="00954138"/>
    <w:rsid w:val="00966EF4"/>
    <w:rsid w:val="0097408B"/>
    <w:rsid w:val="0098302B"/>
    <w:rsid w:val="009859F5"/>
    <w:rsid w:val="009A4090"/>
    <w:rsid w:val="009C6CE8"/>
    <w:rsid w:val="009D538E"/>
    <w:rsid w:val="009F4ADF"/>
    <w:rsid w:val="009F5BB4"/>
    <w:rsid w:val="00A04A3E"/>
    <w:rsid w:val="00A254E9"/>
    <w:rsid w:val="00A35381"/>
    <w:rsid w:val="00A57984"/>
    <w:rsid w:val="00A60862"/>
    <w:rsid w:val="00A628B7"/>
    <w:rsid w:val="00A66717"/>
    <w:rsid w:val="00A9069B"/>
    <w:rsid w:val="00AA51BF"/>
    <w:rsid w:val="00AB0649"/>
    <w:rsid w:val="00AD21AA"/>
    <w:rsid w:val="00AD413E"/>
    <w:rsid w:val="00AF44F8"/>
    <w:rsid w:val="00B031F0"/>
    <w:rsid w:val="00B10A16"/>
    <w:rsid w:val="00B13CA9"/>
    <w:rsid w:val="00B21EA0"/>
    <w:rsid w:val="00B2280B"/>
    <w:rsid w:val="00B31C10"/>
    <w:rsid w:val="00B45119"/>
    <w:rsid w:val="00B52A67"/>
    <w:rsid w:val="00B56952"/>
    <w:rsid w:val="00B73D7C"/>
    <w:rsid w:val="00B75F74"/>
    <w:rsid w:val="00BA1BC6"/>
    <w:rsid w:val="00BD5200"/>
    <w:rsid w:val="00BE656E"/>
    <w:rsid w:val="00BF26D1"/>
    <w:rsid w:val="00C1586A"/>
    <w:rsid w:val="00C21312"/>
    <w:rsid w:val="00C25E2D"/>
    <w:rsid w:val="00C307AB"/>
    <w:rsid w:val="00C70546"/>
    <w:rsid w:val="00C815BC"/>
    <w:rsid w:val="00C91A29"/>
    <w:rsid w:val="00C92723"/>
    <w:rsid w:val="00CB1463"/>
    <w:rsid w:val="00CD428E"/>
    <w:rsid w:val="00CD70A6"/>
    <w:rsid w:val="00CE7798"/>
    <w:rsid w:val="00CF1676"/>
    <w:rsid w:val="00CF4FAD"/>
    <w:rsid w:val="00D14FC2"/>
    <w:rsid w:val="00D412CD"/>
    <w:rsid w:val="00D56135"/>
    <w:rsid w:val="00D74388"/>
    <w:rsid w:val="00D82DCD"/>
    <w:rsid w:val="00D93F7E"/>
    <w:rsid w:val="00DA781B"/>
    <w:rsid w:val="00DB289B"/>
    <w:rsid w:val="00DC2AA5"/>
    <w:rsid w:val="00DC358A"/>
    <w:rsid w:val="00DD4C57"/>
    <w:rsid w:val="00DD7777"/>
    <w:rsid w:val="00DE3969"/>
    <w:rsid w:val="00DE7DCC"/>
    <w:rsid w:val="00DF4C29"/>
    <w:rsid w:val="00E047B2"/>
    <w:rsid w:val="00E25366"/>
    <w:rsid w:val="00E27E25"/>
    <w:rsid w:val="00E33B33"/>
    <w:rsid w:val="00E66487"/>
    <w:rsid w:val="00E75037"/>
    <w:rsid w:val="00E810A5"/>
    <w:rsid w:val="00E908CC"/>
    <w:rsid w:val="00E9624E"/>
    <w:rsid w:val="00EA2086"/>
    <w:rsid w:val="00ED2831"/>
    <w:rsid w:val="00ED6318"/>
    <w:rsid w:val="00EE50D3"/>
    <w:rsid w:val="00EF107B"/>
    <w:rsid w:val="00F1510B"/>
    <w:rsid w:val="00F16419"/>
    <w:rsid w:val="00F21462"/>
    <w:rsid w:val="00F46E09"/>
    <w:rsid w:val="00F5777C"/>
    <w:rsid w:val="00F57DE8"/>
    <w:rsid w:val="00F749CF"/>
    <w:rsid w:val="00F75935"/>
    <w:rsid w:val="00F871B7"/>
    <w:rsid w:val="00FB47C1"/>
    <w:rsid w:val="00FB7FB7"/>
    <w:rsid w:val="00FE0D4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DC845A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CD70A6"/>
    <w:rPr>
      <w:sz w:val="20"/>
    </w:rPr>
  </w:style>
  <w:style w:type="character" w:customStyle="1" w:styleId="NotedebasdepageCar">
    <w:name w:val="Note de bas de page Car"/>
    <w:basedOn w:val="Policepardfaut"/>
    <w:link w:val="Notedebasdepage"/>
    <w:uiPriority w:val="99"/>
    <w:rsid w:val="00CD70A6"/>
    <w:rPr>
      <w:sz w:val="20"/>
    </w:rPr>
  </w:style>
  <w:style w:type="character" w:styleId="Marquenotebasdepage">
    <w:name w:val="footnote reference"/>
    <w:basedOn w:val="Policepardfaut"/>
    <w:uiPriority w:val="99"/>
    <w:unhideWhenUsed/>
    <w:rsid w:val="00CD428E"/>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CD70A6"/>
    <w:rPr>
      <w:sz w:val="20"/>
    </w:rPr>
  </w:style>
  <w:style w:type="character" w:customStyle="1" w:styleId="NotedebasdepageCar">
    <w:name w:val="Note de bas de page Car"/>
    <w:basedOn w:val="Policepardfaut"/>
    <w:link w:val="Notedebasdepage"/>
    <w:uiPriority w:val="99"/>
    <w:rsid w:val="00CD70A6"/>
    <w:rPr>
      <w:sz w:val="20"/>
    </w:rPr>
  </w:style>
  <w:style w:type="character" w:styleId="Marquenotebasdepage">
    <w:name w:val="footnote reference"/>
    <w:basedOn w:val="Policepardfaut"/>
    <w:uiPriority w:val="99"/>
    <w:unhideWhenUsed/>
    <w:rsid w:val="00CD42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1842</TotalTime>
  <Pages>10</Pages>
  <Words>3636</Words>
  <Characters>20004</Characters>
  <Application>Microsoft Macintosh Word</Application>
  <DocSecurity>0</DocSecurity>
  <Lines>166</Lines>
  <Paragraphs>47</Paragraphs>
  <ScaleCrop>false</ScaleCrop>
  <Company/>
  <LinksUpToDate>false</LinksUpToDate>
  <CharactersWithSpaces>23593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Quentin Landenne</dc:creator>
  <cp:keywords/>
  <dc:description/>
  <cp:lastModifiedBy>Quentin Landenne</cp:lastModifiedBy>
  <cp:revision>148</cp:revision>
  <cp:lastPrinted>2021-09-10T06:14:00Z</cp:lastPrinted>
  <dcterms:created xsi:type="dcterms:W3CDTF">2021-08-15T09:55:00Z</dcterms:created>
  <dcterms:modified xsi:type="dcterms:W3CDTF">2021-09-30T16:02:00Z</dcterms:modified>
</cp:coreProperties>
</file>