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A617C" w:rsidRPr="00CD2C4D" w:rsidRDefault="00AA617C" w:rsidP="00AA617C">
      <w:pPr>
        <w:jc w:val="both"/>
      </w:pPr>
      <w:r w:rsidRPr="00CD2C4D">
        <w:t xml:space="preserve">M. Bolder-Boos &amp; D. Maschek, (Ed.) </w:t>
      </w:r>
      <w:proofErr w:type="spellStart"/>
      <w:r w:rsidRPr="00CD2C4D">
        <w:rPr>
          <w:i/>
        </w:rPr>
        <w:t>Orte</w:t>
      </w:r>
      <w:proofErr w:type="spellEnd"/>
      <w:r w:rsidRPr="00CD2C4D">
        <w:rPr>
          <w:i/>
        </w:rPr>
        <w:t xml:space="preserve"> der </w:t>
      </w:r>
      <w:proofErr w:type="spellStart"/>
      <w:r w:rsidRPr="00CD2C4D">
        <w:rPr>
          <w:i/>
        </w:rPr>
        <w:t>Forschung</w:t>
      </w:r>
      <w:proofErr w:type="spellEnd"/>
      <w:r w:rsidRPr="00CD2C4D">
        <w:rPr>
          <w:i/>
        </w:rPr>
        <w:t xml:space="preserve">, </w:t>
      </w:r>
      <w:proofErr w:type="spellStart"/>
      <w:r w:rsidRPr="00CD2C4D">
        <w:rPr>
          <w:i/>
        </w:rPr>
        <w:t>Orte</w:t>
      </w:r>
      <w:proofErr w:type="spellEnd"/>
      <w:r w:rsidRPr="00CD2C4D">
        <w:rPr>
          <w:i/>
        </w:rPr>
        <w:t xml:space="preserve"> des </w:t>
      </w:r>
      <w:proofErr w:type="spellStart"/>
      <w:r w:rsidRPr="00CD2C4D">
        <w:rPr>
          <w:i/>
        </w:rPr>
        <w:t>Glaubens</w:t>
      </w:r>
      <w:proofErr w:type="spellEnd"/>
      <w:r w:rsidRPr="00CD2C4D">
        <w:rPr>
          <w:i/>
        </w:rPr>
        <w:t xml:space="preserve">: </w:t>
      </w:r>
      <w:proofErr w:type="spellStart"/>
      <w:r w:rsidRPr="00CD2C4D">
        <w:rPr>
          <w:i/>
        </w:rPr>
        <w:t>neue</w:t>
      </w:r>
      <w:proofErr w:type="spellEnd"/>
      <w:r w:rsidRPr="00CD2C4D">
        <w:rPr>
          <w:i/>
        </w:rPr>
        <w:t xml:space="preserve"> </w:t>
      </w:r>
      <w:proofErr w:type="spellStart"/>
      <w:r w:rsidRPr="00CD2C4D">
        <w:rPr>
          <w:i/>
        </w:rPr>
        <w:t>Perspektiven</w:t>
      </w:r>
      <w:proofErr w:type="spellEnd"/>
      <w:r w:rsidRPr="00CD2C4D">
        <w:rPr>
          <w:i/>
        </w:rPr>
        <w:t xml:space="preserve"> </w:t>
      </w:r>
      <w:proofErr w:type="spellStart"/>
      <w:r w:rsidRPr="00CD2C4D">
        <w:rPr>
          <w:i/>
        </w:rPr>
        <w:t>für</w:t>
      </w:r>
      <w:proofErr w:type="spellEnd"/>
      <w:r w:rsidRPr="00CD2C4D">
        <w:rPr>
          <w:i/>
        </w:rPr>
        <w:t xml:space="preserve"> </w:t>
      </w:r>
      <w:proofErr w:type="spellStart"/>
      <w:r w:rsidRPr="00CD2C4D">
        <w:rPr>
          <w:i/>
        </w:rPr>
        <w:t>Heiligtümer</w:t>
      </w:r>
      <w:proofErr w:type="spellEnd"/>
      <w:r w:rsidRPr="00CD2C4D">
        <w:rPr>
          <w:i/>
        </w:rPr>
        <w:t xml:space="preserve"> in Italien </w:t>
      </w:r>
      <w:proofErr w:type="spellStart"/>
      <w:r w:rsidRPr="00CD2C4D">
        <w:rPr>
          <w:i/>
        </w:rPr>
        <w:t>von</w:t>
      </w:r>
      <w:proofErr w:type="spellEnd"/>
      <w:r w:rsidRPr="00CD2C4D">
        <w:rPr>
          <w:i/>
        </w:rPr>
        <w:t xml:space="preserve"> der </w:t>
      </w:r>
      <w:proofErr w:type="spellStart"/>
      <w:r w:rsidRPr="00CD2C4D">
        <w:rPr>
          <w:i/>
        </w:rPr>
        <w:t>Archaik</w:t>
      </w:r>
      <w:proofErr w:type="spellEnd"/>
      <w:r w:rsidRPr="00CD2C4D">
        <w:rPr>
          <w:i/>
        </w:rPr>
        <w:t xml:space="preserve"> bis </w:t>
      </w:r>
      <w:proofErr w:type="spellStart"/>
      <w:r w:rsidRPr="00CD2C4D">
        <w:rPr>
          <w:i/>
        </w:rPr>
        <w:t>zur</w:t>
      </w:r>
      <w:proofErr w:type="spellEnd"/>
      <w:r w:rsidRPr="00CD2C4D">
        <w:rPr>
          <w:i/>
        </w:rPr>
        <w:t xml:space="preserve"> </w:t>
      </w:r>
      <w:proofErr w:type="spellStart"/>
      <w:r w:rsidRPr="00CD2C4D">
        <w:rPr>
          <w:i/>
        </w:rPr>
        <w:t>Späten</w:t>
      </w:r>
      <w:proofErr w:type="spellEnd"/>
      <w:r w:rsidRPr="00CD2C4D">
        <w:rPr>
          <w:i/>
        </w:rPr>
        <w:t xml:space="preserve"> </w:t>
      </w:r>
      <w:proofErr w:type="spellStart"/>
      <w:r w:rsidRPr="00CD2C4D">
        <w:rPr>
          <w:i/>
        </w:rPr>
        <w:t>Republik</w:t>
      </w:r>
      <w:proofErr w:type="spellEnd"/>
      <w:r w:rsidRPr="00CD2C4D">
        <w:rPr>
          <w:i/>
        </w:rPr>
        <w:t xml:space="preserve">. </w:t>
      </w:r>
      <w:proofErr w:type="spellStart"/>
      <w:r w:rsidRPr="00CD2C4D">
        <w:rPr>
          <w:i/>
        </w:rPr>
        <w:t>Akten</w:t>
      </w:r>
      <w:proofErr w:type="spellEnd"/>
      <w:r w:rsidRPr="00CD2C4D">
        <w:rPr>
          <w:i/>
        </w:rPr>
        <w:t xml:space="preserve"> der </w:t>
      </w:r>
      <w:proofErr w:type="spellStart"/>
      <w:r w:rsidRPr="00CD2C4D">
        <w:rPr>
          <w:i/>
        </w:rPr>
        <w:t>internationalen</w:t>
      </w:r>
      <w:proofErr w:type="spellEnd"/>
      <w:r w:rsidRPr="00CD2C4D">
        <w:rPr>
          <w:i/>
        </w:rPr>
        <w:t xml:space="preserve"> </w:t>
      </w:r>
      <w:proofErr w:type="spellStart"/>
      <w:r w:rsidRPr="00CD2C4D">
        <w:rPr>
          <w:i/>
        </w:rPr>
        <w:t>Tagung</w:t>
      </w:r>
      <w:proofErr w:type="spellEnd"/>
      <w:r w:rsidRPr="00CD2C4D">
        <w:rPr>
          <w:i/>
        </w:rPr>
        <w:t xml:space="preserve"> in Darmstadt </w:t>
      </w:r>
      <w:proofErr w:type="spellStart"/>
      <w:r w:rsidRPr="00CD2C4D">
        <w:rPr>
          <w:i/>
        </w:rPr>
        <w:t>am</w:t>
      </w:r>
      <w:proofErr w:type="spellEnd"/>
      <w:r w:rsidRPr="00CD2C4D">
        <w:rPr>
          <w:i/>
        </w:rPr>
        <w:t xml:space="preserve"> 19. </w:t>
      </w:r>
      <w:proofErr w:type="spellStart"/>
      <w:r w:rsidRPr="00CD2C4D">
        <w:rPr>
          <w:i/>
        </w:rPr>
        <w:t>und</w:t>
      </w:r>
      <w:proofErr w:type="spellEnd"/>
      <w:r w:rsidRPr="00CD2C4D">
        <w:rPr>
          <w:i/>
        </w:rPr>
        <w:t xml:space="preserve"> 20. </w:t>
      </w:r>
      <w:proofErr w:type="spellStart"/>
      <w:r w:rsidRPr="00CD2C4D">
        <w:rPr>
          <w:i/>
        </w:rPr>
        <w:t>Juli</w:t>
      </w:r>
      <w:proofErr w:type="spellEnd"/>
      <w:r w:rsidRPr="00CD2C4D">
        <w:rPr>
          <w:i/>
        </w:rPr>
        <w:t xml:space="preserve"> 2013</w:t>
      </w:r>
      <w:r w:rsidRPr="00CD2C4D">
        <w:t xml:space="preserve">. Bonn, Dr. Rudolf </w:t>
      </w:r>
      <w:proofErr w:type="spellStart"/>
      <w:r w:rsidRPr="00CD2C4D">
        <w:t>Habelt</w:t>
      </w:r>
      <w:proofErr w:type="spellEnd"/>
      <w:r w:rsidRPr="00CD2C4D">
        <w:t xml:space="preserve"> </w:t>
      </w:r>
      <w:proofErr w:type="spellStart"/>
      <w:r w:rsidRPr="00CD2C4D">
        <w:t>Verlag</w:t>
      </w:r>
      <w:proofErr w:type="spellEnd"/>
      <w:r w:rsidRPr="00CD2C4D">
        <w:t xml:space="preserve">, 2016. 1 vol. 189 p. Prix €79.00.  ISBN 9783774939790.  </w:t>
      </w:r>
    </w:p>
    <w:p w:rsidR="007F0182" w:rsidRPr="00CD2C4D" w:rsidRDefault="00352706" w:rsidP="00AA617C">
      <w:pPr>
        <w:jc w:val="both"/>
      </w:pPr>
      <w:r w:rsidRPr="00CD2C4D">
        <w:t>Issu d’une journée d’étude, l’ouvrage</w:t>
      </w:r>
      <w:r w:rsidR="00B9319B" w:rsidRPr="00CD2C4D">
        <w:t xml:space="preserve"> vise à présenter de nouvelles perspectives de recherche sur les</w:t>
      </w:r>
      <w:r w:rsidRPr="00CD2C4D">
        <w:t xml:space="preserve"> sanctuaires d’Italie, depuis l’époque archaïque jusqu’à la fin de la République</w:t>
      </w:r>
      <w:r w:rsidR="00B9319B" w:rsidRPr="00CD2C4D">
        <w:t>, en les envisageant en tant que lieux d’interactions entre les hommes et les dieux.</w:t>
      </w:r>
      <w:r w:rsidR="00EB4B12" w:rsidRPr="00CD2C4D">
        <w:t xml:space="preserve"> Les études sur l’architecture, les décors et les dédicaces des sanctuaires sont situées dans le contexte de l’historiographie récente sur l’hellénisation et la romanisation, tout en prenant en considération le rôle des acteurs locaux. – La première partie de l’ouvrage est consacrée aux espaces sacrés dans différentes régions d’Italie.</w:t>
      </w:r>
      <w:r w:rsidR="00602D0D" w:rsidRPr="00CD2C4D">
        <w:t xml:space="preserve"> M. Bolder-Boos s’intéresse aux sanctuaires de Gravisca (Pyrgi) et de S. Omobono (Rome)</w:t>
      </w:r>
      <w:r w:rsidR="003D2EAE" w:rsidRPr="00CD2C4D">
        <w:t>,</w:t>
      </w:r>
      <w:r w:rsidR="00602D0D" w:rsidRPr="00CD2C4D">
        <w:t xml:space="preserve"> en tant que </w:t>
      </w:r>
      <w:r w:rsidR="00F70D57" w:rsidRPr="00CD2C4D">
        <w:t>zone</w:t>
      </w:r>
      <w:r w:rsidR="003D2EAE" w:rsidRPr="00CD2C4D">
        <w:t>s</w:t>
      </w:r>
      <w:r w:rsidR="00F70D57" w:rsidRPr="00CD2C4D">
        <w:t xml:space="preserve"> de contacts entre locaux et ‘visiteurs’ de diverses origines (Phéniciens et Grecs). D. Svoboda </w:t>
      </w:r>
      <w:r w:rsidR="0097719A" w:rsidRPr="00CD2C4D">
        <w:t>tente de mettre en lumière la mixité culturelle d</w:t>
      </w:r>
      <w:r w:rsidR="00F70D57" w:rsidRPr="00CD2C4D">
        <w:t>es</w:t>
      </w:r>
      <w:r w:rsidR="0097719A" w:rsidRPr="00CD2C4D">
        <w:t xml:space="preserve"> trois</w:t>
      </w:r>
      <w:r w:rsidR="00F70D57" w:rsidRPr="00CD2C4D">
        <w:t xml:space="preserve"> sanctuaires de la colonie grecques d’Elea, en Lucanie</w:t>
      </w:r>
      <w:r w:rsidR="00CD2C4D" w:rsidRPr="00CD2C4D">
        <w:t> </w:t>
      </w:r>
      <w:r w:rsidR="0097719A" w:rsidRPr="00CD2C4D">
        <w:t xml:space="preserve">: leur organisation spatiale doit être expliquée en tenant compte non seulement des schémas dérivés de l’architecture grecque mais aussi à partir de modèles spécifiquement lucaniens. V. Gasparini étudie le contexte historique, social et topographique qui voit la construction du temple de </w:t>
      </w:r>
      <w:r w:rsidR="0097719A" w:rsidRPr="00CD2C4D">
        <w:rPr>
          <w:i/>
        </w:rPr>
        <w:t>Fortuna Augusta</w:t>
      </w:r>
      <w:r w:rsidR="0097719A" w:rsidRPr="00CD2C4D">
        <w:t xml:space="preserve"> à Pompéi</w:t>
      </w:r>
      <w:r w:rsidR="0001529A" w:rsidRPr="00CD2C4D">
        <w:t xml:space="preserve"> (sur la question, le lecteur consultera aussi avec profit les travaux de W. Van Andringa qui, avec son équipe, a récemment fouillé </w:t>
      </w:r>
      <w:r w:rsidR="0014451B" w:rsidRPr="00CD2C4D">
        <w:t>le temple</w:t>
      </w:r>
      <w:r w:rsidR="0001529A" w:rsidRPr="00CD2C4D">
        <w:t>)</w:t>
      </w:r>
      <w:r w:rsidR="0097719A" w:rsidRPr="00CD2C4D">
        <w:t>.</w:t>
      </w:r>
      <w:r w:rsidR="0014451B" w:rsidRPr="00CD2C4D">
        <w:t xml:space="preserve"> A. Calapà</w:t>
      </w:r>
      <w:r w:rsidR="000D2E36" w:rsidRPr="00CD2C4D">
        <w:t xml:space="preserve"> examine les sanctuaires d’Etrurie d’époque républicaine et du début de l’Empire, qui sont généralement présentés comme dédié</w:t>
      </w:r>
      <w:r w:rsidR="004D0478" w:rsidRPr="00CD2C4D">
        <w:t>s à des dieux guérisseurs et remet en cause ces identifications. Les ex-votos anatomiques ne peuvent être considérés comme un trait propr</w:t>
      </w:r>
      <w:bookmarkStart w:id="0" w:name="_GoBack"/>
      <w:bookmarkEnd w:id="0"/>
      <w:r w:rsidR="004D0478" w:rsidRPr="00CD2C4D">
        <w:t>e aux cultes guérisseurs, comme le montre</w:t>
      </w:r>
      <w:r w:rsidR="00F65CF0" w:rsidRPr="00CD2C4D">
        <w:t>nt</w:t>
      </w:r>
      <w:r w:rsidR="004D0478" w:rsidRPr="00CD2C4D">
        <w:t xml:space="preserve"> leur</w:t>
      </w:r>
      <w:r w:rsidR="00F65CF0" w:rsidRPr="00CD2C4D">
        <w:t>s</w:t>
      </w:r>
      <w:r w:rsidR="004D0478" w:rsidRPr="00CD2C4D">
        <w:t xml:space="preserve"> caractéristiques et leur distribution</w:t>
      </w:r>
      <w:r w:rsidR="00F65CF0" w:rsidRPr="00CD2C4D">
        <w:t>, tandis que les dits ‘sanctuaires de sources’ ne peuvent que rarement être interprété</w:t>
      </w:r>
      <w:r w:rsidR="00343956" w:rsidRPr="00CD2C4D">
        <w:t>s</w:t>
      </w:r>
      <w:r w:rsidR="00F65CF0" w:rsidRPr="00CD2C4D">
        <w:t xml:space="preserve"> comme lieux de culte ‘guérisseurs’, sur la base des sources épigraphiques et archéologiques.</w:t>
      </w:r>
      <w:r w:rsidR="00E31D78" w:rsidRPr="00CD2C4D">
        <w:t xml:space="preserve"> – </w:t>
      </w:r>
      <w:r w:rsidR="007F0182" w:rsidRPr="00CD2C4D">
        <w:t>La deuxième partie a pour objet les offrandes votives et les dédicaces dans les sanctuaires d’Italie.</w:t>
      </w:r>
      <w:r w:rsidR="00E31D78" w:rsidRPr="00CD2C4D">
        <w:t xml:space="preserve"> A. Murgan </w:t>
      </w:r>
      <w:r w:rsidR="00922D61" w:rsidRPr="00CD2C4D">
        <w:t>se penche sur</w:t>
      </w:r>
      <w:r w:rsidR="00E31D78" w:rsidRPr="00CD2C4D">
        <w:t xml:space="preserve"> la terminologie </w:t>
      </w:r>
      <w:r w:rsidR="00922D61" w:rsidRPr="00CD2C4D">
        <w:t xml:space="preserve">moderne </w:t>
      </w:r>
      <w:r w:rsidR="00E31D78" w:rsidRPr="00CD2C4D">
        <w:t xml:space="preserve">appliquée aux </w:t>
      </w:r>
      <w:r w:rsidR="00922D61" w:rsidRPr="00CD2C4D">
        <w:t xml:space="preserve">diverses </w:t>
      </w:r>
      <w:r w:rsidR="00E31D78" w:rsidRPr="00CD2C4D">
        <w:t>pratiques d’offrandes</w:t>
      </w:r>
      <w:r w:rsidR="00922D61" w:rsidRPr="00CD2C4D">
        <w:t xml:space="preserve"> dans les sanctuaires antiques. Dans la mes</w:t>
      </w:r>
      <w:r w:rsidR="00CD2C4D" w:rsidRPr="00CD2C4D">
        <w:t>ure où celle-ci tend à compliquer</w:t>
      </w:r>
      <w:r w:rsidR="00922D61" w:rsidRPr="00CD2C4D">
        <w:t xml:space="preserve">, par sa diversité, la communication sur cette thématique, il appelle de ses </w:t>
      </w:r>
      <w:r w:rsidR="00CD2C4D" w:rsidRPr="00CD2C4D">
        <w:t>vœux</w:t>
      </w:r>
      <w:r w:rsidR="00922D61" w:rsidRPr="00CD2C4D">
        <w:t xml:space="preserve"> les chercheurs à fournir une description et analyse la plus fine possible </w:t>
      </w:r>
      <w:r w:rsidR="00F7037B" w:rsidRPr="00CD2C4D">
        <w:t>des découvertes, en évitant des termes prêtant à confusion. Sur la base de quelques exemples, C. Schmitt s’interroge sur les persistances et transformations dans les pratiques d’offrande</w:t>
      </w:r>
      <w:r w:rsidR="00360FFD" w:rsidRPr="00CD2C4D">
        <w:t xml:space="preserve">s, attestées dans des </w:t>
      </w:r>
      <w:r w:rsidR="00F7037B" w:rsidRPr="00CD2C4D">
        <w:t>sanct</w:t>
      </w:r>
      <w:r w:rsidR="00360FFD" w:rsidRPr="00CD2C4D">
        <w:t>uaires de Grande Grèce : en quoi les évolutions éventuelles sont-elles dues aux influences et interactions entre Grecs, Italiques et Romains ?</w:t>
      </w:r>
      <w:r w:rsidR="00DE5EF9" w:rsidRPr="00CD2C4D">
        <w:t xml:space="preserve"> M. Termeer entend proposer de nouvelles pistes pour l’étude du matériel votif retrouvé dans les colonies latines, en tant que </w:t>
      </w:r>
      <w:r w:rsidR="00422C71" w:rsidRPr="00CD2C4D">
        <w:t xml:space="preserve">témoin du changement culturel dans l’Italie républicaine. – </w:t>
      </w:r>
      <w:r w:rsidR="007F0182" w:rsidRPr="00CD2C4D">
        <w:t>La troisième partie traite de l’architecture sacrée.</w:t>
      </w:r>
      <w:r w:rsidR="003C67AA" w:rsidRPr="00CD2C4D">
        <w:t xml:space="preserve"> D. Maschek propose une première tentative d’étude des sanctuaires tardo-républicains bien connus, tel ceux de Préneste, Tivoli et Terraccina, par le biais d’une analyse phénoménologique architecturale. L’outil heuristique principal n’est pas une typologie traditionnelle mais</w:t>
      </w:r>
      <w:r w:rsidR="00F64F30" w:rsidRPr="00CD2C4D">
        <w:t xml:space="preserve"> la prise en compte de leur singularité et de leur esthétique respectives, telles qu’elles s’expriment dans le concept de ‘architectural landscape’.</w:t>
      </w:r>
      <w:r w:rsidR="008B7ECB" w:rsidRPr="00CD2C4D">
        <w:t xml:space="preserve"> A. D’Alessio, pour sa part, met en lumière quelques-unes des caractéristiques essentielles de l’organisation et de la structure de ces </w:t>
      </w:r>
      <w:r w:rsidR="0034587D" w:rsidRPr="00CD2C4D">
        <w:t>mêmes sanctuaires tardo-républicains</w:t>
      </w:r>
      <w:r w:rsidR="008B7ECB" w:rsidRPr="00CD2C4D">
        <w:t>.</w:t>
      </w:r>
      <w:r w:rsidR="0034587D" w:rsidRPr="00CD2C4D">
        <w:t xml:space="preserve"> C’est aussi aux grands sanctuaires d’Italie de la fin de la République que s’intéresse A. Carini, en orientant son enquête vers ceux, moins connus, qui furent établis dans la zone septentrionale de la Campanie.</w:t>
      </w:r>
      <w:r w:rsidR="003D2EAE" w:rsidRPr="00CD2C4D">
        <w:t xml:space="preserve"> Enfin, Claudia Widow </w:t>
      </w:r>
      <w:r w:rsidR="00CD2C4D" w:rsidRPr="00CD2C4D">
        <w:t>se penche sur les</w:t>
      </w:r>
      <w:r w:rsidR="003D2EAE" w:rsidRPr="00CD2C4D">
        <w:t xml:space="preserve"> autels érigés dans les sanctuaires samnites au 2e s. av. n.è.</w:t>
      </w:r>
    </w:p>
    <w:p w:rsidR="00AA617C" w:rsidRPr="00CD2C4D" w:rsidRDefault="00AA617C" w:rsidP="00AA617C">
      <w:pPr>
        <w:jc w:val="both"/>
      </w:pPr>
      <w:r w:rsidRPr="00CD2C4D">
        <w:t>Françoise Van Haeperen</w:t>
      </w:r>
    </w:p>
    <w:sectPr w:rsidR="00AA617C" w:rsidRPr="00CD2C4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553AA"/>
    <w:rsid w:val="0001529A"/>
    <w:rsid w:val="000553AA"/>
    <w:rsid w:val="000D2E36"/>
    <w:rsid w:val="0013709F"/>
    <w:rsid w:val="0014451B"/>
    <w:rsid w:val="00343956"/>
    <w:rsid w:val="0034587D"/>
    <w:rsid w:val="00352706"/>
    <w:rsid w:val="00360FFD"/>
    <w:rsid w:val="003C67AA"/>
    <w:rsid w:val="003D2EAE"/>
    <w:rsid w:val="003E664C"/>
    <w:rsid w:val="00422C71"/>
    <w:rsid w:val="004D0478"/>
    <w:rsid w:val="00602D0D"/>
    <w:rsid w:val="007F0182"/>
    <w:rsid w:val="008B7ECB"/>
    <w:rsid w:val="00922D61"/>
    <w:rsid w:val="00971AC6"/>
    <w:rsid w:val="0097719A"/>
    <w:rsid w:val="00AA617C"/>
    <w:rsid w:val="00B9319B"/>
    <w:rsid w:val="00BA4623"/>
    <w:rsid w:val="00CD2C4D"/>
    <w:rsid w:val="00DE5EF9"/>
    <w:rsid w:val="00E31D78"/>
    <w:rsid w:val="00EB4B12"/>
    <w:rsid w:val="00F64F30"/>
    <w:rsid w:val="00F65CF0"/>
    <w:rsid w:val="00F7037B"/>
    <w:rsid w:val="00F70D57"/>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AB110B"/>
  <w15:chartTrackingRefBased/>
  <w15:docId w15:val="{834CD897-EB96-451B-8C58-0F7CC97E66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966510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296</TotalTime>
  <Pages>1</Pages>
  <Words>644</Words>
  <Characters>3543</Characters>
  <Application>Microsoft Office Word</Application>
  <DocSecurity>0</DocSecurity>
  <Lines>29</Lines>
  <Paragraphs>8</Paragraphs>
  <ScaleCrop>false</ScaleCrop>
  <HeadingPairs>
    <vt:vector size="2" baseType="variant">
      <vt:variant>
        <vt:lpstr>Titre</vt:lpstr>
      </vt:variant>
      <vt:variant>
        <vt:i4>1</vt:i4>
      </vt:variant>
    </vt:vector>
  </HeadingPairs>
  <TitlesOfParts>
    <vt:vector size="1" baseType="lpstr">
      <vt:lpstr/>
    </vt:vector>
  </TitlesOfParts>
  <Company>Université Catholique de Louvain</Company>
  <LinksUpToDate>false</LinksUpToDate>
  <CharactersWithSpaces>4179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Françoise Van Haeperen</dc:creator>
  <cp:keywords/>
  <dc:description/>
  <cp:lastModifiedBy>Françoise Van Haeperen</cp:lastModifiedBy>
  <cp:revision>4</cp:revision>
  <dcterms:created xsi:type="dcterms:W3CDTF">2017-12-04T09:42:00Z</dcterms:created>
  <dcterms:modified xsi:type="dcterms:W3CDTF">2019-01-14T08:38:00Z</dcterms:modified>
</cp:coreProperties>
</file>