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ce3d9a73"/>
          <w:b/>
          <w:color w:val="5478B4"/>
          <w:sz w:val="28"/>
          <w:szCs w:val="24"/>
          <w:lang w:val="en-GB"/>
        </w:rPr>
      </w:pPr>
      <w:r w:rsidRPr="00AD259A">
        <w:rPr>
          <w:rFonts w:ascii="PT Sans" w:hAnsi="PT Sans" w:cs="AdvOTce3d9a73"/>
          <w:b/>
          <w:color w:val="5478B4"/>
          <w:sz w:val="28"/>
          <w:szCs w:val="24"/>
          <w:lang w:val="en-GB"/>
        </w:rPr>
        <w:t>Orthostatic blood pressure drop and cardiovascular and psychotropic</w:t>
      </w:r>
      <w:r w:rsidRPr="00AD259A">
        <w:rPr>
          <w:rFonts w:ascii="PT Sans" w:hAnsi="PT Sans" w:cs="AdvOTce3d9a73"/>
          <w:b/>
          <w:color w:val="5478B4"/>
          <w:sz w:val="28"/>
          <w:szCs w:val="24"/>
          <w:lang w:val="en-GB"/>
        </w:rPr>
        <w:t xml:space="preserve"> </w:t>
      </w:r>
      <w:r w:rsidRPr="00AD259A">
        <w:rPr>
          <w:rFonts w:ascii="PT Sans" w:hAnsi="PT Sans" w:cs="AdvOTce3d9a73"/>
          <w:b/>
          <w:color w:val="5478B4"/>
          <w:sz w:val="28"/>
          <w:szCs w:val="24"/>
          <w:lang w:val="en-GB"/>
        </w:rPr>
        <w:t>medication dosages in acutely ill geriatric inpatients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46dcae81"/>
          <w:color w:val="000080"/>
          <w:sz w:val="24"/>
          <w:szCs w:val="24"/>
          <w:lang w:val="en-GB"/>
        </w:rPr>
      </w:pP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J. Paul </w:t>
      </w:r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a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, F.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Vaillant</w:t>
      </w:r>
      <w:proofErr w:type="spellEnd"/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a</w:t>
      </w:r>
      <w:proofErr w:type="gramStart"/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,b</w:t>
      </w:r>
      <w:proofErr w:type="spellEnd"/>
      <w:proofErr w:type="gram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, O. Vanden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Bossche</w:t>
      </w:r>
      <w:proofErr w:type="spellEnd"/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a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, T. Pepersack </w:t>
      </w:r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c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, S. Henrard </w:t>
      </w:r>
      <w:proofErr w:type="spellStart"/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d,e</w:t>
      </w:r>
      <w:proofErr w:type="spellEnd"/>
      <w:r w:rsidRPr="00AD259A">
        <w:rPr>
          <w:rFonts w:ascii="PT Sans" w:hAnsi="PT Sans" w:cs="AdvOT46dcae81"/>
          <w:color w:val="00008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and B. Boland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46dcae81"/>
          <w:color w:val="000080"/>
          <w:sz w:val="24"/>
          <w:szCs w:val="24"/>
          <w:vertAlign w:val="superscript"/>
          <w:lang w:val="en-GB"/>
        </w:rPr>
        <w:t>a,e</w:t>
      </w:r>
      <w:proofErr w:type="spellEnd"/>
    </w:p>
    <w:p w:rsidR="00AD259A" w:rsidRDefault="00AD259A" w:rsidP="00AD259A">
      <w:pPr>
        <w:autoSpaceDE w:val="0"/>
        <w:autoSpaceDN w:val="0"/>
        <w:adjustRightInd w:val="0"/>
        <w:spacing w:after="0" w:line="240" w:lineRule="auto"/>
        <w:jc w:val="both"/>
        <w:rPr>
          <w:rFonts w:ascii="PT Sans" w:hAnsi="PT Sans" w:cs="AdvOT5fcf1b24"/>
          <w:color w:val="000000"/>
          <w:sz w:val="24"/>
          <w:szCs w:val="24"/>
          <w:lang w:val="en-GB"/>
        </w:rPr>
      </w:pPr>
      <w:proofErr w:type="gramStart"/>
      <w:r w:rsidRPr="00AD259A">
        <w:rPr>
          <w:rFonts w:ascii="PT Sans" w:hAnsi="PT Sans" w:cs="AdvOT5fcf1b24"/>
          <w:color w:val="000000"/>
          <w:sz w:val="24"/>
          <w:szCs w:val="24"/>
          <w:vertAlign w:val="superscript"/>
          <w:lang w:val="en-GB"/>
        </w:rPr>
        <w:t>a</w:t>
      </w:r>
      <w:proofErr w:type="gramEnd"/>
      <w:r>
        <w:rPr>
          <w:rFonts w:ascii="PT Sans" w:hAnsi="PT Sans" w:cs="AdvOT5fcf1b24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5fcf1b24"/>
          <w:color w:val="000000"/>
          <w:sz w:val="24"/>
          <w:szCs w:val="24"/>
          <w:lang w:val="en-GB"/>
        </w:rPr>
        <w:t xml:space="preserve">Geriatric </w:t>
      </w:r>
      <w:proofErr w:type="spellStart"/>
      <w:r w:rsidRPr="00AD259A">
        <w:rPr>
          <w:rFonts w:ascii="PT Sans" w:hAnsi="PT Sans" w:cs="AdvOT5fcf1b24"/>
          <w:color w:val="000000"/>
          <w:sz w:val="24"/>
          <w:szCs w:val="24"/>
          <w:lang w:val="en-GB"/>
        </w:rPr>
        <w:t>Medecine</w:t>
      </w:r>
      <w:proofErr w:type="spellEnd"/>
      <w:r w:rsidRPr="00AD259A">
        <w:rPr>
          <w:rFonts w:ascii="PT Sans" w:hAnsi="PT Sans" w:cs="AdvOT5fcf1b24"/>
          <w:color w:val="000000"/>
          <w:sz w:val="24"/>
          <w:szCs w:val="24"/>
          <w:lang w:val="en-GB"/>
        </w:rPr>
        <w:t xml:space="preserve">, Brussels, Belgium; </w:t>
      </w:r>
    </w:p>
    <w:p w:rsidR="00AD259A" w:rsidRPr="00AD259A" w:rsidRDefault="00AD259A" w:rsidP="00AD259A">
      <w:pPr>
        <w:autoSpaceDE w:val="0"/>
        <w:autoSpaceDN w:val="0"/>
        <w:adjustRightInd w:val="0"/>
        <w:spacing w:after="0" w:line="240" w:lineRule="auto"/>
        <w:jc w:val="both"/>
        <w:rPr>
          <w:rFonts w:ascii="PT Sans" w:hAnsi="PT Sans" w:cs="AdvOT5fcf1b24"/>
          <w:color w:val="000000"/>
          <w:szCs w:val="24"/>
          <w:lang w:val="en-GB"/>
        </w:rPr>
      </w:pPr>
      <w:proofErr w:type="gramStart"/>
      <w:r w:rsidRPr="00AD259A">
        <w:rPr>
          <w:rFonts w:ascii="PT Sans" w:hAnsi="PT Sans" w:cs="AdvOT5fcf1b24"/>
          <w:color w:val="000000"/>
          <w:szCs w:val="24"/>
          <w:vertAlign w:val="superscript"/>
          <w:lang w:val="en-GB"/>
        </w:rPr>
        <w:t>b</w:t>
      </w:r>
      <w:proofErr w:type="gram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Pharmacy,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Cliniques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universitaires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Saint-Luc, Brussels, Belgium; </w:t>
      </w:r>
    </w:p>
    <w:p w:rsidR="00AD259A" w:rsidRPr="00AD259A" w:rsidRDefault="00AD259A" w:rsidP="00AD259A">
      <w:pPr>
        <w:autoSpaceDE w:val="0"/>
        <w:autoSpaceDN w:val="0"/>
        <w:adjustRightInd w:val="0"/>
        <w:spacing w:after="0" w:line="240" w:lineRule="auto"/>
        <w:jc w:val="both"/>
        <w:rPr>
          <w:rFonts w:ascii="PT Sans" w:hAnsi="PT Sans" w:cs="AdvOT5fcf1b24"/>
          <w:color w:val="000000"/>
          <w:szCs w:val="24"/>
          <w:lang w:val="en-GB"/>
        </w:rPr>
      </w:pPr>
      <w:proofErr w:type="gramStart"/>
      <w:r w:rsidRPr="00AD259A">
        <w:rPr>
          <w:rFonts w:ascii="PT Sans" w:hAnsi="PT Sans" w:cs="AdvOT5fcf1b24"/>
          <w:color w:val="000000"/>
          <w:szCs w:val="24"/>
          <w:vertAlign w:val="superscript"/>
          <w:lang w:val="en-GB"/>
        </w:rPr>
        <w:t>c</w:t>
      </w:r>
      <w:proofErr w:type="gram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Institut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Jules Bordet,</w:t>
      </w:r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Oncogeriatric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Unit,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Université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Libre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de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Bruxelles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, Belgium; </w:t>
      </w:r>
    </w:p>
    <w:p w:rsidR="00AD259A" w:rsidRPr="00AD259A" w:rsidRDefault="00AD259A" w:rsidP="00AD259A">
      <w:pPr>
        <w:autoSpaceDE w:val="0"/>
        <w:autoSpaceDN w:val="0"/>
        <w:adjustRightInd w:val="0"/>
        <w:spacing w:after="0" w:line="240" w:lineRule="auto"/>
        <w:jc w:val="both"/>
        <w:rPr>
          <w:rFonts w:ascii="PT Sans" w:hAnsi="PT Sans" w:cs="AdvOT5fcf1b24"/>
          <w:color w:val="000000"/>
          <w:szCs w:val="24"/>
          <w:lang w:val="en-GB"/>
        </w:rPr>
      </w:pPr>
      <w:r w:rsidRPr="00AD259A">
        <w:rPr>
          <w:rFonts w:ascii="PT Sans" w:hAnsi="PT Sans" w:cs="AdvOT5fcf1b24"/>
          <w:color w:val="000000"/>
          <w:szCs w:val="24"/>
          <w:vertAlign w:val="superscript"/>
          <w:lang w:val="en-GB"/>
        </w:rPr>
        <w:t>d</w:t>
      </w:r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r w:rsidRPr="00AD259A">
        <w:rPr>
          <w:rFonts w:ascii="PT Sans" w:hAnsi="PT Sans" w:cs="AdvOT5fcf1b24"/>
          <w:color w:val="000000"/>
          <w:szCs w:val="24"/>
          <w:lang w:val="en-GB"/>
        </w:rPr>
        <w:t>Clinical Pharmacy Research Group, Louvain Drug Research Institute,</w:t>
      </w:r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Université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catholique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de Louvain, Belgium; </w:t>
      </w:r>
    </w:p>
    <w:p w:rsidR="00AD259A" w:rsidRPr="00AD259A" w:rsidRDefault="00AD259A" w:rsidP="00AD259A">
      <w:pPr>
        <w:autoSpaceDE w:val="0"/>
        <w:autoSpaceDN w:val="0"/>
        <w:adjustRightInd w:val="0"/>
        <w:spacing w:after="0" w:line="240" w:lineRule="auto"/>
        <w:jc w:val="both"/>
        <w:rPr>
          <w:rFonts w:ascii="PT Sans" w:hAnsi="PT Sans" w:cs="AdvOT5fcf1b24"/>
          <w:color w:val="000000"/>
          <w:szCs w:val="24"/>
          <w:lang w:val="en-GB"/>
        </w:rPr>
      </w:pPr>
      <w:proofErr w:type="gramStart"/>
      <w:r w:rsidRPr="00AD259A">
        <w:rPr>
          <w:rFonts w:ascii="PT Sans" w:hAnsi="PT Sans" w:cs="AdvOT5fcf1b24"/>
          <w:color w:val="000000"/>
          <w:szCs w:val="24"/>
          <w:vertAlign w:val="superscript"/>
          <w:lang w:val="en-GB"/>
        </w:rPr>
        <w:t>e</w:t>
      </w:r>
      <w:proofErr w:type="gram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Institute of Health and Society (IRSS),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Université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dvOT5fcf1b24"/>
          <w:color w:val="000000"/>
          <w:szCs w:val="24"/>
          <w:lang w:val="en-GB"/>
        </w:rPr>
        <w:t>catholique</w:t>
      </w:r>
      <w:proofErr w:type="spellEnd"/>
      <w:r w:rsidRPr="00AD259A">
        <w:rPr>
          <w:rFonts w:ascii="PT Sans" w:hAnsi="PT Sans" w:cs="AdvOT5fcf1b24"/>
          <w:color w:val="000000"/>
          <w:szCs w:val="24"/>
          <w:lang w:val="en-GB"/>
        </w:rPr>
        <w:t xml:space="preserve"> de Louvain, Brussels, Belgium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5fcf1b24"/>
          <w:color w:val="000000"/>
          <w:sz w:val="24"/>
          <w:szCs w:val="24"/>
          <w:lang w:val="en-GB"/>
        </w:rPr>
      </w:pPr>
      <w:bookmarkStart w:id="0" w:name="_GoBack"/>
      <w:bookmarkEnd w:id="0"/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2bda31c3.B"/>
          <w:color w:val="5478B4"/>
          <w:sz w:val="24"/>
          <w:szCs w:val="24"/>
          <w:lang w:val="en-GB"/>
        </w:rPr>
      </w:pPr>
      <w:r w:rsidRPr="00AD259A">
        <w:rPr>
          <w:rFonts w:ascii="PT Sans" w:hAnsi="PT Sans" w:cs="AdvOT2bda31c3.B"/>
          <w:color w:val="5478B4"/>
          <w:sz w:val="24"/>
          <w:szCs w:val="24"/>
          <w:lang w:val="en-GB"/>
        </w:rPr>
        <w:t>ABSTRACT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46dcae81"/>
          <w:color w:val="000000"/>
          <w:sz w:val="24"/>
          <w:szCs w:val="24"/>
          <w:lang w:val="en-GB"/>
        </w:rPr>
      </w:pPr>
      <w:r w:rsidRPr="00AD259A">
        <w:rPr>
          <w:rFonts w:ascii="PT Sans" w:hAnsi="PT Sans" w:cs="AdvOT3b30f6db.B"/>
          <w:color w:val="000000"/>
          <w:sz w:val="24"/>
          <w:szCs w:val="24"/>
          <w:lang w:val="en-GB"/>
        </w:rPr>
        <w:t>Objectives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. To investigate the dose-response relationship between cardiovascular or psychotropic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medication dosages and falling orthostatic blood pressure in geriatric inpatients.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46dcae81"/>
          <w:color w:val="000000"/>
          <w:sz w:val="24"/>
          <w:szCs w:val="24"/>
          <w:lang w:val="en-GB"/>
        </w:rPr>
      </w:pPr>
      <w:r w:rsidRPr="00AD259A">
        <w:rPr>
          <w:rFonts w:ascii="PT Sans" w:hAnsi="PT Sans" w:cs="AdvOT3b30f6db.B"/>
          <w:color w:val="000000"/>
          <w:sz w:val="24"/>
          <w:szCs w:val="24"/>
          <w:lang w:val="en-GB"/>
        </w:rPr>
        <w:t>Methods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. This cross-sectional study included 100 consecutive geriatric inpatients of a Belgian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hospital. The </w:t>
      </w:r>
      <w:proofErr w:type="gram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end points</w:t>
      </w:r>
      <w:proofErr w:type="gram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were the maximum changes of systolic (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) and diastolic (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)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blood pressure in a standing up position at one or three minutes. The dosages of six classes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of vascular and </w:t>
      </w:r>
      <w:r w:rsidRPr="00AD259A">
        <w:rPr>
          <w:rFonts w:ascii="PT Sans" w:hAnsi="PT Sans" w:cs="AdvOT46dcae81+fb"/>
          <w:color w:val="000000"/>
          <w:sz w:val="24"/>
          <w:szCs w:val="24"/>
          <w:lang w:val="en-GB"/>
        </w:rPr>
        <w:t>fi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ve classes of psychotropic medications </w:t>
      </w:r>
      <w:proofErr w:type="gram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were expressed</w:t>
      </w:r>
      <w:proofErr w:type="gram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in terms of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a proportion of de</w:t>
      </w:r>
      <w:r w:rsidRPr="00AD259A">
        <w:rPr>
          <w:rFonts w:ascii="PT Sans" w:hAnsi="PT Sans" w:cs="AdvOT46dcae81+fb"/>
          <w:color w:val="000000"/>
          <w:sz w:val="24"/>
          <w:szCs w:val="24"/>
          <w:lang w:val="en-GB"/>
        </w:rPr>
        <w:t>fi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ned daily doses (DDD). Bivariate and multivariate linear regression models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proofErr w:type="gram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were used</w:t>
      </w:r>
      <w:proofErr w:type="gram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.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46dcae81"/>
          <w:color w:val="000000"/>
          <w:sz w:val="24"/>
          <w:szCs w:val="24"/>
          <w:lang w:val="en-GB"/>
        </w:rPr>
      </w:pPr>
      <w:r w:rsidRPr="00AD259A">
        <w:rPr>
          <w:rFonts w:ascii="PT Sans" w:hAnsi="PT Sans" w:cs="AdvOT3b30f6db.B"/>
          <w:color w:val="000000"/>
          <w:sz w:val="24"/>
          <w:szCs w:val="24"/>
          <w:lang w:val="en-GB"/>
        </w:rPr>
        <w:t>Results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. The 100 geriatric patients (85 ± 5 years, 58 % women) received 7.7 ± 4 medications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(mean DDD: vascular = 1.0, psychotropic = 0.74) on the day of an orthostatic test (lying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: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136 ± 21;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: 72 ± 14 mm Hg). In a standing position,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and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fell by 12 ± 17 and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11 ± 5 mmHg, respectively. At the individual level, BP change was not correlated with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vascular DDD (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: p = 0.07, r2 = 0.04;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: p = 0.59; r2 = 0.004) nor with psychotropic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DDD (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: p = 0.14, r2 = 0.02;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: p = 0.82; r2 = 0.0). In multivariate analysis,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sBP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drop was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positively associated with age, diabetes, falls history, and number of medications, but not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with the DDD of any of the medication classes, while </w:t>
      </w:r>
      <w:proofErr w:type="spell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dBP</w:t>
      </w:r>
      <w:proofErr w:type="spell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drop was positively associated with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age, diabetes, stroke and anaemia, but again with the DDD of any of the medication classes.</w:t>
      </w: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dvOT46dcae81"/>
          <w:color w:val="000000"/>
          <w:sz w:val="24"/>
          <w:szCs w:val="24"/>
          <w:lang w:val="en-GB"/>
        </w:rPr>
      </w:pPr>
      <w:r w:rsidRPr="00AD259A">
        <w:rPr>
          <w:rFonts w:ascii="PT Sans" w:hAnsi="PT Sans" w:cs="AdvOT3b30f6db.B"/>
          <w:color w:val="000000"/>
          <w:sz w:val="24"/>
          <w:szCs w:val="24"/>
          <w:lang w:val="en-GB"/>
        </w:rPr>
        <w:t>Conclusion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. No correlation </w:t>
      </w:r>
      <w:proofErr w:type="gramStart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was found</w:t>
      </w:r>
      <w:proofErr w:type="gramEnd"/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 xml:space="preserve"> between vascular and psychotropic medication</w:t>
      </w:r>
      <w:r>
        <w:rPr>
          <w:rFonts w:ascii="PT Sans" w:hAnsi="PT Sans" w:cs="AdvOT46dcae81"/>
          <w:color w:val="000000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dvOT46dcae81"/>
          <w:color w:val="000000"/>
          <w:sz w:val="24"/>
          <w:szCs w:val="24"/>
          <w:lang w:val="en-GB"/>
        </w:rPr>
        <w:t>dosages and the orthostatic blood pressure drop expressed as a continuous variable</w:t>
      </w:r>
    </w:p>
    <w:p w:rsidR="00AD259A" w:rsidRPr="00AD259A" w:rsidRDefault="00AD259A" w:rsidP="00AD259A">
      <w:pPr>
        <w:spacing w:after="120" w:line="240" w:lineRule="auto"/>
        <w:jc w:val="both"/>
        <w:rPr>
          <w:rFonts w:ascii="PT Sans" w:hAnsi="PT Sans" w:cs="AdvOT46dcae81"/>
          <w:color w:val="000000"/>
          <w:sz w:val="24"/>
          <w:szCs w:val="24"/>
          <w:lang w:val="en-GB"/>
        </w:rPr>
      </w:pPr>
    </w:p>
    <w:p w:rsidR="00AD259A" w:rsidRPr="00AD259A" w:rsidRDefault="00AD259A" w:rsidP="00AD259A">
      <w:pPr>
        <w:autoSpaceDE w:val="0"/>
        <w:autoSpaceDN w:val="0"/>
        <w:adjustRightInd w:val="0"/>
        <w:spacing w:after="120" w:line="240" w:lineRule="auto"/>
        <w:jc w:val="both"/>
        <w:rPr>
          <w:rFonts w:ascii="PT Sans" w:hAnsi="PT Sans" w:cs="ArialUnicodeMS"/>
          <w:sz w:val="24"/>
          <w:szCs w:val="24"/>
          <w:lang w:val="en-GB"/>
        </w:rPr>
      </w:pPr>
      <w:r w:rsidRPr="00AD259A">
        <w:rPr>
          <w:rFonts w:ascii="PT Sans" w:hAnsi="PT Sans" w:cs="OpenSans-Semibold"/>
          <w:sz w:val="24"/>
          <w:szCs w:val="24"/>
          <w:lang w:val="en-GB"/>
        </w:rPr>
        <w:t xml:space="preserve">To cite this article: </w:t>
      </w:r>
      <w:r w:rsidRPr="00AD259A">
        <w:rPr>
          <w:rFonts w:ascii="PT Sans" w:hAnsi="PT Sans" w:cs="ArialUnicodeMS"/>
          <w:sz w:val="24"/>
          <w:szCs w:val="24"/>
          <w:lang w:val="en-GB"/>
        </w:rPr>
        <w:t xml:space="preserve">J. Paul, F. </w:t>
      </w:r>
      <w:proofErr w:type="spellStart"/>
      <w:r w:rsidRPr="00AD259A">
        <w:rPr>
          <w:rFonts w:ascii="PT Sans" w:hAnsi="PT Sans" w:cs="ArialUnicodeMS"/>
          <w:sz w:val="24"/>
          <w:szCs w:val="24"/>
          <w:lang w:val="en-GB"/>
        </w:rPr>
        <w:t>Vaillant</w:t>
      </w:r>
      <w:proofErr w:type="spellEnd"/>
      <w:r w:rsidRPr="00AD259A">
        <w:rPr>
          <w:rFonts w:ascii="PT Sans" w:hAnsi="PT Sans" w:cs="ArialUnicodeMS"/>
          <w:sz w:val="24"/>
          <w:szCs w:val="24"/>
          <w:lang w:val="en-GB"/>
        </w:rPr>
        <w:t xml:space="preserve">, O. Vanden </w:t>
      </w:r>
      <w:proofErr w:type="spellStart"/>
      <w:r w:rsidRPr="00AD259A">
        <w:rPr>
          <w:rFonts w:ascii="PT Sans" w:hAnsi="PT Sans" w:cs="ArialUnicodeMS"/>
          <w:sz w:val="24"/>
          <w:szCs w:val="24"/>
          <w:lang w:val="en-GB"/>
        </w:rPr>
        <w:t>Bossche</w:t>
      </w:r>
      <w:proofErr w:type="spellEnd"/>
      <w:r w:rsidRPr="00AD259A">
        <w:rPr>
          <w:rFonts w:ascii="PT Sans" w:hAnsi="PT Sans" w:cs="ArialUnicodeMS"/>
          <w:sz w:val="24"/>
          <w:szCs w:val="24"/>
          <w:lang w:val="en-GB"/>
        </w:rPr>
        <w:t xml:space="preserve">, </w:t>
      </w:r>
      <w:proofErr w:type="gramStart"/>
      <w:r w:rsidRPr="00AD259A">
        <w:rPr>
          <w:rFonts w:ascii="PT Sans" w:hAnsi="PT Sans" w:cs="ArialUnicodeMS"/>
          <w:sz w:val="24"/>
          <w:szCs w:val="24"/>
          <w:lang w:val="en-GB"/>
        </w:rPr>
        <w:t>T</w:t>
      </w:r>
      <w:proofErr w:type="gramEnd"/>
      <w:r w:rsidRPr="00AD259A">
        <w:rPr>
          <w:rFonts w:ascii="PT Sans" w:hAnsi="PT Sans" w:cs="ArialUnicodeMS"/>
          <w:sz w:val="24"/>
          <w:szCs w:val="24"/>
          <w:lang w:val="en-GB"/>
        </w:rPr>
        <w:t>. Pepersack, S. Henrard &amp; B. Boland</w:t>
      </w:r>
      <w:r>
        <w:rPr>
          <w:rFonts w:ascii="PT Sans" w:hAnsi="PT Sans" w:cs="ArialUnicodeMS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rialUnicodeMS"/>
          <w:sz w:val="24"/>
          <w:szCs w:val="24"/>
          <w:lang w:val="en-GB"/>
        </w:rPr>
        <w:t>(2019): Orthostatic blood pressure drop and cardiovascular and psychotropic medication dosages</w:t>
      </w:r>
      <w:r>
        <w:rPr>
          <w:rFonts w:ascii="PT Sans" w:hAnsi="PT Sans" w:cs="ArialUnicodeMS"/>
          <w:sz w:val="24"/>
          <w:szCs w:val="24"/>
          <w:lang w:val="en-GB"/>
        </w:rPr>
        <w:t xml:space="preserve"> </w:t>
      </w:r>
      <w:r w:rsidRPr="00AD259A">
        <w:rPr>
          <w:rFonts w:ascii="PT Sans" w:hAnsi="PT Sans" w:cs="ArialUnicodeMS"/>
          <w:sz w:val="24"/>
          <w:szCs w:val="24"/>
          <w:lang w:val="en-GB"/>
        </w:rPr>
        <w:t xml:space="preserve">in acutely ill geriatric inpatients, </w:t>
      </w:r>
      <w:proofErr w:type="spellStart"/>
      <w:r w:rsidRPr="00AD259A">
        <w:rPr>
          <w:rFonts w:ascii="PT Sans" w:hAnsi="PT Sans" w:cs="ArialUnicodeMS"/>
          <w:sz w:val="24"/>
          <w:szCs w:val="24"/>
          <w:lang w:val="en-GB"/>
        </w:rPr>
        <w:t>Acta</w:t>
      </w:r>
      <w:proofErr w:type="spellEnd"/>
      <w:r w:rsidRPr="00AD259A">
        <w:rPr>
          <w:rFonts w:ascii="PT Sans" w:hAnsi="PT Sans" w:cs="ArialUnicodeMS"/>
          <w:sz w:val="24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rialUnicodeMS"/>
          <w:sz w:val="24"/>
          <w:szCs w:val="24"/>
          <w:lang w:val="en-GB"/>
        </w:rPr>
        <w:t>Clinica</w:t>
      </w:r>
      <w:proofErr w:type="spellEnd"/>
      <w:r w:rsidRPr="00AD259A">
        <w:rPr>
          <w:rFonts w:ascii="PT Sans" w:hAnsi="PT Sans" w:cs="ArialUnicodeMS"/>
          <w:sz w:val="24"/>
          <w:szCs w:val="24"/>
          <w:lang w:val="en-GB"/>
        </w:rPr>
        <w:t xml:space="preserve"> </w:t>
      </w:r>
      <w:proofErr w:type="spellStart"/>
      <w:r w:rsidRPr="00AD259A">
        <w:rPr>
          <w:rFonts w:ascii="PT Sans" w:hAnsi="PT Sans" w:cs="ArialUnicodeMS"/>
          <w:sz w:val="24"/>
          <w:szCs w:val="24"/>
          <w:lang w:val="en-GB"/>
        </w:rPr>
        <w:t>Belgica</w:t>
      </w:r>
      <w:proofErr w:type="spellEnd"/>
      <w:r w:rsidRPr="00AD259A">
        <w:rPr>
          <w:rFonts w:ascii="PT Sans" w:hAnsi="PT Sans" w:cs="ArialUnicodeMS"/>
          <w:sz w:val="24"/>
          <w:szCs w:val="24"/>
          <w:lang w:val="en-GB"/>
        </w:rPr>
        <w:t>, DOI: 10.1080/17843286.2019.1623516</w:t>
      </w:r>
    </w:p>
    <w:p w:rsidR="00AD259A" w:rsidRPr="00AD259A" w:rsidRDefault="00AD259A" w:rsidP="00AD259A">
      <w:pPr>
        <w:spacing w:after="120" w:line="240" w:lineRule="auto"/>
        <w:jc w:val="both"/>
        <w:rPr>
          <w:rFonts w:ascii="PT Sans" w:hAnsi="PT Sans" w:cs="OpenSans"/>
          <w:sz w:val="24"/>
          <w:szCs w:val="24"/>
          <w:lang w:val="en-GB"/>
        </w:rPr>
      </w:pPr>
      <w:r w:rsidRPr="00AD259A">
        <w:rPr>
          <w:rFonts w:ascii="PT Sans" w:hAnsi="PT Sans" w:cs="OpenSans-Semibold"/>
          <w:sz w:val="24"/>
          <w:szCs w:val="24"/>
          <w:lang w:val="en-GB"/>
        </w:rPr>
        <w:t xml:space="preserve">To link to this article: </w:t>
      </w:r>
      <w:hyperlink r:id="rId4" w:history="1">
        <w:r w:rsidRPr="00AD259A">
          <w:rPr>
            <w:rStyle w:val="Lienhypertexte"/>
            <w:rFonts w:ascii="PT Sans" w:hAnsi="PT Sans" w:cs="OpenSans"/>
            <w:sz w:val="24"/>
            <w:szCs w:val="24"/>
            <w:lang w:val="en-GB"/>
          </w:rPr>
          <w:t>https://doi.org/10.1080/17843286.2019.1623516</w:t>
        </w:r>
      </w:hyperlink>
    </w:p>
    <w:p w:rsidR="00AD259A" w:rsidRPr="00AD259A" w:rsidRDefault="00AD259A" w:rsidP="00AD259A">
      <w:pPr>
        <w:spacing w:after="120" w:line="240" w:lineRule="auto"/>
        <w:jc w:val="both"/>
        <w:rPr>
          <w:rFonts w:ascii="PT Sans" w:hAnsi="PT Sans"/>
          <w:sz w:val="24"/>
          <w:szCs w:val="24"/>
          <w:lang w:val="en-GB"/>
        </w:rPr>
      </w:pPr>
    </w:p>
    <w:sectPr w:rsidR="00AD259A" w:rsidRPr="00AD25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Sans">
    <w:panose1 w:val="020B0503020203020204"/>
    <w:charset w:val="00"/>
    <w:family w:val="swiss"/>
    <w:pitch w:val="variable"/>
    <w:sig w:usb0="A00002EF" w:usb1="5000204B" w:usb2="00000020" w:usb3="00000000" w:csb0="00000097" w:csb1="00000000"/>
  </w:font>
  <w:font w:name="AdvOTce3d9a73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46dcae81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5fcf1b24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2bda31c3.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3b30f6db.B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dvOT46dcae81+fb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enSans-Semi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UnicodeM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en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59A"/>
    <w:rsid w:val="00767063"/>
    <w:rsid w:val="007814C5"/>
    <w:rsid w:val="00AD259A"/>
    <w:rsid w:val="00D9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DEC15"/>
  <w15:chartTrackingRefBased/>
  <w15:docId w15:val="{88595868-4E85-4389-B9B0-40307D0D7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AD259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80/17843286.2019.1623516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Séverine Henrard</dc:creator>
  <cp:keywords/>
  <dc:description/>
  <cp:lastModifiedBy>Séverine Henrard</cp:lastModifiedBy>
  <cp:revision>1</cp:revision>
  <dcterms:created xsi:type="dcterms:W3CDTF">2019-07-11T07:56:00Z</dcterms:created>
  <dcterms:modified xsi:type="dcterms:W3CDTF">2019-07-11T08:01:00Z</dcterms:modified>
</cp:coreProperties>
</file>