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8308A" w14:textId="77777777" w:rsidR="0080027F" w:rsidRPr="00B03A2C" w:rsidRDefault="00B03A2C" w:rsidP="00B03A2C">
      <w:pPr>
        <w:spacing w:line="360" w:lineRule="auto"/>
        <w:jc w:val="center"/>
        <w:rPr>
          <w:b/>
          <w:lang w:val="fr-FR"/>
        </w:rPr>
      </w:pPr>
      <w:r w:rsidRPr="00B03A2C">
        <w:rPr>
          <w:b/>
          <w:lang w:val="fr-FR"/>
        </w:rPr>
        <w:t>L’occupation temporaire (à finalité sociale) à l’aube de sa consécration urbanistique</w:t>
      </w:r>
    </w:p>
    <w:p w14:paraId="085AD954" w14:textId="77777777" w:rsidR="00B03A2C" w:rsidRPr="00B03A2C" w:rsidRDefault="00B03A2C" w:rsidP="00B03A2C">
      <w:pPr>
        <w:spacing w:line="360" w:lineRule="auto"/>
        <w:rPr>
          <w:lang w:val="fr-FR"/>
        </w:rPr>
      </w:pPr>
    </w:p>
    <w:p w14:paraId="1F5ADCE8" w14:textId="77777777" w:rsidR="009D77CC" w:rsidRDefault="00B03A2C" w:rsidP="00225B90">
      <w:pPr>
        <w:spacing w:line="360" w:lineRule="auto"/>
        <w:ind w:firstLine="567"/>
        <w:jc w:val="both"/>
        <w:rPr>
          <w:lang w:val="fr-FR"/>
        </w:rPr>
      </w:pPr>
      <w:r w:rsidRPr="00B03A2C">
        <w:rPr>
          <w:lang w:val="fr-FR"/>
        </w:rPr>
        <w:t>L’occupation temporaire de bâtiments inoccupés a incontestablement le vent en poupe à Bruxelles (et ailleurs), depuis une dizaine d’années au moins. On ne compte plus, aujourd’hui, les bâtiments (publics comme privés) mis à disposition d’occupants pour une période plus ou moins longue, dans l’attente généralement d’un événement à venir (rénovation du bâtiment, vente, réaffectation de la zone, …</w:t>
      </w:r>
      <w:r w:rsidR="009D77CC">
        <w:rPr>
          <w:lang w:val="fr-FR"/>
        </w:rPr>
        <w:t>). Alternative a</w:t>
      </w:r>
      <w:r w:rsidRPr="00B03A2C">
        <w:rPr>
          <w:lang w:val="fr-FR"/>
        </w:rPr>
        <w:t xml:space="preserve">u squat, dont elle est le pendant </w:t>
      </w:r>
      <w:r w:rsidR="009D77CC">
        <w:rPr>
          <w:lang w:val="fr-FR"/>
        </w:rPr>
        <w:t>régularisé</w:t>
      </w:r>
      <w:r w:rsidRPr="00B03A2C">
        <w:rPr>
          <w:lang w:val="fr-FR"/>
        </w:rPr>
        <w:t xml:space="preserve"> (via la convention d’occupation précaire), l’occupation a déjà fait son entrée dans le Code bruxellois du logement (en 2013), pour ce qui concerne le logement social. Mais toute reconnaissance juridique du phénomène reste</w:t>
      </w:r>
      <w:r w:rsidR="009D77CC">
        <w:rPr>
          <w:lang w:val="fr-FR"/>
        </w:rPr>
        <w:t>ra</w:t>
      </w:r>
      <w:r w:rsidRPr="00B03A2C">
        <w:rPr>
          <w:lang w:val="fr-FR"/>
        </w:rPr>
        <w:t xml:space="preserve"> incomplète si elle ne se double pas d’une modification de la législation urbanistique. C’est que l’occupation soulève immanquablement </w:t>
      </w:r>
      <w:r w:rsidR="009D77CC">
        <w:rPr>
          <w:lang w:val="fr-FR"/>
        </w:rPr>
        <w:t>des</w:t>
      </w:r>
      <w:r w:rsidRPr="00B03A2C">
        <w:rPr>
          <w:lang w:val="fr-FR"/>
        </w:rPr>
        <w:t xml:space="preserve"> questions liées à l’urbanisme et à l’aménagement du territoire : puis-je implanter ce type d’occupation dans ce type de zone ? faut-il introduire un permis d’urbanisme</w:t>
      </w:r>
      <w:r w:rsidR="009D77CC">
        <w:rPr>
          <w:lang w:val="fr-FR"/>
        </w:rPr>
        <w:t xml:space="preserve"> pour ce faire</w:t>
      </w:r>
      <w:r w:rsidRPr="00B03A2C">
        <w:rPr>
          <w:lang w:val="fr-FR"/>
        </w:rPr>
        <w:t xml:space="preserve"> ? Etc. </w:t>
      </w:r>
    </w:p>
    <w:p w14:paraId="20503207" w14:textId="609D2EB8" w:rsidR="00B03A2C" w:rsidRDefault="00F71884" w:rsidP="00225B90">
      <w:pPr>
        <w:spacing w:line="360" w:lineRule="auto"/>
        <w:ind w:firstLine="567"/>
        <w:jc w:val="both"/>
        <w:rPr>
          <w:lang w:val="fr-FR"/>
        </w:rPr>
      </w:pPr>
      <w:r>
        <w:rPr>
          <w:lang w:val="fr-FR"/>
        </w:rPr>
        <w:t>L</w:t>
      </w:r>
      <w:r w:rsidR="00B03A2C" w:rsidRPr="00B03A2C">
        <w:rPr>
          <w:lang w:val="fr-FR"/>
        </w:rPr>
        <w:t>a législation urbanistique se devait donc</w:t>
      </w:r>
      <w:r>
        <w:rPr>
          <w:lang w:val="fr-FR"/>
        </w:rPr>
        <w:t>, en 2019, d’intégrer ce fait nouveau</w:t>
      </w:r>
      <w:r w:rsidR="00B03A2C" w:rsidRPr="00B03A2C">
        <w:rPr>
          <w:lang w:val="fr-FR"/>
        </w:rPr>
        <w:t>… ce qui est en passe d’être fait</w:t>
      </w:r>
      <w:r>
        <w:rPr>
          <w:lang w:val="fr-FR"/>
        </w:rPr>
        <w:t>. Déjà adopté en première lecture, un projet d’arrêté du Gouvernement bruxellois retouche ainsi l’arrêté du 13 novembre 2008 dispensant de permis d’urbanisme certains travaux en raison de leur « minime importance ».</w:t>
      </w:r>
      <w:r w:rsidR="00FF6153">
        <w:rPr>
          <w:lang w:val="fr-FR"/>
        </w:rPr>
        <w:t xml:space="preserve"> Concrètement, </w:t>
      </w:r>
      <w:r w:rsidR="009D77CC">
        <w:rPr>
          <w:lang w:val="fr-FR"/>
        </w:rPr>
        <w:t>la présente</w:t>
      </w:r>
      <w:r w:rsidR="00FF6153">
        <w:rPr>
          <w:lang w:val="fr-FR"/>
        </w:rPr>
        <w:t xml:space="preserve"> modification vise à </w:t>
      </w:r>
      <w:r w:rsidR="001E1337">
        <w:rPr>
          <w:lang w:val="fr-FR"/>
        </w:rPr>
        <w:t>faciliter les démarches urbanistiques pour l’installation d</w:t>
      </w:r>
      <w:r w:rsidR="00FF6153">
        <w:rPr>
          <w:lang w:val="fr-FR"/>
        </w:rPr>
        <w:t>’</w:t>
      </w:r>
      <w:r w:rsidR="001E1337">
        <w:rPr>
          <w:lang w:val="fr-FR"/>
        </w:rPr>
        <w:t xml:space="preserve">une </w:t>
      </w:r>
      <w:r w:rsidR="00FF6153">
        <w:rPr>
          <w:lang w:val="fr-FR"/>
        </w:rPr>
        <w:t>occupation temporaire</w:t>
      </w:r>
      <w:r w:rsidR="001E1337">
        <w:rPr>
          <w:lang w:val="fr-FR"/>
        </w:rPr>
        <w:t xml:space="preserve">, jusqu’à l’exonérer de permis dans certains cas. La démarche est incontestablement salutaire ; les temporalités </w:t>
      </w:r>
      <w:r w:rsidR="009F10C7">
        <w:rPr>
          <w:lang w:val="fr-FR"/>
        </w:rPr>
        <w:t>sont trop éloignées</w:t>
      </w:r>
      <w:r w:rsidR="009D77CC">
        <w:rPr>
          <w:lang w:val="fr-FR"/>
        </w:rPr>
        <w:t xml:space="preserve"> en effet</w:t>
      </w:r>
      <w:r w:rsidR="009F10C7">
        <w:rPr>
          <w:lang w:val="fr-FR"/>
        </w:rPr>
        <w:t xml:space="preserve"> entre le permis, dont le traitement </w:t>
      </w:r>
      <w:r w:rsidR="00036D5E">
        <w:rPr>
          <w:lang w:val="fr-FR"/>
        </w:rPr>
        <w:t xml:space="preserve">de la demande </w:t>
      </w:r>
      <w:r w:rsidR="009F10C7">
        <w:rPr>
          <w:lang w:val="fr-FR"/>
        </w:rPr>
        <w:t>prend de longs mois trop souvent, et l’occupation, limitée dans le temps par définition.</w:t>
      </w:r>
      <w:r w:rsidR="00036D5E">
        <w:rPr>
          <w:lang w:val="fr-FR"/>
        </w:rPr>
        <w:t xml:space="preserve"> Le temps</w:t>
      </w:r>
      <w:r w:rsidR="009D77CC">
        <w:rPr>
          <w:lang w:val="fr-FR"/>
        </w:rPr>
        <w:t xml:space="preserve"> </w:t>
      </w:r>
      <w:r w:rsidR="00036D5E">
        <w:rPr>
          <w:lang w:val="fr-FR"/>
        </w:rPr>
        <w:t>que l’ad</w:t>
      </w:r>
      <w:r w:rsidR="009D77CC">
        <w:rPr>
          <w:lang w:val="fr-FR"/>
        </w:rPr>
        <w:t xml:space="preserve">ministration rende sa décision, dit autrement,  </w:t>
      </w:r>
      <w:r w:rsidR="00036D5E">
        <w:rPr>
          <w:lang w:val="fr-FR"/>
        </w:rPr>
        <w:t xml:space="preserve">et la « fenêtre » </w:t>
      </w:r>
      <w:r w:rsidR="009D77CC">
        <w:rPr>
          <w:lang w:val="fr-FR"/>
        </w:rPr>
        <w:t xml:space="preserve">temporelle </w:t>
      </w:r>
      <w:r w:rsidR="00036D5E">
        <w:rPr>
          <w:lang w:val="fr-FR"/>
        </w:rPr>
        <w:t>pour l’occupation se referme déjà.</w:t>
      </w:r>
    </w:p>
    <w:p w14:paraId="3F9BE719" w14:textId="6B455621" w:rsidR="00FF6153" w:rsidRDefault="00FF6153" w:rsidP="00225B90">
      <w:pPr>
        <w:spacing w:line="360" w:lineRule="auto"/>
        <w:ind w:firstLine="567"/>
        <w:jc w:val="both"/>
        <w:rPr>
          <w:lang w:val="fr-FR"/>
        </w:rPr>
      </w:pPr>
      <w:r>
        <w:rPr>
          <w:lang w:val="fr-FR"/>
        </w:rPr>
        <w:t xml:space="preserve">Il </w:t>
      </w:r>
      <w:r w:rsidR="00036D5E">
        <w:rPr>
          <w:lang w:val="fr-FR"/>
        </w:rPr>
        <w:t xml:space="preserve">ne nous appartient pas de révéler </w:t>
      </w:r>
      <w:r w:rsidR="009D77CC">
        <w:rPr>
          <w:lang w:val="fr-FR"/>
        </w:rPr>
        <w:t xml:space="preserve">ici </w:t>
      </w:r>
      <w:r w:rsidR="00036D5E">
        <w:rPr>
          <w:lang w:val="fr-FR"/>
        </w:rPr>
        <w:t xml:space="preserve">le contenu d’un projet d’arrêté </w:t>
      </w:r>
      <w:r w:rsidR="001E5846">
        <w:rPr>
          <w:lang w:val="fr-FR"/>
        </w:rPr>
        <w:t xml:space="preserve">en cours de négociation (et </w:t>
      </w:r>
      <w:r w:rsidR="00036D5E">
        <w:rPr>
          <w:lang w:val="fr-FR"/>
        </w:rPr>
        <w:t>qui a</w:t>
      </w:r>
      <w:r w:rsidR="001E5846">
        <w:rPr>
          <w:lang w:val="fr-FR"/>
        </w:rPr>
        <w:t xml:space="preserve"> déjà</w:t>
      </w:r>
      <w:r w:rsidR="00036D5E">
        <w:rPr>
          <w:lang w:val="fr-FR"/>
        </w:rPr>
        <w:t xml:space="preserve"> fait l’objet d’un consultation </w:t>
      </w:r>
      <w:r w:rsidR="001E5846">
        <w:rPr>
          <w:lang w:val="fr-FR"/>
        </w:rPr>
        <w:t>au sein</w:t>
      </w:r>
      <w:r w:rsidR="00036D5E">
        <w:rPr>
          <w:lang w:val="fr-FR"/>
        </w:rPr>
        <w:t xml:space="preserve"> du secteur</w:t>
      </w:r>
      <w:r w:rsidR="001E5846">
        <w:rPr>
          <w:lang w:val="fr-FR"/>
        </w:rPr>
        <w:t>)</w:t>
      </w:r>
      <w:r w:rsidR="00036D5E">
        <w:rPr>
          <w:lang w:val="fr-FR"/>
        </w:rPr>
        <w:t>.  Qu’il nous soit cependant donné d’énoncer</w:t>
      </w:r>
      <w:r w:rsidR="001E5846">
        <w:rPr>
          <w:lang w:val="fr-FR"/>
        </w:rPr>
        <w:t xml:space="preserve"> quelques garde-fous</w:t>
      </w:r>
      <w:r w:rsidR="00036D5E">
        <w:rPr>
          <w:lang w:val="fr-FR"/>
        </w:rPr>
        <w:t xml:space="preserve"> qui, à notre sens, </w:t>
      </w:r>
      <w:r w:rsidR="001E5846">
        <w:rPr>
          <w:lang w:val="fr-FR"/>
        </w:rPr>
        <w:t xml:space="preserve">baliseraient utilement </w:t>
      </w:r>
      <w:r w:rsidR="00036D5E">
        <w:rPr>
          <w:lang w:val="fr-FR"/>
        </w:rPr>
        <w:t xml:space="preserve">le </w:t>
      </w:r>
      <w:r w:rsidR="009D77CC">
        <w:rPr>
          <w:lang w:val="fr-FR"/>
        </w:rPr>
        <w:t>travail de l’exécutif</w:t>
      </w:r>
      <w:r w:rsidR="00036D5E">
        <w:rPr>
          <w:lang w:val="fr-FR"/>
        </w:rPr>
        <w:t>.</w:t>
      </w:r>
    </w:p>
    <w:p w14:paraId="33CB78A5" w14:textId="4C3480E4" w:rsidR="0029782B" w:rsidRDefault="003B6536" w:rsidP="00225B90">
      <w:pPr>
        <w:spacing w:line="360" w:lineRule="auto"/>
        <w:ind w:firstLine="567"/>
        <w:jc w:val="both"/>
        <w:rPr>
          <w:lang w:val="fr-FR"/>
        </w:rPr>
      </w:pPr>
      <w:r>
        <w:rPr>
          <w:lang w:val="fr-FR"/>
        </w:rPr>
        <w:t xml:space="preserve">En premier lieu, il convient de réserver l’éventuelle faveur urbanistique à l’occupation temporaire </w:t>
      </w:r>
      <w:r w:rsidRPr="003B6536">
        <w:rPr>
          <w:i/>
          <w:lang w:val="fr-FR"/>
        </w:rPr>
        <w:t>à finalité sociale</w:t>
      </w:r>
      <w:r>
        <w:rPr>
          <w:lang w:val="fr-FR"/>
        </w:rPr>
        <w:t xml:space="preserve"> expressément ; on sait le champ de l’occupation investi actuellement par des acteurs uniquement mus par des objectifs de rentabilité</w:t>
      </w:r>
      <w:r w:rsidR="0029782B">
        <w:rPr>
          <w:lang w:val="fr-FR"/>
        </w:rPr>
        <w:t xml:space="preserve">, </w:t>
      </w:r>
      <w:r w:rsidR="0029782B">
        <w:rPr>
          <w:lang w:val="fr-FR"/>
        </w:rPr>
        <w:lastRenderedPageBreak/>
        <w:t>acteurs qu’il n’y a pas lieu d’aider outre mesure dès lors. Le plus dur reste cependant à  faire : circonscrire ladite finalité sociale. Et une véritable définition substantielle est attendue, avec des critères de fond (quels</w:t>
      </w:r>
      <w:r w:rsidR="009D77CC">
        <w:rPr>
          <w:lang w:val="fr-FR"/>
        </w:rPr>
        <w:t xml:space="preserve"> types de publics pour mériter cette sorte d</w:t>
      </w:r>
      <w:r w:rsidR="0029782B">
        <w:rPr>
          <w:lang w:val="fr-FR"/>
        </w:rPr>
        <w:t>e label à finalité sociale ? avec quels revenus ? à quel prix ? suivant quel type de convention ? …). À cet égard, la simple énumération de catégories d’associations éligibles à cette qualification nous semble</w:t>
      </w:r>
      <w:r w:rsidR="00DB1093">
        <w:rPr>
          <w:lang w:val="fr-FR"/>
        </w:rPr>
        <w:t>rait</w:t>
      </w:r>
      <w:r w:rsidR="0029782B">
        <w:rPr>
          <w:lang w:val="fr-FR"/>
        </w:rPr>
        <w:t xml:space="preserve"> insuffisante. Avec un danger sous-jacent : restreindre la fi</w:t>
      </w:r>
      <w:r w:rsidR="00DB1093">
        <w:rPr>
          <w:lang w:val="fr-FR"/>
        </w:rPr>
        <w:t xml:space="preserve">nalité sociale à </w:t>
      </w:r>
      <w:r w:rsidR="009D77CC">
        <w:rPr>
          <w:lang w:val="fr-FR"/>
        </w:rPr>
        <w:t>certains</w:t>
      </w:r>
      <w:r w:rsidR="00DB1093">
        <w:rPr>
          <w:lang w:val="fr-FR"/>
        </w:rPr>
        <w:t xml:space="preserve"> opérateurs</w:t>
      </w:r>
      <w:r w:rsidR="0029782B">
        <w:rPr>
          <w:lang w:val="fr-FR"/>
        </w:rPr>
        <w:t xml:space="preserve"> </w:t>
      </w:r>
      <w:r w:rsidR="0029782B" w:rsidRPr="00DB1093">
        <w:rPr>
          <w:i/>
          <w:lang w:val="fr-FR"/>
        </w:rPr>
        <w:t>existants</w:t>
      </w:r>
      <w:r w:rsidR="00DB1093">
        <w:rPr>
          <w:lang w:val="fr-FR"/>
        </w:rPr>
        <w:t>, agréés, subsidiés le cas échéant</w:t>
      </w:r>
      <w:r w:rsidR="0029782B">
        <w:rPr>
          <w:lang w:val="fr-FR"/>
        </w:rPr>
        <w:t xml:space="preserve"> et déjà opérationnels </w:t>
      </w:r>
      <w:r w:rsidR="00DB1093">
        <w:rPr>
          <w:lang w:val="fr-FR"/>
        </w:rPr>
        <w:t>renforce</w:t>
      </w:r>
      <w:r w:rsidR="009D77CC">
        <w:rPr>
          <w:lang w:val="fr-FR"/>
        </w:rPr>
        <w:t>rait</w:t>
      </w:r>
      <w:r w:rsidR="00DB1093">
        <w:rPr>
          <w:lang w:val="fr-FR"/>
        </w:rPr>
        <w:t xml:space="preserve"> une tendance à l’institutionnalisation observable dans le champ de l’occupation précaire, qui tend à exclure les groupements moins structurés. Ce, alors même que l’occupation précaire puise ses racines dans les marges, dans l’informel, voire dans l’illégalité. Une fameuse contradiction, en somme.</w:t>
      </w:r>
    </w:p>
    <w:p w14:paraId="7193A54F" w14:textId="4F14776F" w:rsidR="006A7B39" w:rsidRDefault="00DB1093" w:rsidP="00225B90">
      <w:pPr>
        <w:spacing w:line="360" w:lineRule="auto"/>
        <w:ind w:firstLine="567"/>
        <w:jc w:val="both"/>
        <w:rPr>
          <w:lang w:val="fr-FR"/>
        </w:rPr>
      </w:pPr>
      <w:r>
        <w:rPr>
          <w:lang w:val="fr-FR"/>
        </w:rPr>
        <w:t xml:space="preserve">Plus spécifiquement, il nous </w:t>
      </w:r>
      <w:r w:rsidR="009D77CC">
        <w:rPr>
          <w:lang w:val="fr-FR"/>
        </w:rPr>
        <w:t>paraît</w:t>
      </w:r>
      <w:r>
        <w:rPr>
          <w:lang w:val="fr-FR"/>
        </w:rPr>
        <w:t xml:space="preserve"> important de ne pas définir les actes et travaux liés à l’occupation précaire (et </w:t>
      </w:r>
      <w:r w:rsidR="00B24D3E">
        <w:rPr>
          <w:lang w:val="fr-FR"/>
        </w:rPr>
        <w:t xml:space="preserve">qui seraient </w:t>
      </w:r>
      <w:r>
        <w:rPr>
          <w:lang w:val="fr-FR"/>
        </w:rPr>
        <w:t xml:space="preserve">dispensés de permis) sous l’angle </w:t>
      </w:r>
      <w:r w:rsidR="00B24D3E">
        <w:rPr>
          <w:lang w:val="fr-FR"/>
        </w:rPr>
        <w:t xml:space="preserve">exclusif </w:t>
      </w:r>
      <w:r>
        <w:rPr>
          <w:lang w:val="fr-FR"/>
        </w:rPr>
        <w:t xml:space="preserve">des </w:t>
      </w:r>
      <w:r w:rsidRPr="009D77CC">
        <w:rPr>
          <w:i/>
          <w:lang w:val="fr-FR"/>
        </w:rPr>
        <w:t>travaux</w:t>
      </w:r>
      <w:r>
        <w:rPr>
          <w:lang w:val="fr-FR"/>
        </w:rPr>
        <w:t xml:space="preserve"> à réaliser, car certaines occupations ne requièrent </w:t>
      </w:r>
      <w:r w:rsidRPr="00DB1093">
        <w:rPr>
          <w:i/>
          <w:lang w:val="fr-FR"/>
        </w:rPr>
        <w:t>pas</w:t>
      </w:r>
      <w:r w:rsidR="00B24D3E">
        <w:rPr>
          <w:lang w:val="fr-FR"/>
        </w:rPr>
        <w:t xml:space="preserve"> de transformation du bien (circonstance qui ne les exonère pas</w:t>
      </w:r>
      <w:r w:rsidR="009D77CC">
        <w:rPr>
          <w:lang w:val="fr-FR"/>
        </w:rPr>
        <w:t xml:space="preserve"> en soi</w:t>
      </w:r>
      <w:r w:rsidR="00B24D3E">
        <w:rPr>
          <w:lang w:val="fr-FR"/>
        </w:rPr>
        <w:t xml:space="preserve"> du permis — en cas de changement de destination du bien par exemple). Par ailleurs, la durée fixée à l’occupation temporaire doit rester raisonnablement longue (une année par exemple), à peine de quoi l’essentiel processus de reconstruction sociale de l’individu et de recherche d’un relogement pérenne — ce à quoi sert ultimement l’occupation — n’aura pas l’occasion d’aboutir. Sur un autre plan, relevons qu’imposer aux occupants de restituer le bien dans le même état exactement qu’au départ n’a guère de sens dans la mesure où, généralement, une occupation a pour vocation </w:t>
      </w:r>
      <w:r w:rsidR="00B24D3E" w:rsidRPr="00B24D3E">
        <w:rPr>
          <w:i/>
          <w:lang w:val="fr-FR"/>
        </w:rPr>
        <w:t>d’améliorer</w:t>
      </w:r>
      <w:r w:rsidR="00B24D3E">
        <w:rPr>
          <w:lang w:val="fr-FR"/>
        </w:rPr>
        <w:t xml:space="preserve"> le bâtiment (dont la situation d’inoccupation a probablement accéléré la dégradation). Enfin, prévoir </w:t>
      </w:r>
      <w:r w:rsidR="009D77CC">
        <w:rPr>
          <w:lang w:val="fr-FR"/>
        </w:rPr>
        <w:t xml:space="preserve">(même dans certains cas seulement) </w:t>
      </w:r>
      <w:r w:rsidR="00B24D3E">
        <w:rPr>
          <w:lang w:val="fr-FR"/>
        </w:rPr>
        <w:t xml:space="preserve">qu’une demande de permis d’urbanisme </w:t>
      </w:r>
      <w:r w:rsidR="00B24D3E" w:rsidRPr="00B24D3E">
        <w:rPr>
          <w:i/>
          <w:lang w:val="fr-FR"/>
        </w:rPr>
        <w:t>précède</w:t>
      </w:r>
      <w:r w:rsidR="00B24D3E">
        <w:rPr>
          <w:lang w:val="fr-FR"/>
        </w:rPr>
        <w:t xml:space="preserve"> l’occupation </w:t>
      </w:r>
      <w:r w:rsidR="009D77CC">
        <w:rPr>
          <w:lang w:val="fr-FR"/>
        </w:rPr>
        <w:t>ne semble pas guère opportun</w:t>
      </w:r>
      <w:r w:rsidR="00B24D3E">
        <w:rPr>
          <w:lang w:val="fr-FR"/>
        </w:rPr>
        <w:t xml:space="preserve"> </w:t>
      </w:r>
      <w:r w:rsidR="009D77CC">
        <w:rPr>
          <w:lang w:val="fr-FR"/>
        </w:rPr>
        <w:t xml:space="preserve">conceptuellement </w:t>
      </w:r>
      <w:r w:rsidR="00B24D3E">
        <w:rPr>
          <w:lang w:val="fr-FR"/>
        </w:rPr>
        <w:t xml:space="preserve">dès lors que, souvent, c’est l’arrivée des occupants qui </w:t>
      </w:r>
      <w:r w:rsidR="006A7B39">
        <w:rPr>
          <w:lang w:val="fr-FR"/>
        </w:rPr>
        <w:t xml:space="preserve">enclenche le processus de rénovation et </w:t>
      </w:r>
      <w:r w:rsidR="00B24D3E">
        <w:rPr>
          <w:lang w:val="fr-FR"/>
        </w:rPr>
        <w:t xml:space="preserve">convainc le propriétaire a entreprendre la (nécessaire) </w:t>
      </w:r>
      <w:r w:rsidR="006A7B39">
        <w:rPr>
          <w:lang w:val="fr-FR"/>
        </w:rPr>
        <w:t xml:space="preserve">réfection ; ou alors, on n’aura plus affaire qu’à des projets de grande ampleur, initiés par des pouvoirs publics, qui remplissent les espaces à coup d’appels à projets. Et la philosophie originelle de l’occupation précaire (davantage </w:t>
      </w:r>
      <w:proofErr w:type="spellStart"/>
      <w:r w:rsidR="006A7B39" w:rsidRPr="006A7B39">
        <w:rPr>
          <w:i/>
          <w:lang w:val="fr-FR"/>
        </w:rPr>
        <w:t>bottum</w:t>
      </w:r>
      <w:proofErr w:type="spellEnd"/>
      <w:r w:rsidR="006A7B39" w:rsidRPr="006A7B39">
        <w:rPr>
          <w:i/>
          <w:lang w:val="fr-FR"/>
        </w:rPr>
        <w:t xml:space="preserve"> up</w:t>
      </w:r>
      <w:r w:rsidR="006A7B39">
        <w:rPr>
          <w:lang w:val="fr-FR"/>
        </w:rPr>
        <w:t>) s’en trouvera encore plus altérée.</w:t>
      </w:r>
    </w:p>
    <w:p w14:paraId="2CCAEEAE" w14:textId="4839AE5A" w:rsidR="00DB1093" w:rsidRDefault="00225B90" w:rsidP="00225B90">
      <w:pPr>
        <w:spacing w:line="360" w:lineRule="auto"/>
        <w:ind w:firstLine="567"/>
        <w:jc w:val="both"/>
        <w:rPr>
          <w:lang w:val="fr-FR"/>
        </w:rPr>
      </w:pPr>
      <w:r>
        <w:rPr>
          <w:lang w:val="fr-FR"/>
        </w:rPr>
        <w:t xml:space="preserve">Affaire à suivre assurément ! </w:t>
      </w:r>
    </w:p>
    <w:p w14:paraId="1CEE1F92" w14:textId="77777777" w:rsidR="000F785D" w:rsidRDefault="000F785D" w:rsidP="00225B90">
      <w:pPr>
        <w:spacing w:line="360" w:lineRule="auto"/>
        <w:ind w:firstLine="567"/>
        <w:jc w:val="both"/>
        <w:rPr>
          <w:lang w:val="fr-FR"/>
        </w:rPr>
      </w:pPr>
    </w:p>
    <w:p w14:paraId="763DE8E5" w14:textId="401C969F" w:rsidR="000F785D" w:rsidRPr="000F785D" w:rsidRDefault="000F785D" w:rsidP="000F785D">
      <w:pPr>
        <w:spacing w:line="360" w:lineRule="auto"/>
        <w:ind w:firstLine="567"/>
        <w:jc w:val="right"/>
        <w:rPr>
          <w:i/>
          <w:lang w:val="fr-FR"/>
        </w:rPr>
      </w:pPr>
      <w:bookmarkStart w:id="0" w:name="_GoBack"/>
      <w:r>
        <w:rPr>
          <w:i/>
          <w:lang w:val="fr-FR"/>
        </w:rPr>
        <w:t>Nicolas BERNARD</w:t>
      </w:r>
    </w:p>
    <w:bookmarkEnd w:id="0"/>
    <w:p w14:paraId="68B67257" w14:textId="77777777" w:rsidR="0029782B" w:rsidRDefault="0029782B" w:rsidP="00225B90">
      <w:pPr>
        <w:spacing w:line="360" w:lineRule="auto"/>
        <w:ind w:firstLine="567"/>
        <w:jc w:val="both"/>
        <w:rPr>
          <w:lang w:val="fr-FR"/>
        </w:rPr>
      </w:pPr>
    </w:p>
    <w:p w14:paraId="3A4D5CF5" w14:textId="77777777" w:rsidR="0029782B" w:rsidRDefault="0029782B" w:rsidP="00225B90">
      <w:pPr>
        <w:spacing w:line="360" w:lineRule="auto"/>
        <w:ind w:firstLine="567"/>
        <w:jc w:val="both"/>
        <w:rPr>
          <w:lang w:val="fr-FR"/>
        </w:rPr>
      </w:pPr>
    </w:p>
    <w:p w14:paraId="721CB5F1" w14:textId="77777777" w:rsidR="0029782B" w:rsidRDefault="0029782B" w:rsidP="00225B90">
      <w:pPr>
        <w:spacing w:line="360" w:lineRule="auto"/>
        <w:ind w:firstLine="567"/>
        <w:jc w:val="both"/>
        <w:rPr>
          <w:lang w:val="fr-FR"/>
        </w:rPr>
      </w:pPr>
    </w:p>
    <w:p w14:paraId="5AFD7888" w14:textId="77777777" w:rsidR="00B03A2C" w:rsidRPr="00B03A2C" w:rsidRDefault="00B03A2C" w:rsidP="00225B90">
      <w:pPr>
        <w:spacing w:line="360" w:lineRule="auto"/>
        <w:ind w:firstLine="567"/>
        <w:jc w:val="both"/>
        <w:rPr>
          <w:lang w:val="fr-FR"/>
        </w:rPr>
      </w:pPr>
    </w:p>
    <w:sectPr w:rsidR="00B03A2C" w:rsidRPr="00B03A2C" w:rsidSect="0080027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2C"/>
    <w:rsid w:val="00036D5E"/>
    <w:rsid w:val="000F785D"/>
    <w:rsid w:val="001E1337"/>
    <w:rsid w:val="001E5846"/>
    <w:rsid w:val="00225B90"/>
    <w:rsid w:val="0029782B"/>
    <w:rsid w:val="003B6536"/>
    <w:rsid w:val="006A7B39"/>
    <w:rsid w:val="0080027F"/>
    <w:rsid w:val="009D77CC"/>
    <w:rsid w:val="009F10C7"/>
    <w:rsid w:val="00B03A2C"/>
    <w:rsid w:val="00B24D3E"/>
    <w:rsid w:val="00DB1093"/>
    <w:rsid w:val="00F71884"/>
    <w:rsid w:val="00FF6153"/>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08B7DC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BE"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784</Words>
  <Characters>4315</Characters>
  <Application>Microsoft Macintosh Word</Application>
  <DocSecurity>0</DocSecurity>
  <Lines>35</Lines>
  <Paragraphs>10</Paragraphs>
  <ScaleCrop>false</ScaleCrop>
  <Company/>
  <LinksUpToDate>false</LinksUpToDate>
  <CharactersWithSpaces>5089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dc:creator>
  <cp:keywords/>
  <dc:description/>
  <cp:lastModifiedBy>Bernard</cp:lastModifiedBy>
  <cp:revision>9</cp:revision>
  <dcterms:created xsi:type="dcterms:W3CDTF">2019-11-19T11:07:00Z</dcterms:created>
  <dcterms:modified xsi:type="dcterms:W3CDTF">2019-11-19T15:49:00Z</dcterms:modified>
</cp:coreProperties>
</file>