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12F43" w14:textId="77777777" w:rsidR="00FE5D46" w:rsidRPr="000217C0" w:rsidRDefault="00000000">
      <w:pPr>
        <w:ind w:left="567" w:right="567"/>
        <w:jc w:val="center"/>
        <w:rPr>
          <w:rFonts w:ascii="Century" w:hAnsi="Century"/>
          <w:b/>
          <w:lang w:val="fr-FR"/>
        </w:rPr>
      </w:pPr>
      <w:r w:rsidRPr="000217C0">
        <w:rPr>
          <w:rFonts w:ascii="Century" w:hAnsi="Century"/>
          <w:b/>
          <w:lang w:val="fr-FR"/>
        </w:rPr>
        <w:t xml:space="preserve">LES MÉCANISMES DE FORMATION DU GOUVERNEMENT FÉDÉRAL </w:t>
      </w:r>
    </w:p>
    <w:p w14:paraId="7D0EF215" w14:textId="77777777" w:rsidR="00FE5D46" w:rsidRPr="000217C0" w:rsidRDefault="00000000">
      <w:pPr>
        <w:ind w:left="567" w:right="567"/>
        <w:jc w:val="center"/>
        <w:rPr>
          <w:rFonts w:ascii="Century" w:hAnsi="Century"/>
          <w:b/>
          <w:lang w:val="fr-FR"/>
        </w:rPr>
      </w:pPr>
      <w:r w:rsidRPr="000217C0">
        <w:rPr>
          <w:rFonts w:ascii="Century" w:hAnsi="Century"/>
          <w:b/>
          <w:lang w:val="fr-FR"/>
        </w:rPr>
        <w:t>ÉVALUATION DU SYSTÈME BELGE ET PISTES D’AMÉLIORATION À LA LUMIÈRE D’EXPÉRIENCES ÉTRANGÈRES</w:t>
      </w:r>
      <w:r>
        <w:rPr>
          <w:rStyle w:val="Appelnotedebasdep"/>
          <w:rFonts w:ascii="Century" w:hAnsi="Century"/>
          <w:b/>
          <w:sz w:val="24"/>
          <w:lang w:val="fr-FR"/>
        </w:rPr>
        <w:footnoteReference w:id="1"/>
      </w:r>
    </w:p>
    <w:p w14:paraId="7B3E7173" w14:textId="77777777" w:rsidR="00FE5D46" w:rsidRPr="000217C0" w:rsidRDefault="00000000">
      <w:pPr>
        <w:ind w:left="567" w:right="567"/>
        <w:jc w:val="center"/>
        <w:rPr>
          <w:rFonts w:ascii="Century" w:hAnsi="Century"/>
          <w:smallCaps/>
          <w:lang w:val="fr-FR"/>
        </w:rPr>
      </w:pPr>
      <w:r w:rsidRPr="000217C0">
        <w:rPr>
          <w:rFonts w:ascii="Century" w:hAnsi="Century"/>
          <w:smallCaps/>
          <w:lang w:val="fr-FR"/>
        </w:rPr>
        <w:t>Par</w:t>
      </w:r>
    </w:p>
    <w:p w14:paraId="25933BF2" w14:textId="77777777" w:rsidR="00FE5D46" w:rsidRPr="000217C0" w:rsidRDefault="00000000">
      <w:pPr>
        <w:ind w:left="567" w:right="567"/>
        <w:jc w:val="center"/>
        <w:rPr>
          <w:rFonts w:ascii="Century" w:hAnsi="Century"/>
          <w:lang w:val="fr-FR"/>
        </w:rPr>
      </w:pPr>
      <w:r w:rsidRPr="000217C0">
        <w:rPr>
          <w:rFonts w:ascii="Century" w:hAnsi="Century"/>
          <w:smallCaps/>
          <w:lang w:val="fr-FR"/>
        </w:rPr>
        <w:t>Hugues</w:t>
      </w:r>
      <w:r w:rsidRPr="000217C0">
        <w:rPr>
          <w:rFonts w:ascii="Century" w:hAnsi="Century"/>
          <w:lang w:val="fr-FR"/>
        </w:rPr>
        <w:t xml:space="preserve"> DUMONT</w:t>
      </w:r>
    </w:p>
    <w:p w14:paraId="1C6F6D70" w14:textId="77777777" w:rsidR="00FE5D46" w:rsidRPr="000217C0" w:rsidRDefault="00000000">
      <w:pPr>
        <w:ind w:left="567" w:right="567"/>
        <w:jc w:val="center"/>
        <w:rPr>
          <w:rFonts w:ascii="Century" w:hAnsi="Century"/>
          <w:smallCaps/>
          <w:lang w:val="fr-FR"/>
        </w:rPr>
      </w:pPr>
      <w:r w:rsidRPr="000217C0">
        <w:rPr>
          <w:rFonts w:ascii="Century" w:hAnsi="Century"/>
          <w:smallCaps/>
          <w:lang w:val="fr-FR"/>
        </w:rPr>
        <w:t>et</w:t>
      </w:r>
    </w:p>
    <w:p w14:paraId="79C60FD7" w14:textId="77777777" w:rsidR="00FE5D46" w:rsidRPr="000217C0" w:rsidRDefault="00000000">
      <w:pPr>
        <w:ind w:left="567" w:right="567"/>
        <w:jc w:val="center"/>
        <w:rPr>
          <w:rFonts w:ascii="Century" w:hAnsi="Century"/>
          <w:lang w:val="fr-FR"/>
        </w:rPr>
      </w:pPr>
      <w:r w:rsidRPr="000217C0">
        <w:rPr>
          <w:rFonts w:ascii="Century" w:hAnsi="Century"/>
          <w:smallCaps/>
          <w:lang w:val="fr-FR"/>
        </w:rPr>
        <w:t>Jonathan</w:t>
      </w:r>
      <w:r w:rsidRPr="000217C0">
        <w:rPr>
          <w:rFonts w:ascii="Century" w:hAnsi="Century"/>
          <w:lang w:val="fr-FR"/>
        </w:rPr>
        <w:t xml:space="preserve"> RENAUX</w:t>
      </w:r>
      <w:r>
        <w:rPr>
          <w:rStyle w:val="Appelnotedebasdep"/>
          <w:rFonts w:ascii="Century" w:hAnsi="Century"/>
          <w:sz w:val="24"/>
          <w:lang w:val="fr-FR"/>
        </w:rPr>
        <w:footnoteReference w:id="2"/>
      </w:r>
    </w:p>
    <w:p w14:paraId="36C9CEB0" w14:textId="77777777" w:rsidR="00FE5D46" w:rsidRPr="000217C0" w:rsidRDefault="00FE5D46" w:rsidP="0014243F">
      <w:pPr>
        <w:ind w:left="567" w:right="567"/>
        <w:rPr>
          <w:rFonts w:ascii="Century" w:hAnsi="Century"/>
          <w:lang w:val="fr-FR"/>
        </w:rPr>
      </w:pPr>
    </w:p>
    <w:p w14:paraId="4CED1C2B" w14:textId="2A1219F8" w:rsidR="00CF09F3" w:rsidRPr="000217C0" w:rsidRDefault="00CF09F3">
      <w:pPr>
        <w:rPr>
          <w:rFonts w:ascii="Century" w:eastAsia="Times New Roman" w:hAnsi="Century" w:cs="Times New Roman"/>
          <w:smallCaps/>
          <w:sz w:val="24"/>
          <w:szCs w:val="24"/>
          <w:lang w:val="fr-FR" w:eastAsia="fr-FR"/>
        </w:rPr>
      </w:pPr>
      <w:bookmarkStart w:id="2" w:name="_Toc132791628"/>
      <w:bookmarkStart w:id="3" w:name="_Toc132791724"/>
    </w:p>
    <w:p w14:paraId="0CC426D0" w14:textId="4CFACF3C" w:rsidR="00FE5D46" w:rsidRPr="000217C0" w:rsidRDefault="00000000" w:rsidP="00DC5A9D">
      <w:pPr>
        <w:pStyle w:val="Titre1"/>
        <w:numPr>
          <w:ilvl w:val="0"/>
          <w:numId w:val="0"/>
        </w:numPr>
        <w:ind w:left="1287" w:hanging="720"/>
        <w:jc w:val="center"/>
      </w:pPr>
      <w:r w:rsidRPr="000217C0">
        <w:t>Introduction</w:t>
      </w:r>
      <w:bookmarkEnd w:id="2"/>
      <w:bookmarkEnd w:id="3"/>
    </w:p>
    <w:p w14:paraId="5CED59D0" w14:textId="77777777" w:rsidR="00DC5A9D" w:rsidRPr="000217C0" w:rsidRDefault="00DC5A9D" w:rsidP="00DC5A9D">
      <w:pPr>
        <w:spacing w:after="0"/>
        <w:ind w:left="567" w:right="567"/>
        <w:jc w:val="both"/>
        <w:rPr>
          <w:rFonts w:ascii="Century" w:hAnsi="Century"/>
          <w:lang w:val="fr-FR"/>
        </w:rPr>
      </w:pPr>
    </w:p>
    <w:p w14:paraId="5C11A5B2" w14:textId="06527D17" w:rsidR="00FE5D46" w:rsidRPr="000217C0" w:rsidRDefault="00000000">
      <w:pPr>
        <w:ind w:left="567" w:right="567"/>
        <w:jc w:val="both"/>
        <w:rPr>
          <w:rFonts w:ascii="Century" w:hAnsi="Century"/>
          <w:lang w:val="fr-FR"/>
        </w:rPr>
      </w:pPr>
      <w:r w:rsidRPr="000217C0">
        <w:rPr>
          <w:rFonts w:ascii="Century" w:hAnsi="Century"/>
          <w:lang w:val="fr-FR"/>
        </w:rPr>
        <w:t xml:space="preserve">Dans le cadre des auditions organisées en 2022 </w:t>
      </w:r>
      <w:r w:rsidR="00315E47" w:rsidRPr="000217C0">
        <w:rPr>
          <w:rFonts w:ascii="Century" w:hAnsi="Century"/>
          <w:lang w:val="fr-FR"/>
        </w:rPr>
        <w:t>par la</w:t>
      </w:r>
      <w:r w:rsidRPr="000217C0">
        <w:rPr>
          <w:rFonts w:ascii="Century" w:hAnsi="Century"/>
          <w:lang w:val="fr-FR"/>
        </w:rPr>
        <w:t xml:space="preserve"> Commission de la Constitution et du Renouveau institutionnel</w:t>
      </w:r>
      <w:r w:rsidR="00A935BC" w:rsidRPr="000217C0">
        <w:rPr>
          <w:rFonts w:ascii="Century" w:hAnsi="Century"/>
          <w:lang w:val="fr-FR"/>
        </w:rPr>
        <w:t xml:space="preserve"> de la Chambre des représentants</w:t>
      </w:r>
      <w:r w:rsidRPr="000217C0">
        <w:rPr>
          <w:rFonts w:ascii="Century" w:hAnsi="Century"/>
          <w:lang w:val="fr-FR"/>
        </w:rPr>
        <w:t xml:space="preserve">, il nous </w:t>
      </w:r>
      <w:r w:rsidR="00A935BC" w:rsidRPr="000217C0">
        <w:rPr>
          <w:rFonts w:ascii="Century" w:hAnsi="Century"/>
          <w:lang w:val="fr-FR"/>
        </w:rPr>
        <w:t>a été</w:t>
      </w:r>
      <w:r w:rsidRPr="000217C0">
        <w:rPr>
          <w:rFonts w:ascii="Century" w:hAnsi="Century"/>
          <w:lang w:val="fr-FR"/>
        </w:rPr>
        <w:t xml:space="preserve"> demandé d’identifier les principaux obstacles auxquels se heurte, ces dernières années, le processus de formation du gouvernement fédéral, d’indiquer les raisons qui expliquent la lenteur de ce processus et</w:t>
      </w:r>
      <w:r w:rsidR="00A935BC" w:rsidRPr="000217C0">
        <w:rPr>
          <w:rFonts w:ascii="Century" w:hAnsi="Century"/>
          <w:lang w:val="fr-FR"/>
        </w:rPr>
        <w:t>,</w:t>
      </w:r>
      <w:r w:rsidRPr="000217C0">
        <w:rPr>
          <w:rFonts w:ascii="Century" w:hAnsi="Century"/>
          <w:lang w:val="fr-FR"/>
        </w:rPr>
        <w:t xml:space="preserve"> surtout</w:t>
      </w:r>
      <w:r w:rsidR="00315E47" w:rsidRPr="000217C0">
        <w:rPr>
          <w:rFonts w:ascii="Century" w:hAnsi="Century"/>
          <w:lang w:val="fr-FR"/>
        </w:rPr>
        <w:t>,</w:t>
      </w:r>
      <w:r w:rsidRPr="000217C0">
        <w:rPr>
          <w:rFonts w:ascii="Century" w:hAnsi="Century"/>
          <w:lang w:val="fr-FR"/>
        </w:rPr>
        <w:t xml:space="preserve"> de suggérer des mécanismes propres à en faciliter le déroulement. </w:t>
      </w:r>
    </w:p>
    <w:p w14:paraId="2C0E76FB" w14:textId="6BA961BC" w:rsidR="00FE5D46" w:rsidRPr="000217C0" w:rsidRDefault="00000000">
      <w:pPr>
        <w:ind w:left="567" w:right="567"/>
        <w:jc w:val="both"/>
        <w:rPr>
          <w:rFonts w:ascii="Century" w:hAnsi="Century"/>
          <w:lang w:val="fr-FR"/>
        </w:rPr>
      </w:pPr>
      <w:r w:rsidRPr="000217C0">
        <w:rPr>
          <w:rFonts w:ascii="Century" w:hAnsi="Century"/>
          <w:lang w:val="fr-FR"/>
        </w:rPr>
        <w:t xml:space="preserve">Sur les principaux obstacles qui </w:t>
      </w:r>
      <w:r w:rsidR="00107A2E" w:rsidRPr="000217C0">
        <w:rPr>
          <w:rFonts w:ascii="Century" w:hAnsi="Century"/>
          <w:lang w:val="fr-FR"/>
        </w:rPr>
        <w:t xml:space="preserve">ont </w:t>
      </w:r>
      <w:r w:rsidRPr="000217C0">
        <w:rPr>
          <w:rFonts w:ascii="Century" w:hAnsi="Century"/>
          <w:lang w:val="fr-FR"/>
        </w:rPr>
        <w:t>rend</w:t>
      </w:r>
      <w:r w:rsidR="00107A2E" w:rsidRPr="000217C0">
        <w:rPr>
          <w:rFonts w:ascii="Century" w:hAnsi="Century"/>
          <w:lang w:val="fr-FR"/>
        </w:rPr>
        <w:t>u</w:t>
      </w:r>
      <w:r w:rsidRPr="000217C0">
        <w:rPr>
          <w:rFonts w:ascii="Century" w:hAnsi="Century"/>
          <w:lang w:val="fr-FR"/>
        </w:rPr>
        <w:t xml:space="preserve"> la formation de</w:t>
      </w:r>
      <w:r w:rsidR="00A935BC" w:rsidRPr="000217C0">
        <w:rPr>
          <w:rFonts w:ascii="Century" w:hAnsi="Century"/>
          <w:lang w:val="fr-FR"/>
        </w:rPr>
        <w:t>s</w:t>
      </w:r>
      <w:r w:rsidRPr="000217C0">
        <w:rPr>
          <w:rFonts w:ascii="Century" w:hAnsi="Century"/>
          <w:lang w:val="fr-FR"/>
        </w:rPr>
        <w:t xml:space="preserve"> derniers gouvernements fédéraux particulièrement difficile et chronophage, plusieurs politologues </w:t>
      </w:r>
      <w:r w:rsidR="00315E47" w:rsidRPr="000217C0">
        <w:rPr>
          <w:rFonts w:ascii="Century" w:hAnsi="Century"/>
          <w:lang w:val="fr-FR"/>
        </w:rPr>
        <w:t xml:space="preserve">et juristes (respectivement </w:t>
      </w:r>
      <w:r w:rsidRPr="000217C0">
        <w:rPr>
          <w:rFonts w:ascii="Century" w:hAnsi="Century"/>
          <w:lang w:val="fr-FR"/>
        </w:rPr>
        <w:t>lors de leur</w:t>
      </w:r>
      <w:r w:rsidR="00315E47" w:rsidRPr="000217C0">
        <w:rPr>
          <w:rFonts w:ascii="Century" w:hAnsi="Century"/>
          <w:lang w:val="fr-FR"/>
        </w:rPr>
        <w:t>s</w:t>
      </w:r>
      <w:r w:rsidRPr="000217C0">
        <w:rPr>
          <w:rFonts w:ascii="Century" w:hAnsi="Century"/>
          <w:lang w:val="fr-FR"/>
        </w:rPr>
        <w:t xml:space="preserve"> audition</w:t>
      </w:r>
      <w:r w:rsidR="00315E47" w:rsidRPr="000217C0">
        <w:rPr>
          <w:rFonts w:ascii="Century" w:hAnsi="Century"/>
          <w:lang w:val="fr-FR"/>
        </w:rPr>
        <w:t>s</w:t>
      </w:r>
      <w:r w:rsidRPr="000217C0">
        <w:rPr>
          <w:rFonts w:ascii="Century" w:hAnsi="Century"/>
          <w:lang w:val="fr-FR"/>
        </w:rPr>
        <w:t xml:space="preserve"> du 21 septembre 2022</w:t>
      </w:r>
      <w:r>
        <w:rPr>
          <w:rStyle w:val="Appelnotedebasdep"/>
          <w:rFonts w:ascii="Century" w:hAnsi="Century"/>
          <w:lang w:val="fr-FR"/>
        </w:rPr>
        <w:footnoteReference w:id="3"/>
      </w:r>
      <w:r w:rsidRPr="000217C0">
        <w:rPr>
          <w:rFonts w:ascii="Century" w:hAnsi="Century"/>
          <w:lang w:val="fr-FR"/>
        </w:rPr>
        <w:t xml:space="preserve"> et du 7 décembre 2022</w:t>
      </w:r>
      <w:r>
        <w:rPr>
          <w:rStyle w:val="Appelnotedebasdep"/>
          <w:rFonts w:ascii="Century" w:hAnsi="Century"/>
          <w:lang w:val="fr-FR"/>
        </w:rPr>
        <w:footnoteReference w:id="4"/>
      </w:r>
      <w:r w:rsidR="00315E47" w:rsidRPr="000217C0">
        <w:rPr>
          <w:rFonts w:ascii="Century" w:hAnsi="Century"/>
          <w:lang w:val="fr-FR"/>
        </w:rPr>
        <w:t>)</w:t>
      </w:r>
      <w:r w:rsidRPr="000217C0">
        <w:rPr>
          <w:rFonts w:ascii="Century" w:hAnsi="Century"/>
          <w:lang w:val="fr-FR"/>
        </w:rPr>
        <w:t xml:space="preserve"> ont souligné les nombreux facteurs qui</w:t>
      </w:r>
      <w:r w:rsidR="0014243F">
        <w:rPr>
          <w:rFonts w:ascii="Century" w:hAnsi="Century"/>
          <w:lang w:val="fr-FR"/>
        </w:rPr>
        <w:t xml:space="preserve"> </w:t>
      </w:r>
      <w:r w:rsidRPr="000217C0">
        <w:rPr>
          <w:rFonts w:ascii="Century" w:hAnsi="Century"/>
          <w:lang w:val="fr-FR"/>
        </w:rPr>
        <w:lastRenderedPageBreak/>
        <w:t>contribuent à la complexité du processus. Il est permis de penser qu’il conviendrait encore de hiérarchiser ces facteurs par ordre d’importance. A notre sens, c’est l’</w:t>
      </w:r>
      <w:r w:rsidR="007B3815" w:rsidRPr="000217C0">
        <w:rPr>
          <w:rFonts w:ascii="Century" w:hAnsi="Century"/>
          <w:lang w:val="fr-FR"/>
        </w:rPr>
        <w:t>acuité</w:t>
      </w:r>
      <w:r w:rsidRPr="000217C0">
        <w:rPr>
          <w:rFonts w:ascii="Century" w:hAnsi="Century"/>
          <w:lang w:val="fr-FR"/>
        </w:rPr>
        <w:t xml:space="preserve"> du clivage communautaire qui doit être mise en avant (I). Si l’on veut chercher des remèdes qui s’attaquent aux causes et non aux effets, il faut imaginer une procédure à la hauteur de cette cause. C’est ce que nous ferons dans un second temps (II). </w:t>
      </w:r>
    </w:p>
    <w:p w14:paraId="0472E26F" w14:textId="037E9253" w:rsidR="00FE5D46" w:rsidRPr="000217C0" w:rsidRDefault="00000000" w:rsidP="00DC5A9D">
      <w:pPr>
        <w:ind w:left="567" w:right="567"/>
        <w:jc w:val="both"/>
        <w:rPr>
          <w:rFonts w:ascii="Century" w:hAnsi="Century"/>
          <w:lang w:val="fr-FR"/>
        </w:rPr>
      </w:pPr>
      <w:r w:rsidRPr="000217C0">
        <w:rPr>
          <w:rFonts w:ascii="Century" w:hAnsi="Century"/>
          <w:lang w:val="fr-FR"/>
        </w:rPr>
        <w:t>A côté de cette procédure exceptionnelle que nous recommanderons, d’autres remèdes moins radicaux retiendront l’attention à la lumière de quelques leçons de droit constitutionnel comparé fondées sur les dispositifs en vigueur principalement aux Pays-Bas, en Espagne, en Suède, en Grèce, en Finlande et en Israël</w:t>
      </w:r>
      <w:r>
        <w:rPr>
          <w:rStyle w:val="Appelnotedebasdep"/>
          <w:rFonts w:ascii="Century" w:hAnsi="Century"/>
          <w:lang w:val="fr-FR"/>
        </w:rPr>
        <w:footnoteReference w:id="5"/>
      </w:r>
      <w:r w:rsidRPr="000217C0">
        <w:rPr>
          <w:rFonts w:ascii="Century" w:hAnsi="Century"/>
          <w:lang w:val="fr-FR"/>
        </w:rPr>
        <w:t xml:space="preserve"> (III).</w:t>
      </w:r>
    </w:p>
    <w:p w14:paraId="46657F16" w14:textId="0D4A9EFC" w:rsidR="00FE5D46" w:rsidRPr="000217C0" w:rsidRDefault="00000000" w:rsidP="00DC5A9D">
      <w:pPr>
        <w:pStyle w:val="Titre1"/>
      </w:pPr>
      <w:bookmarkStart w:id="4" w:name="_Toc132791629"/>
      <w:bookmarkStart w:id="5" w:name="_Toc132791725"/>
      <w:r w:rsidRPr="000217C0">
        <w:t>La principale cause des difficultés et de la longueur des processus de formation des gouvernements : l’acu</w:t>
      </w:r>
      <w:r w:rsidR="00790571" w:rsidRPr="000217C0">
        <w:t>i</w:t>
      </w:r>
      <w:r w:rsidRPr="000217C0">
        <w:t>té du clivage communautaire</w:t>
      </w:r>
      <w:bookmarkEnd w:id="4"/>
      <w:bookmarkEnd w:id="5"/>
    </w:p>
    <w:p w14:paraId="3EC942C3" w14:textId="77777777" w:rsidR="00FE5D46" w:rsidRPr="000217C0" w:rsidRDefault="00FE5D46">
      <w:pPr>
        <w:pStyle w:val="Paragraphedeliste"/>
        <w:ind w:left="567" w:right="567"/>
        <w:jc w:val="both"/>
        <w:rPr>
          <w:rFonts w:ascii="Century" w:hAnsi="Century"/>
          <w:b/>
          <w:lang w:val="fr-FR"/>
        </w:rPr>
      </w:pPr>
    </w:p>
    <w:p w14:paraId="4A130F87" w14:textId="417A6AAB" w:rsidR="00FE5D46" w:rsidRPr="000217C0" w:rsidRDefault="00000000">
      <w:pPr>
        <w:ind w:left="567" w:right="567"/>
        <w:jc w:val="both"/>
        <w:rPr>
          <w:rFonts w:ascii="Century" w:hAnsi="Century"/>
          <w:lang w:val="fr-FR"/>
        </w:rPr>
      </w:pPr>
      <w:r w:rsidRPr="000217C0">
        <w:rPr>
          <w:rFonts w:ascii="Century" w:hAnsi="Century"/>
          <w:lang w:val="fr-FR"/>
        </w:rPr>
        <w:t>Plusieurs causes bien identifiées par les politologues auditionnés en Commission le 21 septembre 2022</w:t>
      </w:r>
      <w:r>
        <w:rPr>
          <w:rStyle w:val="Appelnotedebasdep"/>
          <w:rFonts w:ascii="Century" w:hAnsi="Century"/>
          <w:lang w:val="fr-FR"/>
        </w:rPr>
        <w:footnoteReference w:id="6"/>
      </w:r>
      <w:r w:rsidRPr="000217C0">
        <w:rPr>
          <w:rFonts w:ascii="Century" w:hAnsi="Century"/>
          <w:lang w:val="fr-FR"/>
        </w:rPr>
        <w:t xml:space="preserve"> sont de nature à expliquer les difficultés et la lenteur du processus de formation des gouvernements belges ces dernières années. Certaines de ces causes ne sont pas propres à la Belgique. La fragmentation du système partisan, le déclin des partis traditionnels, l’apparition de nouveaux partis, certains de ceux-ci ne souhaitant pas gouverner, les dissensions internes au sein de chaque parti politique</w:t>
      </w:r>
      <w:r>
        <w:rPr>
          <w:rStyle w:val="Appelnotedebasdep"/>
          <w:rFonts w:ascii="Century" w:hAnsi="Century"/>
          <w:lang w:val="fr-FR"/>
        </w:rPr>
        <w:footnoteReference w:id="7"/>
      </w:r>
      <w:r w:rsidRPr="000217C0">
        <w:rPr>
          <w:rFonts w:ascii="Century" w:hAnsi="Century"/>
          <w:lang w:val="fr-FR"/>
        </w:rPr>
        <w:t xml:space="preserve"> et l’augmentation de la volatilité électorale sont des phénomènes structurels observables aussi bien en Belgique que dans les autres démocraties européennes depuis deux à trois décennies</w:t>
      </w:r>
      <w:r>
        <w:rPr>
          <w:rStyle w:val="Appelnotedebasdep"/>
          <w:rFonts w:ascii="Century" w:hAnsi="Century"/>
          <w:lang w:val="fr-FR"/>
        </w:rPr>
        <w:footnoteReference w:id="8"/>
      </w:r>
      <w:r w:rsidRPr="000217C0">
        <w:rPr>
          <w:rFonts w:ascii="Century" w:hAnsi="Century"/>
          <w:lang w:val="fr-FR"/>
        </w:rPr>
        <w:t xml:space="preserve">. Ils expliquent là aussi la tendance à l’allongement de la période consacrée à la formation des exécutifs. </w:t>
      </w:r>
    </w:p>
    <w:p w14:paraId="7C9BA2C5" w14:textId="77777777" w:rsidR="00FE5D46" w:rsidRPr="000217C0" w:rsidRDefault="00000000">
      <w:pPr>
        <w:ind w:left="567" w:right="567"/>
        <w:jc w:val="both"/>
        <w:rPr>
          <w:rFonts w:ascii="Century" w:hAnsi="Century"/>
          <w:lang w:val="fr-FR"/>
        </w:rPr>
      </w:pPr>
      <w:r w:rsidRPr="000217C0">
        <w:rPr>
          <w:rFonts w:ascii="Century" w:hAnsi="Century"/>
          <w:lang w:val="fr-FR"/>
        </w:rPr>
        <w:t xml:space="preserve">S’y ajoutent des causes propres à notre système constitutionnel et politique : la scission des partis flamands et francophones dans les années 1968-1978, l’éloignement de plus en plus grand qui sépare les scènes politiques flamande et francophone, la raréfaction des élites bilingues qui se rencontrent régulièrement, la recherche de plus en plus laborieuse d’une majorité dans les deux groupes linguistiques de la Chambre, la simultanéité des élections fédérales et régionales, l’ampleur croissante des compétences confiées aux communautés et régions et la relative rapidité de la formation des gouvernements régionaux et communautaires qui rendent moins urgente celle </w:t>
      </w:r>
      <w:r w:rsidRPr="000217C0">
        <w:rPr>
          <w:rFonts w:ascii="Century" w:hAnsi="Century"/>
          <w:lang w:val="fr-FR"/>
        </w:rPr>
        <w:lastRenderedPageBreak/>
        <w:t xml:space="preserve">du gouvernement fédéral, telles sont les principales causes mises en avant par les collègues politologues de manière tout à fait convaincante. </w:t>
      </w:r>
    </w:p>
    <w:p w14:paraId="79C06888" w14:textId="77777777" w:rsidR="00FE5D46" w:rsidRPr="000217C0" w:rsidRDefault="00000000">
      <w:pPr>
        <w:ind w:left="567" w:right="567"/>
        <w:jc w:val="both"/>
        <w:rPr>
          <w:rFonts w:ascii="Century" w:hAnsi="Century"/>
          <w:lang w:val="fr-FR"/>
        </w:rPr>
      </w:pPr>
      <w:r w:rsidRPr="000217C0">
        <w:rPr>
          <w:rFonts w:ascii="Century" w:hAnsi="Century"/>
          <w:lang w:val="fr-FR"/>
        </w:rPr>
        <w:t xml:space="preserve">Il reste, nous semble-t-il, à hiérarchiser ces causes. Faut-il relativiser l’importance de ces facteurs propres à la Belgique en relevant qu’aux Pays-Bas où le clivage communautaire n’existe pas, la formation des gouvernements prend aussi un temps considérable, entre 225 et 295 jours selon les statistiques rapportées par Dave Sinardet ? Nous ne le pensons pas parce qu’il reste deux phénomènes dont la Belgique a le monopole : le record absolu de la longueur des processus de formation gouvernementale, c’est bien notre pays qui le détient, et surtout le climat de crainte existentielle pour l’avenir de notre Etat qui accompagne ces longues périodes de négociation et qui nous est propre. </w:t>
      </w:r>
    </w:p>
    <w:p w14:paraId="65772B1B" w14:textId="77777777" w:rsidR="00FE5D46" w:rsidRPr="000217C0" w:rsidRDefault="00000000">
      <w:pPr>
        <w:ind w:left="567" w:right="567"/>
        <w:jc w:val="both"/>
        <w:rPr>
          <w:rFonts w:ascii="Century" w:hAnsi="Century"/>
          <w:lang w:val="fr-BE"/>
        </w:rPr>
      </w:pPr>
      <w:r w:rsidRPr="000217C0">
        <w:rPr>
          <w:rFonts w:ascii="Century" w:hAnsi="Century"/>
          <w:lang w:val="fr-BE"/>
        </w:rPr>
        <w:t>Après les élections du 10 juin 2007, plus de six mois sont nécessaires pour s’entendre sur la formation d’un gouvernement</w:t>
      </w:r>
      <w:r>
        <w:rPr>
          <w:rStyle w:val="Appelnotedebasdep"/>
          <w:rFonts w:ascii="Century" w:hAnsi="Century"/>
          <w:sz w:val="24"/>
        </w:rPr>
        <w:footnoteReference w:id="9"/>
      </w:r>
      <w:r w:rsidRPr="000217C0">
        <w:rPr>
          <w:rFonts w:ascii="Century" w:hAnsi="Century"/>
          <w:lang w:val="fr-BE"/>
        </w:rPr>
        <w:t>. Ce premier record s’explique par l’impossibilité pour les partis flamands et francophones dont le résultat des élections et la logique politique faisaient les partenaires tout désignés d’une coalition majoritaire, de s’entendre sur un programme de réformes institutionnelles.</w:t>
      </w:r>
    </w:p>
    <w:p w14:paraId="2F038A0B" w14:textId="6EBB20ED" w:rsidR="00FE5D46" w:rsidRPr="000217C0" w:rsidRDefault="00000000">
      <w:pPr>
        <w:ind w:left="567" w:right="567"/>
        <w:jc w:val="both"/>
        <w:rPr>
          <w:rFonts w:ascii="Century" w:hAnsi="Century"/>
          <w:lang w:val="fr-BE"/>
        </w:rPr>
      </w:pPr>
      <w:r w:rsidRPr="000217C0">
        <w:rPr>
          <w:rFonts w:ascii="Century" w:hAnsi="Century"/>
          <w:lang w:val="fr-BE"/>
        </w:rPr>
        <w:t>Après les élections du 13 juin 2010, il a fallu un an et demi, 541 jours plus précisément, pour former un gouvernement qui n’était même pas soutenu par une majorité dans le groupe linguistique néerlandais</w:t>
      </w:r>
      <w:r>
        <w:rPr>
          <w:rStyle w:val="Appelnotedebasdep"/>
          <w:rFonts w:ascii="Century" w:hAnsi="Century"/>
          <w:sz w:val="24"/>
        </w:rPr>
        <w:footnoteReference w:id="10"/>
      </w:r>
      <w:r w:rsidRPr="000217C0">
        <w:rPr>
          <w:rFonts w:ascii="Century" w:hAnsi="Century"/>
          <w:lang w:val="fr-BE"/>
        </w:rPr>
        <w:t>. Ce deuxième record s’explique aussi par l’extrême difficulté éprouvée par les partis flamands et francophones de s’entendre sur un programme de réformes institutionnelles. Au cours de ces 18 mois, jamais on n’a autant parlé dans les médias –y compris étrangers– et dans les milieux universitaires de l’hypothèse d’une partition de l’Etat belge. Les conclusions de ce débat et de ces analyses –</w:t>
      </w:r>
      <w:r w:rsidR="00E05164" w:rsidRPr="000217C0">
        <w:rPr>
          <w:rFonts w:ascii="Century" w:hAnsi="Century"/>
          <w:lang w:val="fr-BE"/>
        </w:rPr>
        <w:t xml:space="preserve"> </w:t>
      </w:r>
      <w:r w:rsidRPr="000217C0">
        <w:rPr>
          <w:rFonts w:ascii="Century" w:hAnsi="Century"/>
          <w:lang w:val="fr-BE"/>
        </w:rPr>
        <w:t>même si elles demeurent assez superficielles</w:t>
      </w:r>
      <w:r w:rsidR="00E05164" w:rsidRPr="000217C0">
        <w:rPr>
          <w:rFonts w:ascii="Century" w:hAnsi="Century"/>
          <w:lang w:val="fr-BE"/>
        </w:rPr>
        <w:t xml:space="preserve"> </w:t>
      </w:r>
      <w:r w:rsidRPr="000217C0">
        <w:rPr>
          <w:rFonts w:ascii="Century" w:hAnsi="Century"/>
          <w:lang w:val="fr-BE"/>
        </w:rPr>
        <w:t xml:space="preserve">– sont largement partagées des deux côtés de la frontière linguistique : sur un plan rationnel, cette partition serait extrêmement difficile à négocier et aurait des conséquences très négatives notamment sur les plans économique et financier pour toutes les communautés et toutes les régions. Mais dans la réalité politique, c’est la Région bruxelloise, </w:t>
      </w:r>
      <w:r w:rsidRPr="000217C0">
        <w:rPr>
          <w:rFonts w:ascii="Century" w:hAnsi="Century"/>
          <w:lang w:val="fr-BE"/>
        </w:rPr>
        <w:lastRenderedPageBreak/>
        <w:t xml:space="preserve">dont ni la Flandre ni la Wallonie ne peuvent ni ne veulent se séparer, qui constitue le principal obstacle. Sans elle, la scission serait sans doute acquise depuis longtemps. Il est permis de se demander si cet obstacle est pérenne. </w:t>
      </w:r>
    </w:p>
    <w:p w14:paraId="11B82EA5" w14:textId="77777777" w:rsidR="00FE5D46" w:rsidRPr="000217C0" w:rsidRDefault="00000000">
      <w:pPr>
        <w:ind w:left="567" w:right="567"/>
        <w:jc w:val="both"/>
        <w:rPr>
          <w:rFonts w:ascii="Century" w:hAnsi="Century"/>
          <w:lang w:val="fr-FR"/>
        </w:rPr>
      </w:pPr>
      <w:r w:rsidRPr="000217C0">
        <w:rPr>
          <w:rFonts w:ascii="Century" w:hAnsi="Century"/>
          <w:lang w:val="fr-FR"/>
        </w:rPr>
        <w:t>Entre la démission du gouvernement Michel II, le 21 décembre 2018, et les élections européennes, fédérales, régionales et communautaires du 26 mai 2019, une première séquence de 156 jours en affaires courantes se déroule</w:t>
      </w:r>
      <w:r>
        <w:rPr>
          <w:rStyle w:val="Appelnotedebasdep"/>
          <w:rFonts w:ascii="Century" w:hAnsi="Century"/>
          <w:sz w:val="24"/>
          <w:lang w:val="fr-FR"/>
        </w:rPr>
        <w:footnoteReference w:id="11"/>
      </w:r>
      <w:r w:rsidRPr="000217C0">
        <w:rPr>
          <w:rFonts w:ascii="Century" w:hAnsi="Century"/>
          <w:lang w:val="fr-FR"/>
        </w:rPr>
        <w:t>. Elle est aussitôt suivie d’une seconde séquence qui va durer 296 jours, faute de l’accord politique nécessaire pour constituer un nouveau gouvernement de plein exercice. Les raisons du blocage tiennent essentiellement dans la très longue incapacité des présidents de partis de trancher un dilemme douloureux qui est apparu très clairement dès le lendemain des élections du 26 mai 2019 au vu de l’arithmétique des résultats électoraux et de la combinaison des coalitions possibles eu égard aux affinités en présence</w:t>
      </w:r>
      <w:r>
        <w:rPr>
          <w:rStyle w:val="Appelnotedebasdep"/>
          <w:rFonts w:ascii="Century" w:hAnsi="Century"/>
          <w:sz w:val="24"/>
          <w:lang w:val="fr-FR"/>
        </w:rPr>
        <w:footnoteReference w:id="12"/>
      </w:r>
      <w:r w:rsidRPr="000217C0">
        <w:rPr>
          <w:rFonts w:ascii="Century" w:hAnsi="Century"/>
          <w:lang w:val="fr-FR"/>
        </w:rPr>
        <w:t>. Un gouvernement doté de l’indispensable majorité à l’échelle des 150 députés de la Chambre pouvait être atteint soit – première branche du dilemme –  par une coalition associant principalement le premier parti flamand, la N-VA, notoirement favorable à la disparition de l’Etat belge ou à son remplacement par une confédération à deux</w:t>
      </w:r>
      <w:r>
        <w:rPr>
          <w:rStyle w:val="Appelnotedebasdep"/>
          <w:rFonts w:ascii="Century" w:hAnsi="Century"/>
          <w:sz w:val="24"/>
          <w:lang w:val="fr-FR"/>
        </w:rPr>
        <w:footnoteReference w:id="13"/>
      </w:r>
      <w:r w:rsidRPr="000217C0">
        <w:rPr>
          <w:rFonts w:ascii="Century" w:hAnsi="Century"/>
          <w:lang w:val="fr-FR"/>
        </w:rPr>
        <w:t xml:space="preserve">, et le premier parti francophone, le parti socialiste (PS), mais le fait que ces formations n’avaient pratiquement rien en commun rendait cette voie très difficile à emprunter ;  soit – deuxième branche du dilemme –  par le recours à une large coalition sans la N-VA, mais dans ce cas ce gouvernement serait minoritaire dans le groupe linguistique néerlandais de la Chambre, alors que ce groupe est lui-même majoritaire dans cette assemblée. </w:t>
      </w:r>
    </w:p>
    <w:p w14:paraId="56A5306A" w14:textId="77777777" w:rsidR="00FE5D46" w:rsidRPr="000217C0" w:rsidRDefault="00000000">
      <w:pPr>
        <w:ind w:left="567" w:right="567"/>
        <w:jc w:val="both"/>
        <w:rPr>
          <w:rFonts w:ascii="Century" w:hAnsi="Century"/>
          <w:lang w:val="fr-FR"/>
        </w:rPr>
      </w:pPr>
      <w:r w:rsidRPr="000217C0">
        <w:rPr>
          <w:rFonts w:ascii="Century" w:hAnsi="Century"/>
          <w:lang w:val="fr-FR"/>
        </w:rPr>
        <w:t xml:space="preserve">Pendant les 296 jours de la seconde séquence, d’un côté, le PS a répété l’impossibilité pour lui de s’accorder avec la N-VA – </w:t>
      </w:r>
      <w:r w:rsidRPr="000217C0">
        <w:rPr>
          <w:rFonts w:ascii="Century" w:hAnsi="Century"/>
          <w:i/>
          <w:lang w:val="fr-FR"/>
        </w:rPr>
        <w:t>exit</w:t>
      </w:r>
      <w:r w:rsidRPr="000217C0">
        <w:rPr>
          <w:rFonts w:ascii="Century" w:hAnsi="Century"/>
          <w:lang w:val="fr-FR"/>
        </w:rPr>
        <w:t xml:space="preserve"> la première branche – et de l’autre côté, le CD&amp;V et le VLD ont jugé tout aussi impossible d’entrer dans un gouvernement minoritaire au sein du groupe linguistique néerlandais de la Chambre – </w:t>
      </w:r>
      <w:r w:rsidRPr="000217C0">
        <w:rPr>
          <w:rFonts w:ascii="Century" w:hAnsi="Century"/>
          <w:i/>
          <w:lang w:val="fr-FR"/>
        </w:rPr>
        <w:t>exit</w:t>
      </w:r>
      <w:r w:rsidRPr="000217C0">
        <w:rPr>
          <w:rFonts w:ascii="Century" w:hAnsi="Century"/>
          <w:lang w:val="fr-FR"/>
        </w:rPr>
        <w:t xml:space="preserve"> la deuxième branche.</w:t>
      </w:r>
    </w:p>
    <w:p w14:paraId="1A3F2528" w14:textId="75C910B8" w:rsidR="00FE5D46" w:rsidRPr="000217C0" w:rsidRDefault="00000000">
      <w:pPr>
        <w:ind w:left="567" w:right="567"/>
        <w:jc w:val="both"/>
        <w:rPr>
          <w:rFonts w:ascii="Century" w:hAnsi="Century"/>
          <w:lang w:val="fr-FR"/>
        </w:rPr>
      </w:pPr>
      <w:r w:rsidRPr="000217C0">
        <w:rPr>
          <w:rFonts w:ascii="Century" w:hAnsi="Century"/>
          <w:lang w:val="fr-FR"/>
        </w:rPr>
        <w:t>Le CD&amp;V était demandeur d’une défédéralisation d’une branche essentielle de la sécurité sociale, l’assurance</w:t>
      </w:r>
      <w:r w:rsidR="00E05164" w:rsidRPr="000217C0">
        <w:rPr>
          <w:rFonts w:ascii="Century" w:hAnsi="Century"/>
          <w:lang w:val="fr-FR"/>
        </w:rPr>
        <w:t xml:space="preserve"> </w:t>
      </w:r>
      <w:r w:rsidR="00790571" w:rsidRPr="000217C0">
        <w:rPr>
          <w:rFonts w:ascii="Century" w:hAnsi="Century"/>
          <w:lang w:val="fr-FR"/>
        </w:rPr>
        <w:t>soins de santé</w:t>
      </w:r>
      <w:r w:rsidRPr="000217C0">
        <w:rPr>
          <w:rFonts w:ascii="Century" w:hAnsi="Century"/>
          <w:lang w:val="fr-FR"/>
        </w:rPr>
        <w:t xml:space="preserve">, et il savait que la N-VA ferait de la programmation de ce transfert de compétence une condition pour entrer dans un gouvernement. Il fallait donc tout faire, à ses yeux, pour convaincre le PS de pactiser avec la N-VA. On s’en souvient, le blocage était complet, dès le lendemain des élections du 26 mai 2019. Si un premier accord a fini tout de même par émerger avec la formation du gouvernement politiquement minoritaire Wilmès II, le 17 mars 2020, 296 jours depuis les élections du 26 mai 2019, c’est par le seul effet de la pandémie de Covid-19 et précisément </w:t>
      </w:r>
      <w:r w:rsidRPr="000217C0">
        <w:rPr>
          <w:rFonts w:ascii="Century" w:hAnsi="Century"/>
          <w:lang w:val="fr-FR"/>
        </w:rPr>
        <w:lastRenderedPageBreak/>
        <w:t>parce qu’il permettait de ne pas devoir trancher le dilemme. Mais il était d’emblée considéré comme insatisfaisant et donc provisoire.</w:t>
      </w:r>
    </w:p>
    <w:p w14:paraId="0381306C" w14:textId="1F3A5759" w:rsidR="00FE5D46" w:rsidRPr="000217C0" w:rsidRDefault="00000000">
      <w:pPr>
        <w:ind w:left="567" w:right="567"/>
        <w:jc w:val="both"/>
        <w:rPr>
          <w:rFonts w:ascii="Century" w:hAnsi="Century"/>
          <w:lang w:val="fr-FR"/>
        </w:rPr>
      </w:pPr>
      <w:r w:rsidRPr="000217C0">
        <w:rPr>
          <w:rFonts w:ascii="Century" w:hAnsi="Century"/>
          <w:lang w:val="fr-FR"/>
        </w:rPr>
        <w:t xml:space="preserve">Dès la nomination de ce gouvernement Wilmès II, tous les présidents des partis politiques étaient parfaitement conscients qu’il fallait poursuivre les discussions pour faire émerger un gouvernement majoritaire. Après deux mois de pause (du 17 mars au 19 mai 2020), pendant lesquels le Covid-19 monopolise l’attention, le cruel dilemme est donc revenu à l’avant-plan. Il a finalement été tranché en faveur de la large coalition sans la N-VA – la deuxième branche du dilemme –, au terme de quatre mois et demi de palabres diverses comprenant des initiatives de négociation de certains présidents de partis et quatre nouvelles missions royales. Finalement, le gouvernement de Croo coalise non moins de sept partis (les partis francophones et flamands socialistes, libéraux et écologistes, ainsi que le parti social-chrétien flamand), un nombre encore jamais atteint auparavant, qui laisse dans l’opposition les deux premiers partis du côté flamand (la N-VA et le Vlaams Belang) et qui rend ce gouvernement </w:t>
      </w:r>
      <w:r w:rsidR="009770DF" w:rsidRPr="000217C0">
        <w:rPr>
          <w:rFonts w:ascii="Century" w:hAnsi="Century"/>
          <w:lang w:val="fr-FR"/>
        </w:rPr>
        <w:t xml:space="preserve">très </w:t>
      </w:r>
      <w:r w:rsidRPr="000217C0">
        <w:rPr>
          <w:rFonts w:ascii="Century" w:hAnsi="Century"/>
          <w:lang w:val="fr-FR"/>
        </w:rPr>
        <w:t>vulnérable à l’immobilisme</w:t>
      </w:r>
      <w:r w:rsidR="009770DF" w:rsidRPr="000217C0">
        <w:rPr>
          <w:rFonts w:ascii="Century" w:hAnsi="Century"/>
          <w:lang w:val="fr-FR"/>
        </w:rPr>
        <w:t xml:space="preserve"> faute de cohésion</w:t>
      </w:r>
      <w:r w:rsidRPr="000217C0">
        <w:rPr>
          <w:rFonts w:ascii="Century" w:hAnsi="Century"/>
          <w:lang w:val="fr-FR"/>
        </w:rPr>
        <w:t>.</w:t>
      </w:r>
    </w:p>
    <w:p w14:paraId="0E2B5E41" w14:textId="70BB24EF" w:rsidR="00FE5D46" w:rsidRPr="000217C0" w:rsidRDefault="00000000">
      <w:pPr>
        <w:ind w:left="567" w:right="567"/>
        <w:jc w:val="both"/>
        <w:rPr>
          <w:rFonts w:ascii="Century" w:hAnsi="Century"/>
          <w:lang w:val="fr-FR"/>
        </w:rPr>
      </w:pPr>
      <w:r w:rsidRPr="000217C0">
        <w:rPr>
          <w:rFonts w:ascii="Century" w:hAnsi="Century"/>
          <w:lang w:val="fr-FR"/>
        </w:rPr>
        <w:t>Comment s’explique le dénouement de cette crise d’un an et plus de neuf mois</w:t>
      </w:r>
      <w:r>
        <w:rPr>
          <w:rStyle w:val="Appelnotedebasdep"/>
          <w:rFonts w:ascii="Century" w:hAnsi="Century"/>
          <w:sz w:val="24"/>
          <w:lang w:val="fr-FR"/>
        </w:rPr>
        <w:footnoteReference w:id="14"/>
      </w:r>
      <w:r w:rsidRPr="000217C0">
        <w:rPr>
          <w:rFonts w:ascii="Century" w:hAnsi="Century"/>
          <w:lang w:val="fr-FR"/>
        </w:rPr>
        <w:t> ? L’acuité des problèmes à résoudre pour lutter contre la pandémie et son lot de conséquences dévastatrices combinée avec la décision de l’Union européenne d’assouplir la discipline budgétaire forme à notre sens le facteur explicatif prépondérant. Comme l’a écrit l’observatrice du Centre de recherche et d’information socio-politiques (CRISP), Caroline Sägesser, « en l’absence de la double pression » que la crise sanitaire et le terme annoncé du gouvernement en place ont exercée, « on ne sait pas quel élément aurait pu débloquer les négociations fédérales, ni quand »</w:t>
      </w:r>
      <w:r>
        <w:rPr>
          <w:rStyle w:val="Appelnotedebasdep"/>
          <w:rFonts w:ascii="Century" w:hAnsi="Century"/>
          <w:sz w:val="24"/>
          <w:lang w:val="fr-FR"/>
        </w:rPr>
        <w:footnoteReference w:id="15"/>
      </w:r>
      <w:r w:rsidRPr="000217C0">
        <w:rPr>
          <w:rFonts w:ascii="Century" w:hAnsi="Century"/>
          <w:lang w:val="fr-FR"/>
        </w:rPr>
        <w:t xml:space="preserve">. </w:t>
      </w:r>
    </w:p>
    <w:p w14:paraId="258E4862" w14:textId="77777777" w:rsidR="00FE5D46" w:rsidRPr="000217C0" w:rsidRDefault="00000000">
      <w:pPr>
        <w:ind w:left="567" w:right="567"/>
        <w:jc w:val="both"/>
        <w:rPr>
          <w:rFonts w:ascii="Century" w:hAnsi="Century"/>
          <w:lang w:val="fr-FR"/>
        </w:rPr>
      </w:pPr>
      <w:r w:rsidRPr="000217C0">
        <w:rPr>
          <w:rFonts w:ascii="Century" w:hAnsi="Century"/>
          <w:lang w:val="fr-FR"/>
        </w:rPr>
        <w:t>À vrai dire, la première des causes circonstancielles de cette crise, à savoir le dilemme si difficile à trancher, cache à peine la principale cause structurelle des difficultés récurrentes à former des coalitions gouvernementales en Belgique qu’il faut maintenant souligner : elle réside dans le caractère à la fois bipolaire et centrifuge du fédéralisme belge et dans l’absence d’un authentique projet fédéral propre à transcender cette bipolarité tout en stabilisant cette dynamique centrifuge autour d’un point d’équilibre satisfaisant</w:t>
      </w:r>
      <w:r>
        <w:rPr>
          <w:rStyle w:val="Appelnotedebasdep"/>
          <w:rFonts w:ascii="Century" w:hAnsi="Century"/>
          <w:sz w:val="24"/>
          <w:lang w:val="fr-FR"/>
        </w:rPr>
        <w:footnoteReference w:id="16"/>
      </w:r>
      <w:r w:rsidRPr="000217C0">
        <w:rPr>
          <w:rFonts w:ascii="Century" w:hAnsi="Century"/>
          <w:lang w:val="fr-FR"/>
        </w:rPr>
        <w:t xml:space="preserve">. Les deux principales sociétés civiles qui composent la Belgique, la flamande et la francophone, vivent un phénomène de distanciation croissante, non seulement </w:t>
      </w:r>
      <w:r w:rsidRPr="000217C0">
        <w:rPr>
          <w:rFonts w:ascii="Century" w:hAnsi="Century"/>
          <w:lang w:val="fr-FR"/>
        </w:rPr>
        <w:lastRenderedPageBreak/>
        <w:t xml:space="preserve">sur le plan linguistique, mais aussi sur les terrains politique, socio-économique, scolaire, culturel et médiatique. Tous les partis politiques sont scindés selon le clivage linguistique, sauf le PTB-PVDA. En l’absence d’une circonscription fédérale, la Belgique connaît deux paysages électoraux séparés. Ceux-ci penchent plus à droite du côté flamand et plus à gauche du côté francophone. Peu de dispositifs sont structurellement aménagés pour favoriser les dialogues trans-communautaires. </w:t>
      </w:r>
    </w:p>
    <w:p w14:paraId="476D6F17" w14:textId="77777777" w:rsidR="00FE5D46" w:rsidRPr="000217C0" w:rsidRDefault="00000000">
      <w:pPr>
        <w:ind w:left="567" w:right="567"/>
        <w:jc w:val="both"/>
        <w:rPr>
          <w:rFonts w:ascii="Century" w:hAnsi="Century"/>
          <w:lang w:val="fr-FR"/>
        </w:rPr>
      </w:pPr>
      <w:r w:rsidRPr="000217C0">
        <w:rPr>
          <w:rFonts w:ascii="Century" w:hAnsi="Century"/>
          <w:lang w:val="fr-FR"/>
        </w:rPr>
        <w:t xml:space="preserve">La démocratie ne requiert pas nécessairement un État mono-national, mais il faut reconnaître qu’un État fédéral plurinational n’est pas viable sans un désir assez partagé et soutenu des communautés politiques qui y cohabitent et de leurs représentants de délibérer ensemble pour prendre les décisions qui s’imposent à l’échelle fédérale. Il ne suffit pas de s’aviser des bonnes raisons de conserver ce niveau de pouvoir. Rappelons-les très vite, en substance : les innombrables interdépendances entre trois régions qui se partagent un petit territoire densément peuplé ; l’avantage d’une solidarité interpersonnelle sur une aire étendue pour soutenir une sécurité sociale optimale ; l’appartenance à l’Union européenne qui contraint ses États membres à parler d’une seule voix et qui n’aurait aucun avantage à laisser l’un d’entre eux se diviser ; et la Région de Bruxelles-Capitale qui n’a aucun attrait pour le statut de condominium. Ces raisons sont difficilement contestables, mais elles ne relèvent que de la raison, précisément. Nul besoin de convoquer les ressorts d’un sentiment national fort – qui n’a presque jamais existé en Belgique – pour leur donner plus de poids. Il suffit d’un minimum de désir de délibérer ensemble de ce qui doit encore être géré au niveau fédéral. </w:t>
      </w:r>
    </w:p>
    <w:p w14:paraId="4C4B93CE" w14:textId="77777777" w:rsidR="00FE5D46" w:rsidRPr="000217C0" w:rsidRDefault="00000000">
      <w:pPr>
        <w:ind w:left="567" w:right="567"/>
        <w:jc w:val="both"/>
        <w:rPr>
          <w:rFonts w:ascii="Century" w:hAnsi="Century"/>
          <w:lang w:val="fr-FR"/>
        </w:rPr>
      </w:pPr>
      <w:r w:rsidRPr="000217C0">
        <w:rPr>
          <w:rFonts w:ascii="Century" w:hAnsi="Century"/>
          <w:lang w:val="fr-FR"/>
        </w:rPr>
        <w:t>Mais c’est bien ce désir qui a menacé de s’épuiser tout au long de ces 664 jours de crise</w:t>
      </w:r>
      <w:r>
        <w:rPr>
          <w:rStyle w:val="Appelnotedebasdep"/>
          <w:rFonts w:ascii="Century" w:hAnsi="Century"/>
          <w:sz w:val="24"/>
          <w:lang w:val="fr-FR"/>
        </w:rPr>
        <w:footnoteReference w:id="17"/>
      </w:r>
      <w:r w:rsidRPr="000217C0">
        <w:rPr>
          <w:rFonts w:ascii="Century" w:hAnsi="Century"/>
          <w:lang w:val="fr-FR"/>
        </w:rPr>
        <w:t xml:space="preserve"> et déjà auparavant, en 2007 pendant six mois de négociation infructueuse et en 2010-2011 quand il a fallu un an et demi pour engendrer la sixième réforme de l’État. Et c’est bien l’évaporation de ce désir qui pourrait conduire l’État vers de nouvelles réformes institutionnelles propres à le réduire à une coquille vide. Cette perspective n’a rien de théorique tant il est vrai que chaque réforme de l’État porte dans ses flancs les germes de la suivante et que la sixième de 2011-2012 en appelle donc une septième</w:t>
      </w:r>
      <w:r>
        <w:rPr>
          <w:rStyle w:val="Appelnotedebasdep"/>
          <w:rFonts w:ascii="Century" w:hAnsi="Century"/>
          <w:sz w:val="24"/>
          <w:lang w:val="fr-FR"/>
        </w:rPr>
        <w:footnoteReference w:id="18"/>
      </w:r>
      <w:r w:rsidRPr="000217C0">
        <w:rPr>
          <w:rFonts w:ascii="Century" w:hAnsi="Century"/>
          <w:lang w:val="fr-FR"/>
        </w:rPr>
        <w:t xml:space="preserve"> d’ores et déjà programmée pour 2024 dans l’accord du gouvernement De Croo. </w:t>
      </w:r>
    </w:p>
    <w:p w14:paraId="00ECC8C3" w14:textId="77777777" w:rsidR="00FE5D46" w:rsidRPr="000217C0" w:rsidRDefault="00000000">
      <w:pPr>
        <w:ind w:left="567" w:right="567"/>
        <w:jc w:val="both"/>
        <w:rPr>
          <w:rFonts w:ascii="Century" w:hAnsi="Century"/>
          <w:lang w:val="fr-FR"/>
        </w:rPr>
      </w:pPr>
      <w:r w:rsidRPr="000217C0">
        <w:rPr>
          <w:rFonts w:ascii="Century" w:hAnsi="Century"/>
          <w:lang w:val="fr-FR"/>
        </w:rPr>
        <w:t xml:space="preserve">Le fédéralisme belge construit pas à pas depuis 1970 ne serait qu’une forme de séparatisme à crans d’arrêt s’il n’était pas capable de se ressourcer dans un projet refondateur. Les idées ne manquent pas pour donner à ce projet une consistance satisfaisante, mais l’option inverse en direction d’un confédéralisme-antichambre du divorce est aussi sur la table, la N-VA ayant </w:t>
      </w:r>
      <w:r w:rsidRPr="000217C0">
        <w:rPr>
          <w:rFonts w:ascii="Century" w:hAnsi="Century"/>
          <w:lang w:val="fr-FR"/>
        </w:rPr>
        <w:lastRenderedPageBreak/>
        <w:t>eu le mérite d’en avoir proposé une version relativement construite</w:t>
      </w:r>
      <w:r>
        <w:rPr>
          <w:rStyle w:val="Appelnotedebasdep"/>
          <w:rFonts w:ascii="Century" w:hAnsi="Century"/>
          <w:sz w:val="24"/>
          <w:lang w:val="fr-FR"/>
        </w:rPr>
        <w:footnoteReference w:id="19"/>
      </w:r>
      <w:r w:rsidRPr="000217C0">
        <w:rPr>
          <w:rFonts w:ascii="Century" w:hAnsi="Century"/>
          <w:lang w:val="fr-FR"/>
        </w:rPr>
        <w:t>. La question essentielle à nos yeux est alors de mettre les Belges en mesure de choisir en pleine conscience entre ces deux options. Nous défendons à cet égard une proposition sans doute audacieuse, mais appropriée pour sortir des impasses où notre régime est en train de s’enfoncer. Cette proposition a aussi le mérite de s’attaquer à la principale cause de la longueur des processus de formation des derniers gouvernements</w:t>
      </w:r>
      <w:r>
        <w:rPr>
          <w:rStyle w:val="Appelnotedebasdep"/>
          <w:rFonts w:ascii="Century" w:hAnsi="Century"/>
          <w:sz w:val="24"/>
          <w:lang w:val="fr-FR"/>
        </w:rPr>
        <w:footnoteReference w:id="20"/>
      </w:r>
      <w:r w:rsidRPr="000217C0">
        <w:rPr>
          <w:rFonts w:ascii="Century" w:hAnsi="Century"/>
          <w:lang w:val="fr-FR"/>
        </w:rPr>
        <w:t xml:space="preserve">. </w:t>
      </w:r>
    </w:p>
    <w:p w14:paraId="09362828" w14:textId="66778A1A" w:rsidR="00FE5D46" w:rsidRPr="000217C0" w:rsidRDefault="00000000" w:rsidP="00C47D72">
      <w:pPr>
        <w:pStyle w:val="Titre1"/>
      </w:pPr>
      <w:bookmarkStart w:id="6" w:name="_Toc132791630"/>
      <w:bookmarkStart w:id="7" w:name="_Toc132791726"/>
      <w:r w:rsidRPr="000217C0">
        <w:t>Un remède proc</w:t>
      </w:r>
      <w:r w:rsidR="00C47D72" w:rsidRPr="000217C0">
        <w:t>é</w:t>
      </w:r>
      <w:r w:rsidRPr="000217C0">
        <w:t>dural à la hauteur de la cause</w:t>
      </w:r>
      <w:bookmarkEnd w:id="6"/>
      <w:bookmarkEnd w:id="7"/>
      <w:r w:rsidR="00C3078E" w:rsidRPr="000217C0">
        <w:t xml:space="preserve"> principale</w:t>
      </w:r>
    </w:p>
    <w:p w14:paraId="7DAF3A74" w14:textId="77777777" w:rsidR="00FE5D46" w:rsidRPr="000217C0" w:rsidRDefault="00FE5D46">
      <w:pPr>
        <w:autoSpaceDE w:val="0"/>
        <w:autoSpaceDN w:val="0"/>
        <w:adjustRightInd w:val="0"/>
        <w:spacing w:after="0"/>
        <w:ind w:left="567" w:right="567"/>
        <w:jc w:val="both"/>
        <w:rPr>
          <w:rFonts w:ascii="Century" w:hAnsi="Century"/>
          <w:lang w:val="fr-FR"/>
        </w:rPr>
      </w:pPr>
    </w:p>
    <w:p w14:paraId="46626F9F" w14:textId="3D936525" w:rsidR="00FE5D46" w:rsidRPr="000217C0" w:rsidRDefault="00000000">
      <w:pPr>
        <w:autoSpaceDE w:val="0"/>
        <w:autoSpaceDN w:val="0"/>
        <w:adjustRightInd w:val="0"/>
        <w:ind w:left="567" w:right="567"/>
        <w:jc w:val="both"/>
        <w:rPr>
          <w:rFonts w:ascii="Century" w:hAnsi="Century"/>
          <w:lang w:val="fr-BE"/>
        </w:rPr>
      </w:pPr>
      <w:r w:rsidRPr="000217C0">
        <w:rPr>
          <w:rFonts w:ascii="Century" w:hAnsi="Century"/>
          <w:lang w:val="fr-BE"/>
        </w:rPr>
        <w:t>Concrètement, il s’agirait de mettre en place une procédure qui déconnecterait la formation des gouvernements et les réformes institutionnelles</w:t>
      </w:r>
      <w:r>
        <w:rPr>
          <w:rStyle w:val="Appelnotedebasdep"/>
          <w:rFonts w:ascii="Century" w:hAnsi="Century"/>
          <w:lang w:val="fr-BE"/>
        </w:rPr>
        <w:footnoteReference w:id="21"/>
      </w:r>
      <w:r w:rsidRPr="000217C0">
        <w:rPr>
          <w:rFonts w:ascii="Century" w:hAnsi="Century"/>
          <w:lang w:val="fr-BE"/>
        </w:rPr>
        <w:t xml:space="preserve">, tout en rendant celles-ci négociables dans des conditions dignes d’un travail de qualité à la fois sur le plan technique et sur le plan démocratique. Au lieu d’être négociées dans l’urgence par les délégations de quelques présidents de parti sous la pression de l’horloge qui décompte les jours sans gouvernement de plein exercice, ces réformes seraient débattues et décidées publiquement dans une assemblée </w:t>
      </w:r>
      <w:r w:rsidRPr="000217C0">
        <w:rPr>
          <w:rFonts w:ascii="Century" w:hAnsi="Century"/>
          <w:i/>
          <w:lang w:val="fr-BE"/>
        </w:rPr>
        <w:t>ad hoc</w:t>
      </w:r>
      <w:r w:rsidRPr="000217C0">
        <w:rPr>
          <w:rFonts w:ascii="Century" w:hAnsi="Century"/>
          <w:lang w:val="fr-BE"/>
        </w:rPr>
        <w:t xml:space="preserve"> dotée du pouvoir constituant originaire, c’est-à-dire du pouvoir de refaire une toute nouvelle Constitution ou de faire disparaître l’Etat belge. Cette assemblée constituante serait composée à la suite d’une élection exceptionnelle dont l’unique enjeu serait de permettre aux électeurs de sélectionner des partis et des personnalités en qui ils ont confiance pour décider de l’avenir de l’Etat. En dehors du Parlement qui demeurerait en charge de légiférer et de contrôler le gouvernement sur les questions ordinaires de la vie publique, cette assemblée constituante débattrait de toutes les hypothèses sans tabou. </w:t>
      </w:r>
    </w:p>
    <w:p w14:paraId="2B5ACEDB" w14:textId="77777777" w:rsidR="00FE5D46" w:rsidRPr="000217C0" w:rsidRDefault="00000000">
      <w:pPr>
        <w:autoSpaceDE w:val="0"/>
        <w:autoSpaceDN w:val="0"/>
        <w:adjustRightInd w:val="0"/>
        <w:ind w:left="567" w:right="567"/>
        <w:jc w:val="both"/>
        <w:rPr>
          <w:rFonts w:ascii="Century" w:hAnsi="Century"/>
          <w:lang w:val="fr-FR"/>
        </w:rPr>
      </w:pPr>
      <w:r w:rsidRPr="000217C0">
        <w:rPr>
          <w:rFonts w:ascii="Century" w:hAnsi="Century"/>
          <w:lang w:val="fr-FR"/>
        </w:rPr>
        <w:t>Le principal avantage de cette formule de découplage</w:t>
      </w:r>
      <w:r>
        <w:rPr>
          <w:rStyle w:val="Appelnotedebasdep"/>
          <w:rFonts w:ascii="Century" w:hAnsi="Century"/>
          <w:sz w:val="24"/>
          <w:lang w:val="fr-FR"/>
        </w:rPr>
        <w:footnoteReference w:id="22"/>
      </w:r>
      <w:r w:rsidRPr="000217C0">
        <w:rPr>
          <w:rFonts w:ascii="Century" w:hAnsi="Century"/>
          <w:lang w:val="fr-FR"/>
        </w:rPr>
        <w:t xml:space="preserve"> serait à la fois qu’elle ouvre les portes du débat institutionnel le plus large, sans aucune exclusive, et qu’elle prémunit contre le chantage </w:t>
      </w:r>
      <w:r w:rsidRPr="000217C0">
        <w:rPr>
          <w:rFonts w:ascii="Century" w:hAnsi="Century"/>
          <w:lang w:val="fr-BE"/>
        </w:rPr>
        <w:t>consistant pour certains partis à conditionner la formation du gouvernement à des réformes institutionnelles à négocier dans l’urgence</w:t>
      </w:r>
      <w:r w:rsidRPr="000217C0">
        <w:rPr>
          <w:rFonts w:ascii="Century" w:hAnsi="Century"/>
          <w:lang w:val="fr-FR"/>
        </w:rPr>
        <w:t xml:space="preserve">. </w:t>
      </w:r>
      <w:r w:rsidRPr="000217C0">
        <w:rPr>
          <w:rFonts w:ascii="Century" w:hAnsi="Century"/>
          <w:lang w:val="fr-BE"/>
        </w:rPr>
        <w:t xml:space="preserve">Au terme de ce débat, moyennant le respect des quorums prévus actuellement pour l’adoption des lois spéciales (article 4 de la Constitution), cette assemblée constituante serait habilitée à prendre en toute souveraineté les décisions jugées praticables et légitimes, moyennant si possible un référendum de ratification, en ce compris les plus radicales qui </w:t>
      </w:r>
      <w:r w:rsidRPr="000217C0">
        <w:rPr>
          <w:rFonts w:ascii="Century" w:hAnsi="Century"/>
          <w:lang w:val="fr-BE"/>
        </w:rPr>
        <w:lastRenderedPageBreak/>
        <w:t xml:space="preserve">peuvent aller jusqu’à la « déconstitution » de l’État ou sa « reconstitution » sur des bases nouvelles. </w:t>
      </w:r>
    </w:p>
    <w:p w14:paraId="08EFB24C" w14:textId="1C4FEF5B" w:rsidR="00FE5D46" w:rsidRPr="000217C0" w:rsidRDefault="00000000">
      <w:pPr>
        <w:ind w:left="567" w:right="567"/>
        <w:jc w:val="both"/>
        <w:rPr>
          <w:rFonts w:ascii="Century" w:hAnsi="Century"/>
          <w:lang w:val="fr-BE"/>
        </w:rPr>
      </w:pPr>
      <w:r w:rsidRPr="000217C0">
        <w:rPr>
          <w:rFonts w:ascii="Century" w:hAnsi="Century"/>
          <w:lang w:val="fr-BE"/>
        </w:rPr>
        <w:t>Nous avons répondu dans une étude à laquelle nous nous permettons de renvoyer aux objections juridiques qui peuvent être avancées contre la licéité de cette procédure par définition exceptionnelle</w:t>
      </w:r>
      <w:r>
        <w:rPr>
          <w:rStyle w:val="Appelnotedebasdep"/>
          <w:rFonts w:ascii="Century" w:hAnsi="Century"/>
          <w:sz w:val="24"/>
        </w:rPr>
        <w:footnoteReference w:id="23"/>
      </w:r>
      <w:r w:rsidRPr="000217C0">
        <w:rPr>
          <w:rFonts w:ascii="Century" w:hAnsi="Century"/>
          <w:lang w:val="fr-BE"/>
        </w:rPr>
        <w:t xml:space="preserve">. Il nous semble en tout cas qu’entrer dans une nouvelle crise interminable, comme on peut le prévoir en 2024 </w:t>
      </w:r>
      <w:r w:rsidR="00E66112" w:rsidRPr="000217C0">
        <w:rPr>
          <w:rFonts w:ascii="Century" w:hAnsi="Century"/>
          <w:lang w:val="fr-BE"/>
        </w:rPr>
        <w:t xml:space="preserve">ou </w:t>
      </w:r>
      <w:r w:rsidRPr="000217C0">
        <w:rPr>
          <w:rFonts w:ascii="Century" w:hAnsi="Century"/>
          <w:lang w:val="fr-BE"/>
        </w:rPr>
        <w:t xml:space="preserve">plus tard, conduisant au mieux à un nouveau compromis opaque, provisoire et dysfonctionnel, ce serait priver les citoyens du pouvoir de délibérer en toute conscience de l’avenir de leur communauté politique. Ce serait alimenter la thèse que cet État est voué à un phénomène d’évaporation sans que l’on sache si la majorité de ses citoyens, d’un côté comme de l’autre de la frontière linguistique, est disposée à s’en accommoder. Au moins depuis 1991, à chaque élection, l’on entend des électeurs qui ont voté pour des partis séparatistes justifier leurs votes en fonction d’un motif étranger à cet objectif indépendantiste. Un jour, ne faudrait-il pas leur demander d’élire des représentants dont l’unique mandat sera de délibérer et de statuer en toute conscience sur les structures de l’État, leur pouvoir comprenant celui d’organiser, </w:t>
      </w:r>
      <w:r w:rsidRPr="000217C0">
        <w:rPr>
          <w:rFonts w:ascii="Century" w:hAnsi="Century"/>
          <w:lang w:val="fr-FR"/>
        </w:rPr>
        <w:t xml:space="preserve">le cas échéant, </w:t>
      </w:r>
      <w:r w:rsidRPr="000217C0">
        <w:rPr>
          <w:rFonts w:ascii="Century" w:hAnsi="Century"/>
          <w:lang w:val="fr-BE"/>
        </w:rPr>
        <w:t xml:space="preserve">un « bon » divorce </w:t>
      </w:r>
      <w:r w:rsidRPr="000217C0">
        <w:rPr>
          <w:rFonts w:ascii="Century" w:hAnsi="Century"/>
          <w:lang w:val="fr-FR"/>
        </w:rPr>
        <w:t xml:space="preserve">– </w:t>
      </w:r>
      <w:r w:rsidRPr="000217C0">
        <w:rPr>
          <w:rFonts w:ascii="Century" w:hAnsi="Century"/>
          <w:lang w:val="fr-BE"/>
        </w:rPr>
        <w:t xml:space="preserve">ou le moins mauvais des divorces possibles dans la conscience de tous les obstacles qui s’opposent à cette solution ? Refuser d’envisager très sérieusement cette piste au nom d’un acte de foi dans le pragmatisme légendaire des Belges qui ne ferait qu’occulter la stratégie de l’évaporation, ne serait-ce pas une imprudence et une faute contre la démocratie ? </w:t>
      </w:r>
    </w:p>
    <w:p w14:paraId="51949B1C" w14:textId="77777777" w:rsidR="00FE5D46" w:rsidRPr="000217C0" w:rsidRDefault="00000000">
      <w:pPr>
        <w:ind w:left="567" w:right="567"/>
        <w:jc w:val="both"/>
        <w:rPr>
          <w:rFonts w:ascii="Century" w:hAnsi="Century"/>
          <w:lang w:val="fr-BE"/>
        </w:rPr>
      </w:pPr>
      <w:r w:rsidRPr="000217C0">
        <w:rPr>
          <w:rFonts w:ascii="Century" w:hAnsi="Century"/>
          <w:lang w:val="fr-BE"/>
        </w:rPr>
        <w:t xml:space="preserve">L’ouverture à révision de l’article 195 devrait permettre, à nos yeux, à la fois d’améliorer la procédure qu’elle régit et d’instituer une passerelle vers la résurrection d’un pouvoir constituant originaire incarné par une assemblée </w:t>
      </w:r>
      <w:r w:rsidRPr="000217C0">
        <w:rPr>
          <w:rFonts w:ascii="Century" w:hAnsi="Century"/>
          <w:i/>
          <w:lang w:val="fr-BE"/>
        </w:rPr>
        <w:t>ad hoc</w:t>
      </w:r>
      <w:r w:rsidRPr="000217C0">
        <w:rPr>
          <w:rFonts w:ascii="Century" w:hAnsi="Century"/>
          <w:lang w:val="fr-BE"/>
        </w:rPr>
        <w:t xml:space="preserve"> spécialement élue à cette fin. Ainsi, la technique du chantage utilisée par certains partis tout au long des crises de 2007 et 2010-2011 consistant à conditionner la formation du gouvernement à de nouveaux transferts de compétences vers les entités fédérées serait exclue de cette manière. Les prochaines réformes institutionnelles ne seraient pas bâclées au lendemain des élections dans une négociation interminable visant à former une nouvelle majorité. Elles seraient délibérées dans une enceinte distincte des chambres législatives. </w:t>
      </w:r>
    </w:p>
    <w:p w14:paraId="4D0F529E" w14:textId="77777777" w:rsidR="00FE5D46" w:rsidRPr="000217C0" w:rsidRDefault="00000000">
      <w:pPr>
        <w:ind w:left="567" w:right="567"/>
        <w:jc w:val="both"/>
        <w:rPr>
          <w:rFonts w:ascii="Century" w:hAnsi="Century"/>
          <w:lang w:val="fr-BE"/>
        </w:rPr>
      </w:pPr>
      <w:r w:rsidRPr="000217C0">
        <w:rPr>
          <w:rFonts w:ascii="Century" w:hAnsi="Century"/>
          <w:lang w:val="fr-BE"/>
        </w:rPr>
        <w:t xml:space="preserve">Même si notre proposition est audacieuse parce qu’elle sort des « sentiers de dépendance » habituels, elle nous semble la plus raisonnable et la plus conforme aux exigences de la démocratie. </w:t>
      </w:r>
    </w:p>
    <w:p w14:paraId="5FE1623F" w14:textId="77777777" w:rsidR="00FE5D46" w:rsidRPr="000217C0" w:rsidRDefault="00000000">
      <w:pPr>
        <w:ind w:left="567" w:right="567"/>
        <w:jc w:val="both"/>
        <w:rPr>
          <w:rFonts w:ascii="Century" w:hAnsi="Century"/>
          <w:lang w:val="fr-BE"/>
        </w:rPr>
      </w:pPr>
      <w:r w:rsidRPr="000217C0">
        <w:rPr>
          <w:rFonts w:ascii="Century" w:hAnsi="Century"/>
          <w:lang w:val="fr-BE"/>
        </w:rPr>
        <w:t xml:space="preserve">A côté de ce remède radical, d’autres remèdes méritent l’attention. Nous les examinons à présent. </w:t>
      </w:r>
    </w:p>
    <w:p w14:paraId="6482E579" w14:textId="018930BA" w:rsidR="00FE5D46" w:rsidRPr="000217C0" w:rsidRDefault="00000000" w:rsidP="00C47D72">
      <w:pPr>
        <w:pStyle w:val="Titre1"/>
      </w:pPr>
      <w:bookmarkStart w:id="8" w:name="_Toc132791631"/>
      <w:bookmarkStart w:id="9" w:name="_Toc132791727"/>
      <w:r w:rsidRPr="000217C0">
        <w:lastRenderedPageBreak/>
        <w:t>Évaluation d</w:t>
      </w:r>
      <w:r w:rsidR="00C3078E" w:rsidRPr="000217C0">
        <w:t xml:space="preserve">es </w:t>
      </w:r>
      <w:r w:rsidRPr="000217C0">
        <w:t>autres remèdes</w:t>
      </w:r>
      <w:bookmarkEnd w:id="8"/>
      <w:bookmarkEnd w:id="9"/>
      <w:r w:rsidRPr="000217C0">
        <w:t xml:space="preserve"> </w:t>
      </w:r>
      <w:r w:rsidR="00C3078E" w:rsidRPr="000217C0">
        <w:t>envisageables</w:t>
      </w:r>
    </w:p>
    <w:p w14:paraId="0CAA43F4" w14:textId="77777777" w:rsidR="00FE5D46" w:rsidRPr="000217C0" w:rsidRDefault="00FE5D46">
      <w:pPr>
        <w:pStyle w:val="Paragraphedeliste"/>
        <w:ind w:left="567" w:right="567"/>
        <w:jc w:val="both"/>
        <w:rPr>
          <w:rFonts w:ascii="Century" w:hAnsi="Century"/>
          <w:b/>
        </w:rPr>
      </w:pPr>
    </w:p>
    <w:p w14:paraId="7AFD97D1" w14:textId="77777777" w:rsidR="00FE5D46" w:rsidRPr="000217C0" w:rsidRDefault="00000000">
      <w:pPr>
        <w:ind w:left="567" w:right="567"/>
        <w:jc w:val="both"/>
        <w:rPr>
          <w:rFonts w:ascii="Century" w:hAnsi="Century"/>
          <w:lang w:val="fr-BE"/>
        </w:rPr>
      </w:pPr>
      <w:r w:rsidRPr="000217C0">
        <w:rPr>
          <w:rFonts w:ascii="Century" w:hAnsi="Century"/>
          <w:lang w:val="fr-BE"/>
        </w:rPr>
        <w:t xml:space="preserve">Avant d’envisager les autres remèdes possibles à la longueur des périodes de formation des gouvernements fédéraux, il convient sans doute de s’entendre sur les objectifs que l’on peut assigner aux règles qui encadrent cette formation. La rapidité de celle-ci n’est pas un objectif en soi. Il faut tout au plus se soucier d’éviter une longueur excessive et imaginer des mécanismes appropriés à cette fin. Ces règles devraient d’abord avoir pour objectif de favoriser la mise sur pied de gouvernements démocratiquement légitimes, stables et capables de prendre des décisions cohérentes, respectueuses de la légalité et animées par la recherche de l’intérêt général. </w:t>
      </w:r>
    </w:p>
    <w:p w14:paraId="6DB62542" w14:textId="5A9C117C" w:rsidR="00FE5D46" w:rsidRPr="000217C0" w:rsidRDefault="00000000">
      <w:pPr>
        <w:ind w:left="567" w:right="567"/>
        <w:jc w:val="both"/>
        <w:rPr>
          <w:rFonts w:ascii="Century" w:hAnsi="Century"/>
          <w:lang w:val="fr-BE"/>
        </w:rPr>
      </w:pPr>
      <w:r w:rsidRPr="000217C0">
        <w:rPr>
          <w:rFonts w:ascii="Century" w:hAnsi="Century"/>
          <w:lang w:val="fr-BE"/>
        </w:rPr>
        <w:t>Un deuxième avertissement préalable mérite encore d’être fait à propos des limites du droit dans un domaine aussi tributaire des rapports de forces politiques. Jusqu’où gagne-t-on à contraindre les acteurs politiques par des règles de fond et de forme ? Nous connaissons les règles constitutionnelles actuelles. Elles sont peu nombreuses dans la Constitution</w:t>
      </w:r>
      <w:r>
        <w:rPr>
          <w:rStyle w:val="Appelnotedebasdep"/>
          <w:rFonts w:ascii="Century" w:hAnsi="Century"/>
          <w:sz w:val="24"/>
        </w:rPr>
        <w:footnoteReference w:id="24"/>
      </w:r>
      <w:r w:rsidRPr="000217C0">
        <w:rPr>
          <w:rFonts w:ascii="Century" w:hAnsi="Century"/>
          <w:lang w:val="fr-BE"/>
        </w:rPr>
        <w:t xml:space="preserve"> et dans le règlement de la Chambre. Elles sont surtout de nature coutumière ou elles relèvent de simples usages. Qu’elles laissent beaucoup de liberté aux négociateurs n’est pas nécessairement un mal. Une procéduralisation rigide de la formation des gouvernements pourrait faire plus de tort que de bien. Ce n’est sans doute pas par hasard si « le processus de constitution d’un nouveau gouvernement est, dans la plupart des pays européens, un processus peu institutionnalisé »</w:t>
      </w:r>
      <w:r>
        <w:rPr>
          <w:rStyle w:val="Appelnotedebasdep"/>
          <w:rFonts w:ascii="Century" w:hAnsi="Century"/>
          <w:sz w:val="24"/>
        </w:rPr>
        <w:footnoteReference w:id="25"/>
      </w:r>
      <w:r w:rsidRPr="000217C0">
        <w:rPr>
          <w:rFonts w:ascii="Century" w:hAnsi="Century"/>
          <w:lang w:val="fr-BE"/>
        </w:rPr>
        <w:t>. On ne devrait donc modifier les règles en vigueur qu’avec la plus extrême prudence. Lors des auditions du 21 septembre 2022, les politologues Jeremy Dodeigne et Min Reuchamp ont eu raison de mettre en garde contre les effets pervers que de nouvelles règles animées des meilleures intentions p</w:t>
      </w:r>
      <w:r w:rsidR="00A96390" w:rsidRPr="000217C0">
        <w:rPr>
          <w:rFonts w:ascii="Century" w:hAnsi="Century"/>
          <w:lang w:val="fr-BE"/>
        </w:rPr>
        <w:t xml:space="preserve">ourraient </w:t>
      </w:r>
      <w:r w:rsidRPr="000217C0">
        <w:rPr>
          <w:rFonts w:ascii="Century" w:hAnsi="Century"/>
          <w:lang w:val="fr-BE"/>
        </w:rPr>
        <w:t>produire. Elles sont susceptibles d’être détournées de leurs objectifs initiaux et utilisées à des fins très partisanes. Avec Danielle Rojas, on ne peut que constater que « la période de formation du gouvernement est un moment de rencontre entre un acte éminemment politique constitué par l’élection de représentants et un acte juridique, celui de la nomination d’un gouvernement. Elle reste un champ ouvert à l’expérimentation, un défi à l’encadrement juridique, où la réglementation s’avère délicate et peut constituer autant un frein qu’un moteur »</w:t>
      </w:r>
      <w:r>
        <w:rPr>
          <w:rStyle w:val="Appelnotedebasdep"/>
          <w:rFonts w:ascii="Century" w:hAnsi="Century"/>
          <w:sz w:val="24"/>
        </w:rPr>
        <w:footnoteReference w:id="26"/>
      </w:r>
      <w:r w:rsidRPr="000217C0">
        <w:rPr>
          <w:rFonts w:ascii="Century" w:hAnsi="Century"/>
          <w:lang w:val="fr-BE"/>
        </w:rPr>
        <w:t xml:space="preserve">. </w:t>
      </w:r>
    </w:p>
    <w:p w14:paraId="07C10211" w14:textId="77777777" w:rsidR="00FE5D46" w:rsidRPr="000217C0" w:rsidRDefault="00000000">
      <w:pPr>
        <w:ind w:left="567" w:right="567"/>
        <w:jc w:val="both"/>
        <w:rPr>
          <w:rFonts w:ascii="Century" w:hAnsi="Century"/>
          <w:lang w:val="fr-BE"/>
        </w:rPr>
      </w:pPr>
      <w:r w:rsidRPr="000217C0">
        <w:rPr>
          <w:rFonts w:ascii="Century" w:hAnsi="Century"/>
          <w:lang w:val="fr-BE"/>
        </w:rPr>
        <w:t xml:space="preserve">Enfin, un troisième avertissement préalable concerne encore les limites du recours au droit comparé. Chaque Etat a ses particularités et on ne peut pas importer des solutions étrangères sans les prendre en compte. Ainsi, en Commission du 21 septembre 2022, certains intervenants ont évoqué avec faveur les règles du jeu qui sont pratiquées en Suisse en oubliant que ce pays </w:t>
      </w:r>
      <w:r w:rsidRPr="000217C0">
        <w:rPr>
          <w:rFonts w:ascii="Century" w:hAnsi="Century"/>
          <w:lang w:val="fr-BE"/>
        </w:rPr>
        <w:lastRenderedPageBreak/>
        <w:t xml:space="preserve">n’a pas adopté un régime parlementaire comme le nôtre caractérisé par la responsabilité ministérielle devant la Chambre (articles 101, 102 et 106 de la Constitution), mais un régime directorial où les rapports entre les pouvoirs législatif et exécutif se caractérisent par une irrévocabilité mutuelle. En Suisse, l’assemblée législative qui élit les membres du gouvernement ne peut pas en provoquer la démission, et inversement, le gouvernement ne peut pas dissoudre le Parlement. Ce régime directorial se combine en outre avec un recours assez systématique aux techniques de la démocratie directe. La transposition des règles helvétiques ne serait donc pas envisageable sans une véritable révolution de notre système constitutionnel et politique. Cela ne veut pas dire que cette révolution serait à exclure. Mais elle n’est pas concevable sans des échanges et un temps de réflexion approfondis. </w:t>
      </w:r>
    </w:p>
    <w:p w14:paraId="1278F037" w14:textId="3057A21B" w:rsidR="00FE5D46" w:rsidRPr="000217C0" w:rsidRDefault="00000000">
      <w:pPr>
        <w:ind w:left="567" w:right="567"/>
        <w:jc w:val="both"/>
        <w:rPr>
          <w:rFonts w:ascii="Century" w:hAnsi="Century"/>
          <w:lang w:val="fr-BE"/>
        </w:rPr>
      </w:pPr>
      <w:r w:rsidRPr="000217C0">
        <w:rPr>
          <w:rFonts w:ascii="Century" w:hAnsi="Century"/>
          <w:lang w:val="fr-BE"/>
        </w:rPr>
        <w:t>Forts de ces remarques préalables, nous allons successivement envisager dix pistes</w:t>
      </w:r>
      <w:r w:rsidR="003D5789" w:rsidRPr="000217C0">
        <w:rPr>
          <w:rFonts w:ascii="Century" w:hAnsi="Century"/>
          <w:lang w:val="fr-BE"/>
        </w:rPr>
        <w:t> :</w:t>
      </w:r>
      <w:r w:rsidRPr="000217C0">
        <w:rPr>
          <w:rFonts w:ascii="Century" w:hAnsi="Century"/>
          <w:lang w:val="fr-BE"/>
        </w:rPr>
        <w:t xml:space="preserve">un mode de scrutin moins proportionnel (A) ; </w:t>
      </w:r>
      <w:r w:rsidR="0011291F" w:rsidRPr="000217C0">
        <w:rPr>
          <w:rFonts w:ascii="Century" w:hAnsi="Century"/>
          <w:lang w:val="fr-BE"/>
        </w:rPr>
        <w:t xml:space="preserve">la mise en place d’une variante de vote préférentiel (B) ; </w:t>
      </w:r>
      <w:r w:rsidRPr="000217C0">
        <w:rPr>
          <w:rFonts w:ascii="Century" w:hAnsi="Century"/>
          <w:lang w:val="fr-BE"/>
        </w:rPr>
        <w:t>une circonscription électorale fédérale (</w:t>
      </w:r>
      <w:r w:rsidR="0011291F" w:rsidRPr="000217C0">
        <w:rPr>
          <w:rFonts w:ascii="Century" w:hAnsi="Century"/>
          <w:lang w:val="fr-BE"/>
        </w:rPr>
        <w:t>C</w:t>
      </w:r>
      <w:r w:rsidRPr="000217C0">
        <w:rPr>
          <w:rFonts w:ascii="Century" w:hAnsi="Century"/>
          <w:lang w:val="fr-BE"/>
        </w:rPr>
        <w:t>) ; une désynchronisation des élections fédérales et régionales (</w:t>
      </w:r>
      <w:r w:rsidR="0011291F" w:rsidRPr="000217C0">
        <w:rPr>
          <w:rFonts w:ascii="Century" w:hAnsi="Century"/>
          <w:lang w:val="fr-BE"/>
        </w:rPr>
        <w:t>D</w:t>
      </w:r>
      <w:r w:rsidRPr="000217C0">
        <w:rPr>
          <w:rFonts w:ascii="Century" w:hAnsi="Century"/>
          <w:lang w:val="fr-BE"/>
        </w:rPr>
        <w:t>) ; une parlementarisation du processus (</w:t>
      </w:r>
      <w:r w:rsidR="0011291F" w:rsidRPr="000217C0">
        <w:rPr>
          <w:rFonts w:ascii="Century" w:hAnsi="Century"/>
          <w:lang w:val="fr-BE"/>
        </w:rPr>
        <w:t>E</w:t>
      </w:r>
      <w:r w:rsidRPr="000217C0">
        <w:rPr>
          <w:rFonts w:ascii="Century" w:hAnsi="Century"/>
          <w:lang w:val="fr-BE"/>
        </w:rPr>
        <w:t>) ; une banalisation des gouvernements minoritaires (</w:t>
      </w:r>
      <w:r w:rsidR="0011291F" w:rsidRPr="000217C0">
        <w:rPr>
          <w:rFonts w:ascii="Century" w:hAnsi="Century"/>
          <w:lang w:val="fr-BE"/>
        </w:rPr>
        <w:t>F</w:t>
      </w:r>
      <w:r w:rsidRPr="000217C0">
        <w:rPr>
          <w:rFonts w:ascii="Century" w:hAnsi="Century"/>
          <w:lang w:val="fr-BE"/>
        </w:rPr>
        <w:t>) ; des délais dont le dépassement provoquerait soit le déclenchement de nouvelles élections (</w:t>
      </w:r>
      <w:r w:rsidR="0011291F" w:rsidRPr="000217C0">
        <w:rPr>
          <w:rFonts w:ascii="Century" w:hAnsi="Century"/>
          <w:lang w:val="fr-BE"/>
        </w:rPr>
        <w:t>G</w:t>
      </w:r>
      <w:r w:rsidRPr="000217C0">
        <w:rPr>
          <w:rFonts w:ascii="Century" w:hAnsi="Century"/>
          <w:lang w:val="fr-BE"/>
        </w:rPr>
        <w:t>), soit une diminution de la dotation accordée aux partis (</w:t>
      </w:r>
      <w:r w:rsidR="0011291F" w:rsidRPr="000217C0">
        <w:rPr>
          <w:rFonts w:ascii="Century" w:hAnsi="Century"/>
          <w:lang w:val="fr-BE"/>
        </w:rPr>
        <w:t>H</w:t>
      </w:r>
      <w:r w:rsidRPr="000217C0">
        <w:rPr>
          <w:rFonts w:ascii="Century" w:hAnsi="Century"/>
          <w:lang w:val="fr-BE"/>
        </w:rPr>
        <w:t>), soit la mise sur pied de certaines coalitions automatiques (</w:t>
      </w:r>
      <w:r w:rsidR="0011291F" w:rsidRPr="000217C0">
        <w:rPr>
          <w:rFonts w:ascii="Century" w:hAnsi="Century"/>
          <w:lang w:val="fr-BE"/>
        </w:rPr>
        <w:t>I</w:t>
      </w:r>
      <w:r w:rsidRPr="000217C0">
        <w:rPr>
          <w:rFonts w:ascii="Century" w:hAnsi="Century"/>
          <w:lang w:val="fr-BE"/>
        </w:rPr>
        <w:t>), soit encore une réduction du périmètre des affaires courantes (</w:t>
      </w:r>
      <w:r w:rsidR="0011291F" w:rsidRPr="000217C0">
        <w:rPr>
          <w:rFonts w:ascii="Century" w:hAnsi="Century"/>
          <w:lang w:val="fr-BE"/>
        </w:rPr>
        <w:t>J</w:t>
      </w:r>
      <w:r w:rsidRPr="000217C0">
        <w:rPr>
          <w:rFonts w:ascii="Century" w:hAnsi="Century"/>
          <w:lang w:val="fr-BE"/>
        </w:rPr>
        <w:t>)</w:t>
      </w:r>
      <w:r w:rsidR="00D71331" w:rsidRPr="000217C0">
        <w:rPr>
          <w:rFonts w:ascii="Century" w:hAnsi="Century"/>
          <w:lang w:val="fr-BE"/>
        </w:rPr>
        <w:t>.</w:t>
      </w:r>
    </w:p>
    <w:p w14:paraId="44A41DA3" w14:textId="77777777" w:rsidR="00FE5D46" w:rsidRPr="000217C0" w:rsidRDefault="00000000" w:rsidP="00C47D72">
      <w:pPr>
        <w:pStyle w:val="Titre2"/>
      </w:pPr>
      <w:bookmarkStart w:id="10" w:name="_Toc132791632"/>
      <w:bookmarkStart w:id="11" w:name="_Toc132791728"/>
      <w:r w:rsidRPr="000217C0">
        <w:t>Première piste : un mode de scrutin moins proportionnel</w:t>
      </w:r>
      <w:bookmarkEnd w:id="10"/>
      <w:bookmarkEnd w:id="11"/>
    </w:p>
    <w:p w14:paraId="6711BDC5" w14:textId="77777777" w:rsidR="00FE5D46" w:rsidRPr="000217C0" w:rsidRDefault="00FE5D46">
      <w:pPr>
        <w:pStyle w:val="Paragraphedeliste"/>
        <w:ind w:left="567" w:right="567"/>
        <w:jc w:val="both"/>
        <w:rPr>
          <w:rFonts w:ascii="Century" w:hAnsi="Century"/>
          <w:i/>
          <w:sz w:val="22"/>
          <w:szCs w:val="22"/>
        </w:rPr>
      </w:pPr>
    </w:p>
    <w:p w14:paraId="2EAA1A51" w14:textId="1E8AB695" w:rsidR="00FE5D46" w:rsidRPr="000217C0" w:rsidRDefault="00000000">
      <w:pPr>
        <w:ind w:left="567" w:right="567"/>
        <w:jc w:val="both"/>
        <w:rPr>
          <w:rFonts w:ascii="Century" w:hAnsi="Century"/>
          <w:lang w:val="fr-BE"/>
        </w:rPr>
      </w:pPr>
      <w:r w:rsidRPr="000217C0">
        <w:rPr>
          <w:rFonts w:ascii="Century" w:hAnsi="Century"/>
          <w:lang w:val="fr-BE"/>
        </w:rPr>
        <w:t>Même s’il faut « se garder de voir dans le système électoral une sorte de cause mécanique de la configuration du système des partis », ce système étant « à la fois un effet et une cause de la structure des clivages »</w:t>
      </w:r>
      <w:r>
        <w:rPr>
          <w:rStyle w:val="Appelnotedebasdep"/>
          <w:rFonts w:ascii="Century" w:hAnsi="Century"/>
          <w:sz w:val="24"/>
        </w:rPr>
        <w:footnoteReference w:id="27"/>
      </w:r>
      <w:r w:rsidRPr="000217C0">
        <w:rPr>
          <w:rFonts w:ascii="Century" w:hAnsi="Century"/>
          <w:lang w:val="fr-BE"/>
        </w:rPr>
        <w:t>, on peut admettre qu’en Belgique, le scrutin proportionnel que prescrit l’article 62, alinéa 2, de la Constitution a favorisé la multiplication des partis. On sait qu’un tel mode de scrutin permet de refléter au mieux les opinions du corps électoral au sein du parlement, tandis qu’un scrutin majoritaire est a priori favorable à l’émergence d’ « une volonté politique cohérente et claire » et d’ « une majorité stable »</w:t>
      </w:r>
      <w:r>
        <w:rPr>
          <w:rStyle w:val="Appelnotedebasdep"/>
          <w:rFonts w:ascii="Century" w:hAnsi="Century"/>
          <w:sz w:val="24"/>
        </w:rPr>
        <w:footnoteReference w:id="28"/>
      </w:r>
      <w:r w:rsidRPr="000217C0">
        <w:rPr>
          <w:rFonts w:ascii="Century" w:hAnsi="Century"/>
          <w:lang w:val="fr-BE"/>
        </w:rPr>
        <w:t>. Mais un scrutin majoritaire s’inscrirait aux antipodes du modèle de démocratie consociative ou de concordance auquel notre système politique et constitutionnel est attaché</w:t>
      </w:r>
      <w:r>
        <w:rPr>
          <w:rStyle w:val="Appelnotedebasdep"/>
          <w:rFonts w:ascii="Century" w:hAnsi="Century"/>
          <w:sz w:val="24"/>
        </w:rPr>
        <w:footnoteReference w:id="29"/>
      </w:r>
      <w:r w:rsidRPr="000217C0">
        <w:rPr>
          <w:rFonts w:ascii="Century" w:hAnsi="Century"/>
          <w:lang w:val="fr-BE"/>
        </w:rPr>
        <w:t xml:space="preserve">. Il ne ferait que durcir le clivage nord-sud en avantageant les deux partis les plus puissants des deux côtés de la frontière </w:t>
      </w:r>
      <w:r w:rsidRPr="000217C0">
        <w:rPr>
          <w:rFonts w:ascii="Century" w:hAnsi="Century"/>
          <w:lang w:val="fr-BE"/>
        </w:rPr>
        <w:lastRenderedPageBreak/>
        <w:t>linguistique, ceux-là mêmes qui n’ont pas réussi à s’entendre pendant la dernière crise 2018-2020 (sous la seule réserve d’un bref moment un peu énigmatique en juillet-août 2020)</w:t>
      </w:r>
      <w:r>
        <w:rPr>
          <w:rStyle w:val="Appelnotedebasdep"/>
          <w:rFonts w:ascii="Century" w:hAnsi="Century"/>
          <w:lang w:val="fr-BE"/>
        </w:rPr>
        <w:footnoteReference w:id="30"/>
      </w:r>
      <w:r w:rsidRPr="000217C0">
        <w:rPr>
          <w:rFonts w:ascii="Century" w:hAnsi="Century"/>
          <w:lang w:val="fr-BE"/>
        </w:rPr>
        <w:t xml:space="preserve">. </w:t>
      </w:r>
    </w:p>
    <w:p w14:paraId="7E40A6E1" w14:textId="6D702BCA" w:rsidR="003A436A" w:rsidRPr="000217C0" w:rsidRDefault="00000000" w:rsidP="0073365B">
      <w:pPr>
        <w:ind w:left="567" w:right="567"/>
        <w:jc w:val="both"/>
        <w:rPr>
          <w:rFonts w:ascii="Century" w:hAnsi="Century"/>
          <w:lang w:val="fr-BE"/>
        </w:rPr>
      </w:pPr>
      <w:r w:rsidRPr="000217C0">
        <w:rPr>
          <w:rFonts w:ascii="Century" w:hAnsi="Century"/>
          <w:lang w:val="fr-BE"/>
        </w:rPr>
        <w:t>Il reste que l’on pourrait atténuer quelque peu le caractère proportionnel du scrutin, soit en réduisant le nombre de députés à élire</w:t>
      </w:r>
      <w:r>
        <w:rPr>
          <w:rStyle w:val="Appelnotedebasdep"/>
          <w:rFonts w:ascii="Century" w:hAnsi="Century"/>
          <w:sz w:val="24"/>
        </w:rPr>
        <w:footnoteReference w:id="31"/>
      </w:r>
      <w:r w:rsidRPr="000217C0">
        <w:rPr>
          <w:rFonts w:ascii="Century" w:hAnsi="Century"/>
          <w:lang w:val="fr-BE"/>
        </w:rPr>
        <w:t>, soit en introduisant une certaine dose de scrutin majoritaire</w:t>
      </w:r>
      <w:r>
        <w:rPr>
          <w:rStyle w:val="Appelnotedebasdep"/>
          <w:rFonts w:ascii="Century" w:hAnsi="Century"/>
          <w:sz w:val="24"/>
        </w:rPr>
        <w:footnoteReference w:id="32"/>
      </w:r>
      <w:r w:rsidRPr="000217C0">
        <w:rPr>
          <w:rFonts w:ascii="Century" w:hAnsi="Century"/>
          <w:lang w:val="fr-BE"/>
        </w:rPr>
        <w:t>. Si l’on devait suivre cette deuxième voie, une partie des sièges serait répartie au scrutin proportionnel et une autre partie au scrutin majoritaire. Cette deuxième hypothèse a été étudiée dans le rapport du Comité scientifique adjoint aux Commissions du renouveau politique de la Chambre et du Sénat pendant la législature 1999-2003</w:t>
      </w:r>
      <w:r>
        <w:rPr>
          <w:rStyle w:val="Appelnotedebasdep"/>
          <w:rFonts w:ascii="Century" w:hAnsi="Century"/>
          <w:sz w:val="24"/>
        </w:rPr>
        <w:footnoteReference w:id="33"/>
      </w:r>
      <w:r w:rsidRPr="000217C0">
        <w:rPr>
          <w:rFonts w:ascii="Century" w:hAnsi="Century"/>
          <w:lang w:val="fr-BE"/>
        </w:rPr>
        <w:t xml:space="preserve">. Elle pourrait s’inspirer du modèle allemand mais en poussant le correctif majoritaire plus loin, puisque ce modèle allemand relève d’un système « proportionnel personnalisé » dans lequel </w:t>
      </w:r>
      <w:r w:rsidRPr="000217C0">
        <w:rPr>
          <w:rFonts w:ascii="Century" w:hAnsi="Century"/>
          <w:i/>
          <w:lang w:val="fr-BE"/>
        </w:rPr>
        <w:t>tous</w:t>
      </w:r>
      <w:r w:rsidRPr="000217C0">
        <w:rPr>
          <w:rFonts w:ascii="Century" w:hAnsi="Century"/>
          <w:lang w:val="fr-BE"/>
        </w:rPr>
        <w:t xml:space="preserve"> les sièges du </w:t>
      </w:r>
      <w:r w:rsidRPr="000217C0">
        <w:rPr>
          <w:rFonts w:ascii="Century" w:hAnsi="Century"/>
          <w:i/>
          <w:lang w:val="fr-BE"/>
        </w:rPr>
        <w:t>Bundestag</w:t>
      </w:r>
      <w:r w:rsidRPr="000217C0">
        <w:rPr>
          <w:rFonts w:ascii="Century" w:hAnsi="Century"/>
          <w:lang w:val="fr-BE"/>
        </w:rPr>
        <w:t xml:space="preserve"> sont répartis proportionnellement en fonction du nombre de voix obtenues par chaque parti, la technique du scrutin majoritaire n’étant utilisée que « pour désigner les titulaires d’une partie de ces sièges »</w:t>
      </w:r>
      <w:r>
        <w:rPr>
          <w:rStyle w:val="Appelnotedebasdep"/>
          <w:rFonts w:ascii="Century" w:hAnsi="Century"/>
          <w:sz w:val="24"/>
        </w:rPr>
        <w:footnoteReference w:id="34"/>
      </w:r>
      <w:r w:rsidRPr="000217C0">
        <w:rPr>
          <w:rFonts w:ascii="Century" w:hAnsi="Century"/>
          <w:lang w:val="fr-BE"/>
        </w:rPr>
        <w:t xml:space="preserve">. Si le scrutin majoritaire était utilisé pour répartir une partie des sièges entre les partis, la révision de l’article 62, al. 2, de la </w:t>
      </w:r>
      <w:r w:rsidR="003D5789" w:rsidRPr="000217C0">
        <w:rPr>
          <w:rFonts w:ascii="Century" w:hAnsi="Century"/>
          <w:lang w:val="fr-BE"/>
        </w:rPr>
        <w:t>C</w:t>
      </w:r>
      <w:r w:rsidRPr="000217C0">
        <w:rPr>
          <w:rFonts w:ascii="Century" w:hAnsi="Century"/>
          <w:lang w:val="fr-BE"/>
        </w:rPr>
        <w:t>onstitution s’imposerait. Ce mixage des deux modes de scrutin permettrait aussi aux citoyens de voter en faveur de deux partis différents</w:t>
      </w:r>
      <w:r>
        <w:rPr>
          <w:rStyle w:val="Appelnotedebasdep"/>
          <w:rFonts w:ascii="Century" w:hAnsi="Century"/>
          <w:sz w:val="24"/>
        </w:rPr>
        <w:footnoteReference w:id="35"/>
      </w:r>
      <w:r w:rsidRPr="000217C0">
        <w:rPr>
          <w:rFonts w:ascii="Century" w:hAnsi="Century"/>
          <w:lang w:val="fr-BE"/>
        </w:rPr>
        <w:t xml:space="preserve">. </w:t>
      </w:r>
    </w:p>
    <w:p w14:paraId="7DFC58C2" w14:textId="77777777" w:rsidR="0073365B" w:rsidRPr="000217C0" w:rsidRDefault="0073365B" w:rsidP="0073365B">
      <w:pPr>
        <w:ind w:left="567" w:right="567"/>
        <w:jc w:val="both"/>
        <w:rPr>
          <w:rFonts w:ascii="Century" w:hAnsi="Century"/>
          <w:lang w:val="fr-BE"/>
        </w:rPr>
      </w:pPr>
    </w:p>
    <w:p w14:paraId="6F25566B" w14:textId="0B176BED" w:rsidR="00C74BA5" w:rsidRPr="000217C0" w:rsidRDefault="00000000" w:rsidP="0073365B">
      <w:pPr>
        <w:pStyle w:val="Titre2"/>
      </w:pPr>
      <w:r w:rsidRPr="000217C0">
        <w:t>Deuxième piste : la mise en place d’un système de vote préférentiel ou de panachage</w:t>
      </w:r>
      <w:r>
        <w:rPr>
          <w:rStyle w:val="Appelnotedebasdep"/>
        </w:rPr>
        <w:footnoteReference w:id="36"/>
      </w:r>
    </w:p>
    <w:p w14:paraId="06713C23" w14:textId="77777777" w:rsidR="00C74BA5" w:rsidRPr="000217C0" w:rsidRDefault="00C74BA5" w:rsidP="00C74BA5">
      <w:pPr>
        <w:pStyle w:val="Paragraphedeliste"/>
        <w:ind w:left="567" w:right="567"/>
        <w:jc w:val="both"/>
        <w:rPr>
          <w:rFonts w:ascii="Century" w:hAnsi="Century"/>
          <w:i/>
          <w:sz w:val="22"/>
          <w:szCs w:val="22"/>
        </w:rPr>
      </w:pPr>
    </w:p>
    <w:p w14:paraId="0845DDA1" w14:textId="76E5DE07" w:rsidR="00C74BA5" w:rsidRPr="000217C0" w:rsidRDefault="00000000" w:rsidP="0014243F">
      <w:pPr>
        <w:ind w:left="567" w:right="567"/>
        <w:jc w:val="both"/>
        <w:rPr>
          <w:rFonts w:ascii="Century" w:hAnsi="Century"/>
          <w:lang w:val="fr-FR"/>
        </w:rPr>
      </w:pPr>
      <w:r w:rsidRPr="000217C0">
        <w:rPr>
          <w:rFonts w:ascii="Century" w:hAnsi="Century"/>
          <w:lang w:val="fr-BE"/>
        </w:rPr>
        <w:t xml:space="preserve">Dans le même registre du mode de scrutin, il convient </w:t>
      </w:r>
      <w:r w:rsidR="0011291F" w:rsidRPr="000217C0">
        <w:rPr>
          <w:rFonts w:ascii="Century" w:hAnsi="Century"/>
          <w:lang w:val="fr-BE"/>
        </w:rPr>
        <w:t>aussi</w:t>
      </w:r>
      <w:r w:rsidRPr="000217C0">
        <w:rPr>
          <w:rFonts w:ascii="Century" w:hAnsi="Century"/>
          <w:lang w:val="fr-BE"/>
        </w:rPr>
        <w:t xml:space="preserve"> d’analyser brièvement dans quelle mesure l’institution d’un système de vote préférentiel ou de « panachage » serait susceptible de faciliter le processus de formation du </w:t>
      </w:r>
      <w:r w:rsidRPr="000217C0">
        <w:rPr>
          <w:rFonts w:ascii="Century" w:hAnsi="Century"/>
          <w:lang w:val="fr-BE"/>
        </w:rPr>
        <w:lastRenderedPageBreak/>
        <w:t>gouvernement fédéral. Tout en restant attachés au scrutin proportionnel</w:t>
      </w:r>
      <w:r>
        <w:rPr>
          <w:rStyle w:val="Appelnotedebasdep"/>
          <w:rFonts w:ascii="Century" w:hAnsi="Century"/>
          <w:lang w:val="fr-BE"/>
        </w:rPr>
        <w:footnoteReference w:id="37"/>
      </w:r>
      <w:r w:rsidRPr="000217C0">
        <w:rPr>
          <w:rFonts w:ascii="Century" w:hAnsi="Century"/>
          <w:lang w:val="fr-BE"/>
        </w:rPr>
        <w:t xml:space="preserve">, </w:t>
      </w:r>
      <w:r w:rsidR="0011291F" w:rsidRPr="000217C0">
        <w:rPr>
          <w:rFonts w:ascii="Century" w:hAnsi="Century"/>
          <w:lang w:val="fr-BE"/>
        </w:rPr>
        <w:t>p</w:t>
      </w:r>
      <w:r w:rsidRPr="000217C0">
        <w:rPr>
          <w:rFonts w:ascii="Century" w:hAnsi="Century"/>
          <w:lang w:val="fr-BE"/>
        </w:rPr>
        <w:t>lusieurs experts entendus</w:t>
      </w:r>
      <w:r>
        <w:rPr>
          <w:rStyle w:val="Appelnotedebasdep"/>
          <w:rFonts w:ascii="Century" w:hAnsi="Century"/>
          <w:lang w:val="fr-BE"/>
        </w:rPr>
        <w:footnoteReference w:id="38"/>
      </w:r>
      <w:r w:rsidRPr="000217C0">
        <w:rPr>
          <w:rFonts w:ascii="Century" w:hAnsi="Century"/>
          <w:lang w:val="fr-BE"/>
        </w:rPr>
        <w:t xml:space="preserve"> par la Commission </w:t>
      </w:r>
      <w:r w:rsidRPr="000217C0">
        <w:rPr>
          <w:rFonts w:ascii="Century" w:hAnsi="Century"/>
          <w:lang w:val="fr-FR"/>
        </w:rPr>
        <w:t xml:space="preserve">parlementaire de la Constitution et du Renouveau institutionnel ont abordé cette question. </w:t>
      </w:r>
    </w:p>
    <w:p w14:paraId="01D81F5A" w14:textId="6B839FDC" w:rsidR="0011291F" w:rsidRPr="000217C0" w:rsidRDefault="00000000" w:rsidP="0014243F">
      <w:pPr>
        <w:ind w:left="567" w:right="567"/>
        <w:jc w:val="both"/>
        <w:rPr>
          <w:rFonts w:ascii="Century" w:hAnsi="Century"/>
          <w:lang w:val="fr-FR"/>
        </w:rPr>
      </w:pPr>
      <w:r w:rsidRPr="000217C0">
        <w:rPr>
          <w:rFonts w:ascii="Century" w:hAnsi="Century"/>
          <w:lang w:val="fr-FR"/>
        </w:rPr>
        <w:t>Le « panachage » vise la faculté pour un électeur de voter pour plusieurs partis politiques ou pour plusieurs candidats appartenant à des listes distinctes dans le cadre d’une seule et même élection. Par essence, l’électeur dispose dans cette hypothèse de plusieurs voix qu’il peut répartir avec une grande liberté</w:t>
      </w:r>
      <w:r>
        <w:rPr>
          <w:rStyle w:val="Appelnotedebasdep"/>
          <w:rFonts w:ascii="Century" w:hAnsi="Century"/>
          <w:lang w:val="fr-FR"/>
        </w:rPr>
        <w:footnoteReference w:id="39"/>
      </w:r>
      <w:r w:rsidRPr="000217C0">
        <w:rPr>
          <w:rFonts w:ascii="Century" w:hAnsi="Century"/>
          <w:lang w:val="fr-FR"/>
        </w:rPr>
        <w:t xml:space="preserve">. Le Grand-Duché du Luxembourg et la Suisse constituent deux exemples géographiquement proches de pays pratiquant pour certaines élections ce mode de scrutin. </w:t>
      </w:r>
    </w:p>
    <w:p w14:paraId="62A564C5" w14:textId="3398BBBA" w:rsidR="00C74BA5" w:rsidRPr="000217C0" w:rsidRDefault="00000000" w:rsidP="0014243F">
      <w:pPr>
        <w:ind w:left="567" w:right="567"/>
        <w:jc w:val="both"/>
        <w:rPr>
          <w:rFonts w:ascii="Century" w:hAnsi="Century"/>
          <w:lang w:val="fr-FR"/>
        </w:rPr>
      </w:pPr>
      <w:r w:rsidRPr="000217C0">
        <w:rPr>
          <w:rFonts w:ascii="Century" w:hAnsi="Century"/>
          <w:lang w:val="fr-FR"/>
        </w:rPr>
        <w:t>Au Luxembourg, pour les élections législatives destinées à élire les 60 députés de la Chambre des Députés, chaque électeur dispose d’autant de suffrages qu’il y a de députés à élire dans sa circonscription. L’électeur peut ainsi soit voter en faveur d'une liste, auquel cas cette dernière est considérée comme ayant reçu un nombre de suffrages égal à celui que l'électeur était habilité à exprimer, soit nominativement en désignant les candidats de son choix sur différentes listes</w:t>
      </w:r>
      <w:r>
        <w:rPr>
          <w:rStyle w:val="Appelnotedebasdep"/>
          <w:rFonts w:ascii="Century" w:hAnsi="Century"/>
          <w:lang w:val="fr-FR"/>
        </w:rPr>
        <w:footnoteReference w:id="40"/>
      </w:r>
      <w:r w:rsidRPr="000217C0">
        <w:rPr>
          <w:rFonts w:ascii="Century" w:hAnsi="Century"/>
          <w:lang w:val="fr-FR"/>
        </w:rPr>
        <w:t>.</w:t>
      </w:r>
    </w:p>
    <w:p w14:paraId="735AD420" w14:textId="05668B57" w:rsidR="00C74BA5" w:rsidRPr="000217C0" w:rsidRDefault="00000000" w:rsidP="0014243F">
      <w:pPr>
        <w:ind w:left="567" w:right="567"/>
        <w:jc w:val="both"/>
        <w:rPr>
          <w:rFonts w:ascii="Century" w:hAnsi="Century"/>
          <w:lang w:val="fr-FR"/>
        </w:rPr>
      </w:pPr>
      <w:r w:rsidRPr="000217C0">
        <w:rPr>
          <w:rFonts w:ascii="Century" w:hAnsi="Century"/>
          <w:lang w:val="fr-FR"/>
        </w:rPr>
        <w:t>En Suisse, dans les circonscriptions où plusieurs sièges sont à pourvoir lors de l'élection du Conseil national et où l'élection a lieu à la proportionnelle, les électeurs peuvent biffer les noms de certains candidats sur les bulletins pré-imprimés et les remplacer par d'autres noms de candidats figurant sur d'autres listes de la même circonscription</w:t>
      </w:r>
      <w:r>
        <w:rPr>
          <w:rStyle w:val="Appelnotedebasdep"/>
          <w:rFonts w:ascii="Century" w:hAnsi="Century"/>
          <w:lang w:val="fr-FR"/>
        </w:rPr>
        <w:footnoteReference w:id="41"/>
      </w:r>
      <w:r w:rsidRPr="000217C0">
        <w:rPr>
          <w:rFonts w:ascii="Century" w:hAnsi="Century"/>
          <w:lang w:val="fr-FR"/>
        </w:rPr>
        <w:t>.</w:t>
      </w:r>
    </w:p>
    <w:p w14:paraId="5EF92806" w14:textId="49FC47FF" w:rsidR="00C74BA5" w:rsidRPr="000217C0" w:rsidRDefault="00000000" w:rsidP="0014243F">
      <w:pPr>
        <w:ind w:left="567" w:right="567"/>
        <w:jc w:val="both"/>
        <w:rPr>
          <w:rFonts w:ascii="Century" w:hAnsi="Century"/>
          <w:lang w:val="fr-FR"/>
        </w:rPr>
      </w:pPr>
      <w:r w:rsidRPr="000217C0">
        <w:rPr>
          <w:rFonts w:ascii="Century" w:hAnsi="Century"/>
          <w:lang w:val="fr-FR"/>
        </w:rPr>
        <w:t>On peut signaler que de 1831 à 1899, la Belgique a également connu le panachage sous la forme du scrutin majoritaire avec ballotage</w:t>
      </w:r>
      <w:r>
        <w:rPr>
          <w:rStyle w:val="Appelnotedebasdep"/>
          <w:rFonts w:ascii="Century" w:hAnsi="Century"/>
          <w:lang w:val="fr-FR"/>
        </w:rPr>
        <w:footnoteReference w:id="42"/>
      </w:r>
      <w:r w:rsidRPr="000217C0">
        <w:rPr>
          <w:rFonts w:ascii="Century" w:hAnsi="Century"/>
          <w:lang w:val="fr-FR"/>
        </w:rPr>
        <w:t xml:space="preserve">. </w:t>
      </w:r>
    </w:p>
    <w:p w14:paraId="577AE50E" w14:textId="5FA1FEFA" w:rsidR="00C74BA5" w:rsidRPr="000217C0" w:rsidRDefault="00000000" w:rsidP="0014243F">
      <w:pPr>
        <w:ind w:left="567" w:right="567"/>
        <w:jc w:val="both"/>
        <w:rPr>
          <w:rFonts w:ascii="Century" w:hAnsi="Century"/>
          <w:lang w:val="fr-FR"/>
        </w:rPr>
      </w:pPr>
      <w:r w:rsidRPr="000217C0">
        <w:rPr>
          <w:rFonts w:ascii="Century" w:hAnsi="Century"/>
          <w:lang w:val="fr-FR"/>
        </w:rPr>
        <w:t>Il est</w:t>
      </w:r>
      <w:r w:rsidR="0011291F" w:rsidRPr="000217C0">
        <w:rPr>
          <w:rFonts w:ascii="Century" w:hAnsi="Century"/>
          <w:lang w:val="fr-FR"/>
        </w:rPr>
        <w:t xml:space="preserve"> </w:t>
      </w:r>
      <w:r w:rsidRPr="000217C0">
        <w:rPr>
          <w:rFonts w:ascii="Century" w:hAnsi="Century"/>
          <w:lang w:val="fr-FR"/>
        </w:rPr>
        <w:t>difficile d’évaluer dans quelle mesure l’introduction d’un tel mode de scrutin peut influenc</w:t>
      </w:r>
      <w:r w:rsidR="0011291F" w:rsidRPr="000217C0">
        <w:rPr>
          <w:rFonts w:ascii="Century" w:hAnsi="Century"/>
          <w:lang w:val="fr-FR"/>
        </w:rPr>
        <w:t>e</w:t>
      </w:r>
      <w:r w:rsidRPr="000217C0">
        <w:rPr>
          <w:rFonts w:ascii="Century" w:hAnsi="Century"/>
          <w:lang w:val="fr-FR"/>
        </w:rPr>
        <w:t xml:space="preserve">r le processus de formation du gouvernement. Le panachage permet aux électeurs d’être plus nuancés ou circonstanciés lorsqu’ils expriment leur volonté. N’étant pas tenus par le choix d’un seul </w:t>
      </w:r>
      <w:r w:rsidRPr="000217C0">
        <w:rPr>
          <w:rFonts w:ascii="Century" w:hAnsi="Century"/>
          <w:lang w:val="fr-FR"/>
        </w:rPr>
        <w:lastRenderedPageBreak/>
        <w:t xml:space="preserve">candidat ou d’un seul parti, ils peuvent exposer leurs préférences à l’égard de plusieurs candidats ou de plusieurs partis. </w:t>
      </w:r>
    </w:p>
    <w:p w14:paraId="7F87CA97" w14:textId="64BFA040" w:rsidR="0011291F" w:rsidRPr="000217C0" w:rsidRDefault="00000000" w:rsidP="0014243F">
      <w:pPr>
        <w:ind w:left="567" w:right="567"/>
        <w:jc w:val="both"/>
        <w:rPr>
          <w:rFonts w:ascii="Century" w:hAnsi="Century"/>
          <w:lang w:val="fr-FR"/>
        </w:rPr>
      </w:pPr>
      <w:r w:rsidRPr="000217C0">
        <w:rPr>
          <w:rFonts w:ascii="Century" w:hAnsi="Century"/>
          <w:lang w:val="fr-FR"/>
        </w:rPr>
        <w:t xml:space="preserve">Ces préférences peuvent influencer le comportement des partis politiques au lendemain des élections, mais également lors de la campagne qui les précède. </w:t>
      </w:r>
    </w:p>
    <w:p w14:paraId="673F0A14" w14:textId="3AC88E92" w:rsidR="00C74BA5" w:rsidRPr="000217C0" w:rsidRDefault="00000000" w:rsidP="0014243F">
      <w:pPr>
        <w:ind w:left="567" w:right="567"/>
        <w:jc w:val="both"/>
        <w:rPr>
          <w:rFonts w:ascii="Century" w:hAnsi="Century"/>
          <w:lang w:val="fr-FR"/>
        </w:rPr>
      </w:pPr>
      <w:r w:rsidRPr="000217C0">
        <w:rPr>
          <w:rFonts w:ascii="Century" w:hAnsi="Century"/>
          <w:lang w:val="fr-FR"/>
        </w:rPr>
        <w:t xml:space="preserve">Premièrement, des tendances générales peuvent se dégager à la sortie des urnes et pousser certains partis à travailler ensemble. On peut par exemple imaginer qu’une série d’électeurs ayant voté pour un parti libéral </w:t>
      </w:r>
      <w:r w:rsidR="001332B9" w:rsidRPr="000217C0">
        <w:rPr>
          <w:rFonts w:ascii="Century" w:hAnsi="Century"/>
          <w:lang w:val="fr-FR"/>
        </w:rPr>
        <w:t xml:space="preserve">attachent </w:t>
      </w:r>
      <w:r w:rsidRPr="000217C0">
        <w:rPr>
          <w:rFonts w:ascii="Century" w:hAnsi="Century"/>
          <w:lang w:val="fr-FR"/>
        </w:rPr>
        <w:t>une grande importance à la lutte contre le réchauffement climatique et votent dès lors également, dans un second temps, pour un parti écologiste. Si de telles tendances claires venaient à se dégager, elles devraient inciter les partis « affiliés » par les électeurs à</w:t>
      </w:r>
      <w:r w:rsidR="006E403C" w:rsidRPr="000217C0">
        <w:rPr>
          <w:rFonts w:ascii="Century" w:hAnsi="Century"/>
          <w:lang w:val="fr-FR"/>
        </w:rPr>
        <w:t xml:space="preserve"> </w:t>
      </w:r>
      <w:r w:rsidRPr="000217C0">
        <w:rPr>
          <w:rFonts w:ascii="Century" w:hAnsi="Century"/>
          <w:lang w:val="fr-FR"/>
        </w:rPr>
        <w:t>former des coalitions. Encore faudrait-il qu’elles soient publiées, ce qui impliquerait une communication détaillée des combinaisons précises des votes des électeurs, et pas uniquement l’impact de ces préférences sur le nombre total de sièges obtenus par chaque parti politique</w:t>
      </w:r>
      <w:r>
        <w:rPr>
          <w:rStyle w:val="Appelnotedebasdep"/>
          <w:rFonts w:ascii="Century" w:hAnsi="Century"/>
          <w:lang w:val="fr-FR"/>
        </w:rPr>
        <w:footnoteReference w:id="43"/>
      </w:r>
      <w:r w:rsidRPr="000217C0">
        <w:rPr>
          <w:rFonts w:ascii="Century" w:hAnsi="Century"/>
          <w:lang w:val="fr-FR"/>
        </w:rPr>
        <w:t>.</w:t>
      </w:r>
    </w:p>
    <w:p w14:paraId="34467DC1" w14:textId="4867FCE7" w:rsidR="006E403C" w:rsidRPr="000217C0" w:rsidRDefault="00000000" w:rsidP="0014243F">
      <w:pPr>
        <w:ind w:left="567" w:right="567"/>
        <w:jc w:val="both"/>
        <w:rPr>
          <w:rFonts w:ascii="Century" w:hAnsi="Century"/>
          <w:lang w:val="fr-FR"/>
        </w:rPr>
      </w:pPr>
      <w:r w:rsidRPr="000217C0">
        <w:rPr>
          <w:rFonts w:ascii="Century" w:hAnsi="Century"/>
          <w:lang w:val="fr-FR"/>
        </w:rPr>
        <w:t xml:space="preserve">Il est toutefois improbable que des tendances claires puissent toujours se dégager des élections. Les préférences des électeurs seraient souvent sujettes à diverses interprétations qui ne rendraient que plus complexe le processus de formation du gouvernement fédéral. </w:t>
      </w:r>
    </w:p>
    <w:p w14:paraId="3E37C48F" w14:textId="291F2286" w:rsidR="00C74BA5" w:rsidRPr="000217C0" w:rsidRDefault="00000000" w:rsidP="0014243F">
      <w:pPr>
        <w:ind w:left="567" w:right="567"/>
        <w:jc w:val="both"/>
        <w:rPr>
          <w:rFonts w:ascii="Century" w:hAnsi="Century"/>
          <w:lang w:val="fr-FR"/>
        </w:rPr>
      </w:pPr>
      <w:r w:rsidRPr="000217C0">
        <w:rPr>
          <w:rFonts w:ascii="Century" w:hAnsi="Century"/>
          <w:lang w:val="fr-FR"/>
        </w:rPr>
        <w:t xml:space="preserve">Deuxièmement, un système de vote préférentiel ou de panachage devrait avoir pour effet de pousser les partis politiques en campagne à souligner davantage les points de convergences qui les rapprochent de certains de leurs adversaires politiques. En rupture avec la logique électorale actuelle qui oblige chaque courant politique à se distancier des autres, la possibilité pour les électeurs de préférer simultanément plusieurs formations politiques pourrait créer un nouvel enjeu de campagne consistant pour chaque parti à inciter les électeurs </w:t>
      </w:r>
      <w:r w:rsidRPr="000217C0">
        <w:rPr>
          <w:rFonts w:ascii="Century" w:hAnsi="Century"/>
          <w:lang w:val="fr-FR"/>
        </w:rPr>
        <w:lastRenderedPageBreak/>
        <w:t xml:space="preserve">à voter aussi pour une autre formation politique avec laquelle ce parti se voit le mieux gouverner après les élections. </w:t>
      </w:r>
    </w:p>
    <w:p w14:paraId="4C41819A" w14:textId="4B798917" w:rsidR="00C74BA5" w:rsidRPr="000217C0" w:rsidRDefault="00000000" w:rsidP="0014243F">
      <w:pPr>
        <w:ind w:left="567" w:right="567"/>
        <w:jc w:val="both"/>
        <w:rPr>
          <w:rFonts w:ascii="Century" w:hAnsi="Century"/>
          <w:lang w:val="fr-FR"/>
        </w:rPr>
      </w:pPr>
      <w:r w:rsidRPr="000217C0">
        <w:rPr>
          <w:rFonts w:ascii="Century" w:hAnsi="Century"/>
          <w:lang w:val="fr-FR"/>
        </w:rPr>
        <w:t>Bien que faisant partie des Etats à scrutin majoritaire, les élections australiennes sont à cet égard intéressantes</w:t>
      </w:r>
      <w:r>
        <w:rPr>
          <w:rStyle w:val="Appelnotedebasdep"/>
          <w:rFonts w:ascii="Century" w:hAnsi="Century"/>
          <w:lang w:val="fr-FR"/>
        </w:rPr>
        <w:footnoteReference w:id="44"/>
      </w:r>
      <w:r w:rsidRPr="000217C0">
        <w:rPr>
          <w:rFonts w:ascii="Century" w:hAnsi="Century"/>
          <w:lang w:val="fr-FR"/>
        </w:rPr>
        <w:t xml:space="preserve">. Les élections des chambres basses et hautes au niveau fédéral et dans chaque État et territoire exigent </w:t>
      </w:r>
      <w:r w:rsidR="004708DA">
        <w:rPr>
          <w:rFonts w:ascii="Century" w:hAnsi="Century"/>
          <w:lang w:val="fr-FR"/>
        </w:rPr>
        <w:t xml:space="preserve">des électeurs </w:t>
      </w:r>
      <w:r w:rsidRPr="000217C0">
        <w:rPr>
          <w:rFonts w:ascii="Century" w:hAnsi="Century"/>
          <w:lang w:val="fr-FR"/>
        </w:rPr>
        <w:t xml:space="preserve">ou </w:t>
      </w:r>
      <w:r w:rsidR="004708DA">
        <w:rPr>
          <w:rFonts w:ascii="Century" w:hAnsi="Century"/>
          <w:lang w:val="fr-FR"/>
        </w:rPr>
        <w:t xml:space="preserve">les </w:t>
      </w:r>
      <w:r w:rsidRPr="000217C0">
        <w:rPr>
          <w:rFonts w:ascii="Century" w:hAnsi="Century"/>
          <w:lang w:val="fr-FR"/>
        </w:rPr>
        <w:t xml:space="preserve">encouragent à attribuer des préférences aux candidats sur le bulletin de vote. Chaque circonscription électorale envoie un candidat au Parlement, ce dernier devant obtenir 50% des votes pour être élu. Si au premier « round », aucun candidat n’atteint la majorité absolue, des « votes préférentiels » sont distribués entre les candidats jusqu’à ce qu’un candidat </w:t>
      </w:r>
      <w:r w:rsidR="001332B9" w:rsidRPr="000217C0">
        <w:rPr>
          <w:rFonts w:ascii="Century" w:hAnsi="Century"/>
          <w:lang w:val="fr-FR"/>
        </w:rPr>
        <w:t xml:space="preserve">atteigne </w:t>
      </w:r>
      <w:r w:rsidRPr="000217C0">
        <w:rPr>
          <w:rFonts w:ascii="Century" w:hAnsi="Century"/>
          <w:lang w:val="fr-FR"/>
        </w:rPr>
        <w:t xml:space="preserve">une majorité. </w:t>
      </w:r>
    </w:p>
    <w:p w14:paraId="46539B3A" w14:textId="77DB02D4" w:rsidR="00C74BA5" w:rsidRPr="000217C0" w:rsidRDefault="00000000" w:rsidP="0014243F">
      <w:pPr>
        <w:ind w:left="567" w:right="567"/>
        <w:jc w:val="both"/>
        <w:rPr>
          <w:rFonts w:ascii="Century" w:hAnsi="Century"/>
          <w:lang w:val="fr-FR"/>
        </w:rPr>
      </w:pPr>
      <w:r w:rsidRPr="000217C0">
        <w:rPr>
          <w:rFonts w:ascii="Century" w:hAnsi="Century"/>
          <w:lang w:val="fr-FR"/>
        </w:rPr>
        <w:t>En pratique, les électeurs peuvent indiquer un ordre de préférence pour les candidats sur le bulletin de vote en mentionnant qui ils voudraient voir élu en premier choix, puis en deuxième choix, etc. Lorsqu’aucun candidat n</w:t>
      </w:r>
      <w:r w:rsidR="001332B9" w:rsidRPr="000217C0">
        <w:rPr>
          <w:rFonts w:ascii="Century" w:hAnsi="Century"/>
          <w:lang w:val="fr-FR"/>
        </w:rPr>
        <w:t>e bénéficie</w:t>
      </w:r>
      <w:r w:rsidRPr="000217C0">
        <w:rPr>
          <w:rFonts w:ascii="Century" w:hAnsi="Century"/>
          <w:lang w:val="fr-FR"/>
        </w:rPr>
        <w:t xml:space="preserve"> d</w:t>
      </w:r>
      <w:r w:rsidR="001332B9" w:rsidRPr="000217C0">
        <w:rPr>
          <w:rFonts w:ascii="Century" w:hAnsi="Century"/>
          <w:lang w:val="fr-FR"/>
        </w:rPr>
        <w:t xml:space="preserve">’une </w:t>
      </w:r>
      <w:r w:rsidRPr="000217C0">
        <w:rPr>
          <w:rFonts w:ascii="Century" w:hAnsi="Century"/>
          <w:lang w:val="fr-FR"/>
        </w:rPr>
        <w:t>majorité absolue, on va distribuer le « choix numéro 2 » du candidat ayant le plus faible nombre de « choix numéro 1 » entre tous les candidats encore en course. Ce processus est poursuivi jusqu’à ce qu’un candidat (qui n’est donc pas forcément celui qui avait obtenu le plus de « choix numéro 1 ») obtienne une majorité</w:t>
      </w:r>
      <w:r>
        <w:rPr>
          <w:rStyle w:val="Appelnotedebasdep"/>
          <w:rFonts w:ascii="Century" w:hAnsi="Century"/>
          <w:lang w:val="fr-FR"/>
        </w:rPr>
        <w:footnoteReference w:id="45"/>
      </w:r>
      <w:r w:rsidRPr="000217C0">
        <w:rPr>
          <w:rFonts w:ascii="Century" w:hAnsi="Century"/>
          <w:lang w:val="fr-FR"/>
        </w:rPr>
        <w:t xml:space="preserve">. </w:t>
      </w:r>
    </w:p>
    <w:p w14:paraId="3B058C25" w14:textId="28087A0D" w:rsidR="00C74BA5" w:rsidRPr="000217C0" w:rsidRDefault="00000000" w:rsidP="0014243F">
      <w:pPr>
        <w:ind w:left="567" w:right="567"/>
        <w:jc w:val="both"/>
        <w:rPr>
          <w:rFonts w:ascii="Century" w:hAnsi="Century"/>
          <w:lang w:val="fr-FR"/>
        </w:rPr>
      </w:pPr>
      <w:r w:rsidRPr="000217C0">
        <w:rPr>
          <w:rFonts w:ascii="Century" w:hAnsi="Century"/>
          <w:lang w:val="fr-FR"/>
        </w:rPr>
        <w:t xml:space="preserve">En raison de ce système de vote préférentiel, les candidats en campagne dans une circonscription électorale donnée vont souvent indiquer à leurs électeurs quel candidat ceux-ci devraient mettre en « choix numéro 2 », en « choix numéro 3 », etc. Ces consignes de vote – communément appelées </w:t>
      </w:r>
      <w:r w:rsidRPr="000217C0">
        <w:rPr>
          <w:rFonts w:ascii="Century" w:hAnsi="Century"/>
          <w:i/>
          <w:iCs/>
          <w:lang w:val="fr-FR"/>
        </w:rPr>
        <w:t xml:space="preserve">How to vote (HTV) Cards </w:t>
      </w:r>
      <w:r w:rsidRPr="000217C0">
        <w:rPr>
          <w:rFonts w:ascii="Century" w:hAnsi="Century"/>
          <w:lang w:val="fr-FR"/>
        </w:rPr>
        <w:t>- tendent à favoriser les candidats concurrents présentant des similarités idéologiques avec</w:t>
      </w:r>
      <w:r w:rsidR="006E403C" w:rsidRPr="000217C0">
        <w:rPr>
          <w:rFonts w:ascii="Century" w:hAnsi="Century"/>
          <w:lang w:val="fr-FR"/>
        </w:rPr>
        <w:t xml:space="preserve"> </w:t>
      </w:r>
      <w:r w:rsidRPr="000217C0">
        <w:rPr>
          <w:rFonts w:ascii="Century" w:hAnsi="Century"/>
          <w:lang w:val="fr-FR"/>
        </w:rPr>
        <w:t>celui qui les formule</w:t>
      </w:r>
      <w:r>
        <w:rPr>
          <w:rStyle w:val="Appelnotedebasdep"/>
          <w:rFonts w:ascii="Century" w:hAnsi="Century"/>
          <w:lang w:val="fr-FR"/>
        </w:rPr>
        <w:footnoteReference w:id="46"/>
      </w:r>
      <w:r w:rsidRPr="000217C0">
        <w:rPr>
          <w:rFonts w:ascii="Century" w:hAnsi="Century"/>
          <w:lang w:val="fr-FR"/>
        </w:rPr>
        <w:t xml:space="preserve">. </w:t>
      </w:r>
    </w:p>
    <w:p w14:paraId="0DB50D44" w14:textId="683F0216" w:rsidR="00C74BA5" w:rsidRPr="000217C0" w:rsidRDefault="00000000" w:rsidP="0014243F">
      <w:pPr>
        <w:ind w:left="567" w:right="567"/>
        <w:jc w:val="both"/>
        <w:rPr>
          <w:rFonts w:ascii="Century" w:hAnsi="Century"/>
          <w:lang w:val="fr-FR"/>
        </w:rPr>
      </w:pPr>
      <w:r w:rsidRPr="000217C0">
        <w:rPr>
          <w:rFonts w:ascii="Century" w:hAnsi="Century"/>
          <w:lang w:val="fr-FR"/>
        </w:rPr>
        <w:t>Cet exemple australien fait bien apparaître</w:t>
      </w:r>
      <w:r w:rsidR="006E403C" w:rsidRPr="000217C0">
        <w:rPr>
          <w:rFonts w:ascii="Century" w:hAnsi="Century"/>
          <w:lang w:val="fr-FR"/>
        </w:rPr>
        <w:t xml:space="preserve"> </w:t>
      </w:r>
      <w:r w:rsidRPr="000217C0">
        <w:rPr>
          <w:rFonts w:ascii="Century" w:hAnsi="Century"/>
          <w:lang w:val="fr-FR"/>
        </w:rPr>
        <w:t xml:space="preserve">l’effet potentiel que peut avoir sur la campagne électorale la possibilité pour un électeur de soutenir plusieurs candidats. </w:t>
      </w:r>
    </w:p>
    <w:p w14:paraId="781F3E46" w14:textId="543FFD21" w:rsidR="00C74BA5" w:rsidRPr="0014243F" w:rsidRDefault="00000000" w:rsidP="000217C0">
      <w:pPr>
        <w:ind w:left="567" w:right="567"/>
        <w:jc w:val="both"/>
        <w:rPr>
          <w:rFonts w:ascii="Century" w:hAnsi="Century"/>
          <w:lang w:val="fr-FR"/>
        </w:rPr>
      </w:pPr>
      <w:r w:rsidRPr="000217C0">
        <w:rPr>
          <w:rFonts w:ascii="Century" w:hAnsi="Century"/>
          <w:lang w:val="fr-FR"/>
        </w:rPr>
        <w:lastRenderedPageBreak/>
        <w:t>Malgré ces deux effets « bénéfiques » virtuels, il paraît en pratique difficile de soutenir de manière générale que la liberté laissée aux électeur</w:t>
      </w:r>
      <w:r w:rsidR="00924952">
        <w:rPr>
          <w:rFonts w:ascii="Century" w:hAnsi="Century"/>
          <w:lang w:val="fr-FR"/>
        </w:rPr>
        <w:t>s</w:t>
      </w:r>
      <w:r w:rsidRPr="000217C0">
        <w:rPr>
          <w:rFonts w:ascii="Century" w:hAnsi="Century"/>
          <w:lang w:val="fr-FR"/>
        </w:rPr>
        <w:t xml:space="preserve"> de soutenir plusieurs partis politiques dans le cadre d’une même élection facilite toujours la formation des gouvernements.  </w:t>
      </w:r>
    </w:p>
    <w:p w14:paraId="4C068C8A" w14:textId="77777777" w:rsidR="00C74BA5" w:rsidRPr="000217C0" w:rsidRDefault="00C74BA5" w:rsidP="000217C0">
      <w:pPr>
        <w:ind w:left="567" w:right="567"/>
        <w:jc w:val="both"/>
        <w:rPr>
          <w:rFonts w:ascii="Century" w:hAnsi="Century"/>
          <w:lang w:val="fr-BE"/>
        </w:rPr>
      </w:pPr>
    </w:p>
    <w:p w14:paraId="65D813C6" w14:textId="3E8EB98E" w:rsidR="00FE5D46" w:rsidRPr="000217C0" w:rsidRDefault="00000000" w:rsidP="00C47D72">
      <w:pPr>
        <w:pStyle w:val="Titre2"/>
        <w:ind w:left="927"/>
      </w:pPr>
      <w:bookmarkStart w:id="13" w:name="_Toc132791633"/>
      <w:bookmarkStart w:id="14" w:name="_Toc132791729"/>
      <w:r w:rsidRPr="000217C0">
        <w:t>Trois</w:t>
      </w:r>
      <w:r w:rsidR="00E468AE" w:rsidRPr="000217C0">
        <w:t>ième piste : une circonscription électorale fédérale</w:t>
      </w:r>
      <w:bookmarkEnd w:id="13"/>
      <w:bookmarkEnd w:id="14"/>
    </w:p>
    <w:p w14:paraId="2D7B6D85" w14:textId="77777777" w:rsidR="00FE5D46" w:rsidRPr="000217C0" w:rsidRDefault="00FE5D46">
      <w:pPr>
        <w:pStyle w:val="Paragraphedeliste"/>
        <w:ind w:left="567" w:right="567"/>
        <w:jc w:val="both"/>
        <w:rPr>
          <w:rFonts w:ascii="Century" w:hAnsi="Century"/>
          <w:i/>
        </w:rPr>
      </w:pPr>
    </w:p>
    <w:p w14:paraId="732551F1" w14:textId="3AB2475D" w:rsidR="00FE5D46" w:rsidRPr="000217C0" w:rsidRDefault="00000000">
      <w:pPr>
        <w:ind w:left="567" w:right="567"/>
        <w:jc w:val="both"/>
        <w:rPr>
          <w:rFonts w:ascii="Century" w:hAnsi="Century"/>
          <w:lang w:val="fr-BE" w:eastAsia="ja-JP"/>
        </w:rPr>
      </w:pPr>
      <w:r w:rsidRPr="000217C0">
        <w:rPr>
          <w:rFonts w:ascii="Century" w:hAnsi="Century"/>
          <w:lang w:val="fr-BE" w:eastAsia="ja-JP"/>
        </w:rPr>
        <w:t>L’institution d’une circonscription électorale fédérale couvrant l’ensemble du territoire de la Belgique, non pas pour élire la totalité des députés, mais une fraction à déterminer d’entre eux nous semble éminemment recommandable</w:t>
      </w:r>
      <w:r>
        <w:rPr>
          <w:rStyle w:val="Appelnotedebasdep"/>
          <w:rFonts w:ascii="Century" w:hAnsi="Century"/>
          <w:sz w:val="24"/>
          <w:lang w:eastAsia="ja-JP"/>
        </w:rPr>
        <w:footnoteReference w:id="47"/>
      </w:r>
      <w:r w:rsidRPr="000217C0">
        <w:rPr>
          <w:rFonts w:ascii="Century" w:hAnsi="Century"/>
          <w:lang w:val="fr-BE" w:eastAsia="ja-JP"/>
        </w:rPr>
        <w:t>. Ceux qui s’opposent à une telle idée relèvent souvent que pareille circonscription n’existe ni en Allemagne, ni en Suisse ni aux Etats-Unis. Mais dans ces Etats, il existe des partis nationaux. En Suisse, les référendums fédéraux réunissent les citoyens au-delà de leur canton. Et aux Etats-Unis, les citoyens votent tous ensemble pour élire leur président. La vertu de ce dispositif serait de remédier aux effets négatifs du système consociatif dont on a pu mesurer les limites lors des dernières crises</w:t>
      </w:r>
      <w:r>
        <w:rPr>
          <w:rStyle w:val="Appelnotedebasdep"/>
          <w:rFonts w:ascii="Century" w:hAnsi="Century"/>
          <w:sz w:val="24"/>
          <w:lang w:eastAsia="ja-JP"/>
        </w:rPr>
        <w:footnoteReference w:id="48"/>
      </w:r>
      <w:r w:rsidRPr="000217C0">
        <w:rPr>
          <w:rFonts w:ascii="Century" w:hAnsi="Century"/>
          <w:lang w:val="fr-BE" w:eastAsia="ja-JP"/>
        </w:rPr>
        <w:t xml:space="preserve"> et de </w:t>
      </w:r>
      <w:r w:rsidR="00BB4B8A" w:rsidRPr="000217C0">
        <w:rPr>
          <w:rFonts w:ascii="Century" w:hAnsi="Century"/>
          <w:lang w:val="fr-BE" w:eastAsia="ja-JP"/>
        </w:rPr>
        <w:t>contrebalancer</w:t>
      </w:r>
      <w:r w:rsidRPr="000217C0">
        <w:rPr>
          <w:rFonts w:ascii="Century" w:hAnsi="Century"/>
          <w:lang w:val="fr-BE" w:eastAsia="ja-JP"/>
        </w:rPr>
        <w:t xml:space="preserve"> l’absence des partis nationaux propre à la Belgique, en forçant une partie du personnel politique à entendre les attentes et les réactions des opinions publiques et à dialoguer de manière responsable avec celles-ci au-delà des limites de leur région</w:t>
      </w:r>
      <w:r w:rsidR="007772F3" w:rsidRPr="000217C0">
        <w:rPr>
          <w:rFonts w:ascii="Century" w:hAnsi="Century"/>
          <w:lang w:val="fr-BE" w:eastAsia="ja-JP"/>
        </w:rPr>
        <w:t xml:space="preserve"> linguistique</w:t>
      </w:r>
      <w:r>
        <w:rPr>
          <w:rStyle w:val="Appelnotedebasdep"/>
          <w:rFonts w:ascii="Century" w:hAnsi="Century"/>
          <w:sz w:val="24"/>
          <w:lang w:eastAsia="ja-JP"/>
        </w:rPr>
        <w:footnoteReference w:id="49"/>
      </w:r>
      <w:r w:rsidRPr="000217C0">
        <w:rPr>
          <w:rFonts w:ascii="Century" w:hAnsi="Century"/>
          <w:lang w:val="fr-BE" w:eastAsia="ja-JP"/>
        </w:rPr>
        <w:t xml:space="preserve">.  </w:t>
      </w:r>
    </w:p>
    <w:p w14:paraId="51AE3A35" w14:textId="77777777" w:rsidR="00FE5D46" w:rsidRPr="000217C0" w:rsidRDefault="00000000">
      <w:pPr>
        <w:ind w:left="567" w:right="567"/>
        <w:jc w:val="both"/>
        <w:rPr>
          <w:rFonts w:ascii="Century" w:hAnsi="Century"/>
          <w:lang w:val="fr-BE" w:eastAsia="ja-JP"/>
        </w:rPr>
      </w:pPr>
      <w:r w:rsidRPr="000217C0">
        <w:rPr>
          <w:rFonts w:ascii="Century" w:hAnsi="Century"/>
          <w:lang w:val="fr-BE" w:eastAsia="ja-JP"/>
        </w:rPr>
        <w:t>Une circonscription fédérale se justifie par le « souci de maintenir un dialogue communautaire non seulement entre dirigeants de formations politiques, mais également entre ces dirigeants et les citoyens appartenant à une autre communauté linguistique que la leur »</w:t>
      </w:r>
      <w:r>
        <w:rPr>
          <w:rStyle w:val="Appelnotedebasdep"/>
          <w:rFonts w:ascii="Century" w:hAnsi="Century"/>
          <w:sz w:val="24"/>
          <w:lang w:eastAsia="ja-JP"/>
        </w:rPr>
        <w:footnoteReference w:id="50"/>
      </w:r>
      <w:r w:rsidRPr="000217C0">
        <w:rPr>
          <w:rFonts w:ascii="Century" w:hAnsi="Century"/>
          <w:lang w:val="fr-BE" w:eastAsia="ja-JP"/>
        </w:rPr>
        <w:t xml:space="preserve">. A l’occasion des crises majeures de 2007 et 2010-2011, l’idée initialement avancée par le politologue flamand Kris </w:t>
      </w:r>
      <w:r w:rsidRPr="000217C0">
        <w:rPr>
          <w:rFonts w:ascii="Century" w:hAnsi="Century"/>
          <w:lang w:val="fr-BE" w:eastAsia="ja-JP"/>
        </w:rPr>
        <w:lastRenderedPageBreak/>
        <w:t>Deschouwer et le philosophe francophone Philippe Van Parys « a progressivement perdu son statut de ‘ballon d’essai’ purement académique pour prendre clairement sa place au sein du débat politique »</w:t>
      </w:r>
      <w:r>
        <w:rPr>
          <w:rStyle w:val="Appelnotedebasdep"/>
          <w:rFonts w:ascii="Century" w:hAnsi="Century"/>
          <w:sz w:val="24"/>
          <w:lang w:eastAsia="ja-JP"/>
        </w:rPr>
        <w:footnoteReference w:id="51"/>
      </w:r>
      <w:r w:rsidRPr="000217C0">
        <w:rPr>
          <w:rFonts w:ascii="Century" w:hAnsi="Century"/>
          <w:lang w:val="fr-BE" w:eastAsia="ja-JP"/>
        </w:rPr>
        <w:t>. Mais la sixième réforme de l’Etat (2012-2014) qui aurait pu la traduire en droit l’a conduite dans un de ces « frigos » dont les négociateurs belges ont le secret quand ils veulent « encommissionner » une proposition qui ne fait pas consensus</w:t>
      </w:r>
      <w:r>
        <w:rPr>
          <w:rStyle w:val="Appelnotedebasdep"/>
          <w:rFonts w:ascii="Century" w:hAnsi="Century"/>
          <w:sz w:val="24"/>
          <w:lang w:eastAsia="ja-JP"/>
        </w:rPr>
        <w:footnoteReference w:id="52"/>
      </w:r>
      <w:r w:rsidRPr="000217C0">
        <w:rPr>
          <w:rFonts w:ascii="Century" w:hAnsi="Century"/>
          <w:lang w:val="fr-BE" w:eastAsia="ja-JP"/>
        </w:rPr>
        <w:t xml:space="preserve">.  </w:t>
      </w:r>
    </w:p>
    <w:p w14:paraId="5D7A97B5" w14:textId="77777777" w:rsidR="003A436A" w:rsidRPr="000217C0" w:rsidRDefault="003A436A">
      <w:pPr>
        <w:ind w:left="567" w:right="567"/>
        <w:jc w:val="both"/>
        <w:rPr>
          <w:rFonts w:ascii="Century" w:hAnsi="Century"/>
          <w:lang w:val="fr-BE" w:eastAsia="ja-JP"/>
        </w:rPr>
      </w:pPr>
    </w:p>
    <w:p w14:paraId="733F68AE" w14:textId="10A52FA8" w:rsidR="00FE5D46" w:rsidRPr="000217C0" w:rsidRDefault="00000000" w:rsidP="00C47D72">
      <w:pPr>
        <w:pStyle w:val="Titre2"/>
        <w:ind w:left="927"/>
      </w:pPr>
      <w:bookmarkStart w:id="15" w:name="_Toc132791634"/>
      <w:bookmarkStart w:id="16" w:name="_Toc132791730"/>
      <w:r w:rsidRPr="000217C0">
        <w:t>Quatr</w:t>
      </w:r>
      <w:r w:rsidR="00E468AE" w:rsidRPr="000217C0">
        <w:t>ième piste : la désynchronisation des élections fédérales et régionales</w:t>
      </w:r>
      <w:bookmarkEnd w:id="15"/>
      <w:bookmarkEnd w:id="16"/>
    </w:p>
    <w:p w14:paraId="629FCDC6" w14:textId="77777777" w:rsidR="00FE5D46" w:rsidRPr="000217C0" w:rsidRDefault="00FE5D46">
      <w:pPr>
        <w:pStyle w:val="Paragraphedeliste"/>
        <w:ind w:left="567" w:right="567"/>
        <w:jc w:val="both"/>
        <w:rPr>
          <w:rFonts w:ascii="Century" w:hAnsi="Century"/>
          <w:i/>
          <w:lang w:eastAsia="ja-JP"/>
        </w:rPr>
      </w:pPr>
    </w:p>
    <w:p w14:paraId="27A61ACB" w14:textId="77777777" w:rsidR="00FE5D46" w:rsidRPr="000217C0" w:rsidRDefault="00000000">
      <w:pPr>
        <w:ind w:left="567" w:right="567"/>
        <w:jc w:val="both"/>
        <w:rPr>
          <w:rFonts w:ascii="Century" w:hAnsi="Century"/>
          <w:lang w:val="fr-BE" w:eastAsia="ja-JP"/>
        </w:rPr>
      </w:pPr>
      <w:r w:rsidRPr="000217C0">
        <w:rPr>
          <w:rFonts w:ascii="Century" w:hAnsi="Century"/>
          <w:lang w:val="fr-BE" w:eastAsia="ja-JP"/>
        </w:rPr>
        <w:t>La Commission de la Constitution et du Renouveau institutionnel a entendu, lors des auditions du 21 septembre 2022 et du 7 décembre 2022, les arguments de Dave Sinardet et Jeremy Dodeigne contre la désynchronisation des élections fédérales et régionales et ceux de Jean Faniel et Marc Uyttendaele en faveur de cette désynchronisation. La logique fédérale abstraite plaide pour celle-ci, mais la crainte concrète des effets de perturbation et d’induction d’une campagne électorale permanente est un argument en sens opposé. En réalité, les auteurs de la sixième réforme de l’Etat ont pratiqué l’art de ne pas choisir entre ces deux formules. En effet, compte tenu des dispositions transitoires des articles 46, 65 et 117 de la Constitution, ce n’est qu’en l’absence d’une dissolution anticipée et en l’absence d’une loi spéciale qui permettrait aux entités fédérées de régler en toute autonomie la durée de leur législature que l’alignement des élections européennes, fédérales et régionales est garanti</w:t>
      </w:r>
      <w:r>
        <w:rPr>
          <w:rStyle w:val="Appelnotedebasdep"/>
          <w:rFonts w:ascii="Century" w:hAnsi="Century"/>
          <w:sz w:val="24"/>
          <w:lang w:eastAsia="ja-JP"/>
        </w:rPr>
        <w:footnoteReference w:id="53"/>
      </w:r>
      <w:r w:rsidRPr="000217C0">
        <w:rPr>
          <w:rFonts w:ascii="Century" w:hAnsi="Century"/>
          <w:lang w:val="fr-BE" w:eastAsia="ja-JP"/>
        </w:rPr>
        <w:t xml:space="preserve">. </w:t>
      </w:r>
    </w:p>
    <w:p w14:paraId="0D1AB9A9" w14:textId="77777777" w:rsidR="00FE5D46" w:rsidRPr="000217C0" w:rsidRDefault="00000000">
      <w:pPr>
        <w:ind w:left="567" w:right="567"/>
        <w:jc w:val="both"/>
        <w:rPr>
          <w:rFonts w:ascii="Century" w:hAnsi="Century"/>
          <w:lang w:val="fr-BE" w:eastAsia="ja-JP"/>
        </w:rPr>
      </w:pPr>
      <w:r w:rsidRPr="000217C0">
        <w:rPr>
          <w:rFonts w:ascii="Century" w:hAnsi="Century"/>
          <w:lang w:val="fr-BE" w:eastAsia="ja-JP"/>
        </w:rPr>
        <w:t xml:space="preserve">À vrai dire, il est très difficile de prévoir l’incidence qu’une désynchronisation pourrait avoir sur la durée de la formation du gouvernement fédéral. Dans les deux cas de figure, les négociations à un niveau peuvent perturber les négociations ou la stabilité des équipes à l’autre niveau. </w:t>
      </w:r>
    </w:p>
    <w:p w14:paraId="6B98CA9A" w14:textId="77777777" w:rsidR="003A436A" w:rsidRPr="000217C0" w:rsidRDefault="003A436A">
      <w:pPr>
        <w:ind w:left="567" w:right="567"/>
        <w:jc w:val="both"/>
        <w:rPr>
          <w:rFonts w:ascii="Century" w:hAnsi="Century"/>
          <w:lang w:val="fr-BE" w:eastAsia="ja-JP"/>
        </w:rPr>
      </w:pPr>
    </w:p>
    <w:p w14:paraId="55514948" w14:textId="0A4027D1" w:rsidR="00FE5D46" w:rsidRPr="000217C0" w:rsidRDefault="00000000" w:rsidP="00C47D72">
      <w:pPr>
        <w:pStyle w:val="Titre2"/>
        <w:ind w:left="927"/>
      </w:pPr>
      <w:bookmarkStart w:id="17" w:name="_Toc132791635"/>
      <w:bookmarkStart w:id="18" w:name="_Toc132791731"/>
      <w:r w:rsidRPr="000217C0">
        <w:t>Cinqu</w:t>
      </w:r>
      <w:r w:rsidR="00E468AE" w:rsidRPr="000217C0">
        <w:t>ième piste : une parlementarisation du processus</w:t>
      </w:r>
      <w:bookmarkEnd w:id="17"/>
      <w:bookmarkEnd w:id="18"/>
    </w:p>
    <w:p w14:paraId="2A753489" w14:textId="77777777" w:rsidR="00FE5D46" w:rsidRPr="0014243F" w:rsidRDefault="00FE5D46">
      <w:pPr>
        <w:spacing w:after="0" w:line="240" w:lineRule="auto"/>
        <w:ind w:left="567" w:right="567"/>
        <w:jc w:val="both"/>
        <w:rPr>
          <w:rFonts w:ascii="Century" w:eastAsia="Times New Roman" w:hAnsi="Century" w:cs="Times New Roman"/>
          <w:i/>
          <w:sz w:val="28"/>
          <w:szCs w:val="28"/>
          <w:lang w:val="fr-BE" w:eastAsia="ja-JP"/>
        </w:rPr>
      </w:pPr>
    </w:p>
    <w:p w14:paraId="12B2B341" w14:textId="6468820A" w:rsidR="00FE5D46" w:rsidRPr="000217C0" w:rsidRDefault="00000000" w:rsidP="0014243F">
      <w:pPr>
        <w:ind w:left="567" w:right="567"/>
        <w:jc w:val="both"/>
        <w:rPr>
          <w:rFonts w:ascii="Century" w:eastAsia="Times New Roman" w:hAnsi="Century" w:cs="Times New Roman"/>
          <w:lang w:val="fr-BE" w:eastAsia="ja-JP"/>
        </w:rPr>
      </w:pPr>
      <w:r w:rsidRPr="000217C0">
        <w:rPr>
          <w:rFonts w:ascii="Century" w:eastAsia="Times New Roman" w:hAnsi="Century" w:cs="Times New Roman"/>
          <w:lang w:val="fr-BE" w:eastAsia="ja-JP"/>
        </w:rPr>
        <w:t xml:space="preserve">Nous verrons lors de l’examen de la </w:t>
      </w:r>
      <w:r w:rsidR="00887E2C" w:rsidRPr="000217C0">
        <w:rPr>
          <w:rFonts w:ascii="Century" w:eastAsia="Times New Roman" w:hAnsi="Century" w:cs="Times New Roman"/>
          <w:lang w:val="fr-BE" w:eastAsia="ja-JP"/>
        </w:rPr>
        <w:t xml:space="preserve">sixième et de la </w:t>
      </w:r>
      <w:r w:rsidRPr="000217C0">
        <w:rPr>
          <w:rFonts w:ascii="Century" w:eastAsia="Times New Roman" w:hAnsi="Century" w:cs="Times New Roman"/>
          <w:lang w:val="fr-BE" w:eastAsia="ja-JP"/>
        </w:rPr>
        <w:t>s</w:t>
      </w:r>
      <w:r w:rsidR="006E403C" w:rsidRPr="000217C0">
        <w:rPr>
          <w:rFonts w:ascii="Century" w:eastAsia="Times New Roman" w:hAnsi="Century" w:cs="Times New Roman"/>
          <w:lang w:val="fr-BE" w:eastAsia="ja-JP"/>
        </w:rPr>
        <w:t>ept</w:t>
      </w:r>
      <w:r w:rsidRPr="000217C0">
        <w:rPr>
          <w:rFonts w:ascii="Century" w:eastAsia="Times New Roman" w:hAnsi="Century" w:cs="Times New Roman"/>
          <w:lang w:val="fr-BE" w:eastAsia="ja-JP"/>
        </w:rPr>
        <w:t xml:space="preserve">ième piste que la Suède offre un exemple de parlementarisation complète du processus de formation du gouvernement, le Roi n’y jouant plus aucun rôle, même formel. </w:t>
      </w:r>
    </w:p>
    <w:p w14:paraId="6C937FE1" w14:textId="77777777" w:rsidR="00FE5D46" w:rsidRPr="000217C0" w:rsidRDefault="00000000" w:rsidP="0014243F">
      <w:pPr>
        <w:spacing w:line="240" w:lineRule="auto"/>
        <w:ind w:left="567" w:right="567"/>
        <w:jc w:val="both"/>
        <w:rPr>
          <w:rFonts w:ascii="Century" w:eastAsia="Times New Roman" w:hAnsi="Century" w:cs="Times New Roman"/>
          <w:lang w:val="fr-BE" w:eastAsia="ja-JP"/>
        </w:rPr>
      </w:pPr>
      <w:r w:rsidRPr="000217C0">
        <w:rPr>
          <w:rFonts w:ascii="Century" w:eastAsia="Times New Roman" w:hAnsi="Century" w:cs="Times New Roman"/>
          <w:lang w:val="fr-BE" w:eastAsia="ja-JP"/>
        </w:rPr>
        <w:t>Nous retiendrons ici un autre exemple moins radical, à savoir le modèle néerlandais</w:t>
      </w:r>
      <w:r>
        <w:rPr>
          <w:rFonts w:ascii="Century" w:eastAsia="Times New Roman" w:hAnsi="Century" w:cs="Times New Roman"/>
          <w:vertAlign w:val="superscript"/>
          <w:lang w:val="fr-BE" w:eastAsia="ja-JP"/>
        </w:rPr>
        <w:footnoteReference w:id="54"/>
      </w:r>
      <w:r w:rsidRPr="000217C0">
        <w:rPr>
          <w:rFonts w:ascii="Century" w:eastAsia="Times New Roman" w:hAnsi="Century" w:cs="Times New Roman"/>
          <w:lang w:val="fr-BE" w:eastAsia="ja-JP"/>
        </w:rPr>
        <w:t xml:space="preserve">. </w:t>
      </w:r>
    </w:p>
    <w:p w14:paraId="4E0AD6B6" w14:textId="77777777" w:rsidR="00FE5D46" w:rsidRPr="0014243F" w:rsidRDefault="00FE5D46" w:rsidP="0014243F">
      <w:pPr>
        <w:spacing w:after="0" w:line="240" w:lineRule="auto"/>
        <w:ind w:right="567"/>
        <w:jc w:val="both"/>
        <w:rPr>
          <w:rFonts w:ascii="Century" w:eastAsia="Times New Roman" w:hAnsi="Century" w:cs="Times New Roman"/>
          <w:sz w:val="28"/>
          <w:szCs w:val="28"/>
          <w:lang w:val="fr-BE" w:eastAsia="ja-JP"/>
        </w:rPr>
      </w:pPr>
    </w:p>
    <w:p w14:paraId="10DBE0F5" w14:textId="77777777" w:rsidR="00FE5D46" w:rsidRPr="000217C0" w:rsidRDefault="00000000">
      <w:pPr>
        <w:spacing w:after="0" w:line="240" w:lineRule="auto"/>
        <w:ind w:left="1440" w:right="567"/>
        <w:jc w:val="both"/>
        <w:rPr>
          <w:rFonts w:ascii="Century" w:hAnsi="Century"/>
          <w:sz w:val="20"/>
          <w:szCs w:val="20"/>
          <w:lang w:val="fr-FR"/>
        </w:rPr>
      </w:pPr>
      <w:r w:rsidRPr="000217C0">
        <w:rPr>
          <w:rFonts w:ascii="Century" w:hAnsi="Century"/>
          <w:sz w:val="20"/>
          <w:szCs w:val="20"/>
          <w:lang w:val="fr-FR"/>
        </w:rPr>
        <w:t xml:space="preserve">Aux Pays-Bas, comme en Belgique, ni la Constitution ni aucune loi ne précisent comment le gouvernement doit être formé. La Constitution précise simplement que les ministres doivent être nommés par le Roi (art. 43), mais aucune règle formelle ne régit la procédure conduisant à cette nomination. </w:t>
      </w:r>
    </w:p>
    <w:p w14:paraId="5E51CC80" w14:textId="77777777" w:rsidR="00FE5D46" w:rsidRPr="000217C0" w:rsidRDefault="00FE5D46">
      <w:pPr>
        <w:spacing w:after="0" w:line="240" w:lineRule="auto"/>
        <w:ind w:left="1440" w:right="567"/>
        <w:jc w:val="both"/>
        <w:rPr>
          <w:rFonts w:ascii="Century" w:hAnsi="Century"/>
          <w:sz w:val="20"/>
          <w:szCs w:val="20"/>
          <w:lang w:val="fr-FR"/>
        </w:rPr>
      </w:pPr>
    </w:p>
    <w:p w14:paraId="031F3EDE" w14:textId="77777777" w:rsidR="00FE5D46" w:rsidRPr="000217C0" w:rsidRDefault="00000000">
      <w:pPr>
        <w:spacing w:after="0" w:line="240" w:lineRule="auto"/>
        <w:ind w:left="1440" w:right="567"/>
        <w:jc w:val="both"/>
        <w:rPr>
          <w:rFonts w:ascii="Century" w:hAnsi="Century"/>
          <w:sz w:val="20"/>
          <w:szCs w:val="20"/>
          <w:lang w:val="fr-FR"/>
        </w:rPr>
      </w:pPr>
      <w:r w:rsidRPr="000217C0">
        <w:rPr>
          <w:rFonts w:ascii="Century" w:hAnsi="Century"/>
          <w:sz w:val="20"/>
          <w:szCs w:val="20"/>
          <w:lang w:val="fr-FR"/>
        </w:rPr>
        <w:t>Il n'existe pas non plus de vote parlementaire formel d'investiture pour les nouveaux gouvernements, car le cadre juridique néerlandais part du principe qu'un gouvernement bénéficie du soutien du Parlement jusqu'à ce qu'il soit rejeté par le Parlement</w:t>
      </w:r>
      <w:r>
        <w:rPr>
          <w:rStyle w:val="Appelnotedebasdep"/>
          <w:rFonts w:ascii="Century" w:hAnsi="Century"/>
          <w:sz w:val="20"/>
          <w:szCs w:val="20"/>
          <w:lang w:val="fr-FR"/>
        </w:rPr>
        <w:footnoteReference w:id="55"/>
      </w:r>
      <w:r w:rsidRPr="000217C0">
        <w:rPr>
          <w:rFonts w:ascii="Century" w:hAnsi="Century"/>
          <w:sz w:val="20"/>
          <w:szCs w:val="20"/>
          <w:lang w:val="fr-FR"/>
        </w:rPr>
        <w:t xml:space="preserve">. Ainsi, tout vote parlementaire peut se transformer en une motion de censure par laquelle une majorité de députés peut montrer qu'elle ne soutient plus le gouvernement. Si la confiance est perdue, les ministres doivent démissionner. </w:t>
      </w:r>
    </w:p>
    <w:p w14:paraId="1463BD7C" w14:textId="77777777" w:rsidR="00FE5D46" w:rsidRPr="000217C0" w:rsidRDefault="00FE5D46">
      <w:pPr>
        <w:spacing w:after="0" w:line="240" w:lineRule="auto"/>
        <w:ind w:left="1440" w:right="567"/>
        <w:jc w:val="both"/>
        <w:rPr>
          <w:rFonts w:ascii="Century" w:hAnsi="Century"/>
          <w:sz w:val="20"/>
          <w:szCs w:val="20"/>
          <w:lang w:val="fr-FR"/>
        </w:rPr>
      </w:pPr>
    </w:p>
    <w:p w14:paraId="5168E815" w14:textId="335EEBBA" w:rsidR="00FE5D46" w:rsidRPr="000217C0" w:rsidRDefault="00000000">
      <w:pPr>
        <w:spacing w:after="0" w:line="240" w:lineRule="auto"/>
        <w:ind w:left="1440" w:right="567"/>
        <w:jc w:val="both"/>
        <w:rPr>
          <w:rFonts w:ascii="Century" w:hAnsi="Century"/>
          <w:sz w:val="20"/>
          <w:szCs w:val="20"/>
          <w:lang w:val="fr-FR"/>
        </w:rPr>
      </w:pPr>
      <w:r w:rsidRPr="000217C0">
        <w:rPr>
          <w:rFonts w:ascii="Century" w:hAnsi="Century"/>
          <w:sz w:val="20"/>
          <w:szCs w:val="20"/>
          <w:lang w:val="fr-FR"/>
        </w:rPr>
        <w:t xml:space="preserve">Mais, malgré l'absence d'un cadre constitutionnel </w:t>
      </w:r>
      <w:r w:rsidR="007772F3" w:rsidRPr="000217C0">
        <w:rPr>
          <w:rFonts w:ascii="Century" w:hAnsi="Century"/>
          <w:sz w:val="20"/>
          <w:szCs w:val="20"/>
          <w:lang w:val="fr-FR"/>
        </w:rPr>
        <w:t xml:space="preserve">écrit </w:t>
      </w:r>
      <w:r w:rsidRPr="000217C0">
        <w:rPr>
          <w:rFonts w:ascii="Century" w:hAnsi="Century"/>
          <w:sz w:val="20"/>
          <w:szCs w:val="20"/>
          <w:lang w:val="fr-FR"/>
        </w:rPr>
        <w:t xml:space="preserve">ou législatif, la formation du cabinet néerlandais suit systématiquement une procédure complète et détaillée. La formation, l'investiture et la démission du gouvernement aux Pays-Bas reposent principalement sur quelques règles dans le règlement de la </w:t>
      </w:r>
      <w:r w:rsidRPr="000217C0">
        <w:rPr>
          <w:rFonts w:ascii="Century" w:hAnsi="Century"/>
          <w:i/>
          <w:iCs/>
          <w:sz w:val="20"/>
          <w:szCs w:val="20"/>
          <w:lang w:val="fr-FR"/>
        </w:rPr>
        <w:t>Tweede Kamer</w:t>
      </w:r>
      <w:r w:rsidRPr="000217C0">
        <w:rPr>
          <w:rFonts w:ascii="Century" w:hAnsi="Century"/>
          <w:sz w:val="20"/>
          <w:szCs w:val="20"/>
          <w:lang w:val="fr-FR"/>
        </w:rPr>
        <w:t>, des coutumes constitutionnelles et des traditions politiques informelles.</w:t>
      </w:r>
    </w:p>
    <w:p w14:paraId="409C43A6" w14:textId="77777777" w:rsidR="00FE5D46" w:rsidRPr="0014243F" w:rsidRDefault="00FE5D46">
      <w:pPr>
        <w:spacing w:after="0" w:line="240" w:lineRule="auto"/>
        <w:ind w:left="567" w:right="567"/>
        <w:jc w:val="both"/>
        <w:rPr>
          <w:rFonts w:ascii="Century" w:eastAsia="Times New Roman" w:hAnsi="Century" w:cs="Times New Roman"/>
          <w:sz w:val="28"/>
          <w:szCs w:val="28"/>
          <w:lang w:val="fr-BE" w:eastAsia="ja-JP"/>
        </w:rPr>
      </w:pPr>
    </w:p>
    <w:p w14:paraId="23CD29AC" w14:textId="1851AFDF" w:rsidR="00FE5D46" w:rsidRPr="000217C0" w:rsidRDefault="00000000" w:rsidP="0014243F">
      <w:pPr>
        <w:ind w:left="567" w:right="567"/>
        <w:jc w:val="both"/>
        <w:rPr>
          <w:rFonts w:ascii="Century" w:eastAsia="Times New Roman" w:hAnsi="Century" w:cs="Times New Roman"/>
          <w:lang w:val="fr-BE" w:eastAsia="fr-FR"/>
        </w:rPr>
      </w:pPr>
      <w:r w:rsidRPr="000217C0">
        <w:rPr>
          <w:rFonts w:ascii="Century" w:eastAsia="Times New Roman" w:hAnsi="Century" w:cs="Times New Roman"/>
          <w:lang w:val="fr-BE" w:eastAsia="ja-JP"/>
        </w:rPr>
        <w:t xml:space="preserve">Jusqu’en 2012, le monarque jouait un rôle non négligeable, comme en Belgique, lors de la formation des gouvernements. </w:t>
      </w:r>
      <w:r w:rsidRPr="000217C0">
        <w:rPr>
          <w:rFonts w:ascii="Century" w:eastAsia="Times New Roman" w:hAnsi="Century" w:cs="Times New Roman"/>
          <w:lang w:val="fr-FR" w:eastAsia="fr-FR"/>
        </w:rPr>
        <w:t xml:space="preserve">Tout a changé pendant la période qui a précédé la formation de la coalition de 2012, lorsque le Parlement a entendu réagir au mécontentement dû au manque de transparence du processus conduit par le monarque. Le Parlement s'est octroyé le droit de nommer l’informateur et le formateur et d’exiger de ceux-ci qu’ils lui rendent des comptes directement lors d'un débat parlementaire. </w:t>
      </w:r>
    </w:p>
    <w:p w14:paraId="11B6EAE0" w14:textId="10D4C99E"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 xml:space="preserve">Si les principales phases de la procédure usuelle de formation sont restées intactes, le rôle du Roi est devenu exclusivement protocolaire, limité à la nomination et la réception du serment des nouveaux ministres lors de la toute dernière étape. Probablement par habitude, lors de la première formation sous ces nouvelles règles, les deux informateurs impliqués dans la construction du cabinet Rutte II en 2012 se sont rendus au palais et ont informé le monarque de l'avancement des discussions, ce qui a été considéré surtout comme un acte de courtoisie largement accepté tant à l'intérieur qu’à l'extérieur du Parlement. La nouveauté réside dans le fait qu'ils se sont également rendus à la </w:t>
      </w:r>
      <w:r w:rsidRPr="000217C0">
        <w:rPr>
          <w:rFonts w:ascii="Century" w:eastAsia="Times New Roman" w:hAnsi="Century" w:cs="Times New Roman"/>
          <w:i/>
          <w:lang w:val="fr-FR" w:eastAsia="fr-FR"/>
        </w:rPr>
        <w:t>Tweede Kamer</w:t>
      </w:r>
      <w:r w:rsidRPr="000217C0">
        <w:rPr>
          <w:rFonts w:ascii="Century" w:eastAsia="Times New Roman" w:hAnsi="Century" w:cs="Times New Roman"/>
          <w:lang w:val="fr-FR" w:eastAsia="fr-FR"/>
        </w:rPr>
        <w:t xml:space="preserve"> pour informer tous les députés des progrès réalisés</w:t>
      </w:r>
      <w:r>
        <w:rPr>
          <w:rStyle w:val="Appelnotedebasdep"/>
          <w:rFonts w:ascii="Century" w:eastAsia="Times New Roman" w:hAnsi="Century" w:cs="Times New Roman"/>
          <w:lang w:val="fr-FR" w:eastAsia="fr-FR"/>
        </w:rPr>
        <w:footnoteReference w:id="56"/>
      </w:r>
      <w:r w:rsidRPr="000217C0">
        <w:rPr>
          <w:rFonts w:ascii="Century" w:eastAsia="Times New Roman" w:hAnsi="Century" w:cs="Times New Roman"/>
          <w:lang w:val="fr-FR" w:eastAsia="fr-FR"/>
        </w:rPr>
        <w:t xml:space="preserve">. </w:t>
      </w:r>
    </w:p>
    <w:p w14:paraId="72D72F33" w14:textId="25B161D0"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lastRenderedPageBreak/>
        <w:t xml:space="preserve">Les nouvelles règles énoncées dans les articles 11.1 et 11.2 </w:t>
      </w:r>
      <w:r w:rsidR="0066065D" w:rsidRPr="000217C0">
        <w:rPr>
          <w:rFonts w:ascii="Century" w:eastAsia="Times New Roman" w:hAnsi="Century" w:cs="Times New Roman"/>
          <w:lang w:val="fr-FR" w:eastAsia="fr-FR"/>
        </w:rPr>
        <w:t xml:space="preserve">du </w:t>
      </w:r>
      <w:r w:rsidR="0066065D" w:rsidRPr="000217C0">
        <w:rPr>
          <w:rFonts w:ascii="Century" w:eastAsia="Times New Roman" w:hAnsi="Century" w:cs="Times New Roman"/>
          <w:u w:val="single"/>
          <w:lang w:val="fr-FR" w:eastAsia="fr-FR"/>
        </w:rPr>
        <w:t xml:space="preserve">règlement de la </w:t>
      </w:r>
      <w:r w:rsidR="0066065D" w:rsidRPr="000217C0">
        <w:rPr>
          <w:rFonts w:ascii="Century" w:eastAsia="Times New Roman" w:hAnsi="Century" w:cs="Times New Roman"/>
          <w:i/>
          <w:u w:val="single"/>
          <w:lang w:val="fr-FR" w:eastAsia="fr-FR"/>
        </w:rPr>
        <w:t>Tweede Kamer</w:t>
      </w:r>
      <w:r>
        <w:rPr>
          <w:rFonts w:ascii="Century" w:eastAsia="Times New Roman" w:hAnsi="Century" w:cs="Times New Roman"/>
          <w:vertAlign w:val="superscript"/>
          <w:lang w:val="fr-FR" w:eastAsia="fr-FR"/>
        </w:rPr>
        <w:footnoteReference w:id="57"/>
      </w:r>
      <w:r w:rsidR="0066065D" w:rsidRPr="000217C0">
        <w:rPr>
          <w:rFonts w:ascii="Century" w:eastAsia="Times New Roman" w:hAnsi="Century" w:cs="Times New Roman"/>
          <w:lang w:val="fr-FR" w:eastAsia="fr-FR"/>
        </w:rPr>
        <w:t xml:space="preserve"> (</w:t>
      </w:r>
      <w:r w:rsidR="0066065D" w:rsidRPr="000217C0">
        <w:rPr>
          <w:rFonts w:ascii="Century" w:eastAsia="Times New Roman" w:hAnsi="Century" w:cs="Times New Roman"/>
          <w:i/>
          <w:lang w:val="fr-FR" w:eastAsia="fr-FR"/>
        </w:rPr>
        <w:t>Reglement van Orde Tweede Kamer</w:t>
      </w:r>
      <w:r w:rsidR="0066065D" w:rsidRPr="000217C0">
        <w:rPr>
          <w:rFonts w:ascii="Century" w:eastAsia="Times New Roman" w:hAnsi="Century" w:cs="Times New Roman"/>
          <w:lang w:val="fr-FR" w:eastAsia="fr-FR"/>
        </w:rPr>
        <w:t>)</w:t>
      </w:r>
      <w:r w:rsidR="00BB4B8A" w:rsidRPr="000217C0">
        <w:rPr>
          <w:rFonts w:ascii="Century" w:eastAsia="Times New Roman" w:hAnsi="Century" w:cs="Times New Roman"/>
          <w:lang w:val="fr-FR" w:eastAsia="fr-FR"/>
        </w:rPr>
        <w:t xml:space="preserve"> </w:t>
      </w:r>
      <w:r w:rsidRPr="000217C0">
        <w:rPr>
          <w:rFonts w:ascii="Century" w:eastAsia="Times New Roman" w:hAnsi="Century" w:cs="Times New Roman"/>
          <w:lang w:val="fr-FR" w:eastAsia="fr-FR"/>
        </w:rPr>
        <w:t xml:space="preserve">prescrivent que dans la semaine qui suit les élections, la </w:t>
      </w:r>
      <w:r w:rsidRPr="000217C0">
        <w:rPr>
          <w:rFonts w:ascii="Century" w:eastAsia="Times New Roman" w:hAnsi="Century" w:cs="Times New Roman"/>
          <w:i/>
          <w:lang w:val="fr-FR" w:eastAsia="fr-FR"/>
        </w:rPr>
        <w:t>Tweede Kamer</w:t>
      </w:r>
      <w:r w:rsidRPr="000217C0">
        <w:rPr>
          <w:rFonts w:ascii="Century" w:eastAsia="Times New Roman" w:hAnsi="Century" w:cs="Times New Roman"/>
          <w:lang w:val="fr-FR" w:eastAsia="fr-FR"/>
        </w:rPr>
        <w:t xml:space="preserve"> se réunit pour débattre du résultat des élections, nommer un ou plusieurs informateurs ou formateurs et déterminer leur mission. Si aucun accord ne peut être trouvé sur la personne à nommer en tant que (in)formateur, le Parlement doit se déterminer lors d’une nouvelle réunion « dès que possible ». Une fois que l'informateur a terminé sa mission et fait son rapport à la </w:t>
      </w:r>
      <w:r w:rsidRPr="000217C0">
        <w:rPr>
          <w:rFonts w:ascii="Century" w:eastAsia="Times New Roman" w:hAnsi="Century" w:cs="Times New Roman"/>
          <w:i/>
          <w:lang w:val="fr-FR" w:eastAsia="fr-FR"/>
        </w:rPr>
        <w:t>Tweede Kamer</w:t>
      </w:r>
      <w:r w:rsidRPr="000217C0">
        <w:rPr>
          <w:rFonts w:ascii="Century" w:eastAsia="Times New Roman" w:hAnsi="Century" w:cs="Times New Roman"/>
          <w:lang w:val="fr-FR" w:eastAsia="fr-FR"/>
        </w:rPr>
        <w:t xml:space="preserve">, celle-ci désigne un formateur « en principe » dans un délai d'une semaine. Si l'informateur ou le formateur demande à être déchargé, la </w:t>
      </w:r>
      <w:r w:rsidRPr="000217C0">
        <w:rPr>
          <w:rFonts w:ascii="Century" w:eastAsia="Times New Roman" w:hAnsi="Century" w:cs="Times New Roman"/>
          <w:i/>
          <w:lang w:val="fr-FR" w:eastAsia="fr-FR"/>
        </w:rPr>
        <w:t>Tweede Kamer</w:t>
      </w:r>
      <w:r w:rsidRPr="000217C0">
        <w:rPr>
          <w:rFonts w:ascii="Century" w:eastAsia="Times New Roman" w:hAnsi="Century" w:cs="Times New Roman"/>
          <w:lang w:val="fr-FR" w:eastAsia="fr-FR"/>
        </w:rPr>
        <w:t xml:space="preserve"> le remplace également « en principe » dans un délai d'une semaine. Leurs principales tâches restent inchangées et consistent à identifier la coalition la plus viable et la plus probable, à présider les négociations entre les partis de gouvernement potentiels sur un éventuel programme de coalition et à convenir d'une répartition équitable et acceptable des portefeuilles ministériels. Là encore, la principale modification réside dans le fait qu'il doit faire rapport au Parlement plutôt qu'au monarque, ce qui permet à la </w:t>
      </w:r>
      <w:r w:rsidRPr="000217C0">
        <w:rPr>
          <w:rFonts w:ascii="Century" w:eastAsia="Times New Roman" w:hAnsi="Century" w:cs="Times New Roman"/>
          <w:i/>
          <w:lang w:val="fr-FR" w:eastAsia="fr-FR"/>
        </w:rPr>
        <w:t>Tweede Kamer</w:t>
      </w:r>
      <w:r w:rsidRPr="000217C0">
        <w:rPr>
          <w:rFonts w:ascii="Century" w:eastAsia="Times New Roman" w:hAnsi="Century" w:cs="Times New Roman"/>
          <w:lang w:val="fr-FR" w:eastAsia="fr-FR"/>
        </w:rPr>
        <w:t xml:space="preserve"> d'interroger directement l'informateur sur ses conclusions et de débattre de la marche à suivre.</w:t>
      </w:r>
    </w:p>
    <w:p w14:paraId="1C98C7D2" w14:textId="21023C56"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 xml:space="preserve">La longueur des dernières formations gouvernementales (225 jours pour le gouvernement Rutte III en 2017 et 271 jours pour le gouvernement Rutte IV en 2021-2022) ne permet pas de déduire de ce phénomène de parlementarisation de la procédure des indices d’une accélération de son déroulement. Tout au plus, apporte-t-il une plus grande transparence. </w:t>
      </w:r>
    </w:p>
    <w:p w14:paraId="01238691" w14:textId="6DD16590"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Que penser de son éventuelle transposition en Belgique</w:t>
      </w:r>
      <w:r>
        <w:rPr>
          <w:rFonts w:ascii="Century" w:eastAsia="Times New Roman" w:hAnsi="Century" w:cs="Times New Roman"/>
          <w:vertAlign w:val="superscript"/>
          <w:lang w:val="fr-FR" w:eastAsia="fr-FR"/>
        </w:rPr>
        <w:footnoteReference w:id="58"/>
      </w:r>
      <w:r w:rsidRPr="000217C0">
        <w:rPr>
          <w:rFonts w:ascii="Century" w:eastAsia="Times New Roman" w:hAnsi="Century" w:cs="Times New Roman"/>
          <w:lang w:val="fr-FR" w:eastAsia="fr-FR"/>
        </w:rPr>
        <w:t> ? Il nous semble que le clivage communautaire rend l’intervention du Roi qui est prévue par la coutume constitutionnelle dans le prolongement de l’article 96, al. 1</w:t>
      </w:r>
      <w:r w:rsidRPr="000217C0">
        <w:rPr>
          <w:rFonts w:ascii="Century" w:eastAsia="Times New Roman" w:hAnsi="Century" w:cs="Times New Roman"/>
          <w:vertAlign w:val="superscript"/>
          <w:lang w:val="fr-FR" w:eastAsia="fr-FR"/>
        </w:rPr>
        <w:t>er</w:t>
      </w:r>
      <w:r w:rsidRPr="000217C0">
        <w:rPr>
          <w:rFonts w:ascii="Century" w:eastAsia="Times New Roman" w:hAnsi="Century" w:cs="Times New Roman"/>
          <w:lang w:val="fr-FR" w:eastAsia="fr-FR"/>
        </w:rPr>
        <w:t xml:space="preserve">, de la Constitution, assez précieuse. On peut en effet lui accorder le crédit d’une certaine neutralité. On pourrait sans doute rompre la coutume constitutionnelle en imaginant que la Chambre nomme nécessairement deux informateurs et deux formateurs, un de chaque rôle linguistique. Mais il est loin d’être sûr que pareille innovation facilite et accélère le processus de formation du gouvernement. L’organisation de ce vote poserait en outre la question de savoir s’il devrait s’accompagner de l’exigence d’une majorité ou d’une fraction minimale dans chaque groupe linguistique. Un rôle donné au </w:t>
      </w:r>
      <w:r w:rsidRPr="000217C0">
        <w:rPr>
          <w:rFonts w:ascii="Century" w:eastAsia="Times New Roman" w:hAnsi="Century" w:cs="Times New Roman"/>
          <w:lang w:val="fr-FR" w:eastAsia="fr-FR"/>
        </w:rPr>
        <w:lastRenderedPageBreak/>
        <w:t xml:space="preserve">président de la Chambre pose le même problème. Il n’est ni au-dessus des partis ni au-dessus du clivage linguistique. Quant à l’idée d’investir les chefs de groupe de la fonction de négociateurs, elle ne résout en rien la nécessité de désigner un responsable de l’organisation des négociations. </w:t>
      </w:r>
    </w:p>
    <w:p w14:paraId="7E2D7DE7" w14:textId="1532399B"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Il reste l’avantage de la transparence. Il nous semble toutefois que celle-ci sera inévitablement très relative. De telles négociations requièrent de toute évidence une confiance mutuelle minimale de la part des négociateurs et donc le respect de la confidentialité</w:t>
      </w:r>
      <w:r>
        <w:rPr>
          <w:rFonts w:ascii="Century" w:eastAsia="Times New Roman" w:hAnsi="Century" w:cs="Times New Roman"/>
          <w:vertAlign w:val="superscript"/>
          <w:lang w:val="fr-FR" w:eastAsia="fr-FR"/>
        </w:rPr>
        <w:footnoteReference w:id="59"/>
      </w:r>
      <w:r w:rsidRPr="000217C0">
        <w:rPr>
          <w:rFonts w:ascii="Century" w:eastAsia="Times New Roman" w:hAnsi="Century" w:cs="Times New Roman"/>
          <w:lang w:val="fr-FR" w:eastAsia="fr-FR"/>
        </w:rPr>
        <w:t xml:space="preserve">. L’avantage de l’intervention royale couverte par la règle du secret, coutumière elle aussi, semble aussi décisif à cet égard. </w:t>
      </w:r>
    </w:p>
    <w:p w14:paraId="527AF76C" w14:textId="42D89F30"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 xml:space="preserve">Cela dit, il existe entre les deux extrêmes (i.e. la transparence complète du processus de formation du gouvernement </w:t>
      </w:r>
      <w:r w:rsidRPr="000217C0">
        <w:rPr>
          <w:rFonts w:ascii="Century" w:eastAsia="Times New Roman" w:hAnsi="Century" w:cs="Times New Roman"/>
          <w:i/>
          <w:iCs/>
          <w:lang w:val="fr-FR" w:eastAsia="fr-FR"/>
        </w:rPr>
        <w:t>versus</w:t>
      </w:r>
      <w:r w:rsidRPr="000217C0">
        <w:rPr>
          <w:rFonts w:ascii="Century" w:eastAsia="Times New Roman" w:hAnsi="Century" w:cs="Times New Roman"/>
          <w:lang w:val="fr-FR" w:eastAsia="fr-FR"/>
        </w:rPr>
        <w:t xml:space="preserve"> le secret total), une voie médiane envisageable</w:t>
      </w:r>
      <w:r>
        <w:rPr>
          <w:rStyle w:val="Appelnotedebasdep"/>
          <w:rFonts w:ascii="Century" w:eastAsia="Times New Roman" w:hAnsi="Century" w:cs="Times New Roman"/>
          <w:lang w:val="fr-FR" w:eastAsia="fr-FR"/>
        </w:rPr>
        <w:footnoteReference w:id="60"/>
      </w:r>
      <w:r w:rsidRPr="000217C0">
        <w:rPr>
          <w:rFonts w:ascii="Century" w:eastAsia="Times New Roman" w:hAnsi="Century" w:cs="Times New Roman"/>
          <w:lang w:val="fr-FR" w:eastAsia="fr-FR"/>
        </w:rPr>
        <w:t xml:space="preserve">. On peut </w:t>
      </w:r>
      <w:r w:rsidR="00076F7F" w:rsidRPr="000217C0">
        <w:rPr>
          <w:rFonts w:ascii="Century" w:eastAsia="Times New Roman" w:hAnsi="Century" w:cs="Times New Roman"/>
          <w:lang w:val="fr-FR" w:eastAsia="fr-FR"/>
        </w:rPr>
        <w:t xml:space="preserve">en effet </w:t>
      </w:r>
      <w:r w:rsidRPr="000217C0">
        <w:rPr>
          <w:rFonts w:ascii="Century" w:eastAsia="Times New Roman" w:hAnsi="Century" w:cs="Times New Roman"/>
          <w:lang w:val="fr-FR" w:eastAsia="fr-FR"/>
        </w:rPr>
        <w:t xml:space="preserve">imaginer qu’un rapport périodique à la Chambre de la part des informateurs et des formateurs soit exigé, par exemple à la fin d’une mission confiée par le Roi. Certes, les personnes missionnées par le Roi pourraient ne révéler, comme aujourd’hui face à la presse, que ce qu’ils jugeront approprié aux circonstances et à l’évolution des négociations. Toutefois, le passage périodique par le Parlement a le mérite de rythmer davantage le processus de formation du gouvernement fédéral, ainsi </w:t>
      </w:r>
      <w:r w:rsidR="00076F7F" w:rsidRPr="000217C0">
        <w:rPr>
          <w:rFonts w:ascii="Century" w:eastAsia="Times New Roman" w:hAnsi="Century" w:cs="Times New Roman"/>
          <w:lang w:val="fr-FR" w:eastAsia="fr-FR"/>
        </w:rPr>
        <w:t xml:space="preserve">que de permettre </w:t>
      </w:r>
      <w:r w:rsidRPr="000217C0">
        <w:rPr>
          <w:rFonts w:ascii="Century" w:eastAsia="Times New Roman" w:hAnsi="Century" w:cs="Times New Roman"/>
          <w:lang w:val="fr-FR" w:eastAsia="fr-FR"/>
        </w:rPr>
        <w:t xml:space="preserve">d’interpeller les négociateurs, d’une manière plus formalisée que </w:t>
      </w:r>
      <w:r w:rsidR="009B0365" w:rsidRPr="000217C0">
        <w:rPr>
          <w:rFonts w:ascii="Century" w:eastAsia="Times New Roman" w:hAnsi="Century" w:cs="Times New Roman"/>
          <w:lang w:val="fr-FR" w:eastAsia="fr-FR"/>
        </w:rPr>
        <w:t>via</w:t>
      </w:r>
      <w:r w:rsidRPr="000217C0">
        <w:rPr>
          <w:rFonts w:ascii="Century" w:eastAsia="Times New Roman" w:hAnsi="Century" w:cs="Times New Roman"/>
          <w:lang w:val="fr-FR" w:eastAsia="fr-FR"/>
        </w:rPr>
        <w:t xml:space="preserve"> les médias, sur les points de blocage </w:t>
      </w:r>
      <w:r w:rsidR="00076F7F" w:rsidRPr="000217C0">
        <w:rPr>
          <w:rFonts w:ascii="Century" w:eastAsia="Times New Roman" w:hAnsi="Century" w:cs="Times New Roman"/>
          <w:lang w:val="fr-FR" w:eastAsia="fr-FR"/>
        </w:rPr>
        <w:t>auxquels se heurtent les</w:t>
      </w:r>
      <w:r w:rsidR="00BB4B8A" w:rsidRPr="000217C0">
        <w:rPr>
          <w:rFonts w:ascii="Century" w:eastAsia="Times New Roman" w:hAnsi="Century" w:cs="Times New Roman"/>
          <w:lang w:val="fr-FR" w:eastAsia="fr-FR"/>
        </w:rPr>
        <w:t xml:space="preserve"> </w:t>
      </w:r>
      <w:r w:rsidRPr="000217C0">
        <w:rPr>
          <w:rFonts w:ascii="Century" w:eastAsia="Times New Roman" w:hAnsi="Century" w:cs="Times New Roman"/>
          <w:lang w:val="fr-FR" w:eastAsia="fr-FR"/>
        </w:rPr>
        <w:t xml:space="preserve">négociations. </w:t>
      </w:r>
    </w:p>
    <w:p w14:paraId="7DF78B79" w14:textId="0B5FD0E7"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t>À suivre cette piste, le rôle du Parlement se limiterait à exiger une mise au point sur les négociations en cours, sans que le Parlement ne puisse prendre des décisions contraignantes à l’encontre des négociateurs</w:t>
      </w:r>
      <w:r>
        <w:rPr>
          <w:rStyle w:val="Appelnotedebasdep"/>
          <w:rFonts w:ascii="Century" w:eastAsia="Times New Roman" w:hAnsi="Century" w:cs="Times New Roman"/>
          <w:lang w:val="fr-FR" w:eastAsia="fr-FR"/>
        </w:rPr>
        <w:footnoteReference w:id="61"/>
      </w:r>
      <w:r w:rsidRPr="000217C0">
        <w:rPr>
          <w:rFonts w:ascii="Century" w:eastAsia="Times New Roman" w:hAnsi="Century" w:cs="Times New Roman"/>
          <w:lang w:val="fr-FR" w:eastAsia="fr-FR"/>
        </w:rPr>
        <w:t xml:space="preserve">. </w:t>
      </w:r>
    </w:p>
    <w:p w14:paraId="1CAE9074" w14:textId="054C567B" w:rsidR="00FE5D46" w:rsidRPr="000217C0" w:rsidRDefault="00000000" w:rsidP="0014243F">
      <w:pPr>
        <w:ind w:left="567" w:right="567"/>
        <w:jc w:val="both"/>
        <w:rPr>
          <w:rFonts w:ascii="Century" w:eastAsia="Times New Roman" w:hAnsi="Century" w:cs="Times New Roman"/>
          <w:lang w:val="fr-FR" w:eastAsia="fr-FR"/>
        </w:rPr>
      </w:pPr>
      <w:r w:rsidRPr="000217C0">
        <w:rPr>
          <w:rFonts w:ascii="Century" w:eastAsia="Times New Roman" w:hAnsi="Century" w:cs="Times New Roman"/>
          <w:lang w:val="fr-FR" w:eastAsia="fr-FR"/>
        </w:rPr>
        <w:lastRenderedPageBreak/>
        <w:t>Pour cette raison, une forme de parlementarisation du processus qui se combine avec le maintien du rôle du Roi sera proposée lorsque nous examinerons la s</w:t>
      </w:r>
      <w:r w:rsidR="006E403C" w:rsidRPr="000217C0">
        <w:rPr>
          <w:rFonts w:ascii="Century" w:eastAsia="Times New Roman" w:hAnsi="Century" w:cs="Times New Roman"/>
          <w:lang w:val="fr-FR" w:eastAsia="fr-FR"/>
        </w:rPr>
        <w:t>ept</w:t>
      </w:r>
      <w:r w:rsidRPr="000217C0">
        <w:rPr>
          <w:rFonts w:ascii="Century" w:eastAsia="Times New Roman" w:hAnsi="Century" w:cs="Times New Roman"/>
          <w:lang w:val="fr-FR" w:eastAsia="fr-FR"/>
        </w:rPr>
        <w:t xml:space="preserve">ième piste ci-dessous. </w:t>
      </w:r>
    </w:p>
    <w:p w14:paraId="6FE87067" w14:textId="77777777" w:rsidR="00FE5D46" w:rsidRPr="000217C0" w:rsidRDefault="00FE5D46">
      <w:pPr>
        <w:spacing w:after="0" w:line="240" w:lineRule="auto"/>
        <w:ind w:left="567" w:right="567"/>
        <w:jc w:val="both"/>
        <w:rPr>
          <w:rFonts w:ascii="Century" w:eastAsia="Times New Roman" w:hAnsi="Century" w:cs="Times New Roman"/>
          <w:sz w:val="24"/>
          <w:szCs w:val="24"/>
          <w:highlight w:val="yellow"/>
          <w:u w:val="single"/>
          <w:lang w:val="fr-FR" w:eastAsia="fr-FR"/>
        </w:rPr>
      </w:pPr>
    </w:p>
    <w:p w14:paraId="432D1D73" w14:textId="51739997" w:rsidR="00FE5D46" w:rsidRPr="000217C0" w:rsidRDefault="00000000" w:rsidP="00C47D72">
      <w:pPr>
        <w:pStyle w:val="Titre2"/>
        <w:ind w:left="927"/>
      </w:pPr>
      <w:bookmarkStart w:id="19" w:name="_Toc132791636"/>
      <w:bookmarkStart w:id="20" w:name="_Toc132791732"/>
      <w:r w:rsidRPr="000217C0">
        <w:t>Six</w:t>
      </w:r>
      <w:r w:rsidR="00E468AE" w:rsidRPr="000217C0">
        <w:t>ième piste : une banalisation des gouvernements minoritaires</w:t>
      </w:r>
      <w:bookmarkEnd w:id="19"/>
      <w:bookmarkEnd w:id="20"/>
    </w:p>
    <w:p w14:paraId="34CF8C56" w14:textId="77777777" w:rsidR="00FE5D46" w:rsidRPr="0014243F" w:rsidRDefault="00FE5D46">
      <w:pPr>
        <w:pStyle w:val="Paragraphedeliste"/>
        <w:ind w:left="567" w:right="567"/>
        <w:jc w:val="both"/>
        <w:rPr>
          <w:rFonts w:ascii="Century" w:hAnsi="Century"/>
          <w:i/>
          <w:sz w:val="22"/>
          <w:szCs w:val="22"/>
          <w:lang w:eastAsia="ja-JP"/>
        </w:rPr>
      </w:pPr>
    </w:p>
    <w:p w14:paraId="53C11E21" w14:textId="75DDE6EF" w:rsidR="000217C0" w:rsidRDefault="00000000" w:rsidP="0014243F">
      <w:pPr>
        <w:ind w:left="562" w:right="562"/>
        <w:jc w:val="both"/>
        <w:rPr>
          <w:rFonts w:ascii="Century" w:hAnsi="Century"/>
          <w:lang w:val="fr-BE"/>
        </w:rPr>
      </w:pPr>
      <w:r w:rsidRPr="000217C0">
        <w:rPr>
          <w:rFonts w:ascii="Century" w:hAnsi="Century"/>
          <w:lang w:val="fr-BE"/>
        </w:rPr>
        <w:t>Il est certain que la formation d’un gouvernement en Belgique est d’autant plus difficile et donc potentiellement lente qu’elle vise idéalement, pour maximiser sa légitimité et ses chances de stabilité et d’efficacité, un gouvernement composé de ministres issus de partis totalisant une majorité absolue des sièges à la Chambre, et même une majorité dans chacun des deux groupes linguistiques. Il faut le souligner, constitutionnellement, ni l’une ni l’autre de ces deux majorités n’est requise. Dans notre pays, la coutume constitutionnelle exige que le Premier ministre nommé par le Roi sollicite la confiance de la Chambre au début de son mandat</w:t>
      </w:r>
      <w:r>
        <w:rPr>
          <w:rStyle w:val="Appelnotedebasdep"/>
          <w:rFonts w:ascii="Century" w:hAnsi="Century"/>
          <w:sz w:val="24"/>
        </w:rPr>
        <w:footnoteReference w:id="62"/>
      </w:r>
      <w:r w:rsidRPr="000217C0">
        <w:rPr>
          <w:rFonts w:ascii="Century" w:hAnsi="Century"/>
          <w:lang w:val="fr-BE"/>
        </w:rPr>
        <w:t xml:space="preserve">. Cette confiance est acquise si une majorité absolue de </w:t>
      </w:r>
      <w:r w:rsidRPr="000217C0">
        <w:rPr>
          <w:rFonts w:ascii="Century" w:hAnsi="Century"/>
          <w:i/>
          <w:lang w:val="fr-BE"/>
        </w:rPr>
        <w:t>suffrages exprimés</w:t>
      </w:r>
      <w:r w:rsidRPr="000217C0">
        <w:rPr>
          <w:rFonts w:ascii="Century" w:hAnsi="Century"/>
          <w:lang w:val="fr-BE"/>
        </w:rPr>
        <w:t xml:space="preserve"> se prononce en sa faveur. Une majorité absolue </w:t>
      </w:r>
      <w:r w:rsidRPr="000217C0">
        <w:rPr>
          <w:rFonts w:ascii="Century" w:hAnsi="Century"/>
          <w:i/>
          <w:lang w:val="fr-BE"/>
        </w:rPr>
        <w:t>des membres</w:t>
      </w:r>
      <w:r w:rsidRPr="000217C0">
        <w:rPr>
          <w:rFonts w:ascii="Century" w:hAnsi="Century"/>
          <w:lang w:val="fr-BE"/>
        </w:rPr>
        <w:t xml:space="preserve"> de la Chambre n’est donc pas nécessaire</w:t>
      </w:r>
      <w:r>
        <w:rPr>
          <w:rStyle w:val="Appelnotedebasdep"/>
          <w:rFonts w:ascii="Century" w:hAnsi="Century"/>
          <w:sz w:val="24"/>
        </w:rPr>
        <w:footnoteReference w:id="63"/>
      </w:r>
      <w:r w:rsidRPr="000217C0">
        <w:rPr>
          <w:rFonts w:ascii="Century" w:hAnsi="Century"/>
          <w:lang w:val="fr-BE"/>
        </w:rPr>
        <w:t>. Il suffit que se joignent à une minorité de députés le nombre nécessaire d’élus disposés à offrir un soutien extérieur ou à s’abstenir pour que la majorité des suffrages exprimés soit atteinte lors du vote de confiance. Dans ce cas, le gouvernement est « juridiquement majoritaire, mais politiquement minoritaire », comme l’a été le gouvernement Wilmès II</w:t>
      </w:r>
      <w:r>
        <w:rPr>
          <w:rStyle w:val="Appelnotedebasdep"/>
          <w:rFonts w:ascii="Century" w:hAnsi="Century"/>
          <w:sz w:val="24"/>
        </w:rPr>
        <w:footnoteReference w:id="64"/>
      </w:r>
      <w:r w:rsidRPr="000217C0">
        <w:rPr>
          <w:rFonts w:ascii="Century" w:hAnsi="Century"/>
          <w:lang w:val="fr-BE"/>
        </w:rPr>
        <w:t>. Autrement dit, il est « minoritaire quant à sa composition, mais il dispose de la confiance d’une majorité parlementaire »</w:t>
      </w:r>
      <w:r>
        <w:rPr>
          <w:rStyle w:val="Appelnotedebasdep"/>
          <w:rFonts w:ascii="Century" w:hAnsi="Century"/>
          <w:sz w:val="24"/>
        </w:rPr>
        <w:footnoteReference w:id="65"/>
      </w:r>
      <w:r w:rsidRPr="000217C0">
        <w:rPr>
          <w:rFonts w:ascii="Century" w:hAnsi="Century"/>
          <w:lang w:val="fr-BE"/>
        </w:rPr>
        <w:t xml:space="preserve">. </w:t>
      </w:r>
    </w:p>
    <w:p w14:paraId="6C1AD36A" w14:textId="46C2F78A" w:rsidR="000217C0" w:rsidRPr="000217C0" w:rsidRDefault="00000000" w:rsidP="000217C0">
      <w:pPr>
        <w:ind w:left="567" w:right="567"/>
        <w:jc w:val="both"/>
        <w:rPr>
          <w:rFonts w:ascii="Century" w:hAnsi="Century"/>
          <w:lang w:val="fr-BE"/>
        </w:rPr>
      </w:pPr>
      <w:r w:rsidRPr="000217C0">
        <w:rPr>
          <w:rFonts w:ascii="Century" w:hAnsi="Century"/>
          <w:lang w:val="fr-BE"/>
        </w:rPr>
        <w:t xml:space="preserve">La question se pose donc de savoir s’il y a lieu de banaliser la formation de tels gouvernements juridiquement majoritaires, mais politiquement minoritaires </w:t>
      </w:r>
      <w:r w:rsidRPr="000217C0">
        <w:rPr>
          <w:rFonts w:ascii="Century" w:hAnsi="Century"/>
          <w:lang w:val="fr-BE"/>
        </w:rPr>
        <w:lastRenderedPageBreak/>
        <w:t>et de rejoindre ainsi le grand nombre des régimes parlementaires étrangers habitués à ce cas de figure</w:t>
      </w:r>
      <w:r>
        <w:rPr>
          <w:rStyle w:val="Appelnotedebasdep"/>
          <w:rFonts w:ascii="Century" w:hAnsi="Century"/>
          <w:sz w:val="24"/>
        </w:rPr>
        <w:footnoteReference w:id="66"/>
      </w:r>
      <w:r w:rsidRPr="000217C0">
        <w:rPr>
          <w:rFonts w:ascii="Century" w:hAnsi="Century"/>
          <w:lang w:val="fr-BE"/>
        </w:rPr>
        <w:t>. Il est évident que celui-ci n’est pas optimal puisque les groupes politiques qui</w:t>
      </w:r>
      <w:r w:rsidR="00FE32BA" w:rsidRPr="000217C0">
        <w:rPr>
          <w:rFonts w:ascii="Century" w:hAnsi="Century"/>
          <w:lang w:val="fr-BE"/>
        </w:rPr>
        <w:t>, non</w:t>
      </w:r>
      <w:r w:rsidR="00556957" w:rsidRPr="000217C0">
        <w:rPr>
          <w:rFonts w:ascii="Century" w:hAnsi="Century"/>
          <w:lang w:val="fr-BE"/>
        </w:rPr>
        <w:t xml:space="preserve"> </w:t>
      </w:r>
      <w:r w:rsidR="00A00D9A" w:rsidRPr="000217C0">
        <w:rPr>
          <w:rFonts w:ascii="Century" w:hAnsi="Century"/>
          <w:lang w:val="fr-BE"/>
        </w:rPr>
        <w:t xml:space="preserve">représentés </w:t>
      </w:r>
      <w:r w:rsidRPr="000217C0">
        <w:rPr>
          <w:rFonts w:ascii="Century" w:hAnsi="Century"/>
          <w:lang w:val="fr-BE"/>
        </w:rPr>
        <w:t>au sein du gouvernement</w:t>
      </w:r>
      <w:r w:rsidR="00FE32BA" w:rsidRPr="000217C0">
        <w:rPr>
          <w:rFonts w:ascii="Century" w:hAnsi="Century"/>
          <w:lang w:val="fr-BE"/>
        </w:rPr>
        <w:t>,</w:t>
      </w:r>
      <w:r w:rsidR="00556957" w:rsidRPr="000217C0">
        <w:rPr>
          <w:rFonts w:ascii="Century" w:hAnsi="Century"/>
          <w:lang w:val="fr-BE"/>
        </w:rPr>
        <w:t xml:space="preserve"> mais dont le soutien est</w:t>
      </w:r>
      <w:r w:rsidR="00A00D9A" w:rsidRPr="000217C0">
        <w:rPr>
          <w:rFonts w:ascii="Century" w:hAnsi="Century"/>
          <w:lang w:val="fr-BE"/>
        </w:rPr>
        <w:t xml:space="preserve"> </w:t>
      </w:r>
      <w:r w:rsidR="00FE32BA" w:rsidRPr="000217C0">
        <w:rPr>
          <w:rFonts w:ascii="Century" w:hAnsi="Century"/>
          <w:lang w:val="fr-BE"/>
        </w:rPr>
        <w:t xml:space="preserve">néanmoins </w:t>
      </w:r>
      <w:r w:rsidR="00A00D9A" w:rsidRPr="000217C0">
        <w:rPr>
          <w:rFonts w:ascii="Century" w:hAnsi="Century"/>
          <w:lang w:val="fr-BE"/>
        </w:rPr>
        <w:t xml:space="preserve">nécessaire pour atteindre </w:t>
      </w:r>
      <w:r w:rsidRPr="000217C0">
        <w:rPr>
          <w:rFonts w:ascii="Century" w:hAnsi="Century"/>
          <w:lang w:val="fr-BE"/>
        </w:rPr>
        <w:t>la majorité des sièges au sein de la Chambre</w:t>
      </w:r>
      <w:r w:rsidR="00FE32BA" w:rsidRPr="000217C0">
        <w:rPr>
          <w:rFonts w:ascii="Century" w:hAnsi="Century"/>
          <w:lang w:val="fr-BE"/>
        </w:rPr>
        <w:t>,</w:t>
      </w:r>
      <w:r w:rsidR="00BB4B8A" w:rsidRPr="000217C0">
        <w:rPr>
          <w:rFonts w:ascii="Century" w:hAnsi="Century"/>
          <w:lang w:val="fr-BE"/>
        </w:rPr>
        <w:t xml:space="preserve"> </w:t>
      </w:r>
      <w:r w:rsidRPr="000217C0">
        <w:rPr>
          <w:rFonts w:ascii="Century" w:hAnsi="Century"/>
          <w:lang w:val="fr-BE"/>
        </w:rPr>
        <w:t xml:space="preserve">peuvent être tentés de faire usage de cette </w:t>
      </w:r>
      <w:r w:rsidR="00A00D9A" w:rsidRPr="000217C0">
        <w:rPr>
          <w:rFonts w:ascii="Century" w:hAnsi="Century"/>
          <w:lang w:val="fr-BE"/>
        </w:rPr>
        <w:t xml:space="preserve">position stratégique </w:t>
      </w:r>
      <w:r w:rsidRPr="000217C0">
        <w:rPr>
          <w:rFonts w:ascii="Century" w:hAnsi="Century"/>
          <w:lang w:val="fr-BE"/>
        </w:rPr>
        <w:t xml:space="preserve">contre un tel gouvernement en lui retirant sa confiance. </w:t>
      </w:r>
      <w:r w:rsidR="00A00D9A" w:rsidRPr="000217C0">
        <w:rPr>
          <w:rFonts w:ascii="Century" w:hAnsi="Century"/>
          <w:lang w:val="fr-BE"/>
        </w:rPr>
        <w:t>G</w:t>
      </w:r>
      <w:r w:rsidRPr="000217C0">
        <w:rPr>
          <w:rFonts w:ascii="Century" w:hAnsi="Century"/>
          <w:lang w:val="fr-BE"/>
        </w:rPr>
        <w:t xml:space="preserve">rande est la vulnérabilité du gouvernement politiquement minoritaire qui doit régulièrement convaincre le nombre nécessaire de députés appartenant à des partis non gouvernementaux pour faire adopter ses projets de loi. Bien sûr, on peut considérer que c’est un des bienfaits procurés par un tel gouvernement : il vivifie le parlement en plaçant </w:t>
      </w:r>
      <w:r w:rsidR="00A00D9A" w:rsidRPr="000217C0">
        <w:rPr>
          <w:rFonts w:ascii="Century" w:hAnsi="Century"/>
          <w:lang w:val="fr-BE"/>
        </w:rPr>
        <w:t xml:space="preserve">celui-ci </w:t>
      </w:r>
      <w:r w:rsidRPr="000217C0">
        <w:rPr>
          <w:rFonts w:ascii="Century" w:hAnsi="Century"/>
          <w:lang w:val="fr-BE"/>
        </w:rPr>
        <w:t>au centre des négociations politiques. Il ouvre le jeu politique en favorisant la formation de majorités à géométrie variable en fonction des dossiers, comme on a pu le constater en Belgique en 2019. Mais il y a lieu de s’interroger sur la cohérence politique des lois adoptées par ces diverses majorités. Il se peut en outre que pareilles lois soient adoptées contre la volonté du gouvernement minoritaire qui devra alors prendre la délicate responsabilité de les sanctionner ou non</w:t>
      </w:r>
      <w:r>
        <w:rPr>
          <w:rStyle w:val="Appelnotedebasdep"/>
          <w:rFonts w:ascii="Century" w:hAnsi="Century"/>
          <w:sz w:val="24"/>
        </w:rPr>
        <w:footnoteReference w:id="67"/>
      </w:r>
      <w:r w:rsidRPr="000217C0">
        <w:rPr>
          <w:rFonts w:ascii="Century" w:hAnsi="Century"/>
          <w:lang w:val="fr-BE"/>
        </w:rPr>
        <w:t>. La seule manière d’éviter ces incohérences consiste pour le gouvernement minoritaire à conclure des conventions avec les partis qui acceptent de le soutenir de l’extérieur sous conditions</w:t>
      </w:r>
      <w:r>
        <w:rPr>
          <w:rStyle w:val="Appelnotedebasdep"/>
          <w:rFonts w:ascii="Century" w:hAnsi="Century"/>
          <w:sz w:val="24"/>
        </w:rPr>
        <w:footnoteReference w:id="68"/>
      </w:r>
      <w:r w:rsidRPr="000217C0">
        <w:rPr>
          <w:rFonts w:ascii="Century" w:hAnsi="Century"/>
          <w:lang w:val="fr-BE"/>
        </w:rPr>
        <w:t xml:space="preserve">. </w:t>
      </w:r>
    </w:p>
    <w:p w14:paraId="5F14F0FA" w14:textId="25CFC793" w:rsidR="00AA33C4" w:rsidRPr="000217C0" w:rsidRDefault="00000000" w:rsidP="000217C0">
      <w:pPr>
        <w:ind w:left="567" w:right="567"/>
        <w:jc w:val="both"/>
        <w:rPr>
          <w:rFonts w:ascii="Century" w:hAnsi="Century"/>
          <w:lang w:val="fr-BE"/>
        </w:rPr>
      </w:pPr>
      <w:r w:rsidRPr="000217C0">
        <w:rPr>
          <w:rFonts w:ascii="Century" w:hAnsi="Century"/>
          <w:lang w:val="fr-BE"/>
        </w:rPr>
        <w:t>Cela dit, il faut reconnaître que, m</w:t>
      </w:r>
      <w:r w:rsidR="00DA26B4" w:rsidRPr="000217C0">
        <w:rPr>
          <w:rFonts w:ascii="Century" w:hAnsi="Century"/>
          <w:lang w:val="fr-BE"/>
        </w:rPr>
        <w:t xml:space="preserve">ême si </w:t>
      </w:r>
      <w:r w:rsidR="00C77EF4" w:rsidRPr="000217C0">
        <w:rPr>
          <w:rFonts w:ascii="Century" w:hAnsi="Century"/>
          <w:lang w:val="fr-BE"/>
        </w:rPr>
        <w:t>la</w:t>
      </w:r>
      <w:r w:rsidR="00DA26B4" w:rsidRPr="000217C0">
        <w:rPr>
          <w:rFonts w:ascii="Century" w:hAnsi="Century"/>
          <w:lang w:val="fr-BE"/>
        </w:rPr>
        <w:t xml:space="preserve"> tendance ne se vérifie pas toujours</w:t>
      </w:r>
      <w:r>
        <w:rPr>
          <w:rStyle w:val="Appelnotedebasdep"/>
          <w:rFonts w:ascii="Century" w:hAnsi="Century"/>
          <w:sz w:val="24"/>
        </w:rPr>
        <w:footnoteReference w:id="69"/>
      </w:r>
      <w:r w:rsidR="00CB5138" w:rsidRPr="000217C0">
        <w:rPr>
          <w:rFonts w:ascii="Century" w:hAnsi="Century"/>
          <w:lang w:val="fr-BE"/>
        </w:rPr>
        <w:t xml:space="preserve">, </w:t>
      </w:r>
      <w:r w:rsidR="00DA26B4" w:rsidRPr="000217C0">
        <w:rPr>
          <w:rFonts w:ascii="Century" w:hAnsi="Century"/>
          <w:lang w:val="fr-BE"/>
        </w:rPr>
        <w:t xml:space="preserve">les gouvernements minoritaires dont la composition est permise par </w:t>
      </w:r>
      <w:r w:rsidR="00DA26B4" w:rsidRPr="000217C0">
        <w:rPr>
          <w:rFonts w:ascii="Century" w:hAnsi="Century"/>
          <w:lang w:val="fr-BE"/>
        </w:rPr>
        <w:lastRenderedPageBreak/>
        <w:t>des règles d’investiture souple se forment plus rapidement</w:t>
      </w:r>
      <w:r>
        <w:rPr>
          <w:rStyle w:val="Appelnotedebasdep"/>
          <w:rFonts w:ascii="Century" w:hAnsi="Century"/>
          <w:lang w:val="fr-BE"/>
        </w:rPr>
        <w:footnoteReference w:id="70"/>
      </w:r>
      <w:r w:rsidR="00DA26B4" w:rsidRPr="000217C0">
        <w:rPr>
          <w:rFonts w:ascii="Century" w:hAnsi="Century"/>
          <w:lang w:val="fr-BE"/>
        </w:rPr>
        <w:t>.</w:t>
      </w:r>
      <w:r w:rsidR="00BB4B8A" w:rsidRPr="000217C0">
        <w:rPr>
          <w:rFonts w:ascii="Century" w:hAnsi="Century"/>
          <w:lang w:val="fr-BE"/>
        </w:rPr>
        <w:t xml:space="preserve"> </w:t>
      </w:r>
      <w:r w:rsidR="002663BA" w:rsidRPr="000217C0">
        <w:rPr>
          <w:rFonts w:ascii="Century" w:hAnsi="Century"/>
          <w:lang w:val="fr-BE"/>
        </w:rPr>
        <w:t>Sous réserve de rares exceptions</w:t>
      </w:r>
      <w:r>
        <w:rPr>
          <w:rStyle w:val="Appelnotedebasdep"/>
          <w:rFonts w:ascii="Century" w:hAnsi="Century"/>
          <w:lang w:val="fr-BE"/>
        </w:rPr>
        <w:footnoteReference w:id="71"/>
      </w:r>
      <w:r w:rsidR="002663BA" w:rsidRPr="000217C0">
        <w:rPr>
          <w:rFonts w:ascii="Century" w:hAnsi="Century"/>
          <w:lang w:val="fr-BE"/>
        </w:rPr>
        <w:t>, on peut le constater en Suède. Dans les pays caractérisés par une forte fragmentation politique, la formation d’un gouvernement majoritaire prend significativement plus de temps</w:t>
      </w:r>
      <w:r>
        <w:rPr>
          <w:rStyle w:val="Appelnotedebasdep"/>
          <w:rFonts w:ascii="Century" w:hAnsi="Century"/>
          <w:lang w:val="fr-BE"/>
        </w:rPr>
        <w:footnoteReference w:id="72"/>
      </w:r>
      <w:r w:rsidR="002663BA" w:rsidRPr="000217C0">
        <w:rPr>
          <w:rFonts w:ascii="Century" w:hAnsi="Century"/>
          <w:lang w:val="fr-BE"/>
        </w:rPr>
        <w:t>. Néanmoins</w:t>
      </w:r>
      <w:r w:rsidR="00E468AE" w:rsidRPr="000217C0">
        <w:rPr>
          <w:rFonts w:ascii="Century" w:hAnsi="Century"/>
          <w:lang w:val="fr-BE"/>
        </w:rPr>
        <w:t xml:space="preserve">, en Belgique, </w:t>
      </w:r>
      <w:r w:rsidRPr="000217C0">
        <w:rPr>
          <w:rFonts w:ascii="Century" w:hAnsi="Century"/>
          <w:lang w:val="fr-BE"/>
        </w:rPr>
        <w:t xml:space="preserve">comme l’a souligné Toon Moonen dans son intervention du 7 décembre 2022, les partis ont presque toujours estimé qu’il leur était plus bénéfique de participer pleinement au gouvernement que de le soutenir sans y participer (à l’inverse de la tradition politique suédoise). </w:t>
      </w:r>
    </w:p>
    <w:p w14:paraId="5C3A7E24" w14:textId="2F280761" w:rsidR="00FE5D46" w:rsidRPr="000217C0" w:rsidRDefault="00000000" w:rsidP="000217C0">
      <w:pPr>
        <w:ind w:left="567" w:right="567"/>
        <w:jc w:val="both"/>
        <w:rPr>
          <w:rFonts w:ascii="Century" w:hAnsi="Century"/>
          <w:lang w:val="fr-BE"/>
        </w:rPr>
      </w:pPr>
      <w:r w:rsidRPr="000217C0">
        <w:rPr>
          <w:rFonts w:ascii="Century" w:hAnsi="Century"/>
          <w:lang w:val="fr-BE"/>
        </w:rPr>
        <w:t xml:space="preserve">Peu </w:t>
      </w:r>
      <w:r w:rsidR="00E468AE" w:rsidRPr="000217C0">
        <w:rPr>
          <w:rFonts w:ascii="Century" w:hAnsi="Century"/>
          <w:lang w:val="fr-BE"/>
        </w:rPr>
        <w:t>nombreux ont été les partis qui ont accepté de soutenir de l’extérieur un gouvernement sans portefeuille ministériel à la clé. Les circonstances qui ont rendu ce soutien possible dans l’histoire politique du pays sont exceptionnelles. Elles « corroborent l’hypothèse selon laquelle un gouvernement qui ne détient pas la majorité au parlement est censé tomber »</w:t>
      </w:r>
      <w:r>
        <w:rPr>
          <w:rStyle w:val="Appelnotedebasdep"/>
          <w:rFonts w:ascii="Century" w:hAnsi="Century"/>
          <w:sz w:val="24"/>
        </w:rPr>
        <w:footnoteReference w:id="73"/>
      </w:r>
      <w:r w:rsidR="00E468AE" w:rsidRPr="000217C0">
        <w:rPr>
          <w:rFonts w:ascii="Century" w:hAnsi="Century"/>
          <w:lang w:val="fr-BE"/>
        </w:rPr>
        <w:t xml:space="preserve">. Il faudrait un tournant majeur dans la culture politique belge pour que se banalise de tels gouvernements. Mais cela pourrait se faire sans révision de la Constitution. </w:t>
      </w:r>
    </w:p>
    <w:p w14:paraId="4397D056" w14:textId="77777777" w:rsidR="00FE5D46" w:rsidRPr="000217C0" w:rsidRDefault="00000000" w:rsidP="000217C0">
      <w:pPr>
        <w:ind w:left="567" w:right="567"/>
        <w:jc w:val="both"/>
        <w:rPr>
          <w:rFonts w:ascii="Century" w:hAnsi="Century"/>
          <w:lang w:val="fr-FR"/>
        </w:rPr>
      </w:pPr>
      <w:r w:rsidRPr="000217C0">
        <w:rPr>
          <w:rFonts w:ascii="Century" w:hAnsi="Century"/>
          <w:lang w:val="fr-BE"/>
        </w:rPr>
        <w:t xml:space="preserve">En revanche, si l’on voulait basculer, comme l’a suggéré Stefaan Walgrave lors de son audition du 21 septembre 2022, d’un régime parlementaire de « type positif » à un régime de « type négatif », pour favoriser la formation de gouvernements minoritaires, une révision de notre Constitution serait requise. L’on s’explique. </w:t>
      </w:r>
      <w:r w:rsidRPr="000217C0">
        <w:rPr>
          <w:rFonts w:ascii="Century" w:hAnsi="Century"/>
          <w:lang w:val="fr-FR"/>
        </w:rPr>
        <w:t>Il faut savoir qu’il existe en droit constitutionnel comparé deux grands modèles de formation du gouvernement dans un régime parlementaire</w:t>
      </w:r>
      <w:r>
        <w:rPr>
          <w:rStyle w:val="Appelnotedebasdep"/>
          <w:rFonts w:ascii="Century" w:hAnsi="Century"/>
          <w:sz w:val="24"/>
          <w:lang w:val="fr-FR"/>
        </w:rPr>
        <w:footnoteReference w:id="74"/>
      </w:r>
      <w:r w:rsidRPr="000217C0">
        <w:rPr>
          <w:rFonts w:ascii="Century" w:hAnsi="Century"/>
          <w:lang w:val="fr-FR"/>
        </w:rPr>
        <w:t xml:space="preserve">. Dans les régimes </w:t>
      </w:r>
      <w:r w:rsidRPr="000217C0">
        <w:rPr>
          <w:rFonts w:ascii="Century" w:hAnsi="Century"/>
          <w:lang w:val="fr-BE"/>
        </w:rPr>
        <w:t xml:space="preserve">de « type positif » </w:t>
      </w:r>
      <w:r w:rsidRPr="000217C0">
        <w:rPr>
          <w:rFonts w:ascii="Century" w:hAnsi="Century"/>
          <w:lang w:val="fr-FR"/>
        </w:rPr>
        <w:t xml:space="preserve">tels que l’Allemagne, la Belgique, l’Espagne, l’Irlande, la Grèce, Israël ou l’Italie, </w:t>
      </w:r>
      <w:r w:rsidRPr="000217C0">
        <w:rPr>
          <w:rFonts w:ascii="Century" w:hAnsi="Century"/>
          <w:lang w:val="fr-BE"/>
        </w:rPr>
        <w:t xml:space="preserve">la confiance du Parlement doit être expressément accordée. </w:t>
      </w:r>
      <w:r w:rsidRPr="000217C0">
        <w:rPr>
          <w:rFonts w:ascii="Century" w:hAnsi="Century"/>
          <w:lang w:val="fr-FR"/>
        </w:rPr>
        <w:t xml:space="preserve">Un vote de confiance explicite est nécessaire soit envers le Premier ministre, soit envers le gouvernement dans son ensemble afin d’établir si celui-ci bénéficie du soutien réel de la majorité au Parlement. Dans les régimes de « type négatif » comme l’Autriche, le </w:t>
      </w:r>
      <w:r w:rsidRPr="000217C0">
        <w:rPr>
          <w:rFonts w:ascii="Century" w:hAnsi="Century"/>
          <w:lang w:val="fr-FR"/>
        </w:rPr>
        <w:lastRenderedPageBreak/>
        <w:t xml:space="preserve">Canada, le Danemark, la Finlande, l’Islande, la Norvège, les Pays-Bas, le Portugal et le Royaume-Uni, </w:t>
      </w:r>
      <w:r w:rsidRPr="000217C0">
        <w:rPr>
          <w:rFonts w:ascii="Century" w:hAnsi="Century"/>
          <w:lang w:val="fr-BE"/>
        </w:rPr>
        <w:t xml:space="preserve">la confiance est présumée aussi longtemps que le Parlement ne démontre pas expressément le contraire. Le </w:t>
      </w:r>
      <w:r w:rsidRPr="000217C0">
        <w:rPr>
          <w:rFonts w:ascii="Century" w:hAnsi="Century"/>
          <w:lang w:val="fr-FR"/>
        </w:rPr>
        <w:t>gouvernement est nommé par le chef de l’État et entre en fonction sans vote formel de confiance immédiatement avant ou après sa nomination. Il reste en fonction jusqu’au moment où un vote de méfiance émane du parlement. Sans surprise, les travaux de science politique démontrent que les gouvernements minoritaires sont évidemment plus fréquents dans ces seconds régimes. Ils tendent aussi à être moins durables</w:t>
      </w:r>
      <w:r>
        <w:rPr>
          <w:rStyle w:val="Appelnotedebasdep"/>
          <w:rFonts w:ascii="Century" w:hAnsi="Century"/>
          <w:sz w:val="24"/>
          <w:lang w:val="fr-FR"/>
        </w:rPr>
        <w:footnoteReference w:id="75"/>
      </w:r>
      <w:r w:rsidRPr="000217C0">
        <w:rPr>
          <w:rFonts w:ascii="Century" w:hAnsi="Century"/>
          <w:lang w:val="fr-FR"/>
        </w:rPr>
        <w:t xml:space="preserve">. </w:t>
      </w:r>
    </w:p>
    <w:p w14:paraId="13D704A5" w14:textId="4DF78D59" w:rsidR="00FE5D46" w:rsidRPr="000217C0" w:rsidRDefault="00000000" w:rsidP="000217C0">
      <w:pPr>
        <w:ind w:left="567" w:right="567"/>
        <w:jc w:val="both"/>
        <w:rPr>
          <w:rFonts w:ascii="Century" w:hAnsi="Century"/>
          <w:lang w:val="fr-FR"/>
        </w:rPr>
      </w:pPr>
      <w:r w:rsidRPr="000217C0">
        <w:rPr>
          <w:rFonts w:ascii="Century" w:hAnsi="Century"/>
          <w:b/>
          <w:bCs/>
          <w:lang w:val="fr-FR"/>
        </w:rPr>
        <w:t>Le régime suédois</w:t>
      </w:r>
      <w:r w:rsidRPr="000217C0">
        <w:rPr>
          <w:rFonts w:ascii="Century" w:hAnsi="Century"/>
          <w:lang w:val="fr-FR"/>
        </w:rPr>
        <w:t xml:space="preserve"> </w:t>
      </w:r>
      <w:r w:rsidR="009D2F6A" w:rsidRPr="000217C0">
        <w:rPr>
          <w:rFonts w:ascii="Century" w:hAnsi="Century"/>
          <w:lang w:val="fr-FR"/>
        </w:rPr>
        <w:t>–</w:t>
      </w:r>
      <w:r w:rsidRPr="000217C0">
        <w:rPr>
          <w:rFonts w:ascii="Century" w:hAnsi="Century"/>
          <w:lang w:val="fr-FR"/>
        </w:rPr>
        <w:t xml:space="preserve"> sur lequel nous reviendrons lors de l’examen de la s</w:t>
      </w:r>
      <w:r w:rsidR="006E403C" w:rsidRPr="000217C0">
        <w:rPr>
          <w:rFonts w:ascii="Century" w:hAnsi="Century"/>
          <w:lang w:val="fr-FR"/>
        </w:rPr>
        <w:t>ept</w:t>
      </w:r>
      <w:r w:rsidRPr="000217C0">
        <w:rPr>
          <w:rFonts w:ascii="Century" w:hAnsi="Century"/>
          <w:lang w:val="fr-FR"/>
        </w:rPr>
        <w:t xml:space="preserve">ième piste </w:t>
      </w:r>
      <w:r w:rsidR="009D2F6A" w:rsidRPr="000217C0">
        <w:rPr>
          <w:rFonts w:ascii="Century" w:hAnsi="Century"/>
          <w:lang w:val="fr-FR"/>
        </w:rPr>
        <w:t>–</w:t>
      </w:r>
      <w:r w:rsidRPr="000217C0">
        <w:rPr>
          <w:rFonts w:ascii="Century" w:hAnsi="Century"/>
          <w:lang w:val="fr-FR"/>
        </w:rPr>
        <w:t xml:space="preserve"> est à cet égard singulier</w:t>
      </w:r>
      <w:r>
        <w:rPr>
          <w:rStyle w:val="Appelnotedebasdep"/>
          <w:rFonts w:ascii="Century" w:hAnsi="Century"/>
          <w:lang w:val="fr-FR"/>
        </w:rPr>
        <w:footnoteReference w:id="76"/>
      </w:r>
      <w:r w:rsidRPr="000217C0">
        <w:rPr>
          <w:rFonts w:ascii="Century" w:hAnsi="Century"/>
          <w:lang w:val="fr-FR"/>
        </w:rPr>
        <w:t xml:space="preserve">. Il </w:t>
      </w:r>
      <w:r w:rsidR="00556957" w:rsidRPr="000217C0">
        <w:rPr>
          <w:rFonts w:ascii="Century" w:hAnsi="Century"/>
          <w:lang w:val="fr-FR"/>
        </w:rPr>
        <w:t xml:space="preserve">vaut la peine de s’y attarder d’ores </w:t>
      </w:r>
      <w:r w:rsidR="00556957" w:rsidRPr="000217C0">
        <w:rPr>
          <w:rFonts w:ascii="Century" w:hAnsi="Century"/>
          <w:lang w:val="fr-FR"/>
        </w:rPr>
        <w:lastRenderedPageBreak/>
        <w:t xml:space="preserve">et déjà. Il </w:t>
      </w:r>
      <w:r w:rsidRPr="000217C0">
        <w:rPr>
          <w:rFonts w:ascii="Century" w:hAnsi="Century"/>
          <w:lang w:val="fr-FR"/>
        </w:rPr>
        <w:t>pratique le « syncrétisme » entre les types positif et négatif</w:t>
      </w:r>
      <w:r>
        <w:rPr>
          <w:rStyle w:val="Appelnotedebasdep"/>
          <w:rFonts w:ascii="Century" w:hAnsi="Century"/>
          <w:sz w:val="24"/>
          <w:lang w:val="fr-FR"/>
        </w:rPr>
        <w:footnoteReference w:id="77"/>
      </w:r>
      <w:r w:rsidRPr="000217C0">
        <w:rPr>
          <w:rFonts w:ascii="Century" w:hAnsi="Century"/>
          <w:lang w:val="fr-FR"/>
        </w:rPr>
        <w:t xml:space="preserve">. En effet, la règle constitutionnelle n’exige pas que le candidat Premier ministre réunisse une majorité en sa faveur, mais elle ouvre un droit de veto du Parlement (le </w:t>
      </w:r>
      <w:r w:rsidRPr="000217C0">
        <w:rPr>
          <w:rFonts w:ascii="Century" w:hAnsi="Century"/>
          <w:i/>
          <w:lang w:val="fr-FR"/>
        </w:rPr>
        <w:t>Riksdag</w:t>
      </w:r>
      <w:r w:rsidRPr="000217C0">
        <w:rPr>
          <w:rFonts w:ascii="Century" w:hAnsi="Century"/>
          <w:lang w:val="fr-FR"/>
        </w:rPr>
        <w:t xml:space="preserve">), </w:t>
      </w:r>
      <w:r w:rsidR="00FB2453" w:rsidRPr="000217C0">
        <w:rPr>
          <w:rFonts w:ascii="Century" w:hAnsi="Century"/>
          <w:lang w:val="fr-FR"/>
        </w:rPr>
        <w:t>s</w:t>
      </w:r>
      <w:r w:rsidRPr="000217C0">
        <w:rPr>
          <w:rFonts w:ascii="Century" w:hAnsi="Century"/>
          <w:lang w:val="fr-FR"/>
        </w:rPr>
        <w:t>a candidature ne pouvant être rejetée qu’à la majorité absolue de ses membres</w:t>
      </w:r>
      <w:r>
        <w:rPr>
          <w:rStyle w:val="Appelnotedebasdep"/>
          <w:rFonts w:ascii="Century" w:hAnsi="Century"/>
          <w:lang w:val="fr-FR"/>
        </w:rPr>
        <w:footnoteReference w:id="78"/>
      </w:r>
      <w:r w:rsidRPr="000217C0">
        <w:rPr>
          <w:rFonts w:ascii="Century" w:hAnsi="Century"/>
          <w:lang w:val="fr-FR"/>
        </w:rPr>
        <w:t xml:space="preserve">. </w:t>
      </w:r>
    </w:p>
    <w:p w14:paraId="654DFF17" w14:textId="5CF167CB"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La Constitution du Royaume de Suède se compose de quatre lois fondamentales (</w:t>
      </w:r>
      <w:r w:rsidRPr="00E3428A">
        <w:rPr>
          <w:rFonts w:ascii="Century" w:eastAsia="Times New Roman" w:hAnsi="Century" w:cs="Times New Roman"/>
          <w:i/>
          <w:iCs/>
          <w:sz w:val="20"/>
          <w:szCs w:val="20"/>
          <w:lang w:val="fr-FR" w:eastAsia="fr-FR"/>
        </w:rPr>
        <w:t>grundlagar</w:t>
      </w:r>
      <w:r w:rsidRPr="000217C0">
        <w:rPr>
          <w:rFonts w:ascii="Century" w:eastAsia="Times New Roman" w:hAnsi="Century" w:cs="Times New Roman"/>
          <w:sz w:val="20"/>
          <w:szCs w:val="20"/>
          <w:lang w:val="fr-FR" w:eastAsia="fr-FR"/>
        </w:rPr>
        <w:t xml:space="preserve">) : (1) l’acte de succession de </w:t>
      </w:r>
      <w:r w:rsidR="0096660C" w:rsidRPr="000217C0">
        <w:rPr>
          <w:rFonts w:ascii="Century" w:eastAsia="Times New Roman" w:hAnsi="Century" w:cs="Times New Roman"/>
          <w:sz w:val="20"/>
          <w:szCs w:val="20"/>
          <w:lang w:val="fr-FR" w:eastAsia="fr-FR"/>
        </w:rPr>
        <w:t>1810 (</w:t>
      </w:r>
      <w:r w:rsidRPr="00E3428A">
        <w:rPr>
          <w:rFonts w:ascii="Century" w:eastAsia="Times New Roman" w:hAnsi="Century" w:cs="Times New Roman"/>
          <w:i/>
          <w:iCs/>
          <w:sz w:val="20"/>
          <w:szCs w:val="20"/>
          <w:lang w:val="fr-FR" w:eastAsia="fr-FR"/>
        </w:rPr>
        <w:t>Successionsordningen</w:t>
      </w:r>
      <w:r w:rsidRPr="000217C0">
        <w:rPr>
          <w:rFonts w:ascii="Century" w:eastAsia="Times New Roman" w:hAnsi="Century" w:cs="Times New Roman"/>
          <w:sz w:val="20"/>
          <w:szCs w:val="20"/>
          <w:lang w:val="fr-FR" w:eastAsia="fr-FR"/>
        </w:rPr>
        <w:t>), l'acte sur la liberté de la presse de 1949 (</w:t>
      </w:r>
      <w:r w:rsidRPr="00E3428A">
        <w:rPr>
          <w:rFonts w:ascii="Century" w:eastAsia="Times New Roman" w:hAnsi="Century" w:cs="Times New Roman"/>
          <w:i/>
          <w:iCs/>
          <w:sz w:val="20"/>
          <w:szCs w:val="20"/>
          <w:lang w:val="fr-FR" w:eastAsia="fr-FR"/>
        </w:rPr>
        <w:t>Tryckfrihetsförordningen</w:t>
      </w:r>
      <w:r w:rsidRPr="000217C0">
        <w:rPr>
          <w:rFonts w:ascii="Century" w:eastAsia="Times New Roman" w:hAnsi="Century" w:cs="Times New Roman"/>
          <w:sz w:val="20"/>
          <w:szCs w:val="20"/>
          <w:lang w:val="fr-FR" w:eastAsia="fr-FR"/>
        </w:rPr>
        <w:t>), l’Instrument de Gouvernement de 1974 (</w:t>
      </w:r>
      <w:r w:rsidRPr="00E3428A">
        <w:rPr>
          <w:rFonts w:ascii="Century" w:eastAsia="Times New Roman" w:hAnsi="Century" w:cs="Times New Roman"/>
          <w:i/>
          <w:iCs/>
          <w:sz w:val="20"/>
          <w:szCs w:val="20"/>
          <w:lang w:val="fr-FR" w:eastAsia="fr-FR"/>
        </w:rPr>
        <w:t>Regeringsformen</w:t>
      </w:r>
      <w:r w:rsidRPr="000217C0">
        <w:rPr>
          <w:rFonts w:ascii="Century" w:eastAsia="Times New Roman" w:hAnsi="Century" w:cs="Times New Roman"/>
          <w:sz w:val="20"/>
          <w:szCs w:val="20"/>
          <w:lang w:val="fr-FR" w:eastAsia="fr-FR"/>
        </w:rPr>
        <w:t>) et la loi fondamentale sur la liberté d'expression de 1991 (</w:t>
      </w:r>
      <w:r w:rsidRPr="00E3428A">
        <w:rPr>
          <w:rFonts w:ascii="Century" w:eastAsia="Times New Roman" w:hAnsi="Century" w:cs="Times New Roman"/>
          <w:i/>
          <w:iCs/>
          <w:sz w:val="20"/>
          <w:szCs w:val="20"/>
          <w:lang w:val="fr-FR" w:eastAsia="fr-FR"/>
        </w:rPr>
        <w:t>Yttrandefrihetsgrundlagen</w:t>
      </w:r>
      <w:r w:rsidRPr="000217C0">
        <w:rPr>
          <w:rFonts w:ascii="Century" w:eastAsia="Times New Roman" w:hAnsi="Century" w:cs="Times New Roman"/>
          <w:sz w:val="20"/>
          <w:szCs w:val="20"/>
          <w:lang w:val="fr-FR" w:eastAsia="fr-FR"/>
        </w:rPr>
        <w:t>).</w:t>
      </w:r>
    </w:p>
    <w:p w14:paraId="7C400A17" w14:textId="77777777" w:rsidR="00FE5D46" w:rsidRPr="000217C0" w:rsidRDefault="00FE5D46">
      <w:pPr>
        <w:spacing w:after="0" w:line="240" w:lineRule="auto"/>
        <w:ind w:left="1440" w:right="567"/>
        <w:jc w:val="both"/>
        <w:rPr>
          <w:rFonts w:ascii="Century" w:eastAsia="Times New Roman" w:hAnsi="Century" w:cs="Times New Roman"/>
          <w:sz w:val="20"/>
          <w:szCs w:val="20"/>
          <w:lang w:val="fr-FR" w:eastAsia="fr-FR"/>
        </w:rPr>
      </w:pPr>
    </w:p>
    <w:p w14:paraId="3FD01469" w14:textId="67382B24"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Le Chapitre 6 de l’Instrument d</w:t>
      </w:r>
      <w:r w:rsidR="00E3428A">
        <w:rPr>
          <w:rFonts w:ascii="Century" w:eastAsia="Times New Roman" w:hAnsi="Century" w:cs="Times New Roman"/>
          <w:sz w:val="20"/>
          <w:szCs w:val="20"/>
          <w:lang w:val="fr-FR" w:eastAsia="fr-FR"/>
        </w:rPr>
        <w:t>e</w:t>
      </w:r>
      <w:r w:rsidRPr="000217C0">
        <w:rPr>
          <w:rFonts w:ascii="Century" w:eastAsia="Times New Roman" w:hAnsi="Century" w:cs="Times New Roman"/>
          <w:sz w:val="20"/>
          <w:szCs w:val="20"/>
          <w:lang w:val="fr-FR" w:eastAsia="fr-FR"/>
        </w:rPr>
        <w:t xml:space="preserve"> Gouvernement</w:t>
      </w:r>
      <w:r>
        <w:rPr>
          <w:rStyle w:val="Appelnotedebasdep"/>
          <w:rFonts w:ascii="Century" w:eastAsia="Times New Roman" w:hAnsi="Century" w:cs="Times New Roman"/>
          <w:sz w:val="20"/>
          <w:szCs w:val="20"/>
          <w:lang w:val="fr-FR" w:eastAsia="fr-FR"/>
        </w:rPr>
        <w:footnoteReference w:id="79"/>
      </w:r>
      <w:r w:rsidRPr="000217C0">
        <w:rPr>
          <w:rFonts w:ascii="Century" w:eastAsia="Times New Roman" w:hAnsi="Century" w:cs="Times New Roman"/>
          <w:sz w:val="20"/>
          <w:szCs w:val="20"/>
          <w:lang w:val="fr-FR" w:eastAsia="fr-FR"/>
        </w:rPr>
        <w:t xml:space="preserve"> règle la question de la nomination du Premier ministre (et par voie incidente, de la formation du gouvernement)</w:t>
      </w:r>
      <w:r>
        <w:rPr>
          <w:rStyle w:val="Appelnotedebasdep"/>
          <w:rFonts w:ascii="Century" w:eastAsia="Times New Roman" w:hAnsi="Century" w:cs="Times New Roman"/>
          <w:sz w:val="20"/>
          <w:szCs w:val="20"/>
          <w:lang w:val="fr-FR" w:eastAsia="fr-FR"/>
        </w:rPr>
        <w:footnoteReference w:id="80"/>
      </w:r>
      <w:r w:rsidRPr="000217C0">
        <w:rPr>
          <w:rFonts w:ascii="Century" w:eastAsia="Times New Roman" w:hAnsi="Century" w:cs="Times New Roman"/>
          <w:sz w:val="20"/>
          <w:szCs w:val="20"/>
          <w:lang w:val="fr-FR" w:eastAsia="fr-FR"/>
        </w:rPr>
        <w:t xml:space="preserve">. </w:t>
      </w:r>
    </w:p>
    <w:p w14:paraId="32D823E1" w14:textId="77777777" w:rsidR="00FE5D46" w:rsidRPr="000217C0" w:rsidRDefault="00FE5D46">
      <w:pPr>
        <w:spacing w:after="0" w:line="240" w:lineRule="auto"/>
        <w:ind w:left="1440" w:right="567"/>
        <w:jc w:val="both"/>
        <w:rPr>
          <w:rFonts w:ascii="Century" w:eastAsia="Times New Roman" w:hAnsi="Century" w:cs="Times New Roman"/>
          <w:sz w:val="20"/>
          <w:szCs w:val="20"/>
          <w:lang w:val="fr-FR" w:eastAsia="fr-FR"/>
        </w:rPr>
      </w:pPr>
    </w:p>
    <w:p w14:paraId="28E541E9" w14:textId="6613ABA1"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Lors du renouv</w:t>
      </w:r>
      <w:r w:rsidR="00FE32BA" w:rsidRPr="000217C0">
        <w:rPr>
          <w:rFonts w:ascii="Century" w:eastAsia="Times New Roman" w:hAnsi="Century" w:cs="Times New Roman"/>
          <w:sz w:val="20"/>
          <w:szCs w:val="20"/>
          <w:lang w:val="fr-FR" w:eastAsia="fr-FR"/>
        </w:rPr>
        <w:t>el</w:t>
      </w:r>
      <w:r w:rsidRPr="000217C0">
        <w:rPr>
          <w:rFonts w:ascii="Century" w:eastAsia="Times New Roman" w:hAnsi="Century" w:cs="Times New Roman"/>
          <w:sz w:val="20"/>
          <w:szCs w:val="20"/>
          <w:lang w:val="fr-FR" w:eastAsia="fr-FR"/>
        </w:rPr>
        <w:t xml:space="preserve">lement tous les quatre ans du parlement unicaméral (le </w:t>
      </w:r>
      <w:r w:rsidRPr="000217C0">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le Premier ministre sortant a le choix entre démissionner d’initiative ou se soumettre à un vote de confiance dans un délai de maximum deux semaines à partir de la mise en place du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renouvelé</w:t>
      </w:r>
      <w:r>
        <w:rPr>
          <w:rStyle w:val="Appelnotedebasdep"/>
          <w:rFonts w:ascii="Century" w:eastAsia="Times New Roman" w:hAnsi="Century" w:cs="Times New Roman"/>
          <w:sz w:val="20"/>
          <w:szCs w:val="20"/>
          <w:lang w:val="fr-FR" w:eastAsia="fr-FR"/>
        </w:rPr>
        <w:footnoteReference w:id="81"/>
      </w:r>
      <w:r w:rsidRPr="000217C0">
        <w:rPr>
          <w:rFonts w:ascii="Century" w:eastAsia="Times New Roman" w:hAnsi="Century" w:cs="Times New Roman"/>
          <w:sz w:val="20"/>
          <w:szCs w:val="20"/>
          <w:lang w:val="fr-FR" w:eastAsia="fr-FR"/>
        </w:rPr>
        <w:t xml:space="preserve">. </w:t>
      </w:r>
    </w:p>
    <w:p w14:paraId="6C60FCCE" w14:textId="77777777" w:rsidR="00FE5D46" w:rsidRPr="000217C0" w:rsidRDefault="00FE5D46">
      <w:pPr>
        <w:spacing w:after="0" w:line="240" w:lineRule="auto"/>
        <w:ind w:left="1440" w:right="567"/>
        <w:jc w:val="both"/>
        <w:rPr>
          <w:rFonts w:ascii="Century" w:eastAsia="Times New Roman" w:hAnsi="Century" w:cs="Times New Roman"/>
          <w:sz w:val="20"/>
          <w:szCs w:val="20"/>
          <w:lang w:val="fr-FR" w:eastAsia="fr-FR"/>
        </w:rPr>
      </w:pPr>
    </w:p>
    <w:p w14:paraId="5FCF6471" w14:textId="1BAC2E89"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 xml:space="preserve">Lorsqu’un Premier ministre doit être nommé, il appartient - depuis la réforme constitutionnelle de 1974 - au </w:t>
      </w:r>
      <w:r w:rsidRPr="000217C0">
        <w:rPr>
          <w:rFonts w:ascii="Century" w:eastAsia="Times New Roman" w:hAnsi="Century" w:cs="Times New Roman"/>
          <w:i/>
          <w:iCs/>
          <w:sz w:val="20"/>
          <w:szCs w:val="20"/>
          <w:lang w:val="fr-FR" w:eastAsia="fr-FR"/>
        </w:rPr>
        <w:t>Speaker</w:t>
      </w:r>
      <w:r w:rsidRPr="000217C0">
        <w:rPr>
          <w:rFonts w:ascii="Century" w:eastAsia="Times New Roman" w:hAnsi="Century" w:cs="Times New Roman"/>
          <w:sz w:val="20"/>
          <w:szCs w:val="20"/>
          <w:lang w:val="fr-FR" w:eastAsia="fr-FR"/>
        </w:rPr>
        <w:t xml:space="preserve"> (Président du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d’assumer le rôle que jouait jusqu’alors le Roi dans le processus de formation du gouvernement. Le </w:t>
      </w:r>
      <w:r w:rsidRPr="00E3428A">
        <w:rPr>
          <w:rFonts w:ascii="Century" w:eastAsia="Times New Roman" w:hAnsi="Century" w:cs="Times New Roman"/>
          <w:i/>
          <w:iCs/>
          <w:sz w:val="20"/>
          <w:szCs w:val="20"/>
          <w:lang w:val="fr-FR" w:eastAsia="fr-FR"/>
        </w:rPr>
        <w:t>Speaker</w:t>
      </w:r>
      <w:r w:rsidRPr="000217C0">
        <w:rPr>
          <w:rFonts w:ascii="Century" w:eastAsia="Times New Roman" w:hAnsi="Century" w:cs="Times New Roman"/>
          <w:sz w:val="20"/>
          <w:szCs w:val="20"/>
          <w:lang w:val="fr-FR" w:eastAsia="fr-FR"/>
        </w:rPr>
        <w:t xml:space="preserve"> consulte </w:t>
      </w:r>
      <w:r w:rsidR="007A499E" w:rsidRPr="000217C0">
        <w:rPr>
          <w:rFonts w:ascii="Century" w:eastAsia="Times New Roman" w:hAnsi="Century" w:cs="Times New Roman"/>
          <w:sz w:val="20"/>
          <w:szCs w:val="20"/>
          <w:lang w:val="fr-FR" w:eastAsia="fr-FR"/>
        </w:rPr>
        <w:t>l</w:t>
      </w:r>
      <w:r w:rsidRPr="000217C0">
        <w:rPr>
          <w:rFonts w:ascii="Century" w:eastAsia="Times New Roman" w:hAnsi="Century" w:cs="Times New Roman"/>
          <w:sz w:val="20"/>
          <w:szCs w:val="20"/>
          <w:lang w:val="fr-FR" w:eastAsia="fr-FR"/>
        </w:rPr>
        <w:t xml:space="preserve">es représentants de chaque groupe politique du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et se concerte avec le </w:t>
      </w:r>
      <w:r w:rsidRPr="000217C0">
        <w:rPr>
          <w:rFonts w:ascii="Century" w:eastAsia="Times New Roman" w:hAnsi="Century" w:cs="Times New Roman"/>
          <w:i/>
          <w:iCs/>
          <w:sz w:val="20"/>
          <w:szCs w:val="20"/>
          <w:lang w:val="fr-FR" w:eastAsia="fr-FR"/>
        </w:rPr>
        <w:t xml:space="preserve">Deputy Speaker </w:t>
      </w:r>
      <w:r w:rsidRPr="000217C0">
        <w:rPr>
          <w:rFonts w:ascii="Century" w:eastAsia="Times New Roman" w:hAnsi="Century" w:cs="Times New Roman"/>
          <w:sz w:val="20"/>
          <w:szCs w:val="20"/>
          <w:lang w:val="fr-FR" w:eastAsia="fr-FR"/>
        </w:rPr>
        <w:t xml:space="preserve">(vice-président du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afin de proposer un candidat au poste de Premier Ministre. </w:t>
      </w:r>
    </w:p>
    <w:p w14:paraId="324D3BC3" w14:textId="77777777" w:rsidR="00FE5D46" w:rsidRPr="000217C0" w:rsidRDefault="00FE5D46">
      <w:pPr>
        <w:spacing w:after="0" w:line="240" w:lineRule="auto"/>
        <w:ind w:left="1440" w:right="567"/>
        <w:jc w:val="both"/>
        <w:rPr>
          <w:rFonts w:ascii="Century" w:eastAsia="Times New Roman" w:hAnsi="Century" w:cs="Times New Roman"/>
          <w:sz w:val="20"/>
          <w:szCs w:val="20"/>
          <w:lang w:val="fr-FR" w:eastAsia="fr-FR"/>
        </w:rPr>
      </w:pPr>
    </w:p>
    <w:p w14:paraId="57FA7337" w14:textId="77777777"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 xml:space="preserve">Le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doit se prononcer dans les quatre jours de la proposition du </w:t>
      </w:r>
      <w:r w:rsidRPr="00E3428A">
        <w:rPr>
          <w:rFonts w:ascii="Century" w:eastAsia="Times New Roman" w:hAnsi="Century" w:cs="Times New Roman"/>
          <w:i/>
          <w:iCs/>
          <w:sz w:val="20"/>
          <w:szCs w:val="20"/>
          <w:lang w:val="fr-FR" w:eastAsia="fr-FR"/>
        </w:rPr>
        <w:t>Speaker</w:t>
      </w:r>
      <w:r w:rsidRPr="000217C0">
        <w:rPr>
          <w:rFonts w:ascii="Century" w:eastAsia="Times New Roman" w:hAnsi="Century" w:cs="Times New Roman"/>
          <w:sz w:val="20"/>
          <w:szCs w:val="20"/>
          <w:lang w:val="fr-FR" w:eastAsia="fr-FR"/>
        </w:rPr>
        <w:t xml:space="preserve">. La proposition du candidat n’est rejetée que si plus de la moitié des </w:t>
      </w:r>
      <w:r w:rsidRPr="000217C0">
        <w:rPr>
          <w:rFonts w:ascii="Century" w:eastAsia="Times New Roman" w:hAnsi="Century" w:cs="Times New Roman"/>
          <w:sz w:val="20"/>
          <w:szCs w:val="20"/>
          <w:lang w:val="fr-FR" w:eastAsia="fr-FR"/>
        </w:rPr>
        <w:lastRenderedPageBreak/>
        <w:t xml:space="preserve">membres du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vote </w:t>
      </w:r>
      <w:r w:rsidRPr="00E3428A">
        <w:rPr>
          <w:rFonts w:ascii="Century" w:eastAsia="Times New Roman" w:hAnsi="Century" w:cs="Times New Roman"/>
          <w:sz w:val="20"/>
          <w:szCs w:val="20"/>
          <w:lang w:val="fr-FR" w:eastAsia="fr-FR"/>
        </w:rPr>
        <w:t>contre</w:t>
      </w:r>
      <w:r w:rsidRPr="000217C0">
        <w:rPr>
          <w:rFonts w:ascii="Century" w:eastAsia="Times New Roman" w:hAnsi="Century" w:cs="Times New Roman"/>
          <w:sz w:val="20"/>
          <w:szCs w:val="20"/>
          <w:lang w:val="fr-FR" w:eastAsia="fr-FR"/>
        </w:rPr>
        <w:t xml:space="preserve"> cette proposition. Dans le cas contraire, la proposition est adoptée et le candidat proposé devient Premier ministre</w:t>
      </w:r>
      <w:r>
        <w:rPr>
          <w:rStyle w:val="Appelnotedebasdep"/>
          <w:rFonts w:ascii="Century" w:eastAsia="Times New Roman" w:hAnsi="Century" w:cs="Times New Roman"/>
          <w:sz w:val="20"/>
          <w:szCs w:val="20"/>
          <w:lang w:val="fr-FR" w:eastAsia="fr-FR"/>
        </w:rPr>
        <w:footnoteReference w:id="82"/>
      </w:r>
      <w:r w:rsidRPr="000217C0">
        <w:rPr>
          <w:rFonts w:ascii="Century" w:eastAsia="Times New Roman" w:hAnsi="Century" w:cs="Times New Roman"/>
          <w:sz w:val="20"/>
          <w:szCs w:val="20"/>
          <w:lang w:val="fr-FR" w:eastAsia="fr-FR"/>
        </w:rPr>
        <w:t xml:space="preserve">. </w:t>
      </w:r>
    </w:p>
    <w:p w14:paraId="5EFDFF97" w14:textId="77777777" w:rsidR="00FE5D46" w:rsidRPr="000217C0" w:rsidRDefault="00FE5D46">
      <w:pPr>
        <w:spacing w:after="0" w:line="240" w:lineRule="auto"/>
        <w:ind w:left="567" w:right="567"/>
        <w:jc w:val="both"/>
        <w:rPr>
          <w:rFonts w:ascii="Century" w:eastAsia="Times New Roman" w:hAnsi="Century" w:cs="Times New Roman"/>
          <w:sz w:val="20"/>
          <w:szCs w:val="20"/>
          <w:lang w:val="fr-FR" w:eastAsia="fr-FR"/>
        </w:rPr>
      </w:pPr>
    </w:p>
    <w:p w14:paraId="51433CDD" w14:textId="77777777" w:rsidR="00FE5D46" w:rsidRPr="000217C0" w:rsidRDefault="00000000">
      <w:pPr>
        <w:spacing w:after="0" w:line="240" w:lineRule="auto"/>
        <w:ind w:left="1440" w:right="567"/>
        <w:jc w:val="both"/>
        <w:rPr>
          <w:rFonts w:ascii="Century" w:eastAsia="Times New Roman" w:hAnsi="Century" w:cs="Times New Roman"/>
          <w:sz w:val="20"/>
          <w:szCs w:val="20"/>
          <w:lang w:val="fr-FR" w:eastAsia="fr-FR"/>
        </w:rPr>
      </w:pPr>
      <w:r w:rsidRPr="000217C0">
        <w:rPr>
          <w:rFonts w:ascii="Century" w:eastAsia="Times New Roman" w:hAnsi="Century" w:cs="Times New Roman"/>
          <w:sz w:val="20"/>
          <w:szCs w:val="20"/>
          <w:lang w:val="fr-FR" w:eastAsia="fr-FR"/>
        </w:rPr>
        <w:t xml:space="preserve">Si le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rejette le candidat proposé par le </w:t>
      </w:r>
      <w:r w:rsidRPr="00E3428A">
        <w:rPr>
          <w:rFonts w:ascii="Century" w:eastAsia="Times New Roman" w:hAnsi="Century" w:cs="Times New Roman"/>
          <w:i/>
          <w:iCs/>
          <w:sz w:val="20"/>
          <w:szCs w:val="20"/>
          <w:lang w:val="fr-FR" w:eastAsia="fr-FR"/>
        </w:rPr>
        <w:t>Speaker</w:t>
      </w:r>
      <w:r w:rsidRPr="000217C0">
        <w:rPr>
          <w:rFonts w:ascii="Century" w:eastAsia="Times New Roman" w:hAnsi="Century" w:cs="Times New Roman"/>
          <w:sz w:val="20"/>
          <w:szCs w:val="20"/>
          <w:lang w:val="fr-FR" w:eastAsia="fr-FR"/>
        </w:rPr>
        <w:t xml:space="preserve">, ce dernier est invité à présenter un nouveau candidat. Si le </w:t>
      </w:r>
      <w:r w:rsidRPr="00E3428A">
        <w:rPr>
          <w:rFonts w:ascii="Century" w:eastAsia="Times New Roman" w:hAnsi="Century" w:cs="Times New Roman"/>
          <w:i/>
          <w:iCs/>
          <w:sz w:val="20"/>
          <w:szCs w:val="20"/>
          <w:lang w:val="fr-FR" w:eastAsia="fr-FR"/>
        </w:rPr>
        <w:t>Riksdag</w:t>
      </w:r>
      <w:r w:rsidRPr="000217C0">
        <w:rPr>
          <w:rFonts w:ascii="Century" w:eastAsia="Times New Roman" w:hAnsi="Century" w:cs="Times New Roman"/>
          <w:sz w:val="20"/>
          <w:szCs w:val="20"/>
          <w:lang w:val="fr-FR" w:eastAsia="fr-FR"/>
        </w:rPr>
        <w:t xml:space="preserve"> rejette la proposition du </w:t>
      </w:r>
      <w:r w:rsidRPr="00E3428A">
        <w:rPr>
          <w:rFonts w:ascii="Century" w:eastAsia="Times New Roman" w:hAnsi="Century" w:cs="Times New Roman"/>
          <w:i/>
          <w:iCs/>
          <w:sz w:val="20"/>
          <w:szCs w:val="20"/>
          <w:lang w:val="fr-FR" w:eastAsia="fr-FR"/>
        </w:rPr>
        <w:t>Speaker</w:t>
      </w:r>
      <w:r w:rsidRPr="000217C0">
        <w:rPr>
          <w:rFonts w:ascii="Century" w:eastAsia="Times New Roman" w:hAnsi="Century" w:cs="Times New Roman"/>
          <w:sz w:val="20"/>
          <w:szCs w:val="20"/>
          <w:lang w:val="fr-FR" w:eastAsia="fr-FR"/>
        </w:rPr>
        <w:t xml:space="preserve"> quatre fois, la procédure de nomination du Premier ministre est abandonnée et ne pourra être poursuivie qu’après l’organisation de nouvelles élections du </w:t>
      </w:r>
      <w:r w:rsidRPr="00E3428A">
        <w:rPr>
          <w:rFonts w:ascii="Century" w:eastAsia="Times New Roman" w:hAnsi="Century" w:cs="Times New Roman"/>
          <w:i/>
          <w:iCs/>
          <w:sz w:val="20"/>
          <w:szCs w:val="20"/>
          <w:lang w:val="fr-FR" w:eastAsia="fr-FR"/>
        </w:rPr>
        <w:t>Riksdag</w:t>
      </w:r>
      <w:r>
        <w:rPr>
          <w:rStyle w:val="Appelnotedebasdep"/>
          <w:rFonts w:ascii="Century" w:eastAsia="Times New Roman" w:hAnsi="Century" w:cs="Times New Roman"/>
          <w:sz w:val="20"/>
          <w:szCs w:val="20"/>
          <w:lang w:val="fr-FR" w:eastAsia="fr-FR"/>
        </w:rPr>
        <w:footnoteReference w:id="83"/>
      </w:r>
      <w:r w:rsidRPr="000217C0">
        <w:rPr>
          <w:rFonts w:ascii="Century" w:eastAsia="Times New Roman" w:hAnsi="Century" w:cs="Times New Roman"/>
          <w:sz w:val="20"/>
          <w:szCs w:val="20"/>
          <w:lang w:val="fr-FR" w:eastAsia="fr-FR"/>
        </w:rPr>
        <w:t xml:space="preserve">. </w:t>
      </w:r>
    </w:p>
    <w:p w14:paraId="04AD5A27" w14:textId="77777777" w:rsidR="00FE5D46" w:rsidRPr="000217C0" w:rsidRDefault="00FE5D46">
      <w:pPr>
        <w:spacing w:after="0" w:line="240" w:lineRule="auto"/>
        <w:ind w:left="567" w:right="567"/>
        <w:jc w:val="both"/>
        <w:rPr>
          <w:rFonts w:ascii="Century" w:eastAsia="Times New Roman" w:hAnsi="Century" w:cs="Times New Roman"/>
          <w:sz w:val="20"/>
          <w:szCs w:val="20"/>
          <w:lang w:val="fr-FR" w:eastAsia="fr-FR"/>
        </w:rPr>
      </w:pPr>
    </w:p>
    <w:p w14:paraId="0968346E" w14:textId="77777777" w:rsidR="00FE5D46" w:rsidRPr="000217C0" w:rsidRDefault="00000000">
      <w:pPr>
        <w:ind w:left="567" w:right="567"/>
        <w:jc w:val="both"/>
        <w:rPr>
          <w:rFonts w:ascii="Century" w:hAnsi="Century"/>
          <w:lang w:val="fr-FR"/>
        </w:rPr>
      </w:pPr>
      <w:r w:rsidRPr="000217C0">
        <w:rPr>
          <w:rFonts w:ascii="Century" w:hAnsi="Century"/>
          <w:lang w:val="fr-FR"/>
        </w:rPr>
        <w:t>Le mécanisme relève ainsi du régime parlementaire de « type positif » puisqu’un vote est nécessaire afin de désigner valablement le ou la Premier(e) ministre, mais il relève aussi du régime de « type négatif » où la confiance est présumée puisque ce vote ne peut prendre que la forme d’un vote de méfiance. En outre, « il est de coutume que le nombre d’abstentions des éventuels groupes parlementaires soutenant l’action du gouvernement sans y participer suffit à écarter le seuil fatidique de la majorité absolue »</w:t>
      </w:r>
      <w:r>
        <w:rPr>
          <w:rStyle w:val="Appelnotedebasdep"/>
          <w:rFonts w:ascii="Century" w:hAnsi="Century"/>
          <w:sz w:val="24"/>
          <w:lang w:val="fr-FR"/>
        </w:rPr>
        <w:footnoteReference w:id="84"/>
      </w:r>
      <w:r w:rsidRPr="000217C0">
        <w:rPr>
          <w:rFonts w:ascii="Century" w:hAnsi="Century"/>
          <w:lang w:val="fr-FR"/>
        </w:rPr>
        <w:t xml:space="preserve">. Ainsi, en pratique, pour que le ou la Premier(e) ministre suédois(e) soit valablement investi(e), il suffit que plus de la moitié des suffrages exprimés ne votent pas ‘contre’ le ou la candidat(e) proposé(e). </w:t>
      </w:r>
    </w:p>
    <w:p w14:paraId="6975E3DF" w14:textId="77777777" w:rsidR="00FE5D46" w:rsidRPr="000217C0" w:rsidRDefault="00000000">
      <w:pPr>
        <w:ind w:left="567" w:right="567"/>
        <w:jc w:val="both"/>
        <w:rPr>
          <w:rFonts w:ascii="Century" w:hAnsi="Century"/>
          <w:color w:val="000000"/>
          <w:lang w:val="fr-BE"/>
        </w:rPr>
      </w:pPr>
      <w:r w:rsidRPr="000217C0">
        <w:rPr>
          <w:rFonts w:ascii="Century" w:hAnsi="Century"/>
          <w:color w:val="000000"/>
          <w:lang w:val="fr-BE"/>
        </w:rPr>
        <w:t>Le système suédois est donc particulièrement favorable à l’avènement de gouvernements minoritaires</w:t>
      </w:r>
      <w:r>
        <w:rPr>
          <w:rStyle w:val="Appelnotedebasdep"/>
          <w:rFonts w:ascii="Century" w:hAnsi="Century"/>
          <w:color w:val="000000"/>
          <w:sz w:val="24"/>
        </w:rPr>
        <w:footnoteReference w:id="85"/>
      </w:r>
      <w:r w:rsidRPr="000217C0">
        <w:rPr>
          <w:rFonts w:ascii="Century" w:hAnsi="Century"/>
          <w:color w:val="000000"/>
          <w:lang w:val="fr-BE"/>
        </w:rPr>
        <w:t xml:space="preserve"> et donc, à une formation rapide du gouvernement</w:t>
      </w:r>
      <w:r>
        <w:rPr>
          <w:rStyle w:val="Appelnotedebasdep"/>
          <w:rFonts w:ascii="Century" w:hAnsi="Century"/>
          <w:color w:val="000000"/>
          <w:lang w:val="fr-BE"/>
        </w:rPr>
        <w:footnoteReference w:id="86"/>
      </w:r>
      <w:r w:rsidRPr="000217C0">
        <w:rPr>
          <w:rFonts w:ascii="Century" w:hAnsi="Century"/>
          <w:color w:val="000000"/>
          <w:lang w:val="fr-BE"/>
        </w:rPr>
        <w:t xml:space="preserve">. </w:t>
      </w:r>
    </w:p>
    <w:p w14:paraId="2F706AC4" w14:textId="77777777" w:rsidR="00FE5D46" w:rsidRPr="000217C0" w:rsidRDefault="00000000">
      <w:pPr>
        <w:ind w:left="567" w:right="567"/>
        <w:jc w:val="both"/>
        <w:rPr>
          <w:rFonts w:ascii="Century" w:hAnsi="Century"/>
          <w:lang w:val="fr-BE"/>
        </w:rPr>
      </w:pPr>
      <w:r w:rsidRPr="000217C0">
        <w:rPr>
          <w:rFonts w:ascii="Century" w:hAnsi="Century"/>
          <w:lang w:val="fr-BE"/>
        </w:rPr>
        <w:lastRenderedPageBreak/>
        <w:t>En Belgique, depuis 1993, les articles 46 et 96 de la Constitution ont adopté le mécanisme du parlementarisme dit rationalisé aux termes duquel la motion de méfiance collective et constructive est le seul moyen de contraindre juridiquement un gouvernement à démissionner. Tous les systèmes constitutionnels qui ont introduit cette technique de la motion de méfiance constructive appliquent la règle de la confiance positive. On ne saurait en effet combiner cette technique avec la règle de la confiance négative sans déséquilibrer les rapports entre les pouvoirs législatif et exécutif au profit du second. Stabiliser le gouvernement par le système de la motion constructive, très bien, mais y ajouter la règle de la confiance négative, c’est le renforcer jusqu’à l’excès en le mettant trop à l’abri du légitime contrôle parlementaire</w:t>
      </w:r>
      <w:r>
        <w:rPr>
          <w:rStyle w:val="Appelnotedebasdep"/>
          <w:rFonts w:ascii="Century" w:hAnsi="Century"/>
          <w:sz w:val="24"/>
        </w:rPr>
        <w:footnoteReference w:id="87"/>
      </w:r>
      <w:r w:rsidRPr="000217C0">
        <w:rPr>
          <w:rFonts w:ascii="Century" w:hAnsi="Century"/>
          <w:lang w:val="fr-BE"/>
        </w:rPr>
        <w:t xml:space="preserve">. La sollicitation positive de la confiance adressée à la Chambre s’impose donc dans un régime parlementaire rationalisé comme le nôtre. Autrement dit, l’introduction éventuelle d’un régime parlementaire de type négatif dans le but de faciliter l’avènement de gouvernements politiquement minoritaires devrait aller de pair avec l’abrogation du système de la motion de méfiance constructive auquel nous avons adhéré depuis 1993. </w:t>
      </w:r>
    </w:p>
    <w:p w14:paraId="0503A814" w14:textId="2420844F" w:rsidR="00FE5D46" w:rsidRPr="000217C0" w:rsidRDefault="00000000">
      <w:pPr>
        <w:ind w:left="567" w:right="567"/>
        <w:jc w:val="both"/>
        <w:rPr>
          <w:rFonts w:ascii="Century" w:hAnsi="Century"/>
          <w:lang w:val="fr-FR"/>
        </w:rPr>
      </w:pPr>
      <w:r w:rsidRPr="000217C0">
        <w:rPr>
          <w:rFonts w:ascii="Century" w:hAnsi="Century"/>
          <w:lang w:val="fr-FR"/>
        </w:rPr>
        <w:t>Il reste à aborder la question du caractère souhaitable ou non de l’exigence du soutien par une majorité dans chacun des deux groupes linguistiques. Si elle n’est pas prescrite par la Constitution</w:t>
      </w:r>
      <w:r w:rsidR="00B61965" w:rsidRPr="000217C0">
        <w:rPr>
          <w:rFonts w:ascii="Century" w:hAnsi="Century"/>
          <w:lang w:val="fr-FR"/>
        </w:rPr>
        <w:t xml:space="preserve"> ni par la coutume constitutionnelle</w:t>
      </w:r>
      <w:r>
        <w:rPr>
          <w:rStyle w:val="Appelnotedebasdep"/>
          <w:rFonts w:ascii="Century" w:hAnsi="Century"/>
          <w:lang w:val="fr-FR"/>
        </w:rPr>
        <w:footnoteReference w:id="88"/>
      </w:r>
      <w:r w:rsidRPr="000217C0">
        <w:rPr>
          <w:rFonts w:ascii="Century" w:hAnsi="Century"/>
          <w:lang w:val="fr-FR"/>
        </w:rPr>
        <w:t xml:space="preserve">, il nous semble qu’elle est conforme à l’esprit du système constitutionnel belge et politiquement préférable pour renforcer la légitimité du gouvernement de part et d’autre de la frontière linguistique. Le politologue Dave Sinardet a néanmoins recommandé (lors de son audition du 21 septembre 2022) l’inscription dans la Constitution de la règle d’un soutien nécessaire de tout gouvernement fédéral par un seuil minimal de 25 ou 33 % des membres de chacun des deux groupes linguistiques de la Chambre. Assez logiquement, il suggère aussi d’abroger la règle de l’article 99, al. 2, de la Constitution qui exige la parité linguistique au Conseil des ministres. Ce serait une réforme radicale qui ne pourrait être discutée que dans l’assemblée </w:t>
      </w:r>
      <w:r w:rsidRPr="000217C0">
        <w:rPr>
          <w:rFonts w:ascii="Century" w:hAnsi="Century"/>
          <w:i/>
          <w:lang w:val="fr-FR"/>
        </w:rPr>
        <w:t>ad hoc</w:t>
      </w:r>
      <w:r w:rsidRPr="000217C0">
        <w:rPr>
          <w:rFonts w:ascii="Century" w:hAnsi="Century"/>
          <w:lang w:val="fr-FR"/>
        </w:rPr>
        <w:t xml:space="preserve"> que nous appelons de nos vœux. Sous réserve des arguments que cette discussion pourrait faire émerger, nous nous demandons par l’effet de quel prodige la population flamande du pays qui est numériquement majoritaire pourrait accepter l’autorité d’un gouvernement qui ne serait soutenu que par 25 % des membres du groupe linguistique néerlandais de la Chambre. C’est sans doute le groupe linguistique français qui serait le plus souvent invité à supporter cette minorisation</w:t>
      </w:r>
      <w:r>
        <w:rPr>
          <w:rStyle w:val="Appelnotedebasdep"/>
          <w:rFonts w:ascii="Century" w:hAnsi="Century"/>
          <w:sz w:val="24"/>
          <w:lang w:val="fr-FR"/>
        </w:rPr>
        <w:footnoteReference w:id="89"/>
      </w:r>
      <w:r w:rsidRPr="000217C0">
        <w:rPr>
          <w:rFonts w:ascii="Century" w:hAnsi="Century"/>
          <w:lang w:val="fr-FR"/>
        </w:rPr>
        <w:t xml:space="preserve">. Ce serait introduire un facteur de déséquilibre potentiellement </w:t>
      </w:r>
      <w:r w:rsidRPr="000217C0">
        <w:rPr>
          <w:rFonts w:ascii="Century" w:hAnsi="Century"/>
          <w:lang w:val="fr-FR"/>
        </w:rPr>
        <w:lastRenderedPageBreak/>
        <w:t xml:space="preserve">mortel pour l’Etat fédéral belge. Nous ne voyons donc aucune raison de tourner le dos à la directive politique actuelle qui érige en idéal le soutien d’une majorité ou au moins d’un seuil aussi proche que possible de la majorité dans les deux groupes linguistiques. </w:t>
      </w:r>
    </w:p>
    <w:p w14:paraId="4143A4C5" w14:textId="77777777" w:rsidR="00FE5D46" w:rsidRPr="000217C0" w:rsidRDefault="00000000">
      <w:pPr>
        <w:ind w:left="567" w:right="567"/>
        <w:jc w:val="both"/>
        <w:rPr>
          <w:rFonts w:ascii="Century" w:hAnsi="Century"/>
          <w:lang w:val="fr-FR"/>
        </w:rPr>
      </w:pPr>
      <w:r w:rsidRPr="000217C0">
        <w:rPr>
          <w:rFonts w:ascii="Century" w:hAnsi="Century"/>
          <w:lang w:val="fr-FR"/>
        </w:rPr>
        <w:t>Quant aux seuils requis pour réviser la Constitution (art. 195 de la Constitution) ou adopter des lois spéciales (art. 4 de la Constitution), leur abaissement pourrait bien sûr faciliter la formation des gouvernements désireux de mettre en chantier une réforme de l’Etat, mais il mettrait en péril la rigidité nécessaire de la Constitution et les équilibres communautaires vitaux pour le fédéralisme belge. La révision souhaitable de l’article 195 devrait d’ailleurs inclure l’alignement des quorums requis pour toute réforme constitutionnelle sur ceux prévus pour les lois spéciales. Cet alignement s’impose en effet pour remédier au paradoxe actuel qui veut qu’à certains égards, la Constitution est moins rigide que les lois spéciales alors que celles-ci lui sont hiérarchiquement subordonnées</w:t>
      </w:r>
      <w:r>
        <w:rPr>
          <w:rStyle w:val="Appelnotedebasdep"/>
          <w:rFonts w:ascii="Century" w:hAnsi="Century"/>
          <w:sz w:val="24"/>
          <w:lang w:val="fr-FR"/>
        </w:rPr>
        <w:footnoteReference w:id="90"/>
      </w:r>
      <w:r w:rsidRPr="000217C0">
        <w:rPr>
          <w:rFonts w:ascii="Century" w:hAnsi="Century"/>
          <w:lang w:val="fr-FR"/>
        </w:rPr>
        <w:t xml:space="preserve">. </w:t>
      </w:r>
    </w:p>
    <w:p w14:paraId="58C49BE1" w14:textId="77777777" w:rsidR="003A436A" w:rsidRPr="000217C0" w:rsidRDefault="003A436A">
      <w:pPr>
        <w:ind w:left="567" w:right="567"/>
        <w:jc w:val="both"/>
        <w:rPr>
          <w:rFonts w:ascii="Century" w:hAnsi="Century"/>
          <w:lang w:val="fr-FR"/>
        </w:rPr>
      </w:pPr>
    </w:p>
    <w:p w14:paraId="4E7726B1" w14:textId="15C892EC" w:rsidR="00FE5D46" w:rsidRPr="000217C0" w:rsidRDefault="00000000" w:rsidP="00C47D72">
      <w:pPr>
        <w:pStyle w:val="Titre2"/>
        <w:ind w:left="927"/>
      </w:pPr>
      <w:bookmarkStart w:id="21" w:name="_Toc132791637"/>
      <w:bookmarkStart w:id="22" w:name="_Toc132791733"/>
      <w:r w:rsidRPr="000217C0">
        <w:t>S</w:t>
      </w:r>
      <w:r w:rsidR="0011291F" w:rsidRPr="000217C0">
        <w:t>ept</w:t>
      </w:r>
      <w:r w:rsidRPr="000217C0">
        <w:t>ième piste : des délais dont le dépassement provoquerait le déclenchement de nouvelles élections</w:t>
      </w:r>
      <w:bookmarkEnd w:id="21"/>
      <w:bookmarkEnd w:id="22"/>
    </w:p>
    <w:p w14:paraId="4C1442F8" w14:textId="77777777" w:rsidR="00FE5D46" w:rsidRPr="0014243F" w:rsidRDefault="00FE5D46">
      <w:pPr>
        <w:pStyle w:val="Paragraphedeliste"/>
        <w:ind w:left="567" w:right="567"/>
        <w:jc w:val="both"/>
        <w:rPr>
          <w:rFonts w:ascii="Century" w:hAnsi="Century"/>
          <w:i/>
          <w:sz w:val="22"/>
          <w:szCs w:val="22"/>
          <w:lang w:eastAsia="ja-JP"/>
        </w:rPr>
      </w:pPr>
    </w:p>
    <w:p w14:paraId="63295AAC" w14:textId="3427B216" w:rsidR="00FE5D46" w:rsidRPr="000217C0" w:rsidRDefault="00000000" w:rsidP="0014243F">
      <w:pPr>
        <w:ind w:left="567" w:right="567"/>
        <w:jc w:val="both"/>
        <w:rPr>
          <w:rFonts w:ascii="Century" w:hAnsi="Century"/>
          <w:color w:val="000000"/>
          <w:lang w:val="fr-BE"/>
        </w:rPr>
      </w:pPr>
      <w:r w:rsidRPr="000217C0">
        <w:rPr>
          <w:rFonts w:ascii="Century" w:hAnsi="Century"/>
          <w:color w:val="000000"/>
          <w:lang w:val="fr-BE"/>
        </w:rPr>
        <w:t>Dans plusieurs pays, des délais sont assignés aux acteurs du processus de formation des gouvernements entre certaines séquences. Tel est notamment le cas aux Pays-Bas, en Espagne, en Grèce, en Suède et en Israël</w:t>
      </w:r>
      <w:r>
        <w:rPr>
          <w:rStyle w:val="Appelnotedebasdep"/>
          <w:rFonts w:ascii="Century" w:hAnsi="Century"/>
          <w:color w:val="000000"/>
          <w:sz w:val="24"/>
        </w:rPr>
        <w:footnoteReference w:id="91"/>
      </w:r>
      <w:r w:rsidRPr="000217C0">
        <w:rPr>
          <w:rFonts w:ascii="Century" w:hAnsi="Century"/>
          <w:color w:val="000000"/>
          <w:lang w:val="fr-BE"/>
        </w:rPr>
        <w:t xml:space="preserve">. Mais en dehors des cas grec et israélien, aucun délai ne contraint le formateur du gouvernement respectivement désigné par la Tweede Kamer, par le Roi d’Espagne et par le </w:t>
      </w:r>
      <w:r w:rsidRPr="000217C0">
        <w:rPr>
          <w:rFonts w:ascii="Century" w:hAnsi="Century"/>
          <w:i/>
          <w:color w:val="000000"/>
          <w:lang w:val="fr-BE"/>
        </w:rPr>
        <w:t>Riksdag</w:t>
      </w:r>
      <w:r w:rsidRPr="000217C0">
        <w:rPr>
          <w:rFonts w:ascii="Century" w:hAnsi="Century"/>
          <w:color w:val="000000"/>
          <w:lang w:val="fr-BE"/>
        </w:rPr>
        <w:t xml:space="preserve"> (dans la personne du </w:t>
      </w:r>
      <w:r w:rsidRPr="000217C0">
        <w:rPr>
          <w:rFonts w:ascii="Century" w:hAnsi="Century"/>
          <w:i/>
          <w:color w:val="000000"/>
          <w:lang w:val="fr-BE"/>
        </w:rPr>
        <w:t>Speaker</w:t>
      </w:r>
      <w:r w:rsidRPr="000217C0">
        <w:rPr>
          <w:rFonts w:ascii="Century" w:hAnsi="Century"/>
          <w:color w:val="000000"/>
          <w:lang w:val="fr-BE"/>
        </w:rPr>
        <w:t>), à réussir à former un gouvernement sous peine de repasser par la case des élections. </w:t>
      </w:r>
    </w:p>
    <w:p w14:paraId="3D71C453" w14:textId="71E7B993" w:rsidR="00FE5D46" w:rsidRPr="000217C0" w:rsidRDefault="00000000" w:rsidP="0014243F">
      <w:pPr>
        <w:ind w:left="567" w:right="567"/>
        <w:jc w:val="both"/>
        <w:rPr>
          <w:rFonts w:ascii="Century" w:hAnsi="Century"/>
          <w:color w:val="000000"/>
          <w:lang w:val="fr-BE"/>
        </w:rPr>
      </w:pPr>
      <w:r w:rsidRPr="000217C0">
        <w:rPr>
          <w:rFonts w:ascii="Century" w:hAnsi="Century"/>
          <w:color w:val="000000"/>
          <w:lang w:val="fr-BE"/>
        </w:rPr>
        <w:t xml:space="preserve">Aux </w:t>
      </w:r>
      <w:r w:rsidRPr="000217C0">
        <w:rPr>
          <w:rFonts w:ascii="Century" w:hAnsi="Century"/>
          <w:b/>
          <w:color w:val="000000"/>
          <w:lang w:val="fr-BE"/>
        </w:rPr>
        <w:t>Pays-Bas</w:t>
      </w:r>
      <w:r w:rsidRPr="000217C0">
        <w:rPr>
          <w:rFonts w:ascii="Century" w:hAnsi="Century"/>
          <w:color w:val="000000"/>
          <w:lang w:val="fr-BE"/>
        </w:rPr>
        <w:t xml:space="preserve">, comme on l’a relevé plus haut, les délais ne sont pas contraignants.  </w:t>
      </w:r>
    </w:p>
    <w:p w14:paraId="290FB4DD" w14:textId="61C73675" w:rsidR="00FE5D46" w:rsidRPr="0014243F" w:rsidRDefault="00000000" w:rsidP="0014243F">
      <w:pPr>
        <w:ind w:left="567" w:right="567"/>
        <w:jc w:val="both"/>
        <w:rPr>
          <w:rFonts w:ascii="Century" w:hAnsi="Century"/>
          <w:lang w:val="fr-FR"/>
        </w:rPr>
      </w:pPr>
      <w:r w:rsidRPr="000217C0">
        <w:rPr>
          <w:rFonts w:ascii="Century" w:hAnsi="Century"/>
          <w:color w:val="000000"/>
          <w:lang w:val="fr-BE"/>
        </w:rPr>
        <w:t xml:space="preserve">En </w:t>
      </w:r>
      <w:r w:rsidRPr="000217C0">
        <w:rPr>
          <w:rFonts w:ascii="Century" w:hAnsi="Century"/>
          <w:b/>
          <w:color w:val="000000"/>
          <w:lang w:val="fr-BE"/>
        </w:rPr>
        <w:t>Espagne</w:t>
      </w:r>
      <w:r w:rsidRPr="000217C0">
        <w:rPr>
          <w:rFonts w:ascii="Century" w:hAnsi="Century"/>
          <w:color w:val="000000"/>
          <w:lang w:val="fr-BE"/>
        </w:rPr>
        <w:t xml:space="preserve">, </w:t>
      </w:r>
      <w:r w:rsidRPr="000217C0">
        <w:rPr>
          <w:rFonts w:ascii="Century" w:hAnsi="Century"/>
          <w:lang w:val="fr-FR"/>
        </w:rPr>
        <w:t>la procédure de nomination du Premier ministre prescrite par l’article 99 de la Constitution se déroule en deux temps</w:t>
      </w:r>
      <w:r>
        <w:rPr>
          <w:rStyle w:val="Appelnotedebasdep"/>
          <w:rFonts w:ascii="Century" w:hAnsi="Century"/>
          <w:lang w:val="fr-FR"/>
        </w:rPr>
        <w:footnoteReference w:id="92"/>
      </w:r>
      <w:r w:rsidRPr="000217C0">
        <w:rPr>
          <w:rFonts w:ascii="Century" w:hAnsi="Century"/>
          <w:lang w:val="fr-FR"/>
        </w:rPr>
        <w:t xml:space="preserve">. Lors d’un premier vote, le candidat proposé par le Roi après les consultations des représentants </w:t>
      </w:r>
      <w:r w:rsidRPr="000217C0">
        <w:rPr>
          <w:rFonts w:ascii="Century" w:hAnsi="Century"/>
          <w:lang w:val="fr-FR"/>
        </w:rPr>
        <w:lastRenderedPageBreak/>
        <w:t xml:space="preserve">des groupes parlementaires devra obtenir le soutien de la majorité absolue des députés. Si ce candidat n’obtient pas cette majorité, lors d’un deuxième vote organisé 48 heures plus tard, le même candidat devra obtenir une majorité des suffrages exprimés, sans tenir compte des absents et des abstentions. </w:t>
      </w:r>
    </w:p>
    <w:p w14:paraId="0093B8C2" w14:textId="328122A9" w:rsidR="00FE5D46" w:rsidRPr="000217C0" w:rsidRDefault="00000000" w:rsidP="0014243F">
      <w:pPr>
        <w:ind w:left="567" w:right="567"/>
        <w:jc w:val="both"/>
        <w:rPr>
          <w:rFonts w:ascii="Century" w:hAnsi="Century"/>
          <w:lang w:val="fr-FR"/>
        </w:rPr>
      </w:pPr>
      <w:r w:rsidRPr="000217C0">
        <w:rPr>
          <w:rFonts w:ascii="Century" w:hAnsi="Century"/>
          <w:lang w:val="fr-FR"/>
        </w:rPr>
        <w:t>Cette procédure, avec l’exigence de la majorité absolue des députés au premier tour du scrutin et de la majorité des suffrages exprimés au second tour du scrutin, peut être répétée avec de nouveaux candidats plusieurs fois dans un délai de deux mois à compter du premier vote pour l’élection du Premier ministre. Passé ce délai, de nouvelles élections doivent être organisées. Avant les élections législatives de 2015 qui ont vu émerger deux nouveaux partis à côté des deux formations traditionnellement dominantes, un manuel de droit constitutionnel espagnol avait pu qualifier l’hypothèse de la dissolution automatique des Chambres pour cause d’impossibilité de former un gouvernement de « théoriquement possible, mais ressemblant davantage à un cas de politique fiction »</w:t>
      </w:r>
      <w:r>
        <w:rPr>
          <w:rStyle w:val="Appelnotedebasdep"/>
          <w:rFonts w:ascii="Century" w:hAnsi="Century"/>
          <w:sz w:val="24"/>
          <w:lang w:val="fr-FR"/>
        </w:rPr>
        <w:footnoteReference w:id="93"/>
      </w:r>
      <w:r w:rsidRPr="000217C0">
        <w:rPr>
          <w:rFonts w:ascii="Century" w:hAnsi="Century"/>
          <w:lang w:val="fr-FR"/>
        </w:rPr>
        <w:t xml:space="preserve">. </w:t>
      </w:r>
    </w:p>
    <w:p w14:paraId="0CB4AC57" w14:textId="384D1C60" w:rsidR="00FE5D46" w:rsidRPr="000217C0" w:rsidRDefault="00000000" w:rsidP="0014243F">
      <w:pPr>
        <w:ind w:left="567" w:right="567"/>
        <w:jc w:val="both"/>
        <w:rPr>
          <w:rFonts w:ascii="Century" w:hAnsi="Century"/>
          <w:lang w:val="fr-FR"/>
        </w:rPr>
      </w:pPr>
      <w:r w:rsidRPr="000217C0">
        <w:rPr>
          <w:rFonts w:ascii="Century" w:hAnsi="Century"/>
          <w:lang w:val="fr-FR"/>
        </w:rPr>
        <w:t>Depuis lors, le droit constitutionnel espagnol est passé de la fiction à la réalité</w:t>
      </w:r>
      <w:r>
        <w:rPr>
          <w:rStyle w:val="Appelnotedebasdep"/>
          <w:rFonts w:ascii="Century" w:hAnsi="Century"/>
          <w:sz w:val="24"/>
          <w:lang w:val="fr-FR"/>
        </w:rPr>
        <w:footnoteReference w:id="94"/>
      </w:r>
      <w:r w:rsidRPr="000217C0">
        <w:rPr>
          <w:rFonts w:ascii="Century" w:hAnsi="Century"/>
          <w:lang w:val="fr-FR"/>
        </w:rPr>
        <w:t xml:space="preserve"> et ce mécanisme </w:t>
      </w:r>
      <w:r w:rsidR="007B76D0" w:rsidRPr="000217C0">
        <w:rPr>
          <w:rFonts w:ascii="Century" w:hAnsi="Century"/>
          <w:lang w:val="fr-FR"/>
        </w:rPr>
        <w:t>–</w:t>
      </w:r>
      <w:r w:rsidRPr="000217C0">
        <w:rPr>
          <w:rFonts w:ascii="Century" w:hAnsi="Century"/>
          <w:lang w:val="fr-FR"/>
        </w:rPr>
        <w:t xml:space="preserve"> qui va de pair avec la technique de la motion de méfiance constructive prévue par l’article 113 de la Constitution espagnole</w:t>
      </w:r>
      <w:r>
        <w:rPr>
          <w:rStyle w:val="Appelnotedebasdep"/>
          <w:rFonts w:ascii="Century" w:hAnsi="Century"/>
          <w:sz w:val="24"/>
          <w:lang w:val="fr-FR"/>
        </w:rPr>
        <w:footnoteReference w:id="95"/>
      </w:r>
      <w:r w:rsidRPr="000217C0">
        <w:rPr>
          <w:rFonts w:ascii="Century" w:hAnsi="Century"/>
          <w:lang w:val="fr-FR"/>
        </w:rPr>
        <w:t xml:space="preserve"> </w:t>
      </w:r>
      <w:r w:rsidR="007B76D0" w:rsidRPr="000217C0">
        <w:rPr>
          <w:rFonts w:ascii="Century" w:hAnsi="Century"/>
          <w:lang w:val="fr-FR"/>
        </w:rPr>
        <w:t>–</w:t>
      </w:r>
      <w:r w:rsidRPr="000217C0">
        <w:rPr>
          <w:rFonts w:ascii="Century" w:hAnsi="Century"/>
          <w:lang w:val="fr-FR"/>
        </w:rPr>
        <w:t xml:space="preserve"> a surtout permis l’émergence de gouvernements minoritaires</w:t>
      </w:r>
      <w:r>
        <w:rPr>
          <w:rStyle w:val="Appelnotedebasdep"/>
          <w:rFonts w:ascii="Century" w:hAnsi="Century"/>
          <w:sz w:val="24"/>
          <w:lang w:val="fr-FR"/>
        </w:rPr>
        <w:footnoteReference w:id="96"/>
      </w:r>
      <w:r w:rsidR="00136032" w:rsidRPr="000217C0">
        <w:rPr>
          <w:rFonts w:ascii="Century" w:hAnsi="Century"/>
          <w:lang w:val="fr-FR"/>
        </w:rPr>
        <w:t>, mais i</w:t>
      </w:r>
      <w:r w:rsidRPr="000217C0">
        <w:rPr>
          <w:rFonts w:ascii="Century" w:hAnsi="Century"/>
          <w:lang w:val="fr-FR"/>
        </w:rPr>
        <w:t>l ne semble pas avoir induit une accélération de la formation des gouvernements. En effet, le délai de deux mois ne court qu’à compter du premier vote d’investiture</w:t>
      </w:r>
      <w:r>
        <w:rPr>
          <w:rStyle w:val="Appelnotedebasdep"/>
          <w:rFonts w:ascii="Century" w:hAnsi="Century"/>
          <w:lang w:val="fr-FR"/>
        </w:rPr>
        <w:footnoteReference w:id="97"/>
      </w:r>
      <w:r w:rsidRPr="000217C0">
        <w:rPr>
          <w:rFonts w:ascii="Century" w:hAnsi="Century"/>
          <w:lang w:val="fr-FR"/>
        </w:rPr>
        <w:t xml:space="preserve">. Le Roi n’est tenu par aucun délai pour soumettre au Congrès le nom d’un candidat </w:t>
      </w:r>
      <w:r w:rsidRPr="000217C0">
        <w:rPr>
          <w:rFonts w:ascii="Century" w:hAnsi="Century"/>
          <w:lang w:val="fr-FR"/>
        </w:rPr>
        <w:lastRenderedPageBreak/>
        <w:t>Premier ministre</w:t>
      </w:r>
      <w:r w:rsidR="00BC78D5">
        <w:rPr>
          <w:rStyle w:val="Appelnotedebasdep"/>
          <w:rFonts w:ascii="Century" w:hAnsi="Century"/>
          <w:lang w:val="fr-FR"/>
        </w:rPr>
        <w:footnoteReference w:id="98"/>
      </w:r>
      <w:r w:rsidRPr="000217C0">
        <w:rPr>
          <w:rFonts w:ascii="Century" w:hAnsi="Century"/>
          <w:lang w:val="fr-FR"/>
        </w:rPr>
        <w:t xml:space="preserve">. En revanche, le système </w:t>
      </w:r>
      <w:r w:rsidR="00136032" w:rsidRPr="000217C0">
        <w:rPr>
          <w:rFonts w:ascii="Century" w:hAnsi="Century"/>
          <w:lang w:val="fr-FR"/>
        </w:rPr>
        <w:t xml:space="preserve">est allé de pair avec </w:t>
      </w:r>
      <w:r w:rsidRPr="000217C0">
        <w:rPr>
          <w:rFonts w:ascii="Century" w:hAnsi="Century"/>
          <w:lang w:val="fr-FR"/>
        </w:rPr>
        <w:t>une multiplication des scrutins : pas moins de quatre entre 2015 et 2019</w:t>
      </w:r>
      <w:r>
        <w:rPr>
          <w:rStyle w:val="Appelnotedebasdep"/>
          <w:rFonts w:ascii="Century" w:hAnsi="Century"/>
          <w:sz w:val="24"/>
          <w:lang w:val="fr-FR"/>
        </w:rPr>
        <w:footnoteReference w:id="99"/>
      </w:r>
      <w:r w:rsidRPr="000217C0">
        <w:rPr>
          <w:rFonts w:ascii="Century" w:hAnsi="Century"/>
          <w:lang w:val="fr-FR"/>
        </w:rPr>
        <w:t>.</w:t>
      </w:r>
    </w:p>
    <w:p w14:paraId="7F9DDE3C" w14:textId="158A4DB2" w:rsidR="00FE5D46" w:rsidRPr="000217C0" w:rsidRDefault="00000000" w:rsidP="0014243F">
      <w:pPr>
        <w:ind w:left="567" w:right="567"/>
        <w:jc w:val="both"/>
        <w:rPr>
          <w:rFonts w:ascii="Century" w:hAnsi="Century"/>
          <w:lang w:val="fr-FR"/>
        </w:rPr>
      </w:pPr>
      <w:r w:rsidRPr="000217C0">
        <w:rPr>
          <w:rFonts w:ascii="Century" w:hAnsi="Century"/>
          <w:lang w:val="fr-FR"/>
        </w:rPr>
        <w:t xml:space="preserve">En </w:t>
      </w:r>
      <w:r w:rsidRPr="000217C0">
        <w:rPr>
          <w:rFonts w:ascii="Century" w:hAnsi="Century"/>
          <w:b/>
          <w:lang w:val="fr-FR"/>
        </w:rPr>
        <w:t>Grèce</w:t>
      </w:r>
      <w:r w:rsidRPr="000217C0">
        <w:rPr>
          <w:rFonts w:ascii="Century" w:hAnsi="Century"/>
          <w:lang w:val="fr-FR"/>
        </w:rPr>
        <w:t xml:space="preserve">, conformément aux règles précises prévues par l’article 37 de la Constitution de 1975, le président de la République est obligé de nommer comme Premier ministre le leader du parti qui dispose de la majorité absolue des sièges. Si aucun parti n’en bénéficie, le président est tenu de confier un mandat exploratoire, le cas échéant successivement, aux chefs des trois plus grands partis dans l’ordre de leurs nombres de sièges respectifs. Ce mandat consiste à tenter la construction d’une majorité gouvernementale. La durée de chaque mission est de trois jours. Si chacune de ces missions successives échoue, après neuf jours, le chef de l’Etat convoque les chefs de tous les partis représentés à la Chambre pour tenter de former malgré tout un gouvernement disposant de la confiance et investi en conséquence par le Parlement L’échec de cette ultime tentative conduit à la dissolution automatique de l’assemblée et à l’organisation des élections. </w:t>
      </w:r>
    </w:p>
    <w:p w14:paraId="45F94448" w14:textId="73668115" w:rsidR="00636E05" w:rsidRPr="000217C0" w:rsidRDefault="00000000" w:rsidP="0014243F">
      <w:pPr>
        <w:ind w:left="567" w:right="567"/>
        <w:jc w:val="both"/>
        <w:rPr>
          <w:rFonts w:ascii="Century" w:hAnsi="Century"/>
          <w:lang w:val="fr-FR"/>
        </w:rPr>
      </w:pPr>
      <w:r w:rsidRPr="000217C0">
        <w:rPr>
          <w:rFonts w:ascii="Century" w:hAnsi="Century"/>
          <w:lang w:val="fr-FR"/>
        </w:rPr>
        <w:t xml:space="preserve">Selon </w:t>
      </w:r>
      <w:r w:rsidR="00E468AE" w:rsidRPr="000217C0">
        <w:rPr>
          <w:rFonts w:ascii="Century" w:hAnsi="Century"/>
          <w:lang w:val="fr-FR"/>
        </w:rPr>
        <w:t>Constance Grewe et Hélène Ruiz Fabri, « ce système, simple si un parti a la majorité absolue, devient complexe si ce n’est pas le cas »</w:t>
      </w:r>
      <w:r>
        <w:rPr>
          <w:rStyle w:val="Appelnotedebasdep"/>
          <w:rFonts w:ascii="Century" w:hAnsi="Century"/>
          <w:sz w:val="24"/>
          <w:lang w:val="fr-FR"/>
        </w:rPr>
        <w:footnoteReference w:id="100"/>
      </w:r>
      <w:r w:rsidR="00E468AE" w:rsidRPr="000217C0">
        <w:rPr>
          <w:rFonts w:ascii="Century" w:hAnsi="Century"/>
          <w:lang w:val="fr-FR"/>
        </w:rPr>
        <w:t>. Ainsi, en 1989 et 1990, il a</w:t>
      </w:r>
      <w:r w:rsidRPr="000217C0">
        <w:rPr>
          <w:rFonts w:ascii="Century" w:hAnsi="Century"/>
          <w:lang w:val="fr-FR"/>
        </w:rPr>
        <w:t>urait</w:t>
      </w:r>
      <w:r w:rsidR="00E468AE" w:rsidRPr="000217C0">
        <w:rPr>
          <w:rFonts w:ascii="Century" w:hAnsi="Century"/>
          <w:lang w:val="fr-FR"/>
        </w:rPr>
        <w:t xml:space="preserve"> révélé ses « effets pervers » selon l’expression d’Iphigénie Kamtsidou. En dix mois, il a en effet conduit à trois élections et à la formation de trois gouvernements, « aucun d’eux n’ayant vraiment la vocation d’assumer la direction des affaires du pays »</w:t>
      </w:r>
      <w:r>
        <w:rPr>
          <w:rStyle w:val="Appelnotedebasdep"/>
          <w:rFonts w:ascii="Century" w:hAnsi="Century"/>
          <w:sz w:val="24"/>
          <w:lang w:val="fr-FR"/>
        </w:rPr>
        <w:footnoteReference w:id="101"/>
      </w:r>
      <w:r w:rsidR="00E468AE" w:rsidRPr="000217C0">
        <w:rPr>
          <w:rFonts w:ascii="Century" w:hAnsi="Century"/>
          <w:lang w:val="fr-FR"/>
        </w:rPr>
        <w:t xml:space="preserve">.  </w:t>
      </w:r>
      <w:r w:rsidRPr="000217C0">
        <w:rPr>
          <w:rFonts w:ascii="Century" w:hAnsi="Century"/>
          <w:lang w:val="fr-FR"/>
        </w:rPr>
        <w:t xml:space="preserve">Mais faut-il en imputer la responsabilité à l’article 39 de la Constitution ? </w:t>
      </w:r>
      <w:r w:rsidRPr="000217C0">
        <w:rPr>
          <w:rFonts w:ascii="Century" w:hAnsi="Century" w:cs="Times New Roman"/>
          <w:lang w:val="fr-BE"/>
        </w:rPr>
        <w:t xml:space="preserve">Pour </w:t>
      </w:r>
      <w:r w:rsidR="00190FB2" w:rsidRPr="000217C0">
        <w:rPr>
          <w:rFonts w:ascii="Century" w:hAnsi="Century" w:cs="Times New Roman"/>
          <w:lang w:val="fr-BE"/>
        </w:rPr>
        <w:t>M.</w:t>
      </w:r>
      <w:r w:rsidR="00E53FDC" w:rsidRPr="000217C0">
        <w:rPr>
          <w:rFonts w:ascii="Century" w:hAnsi="Century" w:cs="Times New Roman"/>
          <w:lang w:val="fr-BE"/>
        </w:rPr>
        <w:t xml:space="preserve"> </w:t>
      </w:r>
      <w:r w:rsidRPr="000217C0">
        <w:rPr>
          <w:rFonts w:ascii="Century" w:hAnsi="Century" w:cs="Times New Roman"/>
          <w:lang w:val="fr-BE"/>
        </w:rPr>
        <w:t>Tsakatika</w:t>
      </w:r>
      <w:r w:rsidR="00190FB2" w:rsidRPr="000217C0">
        <w:rPr>
          <w:rFonts w:ascii="Century" w:hAnsi="Century" w:cs="Times New Roman"/>
          <w:lang w:val="fr-BE"/>
        </w:rPr>
        <w:t xml:space="preserve">, </w:t>
      </w:r>
      <w:r w:rsidRPr="000217C0">
        <w:rPr>
          <w:rFonts w:ascii="Century" w:hAnsi="Century" w:cs="Times New Roman"/>
          <w:lang w:val="fr-BE"/>
        </w:rPr>
        <w:t xml:space="preserve">la rigidité des règles </w:t>
      </w:r>
      <w:r w:rsidR="00162279" w:rsidRPr="000217C0">
        <w:rPr>
          <w:rFonts w:ascii="Century" w:hAnsi="Century" w:cs="Times New Roman"/>
          <w:lang w:val="fr-BE"/>
        </w:rPr>
        <w:t xml:space="preserve">constitutionnelles applicables à </w:t>
      </w:r>
      <w:r w:rsidRPr="000217C0">
        <w:rPr>
          <w:rFonts w:ascii="Century" w:hAnsi="Century" w:cs="Times New Roman"/>
          <w:lang w:val="fr-BE"/>
        </w:rPr>
        <w:t>la formation du gouvernement</w:t>
      </w:r>
      <w:r w:rsidR="00190FB2" w:rsidRPr="000217C0">
        <w:rPr>
          <w:rFonts w:ascii="Century" w:hAnsi="Century" w:cs="Times New Roman"/>
          <w:lang w:val="fr-BE"/>
        </w:rPr>
        <w:t xml:space="preserve"> a le mérite d’en</w:t>
      </w:r>
      <w:r w:rsidR="008B6F07" w:rsidRPr="000217C0">
        <w:rPr>
          <w:rFonts w:ascii="Century" w:hAnsi="Century" w:cs="Times New Roman"/>
          <w:lang w:val="fr-BE"/>
        </w:rPr>
        <w:t>fermer</w:t>
      </w:r>
      <w:r w:rsidR="00190FB2" w:rsidRPr="000217C0">
        <w:rPr>
          <w:rFonts w:ascii="Century" w:hAnsi="Century" w:cs="Times New Roman"/>
          <w:lang w:val="fr-BE"/>
        </w:rPr>
        <w:t xml:space="preserve"> la négociation par les acteurs politiques </w:t>
      </w:r>
      <w:r w:rsidR="008B6F07" w:rsidRPr="000217C0">
        <w:rPr>
          <w:rFonts w:ascii="Century" w:hAnsi="Century" w:cs="Times New Roman"/>
          <w:lang w:val="fr-BE"/>
        </w:rPr>
        <w:t>dans</w:t>
      </w:r>
      <w:r w:rsidR="00190FB2" w:rsidRPr="000217C0">
        <w:rPr>
          <w:rFonts w:ascii="Century" w:hAnsi="Century" w:cs="Times New Roman"/>
          <w:lang w:val="fr-BE"/>
        </w:rPr>
        <w:t xml:space="preserve"> des contraintes </w:t>
      </w:r>
      <w:r w:rsidR="00190FB2" w:rsidRPr="000217C0">
        <w:rPr>
          <w:rFonts w:ascii="Century" w:hAnsi="Century" w:cs="Times New Roman"/>
          <w:lang w:val="fr-BE"/>
        </w:rPr>
        <w:lastRenderedPageBreak/>
        <w:t>institutionnelles précises</w:t>
      </w:r>
      <w:r>
        <w:rPr>
          <w:rStyle w:val="Appelnotedebasdep"/>
          <w:rFonts w:ascii="Century" w:hAnsi="Century"/>
          <w:lang w:val="fr-FR"/>
        </w:rPr>
        <w:footnoteReference w:id="102"/>
      </w:r>
      <w:r w:rsidR="00190FB2" w:rsidRPr="000217C0">
        <w:rPr>
          <w:rFonts w:ascii="Century" w:hAnsi="Century" w:cs="Times New Roman"/>
          <w:lang w:val="fr-BE"/>
        </w:rPr>
        <w:t>.</w:t>
      </w:r>
      <w:r w:rsidRPr="000217C0">
        <w:rPr>
          <w:rFonts w:ascii="Century" w:hAnsi="Century" w:cs="Times New Roman"/>
          <w:lang w:val="fr-BE"/>
        </w:rPr>
        <w:t xml:space="preserve"> </w:t>
      </w:r>
      <w:r w:rsidR="008B6F07" w:rsidRPr="000217C0">
        <w:rPr>
          <w:rFonts w:ascii="Century" w:hAnsi="Century" w:cs="Times New Roman"/>
          <w:lang w:val="fr-BE"/>
        </w:rPr>
        <w:t xml:space="preserve">En tout cas, on ne peut nier la rapidité des </w:t>
      </w:r>
      <w:r w:rsidRPr="000217C0">
        <w:rPr>
          <w:rFonts w:ascii="Century" w:hAnsi="Century" w:cs="Times New Roman"/>
          <w:lang w:val="fr-BE"/>
        </w:rPr>
        <w:t>processus de formation d</w:t>
      </w:r>
      <w:r w:rsidR="008B6F07" w:rsidRPr="000217C0">
        <w:rPr>
          <w:rFonts w:ascii="Century" w:hAnsi="Century" w:cs="Times New Roman"/>
          <w:lang w:val="fr-BE"/>
        </w:rPr>
        <w:t>es</w:t>
      </w:r>
      <w:r w:rsidRPr="000217C0">
        <w:rPr>
          <w:rFonts w:ascii="Century" w:hAnsi="Century" w:cs="Times New Roman"/>
          <w:lang w:val="fr-BE"/>
        </w:rPr>
        <w:t xml:space="preserve"> gouvernement</w:t>
      </w:r>
      <w:r w:rsidR="008B6F07" w:rsidRPr="000217C0">
        <w:rPr>
          <w:rFonts w:ascii="Century" w:hAnsi="Century" w:cs="Times New Roman"/>
          <w:lang w:val="fr-BE"/>
        </w:rPr>
        <w:t>s</w:t>
      </w:r>
      <w:r w:rsidRPr="000217C0">
        <w:rPr>
          <w:rFonts w:ascii="Century" w:hAnsi="Century" w:cs="Times New Roman"/>
          <w:lang w:val="fr-BE"/>
        </w:rPr>
        <w:t xml:space="preserve"> grec</w:t>
      </w:r>
      <w:r w:rsidR="008B6F07" w:rsidRPr="000217C0">
        <w:rPr>
          <w:rFonts w:ascii="Century" w:hAnsi="Century" w:cs="Times New Roman"/>
          <w:lang w:val="fr-BE"/>
        </w:rPr>
        <w:t>s</w:t>
      </w:r>
      <w:r w:rsidRPr="000217C0">
        <w:rPr>
          <w:rFonts w:ascii="Century" w:hAnsi="Century" w:cs="Times New Roman"/>
          <w:lang w:val="fr-BE"/>
        </w:rPr>
        <w:t xml:space="preserve">, dès lors qu’entre 1977 et 2019, la durée moyenne de </w:t>
      </w:r>
      <w:r w:rsidR="008B6F07" w:rsidRPr="000217C0">
        <w:rPr>
          <w:rFonts w:ascii="Century" w:hAnsi="Century" w:cs="Times New Roman"/>
          <w:lang w:val="fr-BE"/>
        </w:rPr>
        <w:t>ces processus</w:t>
      </w:r>
      <w:r w:rsidRPr="000217C0">
        <w:rPr>
          <w:rFonts w:ascii="Century" w:hAnsi="Century" w:cs="Times New Roman"/>
          <w:lang w:val="fr-BE"/>
        </w:rPr>
        <w:t xml:space="preserve"> </w:t>
      </w:r>
      <w:r w:rsidR="00763558" w:rsidRPr="000217C0">
        <w:rPr>
          <w:rFonts w:ascii="Century" w:hAnsi="Century" w:cs="Times New Roman"/>
          <w:lang w:val="fr-BE"/>
        </w:rPr>
        <w:t xml:space="preserve">a été </w:t>
      </w:r>
      <w:r w:rsidRPr="000217C0">
        <w:rPr>
          <w:rFonts w:ascii="Century" w:hAnsi="Century" w:cs="Times New Roman"/>
          <w:lang w:val="fr-BE"/>
        </w:rPr>
        <w:t>de moins de 4,9 jours</w:t>
      </w:r>
      <w:r w:rsidR="008B6F07" w:rsidRPr="000217C0">
        <w:rPr>
          <w:rFonts w:ascii="Century" w:hAnsi="Century" w:cs="Times New Roman"/>
          <w:lang w:val="fr-BE"/>
        </w:rPr>
        <w:t>.</w:t>
      </w:r>
      <w:r w:rsidRPr="000217C0">
        <w:rPr>
          <w:rFonts w:ascii="Century" w:hAnsi="Century" w:cs="Times New Roman"/>
          <w:lang w:val="fr-BE"/>
        </w:rPr>
        <w:t xml:space="preserve"> </w:t>
      </w:r>
      <w:r w:rsidR="00F21322" w:rsidRPr="000217C0">
        <w:rPr>
          <w:rFonts w:ascii="Century" w:hAnsi="Century" w:cs="Times New Roman"/>
          <w:lang w:val="fr-BE"/>
        </w:rPr>
        <w:t xml:space="preserve">En pratique, entre 1974 et aujourd’hui, il n’y a eu que deux cas où des élections anticipées ont été provoquées par un échec des </w:t>
      </w:r>
      <w:r w:rsidR="008B6F07" w:rsidRPr="000217C0">
        <w:rPr>
          <w:rFonts w:ascii="Century" w:hAnsi="Century" w:cs="Times New Roman"/>
          <w:lang w:val="fr-BE"/>
        </w:rPr>
        <w:t>trois</w:t>
      </w:r>
      <w:r w:rsidR="00F21322" w:rsidRPr="000217C0">
        <w:rPr>
          <w:rFonts w:ascii="Century" w:hAnsi="Century" w:cs="Times New Roman"/>
          <w:lang w:val="fr-BE"/>
        </w:rPr>
        <w:t xml:space="preserve"> « rounds » de votes (et de l’échec de la dernière tentative de négociation lors du </w:t>
      </w:r>
      <w:r w:rsidR="008B6F07" w:rsidRPr="000217C0">
        <w:rPr>
          <w:rFonts w:ascii="Century" w:hAnsi="Century" w:cs="Times New Roman"/>
          <w:lang w:val="fr-BE"/>
        </w:rPr>
        <w:t>quatrième « </w:t>
      </w:r>
      <w:r w:rsidR="00F21322" w:rsidRPr="000217C0">
        <w:rPr>
          <w:rFonts w:ascii="Century" w:hAnsi="Century" w:cs="Times New Roman"/>
          <w:lang w:val="fr-BE"/>
        </w:rPr>
        <w:t>round</w:t>
      </w:r>
      <w:r w:rsidR="008B6F07" w:rsidRPr="000217C0">
        <w:rPr>
          <w:rFonts w:ascii="Century" w:hAnsi="Century" w:cs="Times New Roman"/>
          <w:lang w:val="fr-BE"/>
        </w:rPr>
        <w:t> »</w:t>
      </w:r>
      <w:r w:rsidR="00F21322" w:rsidRPr="000217C0">
        <w:rPr>
          <w:rFonts w:ascii="Century" w:hAnsi="Century" w:cs="Times New Roman"/>
          <w:lang w:val="fr-BE"/>
        </w:rPr>
        <w:t xml:space="preserve"> : en 1989 et en 2012. Les autres élections anticipées s’expliquent par l’activation d’autres dispositions constitutionnelles, et notamment la possibilité donnée au gouvernement de dissoudre la Chambre des députés afin de renouveler le mandat populaire pour faire face à une question d’importance nationale, </w:t>
      </w:r>
      <w:r w:rsidR="00763558" w:rsidRPr="000217C0">
        <w:rPr>
          <w:rFonts w:ascii="Century" w:hAnsi="Century" w:cs="Times New Roman"/>
          <w:lang w:val="fr-BE"/>
        </w:rPr>
        <w:t xml:space="preserve">conformément à </w:t>
      </w:r>
      <w:r w:rsidR="00F21322" w:rsidRPr="000217C0">
        <w:rPr>
          <w:rFonts w:ascii="Century" w:hAnsi="Century" w:cs="Times New Roman"/>
          <w:lang w:val="fr-BE"/>
        </w:rPr>
        <w:t>l’article 41.2 de la Constitution grecque</w:t>
      </w:r>
      <w:r>
        <w:rPr>
          <w:rStyle w:val="Appelnotedebasdep"/>
          <w:rFonts w:ascii="Century" w:hAnsi="Century"/>
          <w:lang w:val="fr-FR"/>
        </w:rPr>
        <w:footnoteReference w:id="103"/>
      </w:r>
      <w:r w:rsidRPr="000217C0">
        <w:rPr>
          <w:rFonts w:ascii="Century" w:hAnsi="Century" w:cs="Times New Roman"/>
          <w:lang w:val="fr-BE"/>
        </w:rPr>
        <w:t>.</w:t>
      </w:r>
    </w:p>
    <w:p w14:paraId="12EB8A64" w14:textId="3E730455" w:rsidR="00FE5D46" w:rsidRPr="000217C0" w:rsidRDefault="00000000" w:rsidP="0014243F">
      <w:pPr>
        <w:ind w:left="567" w:right="567"/>
        <w:jc w:val="both"/>
        <w:rPr>
          <w:rFonts w:ascii="Century" w:hAnsi="Century"/>
          <w:lang w:val="fr-FR"/>
        </w:rPr>
      </w:pPr>
      <w:r w:rsidRPr="000217C0">
        <w:rPr>
          <w:rFonts w:ascii="Century" w:hAnsi="Century"/>
          <w:lang w:val="fr-FR"/>
        </w:rPr>
        <w:t xml:space="preserve">Le dispositif en vigueur en Grèce offre ainsi un exemple de procéduralisation intégralement contraignante du processus de formation des gouvernements. Si l’effet d’accélération de ce processus est incontestablement atteint, il va de pair avec une grande instabilité des gouvernements ainsi formés. </w:t>
      </w:r>
    </w:p>
    <w:p w14:paraId="03FB186E" w14:textId="5D79F48A" w:rsidR="00FE5D46" w:rsidRPr="000217C0" w:rsidRDefault="00000000" w:rsidP="0014243F">
      <w:pPr>
        <w:ind w:left="567" w:right="567"/>
        <w:jc w:val="both"/>
        <w:rPr>
          <w:rFonts w:ascii="Century" w:hAnsi="Century"/>
          <w:lang w:val="fr-FR"/>
        </w:rPr>
      </w:pPr>
      <w:r w:rsidRPr="000217C0">
        <w:rPr>
          <w:rFonts w:ascii="Century" w:hAnsi="Century"/>
          <w:lang w:val="fr-FR"/>
        </w:rPr>
        <w:t xml:space="preserve">En </w:t>
      </w:r>
      <w:r w:rsidRPr="000217C0">
        <w:rPr>
          <w:rFonts w:ascii="Century" w:hAnsi="Century"/>
          <w:b/>
          <w:lang w:val="fr-FR"/>
        </w:rPr>
        <w:t>Suède</w:t>
      </w:r>
      <w:r w:rsidRPr="000217C0">
        <w:rPr>
          <w:rFonts w:ascii="Century" w:hAnsi="Century"/>
          <w:lang w:val="fr-FR"/>
        </w:rPr>
        <w:t>, où la fragmentation politique a aussi fait son apparition depuis la dernière décennie</w:t>
      </w:r>
      <w:r>
        <w:rPr>
          <w:rStyle w:val="Appelnotedebasdep"/>
          <w:rFonts w:ascii="Century" w:hAnsi="Century"/>
          <w:lang w:val="fr-FR"/>
        </w:rPr>
        <w:footnoteReference w:id="104"/>
      </w:r>
      <w:r w:rsidRPr="000217C0">
        <w:rPr>
          <w:rFonts w:ascii="Century" w:hAnsi="Century"/>
          <w:lang w:val="fr-FR"/>
        </w:rPr>
        <w:t xml:space="preserve">, le </w:t>
      </w:r>
      <w:r w:rsidRPr="000217C0">
        <w:rPr>
          <w:rFonts w:ascii="Century" w:hAnsi="Century"/>
          <w:i/>
          <w:lang w:val="fr-FR"/>
        </w:rPr>
        <w:t>Speaker</w:t>
      </w:r>
      <w:r w:rsidRPr="000217C0">
        <w:rPr>
          <w:rFonts w:ascii="Century" w:hAnsi="Century"/>
          <w:lang w:val="fr-FR"/>
        </w:rPr>
        <w:t xml:space="preserve"> (le président du Parlement) est un acteur-clé </w:t>
      </w:r>
      <w:r w:rsidRPr="000217C0">
        <w:rPr>
          <w:rFonts w:ascii="Century" w:hAnsi="Century"/>
          <w:lang w:val="fr-FR"/>
        </w:rPr>
        <w:lastRenderedPageBreak/>
        <w:t xml:space="preserve">du processus de formation du gouvernement. Comme le </w:t>
      </w:r>
      <w:r w:rsidRPr="000217C0">
        <w:rPr>
          <w:rFonts w:ascii="Century" w:hAnsi="Century"/>
          <w:i/>
          <w:lang w:val="fr-FR"/>
        </w:rPr>
        <w:t>Riksdag</w:t>
      </w:r>
      <w:r w:rsidRPr="000217C0">
        <w:rPr>
          <w:rFonts w:ascii="Century" w:hAnsi="Century"/>
          <w:lang w:val="fr-FR"/>
        </w:rPr>
        <w:t xml:space="preserve"> nouvellement élu se réunit deux semaines après les élections générales, le changement de </w:t>
      </w:r>
      <w:r w:rsidRPr="000217C0">
        <w:rPr>
          <w:rFonts w:ascii="Century" w:hAnsi="Century"/>
          <w:i/>
          <w:lang w:val="fr-FR"/>
        </w:rPr>
        <w:t>Speaker</w:t>
      </w:r>
      <w:r w:rsidRPr="000217C0">
        <w:rPr>
          <w:rFonts w:ascii="Century" w:hAnsi="Century"/>
          <w:lang w:val="fr-FR"/>
        </w:rPr>
        <w:t xml:space="preserve"> est une caractéristique commune du processus de formation du gouvernement. L'ancien </w:t>
      </w:r>
      <w:r w:rsidRPr="000217C0">
        <w:rPr>
          <w:rFonts w:ascii="Century" w:hAnsi="Century"/>
          <w:i/>
          <w:lang w:val="fr-FR"/>
        </w:rPr>
        <w:t>Speaker</w:t>
      </w:r>
      <w:r w:rsidRPr="000217C0">
        <w:rPr>
          <w:rFonts w:ascii="Century" w:hAnsi="Century"/>
          <w:lang w:val="fr-FR"/>
        </w:rPr>
        <w:t xml:space="preserve"> lance le processus, et une fois que le nouveau </w:t>
      </w:r>
      <w:r w:rsidRPr="000217C0">
        <w:rPr>
          <w:rFonts w:ascii="Century" w:hAnsi="Century"/>
          <w:i/>
          <w:lang w:val="fr-FR"/>
        </w:rPr>
        <w:t>Riksdag</w:t>
      </w:r>
      <w:r w:rsidRPr="000217C0">
        <w:rPr>
          <w:rFonts w:ascii="Century" w:hAnsi="Century"/>
          <w:lang w:val="fr-FR"/>
        </w:rPr>
        <w:t xml:space="preserve"> a élu un président, le nouveau </w:t>
      </w:r>
      <w:r w:rsidRPr="000217C0">
        <w:rPr>
          <w:rFonts w:ascii="Century" w:hAnsi="Century"/>
          <w:i/>
          <w:lang w:val="fr-FR"/>
        </w:rPr>
        <w:t>Speaker</w:t>
      </w:r>
      <w:r w:rsidRPr="000217C0">
        <w:rPr>
          <w:rFonts w:ascii="Century" w:hAnsi="Century"/>
          <w:lang w:val="fr-FR"/>
        </w:rPr>
        <w:t xml:space="preserve"> se charge de consulter les partis et, plus tard, de manière formelle uniquement, les </w:t>
      </w:r>
      <w:r w:rsidRPr="000217C0">
        <w:rPr>
          <w:rFonts w:ascii="Century" w:hAnsi="Century"/>
          <w:i/>
          <w:lang w:val="fr-FR"/>
        </w:rPr>
        <w:t>vice-Speakers</w:t>
      </w:r>
      <w:r w:rsidRPr="000217C0">
        <w:rPr>
          <w:rFonts w:ascii="Century" w:hAnsi="Century"/>
          <w:lang w:val="fr-FR"/>
        </w:rPr>
        <w:t>.</w:t>
      </w:r>
    </w:p>
    <w:p w14:paraId="78516BB7" w14:textId="6A6E5FB4" w:rsidR="00FE5D46" w:rsidRPr="000217C0" w:rsidRDefault="00000000" w:rsidP="0014243F">
      <w:pPr>
        <w:ind w:left="567" w:right="567"/>
        <w:jc w:val="both"/>
        <w:rPr>
          <w:rFonts w:ascii="Century" w:hAnsi="Century"/>
          <w:lang w:val="fr-FR"/>
        </w:rPr>
      </w:pPr>
      <w:r w:rsidRPr="000217C0">
        <w:rPr>
          <w:rFonts w:ascii="Century" w:hAnsi="Century"/>
          <w:lang w:val="fr-FR"/>
        </w:rPr>
        <w:t>Le</w:t>
      </w:r>
      <w:r w:rsidRPr="000217C0">
        <w:rPr>
          <w:rFonts w:ascii="Century" w:hAnsi="Century"/>
          <w:i/>
          <w:lang w:val="fr-FR"/>
        </w:rPr>
        <w:t xml:space="preserve"> Speaker </w:t>
      </w:r>
      <w:r w:rsidRPr="000217C0">
        <w:rPr>
          <w:rFonts w:ascii="Century" w:hAnsi="Century"/>
          <w:lang w:val="fr-FR"/>
        </w:rPr>
        <w:t xml:space="preserve">présente au </w:t>
      </w:r>
      <w:r w:rsidRPr="000217C0">
        <w:rPr>
          <w:rFonts w:ascii="Century" w:hAnsi="Century"/>
          <w:i/>
          <w:lang w:val="fr-FR"/>
        </w:rPr>
        <w:t>Riksdag</w:t>
      </w:r>
      <w:r w:rsidRPr="000217C0">
        <w:rPr>
          <w:rFonts w:ascii="Century" w:hAnsi="Century"/>
          <w:lang w:val="fr-FR"/>
        </w:rPr>
        <w:t xml:space="preserve"> sa suggestion quant au choix du Premier ministre. Le vote d'investiture doit avoir lieu dans les quatre jours à compter de cette présentation. Comme déjà mentionné </w:t>
      </w:r>
      <w:r w:rsidR="00CC6167" w:rsidRPr="000217C0">
        <w:rPr>
          <w:rFonts w:ascii="Century" w:hAnsi="Century"/>
          <w:lang w:val="fr-FR"/>
        </w:rPr>
        <w:t>ci-avant à l’occasion de l’examen de la cinquième piste</w:t>
      </w:r>
      <w:r w:rsidRPr="000217C0">
        <w:rPr>
          <w:rFonts w:ascii="Century" w:hAnsi="Century"/>
          <w:lang w:val="fr-FR"/>
        </w:rPr>
        <w:t xml:space="preserve">, </w:t>
      </w:r>
      <w:r w:rsidR="003617D5" w:rsidRPr="000217C0">
        <w:rPr>
          <w:rFonts w:ascii="Century" w:hAnsi="Century"/>
          <w:lang w:val="fr-FR"/>
        </w:rPr>
        <w:t>l</w:t>
      </w:r>
      <w:r w:rsidRPr="000217C0">
        <w:rPr>
          <w:rFonts w:ascii="Century" w:hAnsi="Century"/>
          <w:lang w:val="fr-FR"/>
        </w:rPr>
        <w:t>e Premier ministre est nommé avec succès si moins de la moitié des députés votent contre le candidat</w:t>
      </w:r>
      <w:r>
        <w:rPr>
          <w:rStyle w:val="Appelnotedebasdep"/>
          <w:rFonts w:ascii="Century" w:hAnsi="Century"/>
          <w:lang w:val="fr-FR"/>
        </w:rPr>
        <w:footnoteReference w:id="105"/>
      </w:r>
      <w:r w:rsidRPr="000217C0">
        <w:rPr>
          <w:rFonts w:ascii="Century" w:hAnsi="Century"/>
          <w:lang w:val="fr-FR"/>
        </w:rPr>
        <w:t xml:space="preserve">. Le </w:t>
      </w:r>
      <w:r w:rsidRPr="000217C0">
        <w:rPr>
          <w:rFonts w:ascii="Century" w:hAnsi="Century"/>
          <w:i/>
          <w:lang w:val="fr-FR"/>
        </w:rPr>
        <w:t xml:space="preserve">Riksdag </w:t>
      </w:r>
      <w:r w:rsidRPr="000217C0">
        <w:rPr>
          <w:rFonts w:ascii="Century" w:hAnsi="Century"/>
          <w:lang w:val="fr-FR"/>
        </w:rPr>
        <w:t>examine une proposition à la fois</w:t>
      </w:r>
      <w:r w:rsidR="003617D5" w:rsidRPr="000217C0">
        <w:rPr>
          <w:rFonts w:ascii="Century" w:hAnsi="Century"/>
          <w:lang w:val="fr-FR"/>
        </w:rPr>
        <w:t>.</w:t>
      </w:r>
      <w:r w:rsidRPr="000217C0">
        <w:rPr>
          <w:rFonts w:ascii="Century" w:hAnsi="Century"/>
          <w:lang w:val="fr-FR"/>
        </w:rPr>
        <w:t xml:space="preserve"> </w:t>
      </w:r>
      <w:r w:rsidR="003617D5" w:rsidRPr="000217C0">
        <w:rPr>
          <w:rFonts w:ascii="Century" w:hAnsi="Century"/>
          <w:lang w:val="fr-FR"/>
        </w:rPr>
        <w:t xml:space="preserve">Le </w:t>
      </w:r>
      <w:r w:rsidRPr="000217C0">
        <w:rPr>
          <w:rFonts w:ascii="Century" w:hAnsi="Century"/>
          <w:i/>
          <w:lang w:val="fr-FR"/>
        </w:rPr>
        <w:t>Speaker</w:t>
      </w:r>
      <w:r w:rsidRPr="000217C0">
        <w:rPr>
          <w:rFonts w:ascii="Century" w:hAnsi="Century"/>
          <w:lang w:val="fr-FR"/>
        </w:rPr>
        <w:t xml:space="preserve"> propose un candidat qui est toléré (ou non) par les députés à chaque tour. Cette procédure peut être répétée jusqu'à quatre fois, et n'exclut pas la possibilité que le </w:t>
      </w:r>
      <w:r w:rsidRPr="000217C0">
        <w:rPr>
          <w:rFonts w:ascii="Century" w:hAnsi="Century"/>
          <w:i/>
          <w:lang w:val="fr-FR"/>
        </w:rPr>
        <w:t>Speaker</w:t>
      </w:r>
      <w:r w:rsidRPr="000217C0">
        <w:rPr>
          <w:rFonts w:ascii="Century" w:hAnsi="Century"/>
          <w:lang w:val="fr-FR"/>
        </w:rPr>
        <w:t xml:space="preserve"> présente à nouveau une proposition antérieure. Si le </w:t>
      </w:r>
      <w:r w:rsidRPr="000217C0">
        <w:rPr>
          <w:rFonts w:ascii="Century" w:hAnsi="Century"/>
          <w:i/>
          <w:lang w:val="fr-FR"/>
        </w:rPr>
        <w:t>Speaker</w:t>
      </w:r>
      <w:r w:rsidRPr="000217C0">
        <w:rPr>
          <w:rFonts w:ascii="Century" w:hAnsi="Century"/>
          <w:lang w:val="fr-FR"/>
        </w:rPr>
        <w:t xml:space="preserve"> échoue à ses quatre tentatives de proposer un candidat qui soit toléré par le </w:t>
      </w:r>
      <w:r w:rsidRPr="000217C0">
        <w:rPr>
          <w:rFonts w:ascii="Century" w:hAnsi="Century"/>
          <w:i/>
          <w:lang w:val="fr-FR"/>
        </w:rPr>
        <w:t>Riksdag</w:t>
      </w:r>
      <w:r w:rsidRPr="000217C0">
        <w:rPr>
          <w:rFonts w:ascii="Century" w:hAnsi="Century"/>
          <w:lang w:val="fr-FR"/>
        </w:rPr>
        <w:t xml:space="preserve">, de nouvelles élections générales sont organisées. En pratique, « la dissolution et les élections </w:t>
      </w:r>
      <w:r w:rsidRPr="000217C0">
        <w:rPr>
          <w:rFonts w:ascii="Century" w:hAnsi="Century"/>
          <w:i/>
          <w:lang w:val="fr-FR"/>
        </w:rPr>
        <w:t>extraordinaires</w:t>
      </w:r>
      <w:r w:rsidRPr="000217C0">
        <w:rPr>
          <w:rFonts w:ascii="Century" w:hAnsi="Century"/>
          <w:lang w:val="fr-FR"/>
        </w:rPr>
        <w:t xml:space="preserve"> (</w:t>
      </w:r>
      <w:r w:rsidRPr="000217C0">
        <w:rPr>
          <w:rFonts w:ascii="Century" w:hAnsi="Century"/>
          <w:i/>
          <w:lang w:val="fr-FR"/>
        </w:rPr>
        <w:t>extraval</w:t>
      </w:r>
      <w:r w:rsidRPr="000217C0">
        <w:rPr>
          <w:rFonts w:ascii="Century" w:hAnsi="Century"/>
          <w:lang w:val="fr-FR"/>
        </w:rPr>
        <w:t>) qui la suivent sont un phénomène extrêmement rare en Suède »</w:t>
      </w:r>
      <w:r>
        <w:rPr>
          <w:rStyle w:val="Appelnotedebasdep"/>
          <w:rFonts w:ascii="Century" w:hAnsi="Century"/>
          <w:sz w:val="24"/>
          <w:lang w:val="fr-FR"/>
        </w:rPr>
        <w:footnoteReference w:id="106"/>
      </w:r>
      <w:r w:rsidRPr="000217C0">
        <w:rPr>
          <w:rFonts w:ascii="Century" w:hAnsi="Century"/>
          <w:lang w:val="fr-FR"/>
        </w:rPr>
        <w:t xml:space="preserve">. </w:t>
      </w:r>
    </w:p>
    <w:p w14:paraId="3BD7367D" w14:textId="275A752D" w:rsidR="00FE5D46" w:rsidRPr="000217C0" w:rsidRDefault="00000000" w:rsidP="0014243F">
      <w:pPr>
        <w:ind w:left="567" w:right="567"/>
        <w:jc w:val="both"/>
        <w:rPr>
          <w:rFonts w:ascii="Century" w:hAnsi="Century"/>
          <w:lang w:val="fr-FR"/>
        </w:rPr>
      </w:pPr>
      <w:r w:rsidRPr="000217C0">
        <w:rPr>
          <w:rFonts w:ascii="Century" w:hAnsi="Century"/>
          <w:lang w:val="fr-FR"/>
        </w:rPr>
        <w:t xml:space="preserve">Ce système ne contraint donc pas le formateur à réussir à constituer un gouvernement dans un délai passé lequel des élections doivent avoir lieu, sauf dans l’hypothèse où le Premier ministre sortant veut rester en place : dans ce cas, sur cette proposition, le vote doit avoir lieu impérativement dans le délai de deux semaines après la convocation du </w:t>
      </w:r>
      <w:r w:rsidRPr="000217C0">
        <w:rPr>
          <w:rFonts w:ascii="Century" w:hAnsi="Century"/>
          <w:i/>
          <w:lang w:val="fr-FR"/>
        </w:rPr>
        <w:t>Riksdag</w:t>
      </w:r>
      <w:r w:rsidRPr="000217C0">
        <w:rPr>
          <w:rFonts w:ascii="Century" w:hAnsi="Century"/>
          <w:lang w:val="fr-FR"/>
        </w:rPr>
        <w:t xml:space="preserve"> fraîchement élu. En dehors de cette hypothèse, les quatre rounds successifs prescrits par l’article 5 peuvent très bien être espacés de plusieurs semaines ou de plusieurs mois. Le délai de quatre jours ne court qu’entre la proposition adressée par le </w:t>
      </w:r>
      <w:r w:rsidRPr="000217C0">
        <w:rPr>
          <w:rFonts w:ascii="Century" w:hAnsi="Century"/>
          <w:i/>
          <w:lang w:val="fr-FR"/>
        </w:rPr>
        <w:t>Speaker</w:t>
      </w:r>
      <w:r w:rsidRPr="000217C0">
        <w:rPr>
          <w:rFonts w:ascii="Century" w:hAnsi="Century"/>
          <w:lang w:val="fr-FR"/>
        </w:rPr>
        <w:t xml:space="preserve"> au </w:t>
      </w:r>
      <w:r w:rsidRPr="000217C0">
        <w:rPr>
          <w:rFonts w:ascii="Century" w:hAnsi="Century"/>
          <w:i/>
          <w:lang w:val="fr-FR"/>
        </w:rPr>
        <w:t>Riksdag</w:t>
      </w:r>
      <w:r w:rsidRPr="000217C0">
        <w:rPr>
          <w:rFonts w:ascii="Century" w:hAnsi="Century"/>
          <w:lang w:val="fr-FR"/>
        </w:rPr>
        <w:t xml:space="preserve"> et le vote d’investiture (art. 4). Ainsi, lors de la formation du gouvernement suite aux élections du 9 septembre 2018, plusieurs tentatives ont échoué sans passer par un vote au Parlement. Deux votes au conduit à un rejet du Premier ministre proposé : le 14 novembre 2018 et le 14 décembre 2018. Le Premier ministre a finalement été investi le 19 janvier 2019. La formation de ce gouvernement a ainsi pris 134 jours</w:t>
      </w:r>
      <w:r>
        <w:rPr>
          <w:rStyle w:val="Appelnotedebasdep"/>
          <w:rFonts w:ascii="Century" w:hAnsi="Century"/>
          <w:lang w:val="fr-FR"/>
        </w:rPr>
        <w:footnoteReference w:id="107"/>
      </w:r>
      <w:r w:rsidRPr="000217C0">
        <w:rPr>
          <w:rFonts w:ascii="Century" w:hAnsi="Century"/>
          <w:lang w:val="fr-FR"/>
        </w:rPr>
        <w:t>.</w:t>
      </w:r>
    </w:p>
    <w:p w14:paraId="4FF4DF5E" w14:textId="544E11B1" w:rsidR="00FE5D46" w:rsidRPr="000217C0" w:rsidRDefault="00000000" w:rsidP="0014243F">
      <w:pPr>
        <w:ind w:left="567" w:right="567"/>
        <w:jc w:val="both"/>
        <w:rPr>
          <w:rFonts w:ascii="Century" w:hAnsi="Century"/>
          <w:lang w:val="fr-FR"/>
        </w:rPr>
      </w:pPr>
      <w:r w:rsidRPr="000217C0">
        <w:rPr>
          <w:rFonts w:ascii="Century" w:hAnsi="Century"/>
          <w:lang w:val="fr-FR"/>
        </w:rPr>
        <w:t xml:space="preserve">Tout au plus peut-on reconnaître au système suédois le mérite de baliser la procédure par les quatre cartouches qu’il offre au formateur. Leur utilisation </w:t>
      </w:r>
      <w:r w:rsidRPr="000217C0">
        <w:rPr>
          <w:rFonts w:ascii="Century" w:hAnsi="Century"/>
          <w:lang w:val="fr-FR"/>
        </w:rPr>
        <w:lastRenderedPageBreak/>
        <w:t xml:space="preserve">permet sans doute de clarifier, en les rendant publics, officiels et indiscutables, les rapports de force en présence, chemin faisant, tout en prescrivant la porte de sortie électorale à un certain moment.  </w:t>
      </w:r>
      <w:r w:rsidRPr="000217C0">
        <w:rPr>
          <w:rFonts w:ascii="Century" w:hAnsi="Century"/>
          <w:color w:val="000000"/>
          <w:lang w:val="fr-BE"/>
        </w:rPr>
        <w:t xml:space="preserve">Il y a sans doute des signes politiques plus forts dans des votes de confiance/méfiance que dans de simples déclarations politiques. </w:t>
      </w:r>
    </w:p>
    <w:p w14:paraId="51B9E9AA" w14:textId="5209A50B" w:rsidR="00FE5D46" w:rsidRPr="000217C0" w:rsidRDefault="00000000" w:rsidP="0014243F">
      <w:pPr>
        <w:ind w:left="567" w:right="567"/>
        <w:jc w:val="both"/>
        <w:rPr>
          <w:rFonts w:ascii="Century" w:hAnsi="Century"/>
          <w:color w:val="000000"/>
          <w:lang w:val="fr-BE"/>
        </w:rPr>
      </w:pPr>
      <w:r w:rsidRPr="000217C0">
        <w:rPr>
          <w:rFonts w:ascii="Century" w:hAnsi="Century"/>
          <w:lang w:val="fr-FR"/>
        </w:rPr>
        <w:t xml:space="preserve">Comme en Grèce, en </w:t>
      </w:r>
      <w:r w:rsidRPr="000217C0">
        <w:rPr>
          <w:rFonts w:ascii="Century" w:hAnsi="Century"/>
          <w:b/>
          <w:color w:val="000000"/>
          <w:lang w:val="fr-BE"/>
        </w:rPr>
        <w:t xml:space="preserve">Israël, </w:t>
      </w:r>
      <w:r w:rsidRPr="000217C0">
        <w:rPr>
          <w:rFonts w:ascii="Century" w:hAnsi="Century"/>
          <w:color w:val="000000"/>
          <w:lang w:val="fr-BE"/>
        </w:rPr>
        <w:t>l’expiration d’une succession de délais contraignants fixés par les articles 7 à 13 de la loi fondamentale</w:t>
      </w:r>
      <w:r>
        <w:rPr>
          <w:rStyle w:val="Appelnotedebasdep"/>
          <w:rFonts w:ascii="Century" w:hAnsi="Century"/>
          <w:color w:val="000000"/>
          <w:lang w:val="fr-BE"/>
        </w:rPr>
        <w:footnoteReference w:id="108"/>
      </w:r>
      <w:r w:rsidRPr="000217C0">
        <w:rPr>
          <w:rFonts w:ascii="Century" w:hAnsi="Century"/>
          <w:color w:val="000000"/>
          <w:lang w:val="fr-BE"/>
        </w:rPr>
        <w:t xml:space="preserve"> conduit mécaniquement à des élections anticipées</w:t>
      </w:r>
      <w:r>
        <w:rPr>
          <w:rStyle w:val="Appelnotedebasdep"/>
          <w:rFonts w:ascii="Century" w:hAnsi="Century"/>
          <w:color w:val="000000"/>
          <w:sz w:val="24"/>
        </w:rPr>
        <w:footnoteReference w:id="109"/>
      </w:r>
      <w:r w:rsidRPr="000217C0">
        <w:rPr>
          <w:rFonts w:ascii="Century" w:hAnsi="Century"/>
          <w:color w:val="000000"/>
          <w:lang w:val="fr-BE"/>
        </w:rPr>
        <w:t xml:space="preserve">. Le Président de l’Etat doit désigner un formateur parmi les membres de la </w:t>
      </w:r>
      <w:r w:rsidRPr="00061E04">
        <w:rPr>
          <w:rFonts w:ascii="Century" w:hAnsi="Century"/>
          <w:i/>
          <w:iCs/>
          <w:color w:val="000000"/>
          <w:lang w:val="fr-BE"/>
        </w:rPr>
        <w:t>Knesset</w:t>
      </w:r>
      <w:r w:rsidRPr="000217C0">
        <w:rPr>
          <w:rFonts w:ascii="Century" w:hAnsi="Century"/>
          <w:color w:val="000000"/>
          <w:lang w:val="fr-BE"/>
        </w:rPr>
        <w:t xml:space="preserve"> (le Parlement israélien) dans les sept jours suivant la publication des résultats des élections. Ce formateur a 28 jours pour obtenir la confiance de la </w:t>
      </w:r>
      <w:r w:rsidRPr="00061E04">
        <w:rPr>
          <w:rFonts w:ascii="Century" w:hAnsi="Century"/>
          <w:i/>
          <w:iCs/>
          <w:color w:val="000000"/>
          <w:lang w:val="fr-BE"/>
        </w:rPr>
        <w:t>Knesset</w:t>
      </w:r>
      <w:r w:rsidRPr="000217C0">
        <w:rPr>
          <w:rFonts w:ascii="Century" w:hAnsi="Century"/>
          <w:color w:val="000000"/>
          <w:lang w:val="fr-BE"/>
        </w:rPr>
        <w:t xml:space="preserve">, le Président de l’Etat pouvant lui accorder un délai supplémentaire de 14 jours. En cas d’échec après l’écoulement de ces délais, le Président a 3 jours pour confier la tâche de former un gouvernement à un autre membre de la </w:t>
      </w:r>
      <w:r w:rsidRPr="00061E04">
        <w:rPr>
          <w:rFonts w:ascii="Century" w:hAnsi="Century"/>
          <w:i/>
          <w:iCs/>
          <w:color w:val="000000"/>
          <w:lang w:val="fr-BE"/>
        </w:rPr>
        <w:t>Knesset</w:t>
      </w:r>
      <w:r w:rsidRPr="000217C0">
        <w:rPr>
          <w:rFonts w:ascii="Century" w:hAnsi="Century"/>
          <w:color w:val="000000"/>
          <w:lang w:val="fr-BE"/>
        </w:rPr>
        <w:t xml:space="preserve"> qui dispose à son tour d’un délai de 28 jours. Si l’échec se répète, dans un délai de 21 jours, une majorité de membres de la </w:t>
      </w:r>
      <w:r w:rsidRPr="00061E04">
        <w:rPr>
          <w:rFonts w:ascii="Century" w:hAnsi="Century"/>
          <w:i/>
          <w:iCs/>
          <w:color w:val="000000"/>
          <w:lang w:val="fr-BE"/>
        </w:rPr>
        <w:t>Knesset</w:t>
      </w:r>
      <w:r w:rsidRPr="000217C0">
        <w:rPr>
          <w:rFonts w:ascii="Century" w:hAnsi="Century"/>
          <w:color w:val="000000"/>
          <w:lang w:val="fr-BE"/>
        </w:rPr>
        <w:t xml:space="preserve"> peut demander au Président de confier la mission à un de leurs collègues qui dispose de 14 jours pour obtenir la confiance. Passé ces délais et ces trois tentatives, des élections doivent obligatoirement être organisées.  </w:t>
      </w:r>
    </w:p>
    <w:p w14:paraId="3FEA0CBA" w14:textId="570D667E" w:rsidR="00FE5D46" w:rsidRPr="000217C0" w:rsidRDefault="00000000" w:rsidP="0014243F">
      <w:pPr>
        <w:ind w:left="567" w:right="567"/>
        <w:jc w:val="both"/>
        <w:rPr>
          <w:rFonts w:ascii="Century" w:hAnsi="Century"/>
          <w:color w:val="000000"/>
          <w:lang w:val="fr-BE"/>
        </w:rPr>
      </w:pPr>
      <w:r w:rsidRPr="000217C0">
        <w:rPr>
          <w:rFonts w:ascii="Century" w:hAnsi="Century"/>
          <w:color w:val="000000"/>
          <w:lang w:val="fr-BE"/>
        </w:rPr>
        <w:t>Il semble que cette mécanique rigide a favorisé la mise sur pied de coalitions fragiles</w:t>
      </w:r>
      <w:r>
        <w:rPr>
          <w:rStyle w:val="Appelnotedebasdep"/>
          <w:rFonts w:ascii="Century" w:hAnsi="Century"/>
          <w:color w:val="000000"/>
          <w:lang w:val="fr-BE"/>
        </w:rPr>
        <w:footnoteReference w:id="110"/>
      </w:r>
      <w:r w:rsidRPr="000217C0">
        <w:rPr>
          <w:rFonts w:ascii="Century" w:hAnsi="Century"/>
          <w:color w:val="000000"/>
          <w:lang w:val="fr-BE"/>
        </w:rPr>
        <w:t xml:space="preserve"> et une multiplication de scrutins électoraux. Ainsi on en a compté pas moins de cinq entre avril 2019 et novembre 2022. </w:t>
      </w:r>
    </w:p>
    <w:p w14:paraId="5E3C87DE" w14:textId="3821E543" w:rsidR="00FE5D46" w:rsidRPr="000217C0" w:rsidRDefault="00000000" w:rsidP="0014243F">
      <w:pPr>
        <w:ind w:left="567" w:right="567"/>
        <w:jc w:val="both"/>
        <w:rPr>
          <w:rFonts w:ascii="Century" w:hAnsi="Century"/>
          <w:color w:val="000000"/>
          <w:highlight w:val="green"/>
          <w:lang w:val="fr-BE"/>
        </w:rPr>
      </w:pPr>
      <w:r w:rsidRPr="000217C0">
        <w:rPr>
          <w:rFonts w:ascii="Century" w:hAnsi="Century"/>
          <w:color w:val="000000"/>
          <w:lang w:val="fr-BE"/>
        </w:rPr>
        <w:t>Pourrait-on s’inspirer utilement d’un de ces modèles ? Selon celui des délais contraignants, comme en Grèce et en Israël, on pourrait imaginer un délai de six mois maximum entre la publication des résultats des élections et l’obtention de la confiance par un formateur pressenti, passé lequel la Chambre serait dissoute et les électeurs à nouveau convoqués. L’avantage escompté consiste bien sûr dans la pression exercée sur les acteurs de la négociation par les élus dont on présuppose qu’ils n’ont aucune envie de devoir à nouveau lutter sur la scène électorale pour garder leurs sièges. Mais les dangers de la formule ne sont pas moins évidents</w:t>
      </w:r>
      <w:r>
        <w:rPr>
          <w:rStyle w:val="Appelnotedebasdep"/>
          <w:rFonts w:ascii="Century" w:hAnsi="Century"/>
          <w:color w:val="000000"/>
          <w:sz w:val="24"/>
        </w:rPr>
        <w:footnoteReference w:id="111"/>
      </w:r>
      <w:r w:rsidRPr="000217C0">
        <w:rPr>
          <w:rFonts w:ascii="Century" w:hAnsi="Century"/>
          <w:color w:val="000000"/>
          <w:lang w:val="fr-BE"/>
        </w:rPr>
        <w:t xml:space="preserve"> : une rigidité </w:t>
      </w:r>
      <w:r w:rsidRPr="000217C0">
        <w:rPr>
          <w:rFonts w:ascii="Century" w:hAnsi="Century"/>
          <w:i/>
          <w:iCs/>
          <w:color w:val="000000"/>
          <w:lang w:val="fr-BE"/>
        </w:rPr>
        <w:t>a priori</w:t>
      </w:r>
      <w:r w:rsidRPr="000217C0">
        <w:rPr>
          <w:rFonts w:ascii="Century" w:hAnsi="Century"/>
          <w:color w:val="000000"/>
          <w:lang w:val="fr-BE"/>
        </w:rPr>
        <w:t xml:space="preserve"> indifférente aux circonstances particulières qui peuvent expliquer qu’un délai plus long soit nécessaire pour </w:t>
      </w:r>
      <w:r w:rsidRPr="000217C0">
        <w:rPr>
          <w:rFonts w:ascii="Century" w:hAnsi="Century"/>
          <w:color w:val="000000"/>
          <w:lang w:val="fr-BE"/>
        </w:rPr>
        <w:lastRenderedPageBreak/>
        <w:t>passer de la « logique de campagne » à « la logique de gouvernement »</w:t>
      </w:r>
      <w:r>
        <w:rPr>
          <w:rStyle w:val="Appelnotedebasdep"/>
          <w:rFonts w:ascii="Century" w:hAnsi="Century"/>
          <w:color w:val="000000"/>
          <w:sz w:val="24"/>
        </w:rPr>
        <w:footnoteReference w:id="112"/>
      </w:r>
      <w:r w:rsidRPr="000217C0">
        <w:rPr>
          <w:rFonts w:ascii="Century" w:hAnsi="Century"/>
          <w:color w:val="000000"/>
          <w:lang w:val="fr-BE"/>
        </w:rPr>
        <w:t xml:space="preserve"> ; la conclusion d’accords de gouvernement moins détaillés et donc moins favorables à la stabilité gouvernementale ; le développement de stratégies purement partisanes de blocage dans le chef de ceux qui parient sur une amélioration de leur score électoral après avoir désigné un coupable ou tenté de démontrer que la Belgique est devenue ingouvernable ; l’instillation de l’idée </w:t>
      </w:r>
      <w:r w:rsidRPr="000217C0">
        <w:rPr>
          <w:rFonts w:ascii="Century" w:hAnsi="Century"/>
          <w:i/>
          <w:iCs/>
          <w:color w:val="000000"/>
          <w:lang w:val="fr-BE"/>
        </w:rPr>
        <w:t>a priori</w:t>
      </w:r>
      <w:r w:rsidRPr="000217C0">
        <w:rPr>
          <w:rFonts w:ascii="Century" w:hAnsi="Century"/>
          <w:color w:val="000000"/>
          <w:lang w:val="fr-BE"/>
        </w:rPr>
        <w:t xml:space="preserve"> irrecevable que l’électeur a mal voté ; et une virtuelle multiplication de scrutins qui ne feraient que compliquer la formation du gouvernement en renforçant les partis extrémistes qui, n’ayant pas été invités aux négociations, ne peuvent se voir imputer aucune responsabilité de l’échec.  </w:t>
      </w:r>
    </w:p>
    <w:p w14:paraId="05B24B28" w14:textId="07650DFD" w:rsidR="00FE5D46" w:rsidRPr="000217C0" w:rsidRDefault="00000000" w:rsidP="0014243F">
      <w:pPr>
        <w:ind w:left="567" w:right="567"/>
        <w:jc w:val="both"/>
        <w:rPr>
          <w:rFonts w:ascii="Century" w:hAnsi="Century"/>
          <w:color w:val="000000"/>
          <w:lang w:val="fr-BE"/>
        </w:rPr>
      </w:pPr>
      <w:r w:rsidRPr="000217C0">
        <w:rPr>
          <w:rFonts w:ascii="Century" w:hAnsi="Century"/>
          <w:color w:val="000000"/>
          <w:lang w:val="fr-BE"/>
        </w:rPr>
        <w:t xml:space="preserve">En revanche, moyennant une révision des articles 46 et 96 de la Constitution, l’on pourrait utilement retenir du modèle suédois l’idée d’une succession limitée de votes d’investiture possibles. Avec l’accord du formateur qu’il a nommé, le Roi pourrait proposer à la Chambre l’investiture d’un Premier ministre à trois reprises. Au terme de ces trois rounds successifs, le retour aux urnes serait obligatoire. Ce système n’induirait sans doute pas une accélération de la procédure de formation des gouvernements, mais permettrait </w:t>
      </w:r>
      <w:r w:rsidRPr="000217C0">
        <w:rPr>
          <w:rFonts w:ascii="Century" w:hAnsi="Century"/>
          <w:lang w:val="fr-FR"/>
        </w:rPr>
        <w:t>d’inclure la Chambre dans son déroulement, avec l’effet de publicité et de transparence qui va de pair, de forcer le passage devant ladite assemblée en dehors de tout risque électoral dans les deux premiers temps et de n’ouvrir la porte de sortie électorale qu’après le troisième échec</w:t>
      </w:r>
      <w:r>
        <w:rPr>
          <w:rStyle w:val="Appelnotedebasdep"/>
          <w:rFonts w:ascii="Century" w:hAnsi="Century"/>
          <w:sz w:val="24"/>
          <w:lang w:val="fr-FR"/>
        </w:rPr>
        <w:footnoteReference w:id="113"/>
      </w:r>
      <w:r w:rsidRPr="000217C0">
        <w:rPr>
          <w:rFonts w:ascii="Century" w:hAnsi="Century"/>
          <w:lang w:val="fr-FR"/>
        </w:rPr>
        <w:t xml:space="preserve">. </w:t>
      </w:r>
    </w:p>
    <w:p w14:paraId="45EA938C" w14:textId="4AD663CC" w:rsidR="00FE5D46" w:rsidRPr="000217C0" w:rsidRDefault="00000000" w:rsidP="0014243F">
      <w:pPr>
        <w:ind w:left="567" w:right="567"/>
        <w:jc w:val="both"/>
        <w:rPr>
          <w:rFonts w:ascii="Century" w:hAnsi="Century"/>
          <w:color w:val="000000"/>
          <w:lang w:val="fr-BE"/>
        </w:rPr>
      </w:pPr>
      <w:r w:rsidRPr="000217C0">
        <w:rPr>
          <w:rFonts w:ascii="Century" w:hAnsi="Century"/>
          <w:color w:val="000000"/>
          <w:lang w:val="fr-BE"/>
        </w:rPr>
        <w:t>Une hypothèse distincte de celle de la formation d’un gouvernement après des élections a été envisagée par le politologue Jean Faniel devant la Commission Constitution et du Renouveau institutionnel. C’est celle d’une démission du gouvernement au cours de la législature et de l’échec des négociations pour constituer une majorité alternative. Dans ce cas, Jean Faniel est favorable à l’obligation de dissoudre la Chambre après l’expiration d’un délai de</w:t>
      </w:r>
      <w:r w:rsidR="00694B18" w:rsidRPr="000217C0">
        <w:rPr>
          <w:rFonts w:ascii="Century" w:hAnsi="Century"/>
          <w:color w:val="000000"/>
          <w:lang w:val="fr-BE"/>
        </w:rPr>
        <w:t xml:space="preserve"> 40 jours</w:t>
      </w:r>
      <w:r w:rsidR="00461B41" w:rsidRPr="000217C0">
        <w:rPr>
          <w:rFonts w:ascii="Century" w:hAnsi="Century"/>
          <w:color w:val="000000"/>
          <w:lang w:val="fr-BE"/>
        </w:rPr>
        <w:t>,</w:t>
      </w:r>
      <w:r w:rsidRPr="000217C0">
        <w:rPr>
          <w:rFonts w:ascii="Century" w:hAnsi="Century"/>
          <w:color w:val="000000"/>
          <w:lang w:val="fr-BE"/>
        </w:rPr>
        <w:t xml:space="preserve"> par exemple</w:t>
      </w:r>
      <w:r w:rsidR="00461B41" w:rsidRPr="000217C0">
        <w:rPr>
          <w:rFonts w:ascii="Century" w:hAnsi="Century"/>
          <w:color w:val="000000"/>
          <w:lang w:val="fr-BE"/>
        </w:rPr>
        <w:t>,</w:t>
      </w:r>
      <w:r w:rsidRPr="000217C0">
        <w:rPr>
          <w:rFonts w:ascii="Century" w:hAnsi="Century"/>
          <w:color w:val="000000"/>
          <w:lang w:val="fr-BE"/>
        </w:rPr>
        <w:t xml:space="preserve"> à compter de l’acceptation officieuse de la démission par le Roi. Cette suggestion qui suppose une révision de l’article 46 de la Constitution va évidemment de pair avec son plaidoyer pour la désynchronisation entre les élections fédérales et régionales. </w:t>
      </w:r>
    </w:p>
    <w:p w14:paraId="3B36C3DE" w14:textId="1DBF6E7D" w:rsidR="00FE5D46" w:rsidRPr="000217C0" w:rsidRDefault="00000000" w:rsidP="0014243F">
      <w:pPr>
        <w:ind w:left="567" w:right="567"/>
        <w:jc w:val="both"/>
        <w:rPr>
          <w:rFonts w:ascii="Century" w:hAnsi="Century"/>
          <w:color w:val="7030A0"/>
          <w:lang w:val="fr-BE"/>
        </w:rPr>
      </w:pPr>
      <w:r w:rsidRPr="000217C0">
        <w:rPr>
          <w:rFonts w:ascii="Century" w:hAnsi="Century"/>
          <w:color w:val="000000"/>
          <w:lang w:val="fr-BE"/>
        </w:rPr>
        <w:t xml:space="preserve">Il est vrai que plusieurs des objections que nous avons rappelées ci-dessus contre un délai impérieux imposé après la tenue des élections perdent leur pertinence. Actuellement, l’article 46, alinéa 3, de la Constitution permet au Roi, en cas de démission du gouvernement fédéral, de dissoudre la Chambre « après avoir reçu son assentiment exprimé à la majorité absolue de ses membres ». Faut-il lever la nécessité de cet assentiment et rendre la tenue d’élection mécaniquement obligatoire après un certain délai pour éviter de prolonger indûment la période des affaires courantes ? Il nous semble que ce serait introduire dans le système un facteur de rigidité mal venu car a priori </w:t>
      </w:r>
      <w:r w:rsidRPr="000217C0">
        <w:rPr>
          <w:rFonts w:ascii="Century" w:hAnsi="Century"/>
          <w:color w:val="000000"/>
          <w:lang w:val="fr-BE"/>
        </w:rPr>
        <w:lastRenderedPageBreak/>
        <w:t xml:space="preserve">indifférent aux circonstances particulières qui peuvent expliquer qu’un délai plus long soit nécessaire pour éviter d’aggraver la situation par des élections anticipées qu’aucune majorité des députés ne juge opportune. </w:t>
      </w:r>
    </w:p>
    <w:p w14:paraId="400CB4D6" w14:textId="53FE8208" w:rsidR="00E53FDC" w:rsidRPr="000217C0" w:rsidRDefault="00000000" w:rsidP="0014243F">
      <w:pPr>
        <w:ind w:left="567" w:right="567"/>
        <w:jc w:val="both"/>
        <w:rPr>
          <w:rFonts w:ascii="Century" w:hAnsi="Century"/>
          <w:lang w:val="fr-BE"/>
        </w:rPr>
      </w:pPr>
      <w:r w:rsidRPr="000217C0">
        <w:rPr>
          <w:rFonts w:ascii="Century" w:hAnsi="Century"/>
          <w:lang w:val="fr-BE"/>
        </w:rPr>
        <w:t xml:space="preserve">Enfin, il </w:t>
      </w:r>
      <w:r w:rsidRPr="0014243F">
        <w:rPr>
          <w:rFonts w:ascii="Century" w:hAnsi="Century"/>
          <w:color w:val="000000"/>
          <w:lang w:val="fr-BE"/>
        </w:rPr>
        <w:t>convient</w:t>
      </w:r>
      <w:r w:rsidRPr="000217C0">
        <w:rPr>
          <w:rFonts w:ascii="Century" w:hAnsi="Century"/>
          <w:lang w:val="fr-BE"/>
        </w:rPr>
        <w:t xml:space="preserve"> de mentionner le cas de la </w:t>
      </w:r>
      <w:r w:rsidRPr="000217C0">
        <w:rPr>
          <w:rFonts w:ascii="Century" w:hAnsi="Century"/>
          <w:b/>
          <w:bCs/>
          <w:lang w:val="fr-BE"/>
        </w:rPr>
        <w:t>Finlande</w:t>
      </w:r>
      <w:r>
        <w:rPr>
          <w:rStyle w:val="Appelnotedebasdep"/>
          <w:rFonts w:ascii="Century" w:hAnsi="Century"/>
          <w:lang w:val="fr-BE"/>
        </w:rPr>
        <w:footnoteReference w:id="114"/>
      </w:r>
      <w:r w:rsidRPr="000217C0">
        <w:rPr>
          <w:rFonts w:ascii="Century" w:hAnsi="Century"/>
          <w:lang w:val="fr-BE"/>
        </w:rPr>
        <w:t>. Conformément à l’article 61 de la Constitution finlandaise de 2000, l’élection du Premier Ministre par le Parlement (</w:t>
      </w:r>
      <w:r w:rsidRPr="000217C0">
        <w:rPr>
          <w:rFonts w:ascii="Century" w:hAnsi="Century"/>
          <w:i/>
          <w:iCs/>
          <w:lang w:val="fr-BE"/>
        </w:rPr>
        <w:t>Eduskunta</w:t>
      </w:r>
      <w:r w:rsidRPr="000217C0">
        <w:rPr>
          <w:rFonts w:ascii="Century" w:hAnsi="Century"/>
          <w:lang w:val="fr-BE"/>
        </w:rPr>
        <w:t>) se déroule en trois phases successives. Lors des deux premiers « rounds », le Président de la République présente un candidat au poste de Premier Ministre, qui est élu à la majorité des suffrages exprimés. En cas d’échec lors de</w:t>
      </w:r>
      <w:r w:rsidR="00694B18" w:rsidRPr="000217C0">
        <w:rPr>
          <w:rFonts w:ascii="Century" w:hAnsi="Century"/>
          <w:lang w:val="fr-BE"/>
        </w:rPr>
        <w:t xml:space="preserve"> ce</w:t>
      </w:r>
      <w:r w:rsidRPr="000217C0">
        <w:rPr>
          <w:rFonts w:ascii="Century" w:hAnsi="Century"/>
          <w:lang w:val="fr-BE"/>
        </w:rPr>
        <w:t xml:space="preserve">s deux premiers « rounds », le système constitutionnel finlandais a </w:t>
      </w:r>
      <w:r w:rsidR="00DD0047" w:rsidRPr="000217C0">
        <w:rPr>
          <w:rFonts w:ascii="Century" w:hAnsi="Century"/>
          <w:lang w:val="fr-BE"/>
        </w:rPr>
        <w:t>privilégié</w:t>
      </w:r>
      <w:r w:rsidRPr="000217C0">
        <w:rPr>
          <w:rFonts w:ascii="Century" w:hAnsi="Century"/>
          <w:lang w:val="fr-BE"/>
        </w:rPr>
        <w:t xml:space="preserve">, </w:t>
      </w:r>
      <w:r w:rsidR="00DD0047" w:rsidRPr="000217C0">
        <w:rPr>
          <w:rFonts w:ascii="Century" w:hAnsi="Century"/>
          <w:lang w:val="fr-BE"/>
        </w:rPr>
        <w:t>au lieu</w:t>
      </w:r>
      <w:r w:rsidRPr="000217C0">
        <w:rPr>
          <w:rFonts w:ascii="Century" w:hAnsi="Century"/>
          <w:lang w:val="fr-BE"/>
        </w:rPr>
        <w:t xml:space="preserve"> d’un retour de la population aux urnes comme en Espagne ou en Suède, la tenue d’un troisième « round » où le Parlement procède à l'élection au scrutin ouvert du Premier ministre. Est alors élu le candidat ayant recueilli le plus de voix (</w:t>
      </w:r>
      <w:r w:rsidRPr="0014243F">
        <w:rPr>
          <w:rFonts w:ascii="Century" w:hAnsi="Century"/>
          <w:i/>
          <w:iCs/>
          <w:lang w:val="fr-BE"/>
        </w:rPr>
        <w:t>first-past-the-post</w:t>
      </w:r>
      <w:r w:rsidRPr="000217C0">
        <w:rPr>
          <w:rFonts w:ascii="Century" w:hAnsi="Century"/>
          <w:lang w:val="fr-BE"/>
        </w:rPr>
        <w:t>). Un tel système</w:t>
      </w:r>
      <w:r w:rsidR="0065013F" w:rsidRPr="000217C0">
        <w:rPr>
          <w:rFonts w:ascii="Century" w:hAnsi="Century"/>
          <w:lang w:val="fr-BE"/>
        </w:rPr>
        <w:t xml:space="preserve"> </w:t>
      </w:r>
      <w:r w:rsidRPr="000217C0">
        <w:rPr>
          <w:rFonts w:ascii="Century" w:hAnsi="Century"/>
          <w:lang w:val="fr-BE"/>
        </w:rPr>
        <w:t xml:space="preserve">est bien entendu difficilement transposable – outre les révisions constitutionnelles nécessaires - dans le système consociatif belge, puisqu’il </w:t>
      </w:r>
      <w:r w:rsidR="00694B18" w:rsidRPr="000217C0">
        <w:rPr>
          <w:rFonts w:ascii="Century" w:hAnsi="Century"/>
          <w:lang w:val="fr-BE"/>
        </w:rPr>
        <w:t xml:space="preserve">favoriserait mécaniquement </w:t>
      </w:r>
      <w:r w:rsidRPr="000217C0">
        <w:rPr>
          <w:rFonts w:ascii="Century" w:hAnsi="Century"/>
          <w:lang w:val="fr-BE"/>
        </w:rPr>
        <w:t>la nomination d’un candidat d’un parti politique flamand</w:t>
      </w:r>
      <w:r w:rsidR="00086C5E" w:rsidRPr="000217C0">
        <w:rPr>
          <w:rFonts w:ascii="Century" w:hAnsi="Century"/>
          <w:lang w:val="fr-BE"/>
        </w:rPr>
        <w:t xml:space="preserve"> sans aucune assurance que celui-ci soit disposé à conclure les compromis requis notamment par la règle de la parité linguistique du Conseil des ministres</w:t>
      </w:r>
      <w:r w:rsidRPr="000217C0">
        <w:rPr>
          <w:rFonts w:ascii="Century" w:hAnsi="Century"/>
          <w:lang w:val="fr-BE"/>
        </w:rPr>
        <w:t>.</w:t>
      </w:r>
    </w:p>
    <w:p w14:paraId="5BEDABA0" w14:textId="77777777" w:rsidR="00E53FDC" w:rsidRPr="000217C0" w:rsidRDefault="00E53FDC" w:rsidP="0014243F">
      <w:pPr>
        <w:ind w:left="567" w:right="567"/>
        <w:jc w:val="both"/>
        <w:rPr>
          <w:rFonts w:ascii="Century" w:eastAsia="Times New Roman" w:hAnsi="Century" w:cs="Times New Roman"/>
          <w:sz w:val="24"/>
          <w:szCs w:val="24"/>
          <w:u w:val="single"/>
          <w:lang w:val="fr-FR" w:eastAsia="fr-FR"/>
        </w:rPr>
      </w:pPr>
    </w:p>
    <w:p w14:paraId="7A6A796A" w14:textId="67F4960A" w:rsidR="00FE5D46" w:rsidRPr="000217C0" w:rsidRDefault="00000000" w:rsidP="00C47D72">
      <w:pPr>
        <w:pStyle w:val="Titre2"/>
      </w:pPr>
      <w:bookmarkStart w:id="23" w:name="_Toc132791638"/>
      <w:bookmarkStart w:id="24" w:name="_Toc132791734"/>
      <w:r w:rsidRPr="000217C0">
        <w:t>Huit</w:t>
      </w:r>
      <w:r w:rsidR="00E468AE" w:rsidRPr="000217C0">
        <w:t>ième piste : des délais dont le dépassement provoquerait une diminution de la dotation accordée aux partis</w:t>
      </w:r>
      <w:bookmarkEnd w:id="23"/>
      <w:bookmarkEnd w:id="24"/>
      <w:r w:rsidR="00E468AE" w:rsidRPr="000217C0">
        <w:t xml:space="preserve"> </w:t>
      </w:r>
    </w:p>
    <w:p w14:paraId="61C0E0B3" w14:textId="77777777" w:rsidR="00FE5D46" w:rsidRPr="000217C0" w:rsidRDefault="00FE5D46">
      <w:pPr>
        <w:ind w:left="567" w:right="567"/>
        <w:jc w:val="both"/>
        <w:rPr>
          <w:rFonts w:ascii="Century" w:hAnsi="Century"/>
          <w:i/>
          <w:lang w:val="fr-BE"/>
        </w:rPr>
      </w:pPr>
    </w:p>
    <w:p w14:paraId="254DCB86" w14:textId="081AB80B" w:rsidR="00FE5D46" w:rsidRPr="000217C0" w:rsidRDefault="00000000" w:rsidP="0014243F">
      <w:pPr>
        <w:ind w:left="567" w:right="567"/>
        <w:jc w:val="both"/>
        <w:rPr>
          <w:rFonts w:ascii="Century" w:hAnsi="Century"/>
          <w:lang w:val="fr-BE"/>
        </w:rPr>
      </w:pPr>
      <w:r w:rsidRPr="000217C0">
        <w:rPr>
          <w:rFonts w:ascii="Century" w:hAnsi="Century"/>
          <w:lang w:val="fr-BE"/>
        </w:rPr>
        <w:t xml:space="preserve">Partant de l’idée que la formation des gouvernements en Belgique repose sur la responsabilité collective des partis politiques, Min Reuchamp et Dave Sinardet ont défendu l’introduction d’une sanction financière à l’encontre de tous les partis bénéficiaires d’une dotation publique si aucun gouvernement n’est formé après un certain délai. Le premier propose une perte de 1% de cette dotation par jour de retard, ce qui aurait pour effet de réduire les dotations à zéro après 100 jours. Le second propose une diminution progressive de la dotation après six mois de négociation infructueuse. Les plus petits partis seraient épargnés, tandis que les autres perdraient respectivement 15, 10 et 5% de leur dotation en fonction de leur nombre d’élus. </w:t>
      </w:r>
    </w:p>
    <w:p w14:paraId="3485A461" w14:textId="77777777" w:rsidR="00FE5D46" w:rsidRPr="000217C0" w:rsidRDefault="00000000" w:rsidP="0014243F">
      <w:pPr>
        <w:ind w:left="567" w:right="567"/>
        <w:jc w:val="both"/>
        <w:rPr>
          <w:rFonts w:ascii="Century" w:hAnsi="Century"/>
          <w:i/>
          <w:lang w:val="fr-BE"/>
        </w:rPr>
      </w:pPr>
      <w:r w:rsidRPr="000217C0">
        <w:rPr>
          <w:rFonts w:ascii="Century" w:hAnsi="Century"/>
          <w:lang w:val="fr-BE"/>
        </w:rPr>
        <w:t>Cette suggestion nous fait penser au mauvais professeur qui punit toute la classe faute d’avoir pu identifier les chahuteurs</w:t>
      </w:r>
      <w:r>
        <w:rPr>
          <w:rStyle w:val="Appelnotedebasdep"/>
          <w:rFonts w:ascii="Century" w:hAnsi="Century"/>
          <w:lang w:val="fr-BE"/>
        </w:rPr>
        <w:footnoteReference w:id="115"/>
      </w:r>
      <w:r w:rsidRPr="000217C0">
        <w:rPr>
          <w:rFonts w:ascii="Century" w:hAnsi="Century"/>
          <w:lang w:val="fr-BE"/>
        </w:rPr>
        <w:t xml:space="preserve">. Outre le fait qu’elle donne une image mercantile des partis comme si ceux-ci ne vivaient que pour leur dotation, elle nous semble contraire au principe de non-discrimination. Frapper d’une diminution tous les groupes politiques de grande ou de moyenne taille </w:t>
      </w:r>
      <w:r w:rsidRPr="000217C0">
        <w:rPr>
          <w:rFonts w:ascii="Century" w:hAnsi="Century"/>
          <w:lang w:val="fr-BE"/>
        </w:rPr>
        <w:lastRenderedPageBreak/>
        <w:t xml:space="preserve">indépendamment des responsabilités différenciées des uns et des autres, y compris ceux qui n’ont pas été invités, à tort ou à raison, à la négociation, est foncièrement injuste. Que moralement chacun ait une obligation de moyen de contribuer à la résolution de la crise n’est pas douteux, mais faire peser sur eux tous une obligation juridique de résultat indépendamment des objectifs et des moyens politiques propres à chacun d’entre eux est discriminatoire. Comme il est par ailleurs impossible de discerner objectivement les responsabilités individuelles qui reviennent à chaque groupe, il nous semble recommandable d’abandonner la piste de la sanction financière. </w:t>
      </w:r>
    </w:p>
    <w:p w14:paraId="78EC8E0E" w14:textId="77777777" w:rsidR="003A436A" w:rsidRPr="000217C0" w:rsidRDefault="003A436A" w:rsidP="0094184A">
      <w:pPr>
        <w:ind w:right="567"/>
        <w:jc w:val="both"/>
        <w:rPr>
          <w:rFonts w:ascii="Century" w:hAnsi="Century"/>
          <w:i/>
          <w:lang w:val="fr-BE"/>
        </w:rPr>
      </w:pPr>
    </w:p>
    <w:p w14:paraId="7A9A4E75" w14:textId="4E3AA2E3" w:rsidR="00FE5D46" w:rsidRPr="000217C0" w:rsidRDefault="00000000" w:rsidP="00C47D72">
      <w:pPr>
        <w:pStyle w:val="Titre2"/>
        <w:rPr>
          <w:i w:val="0"/>
        </w:rPr>
      </w:pPr>
      <w:bookmarkStart w:id="25" w:name="_Toc132791639"/>
      <w:bookmarkStart w:id="26" w:name="_Toc132791735"/>
      <w:r w:rsidRPr="000217C0">
        <w:t>Neuv</w:t>
      </w:r>
      <w:r w:rsidR="00E468AE" w:rsidRPr="000217C0">
        <w:t>ième piste : des délais dont le dépassement impliquerait la mise sur pied automatique d’une « coalition miroir » de plein exercice</w:t>
      </w:r>
      <w:bookmarkEnd w:id="25"/>
      <w:bookmarkEnd w:id="26"/>
    </w:p>
    <w:p w14:paraId="0CC0D844" w14:textId="77777777" w:rsidR="00FE5D46" w:rsidRPr="000217C0" w:rsidRDefault="00FE5D46">
      <w:pPr>
        <w:ind w:left="567" w:right="567"/>
        <w:jc w:val="both"/>
        <w:rPr>
          <w:rFonts w:ascii="Century" w:hAnsi="Century"/>
          <w:i/>
          <w:lang w:val="fr-BE"/>
        </w:rPr>
      </w:pPr>
    </w:p>
    <w:p w14:paraId="5D35629F" w14:textId="0E5A35E9" w:rsidR="00FE5D46" w:rsidRPr="000217C0" w:rsidRDefault="00000000">
      <w:pPr>
        <w:ind w:left="567" w:right="567"/>
        <w:jc w:val="both"/>
        <w:rPr>
          <w:rFonts w:ascii="Century" w:hAnsi="Century"/>
          <w:lang w:val="fr-BE"/>
        </w:rPr>
      </w:pPr>
      <w:r w:rsidRPr="000217C0">
        <w:rPr>
          <w:rFonts w:ascii="Century" w:hAnsi="Century"/>
          <w:lang w:val="fr-BE"/>
        </w:rPr>
        <w:t>On se souvient que pendant la longue crise 2018-2020, Joachim Coens, alors président du CD&amp;V, et Hilde Crevits ont relancé l’idée déjà évoquée avant eux en 2010-2011 et en 2014, qu’en l’absence d’un gouvernement après un certain délai (6 mois pour Hilde Crevits), un gouvernement devrait être installé automatiquement qui serait calqué sur la composition soit des « gouvernements flamand et wallon » pour le premier, soit des « gouvernements flamand et francophone » pour la seconde</w:t>
      </w:r>
      <w:r>
        <w:rPr>
          <w:rStyle w:val="Appelnotedebasdep"/>
          <w:rFonts w:ascii="Century" w:hAnsi="Century"/>
          <w:sz w:val="24"/>
        </w:rPr>
        <w:footnoteReference w:id="116"/>
      </w:r>
      <w:r w:rsidRPr="000217C0">
        <w:rPr>
          <w:rFonts w:ascii="Century" w:hAnsi="Century"/>
          <w:lang w:val="fr-BE"/>
        </w:rPr>
        <w:t xml:space="preserve">. Cette idée se heurte à au moins cinq objections. </w:t>
      </w:r>
      <w:r w:rsidRPr="000217C0">
        <w:rPr>
          <w:rFonts w:ascii="Century" w:hAnsi="Century"/>
          <w:i/>
          <w:lang w:val="fr-BE"/>
        </w:rPr>
        <w:t>Primo</w:t>
      </w:r>
      <w:r w:rsidRPr="000217C0">
        <w:rPr>
          <w:rFonts w:ascii="Century" w:hAnsi="Century"/>
          <w:lang w:val="fr-BE"/>
        </w:rPr>
        <w:t xml:space="preserve">, la formule suppose d’abord que l’on tranche le nœud gordien du choix à faire entre la composition politique des gouvernements des trois régions ou celle des deux principales communautés pour composer la coalition miroir au niveau fédéral. La première solution conduirait dans les configurations actuelles à coaliser non moins de </w:t>
      </w:r>
      <w:r w:rsidR="003A436A" w:rsidRPr="000217C0">
        <w:rPr>
          <w:rFonts w:ascii="Century" w:hAnsi="Century"/>
          <w:lang w:val="fr-BE"/>
        </w:rPr>
        <w:t>neuf</w:t>
      </w:r>
      <w:r w:rsidRPr="000217C0">
        <w:rPr>
          <w:rFonts w:ascii="Century" w:hAnsi="Century"/>
          <w:lang w:val="fr-BE"/>
        </w:rPr>
        <w:t xml:space="preserve"> partis ; la seconde </w:t>
      </w:r>
      <w:r w:rsidR="003A436A" w:rsidRPr="000217C0">
        <w:rPr>
          <w:rFonts w:ascii="Century" w:hAnsi="Century"/>
          <w:lang w:val="fr-BE"/>
        </w:rPr>
        <w:t>sept</w:t>
      </w:r>
      <w:r w:rsidRPr="000217C0">
        <w:rPr>
          <w:rFonts w:ascii="Century" w:hAnsi="Century"/>
          <w:lang w:val="fr-BE"/>
        </w:rPr>
        <w:t xml:space="preserve"> partis, alors que, à l’exception du gouvernement actuel qui coalise sept partis, les exécutifs fédéraux ne réunissent d’ordinaire qu’un maximum de six partis. </w:t>
      </w:r>
      <w:r w:rsidRPr="000217C0">
        <w:rPr>
          <w:rFonts w:ascii="Century" w:hAnsi="Century"/>
          <w:i/>
          <w:lang w:val="fr-BE"/>
        </w:rPr>
        <w:t>Secundo</w:t>
      </w:r>
      <w:r w:rsidRPr="000217C0">
        <w:rPr>
          <w:rFonts w:ascii="Century" w:hAnsi="Century"/>
          <w:lang w:val="fr-BE"/>
        </w:rPr>
        <w:t xml:space="preserve">, l’automaticité d’une coalition miroir heurterait de plein fouet la logique du régime parlementaire. Pour composer un exécutif politiquement responsable devant la Chambre, c’est la répartition des forces au sein de cette Chambre qui doit servir de référence, et non celle qui résulte des élections organisées à un autre niveau. La coalition miroir condamne les élections fédérales à l’insignifiance. C’est à cet égard qu’elle exhale un parfum confédéraliste. </w:t>
      </w:r>
      <w:r w:rsidRPr="000217C0">
        <w:rPr>
          <w:rFonts w:ascii="Century" w:hAnsi="Century"/>
          <w:i/>
          <w:lang w:val="fr-BE"/>
        </w:rPr>
        <w:t xml:space="preserve">Tertio, </w:t>
      </w:r>
      <w:r w:rsidRPr="000217C0">
        <w:rPr>
          <w:rFonts w:ascii="Century" w:hAnsi="Century"/>
          <w:lang w:val="fr-BE"/>
        </w:rPr>
        <w:t xml:space="preserve">comment contraindre des partis qui n’ont pas choisi de travailler ensemble à s’accorder sur un programme commun d’action gouvernementale ? La négociation de celui-ci et la répartition des postes ministériels pourraient prendre beaucoup de temps. Le risque est grand d’une entente limitée à une action minimaliste et l’échec ne pourrait conduire qu’à de nouvelles élections. </w:t>
      </w:r>
      <w:r w:rsidRPr="000217C0">
        <w:rPr>
          <w:rFonts w:ascii="Century" w:hAnsi="Century"/>
          <w:i/>
          <w:lang w:val="fr-BE"/>
        </w:rPr>
        <w:t>Quarto</w:t>
      </w:r>
      <w:r w:rsidRPr="000217C0">
        <w:rPr>
          <w:rFonts w:ascii="Century" w:hAnsi="Century"/>
          <w:lang w:val="fr-BE"/>
        </w:rPr>
        <w:t xml:space="preserve">, les partis les mieux représentés au niveau régional ou communautaire auraient un intérêt à provoquer l’échec des négociations initiales fondées sur la répartition des forces au sein de la Chambre, alors que </w:t>
      </w:r>
      <w:r w:rsidRPr="000217C0">
        <w:rPr>
          <w:rFonts w:ascii="Century" w:hAnsi="Century"/>
          <w:lang w:val="fr-BE"/>
        </w:rPr>
        <w:lastRenderedPageBreak/>
        <w:t xml:space="preserve">c’est cette répartition qui constitue le point de référence pertinent pour composer un exécutif responsable devant cette Chambre. </w:t>
      </w:r>
      <w:r w:rsidRPr="000217C0">
        <w:rPr>
          <w:rFonts w:ascii="Century" w:hAnsi="Century"/>
          <w:i/>
          <w:lang w:val="fr-BE"/>
        </w:rPr>
        <w:t>Quinto</w:t>
      </w:r>
      <w:r w:rsidRPr="000217C0">
        <w:rPr>
          <w:rFonts w:ascii="Century" w:hAnsi="Century"/>
          <w:lang w:val="fr-BE"/>
        </w:rPr>
        <w:t xml:space="preserve">, le risque d’instabilité est doublé dès lors que d’éventuelles crises affectant les gouvernements fédérés pourraient s’ajouter à celles pouvant se dérouler au sein du gouvernement fédéral. </w:t>
      </w:r>
    </w:p>
    <w:p w14:paraId="15C8E9F0" w14:textId="77777777" w:rsidR="00FE5D46" w:rsidRPr="000217C0" w:rsidRDefault="00FE5D46" w:rsidP="00E53FDC">
      <w:pPr>
        <w:ind w:right="567"/>
        <w:jc w:val="both"/>
        <w:rPr>
          <w:rFonts w:ascii="Century" w:hAnsi="Century"/>
          <w:i/>
          <w:lang w:val="fr-BE"/>
        </w:rPr>
      </w:pPr>
    </w:p>
    <w:p w14:paraId="57C36BFC" w14:textId="75DF686C" w:rsidR="00FE5D46" w:rsidRPr="000217C0" w:rsidRDefault="00000000" w:rsidP="00C47D72">
      <w:pPr>
        <w:pStyle w:val="Titre2"/>
        <w:rPr>
          <w:i w:val="0"/>
        </w:rPr>
      </w:pPr>
      <w:bookmarkStart w:id="27" w:name="_Toc132791640"/>
      <w:bookmarkStart w:id="28" w:name="_Toc132791736"/>
      <w:r w:rsidRPr="000217C0">
        <w:t>Dix</w:t>
      </w:r>
      <w:r w:rsidR="00E468AE" w:rsidRPr="000217C0">
        <w:t>ième piste : des délais dont le dépassement impliquerait une modification du régime des affaires courantes.</w:t>
      </w:r>
      <w:bookmarkEnd w:id="27"/>
      <w:bookmarkEnd w:id="28"/>
      <w:r w:rsidR="00E468AE" w:rsidRPr="000217C0">
        <w:t xml:space="preserve"> </w:t>
      </w:r>
    </w:p>
    <w:p w14:paraId="7F128D8A" w14:textId="77777777" w:rsidR="00FE5D46" w:rsidRPr="000217C0" w:rsidRDefault="00FE5D46">
      <w:pPr>
        <w:ind w:left="567" w:right="567"/>
        <w:jc w:val="both"/>
        <w:rPr>
          <w:rFonts w:ascii="Century" w:hAnsi="Century"/>
          <w:i/>
          <w:lang w:val="fr-BE"/>
        </w:rPr>
      </w:pPr>
    </w:p>
    <w:p w14:paraId="5F969FD6" w14:textId="04132F14" w:rsidR="00FE5D46" w:rsidRPr="000217C0" w:rsidRDefault="00000000" w:rsidP="0014243F">
      <w:pPr>
        <w:ind w:left="567" w:right="567"/>
        <w:jc w:val="both"/>
        <w:rPr>
          <w:rFonts w:ascii="Century" w:hAnsi="Century"/>
          <w:lang w:val="fr-BE"/>
        </w:rPr>
      </w:pPr>
      <w:r w:rsidRPr="000217C0">
        <w:rPr>
          <w:rFonts w:ascii="Century" w:hAnsi="Century"/>
          <w:lang w:val="fr-BE"/>
        </w:rPr>
        <w:t>On sait combien la notion des affaires courantes à l’expédition desquelles un gouvernement démissionnaire est tenu de se limiter, se prête à des interprétations de plus en plus extensives au fur et à mesure que la crise se prolonge dans le temps. Aussi il faut souhaiter que les limites de ce régime qui n’est réglé que par la coutume constitutionnelle et une jurisprudence lacunaire soient mieux précisées par le pouvoir constituant lui-même et que celui-ci rende la Cour constitutionnelle compétente pour contrôler le respect de ces limites</w:t>
      </w:r>
      <w:r>
        <w:rPr>
          <w:rStyle w:val="Appelnotedebasdep"/>
          <w:rFonts w:ascii="Century" w:hAnsi="Century"/>
          <w:sz w:val="24"/>
        </w:rPr>
        <w:footnoteReference w:id="117"/>
      </w:r>
      <w:r w:rsidRPr="000217C0">
        <w:rPr>
          <w:rFonts w:ascii="Century" w:hAnsi="Century"/>
          <w:lang w:val="fr-BE"/>
        </w:rPr>
        <w:t xml:space="preserve">. </w:t>
      </w:r>
    </w:p>
    <w:p w14:paraId="09E1FA70" w14:textId="6F01C4C4" w:rsidR="00FE5D46" w:rsidRPr="000217C0" w:rsidRDefault="00000000" w:rsidP="0014243F">
      <w:pPr>
        <w:ind w:left="567" w:right="567"/>
        <w:jc w:val="both"/>
        <w:rPr>
          <w:rFonts w:ascii="Century" w:hAnsi="Century"/>
          <w:lang w:val="fr-BE"/>
        </w:rPr>
      </w:pPr>
      <w:r w:rsidRPr="000217C0">
        <w:rPr>
          <w:rFonts w:ascii="Century" w:hAnsi="Century"/>
          <w:lang w:val="fr-BE"/>
        </w:rPr>
        <w:t xml:space="preserve">Faut-il profiter de cette intervention souhaitable du constituant pour restreindre le périmètre des affaires courantes, voire limiter le nombre ou le traitement des ministres et des membres de leurs cabinets, une fois passé le délai qui serait imposé pour former un gouvernement de plein exercice ? Telles sont les suggestions qui ont été envisagées par Dave Sinardet devant votre Commission. À l’instar de Jan Velaers, il nous semble qu’il serait très dangereux de suivre cette piste. L’histoire des dernières crises démontre combien il est impérieux de disposer de tous les ministres pour gérer les dossiers les plus imprévisibles et les plus délicats qui peuvent survenir pendant ces périodes au titre de l’inévitable catégorie des affaires urgentes. C’est d’autant plus nécessaire que bien des cabinets ministériels se dépeuplent à ces occasions, plusieurs de leurs membres cherchant légitimement à préparer la suite de leurs carrières sous d’autres cieux. Sophie Wilmès était particulièrement bien placée pour l’avoir fait remarquer lors des auditions du 22 septembre 2022 en Commission de la Constitution et du Renouveau institutionnel. </w:t>
      </w:r>
    </w:p>
    <w:p w14:paraId="3D5158A7" w14:textId="77777777" w:rsidR="00FE5D46" w:rsidRPr="000217C0" w:rsidRDefault="00000000" w:rsidP="0014243F">
      <w:pPr>
        <w:ind w:left="567" w:right="567"/>
        <w:jc w:val="both"/>
        <w:rPr>
          <w:rFonts w:ascii="Century" w:hAnsi="Century"/>
          <w:lang w:val="fr-BE"/>
        </w:rPr>
      </w:pPr>
      <w:r w:rsidRPr="000217C0">
        <w:rPr>
          <w:rFonts w:ascii="Century" w:hAnsi="Century"/>
          <w:lang w:val="fr-BE"/>
        </w:rPr>
        <w:t>Pour la même raison, et aussi pour les motifs déjà avancés plus haut, nous ne pouvons pas non plus suivre la piste consistant à remédier au déficit de légitimité démocratique d’un gouvernement démissionnaire tenté d’abuser des affaires courantes, en en remplaçant les membres par ceux d’une nouvelle coalition miroir</w:t>
      </w:r>
      <w:r>
        <w:rPr>
          <w:rStyle w:val="Appelnotedebasdep"/>
          <w:rFonts w:ascii="Century" w:hAnsi="Century"/>
          <w:sz w:val="24"/>
        </w:rPr>
        <w:footnoteReference w:id="118"/>
      </w:r>
      <w:r w:rsidRPr="000217C0">
        <w:rPr>
          <w:rFonts w:ascii="Century" w:hAnsi="Century"/>
          <w:lang w:val="fr-BE"/>
        </w:rPr>
        <w:t xml:space="preserve">. Les nouveaux ministres sans expérience de cette coalition </w:t>
      </w:r>
      <w:r w:rsidRPr="000217C0">
        <w:rPr>
          <w:rFonts w:ascii="Century" w:hAnsi="Century"/>
          <w:lang w:val="fr-BE"/>
        </w:rPr>
        <w:lastRenderedPageBreak/>
        <w:t xml:space="preserve">provisoire seront d’autant plus mal outillés pour expédier les affaires courantes qu’ils auront bien du mal à recruter des collaborateurs fiables pour leurs cabinets respectifs. Par ailleurs, si l’on ne combine pas cette piste avec une des autres que nous avons commentées plus haut, mais dont aucune n’a été jugée satisfaisante, comment ne pas redouter une charge de responsabilité excessive sur le dos des présidents de partis appelés à négocier la formation de ce cabinet d’affaires courantes en plus d’un nouveau gouvernement de plein exercice ? </w:t>
      </w:r>
    </w:p>
    <w:p w14:paraId="630118A8" w14:textId="77777777" w:rsidR="00E53FDC" w:rsidRPr="000217C0" w:rsidRDefault="00E53FDC" w:rsidP="00E53FDC">
      <w:pPr>
        <w:spacing w:after="0"/>
        <w:ind w:right="567"/>
        <w:jc w:val="both"/>
        <w:rPr>
          <w:rFonts w:ascii="Century" w:eastAsia="Times New Roman" w:hAnsi="Century" w:cs="Times New Roman"/>
          <w:smallCaps/>
          <w:color w:val="7030A0"/>
          <w:sz w:val="24"/>
          <w:szCs w:val="24"/>
          <w:lang w:val="fr-FR" w:eastAsia="fr-FR"/>
        </w:rPr>
      </w:pPr>
    </w:p>
    <w:p w14:paraId="52DCABCA" w14:textId="77777777" w:rsidR="00E53FDC" w:rsidRPr="000217C0" w:rsidRDefault="00E53FDC" w:rsidP="0014243F">
      <w:pPr>
        <w:spacing w:after="0"/>
        <w:ind w:right="567"/>
        <w:jc w:val="both"/>
        <w:rPr>
          <w:rFonts w:ascii="Century" w:hAnsi="Century"/>
          <w:color w:val="7030A0"/>
          <w:lang w:val="fr-FR"/>
        </w:rPr>
      </w:pPr>
    </w:p>
    <w:p w14:paraId="5C037AA0" w14:textId="34776693" w:rsidR="00FE5D46" w:rsidRPr="000217C0" w:rsidRDefault="00000000" w:rsidP="00C47D72">
      <w:pPr>
        <w:pStyle w:val="Titre1"/>
        <w:numPr>
          <w:ilvl w:val="0"/>
          <w:numId w:val="0"/>
        </w:numPr>
        <w:ind w:left="1287" w:hanging="720"/>
        <w:jc w:val="center"/>
      </w:pPr>
      <w:bookmarkStart w:id="29" w:name="_Toc132791642"/>
      <w:bookmarkStart w:id="30" w:name="_Toc132791738"/>
      <w:r w:rsidRPr="000217C0">
        <w:t>Conclusion</w:t>
      </w:r>
      <w:bookmarkEnd w:id="29"/>
      <w:bookmarkEnd w:id="30"/>
    </w:p>
    <w:p w14:paraId="7F761AF3" w14:textId="77777777" w:rsidR="00B735B0" w:rsidRPr="000217C0" w:rsidRDefault="00B735B0" w:rsidP="00E53FDC">
      <w:pPr>
        <w:ind w:left="567" w:right="567"/>
        <w:rPr>
          <w:rFonts w:ascii="Century" w:hAnsi="Century"/>
          <w:smallCaps/>
          <w:lang w:val="fr-FR"/>
        </w:rPr>
      </w:pPr>
    </w:p>
    <w:p w14:paraId="5358DC45" w14:textId="4F2A69F0" w:rsidR="00E53FDC" w:rsidRPr="00FF591F" w:rsidRDefault="00000000" w:rsidP="00FF591F">
      <w:pPr>
        <w:ind w:left="567" w:right="567"/>
        <w:jc w:val="both"/>
        <w:rPr>
          <w:rFonts w:ascii="Century" w:hAnsi="Century"/>
          <w:lang w:val="fr-FR"/>
        </w:rPr>
      </w:pPr>
      <w:r w:rsidRPr="00FF591F">
        <w:rPr>
          <w:rFonts w:ascii="Century" w:hAnsi="Century"/>
          <w:lang w:val="fr-BE"/>
        </w:rPr>
        <w:t xml:space="preserve">Notre parcours autorise </w:t>
      </w:r>
      <w:r w:rsidR="000D317E" w:rsidRPr="00FF591F">
        <w:rPr>
          <w:rFonts w:ascii="Century" w:hAnsi="Century"/>
          <w:lang w:val="fr-BE"/>
        </w:rPr>
        <w:t>les six</w:t>
      </w:r>
      <w:r w:rsidRPr="00FF591F">
        <w:rPr>
          <w:rFonts w:ascii="Century" w:hAnsi="Century"/>
          <w:lang w:val="fr-BE"/>
        </w:rPr>
        <w:t xml:space="preserve"> leçons</w:t>
      </w:r>
      <w:r w:rsidR="000D317E" w:rsidRPr="00FF591F">
        <w:rPr>
          <w:rFonts w:ascii="Century" w:hAnsi="Century"/>
          <w:lang w:val="fr-BE"/>
        </w:rPr>
        <w:t xml:space="preserve"> suivantes</w:t>
      </w:r>
      <w:r w:rsidRPr="00FF591F">
        <w:rPr>
          <w:rFonts w:ascii="Century" w:hAnsi="Century"/>
          <w:lang w:val="fr-BE"/>
        </w:rPr>
        <w:t xml:space="preserve">. </w:t>
      </w:r>
    </w:p>
    <w:p w14:paraId="290D9209" w14:textId="0A6D5309" w:rsidR="00E53FDC" w:rsidRPr="00FF591F" w:rsidRDefault="00000000" w:rsidP="00FF591F">
      <w:pPr>
        <w:ind w:left="567" w:right="567"/>
        <w:jc w:val="both"/>
        <w:rPr>
          <w:rFonts w:ascii="Century" w:hAnsi="Century"/>
          <w:lang w:val="fr-FR"/>
        </w:rPr>
      </w:pPr>
      <w:r w:rsidRPr="00FF591F">
        <w:rPr>
          <w:rFonts w:ascii="Century" w:hAnsi="Century"/>
          <w:lang w:val="fr-FR"/>
        </w:rPr>
        <w:t xml:space="preserve">La </w:t>
      </w:r>
      <w:r w:rsidRPr="00FF591F">
        <w:rPr>
          <w:rFonts w:ascii="Century" w:hAnsi="Century"/>
          <w:lang w:val="fr-BE"/>
        </w:rPr>
        <w:t>première</w:t>
      </w:r>
      <w:r w:rsidRPr="00FF591F">
        <w:rPr>
          <w:rFonts w:ascii="Century" w:hAnsi="Century"/>
          <w:lang w:val="fr-FR"/>
        </w:rPr>
        <w:t xml:space="preserve">. </w:t>
      </w:r>
      <w:r w:rsidR="004D3887" w:rsidRPr="00FF591F">
        <w:rPr>
          <w:rFonts w:ascii="Century" w:hAnsi="Century"/>
          <w:lang w:val="fr-FR"/>
        </w:rPr>
        <w:t xml:space="preserve">Quand on examine les causes </w:t>
      </w:r>
      <w:r w:rsidR="00CA000D" w:rsidRPr="00FF591F">
        <w:rPr>
          <w:rFonts w:ascii="Century" w:hAnsi="Century"/>
          <w:lang w:val="fr-FR"/>
        </w:rPr>
        <w:t>propres à expliquer</w:t>
      </w:r>
      <w:r w:rsidR="004D3887" w:rsidRPr="00FF591F">
        <w:rPr>
          <w:rFonts w:ascii="Century" w:hAnsi="Century"/>
          <w:lang w:val="fr-FR"/>
        </w:rPr>
        <w:t xml:space="preserve"> l</w:t>
      </w:r>
      <w:r w:rsidR="00B735B0" w:rsidRPr="00FF591F">
        <w:rPr>
          <w:rFonts w:ascii="Century" w:hAnsi="Century"/>
          <w:lang w:val="fr-FR"/>
        </w:rPr>
        <w:t xml:space="preserve">a facilité avec laquelle </w:t>
      </w:r>
      <w:r w:rsidR="004D3887" w:rsidRPr="00FF591F">
        <w:rPr>
          <w:rFonts w:ascii="Century" w:hAnsi="Century"/>
          <w:lang w:val="fr-FR"/>
        </w:rPr>
        <w:t>certains</w:t>
      </w:r>
      <w:r w:rsidR="00B735B0" w:rsidRPr="00FF591F">
        <w:rPr>
          <w:rFonts w:ascii="Century" w:hAnsi="Century"/>
          <w:lang w:val="fr-FR"/>
        </w:rPr>
        <w:t xml:space="preserve"> gouvernements se </w:t>
      </w:r>
      <w:r w:rsidR="00CA000D" w:rsidRPr="00FF591F">
        <w:rPr>
          <w:rFonts w:ascii="Century" w:hAnsi="Century"/>
          <w:lang w:val="fr-FR"/>
        </w:rPr>
        <w:t xml:space="preserve">constituent </w:t>
      </w:r>
      <w:r w:rsidR="00B735B0" w:rsidRPr="00FF591F">
        <w:rPr>
          <w:rFonts w:ascii="Century" w:hAnsi="Century"/>
          <w:lang w:val="fr-FR"/>
        </w:rPr>
        <w:t xml:space="preserve">dans </w:t>
      </w:r>
      <w:r w:rsidR="004D3887" w:rsidRPr="00FF591F">
        <w:rPr>
          <w:rFonts w:ascii="Century" w:hAnsi="Century"/>
          <w:lang w:val="fr-FR"/>
        </w:rPr>
        <w:t xml:space="preserve">les </w:t>
      </w:r>
      <w:r w:rsidR="00B735B0" w:rsidRPr="00FF591F">
        <w:rPr>
          <w:rFonts w:ascii="Century" w:hAnsi="Century"/>
          <w:lang w:val="fr-FR"/>
        </w:rPr>
        <w:t xml:space="preserve">régimes parlementaires </w:t>
      </w:r>
      <w:r w:rsidR="004D3887" w:rsidRPr="00FF591F">
        <w:rPr>
          <w:rFonts w:ascii="Century" w:hAnsi="Century"/>
          <w:lang w:val="fr-FR"/>
        </w:rPr>
        <w:t xml:space="preserve">et </w:t>
      </w:r>
      <w:r w:rsidR="00CA000D" w:rsidRPr="00FF591F">
        <w:rPr>
          <w:rFonts w:ascii="Century" w:hAnsi="Century"/>
          <w:lang w:val="fr-FR"/>
        </w:rPr>
        <w:t xml:space="preserve">celles qui sont à la source des </w:t>
      </w:r>
      <w:r w:rsidR="00B735B0" w:rsidRPr="00FF591F">
        <w:rPr>
          <w:rFonts w:ascii="Century" w:hAnsi="Century"/>
          <w:lang w:val="fr-FR"/>
        </w:rPr>
        <w:t xml:space="preserve">difficultés auxquelles peut </w:t>
      </w:r>
      <w:r w:rsidR="004D3887" w:rsidRPr="00FF591F">
        <w:rPr>
          <w:rFonts w:ascii="Century" w:hAnsi="Century"/>
          <w:lang w:val="fr-FR"/>
        </w:rPr>
        <w:t xml:space="preserve">au contraire </w:t>
      </w:r>
      <w:r w:rsidR="00B735B0" w:rsidRPr="00FF591F">
        <w:rPr>
          <w:rFonts w:ascii="Century" w:hAnsi="Century"/>
          <w:lang w:val="fr-FR"/>
        </w:rPr>
        <w:t>se heurter leur formation</w:t>
      </w:r>
      <w:r w:rsidR="004D3887" w:rsidRPr="00FF591F">
        <w:rPr>
          <w:rFonts w:ascii="Century" w:hAnsi="Century"/>
          <w:lang w:val="fr-FR"/>
        </w:rPr>
        <w:t>, il est particulièrement difficile de faire le départ entre l</w:t>
      </w:r>
      <w:r w:rsidR="00B735B0" w:rsidRPr="00FF591F">
        <w:rPr>
          <w:rFonts w:ascii="Century" w:hAnsi="Century"/>
          <w:lang w:val="fr-FR"/>
        </w:rPr>
        <w:t xml:space="preserve">es facteurs </w:t>
      </w:r>
      <w:r w:rsidR="004D3887" w:rsidRPr="00FF591F">
        <w:rPr>
          <w:rFonts w:ascii="Century" w:hAnsi="Century"/>
          <w:lang w:val="fr-FR"/>
        </w:rPr>
        <w:t xml:space="preserve">politiques, </w:t>
      </w:r>
      <w:r w:rsidR="00B735B0" w:rsidRPr="00FF591F">
        <w:rPr>
          <w:rFonts w:ascii="Century" w:hAnsi="Century"/>
          <w:lang w:val="fr-FR"/>
        </w:rPr>
        <w:t>sociologiques</w:t>
      </w:r>
      <w:r w:rsidR="004D3887" w:rsidRPr="00FF591F">
        <w:rPr>
          <w:rFonts w:ascii="Century" w:hAnsi="Century"/>
          <w:lang w:val="fr-FR"/>
        </w:rPr>
        <w:t xml:space="preserve"> </w:t>
      </w:r>
      <w:r w:rsidR="00B735B0" w:rsidRPr="00FF591F">
        <w:rPr>
          <w:rFonts w:ascii="Century" w:hAnsi="Century"/>
          <w:lang w:val="fr-FR"/>
        </w:rPr>
        <w:t>et culturels</w:t>
      </w:r>
      <w:r w:rsidR="004D3887" w:rsidRPr="00FF591F">
        <w:rPr>
          <w:rFonts w:ascii="Century" w:hAnsi="Century"/>
          <w:lang w:val="fr-FR"/>
        </w:rPr>
        <w:t>, d’un côté,</w:t>
      </w:r>
      <w:r w:rsidR="00B735B0" w:rsidRPr="00FF591F">
        <w:rPr>
          <w:rFonts w:ascii="Century" w:hAnsi="Century"/>
          <w:lang w:val="fr-FR"/>
        </w:rPr>
        <w:t xml:space="preserve"> </w:t>
      </w:r>
      <w:r w:rsidR="004D3887" w:rsidRPr="00FF591F">
        <w:rPr>
          <w:rFonts w:ascii="Century" w:hAnsi="Century"/>
          <w:lang w:val="fr-FR"/>
        </w:rPr>
        <w:t>et les facteurs juridiques et institutionnels de l’autre. Les uns et les autres forment des entrelacs qui rendent impossible la détection d’un dispositif juridique idéal</w:t>
      </w:r>
      <w:r w:rsidRPr="00FF591F">
        <w:rPr>
          <w:rFonts w:ascii="Century" w:hAnsi="Century"/>
          <w:lang w:val="fr-FR"/>
        </w:rPr>
        <w:t xml:space="preserve"> qui ferait abstraction des premiers</w:t>
      </w:r>
      <w:r w:rsidR="004D3887" w:rsidRPr="00FF591F">
        <w:rPr>
          <w:rFonts w:ascii="Century" w:hAnsi="Century"/>
          <w:lang w:val="fr-FR"/>
        </w:rPr>
        <w:t>, et ce d’autant plus que le</w:t>
      </w:r>
      <w:r w:rsidR="00E1024C" w:rsidRPr="00FF591F">
        <w:rPr>
          <w:rFonts w:ascii="Century" w:hAnsi="Century"/>
          <w:lang w:val="fr-FR"/>
        </w:rPr>
        <w:t>s</w:t>
      </w:r>
      <w:r w:rsidR="004D3887" w:rsidRPr="00FF591F">
        <w:rPr>
          <w:rFonts w:ascii="Century" w:hAnsi="Century"/>
          <w:lang w:val="fr-FR"/>
        </w:rPr>
        <w:t xml:space="preserve"> règles de droit qui régissent </w:t>
      </w:r>
      <w:r w:rsidR="00E1024C" w:rsidRPr="00FF591F">
        <w:rPr>
          <w:rFonts w:ascii="Century" w:hAnsi="Century"/>
          <w:lang w:val="fr-FR"/>
        </w:rPr>
        <w:t>la formation des gouvernements sont e</w:t>
      </w:r>
      <w:r w:rsidRPr="00FF591F">
        <w:rPr>
          <w:rFonts w:ascii="Century" w:hAnsi="Century"/>
          <w:lang w:val="fr-FR"/>
        </w:rPr>
        <w:t>lles</w:t>
      </w:r>
      <w:r w:rsidR="00E1024C" w:rsidRPr="00FF591F">
        <w:rPr>
          <w:rFonts w:ascii="Century" w:hAnsi="Century"/>
          <w:lang w:val="fr-FR"/>
        </w:rPr>
        <w:t xml:space="preserve">-mêmes indissociables des autres caractéristiques du système constitutionnel dont l’application de ces règles sont tributaires. </w:t>
      </w:r>
    </w:p>
    <w:p w14:paraId="465A067C" w14:textId="56B00463" w:rsidR="00E53FDC" w:rsidRPr="00FF591F" w:rsidRDefault="00000000" w:rsidP="00FF591F">
      <w:pPr>
        <w:ind w:left="567" w:right="567"/>
        <w:jc w:val="both"/>
        <w:rPr>
          <w:rFonts w:ascii="Century" w:hAnsi="Century"/>
          <w:lang w:val="fr-FR"/>
        </w:rPr>
      </w:pPr>
      <w:r w:rsidRPr="00FF591F">
        <w:rPr>
          <w:rFonts w:ascii="Century" w:hAnsi="Century"/>
          <w:lang w:val="fr-FR"/>
        </w:rPr>
        <w:t xml:space="preserve">Deuxième leçon. La plupart des systèmes </w:t>
      </w:r>
      <w:r w:rsidR="0035797D" w:rsidRPr="00FF591F">
        <w:rPr>
          <w:rFonts w:ascii="Century" w:hAnsi="Century"/>
          <w:lang w:val="fr-FR"/>
        </w:rPr>
        <w:t xml:space="preserve">juridiques </w:t>
      </w:r>
      <w:r w:rsidRPr="00FF591F">
        <w:rPr>
          <w:rFonts w:ascii="Century" w:hAnsi="Century"/>
          <w:lang w:val="fr-FR"/>
        </w:rPr>
        <w:t xml:space="preserve">que nous avons étudiés laissent une </w:t>
      </w:r>
      <w:r w:rsidR="00703E7B" w:rsidRPr="00FF591F">
        <w:rPr>
          <w:rFonts w:ascii="Century" w:hAnsi="Century"/>
          <w:lang w:val="fr-FR"/>
        </w:rPr>
        <w:t xml:space="preserve">certaine </w:t>
      </w:r>
      <w:r w:rsidRPr="00FF591F">
        <w:rPr>
          <w:rFonts w:ascii="Century" w:hAnsi="Century"/>
          <w:lang w:val="fr-FR"/>
        </w:rPr>
        <w:t xml:space="preserve">liberté aux acteurs politiques. </w:t>
      </w:r>
      <w:r w:rsidR="007409CE" w:rsidRPr="00FF591F">
        <w:rPr>
          <w:rFonts w:ascii="Century" w:hAnsi="Century"/>
          <w:lang w:val="fr-FR"/>
        </w:rPr>
        <w:t xml:space="preserve">Ils font preuve </w:t>
      </w:r>
      <w:r w:rsidR="003E09B0" w:rsidRPr="00FF591F">
        <w:rPr>
          <w:rFonts w:ascii="Century" w:hAnsi="Century"/>
          <w:lang w:val="fr-FR"/>
        </w:rPr>
        <w:t>d</w:t>
      </w:r>
      <w:r w:rsidR="007409CE" w:rsidRPr="00FF591F">
        <w:rPr>
          <w:rFonts w:ascii="Century" w:hAnsi="Century"/>
          <w:lang w:val="fr-FR"/>
        </w:rPr>
        <w:t>e sagesse constitutionnelle en considérant qu’une pr</w:t>
      </w:r>
      <w:r w:rsidR="00CA000D" w:rsidRPr="00FF591F">
        <w:rPr>
          <w:rFonts w:ascii="Century" w:hAnsi="Century"/>
          <w:lang w:val="fr-FR"/>
        </w:rPr>
        <w:t>o</w:t>
      </w:r>
      <w:r w:rsidR="007409CE" w:rsidRPr="00FF591F">
        <w:rPr>
          <w:rFonts w:ascii="Century" w:hAnsi="Century"/>
          <w:lang w:val="fr-FR"/>
        </w:rPr>
        <w:t xml:space="preserve">céduralisation </w:t>
      </w:r>
      <w:r w:rsidR="0035797D" w:rsidRPr="00FF591F">
        <w:rPr>
          <w:rFonts w:ascii="Century" w:hAnsi="Century"/>
          <w:lang w:val="fr-FR"/>
        </w:rPr>
        <w:t>intégrale</w:t>
      </w:r>
      <w:r w:rsidR="00703E7B" w:rsidRPr="00FF591F">
        <w:rPr>
          <w:rFonts w:ascii="Century" w:hAnsi="Century"/>
          <w:lang w:val="fr-FR"/>
        </w:rPr>
        <w:t>ment contraignante</w:t>
      </w:r>
      <w:r w:rsidR="007409CE" w:rsidRPr="00FF591F">
        <w:rPr>
          <w:rFonts w:ascii="Century" w:hAnsi="Century"/>
          <w:lang w:val="fr-FR"/>
        </w:rPr>
        <w:t xml:space="preserve"> de la formation des gouvernements ferait plus de tort que de bien. </w:t>
      </w:r>
      <w:r w:rsidR="0035797D" w:rsidRPr="00FF591F">
        <w:rPr>
          <w:rFonts w:ascii="Century" w:hAnsi="Century"/>
          <w:lang w:val="fr-FR"/>
        </w:rPr>
        <w:t>Les ex</w:t>
      </w:r>
      <w:r w:rsidR="00EA00E6" w:rsidRPr="00FF591F">
        <w:rPr>
          <w:rFonts w:ascii="Century" w:hAnsi="Century"/>
          <w:lang w:val="fr-FR"/>
        </w:rPr>
        <w:t>ceptions</w:t>
      </w:r>
      <w:r w:rsidR="0035797D" w:rsidRPr="00FF591F">
        <w:rPr>
          <w:rFonts w:ascii="Century" w:hAnsi="Century"/>
          <w:lang w:val="fr-FR"/>
        </w:rPr>
        <w:t xml:space="preserve"> grec</w:t>
      </w:r>
      <w:r w:rsidR="00EA00E6" w:rsidRPr="00FF591F">
        <w:rPr>
          <w:rFonts w:ascii="Century" w:hAnsi="Century"/>
          <w:lang w:val="fr-FR"/>
        </w:rPr>
        <w:t>que</w:t>
      </w:r>
      <w:r w:rsidR="0035797D" w:rsidRPr="00FF591F">
        <w:rPr>
          <w:rFonts w:ascii="Century" w:hAnsi="Century"/>
          <w:lang w:val="fr-FR"/>
        </w:rPr>
        <w:t xml:space="preserve"> et israélien</w:t>
      </w:r>
      <w:r w:rsidR="00EA00E6" w:rsidRPr="00FF591F">
        <w:rPr>
          <w:rFonts w:ascii="Century" w:hAnsi="Century"/>
          <w:lang w:val="fr-FR"/>
        </w:rPr>
        <w:t>ne</w:t>
      </w:r>
      <w:r w:rsidR="0035797D" w:rsidRPr="00FF591F">
        <w:rPr>
          <w:rFonts w:ascii="Century" w:hAnsi="Century"/>
          <w:lang w:val="fr-FR"/>
        </w:rPr>
        <w:t xml:space="preserve"> montrent que là où les </w:t>
      </w:r>
      <w:r w:rsidR="007409CE" w:rsidRPr="00FF591F">
        <w:rPr>
          <w:rFonts w:ascii="Century" w:hAnsi="Century"/>
          <w:lang w:val="fr-FR"/>
        </w:rPr>
        <w:t xml:space="preserve">délais </w:t>
      </w:r>
      <w:r w:rsidR="0035797D" w:rsidRPr="00FF591F">
        <w:rPr>
          <w:rFonts w:ascii="Century" w:hAnsi="Century"/>
          <w:lang w:val="fr-FR"/>
        </w:rPr>
        <w:t xml:space="preserve">sont </w:t>
      </w:r>
      <w:r w:rsidR="007409CE" w:rsidRPr="00FF591F">
        <w:rPr>
          <w:rFonts w:ascii="Century" w:hAnsi="Century"/>
          <w:lang w:val="fr-FR"/>
        </w:rPr>
        <w:t xml:space="preserve">les plus contraignants pour </w:t>
      </w:r>
      <w:r w:rsidR="0035797D" w:rsidRPr="00FF591F">
        <w:rPr>
          <w:rFonts w:ascii="Century" w:hAnsi="Century"/>
          <w:lang w:val="fr-FR"/>
        </w:rPr>
        <w:t xml:space="preserve">minimiser la durée </w:t>
      </w:r>
      <w:r w:rsidR="007409CE" w:rsidRPr="00FF591F">
        <w:rPr>
          <w:rFonts w:ascii="Century" w:hAnsi="Century"/>
          <w:lang w:val="fr-FR"/>
        </w:rPr>
        <w:t>de</w:t>
      </w:r>
      <w:r w:rsidR="0035797D" w:rsidRPr="00FF591F">
        <w:rPr>
          <w:rFonts w:ascii="Century" w:hAnsi="Century"/>
          <w:lang w:val="fr-FR"/>
        </w:rPr>
        <w:t xml:space="preserve"> ce</w:t>
      </w:r>
      <w:r w:rsidR="007409CE" w:rsidRPr="00FF591F">
        <w:rPr>
          <w:rFonts w:ascii="Century" w:hAnsi="Century"/>
          <w:lang w:val="fr-FR"/>
        </w:rPr>
        <w:t xml:space="preserve">s </w:t>
      </w:r>
      <w:r w:rsidR="0035797D" w:rsidRPr="00FF591F">
        <w:rPr>
          <w:rFonts w:ascii="Century" w:hAnsi="Century"/>
          <w:lang w:val="fr-FR"/>
        </w:rPr>
        <w:t>processus, l</w:t>
      </w:r>
      <w:r w:rsidR="00EA00E6" w:rsidRPr="00FF591F">
        <w:rPr>
          <w:rFonts w:ascii="Century" w:hAnsi="Century"/>
          <w:lang w:val="fr-FR"/>
        </w:rPr>
        <w:t>a</w:t>
      </w:r>
      <w:r w:rsidR="00E1024C" w:rsidRPr="00FF591F">
        <w:rPr>
          <w:rFonts w:ascii="Century" w:hAnsi="Century"/>
          <w:lang w:val="fr-FR"/>
        </w:rPr>
        <w:t xml:space="preserve"> rapidité </w:t>
      </w:r>
      <w:r w:rsidR="00EA00E6" w:rsidRPr="00FF591F">
        <w:rPr>
          <w:rFonts w:ascii="Century" w:hAnsi="Century"/>
          <w:lang w:val="fr-FR"/>
        </w:rPr>
        <w:t xml:space="preserve">de ceux-ci </w:t>
      </w:r>
      <w:r w:rsidR="0035797D" w:rsidRPr="00FF591F">
        <w:rPr>
          <w:rFonts w:ascii="Century" w:hAnsi="Century"/>
          <w:lang w:val="fr-FR"/>
        </w:rPr>
        <w:t>tend à être</w:t>
      </w:r>
      <w:r w:rsidR="00E1024C" w:rsidRPr="00FF591F">
        <w:rPr>
          <w:rFonts w:ascii="Century" w:hAnsi="Century"/>
          <w:lang w:val="fr-FR"/>
        </w:rPr>
        <w:t xml:space="preserve"> inversement proportionnelle à la stabilité des gouvernements </w:t>
      </w:r>
      <w:r w:rsidR="00EA00E6" w:rsidRPr="00FF591F">
        <w:rPr>
          <w:rFonts w:ascii="Century" w:hAnsi="Century"/>
          <w:lang w:val="fr-FR"/>
        </w:rPr>
        <w:t>auxquels ils conduisent</w:t>
      </w:r>
      <w:r w:rsidR="00E1024C" w:rsidRPr="00FF591F">
        <w:rPr>
          <w:rFonts w:ascii="Century" w:hAnsi="Century"/>
          <w:lang w:val="fr-FR"/>
        </w:rPr>
        <w:t xml:space="preserve">. </w:t>
      </w:r>
    </w:p>
    <w:p w14:paraId="29721C89" w14:textId="72B4D441" w:rsidR="00E53FDC" w:rsidRPr="00FF591F" w:rsidRDefault="00000000" w:rsidP="00FF591F">
      <w:pPr>
        <w:ind w:left="567" w:right="567"/>
        <w:jc w:val="both"/>
        <w:rPr>
          <w:rFonts w:ascii="Century" w:hAnsi="Century"/>
          <w:lang w:val="fr-BE"/>
        </w:rPr>
      </w:pPr>
      <w:r w:rsidRPr="00FF591F">
        <w:rPr>
          <w:rFonts w:ascii="Century" w:hAnsi="Century"/>
          <w:lang w:val="fr-FR"/>
        </w:rPr>
        <w:t xml:space="preserve">Troisième leçon. Le droit peut néanmoins offrir des ressources institutionnelles appropriées aux causes de certaines difficultés structurelles. </w:t>
      </w:r>
      <w:r w:rsidRPr="000217C0">
        <w:rPr>
          <w:rFonts w:ascii="Century" w:hAnsi="Century"/>
          <w:lang w:val="fr-BE"/>
        </w:rPr>
        <w:t xml:space="preserve">S’inscrit dans cette perspective la </w:t>
      </w:r>
      <w:r w:rsidRPr="00FF591F">
        <w:rPr>
          <w:rFonts w:ascii="Century" w:hAnsi="Century"/>
          <w:lang w:val="fr-FR"/>
        </w:rPr>
        <w:t>déconne</w:t>
      </w:r>
      <w:r w:rsidR="00CC4E4B">
        <w:rPr>
          <w:rFonts w:ascii="Century" w:hAnsi="Century"/>
          <w:lang w:val="fr-FR"/>
        </w:rPr>
        <w:t>x</w:t>
      </w:r>
      <w:r w:rsidRPr="00FF591F">
        <w:rPr>
          <w:rFonts w:ascii="Century" w:hAnsi="Century"/>
          <w:lang w:val="fr-FR"/>
        </w:rPr>
        <w:t>ion</w:t>
      </w:r>
      <w:r w:rsidRPr="000217C0">
        <w:rPr>
          <w:rFonts w:ascii="Century" w:hAnsi="Century"/>
          <w:lang w:val="fr-BE"/>
        </w:rPr>
        <w:t xml:space="preserve"> que nous avons proposée</w:t>
      </w:r>
      <w:r w:rsidR="00CA000D" w:rsidRPr="000217C0">
        <w:rPr>
          <w:rFonts w:ascii="Century" w:hAnsi="Century"/>
          <w:lang w:val="fr-BE"/>
        </w:rPr>
        <w:t xml:space="preserve"> </w:t>
      </w:r>
      <w:r w:rsidRPr="000217C0">
        <w:rPr>
          <w:rFonts w:ascii="Century" w:hAnsi="Century"/>
          <w:lang w:val="fr-BE"/>
        </w:rPr>
        <w:t>entre le processus de formation du gouvernement fédéral et les négociations visant à réformer l’Etat</w:t>
      </w:r>
      <w:r w:rsidR="00CA000D" w:rsidRPr="000217C0">
        <w:rPr>
          <w:rFonts w:ascii="Century" w:hAnsi="Century"/>
          <w:lang w:val="fr-BE"/>
        </w:rPr>
        <w:t xml:space="preserve"> ou statuer sur son avenir, via la mise sur pied, à côté du Parlement, d’un Congrès national investi du pouvoir constituant originaire</w:t>
      </w:r>
      <w:r w:rsidRPr="000217C0">
        <w:rPr>
          <w:rFonts w:ascii="Century" w:hAnsi="Century"/>
          <w:lang w:val="fr-BE"/>
        </w:rPr>
        <w:t xml:space="preserve">.  </w:t>
      </w:r>
    </w:p>
    <w:p w14:paraId="40364AF0" w14:textId="22379F43" w:rsidR="00E53FDC" w:rsidRPr="000217C0" w:rsidRDefault="00000000" w:rsidP="00FF591F">
      <w:pPr>
        <w:ind w:left="567" w:right="567"/>
        <w:jc w:val="both"/>
        <w:rPr>
          <w:rFonts w:ascii="Century" w:hAnsi="Century"/>
          <w:lang w:val="fr-BE"/>
        </w:rPr>
      </w:pPr>
      <w:r w:rsidRPr="00FF591F">
        <w:rPr>
          <w:rFonts w:ascii="Century" w:hAnsi="Century"/>
          <w:lang w:val="fr-FR"/>
        </w:rPr>
        <w:t xml:space="preserve">Quatrième leçon. </w:t>
      </w:r>
      <w:r w:rsidR="00A621ED" w:rsidRPr="00FF591F">
        <w:rPr>
          <w:rFonts w:ascii="Century" w:hAnsi="Century"/>
          <w:lang w:val="fr-FR"/>
        </w:rPr>
        <w:t>Parmi les dix autres dispositifs envisageables en vue de remédier à la longueur des négociations visant à former un gouvernement fédéral en Belgique, se sont révélés peu convaincant</w:t>
      </w:r>
      <w:r w:rsidR="00D5775E" w:rsidRPr="00FF591F">
        <w:rPr>
          <w:rFonts w:ascii="Century" w:hAnsi="Century"/>
          <w:lang w:val="fr-FR"/>
        </w:rPr>
        <w:t>s</w:t>
      </w:r>
      <w:r w:rsidR="00A621ED" w:rsidRPr="00FF591F">
        <w:rPr>
          <w:rFonts w:ascii="Century" w:hAnsi="Century"/>
          <w:lang w:val="fr-FR"/>
        </w:rPr>
        <w:t> :</w:t>
      </w:r>
      <w:r w:rsidR="00A621ED" w:rsidRPr="000217C0">
        <w:rPr>
          <w:rFonts w:ascii="Century" w:hAnsi="Century"/>
          <w:lang w:val="fr-BE"/>
        </w:rPr>
        <w:t xml:space="preserve"> une parlementarisation </w:t>
      </w:r>
      <w:r w:rsidR="00D5775E" w:rsidRPr="000217C0">
        <w:rPr>
          <w:rFonts w:ascii="Century" w:hAnsi="Century"/>
          <w:lang w:val="fr-BE"/>
        </w:rPr>
        <w:t xml:space="preserve">intégrale </w:t>
      </w:r>
      <w:r w:rsidR="00A621ED" w:rsidRPr="000217C0">
        <w:rPr>
          <w:rFonts w:ascii="Century" w:hAnsi="Century"/>
          <w:lang w:val="fr-BE"/>
        </w:rPr>
        <w:t xml:space="preserve">du processus qui supprimerait le rôle du Roi ; un système de délais contraignants dont le dépassement provoquerait le déclenchement </w:t>
      </w:r>
      <w:r w:rsidR="00A621ED" w:rsidRPr="000217C0">
        <w:rPr>
          <w:rFonts w:ascii="Century" w:hAnsi="Century"/>
          <w:lang w:val="fr-BE"/>
        </w:rPr>
        <w:lastRenderedPageBreak/>
        <w:t xml:space="preserve">automatique de nouvelles élections ; une diminution de la dotation accordée aux partis ; ou la mise sur pied automatique d’une coalition miroir ; ou encore une modification du régime des affaires courantes. </w:t>
      </w:r>
    </w:p>
    <w:p w14:paraId="5A6D5B59" w14:textId="0710ACF1" w:rsidR="00E53FDC" w:rsidRPr="00FF591F" w:rsidRDefault="00000000" w:rsidP="00FF591F">
      <w:pPr>
        <w:ind w:left="567" w:right="567"/>
        <w:jc w:val="both"/>
        <w:rPr>
          <w:rFonts w:ascii="Century" w:hAnsi="Century"/>
          <w:lang w:val="fr-FR"/>
        </w:rPr>
      </w:pPr>
      <w:r w:rsidRPr="00FF591F">
        <w:rPr>
          <w:rFonts w:ascii="Century" w:hAnsi="Century"/>
          <w:lang w:val="fr-BE"/>
        </w:rPr>
        <w:t xml:space="preserve">Cinquième leçon. </w:t>
      </w:r>
      <w:r w:rsidR="00D5775E" w:rsidRPr="00FF591F">
        <w:rPr>
          <w:rFonts w:ascii="Century" w:hAnsi="Century"/>
          <w:lang w:val="fr-BE"/>
        </w:rPr>
        <w:t>En revanche, t</w:t>
      </w:r>
      <w:r w:rsidRPr="00FF591F">
        <w:rPr>
          <w:rFonts w:ascii="Century" w:hAnsi="Century"/>
          <w:lang w:val="fr-BE"/>
        </w:rPr>
        <w:t xml:space="preserve">rois autres pistes nous ont paru recommandables : </w:t>
      </w:r>
      <w:r w:rsidR="00B735B0" w:rsidRPr="00FF591F">
        <w:rPr>
          <w:rFonts w:ascii="Century" w:hAnsi="Century"/>
          <w:lang w:val="fr-BE"/>
        </w:rPr>
        <w:t xml:space="preserve">un scrutin un peu moins proportionnel ; </w:t>
      </w:r>
      <w:r w:rsidRPr="000217C0">
        <w:rPr>
          <w:rFonts w:ascii="Century" w:hAnsi="Century"/>
          <w:lang w:val="fr-BE"/>
        </w:rPr>
        <w:t>l’établissement d’</w:t>
      </w:r>
      <w:r w:rsidR="00B735B0" w:rsidRPr="00FF591F">
        <w:rPr>
          <w:rFonts w:ascii="Century" w:hAnsi="Century"/>
          <w:lang w:val="fr-BE"/>
        </w:rPr>
        <w:t xml:space="preserve">une circonscription électorale fédérale ; et </w:t>
      </w:r>
      <w:r w:rsidRPr="000217C0">
        <w:rPr>
          <w:rFonts w:ascii="Century" w:hAnsi="Century"/>
          <w:lang w:val="fr-BE"/>
        </w:rPr>
        <w:t>une parlementarisation partielle du processus</w:t>
      </w:r>
      <w:r w:rsidR="00B735B0" w:rsidRPr="00FF591F">
        <w:rPr>
          <w:rFonts w:ascii="Century" w:hAnsi="Century"/>
          <w:lang w:val="fr-BE"/>
        </w:rPr>
        <w:t xml:space="preserve">. </w:t>
      </w:r>
      <w:r w:rsidR="00B61E9E" w:rsidRPr="000217C0">
        <w:rPr>
          <w:rFonts w:ascii="Century" w:hAnsi="Century"/>
          <w:lang w:val="fr-BE"/>
        </w:rPr>
        <w:t xml:space="preserve">Cette dernière proposition </w:t>
      </w:r>
      <w:r w:rsidR="00B61E9E" w:rsidRPr="000217C0">
        <w:rPr>
          <w:rFonts w:ascii="Century" w:eastAsia="Times New Roman" w:hAnsi="Century" w:cs="Times New Roman"/>
          <w:lang w:val="fr-FR" w:eastAsia="fr-FR"/>
        </w:rPr>
        <w:t xml:space="preserve">vise surtout à </w:t>
      </w:r>
      <w:r w:rsidR="00887E2C" w:rsidRPr="000217C0">
        <w:rPr>
          <w:rFonts w:ascii="Century" w:eastAsia="Times New Roman" w:hAnsi="Century" w:cs="Times New Roman"/>
          <w:lang w:val="fr-FR" w:eastAsia="fr-FR"/>
        </w:rPr>
        <w:t>améliorer</w:t>
      </w:r>
      <w:r w:rsidR="00B61E9E" w:rsidRPr="000217C0">
        <w:rPr>
          <w:rFonts w:ascii="Century" w:eastAsia="Times New Roman" w:hAnsi="Century" w:cs="Times New Roman"/>
          <w:lang w:val="fr-FR" w:eastAsia="fr-FR"/>
        </w:rPr>
        <w:t>,</w:t>
      </w:r>
      <w:r w:rsidR="00887E2C" w:rsidRPr="000217C0">
        <w:rPr>
          <w:rFonts w:ascii="Century" w:eastAsia="Times New Roman" w:hAnsi="Century" w:cs="Times New Roman"/>
          <w:lang w:val="fr-FR" w:eastAsia="fr-FR"/>
        </w:rPr>
        <w:t xml:space="preserve"> dans une mesure </w:t>
      </w:r>
      <w:r w:rsidR="00B61E9E" w:rsidRPr="000217C0">
        <w:rPr>
          <w:rFonts w:ascii="Century" w:eastAsia="Times New Roman" w:hAnsi="Century" w:cs="Times New Roman"/>
          <w:lang w:val="fr-FR" w:eastAsia="fr-FR"/>
        </w:rPr>
        <w:t xml:space="preserve">forcément relative, </w:t>
      </w:r>
      <w:r w:rsidR="00887E2C" w:rsidRPr="000217C0">
        <w:rPr>
          <w:rFonts w:ascii="Century" w:eastAsia="Times New Roman" w:hAnsi="Century" w:cs="Times New Roman"/>
          <w:lang w:val="fr-FR" w:eastAsia="fr-FR"/>
        </w:rPr>
        <w:t>la transparence des négociations</w:t>
      </w:r>
      <w:r w:rsidR="00B61E9E" w:rsidRPr="000217C0">
        <w:rPr>
          <w:rFonts w:ascii="Century" w:eastAsia="Times New Roman" w:hAnsi="Century" w:cs="Times New Roman"/>
          <w:lang w:val="fr-FR" w:eastAsia="fr-FR"/>
        </w:rPr>
        <w:t>. U</w:t>
      </w:r>
      <w:r w:rsidR="00887E2C" w:rsidRPr="000217C0">
        <w:rPr>
          <w:rFonts w:ascii="Century" w:eastAsia="Times New Roman" w:hAnsi="Century" w:cs="Times New Roman"/>
          <w:lang w:val="fr-FR" w:eastAsia="fr-FR"/>
        </w:rPr>
        <w:t>n rapport périodique à la Chambre de la part des informateurs et des formateurs pourrait être exigé à la fin de chaque mission confiée par le Roi.</w:t>
      </w:r>
      <w:r w:rsidR="0025545E" w:rsidRPr="00FF591F">
        <w:rPr>
          <w:rFonts w:ascii="Century" w:hAnsi="Century"/>
          <w:lang w:val="fr-BE"/>
        </w:rPr>
        <w:t xml:space="preserve"> </w:t>
      </w:r>
      <w:r w:rsidR="00B61E9E" w:rsidRPr="00FF591F">
        <w:rPr>
          <w:rFonts w:ascii="Century" w:hAnsi="Century"/>
          <w:lang w:val="fr-BE"/>
        </w:rPr>
        <w:t>M</w:t>
      </w:r>
      <w:r w:rsidR="0025545E" w:rsidRPr="00FF591F">
        <w:rPr>
          <w:rFonts w:ascii="Century" w:hAnsi="Century"/>
          <w:lang w:val="fr-BE"/>
        </w:rPr>
        <w:t xml:space="preserve">oyennant une révision des articles 46 et 96 de la Constitution, l’on pourrait </w:t>
      </w:r>
      <w:r w:rsidR="00B61E9E" w:rsidRPr="00FF591F">
        <w:rPr>
          <w:rFonts w:ascii="Century" w:hAnsi="Century"/>
          <w:lang w:val="fr-BE"/>
        </w:rPr>
        <w:t xml:space="preserve">aussi </w:t>
      </w:r>
      <w:r w:rsidR="0025545E" w:rsidRPr="00FF591F">
        <w:rPr>
          <w:rFonts w:ascii="Century" w:hAnsi="Century"/>
          <w:lang w:val="fr-BE"/>
        </w:rPr>
        <w:t xml:space="preserve">utilement retenir du modèle suédois l’idée d’une succession limitée de votes d’investiture possibles. Avec l’accord du formateur qu’il a nommé, le Roi pourrait proposer à la Chambre l’investiture d’un Premier ministre à trois reprises. Au terme de ces trois rounds successifs, le retour aux urnes serait obligatoire. Ce système n’induirait sans doute pas une accélération de la procédure de formation des gouvernements, mais permettrait </w:t>
      </w:r>
      <w:r w:rsidR="0025545E" w:rsidRPr="000217C0">
        <w:rPr>
          <w:rFonts w:ascii="Century" w:hAnsi="Century"/>
          <w:lang w:val="fr-FR"/>
        </w:rPr>
        <w:t>d’inclure la Chambre dans son déroulement, avec l’effet de publicité et de transparence qui va de pair, de forcer le passage devant ladite assemblée en dehors de tout risque électoral dans les deux premiers temps et de n’ouvrir la porte de sortie électorale qu’après le troisième échec.</w:t>
      </w:r>
    </w:p>
    <w:p w14:paraId="07B6B9D1" w14:textId="5FBBC57E" w:rsidR="00B735B0" w:rsidRPr="00FF591F" w:rsidRDefault="00000000" w:rsidP="00FF591F">
      <w:pPr>
        <w:ind w:left="567" w:right="567"/>
        <w:jc w:val="both"/>
        <w:rPr>
          <w:rFonts w:ascii="Century" w:hAnsi="Century"/>
          <w:lang w:val="fr-BE"/>
        </w:rPr>
      </w:pPr>
      <w:r w:rsidRPr="000217C0">
        <w:rPr>
          <w:rFonts w:ascii="Century" w:hAnsi="Century"/>
          <w:lang w:val="fr-BE"/>
        </w:rPr>
        <w:t>Sixième leçon. R</w:t>
      </w:r>
      <w:r w:rsidRPr="00FF591F">
        <w:rPr>
          <w:rFonts w:ascii="Century" w:hAnsi="Century"/>
          <w:lang w:val="fr-BE"/>
        </w:rPr>
        <w:t xml:space="preserve">ien ne permet d’exclure un recours à la formule des gouvernements minoritaires, mais c’est un pis-aller. </w:t>
      </w:r>
      <w:r w:rsidRPr="000217C0">
        <w:rPr>
          <w:rFonts w:ascii="Century" w:hAnsi="Century"/>
          <w:lang w:val="fr-BE"/>
        </w:rPr>
        <w:t xml:space="preserve">La mise en place d’un système de vote préférentiel ou de panachage mérite d’être étudiée plus en profondeur. </w:t>
      </w:r>
      <w:r w:rsidR="00EA00E6" w:rsidRPr="000217C0">
        <w:rPr>
          <w:rFonts w:ascii="Century" w:hAnsi="Century"/>
          <w:lang w:val="fr-BE"/>
        </w:rPr>
        <w:t xml:space="preserve">Il possède des vertus séduisantes, mais son impact sur la durée de la formation des gouvernements est difficilement prévisible. </w:t>
      </w:r>
      <w:r w:rsidRPr="000217C0">
        <w:rPr>
          <w:rFonts w:ascii="Century" w:hAnsi="Century"/>
          <w:lang w:val="fr-BE"/>
        </w:rPr>
        <w:t xml:space="preserve">Quant à la désynchronisation </w:t>
      </w:r>
      <w:r w:rsidR="00D5775E" w:rsidRPr="000217C0">
        <w:rPr>
          <w:rFonts w:ascii="Century" w:hAnsi="Century"/>
          <w:lang w:val="fr-BE"/>
        </w:rPr>
        <w:t xml:space="preserve">des élections fédérales et régionales, qui est constitutionnellement possible aujourd’hui, il est douteux qu’elle puisse induire un effet favorable à la fois à l’accélération du rythme de formation du gouvernement fédéral et à sa stabilité. </w:t>
      </w:r>
    </w:p>
    <w:p w14:paraId="3F379BDB" w14:textId="77777777" w:rsidR="00FE5D46" w:rsidRPr="000217C0" w:rsidRDefault="00FE5D46">
      <w:pPr>
        <w:spacing w:after="0" w:line="240" w:lineRule="auto"/>
        <w:ind w:left="567" w:right="567"/>
        <w:jc w:val="both"/>
        <w:rPr>
          <w:rFonts w:ascii="Century" w:eastAsia="Times New Roman" w:hAnsi="Century" w:cs="Times New Roman"/>
          <w:sz w:val="24"/>
          <w:szCs w:val="24"/>
          <w:u w:val="single"/>
          <w:lang w:val="fr-FR" w:eastAsia="fr-FR"/>
        </w:rPr>
      </w:pPr>
    </w:p>
    <w:p w14:paraId="5638E66D" w14:textId="77777777" w:rsidR="00FE5D46" w:rsidRPr="000217C0" w:rsidRDefault="00FE5D46" w:rsidP="00FF591F">
      <w:pPr>
        <w:spacing w:after="0" w:line="240" w:lineRule="auto"/>
        <w:ind w:right="567"/>
        <w:jc w:val="both"/>
        <w:rPr>
          <w:rFonts w:ascii="Century" w:eastAsia="Times New Roman" w:hAnsi="Century" w:cs="Times New Roman"/>
          <w:sz w:val="24"/>
          <w:szCs w:val="24"/>
          <w:lang w:val="fr-FR" w:eastAsia="fr-FR"/>
        </w:rPr>
      </w:pPr>
    </w:p>
    <w:sectPr w:rsidR="00FE5D46" w:rsidRPr="000217C0">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2826A" w14:textId="77777777" w:rsidR="00220F41" w:rsidRDefault="00220F41">
      <w:pPr>
        <w:spacing w:after="0" w:line="240" w:lineRule="auto"/>
      </w:pPr>
      <w:r>
        <w:separator/>
      </w:r>
    </w:p>
  </w:endnote>
  <w:endnote w:type="continuationSeparator" w:id="0">
    <w:p w14:paraId="3331CB7E" w14:textId="77777777" w:rsidR="00220F41" w:rsidRDefault="0022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HelveticaLTStd-Bold">
    <w:altName w:val="Arial"/>
    <w:panose1 w:val="020B0604020202020204"/>
    <w:charset w:val="00"/>
    <w:family w:val="swiss"/>
    <w:notTrueType/>
    <w:pitch w:val="default"/>
    <w:sig w:usb0="00000003" w:usb1="00000000" w:usb2="00000000" w:usb3="00000000" w:csb0="00000001" w:csb1="00000000"/>
  </w:font>
  <w:font w:name="Open Sans">
    <w:panose1 w:val="020B0604020202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12264756"/>
      <w:docPartObj>
        <w:docPartGallery w:val="Page Numbers (Bottom of Page)"/>
        <w:docPartUnique/>
      </w:docPartObj>
    </w:sdtPr>
    <w:sdtContent>
      <w:p w14:paraId="4E3C3EDC" w14:textId="72351682" w:rsidR="00E468AE" w:rsidRDefault="00000000" w:rsidP="00E468AE">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707EDEF5" w14:textId="77777777" w:rsidR="00E468AE" w:rsidRDefault="00E468A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86011591"/>
      <w:docPartObj>
        <w:docPartGallery w:val="Page Numbers (Bottom of Page)"/>
        <w:docPartUnique/>
      </w:docPartObj>
    </w:sdtPr>
    <w:sdtEndPr>
      <w:rPr>
        <w:rStyle w:val="Numrodepage"/>
        <w:rFonts w:ascii="Century" w:hAnsi="Century"/>
      </w:rPr>
    </w:sdtEndPr>
    <w:sdtContent>
      <w:p w14:paraId="3258850A" w14:textId="2672C3C1" w:rsidR="00E468AE" w:rsidRDefault="00000000" w:rsidP="00E468AE">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1D6A3D8" w14:textId="77777777" w:rsidR="00E468AE" w:rsidRDefault="00E468A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F53DE" w14:textId="77777777" w:rsidR="00220F41" w:rsidRDefault="00220F41">
      <w:pPr>
        <w:spacing w:after="0" w:line="240" w:lineRule="auto"/>
      </w:pPr>
      <w:r>
        <w:separator/>
      </w:r>
    </w:p>
  </w:footnote>
  <w:footnote w:type="continuationSeparator" w:id="0">
    <w:p w14:paraId="2697347F" w14:textId="77777777" w:rsidR="00220F41" w:rsidRDefault="00220F41">
      <w:pPr>
        <w:spacing w:after="0" w:line="240" w:lineRule="auto"/>
      </w:pPr>
      <w:r>
        <w:continuationSeparator/>
      </w:r>
    </w:p>
  </w:footnote>
  <w:footnote w:id="1">
    <w:p w14:paraId="07FBBA39" w14:textId="7085323D" w:rsidR="00E468AE" w:rsidRPr="0092542D" w:rsidRDefault="00000000" w:rsidP="00F56AAC">
      <w:pPr>
        <w:pStyle w:val="NormalWeb"/>
        <w:spacing w:before="20" w:beforeAutospacing="0" w:after="20" w:afterAutospacing="0"/>
        <w:ind w:left="567" w:right="567"/>
        <w:jc w:val="both"/>
        <w:rPr>
          <w:rFonts w:ascii="Century" w:hAnsi="Century"/>
          <w:sz w:val="18"/>
          <w:szCs w:val="18"/>
          <w:lang w:val="fr-FR"/>
        </w:rPr>
      </w:pPr>
      <w:r w:rsidRPr="0092542D">
        <w:rPr>
          <w:rStyle w:val="Appelnotedebasdep"/>
          <w:rFonts w:ascii="Century" w:hAnsi="Century"/>
          <w:sz w:val="18"/>
          <w:szCs w:val="18"/>
          <w:lang w:val="fr-FR"/>
        </w:rPr>
        <w:footnoteRef/>
      </w:r>
      <w:r w:rsidRPr="0092542D">
        <w:rPr>
          <w:rFonts w:ascii="Century" w:hAnsi="Century"/>
          <w:sz w:val="18"/>
          <w:szCs w:val="18"/>
          <w:lang w:val="fr-FR"/>
        </w:rPr>
        <w:t xml:space="preserve"> La présente étude est une version revue du rapport présenté par les auteurs à la </w:t>
      </w:r>
      <w:bookmarkStart w:id="0" w:name="_Hlk131866180"/>
      <w:r w:rsidRPr="0092542D">
        <w:rPr>
          <w:rFonts w:ascii="Century" w:hAnsi="Century"/>
          <w:sz w:val="18"/>
          <w:szCs w:val="18"/>
          <w:lang w:val="fr-FR"/>
        </w:rPr>
        <w:t xml:space="preserve">Commission </w:t>
      </w:r>
      <w:bookmarkStart w:id="1" w:name="_Hlk131930218"/>
      <w:r w:rsidRPr="0092542D">
        <w:rPr>
          <w:rFonts w:ascii="Century" w:hAnsi="Century"/>
          <w:sz w:val="18"/>
          <w:szCs w:val="18"/>
          <w:lang w:val="fr-FR"/>
        </w:rPr>
        <w:t>de la Constitution et du Renouveau institutionnel</w:t>
      </w:r>
      <w:bookmarkEnd w:id="1"/>
      <w:r w:rsidRPr="0092542D">
        <w:rPr>
          <w:rFonts w:ascii="Century" w:hAnsi="Century"/>
          <w:sz w:val="18"/>
          <w:szCs w:val="18"/>
          <w:lang w:val="fr-FR"/>
        </w:rPr>
        <w:t xml:space="preserve"> </w:t>
      </w:r>
      <w:r w:rsidR="00A935BC" w:rsidRPr="0092542D">
        <w:rPr>
          <w:rFonts w:ascii="Century" w:hAnsi="Century"/>
          <w:sz w:val="18"/>
          <w:szCs w:val="18"/>
          <w:lang w:val="fr-FR"/>
        </w:rPr>
        <w:t xml:space="preserve">de la Chambre des représentants </w:t>
      </w:r>
      <w:r w:rsidRPr="0092542D">
        <w:rPr>
          <w:rFonts w:ascii="Century" w:hAnsi="Century"/>
          <w:sz w:val="18"/>
          <w:szCs w:val="18"/>
          <w:lang w:val="fr-FR"/>
        </w:rPr>
        <w:t>du 7 décembre 2022</w:t>
      </w:r>
      <w:bookmarkEnd w:id="0"/>
      <w:r w:rsidRPr="0092542D">
        <w:rPr>
          <w:rFonts w:ascii="Century" w:hAnsi="Century"/>
          <w:sz w:val="18"/>
          <w:szCs w:val="18"/>
          <w:lang w:val="fr-FR"/>
        </w:rPr>
        <w:t xml:space="preserve">, dans le cadre d’un Rapport introductif d’initiative parlementaire concernant les mécanismes de formation du gouvernement fédéral. Le compte-rendu de l’audition sera publié sur le site de la Chambre : </w:t>
      </w:r>
      <w:r w:rsidR="000F7732">
        <w:rPr>
          <w:rFonts w:ascii="Century" w:hAnsi="Century"/>
          <w:sz w:val="18"/>
          <w:szCs w:val="18"/>
          <w:lang w:val="fr-FR"/>
        </w:rPr>
        <w:t>a</w:t>
      </w:r>
      <w:r w:rsidRPr="0092542D">
        <w:rPr>
          <w:rFonts w:ascii="Century" w:hAnsi="Century"/>
          <w:sz w:val="18"/>
          <w:szCs w:val="18"/>
          <w:lang w:val="fr-FR"/>
        </w:rPr>
        <w:t>udition du 7 décembre 2022 de Mme Stéphanie Wattier, professeure à l’UNamur</w:t>
      </w:r>
      <w:r w:rsidR="00066658" w:rsidRPr="0092542D">
        <w:rPr>
          <w:rFonts w:ascii="Century" w:hAnsi="Century"/>
          <w:sz w:val="18"/>
          <w:szCs w:val="18"/>
          <w:lang w:val="fr-FR"/>
        </w:rPr>
        <w:t> </w:t>
      </w:r>
      <w:r w:rsidRPr="0092542D">
        <w:rPr>
          <w:rFonts w:ascii="Century" w:hAnsi="Century"/>
          <w:sz w:val="18"/>
          <w:szCs w:val="18"/>
          <w:lang w:val="fr-FR"/>
        </w:rPr>
        <w:t xml:space="preserve">; M. Marc </w:t>
      </w:r>
      <w:proofErr w:type="spellStart"/>
      <w:r w:rsidRPr="0092542D">
        <w:rPr>
          <w:rFonts w:ascii="Century" w:hAnsi="Century"/>
          <w:sz w:val="18"/>
          <w:szCs w:val="18"/>
          <w:lang w:val="fr-FR"/>
        </w:rPr>
        <w:t>Verdussen</w:t>
      </w:r>
      <w:proofErr w:type="spellEnd"/>
      <w:r w:rsidRPr="0092542D">
        <w:rPr>
          <w:rFonts w:ascii="Century" w:hAnsi="Century"/>
          <w:sz w:val="18"/>
          <w:szCs w:val="18"/>
          <w:lang w:val="fr-FR"/>
        </w:rPr>
        <w:t>, professeur à l’</w:t>
      </w:r>
      <w:proofErr w:type="spellStart"/>
      <w:r w:rsidRPr="0092542D">
        <w:rPr>
          <w:rFonts w:ascii="Century" w:hAnsi="Century"/>
          <w:sz w:val="18"/>
          <w:szCs w:val="18"/>
          <w:lang w:val="fr-FR"/>
        </w:rPr>
        <w:t>UCL</w:t>
      </w:r>
      <w:r w:rsidR="000F7732">
        <w:rPr>
          <w:rFonts w:ascii="Century" w:hAnsi="Century"/>
          <w:sz w:val="18"/>
          <w:szCs w:val="18"/>
          <w:lang w:val="fr-FR"/>
        </w:rPr>
        <w:t>ouvain</w:t>
      </w:r>
      <w:proofErr w:type="spellEnd"/>
      <w:r w:rsidR="00066658" w:rsidRPr="0092542D">
        <w:rPr>
          <w:rFonts w:ascii="Century" w:hAnsi="Century"/>
          <w:sz w:val="18"/>
          <w:szCs w:val="18"/>
          <w:lang w:val="fr-FR"/>
        </w:rPr>
        <w:t> </w:t>
      </w:r>
      <w:r w:rsidRPr="0092542D">
        <w:rPr>
          <w:rFonts w:ascii="Century" w:hAnsi="Century"/>
          <w:sz w:val="18"/>
          <w:szCs w:val="18"/>
          <w:lang w:val="fr-FR"/>
        </w:rPr>
        <w:t xml:space="preserve">; M. Hugues Dumont, professeur à </w:t>
      </w:r>
      <w:proofErr w:type="spellStart"/>
      <w:r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w:t>
      </w:r>
      <w:proofErr w:type="spellStart"/>
      <w:r w:rsidR="000F7732">
        <w:rPr>
          <w:rFonts w:ascii="Century" w:hAnsi="Century"/>
          <w:sz w:val="18"/>
          <w:szCs w:val="18"/>
          <w:lang w:val="fr-FR"/>
        </w:rPr>
        <w:t>S</w:t>
      </w:r>
      <w:r w:rsidRPr="0092542D">
        <w:rPr>
          <w:rFonts w:ascii="Century" w:hAnsi="Century"/>
          <w:sz w:val="18"/>
          <w:szCs w:val="18"/>
          <w:lang w:val="fr-FR"/>
        </w:rPr>
        <w:t>aint-Louis</w:t>
      </w:r>
      <w:proofErr w:type="spellEnd"/>
      <w:r w:rsidR="000F7732">
        <w:rPr>
          <w:rFonts w:ascii="Century" w:hAnsi="Century"/>
          <w:sz w:val="18"/>
          <w:szCs w:val="18"/>
          <w:lang w:val="fr-FR"/>
        </w:rPr>
        <w:t xml:space="preserve"> - Bruxelles</w:t>
      </w:r>
      <w:r w:rsidRPr="0092542D">
        <w:rPr>
          <w:rFonts w:ascii="Century" w:hAnsi="Century"/>
          <w:sz w:val="18"/>
          <w:szCs w:val="18"/>
          <w:lang w:val="fr-FR"/>
        </w:rPr>
        <w:t xml:space="preserve"> et M. Jonathan Renaux, assistant à</w:t>
      </w:r>
      <w:r w:rsidR="000F7732" w:rsidRPr="000F7732">
        <w:rPr>
          <w:rFonts w:ascii="Century" w:hAnsi="Century"/>
          <w:sz w:val="18"/>
          <w:szCs w:val="18"/>
          <w:lang w:val="fr-FR"/>
        </w:rPr>
        <w:t xml:space="preserve"> </w:t>
      </w:r>
      <w:proofErr w:type="spellStart"/>
      <w:r w:rsidR="000F7732"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S</w:t>
      </w:r>
      <w:r w:rsidR="000F7732" w:rsidRPr="0092542D">
        <w:rPr>
          <w:rFonts w:ascii="Century" w:hAnsi="Century"/>
          <w:sz w:val="18"/>
          <w:szCs w:val="18"/>
          <w:lang w:val="fr-FR"/>
        </w:rPr>
        <w:t>aint-Louis</w:t>
      </w:r>
      <w:r w:rsidR="000F7732">
        <w:rPr>
          <w:rFonts w:ascii="Century" w:hAnsi="Century"/>
          <w:sz w:val="18"/>
          <w:szCs w:val="18"/>
          <w:lang w:val="fr-FR"/>
        </w:rPr>
        <w:t xml:space="preserve"> - Bruxelles</w:t>
      </w:r>
      <w:r w:rsidRPr="0092542D">
        <w:rPr>
          <w:rFonts w:ascii="Century" w:hAnsi="Century"/>
          <w:sz w:val="18"/>
          <w:szCs w:val="18"/>
          <w:lang w:val="fr-FR"/>
        </w:rPr>
        <w:t xml:space="preserve">, </w:t>
      </w:r>
      <w:r w:rsidRPr="0092542D">
        <w:rPr>
          <w:rFonts w:ascii="Century" w:hAnsi="Century"/>
          <w:i/>
          <w:iCs/>
          <w:sz w:val="18"/>
          <w:szCs w:val="18"/>
          <w:lang w:val="fr-FR"/>
        </w:rPr>
        <w:t xml:space="preserve">Doc. </w:t>
      </w:r>
      <w:proofErr w:type="spellStart"/>
      <w:r w:rsidRPr="0092542D">
        <w:rPr>
          <w:rFonts w:ascii="Century" w:hAnsi="Century"/>
          <w:i/>
          <w:iCs/>
          <w:sz w:val="18"/>
          <w:szCs w:val="18"/>
          <w:lang w:val="fr-FR"/>
        </w:rPr>
        <w:t>Parl</w:t>
      </w:r>
      <w:proofErr w:type="spellEnd"/>
      <w:r w:rsidRPr="0092542D">
        <w:rPr>
          <w:rFonts w:ascii="Century" w:hAnsi="Century"/>
          <w:sz w:val="18"/>
          <w:szCs w:val="18"/>
          <w:lang w:val="fr-FR"/>
        </w:rPr>
        <w:t xml:space="preserve">., </w:t>
      </w:r>
      <w:r w:rsidR="000F7732">
        <w:rPr>
          <w:rFonts w:ascii="Century" w:hAnsi="Century"/>
          <w:sz w:val="18"/>
          <w:szCs w:val="18"/>
          <w:lang w:val="fr-FR"/>
        </w:rPr>
        <w:t xml:space="preserve">Ch., </w:t>
      </w:r>
      <w:r w:rsidRPr="0092542D">
        <w:rPr>
          <w:rFonts w:ascii="Century" w:hAnsi="Century"/>
          <w:sz w:val="18"/>
          <w:szCs w:val="18"/>
          <w:lang w:val="fr-FR"/>
        </w:rPr>
        <w:t>DOC 55 0152/000</w:t>
      </w:r>
      <w:r w:rsidRPr="0092542D">
        <w:rPr>
          <w:rFonts w:ascii="Century" w:hAnsi="Century" w:cs="HelveticaLTStd-Bold"/>
          <w:sz w:val="18"/>
          <w:szCs w:val="18"/>
          <w:lang w:val="fr-BE"/>
        </w:rPr>
        <w:t>, à paraître</w:t>
      </w:r>
      <w:r w:rsidR="00066658" w:rsidRPr="0092542D">
        <w:rPr>
          <w:rFonts w:ascii="Century" w:hAnsi="Century"/>
          <w:sz w:val="18"/>
          <w:szCs w:val="18"/>
          <w:lang w:val="fr-FR"/>
        </w:rPr>
        <w:t> </w:t>
      </w:r>
      <w:r w:rsidRPr="0092542D">
        <w:rPr>
          <w:rFonts w:ascii="Century" w:hAnsi="Century"/>
          <w:sz w:val="18"/>
          <w:szCs w:val="18"/>
          <w:lang w:val="fr-FR"/>
        </w:rPr>
        <w:t xml:space="preserve">; les auteurs remercient également Laure </w:t>
      </w:r>
      <w:r w:rsidR="000F7732">
        <w:rPr>
          <w:rFonts w:ascii="Century" w:hAnsi="Century"/>
          <w:sz w:val="18"/>
          <w:szCs w:val="18"/>
          <w:lang w:val="fr-FR"/>
        </w:rPr>
        <w:t>D</w:t>
      </w:r>
      <w:r w:rsidRPr="0092542D">
        <w:rPr>
          <w:rFonts w:ascii="Century" w:hAnsi="Century"/>
          <w:sz w:val="18"/>
          <w:szCs w:val="18"/>
          <w:lang w:val="fr-FR"/>
        </w:rPr>
        <w:t xml:space="preserve">e Man pour sa précieuse aide dans le cadre des recherches préalables à la rédaction du rapport initial. </w:t>
      </w:r>
    </w:p>
  </w:footnote>
  <w:footnote w:id="2">
    <w:p w14:paraId="5F23CDB5" w14:textId="640D5283" w:rsidR="00E468AE" w:rsidRPr="0092542D" w:rsidRDefault="00000000" w:rsidP="00F56AAC">
      <w:pPr>
        <w:pStyle w:val="NormalWeb"/>
        <w:spacing w:before="20" w:beforeAutospacing="0" w:after="20" w:afterAutospacing="0"/>
        <w:ind w:left="567" w:right="567"/>
        <w:jc w:val="both"/>
        <w:rPr>
          <w:rFonts w:ascii="Century" w:hAnsi="Century"/>
          <w:sz w:val="18"/>
          <w:szCs w:val="18"/>
          <w:lang w:val="fr-FR"/>
        </w:rPr>
      </w:pPr>
      <w:r w:rsidRPr="0092542D">
        <w:rPr>
          <w:rStyle w:val="Appelnotedebasdep"/>
          <w:rFonts w:ascii="Century" w:hAnsi="Century"/>
          <w:sz w:val="18"/>
          <w:szCs w:val="18"/>
        </w:rPr>
        <w:footnoteRef/>
      </w:r>
      <w:r w:rsidRPr="0092542D">
        <w:rPr>
          <w:rFonts w:ascii="Century" w:hAnsi="Century"/>
          <w:sz w:val="18"/>
          <w:szCs w:val="18"/>
          <w:lang w:val="fr-FR"/>
        </w:rPr>
        <w:t xml:space="preserve"> Hugues Dumont est professeur émérite invité à</w:t>
      </w:r>
      <w:r w:rsidR="000F7732" w:rsidRPr="000F7732">
        <w:rPr>
          <w:rFonts w:ascii="Century" w:hAnsi="Century"/>
          <w:sz w:val="18"/>
          <w:szCs w:val="18"/>
          <w:lang w:val="fr-FR"/>
        </w:rPr>
        <w:t xml:space="preserve"> </w:t>
      </w:r>
      <w:proofErr w:type="spellStart"/>
      <w:r w:rsidR="000F7732"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S</w:t>
      </w:r>
      <w:r w:rsidR="000F7732" w:rsidRPr="0092542D">
        <w:rPr>
          <w:rFonts w:ascii="Century" w:hAnsi="Century"/>
          <w:sz w:val="18"/>
          <w:szCs w:val="18"/>
          <w:lang w:val="fr-FR"/>
        </w:rPr>
        <w:t>aint-Louis</w:t>
      </w:r>
      <w:r w:rsidR="000F7732">
        <w:rPr>
          <w:rFonts w:ascii="Century" w:hAnsi="Century"/>
          <w:sz w:val="18"/>
          <w:szCs w:val="18"/>
          <w:lang w:val="fr-FR"/>
        </w:rPr>
        <w:t xml:space="preserve"> - Bruxelles</w:t>
      </w:r>
      <w:r w:rsidR="00066658" w:rsidRPr="0092542D">
        <w:rPr>
          <w:rFonts w:ascii="Century" w:hAnsi="Century"/>
          <w:sz w:val="18"/>
          <w:szCs w:val="18"/>
          <w:lang w:val="fr-FR"/>
        </w:rPr>
        <w:t> </w:t>
      </w:r>
      <w:r w:rsidRPr="0092542D">
        <w:rPr>
          <w:rFonts w:ascii="Century" w:hAnsi="Century"/>
          <w:sz w:val="18"/>
          <w:szCs w:val="18"/>
          <w:lang w:val="fr-FR"/>
        </w:rPr>
        <w:t xml:space="preserve">; Jonathan </w:t>
      </w:r>
      <w:proofErr w:type="spellStart"/>
      <w:r w:rsidRPr="0092542D">
        <w:rPr>
          <w:rFonts w:ascii="Century" w:hAnsi="Century"/>
          <w:sz w:val="18"/>
          <w:szCs w:val="18"/>
          <w:lang w:val="fr-FR"/>
        </w:rPr>
        <w:t>Renaux</w:t>
      </w:r>
      <w:proofErr w:type="spellEnd"/>
      <w:r w:rsidRPr="0092542D">
        <w:rPr>
          <w:rFonts w:ascii="Century" w:hAnsi="Century"/>
          <w:sz w:val="18"/>
          <w:szCs w:val="18"/>
          <w:lang w:val="fr-FR"/>
        </w:rPr>
        <w:t xml:space="preserve"> est assistant à</w:t>
      </w:r>
      <w:r w:rsidR="000F7732">
        <w:rPr>
          <w:rFonts w:ascii="Century" w:hAnsi="Century"/>
          <w:sz w:val="18"/>
          <w:szCs w:val="18"/>
          <w:lang w:val="fr-FR"/>
        </w:rPr>
        <w:t xml:space="preserve"> </w:t>
      </w:r>
      <w:proofErr w:type="spellStart"/>
      <w:r w:rsidR="000F7732"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S</w:t>
      </w:r>
      <w:r w:rsidR="000F7732" w:rsidRPr="0092542D">
        <w:rPr>
          <w:rFonts w:ascii="Century" w:hAnsi="Century"/>
          <w:sz w:val="18"/>
          <w:szCs w:val="18"/>
          <w:lang w:val="fr-FR"/>
        </w:rPr>
        <w:t>aint-Louis</w:t>
      </w:r>
      <w:r w:rsidR="000F7732">
        <w:rPr>
          <w:rFonts w:ascii="Century" w:hAnsi="Century"/>
          <w:sz w:val="18"/>
          <w:szCs w:val="18"/>
          <w:lang w:val="fr-FR"/>
        </w:rPr>
        <w:t xml:space="preserve"> - Bruxelles</w:t>
      </w:r>
      <w:r w:rsidRPr="0092542D">
        <w:rPr>
          <w:rFonts w:ascii="Century" w:hAnsi="Century"/>
          <w:sz w:val="18"/>
          <w:szCs w:val="18"/>
          <w:lang w:val="fr-FR"/>
        </w:rPr>
        <w:t xml:space="preserve">. </w:t>
      </w:r>
    </w:p>
  </w:footnote>
  <w:footnote w:id="3">
    <w:p w14:paraId="7B979103" w14:textId="5311F8EB" w:rsidR="00E468AE" w:rsidRPr="0092542D" w:rsidRDefault="00000000" w:rsidP="00E05164">
      <w:pPr>
        <w:pStyle w:val="Notedebasdepage"/>
        <w:spacing w:before="20" w:after="20"/>
        <w:ind w:left="567" w:right="567"/>
        <w:jc w:val="both"/>
        <w:rPr>
          <w:rFonts w:ascii="Century" w:hAnsi="Century" w:cs="Times New Roman"/>
          <w:sz w:val="18"/>
          <w:szCs w:val="18"/>
          <w:lang w:val="fr-FR"/>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Voy. </w:t>
      </w:r>
      <w:r w:rsidRPr="0092542D">
        <w:rPr>
          <w:rFonts w:ascii="Century" w:hAnsi="Century" w:cs="Times New Roman"/>
          <w:sz w:val="18"/>
          <w:szCs w:val="18"/>
          <w:lang w:val="fr-FR"/>
        </w:rPr>
        <w:t xml:space="preserve">Audition du 21 septembre 2022 de MM. Lieven De Winter, professeur à la KULeuven et à l’UCLouvain, et Patrick Dumont, professeur à l’Australian National University (Canberra), M. Stefaan </w:t>
      </w:r>
      <w:proofErr w:type="spellStart"/>
      <w:r w:rsidRPr="0092542D">
        <w:rPr>
          <w:rFonts w:ascii="Century" w:hAnsi="Century" w:cs="Times New Roman"/>
          <w:sz w:val="18"/>
          <w:szCs w:val="18"/>
          <w:lang w:val="fr-FR"/>
        </w:rPr>
        <w:t>Walgrave</w:t>
      </w:r>
      <w:proofErr w:type="spellEnd"/>
      <w:r w:rsidRPr="0092542D">
        <w:rPr>
          <w:rFonts w:ascii="Century" w:hAnsi="Century" w:cs="Times New Roman"/>
          <w:sz w:val="18"/>
          <w:szCs w:val="18"/>
          <w:lang w:val="fr-FR"/>
        </w:rPr>
        <w:t>, professeur à l’</w:t>
      </w:r>
      <w:proofErr w:type="spellStart"/>
      <w:r w:rsidRPr="0092542D">
        <w:rPr>
          <w:rFonts w:ascii="Century" w:hAnsi="Century" w:cs="Times New Roman"/>
          <w:sz w:val="18"/>
          <w:szCs w:val="18"/>
          <w:lang w:val="fr-FR"/>
        </w:rPr>
        <w:t>U</w:t>
      </w:r>
      <w:r w:rsidR="000F7732">
        <w:rPr>
          <w:rFonts w:ascii="Century" w:hAnsi="Century" w:cs="Times New Roman"/>
          <w:sz w:val="18"/>
          <w:szCs w:val="18"/>
          <w:lang w:val="fr-FR"/>
        </w:rPr>
        <w:t>A</w:t>
      </w:r>
      <w:r w:rsidRPr="0092542D">
        <w:rPr>
          <w:rFonts w:ascii="Century" w:hAnsi="Century" w:cs="Times New Roman"/>
          <w:sz w:val="18"/>
          <w:szCs w:val="18"/>
          <w:lang w:val="fr-FR"/>
        </w:rPr>
        <w:t>ntwerpen</w:t>
      </w:r>
      <w:proofErr w:type="spellEnd"/>
      <w:r w:rsidRPr="0092542D">
        <w:rPr>
          <w:rFonts w:ascii="Century" w:hAnsi="Century" w:cs="Times New Roman"/>
          <w:sz w:val="18"/>
          <w:szCs w:val="18"/>
          <w:lang w:val="fr-FR"/>
        </w:rPr>
        <w:t>, M. Maxime Vandenberghe, doctorant U</w:t>
      </w:r>
      <w:r w:rsidR="00066658" w:rsidRPr="0092542D">
        <w:rPr>
          <w:rFonts w:ascii="Century" w:hAnsi="Century" w:cs="Times New Roman"/>
          <w:sz w:val="18"/>
          <w:szCs w:val="18"/>
          <w:lang w:val="fr-FR"/>
        </w:rPr>
        <w:t>g</w:t>
      </w:r>
      <w:r w:rsidRPr="0092542D">
        <w:rPr>
          <w:rFonts w:ascii="Century" w:hAnsi="Century" w:cs="Times New Roman"/>
          <w:sz w:val="18"/>
          <w:szCs w:val="18"/>
          <w:lang w:val="fr-FR"/>
        </w:rPr>
        <w:t xml:space="preserve">ent, </w:t>
      </w:r>
      <w:r w:rsidRPr="000F7732">
        <w:rPr>
          <w:rFonts w:ascii="Century" w:hAnsi="Century" w:cs="Times New Roman"/>
          <w:i/>
          <w:iCs/>
          <w:sz w:val="18"/>
          <w:szCs w:val="18"/>
          <w:lang w:val="fr-FR"/>
        </w:rPr>
        <w:t xml:space="preserve">Doc. </w:t>
      </w:r>
      <w:proofErr w:type="spellStart"/>
      <w:r w:rsidRPr="000F7732">
        <w:rPr>
          <w:rFonts w:ascii="Century" w:hAnsi="Century" w:cs="Times New Roman"/>
          <w:i/>
          <w:iCs/>
          <w:sz w:val="18"/>
          <w:szCs w:val="18"/>
          <w:lang w:val="fr-FR"/>
        </w:rPr>
        <w:t>Parl</w:t>
      </w:r>
      <w:proofErr w:type="spellEnd"/>
      <w:r w:rsidRPr="000F7732">
        <w:rPr>
          <w:rFonts w:ascii="Century" w:hAnsi="Century" w:cs="Times New Roman"/>
          <w:i/>
          <w:iCs/>
          <w:sz w:val="18"/>
          <w:szCs w:val="18"/>
          <w:lang w:val="fr-FR"/>
        </w:rPr>
        <w:t>.</w:t>
      </w:r>
      <w:r w:rsidRPr="0092542D">
        <w:rPr>
          <w:rFonts w:ascii="Century" w:hAnsi="Century" w:cs="Times New Roman"/>
          <w:sz w:val="18"/>
          <w:szCs w:val="18"/>
          <w:lang w:val="fr-FR"/>
        </w:rPr>
        <w:t xml:space="preserve">, </w:t>
      </w:r>
      <w:r w:rsidR="000F7732">
        <w:rPr>
          <w:rFonts w:ascii="Century" w:hAnsi="Century" w:cs="Times New Roman"/>
          <w:sz w:val="18"/>
          <w:szCs w:val="18"/>
          <w:lang w:val="fr-FR"/>
        </w:rPr>
        <w:t xml:space="preserve">Ch., </w:t>
      </w:r>
      <w:r w:rsidRPr="0092542D">
        <w:rPr>
          <w:rFonts w:ascii="Century" w:hAnsi="Century" w:cs="Times New Roman"/>
          <w:sz w:val="18"/>
          <w:szCs w:val="18"/>
          <w:lang w:val="fr-FR"/>
        </w:rPr>
        <w:t>DOC 55 0152/000, à paraître</w:t>
      </w:r>
      <w:r w:rsidR="00066658" w:rsidRPr="0092542D">
        <w:rPr>
          <w:rFonts w:ascii="Century" w:hAnsi="Century" w:cs="Times New Roman"/>
          <w:sz w:val="18"/>
          <w:szCs w:val="18"/>
          <w:lang w:val="fr-FR"/>
        </w:rPr>
        <w:t> </w:t>
      </w:r>
      <w:r w:rsidRPr="0092542D">
        <w:rPr>
          <w:rFonts w:ascii="Century" w:hAnsi="Century" w:cs="Times New Roman"/>
          <w:sz w:val="18"/>
          <w:szCs w:val="18"/>
          <w:lang w:val="fr-FR"/>
        </w:rPr>
        <w:t xml:space="preserve">; Audition du 21 septembre 2022 de M. Jeremy </w:t>
      </w:r>
      <w:proofErr w:type="spellStart"/>
      <w:r w:rsidRPr="0092542D">
        <w:rPr>
          <w:rFonts w:ascii="Century" w:hAnsi="Century" w:cs="Times New Roman"/>
          <w:sz w:val="18"/>
          <w:szCs w:val="18"/>
          <w:lang w:val="fr-FR"/>
        </w:rPr>
        <w:t>Dodeigne</w:t>
      </w:r>
      <w:proofErr w:type="spellEnd"/>
      <w:r w:rsidRPr="0092542D">
        <w:rPr>
          <w:rFonts w:ascii="Century" w:hAnsi="Century" w:cs="Times New Roman"/>
          <w:sz w:val="18"/>
          <w:szCs w:val="18"/>
          <w:lang w:val="fr-FR"/>
        </w:rPr>
        <w:t>, professeur à l’</w:t>
      </w:r>
      <w:proofErr w:type="spellStart"/>
      <w:r w:rsidRPr="0092542D">
        <w:rPr>
          <w:rFonts w:ascii="Century" w:hAnsi="Century" w:cs="Times New Roman"/>
          <w:sz w:val="18"/>
          <w:szCs w:val="18"/>
          <w:lang w:val="fr-FR"/>
        </w:rPr>
        <w:t>U</w:t>
      </w:r>
      <w:r w:rsidR="000F7732">
        <w:rPr>
          <w:rFonts w:ascii="Century" w:hAnsi="Century" w:cs="Times New Roman"/>
          <w:sz w:val="18"/>
          <w:szCs w:val="18"/>
          <w:lang w:val="fr-FR"/>
        </w:rPr>
        <w:t>N</w:t>
      </w:r>
      <w:r w:rsidRPr="0092542D">
        <w:rPr>
          <w:rFonts w:ascii="Century" w:hAnsi="Century" w:cs="Times New Roman"/>
          <w:sz w:val="18"/>
          <w:szCs w:val="18"/>
          <w:lang w:val="fr-FR"/>
        </w:rPr>
        <w:t>amur</w:t>
      </w:r>
      <w:proofErr w:type="spellEnd"/>
      <w:r w:rsidRPr="0092542D">
        <w:rPr>
          <w:rFonts w:ascii="Century" w:hAnsi="Century" w:cs="Times New Roman"/>
          <w:sz w:val="18"/>
          <w:szCs w:val="18"/>
          <w:lang w:val="fr-FR"/>
        </w:rPr>
        <w:t xml:space="preserve">, de M. Min Reuchamps, professeur à l’UCLouvain, de M. Dave Sinardet, professeur à la VUB et de M. Jean Faniel, directeur général du CRISP, </w:t>
      </w:r>
      <w:r w:rsidRPr="0092542D">
        <w:rPr>
          <w:rFonts w:ascii="Century" w:hAnsi="Century" w:cs="Times New Roman"/>
          <w:i/>
          <w:iCs/>
          <w:sz w:val="18"/>
          <w:szCs w:val="18"/>
          <w:lang w:val="fr-FR"/>
        </w:rPr>
        <w:t xml:space="preserve">Doc. </w:t>
      </w:r>
      <w:proofErr w:type="spellStart"/>
      <w:r w:rsidRPr="0092542D">
        <w:rPr>
          <w:rFonts w:ascii="Century" w:hAnsi="Century" w:cs="Times New Roman"/>
          <w:i/>
          <w:iCs/>
          <w:sz w:val="18"/>
          <w:szCs w:val="18"/>
          <w:lang w:val="fr-FR"/>
        </w:rPr>
        <w:t>Parl</w:t>
      </w:r>
      <w:proofErr w:type="spellEnd"/>
      <w:r w:rsidRPr="0092542D">
        <w:rPr>
          <w:rFonts w:ascii="Century" w:hAnsi="Century" w:cs="Times New Roman"/>
          <w:sz w:val="18"/>
          <w:szCs w:val="18"/>
          <w:lang w:val="fr-FR"/>
        </w:rPr>
        <w:t xml:space="preserve">., </w:t>
      </w:r>
      <w:r w:rsidR="000F7732">
        <w:rPr>
          <w:rFonts w:ascii="Century" w:hAnsi="Century" w:cs="Times New Roman"/>
          <w:sz w:val="18"/>
          <w:szCs w:val="18"/>
          <w:lang w:val="fr-FR"/>
        </w:rPr>
        <w:t xml:space="preserve">Ch., </w:t>
      </w:r>
      <w:r w:rsidRPr="0092542D">
        <w:rPr>
          <w:rFonts w:ascii="Century" w:hAnsi="Century" w:cs="Times New Roman"/>
          <w:sz w:val="18"/>
          <w:szCs w:val="18"/>
          <w:lang w:val="fr-FR"/>
        </w:rPr>
        <w:t xml:space="preserve">DOC 55 0152/000, à paraître. </w:t>
      </w:r>
    </w:p>
  </w:footnote>
  <w:footnote w:id="4">
    <w:p w14:paraId="00A30E63" w14:textId="5CD1339A" w:rsidR="00E468AE" w:rsidRPr="0092542D" w:rsidRDefault="00000000" w:rsidP="00E05164">
      <w:pPr>
        <w:pStyle w:val="Notedebasdepage"/>
        <w:spacing w:before="20" w:after="20"/>
        <w:ind w:left="567" w:right="567"/>
        <w:jc w:val="both"/>
        <w:rPr>
          <w:rFonts w:ascii="Century" w:hAnsi="Century" w:cs="Times New Roman"/>
          <w:sz w:val="18"/>
          <w:szCs w:val="18"/>
          <w:lang w:val="fr-FR"/>
        </w:rPr>
      </w:pPr>
      <w:r w:rsidRPr="0014243F">
        <w:rPr>
          <w:rStyle w:val="Appelnotedebasdep"/>
          <w:rFonts w:ascii="Century" w:hAnsi="Century"/>
          <w:sz w:val="18"/>
          <w:szCs w:val="18"/>
        </w:rPr>
        <w:footnoteRef/>
      </w:r>
      <w:r w:rsidRPr="0014243F">
        <w:rPr>
          <w:rFonts w:ascii="Century" w:hAnsi="Century"/>
          <w:sz w:val="18"/>
          <w:szCs w:val="18"/>
          <w:lang w:val="fr-BE"/>
        </w:rPr>
        <w:t xml:space="preserve"> Voy. </w:t>
      </w:r>
      <w:r w:rsidRPr="0092542D">
        <w:rPr>
          <w:rFonts w:ascii="Century" w:hAnsi="Century" w:cs="Times New Roman"/>
          <w:sz w:val="18"/>
          <w:szCs w:val="18"/>
          <w:lang w:val="fr-FR"/>
        </w:rPr>
        <w:t xml:space="preserve">Audition du 7 </w:t>
      </w:r>
      <w:r w:rsidR="004103D9" w:rsidRPr="0092542D">
        <w:rPr>
          <w:rFonts w:ascii="Century" w:hAnsi="Century" w:cs="Times New Roman"/>
          <w:sz w:val="18"/>
          <w:szCs w:val="18"/>
          <w:lang w:val="fr-FR"/>
        </w:rPr>
        <w:t>d</w:t>
      </w:r>
      <w:r w:rsidRPr="0092542D">
        <w:rPr>
          <w:rFonts w:ascii="Century" w:hAnsi="Century" w:cs="Times New Roman"/>
          <w:sz w:val="18"/>
          <w:szCs w:val="18"/>
          <w:lang w:val="fr-FR"/>
        </w:rPr>
        <w:t>écembre 2022 de M. Jan Velaers, Professeur</w:t>
      </w:r>
      <w:r w:rsidRPr="0092542D">
        <w:rPr>
          <w:rFonts w:ascii="Century" w:hAnsi="Century" w:cs="Times New Roman"/>
          <w:sz w:val="18"/>
          <w:szCs w:val="18"/>
          <w:lang w:val="fr-BE"/>
        </w:rPr>
        <w:t xml:space="preserve"> à l’</w:t>
      </w:r>
      <w:proofErr w:type="spellStart"/>
      <w:r w:rsidRPr="0092542D">
        <w:rPr>
          <w:rFonts w:ascii="Century" w:hAnsi="Century" w:cs="Times New Roman"/>
          <w:sz w:val="18"/>
          <w:szCs w:val="18"/>
          <w:lang w:val="fr-BE"/>
        </w:rPr>
        <w:t>U</w:t>
      </w:r>
      <w:r w:rsidR="000F7732">
        <w:rPr>
          <w:rFonts w:ascii="Century" w:hAnsi="Century" w:cs="Times New Roman"/>
          <w:sz w:val="18"/>
          <w:szCs w:val="18"/>
          <w:lang w:val="fr-BE"/>
        </w:rPr>
        <w:t>A</w:t>
      </w:r>
      <w:r w:rsidRPr="0092542D">
        <w:rPr>
          <w:rFonts w:ascii="Century" w:hAnsi="Century" w:cs="Times New Roman"/>
          <w:sz w:val="18"/>
          <w:szCs w:val="18"/>
          <w:lang w:val="fr-BE"/>
        </w:rPr>
        <w:t>ntwerpen</w:t>
      </w:r>
      <w:proofErr w:type="spellEnd"/>
      <w:r w:rsidR="00066658" w:rsidRPr="0092542D">
        <w:rPr>
          <w:rFonts w:ascii="Century" w:hAnsi="Century" w:cs="Times New Roman"/>
          <w:sz w:val="18"/>
          <w:szCs w:val="18"/>
          <w:lang w:val="fr-BE"/>
        </w:rPr>
        <w:t> </w:t>
      </w:r>
      <w:r w:rsidRPr="0092542D">
        <w:rPr>
          <w:rFonts w:ascii="Century" w:hAnsi="Century" w:cs="Times New Roman"/>
          <w:sz w:val="18"/>
          <w:szCs w:val="18"/>
          <w:lang w:val="fr-BE"/>
        </w:rPr>
        <w:t xml:space="preserve">; M. Marc Uyttendaele, </w:t>
      </w:r>
      <w:r w:rsidRPr="0092542D">
        <w:rPr>
          <w:rFonts w:ascii="Century" w:hAnsi="Century" w:cs="Times New Roman"/>
          <w:sz w:val="18"/>
          <w:szCs w:val="18"/>
          <w:lang w:val="fr-FR"/>
        </w:rPr>
        <w:t>Professeur à l’ULB</w:t>
      </w:r>
      <w:r w:rsidR="00066658" w:rsidRPr="0092542D">
        <w:rPr>
          <w:rFonts w:ascii="Century" w:hAnsi="Century" w:cs="Times New Roman"/>
          <w:sz w:val="18"/>
          <w:szCs w:val="18"/>
          <w:lang w:val="fr-FR"/>
        </w:rPr>
        <w:t> </w:t>
      </w:r>
      <w:r w:rsidRPr="0092542D">
        <w:rPr>
          <w:rFonts w:ascii="Century" w:hAnsi="Century" w:cs="Times New Roman"/>
          <w:sz w:val="18"/>
          <w:szCs w:val="18"/>
          <w:lang w:val="fr-FR"/>
        </w:rPr>
        <w:t xml:space="preserve">; M. Toon </w:t>
      </w:r>
      <w:proofErr w:type="spellStart"/>
      <w:r w:rsidRPr="0092542D">
        <w:rPr>
          <w:rFonts w:ascii="Century" w:hAnsi="Century" w:cs="Times New Roman"/>
          <w:sz w:val="18"/>
          <w:szCs w:val="18"/>
          <w:lang w:val="fr-FR"/>
        </w:rPr>
        <w:t>Moonen</w:t>
      </w:r>
      <w:proofErr w:type="spellEnd"/>
      <w:r w:rsidRPr="0092542D">
        <w:rPr>
          <w:rFonts w:ascii="Century" w:hAnsi="Century" w:cs="Times New Roman"/>
          <w:sz w:val="18"/>
          <w:szCs w:val="18"/>
          <w:lang w:val="fr-FR"/>
        </w:rPr>
        <w:t>, Professeur à L’U</w:t>
      </w:r>
      <w:r w:rsidR="000F7732">
        <w:rPr>
          <w:rFonts w:ascii="Century" w:hAnsi="Century" w:cs="Times New Roman"/>
          <w:sz w:val="18"/>
          <w:szCs w:val="18"/>
          <w:lang w:val="fr-FR"/>
        </w:rPr>
        <w:t>G</w:t>
      </w:r>
      <w:r w:rsidRPr="0092542D">
        <w:rPr>
          <w:rFonts w:ascii="Century" w:hAnsi="Century" w:cs="Times New Roman"/>
          <w:sz w:val="18"/>
          <w:szCs w:val="18"/>
          <w:lang w:val="fr-FR"/>
        </w:rPr>
        <w:t xml:space="preserve">ent, </w:t>
      </w:r>
      <w:r w:rsidRPr="0092542D">
        <w:rPr>
          <w:rFonts w:ascii="Century" w:hAnsi="Century" w:cs="Times New Roman"/>
          <w:i/>
          <w:iCs/>
          <w:sz w:val="18"/>
          <w:szCs w:val="18"/>
          <w:lang w:val="fr-FR"/>
        </w:rPr>
        <w:t xml:space="preserve">Doc. </w:t>
      </w:r>
      <w:proofErr w:type="spellStart"/>
      <w:r w:rsidRPr="0092542D">
        <w:rPr>
          <w:rFonts w:ascii="Century" w:hAnsi="Century" w:cs="Times New Roman"/>
          <w:i/>
          <w:iCs/>
          <w:sz w:val="18"/>
          <w:szCs w:val="18"/>
          <w:lang w:val="fr-FR"/>
        </w:rPr>
        <w:t>Parl</w:t>
      </w:r>
      <w:proofErr w:type="spellEnd"/>
      <w:r w:rsidRPr="0092542D">
        <w:rPr>
          <w:rFonts w:ascii="Century" w:hAnsi="Century" w:cs="Times New Roman"/>
          <w:sz w:val="18"/>
          <w:szCs w:val="18"/>
          <w:lang w:val="fr-FR"/>
        </w:rPr>
        <w:t xml:space="preserve">., </w:t>
      </w:r>
      <w:r w:rsidR="000F7732">
        <w:rPr>
          <w:rFonts w:ascii="Century" w:hAnsi="Century" w:cs="Times New Roman"/>
          <w:sz w:val="18"/>
          <w:szCs w:val="18"/>
          <w:lang w:val="fr-FR"/>
        </w:rPr>
        <w:t xml:space="preserve">Ch., </w:t>
      </w:r>
      <w:r w:rsidRPr="0092542D">
        <w:rPr>
          <w:rFonts w:ascii="Century" w:hAnsi="Century" w:cs="Times New Roman"/>
          <w:sz w:val="18"/>
          <w:szCs w:val="18"/>
          <w:lang w:val="fr-FR"/>
        </w:rPr>
        <w:t>DOC 55 0152/000, à paraître</w:t>
      </w:r>
      <w:r w:rsidR="00066658" w:rsidRPr="0092542D">
        <w:rPr>
          <w:rFonts w:ascii="Century" w:hAnsi="Century" w:cs="Times New Roman"/>
          <w:sz w:val="18"/>
          <w:szCs w:val="18"/>
          <w:lang w:val="fr-FR"/>
        </w:rPr>
        <w:t> </w:t>
      </w:r>
      <w:r w:rsidRPr="0092542D">
        <w:rPr>
          <w:rFonts w:ascii="Century" w:hAnsi="Century" w:cs="Times New Roman"/>
          <w:sz w:val="18"/>
          <w:szCs w:val="18"/>
          <w:lang w:val="fr-FR"/>
        </w:rPr>
        <w:t xml:space="preserve">; </w:t>
      </w:r>
      <w:r w:rsidRPr="0092542D">
        <w:rPr>
          <w:rFonts w:ascii="Century" w:hAnsi="Century"/>
          <w:sz w:val="18"/>
          <w:szCs w:val="18"/>
          <w:lang w:val="fr-FR"/>
        </w:rPr>
        <w:t xml:space="preserve">audition du 7 décembre 2022 de Mme Stéphanie </w:t>
      </w:r>
      <w:proofErr w:type="spellStart"/>
      <w:r w:rsidRPr="0092542D">
        <w:rPr>
          <w:rFonts w:ascii="Century" w:hAnsi="Century"/>
          <w:sz w:val="18"/>
          <w:szCs w:val="18"/>
          <w:lang w:val="fr-FR"/>
        </w:rPr>
        <w:t>Wattier</w:t>
      </w:r>
      <w:proofErr w:type="spellEnd"/>
      <w:r w:rsidRPr="0092542D">
        <w:rPr>
          <w:rFonts w:ascii="Century" w:hAnsi="Century"/>
          <w:sz w:val="18"/>
          <w:szCs w:val="18"/>
          <w:lang w:val="fr-FR"/>
        </w:rPr>
        <w:t>, professeure à l’</w:t>
      </w:r>
      <w:proofErr w:type="spellStart"/>
      <w:r w:rsidRPr="0092542D">
        <w:rPr>
          <w:rFonts w:ascii="Century" w:hAnsi="Century"/>
          <w:sz w:val="18"/>
          <w:szCs w:val="18"/>
          <w:lang w:val="fr-FR"/>
        </w:rPr>
        <w:t>U</w:t>
      </w:r>
      <w:r w:rsidR="000F7732">
        <w:rPr>
          <w:rFonts w:ascii="Century" w:hAnsi="Century"/>
          <w:sz w:val="18"/>
          <w:szCs w:val="18"/>
          <w:lang w:val="fr-FR"/>
        </w:rPr>
        <w:t>N</w:t>
      </w:r>
      <w:r w:rsidRPr="0092542D">
        <w:rPr>
          <w:rFonts w:ascii="Century" w:hAnsi="Century"/>
          <w:sz w:val="18"/>
          <w:szCs w:val="18"/>
          <w:lang w:val="fr-FR"/>
        </w:rPr>
        <w:t>amur</w:t>
      </w:r>
      <w:proofErr w:type="spellEnd"/>
      <w:r w:rsidR="00066658" w:rsidRPr="0092542D">
        <w:rPr>
          <w:rFonts w:ascii="Century" w:hAnsi="Century"/>
          <w:sz w:val="18"/>
          <w:szCs w:val="18"/>
          <w:lang w:val="fr-FR"/>
        </w:rPr>
        <w:t> </w:t>
      </w:r>
      <w:r w:rsidRPr="0092542D">
        <w:rPr>
          <w:rFonts w:ascii="Century" w:hAnsi="Century"/>
          <w:sz w:val="18"/>
          <w:szCs w:val="18"/>
          <w:lang w:val="fr-FR"/>
        </w:rPr>
        <w:t xml:space="preserve">; M. Marc </w:t>
      </w:r>
      <w:proofErr w:type="spellStart"/>
      <w:r w:rsidRPr="0092542D">
        <w:rPr>
          <w:rFonts w:ascii="Century" w:hAnsi="Century"/>
          <w:sz w:val="18"/>
          <w:szCs w:val="18"/>
          <w:lang w:val="fr-FR"/>
        </w:rPr>
        <w:t>Verdussen</w:t>
      </w:r>
      <w:proofErr w:type="spellEnd"/>
      <w:r w:rsidRPr="0092542D">
        <w:rPr>
          <w:rFonts w:ascii="Century" w:hAnsi="Century"/>
          <w:sz w:val="18"/>
          <w:szCs w:val="18"/>
          <w:lang w:val="fr-FR"/>
        </w:rPr>
        <w:t>, professeur à l’</w:t>
      </w:r>
      <w:proofErr w:type="spellStart"/>
      <w:r w:rsidRPr="0092542D">
        <w:rPr>
          <w:rFonts w:ascii="Century" w:hAnsi="Century"/>
          <w:sz w:val="18"/>
          <w:szCs w:val="18"/>
          <w:lang w:val="fr-FR"/>
        </w:rPr>
        <w:t>UCL</w:t>
      </w:r>
      <w:r w:rsidR="000F7732">
        <w:rPr>
          <w:rFonts w:ascii="Century" w:hAnsi="Century"/>
          <w:sz w:val="18"/>
          <w:szCs w:val="18"/>
          <w:lang w:val="fr-FR"/>
        </w:rPr>
        <w:t>ouvain</w:t>
      </w:r>
      <w:proofErr w:type="spellEnd"/>
      <w:r w:rsidR="00066658" w:rsidRPr="0092542D">
        <w:rPr>
          <w:rFonts w:ascii="Century" w:hAnsi="Century"/>
          <w:sz w:val="18"/>
          <w:szCs w:val="18"/>
          <w:lang w:val="fr-FR"/>
        </w:rPr>
        <w:t> </w:t>
      </w:r>
      <w:r w:rsidRPr="0092542D">
        <w:rPr>
          <w:rFonts w:ascii="Century" w:hAnsi="Century"/>
          <w:sz w:val="18"/>
          <w:szCs w:val="18"/>
          <w:lang w:val="fr-FR"/>
        </w:rPr>
        <w:t xml:space="preserve">; M. Hugues Dumont, professeur à </w:t>
      </w:r>
      <w:proofErr w:type="spellStart"/>
      <w:r w:rsidR="000F7732"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S</w:t>
      </w:r>
      <w:r w:rsidR="000F7732" w:rsidRPr="0092542D">
        <w:rPr>
          <w:rFonts w:ascii="Century" w:hAnsi="Century"/>
          <w:sz w:val="18"/>
          <w:szCs w:val="18"/>
          <w:lang w:val="fr-FR"/>
        </w:rPr>
        <w:t>aint-Louis</w:t>
      </w:r>
      <w:r w:rsidR="000F7732">
        <w:rPr>
          <w:rFonts w:ascii="Century" w:hAnsi="Century"/>
          <w:sz w:val="18"/>
          <w:szCs w:val="18"/>
          <w:lang w:val="fr-FR"/>
        </w:rPr>
        <w:t xml:space="preserve"> - Bruxelles</w:t>
      </w:r>
      <w:r w:rsidR="000F7732" w:rsidRPr="0092542D">
        <w:rPr>
          <w:rFonts w:ascii="Century" w:hAnsi="Century"/>
          <w:sz w:val="18"/>
          <w:szCs w:val="18"/>
          <w:lang w:val="fr-FR"/>
        </w:rPr>
        <w:t xml:space="preserve"> </w:t>
      </w:r>
      <w:r w:rsidRPr="0092542D">
        <w:rPr>
          <w:rFonts w:ascii="Century" w:hAnsi="Century"/>
          <w:sz w:val="18"/>
          <w:szCs w:val="18"/>
          <w:lang w:val="fr-FR"/>
        </w:rPr>
        <w:t xml:space="preserve">et M. Jonathan </w:t>
      </w:r>
      <w:proofErr w:type="spellStart"/>
      <w:r w:rsidRPr="0092542D">
        <w:rPr>
          <w:rFonts w:ascii="Century" w:hAnsi="Century"/>
          <w:sz w:val="18"/>
          <w:szCs w:val="18"/>
          <w:lang w:val="fr-FR"/>
        </w:rPr>
        <w:t>Renaux</w:t>
      </w:r>
      <w:proofErr w:type="spellEnd"/>
      <w:r w:rsidRPr="0092542D">
        <w:rPr>
          <w:rFonts w:ascii="Century" w:hAnsi="Century"/>
          <w:sz w:val="18"/>
          <w:szCs w:val="18"/>
          <w:lang w:val="fr-FR"/>
        </w:rPr>
        <w:t>, assistant à</w:t>
      </w:r>
      <w:r w:rsidR="000F7732" w:rsidRPr="000F7732">
        <w:rPr>
          <w:rFonts w:ascii="Century" w:hAnsi="Century"/>
          <w:sz w:val="18"/>
          <w:szCs w:val="18"/>
          <w:lang w:val="fr-FR"/>
        </w:rPr>
        <w:t xml:space="preserve"> </w:t>
      </w:r>
      <w:r w:rsidR="000F7732">
        <w:rPr>
          <w:rFonts w:ascii="Century" w:hAnsi="Century"/>
          <w:sz w:val="18"/>
          <w:szCs w:val="18"/>
          <w:lang w:val="fr-FR"/>
        </w:rPr>
        <w:t>l’</w:t>
      </w:r>
      <w:proofErr w:type="spellStart"/>
      <w:r w:rsidR="000F7732" w:rsidRPr="0092542D">
        <w:rPr>
          <w:rFonts w:ascii="Century" w:hAnsi="Century"/>
          <w:sz w:val="18"/>
          <w:szCs w:val="18"/>
          <w:lang w:val="fr-FR"/>
        </w:rPr>
        <w:t>U</w:t>
      </w:r>
      <w:r w:rsidR="000F7732">
        <w:rPr>
          <w:rFonts w:ascii="Century" w:hAnsi="Century"/>
          <w:sz w:val="18"/>
          <w:szCs w:val="18"/>
          <w:lang w:val="fr-FR"/>
        </w:rPr>
        <w:t>CLouvain</w:t>
      </w:r>
      <w:proofErr w:type="spellEnd"/>
      <w:r w:rsidR="000F7732">
        <w:rPr>
          <w:rFonts w:ascii="Century" w:hAnsi="Century"/>
          <w:sz w:val="18"/>
          <w:szCs w:val="18"/>
          <w:lang w:val="fr-FR"/>
        </w:rPr>
        <w:t xml:space="preserve"> - S</w:t>
      </w:r>
      <w:r w:rsidR="000F7732" w:rsidRPr="0092542D">
        <w:rPr>
          <w:rFonts w:ascii="Century" w:hAnsi="Century"/>
          <w:sz w:val="18"/>
          <w:szCs w:val="18"/>
          <w:lang w:val="fr-FR"/>
        </w:rPr>
        <w:t>aint-Louis</w:t>
      </w:r>
      <w:r w:rsidR="000F7732">
        <w:rPr>
          <w:rFonts w:ascii="Century" w:hAnsi="Century"/>
          <w:sz w:val="18"/>
          <w:szCs w:val="18"/>
          <w:lang w:val="fr-FR"/>
        </w:rPr>
        <w:t xml:space="preserve"> - Bruxelles</w:t>
      </w:r>
      <w:r w:rsidRPr="0092542D">
        <w:rPr>
          <w:rFonts w:ascii="Century" w:hAnsi="Century"/>
          <w:sz w:val="18"/>
          <w:szCs w:val="18"/>
          <w:lang w:val="fr-FR"/>
        </w:rPr>
        <w:t xml:space="preserve">, </w:t>
      </w:r>
      <w:r w:rsidRPr="0092542D">
        <w:rPr>
          <w:rFonts w:ascii="Century" w:hAnsi="Century"/>
          <w:i/>
          <w:iCs/>
          <w:sz w:val="18"/>
          <w:szCs w:val="18"/>
          <w:lang w:val="fr-FR"/>
        </w:rPr>
        <w:t xml:space="preserve">Doc. </w:t>
      </w:r>
      <w:proofErr w:type="spellStart"/>
      <w:r w:rsidRPr="0092542D">
        <w:rPr>
          <w:rFonts w:ascii="Century" w:hAnsi="Century"/>
          <w:i/>
          <w:iCs/>
          <w:sz w:val="18"/>
          <w:szCs w:val="18"/>
          <w:lang w:val="fr-FR"/>
        </w:rPr>
        <w:t>Parl</w:t>
      </w:r>
      <w:proofErr w:type="spellEnd"/>
      <w:r w:rsidRPr="0092542D">
        <w:rPr>
          <w:rFonts w:ascii="Century" w:hAnsi="Century"/>
          <w:sz w:val="18"/>
          <w:szCs w:val="18"/>
          <w:lang w:val="fr-FR"/>
        </w:rPr>
        <w:t xml:space="preserve">., </w:t>
      </w:r>
      <w:r w:rsidR="000F7732">
        <w:rPr>
          <w:rFonts w:ascii="Century" w:hAnsi="Century"/>
          <w:sz w:val="18"/>
          <w:szCs w:val="18"/>
          <w:lang w:val="fr-FR"/>
        </w:rPr>
        <w:t xml:space="preserve">Ch., </w:t>
      </w:r>
      <w:r w:rsidRPr="0092542D">
        <w:rPr>
          <w:rFonts w:ascii="Century" w:hAnsi="Century" w:cs="Times New Roman"/>
          <w:sz w:val="18"/>
          <w:szCs w:val="18"/>
          <w:lang w:val="fr-FR"/>
        </w:rPr>
        <w:t>DOC 55 0152/000</w:t>
      </w:r>
      <w:r w:rsidRPr="0092542D">
        <w:rPr>
          <w:rFonts w:ascii="Century" w:hAnsi="Century" w:cs="HelveticaLTStd-Bold"/>
          <w:sz w:val="18"/>
          <w:szCs w:val="18"/>
          <w:lang w:val="fr-BE"/>
        </w:rPr>
        <w:t>, à paraître</w:t>
      </w:r>
      <w:r w:rsidR="00066658" w:rsidRPr="0092542D">
        <w:rPr>
          <w:rFonts w:ascii="Century" w:hAnsi="Century" w:cs="HelveticaLTStd-Bold"/>
          <w:sz w:val="18"/>
          <w:szCs w:val="18"/>
          <w:lang w:val="fr-BE"/>
        </w:rPr>
        <w:t>.</w:t>
      </w:r>
      <w:r w:rsidRPr="0092542D">
        <w:rPr>
          <w:rFonts w:ascii="Century" w:hAnsi="Century" w:cs="Times New Roman"/>
          <w:sz w:val="18"/>
          <w:szCs w:val="18"/>
          <w:lang w:val="fr-FR"/>
        </w:rPr>
        <w:t> </w:t>
      </w:r>
    </w:p>
  </w:footnote>
  <w:footnote w:id="5">
    <w:p w14:paraId="29C030A0" w14:textId="7F1C340D" w:rsidR="0094274C" w:rsidRPr="0014243F" w:rsidRDefault="00000000" w:rsidP="0014243F">
      <w:pPr>
        <w:pStyle w:val="Notedebasdepage"/>
        <w:spacing w:before="20" w:after="20"/>
        <w:ind w:left="567" w:right="567"/>
        <w:jc w:val="both"/>
        <w:rPr>
          <w:rFonts w:ascii="Century" w:hAnsi="Century"/>
          <w:sz w:val="18"/>
          <w:szCs w:val="18"/>
          <w:lang w:val="fr-BE"/>
        </w:rPr>
      </w:pPr>
      <w:r w:rsidRPr="0014243F">
        <w:rPr>
          <w:rStyle w:val="Appelnotedebasdep"/>
          <w:rFonts w:ascii="Century" w:hAnsi="Century"/>
          <w:sz w:val="18"/>
          <w:szCs w:val="18"/>
        </w:rPr>
        <w:footnoteRef/>
      </w:r>
      <w:r w:rsidRPr="0014243F">
        <w:rPr>
          <w:rFonts w:ascii="Century" w:hAnsi="Century"/>
          <w:sz w:val="18"/>
          <w:szCs w:val="18"/>
          <w:lang w:val="fr-BE"/>
        </w:rPr>
        <w:t xml:space="preserve"> </w:t>
      </w:r>
      <w:r w:rsidR="001E431B" w:rsidRPr="0014243F">
        <w:rPr>
          <w:rFonts w:ascii="Century" w:hAnsi="Century"/>
          <w:sz w:val="18"/>
          <w:szCs w:val="18"/>
          <w:lang w:val="fr-FR"/>
        </w:rPr>
        <w:t xml:space="preserve">Certaines particularités </w:t>
      </w:r>
      <w:r w:rsidR="001E431B" w:rsidRPr="0092542D">
        <w:rPr>
          <w:rFonts w:ascii="Century" w:hAnsi="Century"/>
          <w:sz w:val="18"/>
          <w:szCs w:val="18"/>
          <w:lang w:val="fr-FR"/>
        </w:rPr>
        <w:t xml:space="preserve">– pertinentes dans le cadre de la présente étude – </w:t>
      </w:r>
      <w:r w:rsidR="001E431B" w:rsidRPr="0014243F">
        <w:rPr>
          <w:rFonts w:ascii="Century" w:hAnsi="Century"/>
          <w:sz w:val="18"/>
          <w:szCs w:val="18"/>
          <w:lang w:val="fr-FR"/>
        </w:rPr>
        <w:t>de l’Allemagne, l’Australie, le Luxembourg et la Suisse sont également brièvement développées.</w:t>
      </w:r>
      <w:r w:rsidR="001E431B" w:rsidRPr="0014243F">
        <w:rPr>
          <w:rFonts w:ascii="Century" w:hAnsi="Century"/>
          <w:sz w:val="18"/>
          <w:szCs w:val="18"/>
          <w:lang w:val="fr-BE"/>
        </w:rPr>
        <w:t xml:space="preserve"> </w:t>
      </w:r>
    </w:p>
  </w:footnote>
  <w:footnote w:id="6">
    <w:p w14:paraId="0A6BADD5" w14:textId="011C4C93" w:rsidR="00E468AE" w:rsidRPr="000F7732" w:rsidRDefault="00000000" w:rsidP="00E05164">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w:t>
      </w:r>
      <w:proofErr w:type="spellStart"/>
      <w:r w:rsidR="000F7732">
        <w:rPr>
          <w:rFonts w:ascii="Century" w:hAnsi="Century"/>
          <w:sz w:val="18"/>
          <w:szCs w:val="18"/>
          <w:lang w:val="fr-BE"/>
        </w:rPr>
        <w:t>Voy</w:t>
      </w:r>
      <w:proofErr w:type="spellEnd"/>
      <w:r w:rsidR="000F7732">
        <w:rPr>
          <w:rFonts w:ascii="Century" w:hAnsi="Century"/>
          <w:sz w:val="18"/>
          <w:szCs w:val="18"/>
          <w:lang w:val="fr-BE"/>
        </w:rPr>
        <w:t xml:space="preserve">. </w:t>
      </w:r>
      <w:r w:rsidR="000F7732" w:rsidRPr="000F7732">
        <w:rPr>
          <w:rFonts w:ascii="Century" w:hAnsi="Century"/>
          <w:i/>
          <w:iCs/>
          <w:sz w:val="18"/>
          <w:szCs w:val="18"/>
          <w:lang w:val="fr-BE"/>
        </w:rPr>
        <w:t>supra</w:t>
      </w:r>
      <w:r w:rsidR="000F7732">
        <w:rPr>
          <w:rFonts w:ascii="Century" w:hAnsi="Century"/>
          <w:sz w:val="18"/>
          <w:szCs w:val="18"/>
          <w:lang w:val="fr-BE"/>
        </w:rPr>
        <w:t xml:space="preserve">, note 3. </w:t>
      </w:r>
    </w:p>
  </w:footnote>
  <w:footnote w:id="7">
    <w:p w14:paraId="5829A01B" w14:textId="7CBD6068" w:rsidR="00E468AE" w:rsidRPr="0092542D" w:rsidRDefault="00000000" w:rsidP="00F56AAC">
      <w:pPr>
        <w:pStyle w:val="Notedebasdepage"/>
        <w:spacing w:before="20" w:after="20"/>
        <w:ind w:left="567" w:right="567"/>
        <w:jc w:val="both"/>
        <w:rPr>
          <w:rFonts w:ascii="Century" w:hAnsi="Century"/>
          <w:sz w:val="18"/>
          <w:szCs w:val="18"/>
          <w:lang w:val="fr-FR"/>
        </w:rPr>
      </w:pPr>
      <w:r w:rsidRPr="0092542D">
        <w:rPr>
          <w:rStyle w:val="Appelnotedebasdep"/>
          <w:rFonts w:ascii="Century" w:hAnsi="Century"/>
          <w:sz w:val="18"/>
          <w:szCs w:val="18"/>
        </w:rPr>
        <w:footnoteRef/>
      </w:r>
      <w:r w:rsidRPr="0092542D">
        <w:rPr>
          <w:rFonts w:ascii="Century" w:hAnsi="Century"/>
          <w:sz w:val="18"/>
          <w:szCs w:val="18"/>
          <w:lang w:val="fr-FR"/>
        </w:rPr>
        <w:t xml:space="preserve"> À cet égard, l’intéressante étude de H.</w:t>
      </w:r>
      <w:r w:rsidRPr="0092542D">
        <w:rPr>
          <w:rFonts w:ascii="Century" w:eastAsia="Times New Roman" w:hAnsi="Century"/>
          <w:sz w:val="18"/>
          <w:szCs w:val="18"/>
          <w:lang w:val="fr-FR"/>
        </w:rPr>
        <w:t xml:space="preserve"> </w:t>
      </w:r>
      <w:r w:rsidR="00326D88" w:rsidRPr="0014243F">
        <w:rPr>
          <w:rFonts w:ascii="Century" w:hAnsi="Century"/>
          <w:smallCaps/>
          <w:sz w:val="18"/>
          <w:szCs w:val="18"/>
          <w:lang w:val="fr-BE"/>
        </w:rPr>
        <w:t>Bäck</w:t>
      </w:r>
      <w:r w:rsidRPr="0092542D">
        <w:rPr>
          <w:rFonts w:ascii="Century" w:hAnsi="Century"/>
          <w:sz w:val="18"/>
          <w:szCs w:val="18"/>
          <w:lang w:val="fr-FR"/>
        </w:rPr>
        <w:t xml:space="preserve">, « Intra-Party Politics And Coalition Formation », </w:t>
      </w:r>
      <w:r w:rsidRPr="0092542D">
        <w:rPr>
          <w:rFonts w:ascii="Century" w:hAnsi="Century"/>
          <w:i/>
          <w:iCs/>
          <w:sz w:val="18"/>
          <w:szCs w:val="18"/>
          <w:lang w:val="fr-FR"/>
        </w:rPr>
        <w:t>Party Politics</w:t>
      </w:r>
      <w:r w:rsidRPr="0092542D">
        <w:rPr>
          <w:rFonts w:ascii="Century" w:hAnsi="Century"/>
          <w:sz w:val="18"/>
          <w:szCs w:val="18"/>
          <w:lang w:val="fr-FR"/>
        </w:rPr>
        <w:t xml:space="preserve">, 2008, pp. 71-89. </w:t>
      </w:r>
    </w:p>
  </w:footnote>
  <w:footnote w:id="8">
    <w:p w14:paraId="105B082D" w14:textId="77777777" w:rsidR="00E468AE" w:rsidRPr="0092542D" w:rsidRDefault="00000000" w:rsidP="007C2D93">
      <w:pPr>
        <w:pStyle w:val="Notedebasdepage"/>
        <w:spacing w:before="20" w:after="20"/>
        <w:ind w:left="567" w:right="567"/>
        <w:jc w:val="both"/>
        <w:rPr>
          <w:rFonts w:ascii="Century" w:hAnsi="Century"/>
          <w:sz w:val="18"/>
          <w:szCs w:val="18"/>
          <w:lang w:val="fr-FR"/>
        </w:rPr>
      </w:pPr>
      <w:r w:rsidRPr="0092542D">
        <w:rPr>
          <w:rStyle w:val="Appelnotedebasdep"/>
          <w:rFonts w:ascii="Century" w:hAnsi="Century"/>
          <w:sz w:val="18"/>
          <w:szCs w:val="18"/>
        </w:rPr>
        <w:footnoteRef/>
      </w:r>
      <w:r w:rsidRPr="0092542D">
        <w:rPr>
          <w:rFonts w:ascii="Century" w:hAnsi="Century"/>
          <w:sz w:val="18"/>
          <w:szCs w:val="18"/>
          <w:lang w:val="en-US"/>
        </w:rPr>
        <w:t xml:space="preserve"> Voy. à cet égard, T. </w:t>
      </w:r>
      <w:r w:rsidRPr="0092542D">
        <w:rPr>
          <w:rFonts w:ascii="Century" w:hAnsi="Century"/>
          <w:smallCaps/>
          <w:sz w:val="18"/>
          <w:szCs w:val="18"/>
          <w:lang w:val="en-US"/>
        </w:rPr>
        <w:t>Bergman</w:t>
      </w:r>
      <w:r w:rsidRPr="0092542D">
        <w:rPr>
          <w:rFonts w:ascii="Century" w:hAnsi="Century"/>
          <w:sz w:val="18"/>
          <w:szCs w:val="18"/>
          <w:lang w:val="en-US"/>
        </w:rPr>
        <w:t xml:space="preserve">, H. </w:t>
      </w:r>
      <w:r w:rsidRPr="0092542D">
        <w:rPr>
          <w:rFonts w:ascii="Century" w:hAnsi="Century"/>
          <w:smallCaps/>
          <w:sz w:val="18"/>
          <w:szCs w:val="18"/>
          <w:lang w:val="en-US"/>
        </w:rPr>
        <w:t>Bäck</w:t>
      </w:r>
      <w:r w:rsidRPr="0092542D">
        <w:rPr>
          <w:rFonts w:ascii="Century" w:hAnsi="Century"/>
          <w:sz w:val="18"/>
          <w:szCs w:val="18"/>
          <w:lang w:val="en-US"/>
        </w:rPr>
        <w:t xml:space="preserve">, and J. </w:t>
      </w:r>
      <w:r w:rsidRPr="0092542D">
        <w:rPr>
          <w:rFonts w:ascii="Century" w:hAnsi="Century"/>
          <w:smallCaps/>
          <w:sz w:val="18"/>
          <w:szCs w:val="18"/>
          <w:lang w:val="en-US"/>
        </w:rPr>
        <w:t>Hellström</w:t>
      </w:r>
      <w:r w:rsidRPr="0092542D">
        <w:rPr>
          <w:rFonts w:ascii="Century" w:hAnsi="Century"/>
          <w:sz w:val="18"/>
          <w:szCs w:val="18"/>
          <w:lang w:val="en-US"/>
        </w:rPr>
        <w:t>, «</w:t>
      </w:r>
      <w:r w:rsidRPr="0092542D">
        <w:rPr>
          <w:rFonts w:ascii="Century" w:hAnsi="Century"/>
          <w:sz w:val="18"/>
          <w:szCs w:val="18"/>
        </w:rPr>
        <w:t xml:space="preserve"> </w:t>
      </w:r>
      <w:r w:rsidRPr="0092542D">
        <w:rPr>
          <w:rFonts w:ascii="Century" w:hAnsi="Century"/>
          <w:sz w:val="18"/>
          <w:szCs w:val="18"/>
          <w:lang w:val="en-US"/>
        </w:rPr>
        <w:t>Coalition Governance Patterns across Western Europe</w:t>
      </w:r>
      <w:r w:rsidRPr="0092542D">
        <w:rPr>
          <w:rFonts w:ascii="Century" w:hAnsi="Century"/>
          <w:sz w:val="18"/>
          <w:szCs w:val="18"/>
        </w:rPr>
        <w:t xml:space="preserve"> </w:t>
      </w:r>
      <w:r w:rsidRPr="0092542D">
        <w:rPr>
          <w:rFonts w:ascii="Century" w:hAnsi="Century"/>
          <w:sz w:val="18"/>
          <w:szCs w:val="18"/>
          <w:lang w:val="en-US"/>
        </w:rPr>
        <w:t>», in</w:t>
      </w:r>
      <w:r w:rsidRPr="0092542D">
        <w:rPr>
          <w:rFonts w:ascii="Century" w:hAnsi="Century" w:cs="Times New Roman"/>
          <w:sz w:val="18"/>
          <w:szCs w:val="18"/>
          <w:lang w:val="en-US"/>
        </w:rPr>
        <w:t xml:space="preserve"> </w:t>
      </w:r>
      <w:r w:rsidRPr="0092542D">
        <w:rPr>
          <w:rFonts w:ascii="Century" w:hAnsi="Century" w:cs="Times New Roman"/>
          <w:i/>
          <w:iCs/>
          <w:sz w:val="18"/>
          <w:szCs w:val="18"/>
          <w:lang w:val="en-US"/>
        </w:rPr>
        <w:t>Coalition Governance in Western Europe</w:t>
      </w:r>
      <w:r w:rsidRPr="0092542D">
        <w:rPr>
          <w:rFonts w:ascii="Century" w:hAnsi="Century" w:cs="Times New Roman"/>
          <w:sz w:val="18"/>
          <w:szCs w:val="18"/>
          <w:lang w:val="en-US"/>
        </w:rPr>
        <w:t xml:space="preserve">. </w:t>
      </w:r>
      <w:r w:rsidRPr="0092542D">
        <w:rPr>
          <w:rFonts w:ascii="Century" w:hAnsi="Century" w:cs="Times New Roman"/>
          <w:sz w:val="18"/>
          <w:szCs w:val="18"/>
          <w:lang w:val="fr-FR"/>
        </w:rPr>
        <w:t>Oxford, Oxford University Press, 2021, pp. 680-726.</w:t>
      </w:r>
    </w:p>
  </w:footnote>
  <w:footnote w:id="9">
    <w:p w14:paraId="4FF003EC"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Sur cette crise de 2007, cfr F. </w:t>
      </w:r>
      <w:r w:rsidRPr="0092542D">
        <w:rPr>
          <w:rFonts w:ascii="Century" w:hAnsi="Century"/>
          <w:smallCaps/>
          <w:sz w:val="18"/>
          <w:szCs w:val="18"/>
          <w:lang w:val="fr-BE"/>
        </w:rPr>
        <w:t xml:space="preserve">Delpérée, </w:t>
      </w:r>
      <w:r w:rsidRPr="0092542D">
        <w:rPr>
          <w:rFonts w:ascii="Century" w:hAnsi="Century"/>
          <w:sz w:val="18"/>
          <w:szCs w:val="18"/>
          <w:lang w:val="fr-BE"/>
        </w:rPr>
        <w:t xml:space="preserve">« Belgique, la double crise », </w:t>
      </w:r>
      <w:r w:rsidRPr="0092542D">
        <w:rPr>
          <w:rFonts w:ascii="Century" w:hAnsi="Century"/>
          <w:i/>
          <w:sz w:val="18"/>
          <w:szCs w:val="18"/>
          <w:lang w:val="fr-BE"/>
        </w:rPr>
        <w:t>RDP</w:t>
      </w:r>
      <w:r w:rsidRPr="0092542D">
        <w:rPr>
          <w:rFonts w:ascii="Century" w:hAnsi="Century"/>
          <w:sz w:val="18"/>
          <w:szCs w:val="18"/>
          <w:lang w:val="fr-BE"/>
        </w:rPr>
        <w:t xml:space="preserve">, n°6, 2008, p. 1563 et </w:t>
      </w:r>
      <w:r w:rsidRPr="0092542D">
        <w:rPr>
          <w:rFonts w:ascii="Century" w:hAnsi="Century"/>
          <w:smallCaps/>
          <w:sz w:val="18"/>
          <w:szCs w:val="18"/>
          <w:lang w:val="fr-BE"/>
        </w:rPr>
        <w:t>H</w:t>
      </w:r>
      <w:r w:rsidRPr="0092542D">
        <w:rPr>
          <w:rFonts w:ascii="Century" w:hAnsi="Century"/>
          <w:sz w:val="18"/>
          <w:szCs w:val="18"/>
          <w:lang w:val="fr-BE"/>
        </w:rPr>
        <w:t>. D</w:t>
      </w:r>
      <w:r w:rsidRPr="0092542D">
        <w:rPr>
          <w:rFonts w:ascii="Century" w:hAnsi="Century"/>
          <w:smallCaps/>
          <w:sz w:val="18"/>
          <w:szCs w:val="18"/>
          <w:lang w:val="fr-BE"/>
        </w:rPr>
        <w:t xml:space="preserve">umont, </w:t>
      </w:r>
      <w:r w:rsidRPr="0092542D">
        <w:rPr>
          <w:rFonts w:ascii="Century" w:hAnsi="Century"/>
          <w:sz w:val="18"/>
          <w:szCs w:val="18"/>
          <w:lang w:val="fr-BE"/>
        </w:rPr>
        <w:t xml:space="preserve">« La crise de l’État belge : un défi pour la raison publique », </w:t>
      </w:r>
      <w:r w:rsidRPr="0092542D">
        <w:rPr>
          <w:rFonts w:ascii="Century" w:hAnsi="Century"/>
          <w:i/>
          <w:sz w:val="18"/>
          <w:szCs w:val="18"/>
          <w:lang w:val="fr-BE"/>
        </w:rPr>
        <w:t>Raison publique</w:t>
      </w:r>
      <w:r w:rsidRPr="0092542D">
        <w:rPr>
          <w:rFonts w:ascii="Century" w:hAnsi="Century"/>
          <w:sz w:val="18"/>
          <w:szCs w:val="18"/>
          <w:lang w:val="fr-BE"/>
        </w:rPr>
        <w:t>, n°8, 2008, p. 71-93.</w:t>
      </w:r>
    </w:p>
  </w:footnote>
  <w:footnote w:id="10">
    <w:p w14:paraId="45D365F3" w14:textId="5D6541F3"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nl-BE"/>
        </w:rPr>
        <w:t xml:space="preserve"> Sur cette crise de 2010-2011, cfr </w:t>
      </w:r>
      <w:r w:rsidRPr="0092542D">
        <w:rPr>
          <w:rFonts w:ascii="Century" w:hAnsi="Century"/>
          <w:smallCaps/>
          <w:sz w:val="18"/>
          <w:szCs w:val="18"/>
          <w:lang w:val="nl-BE"/>
        </w:rPr>
        <w:t>B. Dalle</w:t>
      </w:r>
      <w:r w:rsidRPr="0092542D">
        <w:rPr>
          <w:rFonts w:ascii="Century" w:hAnsi="Century"/>
          <w:sz w:val="18"/>
          <w:szCs w:val="18"/>
          <w:lang w:val="nl-BE"/>
        </w:rPr>
        <w:t xml:space="preserve">, « Overzicht van de communautaire onderhandelingen sinds 2007 », </w:t>
      </w:r>
      <w:r w:rsidRPr="0092542D">
        <w:rPr>
          <w:rFonts w:ascii="Century" w:hAnsi="Century"/>
          <w:i/>
          <w:sz w:val="18"/>
          <w:szCs w:val="18"/>
          <w:lang w:val="nl-BE"/>
        </w:rPr>
        <w:t>T.B.P.,</w:t>
      </w:r>
      <w:r w:rsidRPr="0092542D">
        <w:rPr>
          <w:rFonts w:ascii="Century" w:hAnsi="Century"/>
          <w:sz w:val="18"/>
          <w:szCs w:val="18"/>
          <w:lang w:val="nl-BE"/>
        </w:rPr>
        <w:t xml:space="preserve"> 2011/8, p. 452-485 ; W. P</w:t>
      </w:r>
      <w:r w:rsidRPr="0092542D">
        <w:rPr>
          <w:rFonts w:ascii="Century" w:hAnsi="Century"/>
          <w:smallCaps/>
          <w:sz w:val="18"/>
          <w:szCs w:val="18"/>
          <w:lang w:val="nl-BE"/>
        </w:rPr>
        <w:t>as</w:t>
      </w:r>
      <w:r w:rsidRPr="0092542D">
        <w:rPr>
          <w:rFonts w:ascii="Century" w:hAnsi="Century"/>
          <w:sz w:val="18"/>
          <w:szCs w:val="18"/>
          <w:lang w:val="nl-BE"/>
        </w:rPr>
        <w:t xml:space="preserve">, « Federalisme met gemeenschappen en gewesten : een tussenstand van moeilijkheden, mogelijkheden en voorstellen », </w:t>
      </w:r>
      <w:r w:rsidRPr="0092542D">
        <w:rPr>
          <w:rFonts w:ascii="Century" w:hAnsi="Century"/>
          <w:i/>
          <w:sz w:val="18"/>
          <w:szCs w:val="18"/>
          <w:lang w:val="nl-BE"/>
        </w:rPr>
        <w:t>T.B.P</w:t>
      </w:r>
      <w:r w:rsidRPr="0092542D">
        <w:rPr>
          <w:rFonts w:ascii="Century" w:hAnsi="Century"/>
          <w:sz w:val="18"/>
          <w:szCs w:val="18"/>
          <w:lang w:val="nl-BE"/>
        </w:rPr>
        <w:t xml:space="preserve">., 2011/8, p. 486-502 ; </w:t>
      </w:r>
      <w:r w:rsidRPr="0092542D">
        <w:rPr>
          <w:rFonts w:ascii="Century" w:hAnsi="Century"/>
          <w:smallCaps/>
          <w:sz w:val="18"/>
          <w:szCs w:val="18"/>
          <w:lang w:val="nl-BE"/>
        </w:rPr>
        <w:t>H</w:t>
      </w:r>
      <w:r w:rsidRPr="0092542D">
        <w:rPr>
          <w:rFonts w:ascii="Century" w:hAnsi="Century"/>
          <w:sz w:val="18"/>
          <w:szCs w:val="18"/>
          <w:lang w:val="nl-BE"/>
        </w:rPr>
        <w:t>. D</w:t>
      </w:r>
      <w:r w:rsidRPr="0092542D">
        <w:rPr>
          <w:rFonts w:ascii="Century" w:hAnsi="Century"/>
          <w:smallCaps/>
          <w:sz w:val="18"/>
          <w:szCs w:val="18"/>
          <w:lang w:val="nl-BE"/>
        </w:rPr>
        <w:t>umont</w:t>
      </w:r>
      <w:r w:rsidRPr="0092542D">
        <w:rPr>
          <w:rFonts w:ascii="Century" w:hAnsi="Century"/>
          <w:sz w:val="18"/>
          <w:szCs w:val="18"/>
          <w:lang w:val="nl-BE"/>
        </w:rPr>
        <w:t xml:space="preserve">, « Le fédéralisme multinational se prête-t-il à une mutation confédérale ? </w:t>
      </w:r>
      <w:r w:rsidRPr="0092542D">
        <w:rPr>
          <w:rFonts w:ascii="Century" w:hAnsi="Century"/>
          <w:sz w:val="18"/>
          <w:szCs w:val="18"/>
          <w:lang w:val="fr-BE"/>
        </w:rPr>
        <w:t xml:space="preserve">Les onze leçons d’un fédéralisme immature », in </w:t>
      </w:r>
      <w:r w:rsidRPr="0092542D">
        <w:rPr>
          <w:rFonts w:ascii="Century" w:hAnsi="Century"/>
          <w:i/>
          <w:sz w:val="18"/>
          <w:szCs w:val="18"/>
          <w:lang w:val="fr-BE"/>
        </w:rPr>
        <w:t>Le fédéralisme multinational. Un modèle viable ?</w:t>
      </w:r>
      <w:r w:rsidRPr="0092542D">
        <w:rPr>
          <w:rFonts w:ascii="Century" w:hAnsi="Century"/>
          <w:sz w:val="18"/>
          <w:szCs w:val="18"/>
          <w:lang w:val="fr-BE"/>
        </w:rPr>
        <w:t>, sous la dir. de M. Seymour et G. Laforest, Bruxelles e.a., P.I.E. Lang, 2011, p. 177-210 ; P. P</w:t>
      </w:r>
      <w:r w:rsidRPr="0092542D">
        <w:rPr>
          <w:rFonts w:ascii="Century" w:hAnsi="Century"/>
          <w:smallCaps/>
          <w:sz w:val="18"/>
          <w:szCs w:val="18"/>
          <w:lang w:val="fr-BE"/>
        </w:rPr>
        <w:t>opelier</w:t>
      </w:r>
      <w:r w:rsidRPr="0092542D">
        <w:rPr>
          <w:rFonts w:ascii="Century" w:hAnsi="Century"/>
          <w:sz w:val="18"/>
          <w:szCs w:val="18"/>
          <w:lang w:val="fr-BE"/>
        </w:rPr>
        <w:t xml:space="preserve"> et D. S</w:t>
      </w:r>
      <w:r w:rsidRPr="0092542D">
        <w:rPr>
          <w:rFonts w:ascii="Century" w:hAnsi="Century"/>
          <w:smallCaps/>
          <w:sz w:val="18"/>
          <w:szCs w:val="18"/>
          <w:lang w:val="fr-BE"/>
        </w:rPr>
        <w:t>inardet</w:t>
      </w:r>
      <w:r w:rsidRPr="0092542D">
        <w:rPr>
          <w:rFonts w:ascii="Century" w:hAnsi="Century"/>
          <w:sz w:val="18"/>
          <w:szCs w:val="18"/>
          <w:lang w:val="fr-BE"/>
        </w:rPr>
        <w:t xml:space="preserve">, « Stabiliteit en instabiliteit in de Belgische federale staatstructuur », in </w:t>
      </w:r>
      <w:r w:rsidRPr="0092542D">
        <w:rPr>
          <w:rFonts w:ascii="Century" w:hAnsi="Century"/>
          <w:i/>
          <w:sz w:val="18"/>
          <w:szCs w:val="18"/>
          <w:lang w:val="fr-BE"/>
        </w:rPr>
        <w:t xml:space="preserve">België, </w:t>
      </w:r>
      <w:r w:rsidRPr="0092542D">
        <w:rPr>
          <w:rFonts w:ascii="Century" w:hAnsi="Century"/>
          <w:sz w:val="18"/>
          <w:szCs w:val="18"/>
          <w:lang w:val="fr-BE"/>
        </w:rPr>
        <w:t>quo vadis</w:t>
      </w:r>
      <w:r w:rsidRPr="0092542D">
        <w:rPr>
          <w:rFonts w:ascii="Century" w:hAnsi="Century"/>
          <w:i/>
          <w:sz w:val="18"/>
          <w:szCs w:val="18"/>
          <w:lang w:val="fr-BE"/>
        </w:rPr>
        <w:t> ? Waarheen na de zesde staatshervorming ?</w:t>
      </w:r>
      <w:r w:rsidRPr="0092542D">
        <w:rPr>
          <w:rFonts w:ascii="Century" w:hAnsi="Century"/>
          <w:sz w:val="18"/>
          <w:szCs w:val="18"/>
          <w:lang w:val="fr-BE"/>
        </w:rPr>
        <w:t xml:space="preserve">, P. </w:t>
      </w:r>
      <w:r w:rsidRPr="0014243F">
        <w:rPr>
          <w:rFonts w:ascii="Century" w:hAnsi="Century"/>
          <w:smallCaps/>
          <w:sz w:val="18"/>
          <w:szCs w:val="18"/>
          <w:lang w:val="fr-BE"/>
        </w:rPr>
        <w:t>Popelier</w:t>
      </w:r>
      <w:r w:rsidRPr="0092542D">
        <w:rPr>
          <w:rFonts w:ascii="Century" w:hAnsi="Century"/>
          <w:sz w:val="18"/>
          <w:szCs w:val="18"/>
          <w:lang w:val="fr-BE"/>
        </w:rPr>
        <w:t xml:space="preserve">, D. </w:t>
      </w:r>
      <w:r w:rsidRPr="0014243F">
        <w:rPr>
          <w:rFonts w:ascii="Century" w:hAnsi="Century"/>
          <w:smallCaps/>
          <w:sz w:val="18"/>
          <w:szCs w:val="18"/>
          <w:lang w:val="fr-BE"/>
        </w:rPr>
        <w:t>Sinardet</w:t>
      </w:r>
      <w:r w:rsidRPr="0092542D">
        <w:rPr>
          <w:rFonts w:ascii="Century" w:hAnsi="Century"/>
          <w:sz w:val="18"/>
          <w:szCs w:val="18"/>
          <w:lang w:val="fr-BE"/>
        </w:rPr>
        <w:t xml:space="preserve">, J. </w:t>
      </w:r>
      <w:r w:rsidRPr="0014243F">
        <w:rPr>
          <w:rFonts w:ascii="Century" w:hAnsi="Century"/>
          <w:smallCaps/>
          <w:sz w:val="18"/>
          <w:szCs w:val="18"/>
          <w:lang w:val="fr-BE"/>
        </w:rPr>
        <w:t>Velaers</w:t>
      </w:r>
      <w:r w:rsidRPr="0092542D">
        <w:rPr>
          <w:rFonts w:ascii="Century" w:hAnsi="Century"/>
          <w:sz w:val="18"/>
          <w:szCs w:val="18"/>
          <w:lang w:val="fr-BE"/>
        </w:rPr>
        <w:t xml:space="preserve"> et B. </w:t>
      </w:r>
      <w:r w:rsidRPr="0014243F">
        <w:rPr>
          <w:rFonts w:ascii="Century" w:hAnsi="Century"/>
          <w:smallCaps/>
          <w:sz w:val="18"/>
          <w:szCs w:val="18"/>
          <w:lang w:val="fr-BE"/>
        </w:rPr>
        <w:t>Cantillon</w:t>
      </w:r>
      <w:r w:rsidRPr="0092542D">
        <w:rPr>
          <w:rFonts w:ascii="Century" w:hAnsi="Century"/>
          <w:sz w:val="18"/>
          <w:szCs w:val="18"/>
          <w:lang w:val="fr-BE"/>
        </w:rPr>
        <w:t xml:space="preserve"> (eds), Antwerpen-Cambridge, Intersentia, 2012, p. 3-31 ; M. </w:t>
      </w:r>
      <w:r w:rsidRPr="0092542D">
        <w:rPr>
          <w:rFonts w:ascii="Century" w:hAnsi="Century"/>
          <w:smallCaps/>
          <w:sz w:val="18"/>
          <w:szCs w:val="18"/>
          <w:lang w:val="fr-BE"/>
        </w:rPr>
        <w:t xml:space="preserve">Uyttendaele, </w:t>
      </w:r>
      <w:r w:rsidRPr="0092542D">
        <w:rPr>
          <w:rFonts w:ascii="Century" w:hAnsi="Century"/>
          <w:sz w:val="18"/>
          <w:szCs w:val="18"/>
          <w:lang w:val="fr-BE"/>
        </w:rPr>
        <w:t xml:space="preserve">« Chronique d’une législature maudite. Réflexions sur l’instabilité politique de la Belgique », </w:t>
      </w:r>
      <w:r w:rsidRPr="0092542D">
        <w:rPr>
          <w:rFonts w:ascii="Century" w:hAnsi="Century"/>
          <w:i/>
          <w:sz w:val="18"/>
          <w:szCs w:val="18"/>
          <w:lang w:val="fr-BE"/>
        </w:rPr>
        <w:t>Pouvoirs</w:t>
      </w:r>
      <w:r w:rsidRPr="0092542D">
        <w:rPr>
          <w:rFonts w:ascii="Century" w:hAnsi="Century"/>
          <w:sz w:val="18"/>
          <w:szCs w:val="18"/>
          <w:lang w:val="fr-BE"/>
        </w:rPr>
        <w:t>, n° 136, 2011, p. 51-69 et H. D</w:t>
      </w:r>
      <w:r w:rsidRPr="0092542D">
        <w:rPr>
          <w:rFonts w:ascii="Century" w:hAnsi="Century"/>
          <w:smallCaps/>
          <w:sz w:val="18"/>
          <w:szCs w:val="18"/>
          <w:lang w:val="fr-BE"/>
        </w:rPr>
        <w:t>umont</w:t>
      </w:r>
      <w:r w:rsidRPr="0092542D">
        <w:rPr>
          <w:rFonts w:ascii="Century" w:hAnsi="Century"/>
          <w:sz w:val="18"/>
          <w:szCs w:val="18"/>
          <w:lang w:val="fr-BE"/>
        </w:rPr>
        <w:t xml:space="preserve">, « Un impossible dialogue ? Deux communautés dans la tourmente », in </w:t>
      </w:r>
      <w:r w:rsidRPr="0092542D">
        <w:rPr>
          <w:rFonts w:ascii="Century" w:hAnsi="Century"/>
          <w:i/>
          <w:sz w:val="18"/>
          <w:szCs w:val="18"/>
          <w:lang w:val="fr-BE"/>
        </w:rPr>
        <w:t>Singulière Belgique</w:t>
      </w:r>
      <w:r w:rsidRPr="0092542D">
        <w:rPr>
          <w:rFonts w:ascii="Century" w:hAnsi="Century"/>
          <w:sz w:val="18"/>
          <w:szCs w:val="18"/>
          <w:lang w:val="fr-BE"/>
        </w:rPr>
        <w:t xml:space="preserve">, sous la dir. de A. </w:t>
      </w:r>
      <w:r w:rsidRPr="0092542D">
        <w:rPr>
          <w:rFonts w:ascii="Century" w:hAnsi="Century"/>
          <w:smallCaps/>
          <w:sz w:val="18"/>
          <w:szCs w:val="18"/>
          <w:lang w:val="fr-BE"/>
        </w:rPr>
        <w:t>von Busekist</w:t>
      </w:r>
      <w:r w:rsidRPr="0092542D">
        <w:rPr>
          <w:rFonts w:ascii="Century" w:hAnsi="Century"/>
          <w:sz w:val="18"/>
          <w:szCs w:val="18"/>
          <w:lang w:val="fr-BE"/>
        </w:rPr>
        <w:t xml:space="preserve">, Paris, Fayard et centre d’études et de recherches internationales, Collection Les grandes études internationales, 2012, p. 29-45. </w:t>
      </w:r>
    </w:p>
  </w:footnote>
  <w:footnote w:id="11">
    <w:p w14:paraId="59FB06B9" w14:textId="77777777" w:rsidR="00E468AE" w:rsidRPr="0092542D" w:rsidRDefault="00000000" w:rsidP="00F56AAC">
      <w:pPr>
        <w:pStyle w:val="Notedebasdepage"/>
        <w:spacing w:before="20" w:after="20"/>
        <w:ind w:left="567" w:right="567"/>
        <w:jc w:val="both"/>
        <w:rPr>
          <w:rFonts w:ascii="Century" w:hAnsi="Century"/>
          <w:smallCaps/>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sur cette première partie de la crise 2018-2020, M. E</w:t>
      </w:r>
      <w:r w:rsidRPr="0092542D">
        <w:rPr>
          <w:rFonts w:ascii="Century" w:hAnsi="Century"/>
          <w:smallCaps/>
          <w:sz w:val="18"/>
          <w:szCs w:val="18"/>
          <w:lang w:val="fr-BE"/>
        </w:rPr>
        <w:t xml:space="preserve">l Berhoumi, </w:t>
      </w:r>
      <w:r w:rsidRPr="0092542D">
        <w:rPr>
          <w:rFonts w:ascii="Century" w:hAnsi="Century"/>
          <w:sz w:val="18"/>
          <w:szCs w:val="18"/>
          <w:lang w:val="fr-BE"/>
        </w:rPr>
        <w:t xml:space="preserve">« Chronique de crise : la chute du gouvernement Michel », </w:t>
      </w:r>
      <w:r w:rsidRPr="0092542D">
        <w:rPr>
          <w:rFonts w:ascii="Century" w:hAnsi="Century"/>
          <w:i/>
          <w:sz w:val="18"/>
          <w:szCs w:val="18"/>
          <w:lang w:val="fr-BE"/>
        </w:rPr>
        <w:t>Journal des tribunaux</w:t>
      </w:r>
      <w:r w:rsidRPr="0092542D">
        <w:rPr>
          <w:rFonts w:ascii="Century" w:hAnsi="Century"/>
          <w:sz w:val="18"/>
          <w:szCs w:val="18"/>
          <w:lang w:val="fr-BE"/>
        </w:rPr>
        <w:t xml:space="preserve">, 2019, p. 273-280. </w:t>
      </w:r>
    </w:p>
  </w:footnote>
  <w:footnote w:id="12">
    <w:p w14:paraId="0E3DD32F" w14:textId="08286E32"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w:t>
      </w:r>
      <w:r w:rsidRPr="0092542D">
        <w:rPr>
          <w:rFonts w:ascii="Century" w:hAnsi="Century"/>
          <w:smallCaps/>
          <w:sz w:val="18"/>
          <w:szCs w:val="18"/>
          <w:lang w:val="fr-BE"/>
        </w:rPr>
        <w:t xml:space="preserve">B. Biard </w:t>
      </w:r>
      <w:r w:rsidRPr="0092542D">
        <w:rPr>
          <w:rFonts w:ascii="Century" w:hAnsi="Century"/>
          <w:sz w:val="18"/>
          <w:szCs w:val="18"/>
          <w:lang w:val="fr-BE"/>
        </w:rPr>
        <w:t xml:space="preserve">e.a., « Les résultats des élections fédérales et européennes du 26 mai 2019 », </w:t>
      </w:r>
      <w:r w:rsidRPr="0092542D">
        <w:rPr>
          <w:rFonts w:ascii="Century" w:hAnsi="Century"/>
          <w:i/>
          <w:sz w:val="18"/>
          <w:szCs w:val="18"/>
          <w:lang w:val="fr-BE"/>
        </w:rPr>
        <w:t>C.H. du CRISP</w:t>
      </w:r>
      <w:r w:rsidRPr="0092542D">
        <w:rPr>
          <w:rFonts w:ascii="Century" w:hAnsi="Century"/>
          <w:sz w:val="18"/>
          <w:szCs w:val="18"/>
          <w:lang w:val="fr-BE"/>
        </w:rPr>
        <w:t>, n° 2433-2434, 2019</w:t>
      </w:r>
      <w:r w:rsidR="00790571" w:rsidRPr="0092542D">
        <w:rPr>
          <w:rFonts w:ascii="Century" w:hAnsi="Century"/>
          <w:sz w:val="18"/>
          <w:szCs w:val="18"/>
          <w:lang w:val="fr-BE"/>
        </w:rPr>
        <w:t>.</w:t>
      </w:r>
    </w:p>
  </w:footnote>
  <w:footnote w:id="13">
    <w:p w14:paraId="74DB5BBB"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Comme l’a relevé le politologue Lieven De Winter lors de son intervention devant votre Commission le 21 septembre 2022, les partis qui négocient avec la N-VA sont confrontés à la difficulté de ne pas savoir si cette formation est disposée à jouer le jeu de la formation d’un gouvernement stable ou encline plutôt à démontrer que la Belgique est ingouvernable. </w:t>
      </w:r>
    </w:p>
  </w:footnote>
  <w:footnote w:id="14">
    <w:p w14:paraId="1E5B14D7" w14:textId="39F359DD" w:rsidR="00E468AE" w:rsidRPr="0014243F" w:rsidRDefault="00000000" w:rsidP="00F56AAC">
      <w:pPr>
        <w:spacing w:after="0" w:line="240" w:lineRule="auto"/>
        <w:ind w:left="567" w:right="567"/>
        <w:jc w:val="both"/>
        <w:rPr>
          <w:rFonts w:ascii="Century" w:hAnsi="Century"/>
          <w:b/>
          <w:bCs/>
          <w:sz w:val="18"/>
          <w:szCs w:val="18"/>
          <w:lang w:val="fr-BE"/>
        </w:rPr>
      </w:pPr>
      <w:r w:rsidRPr="0092542D">
        <w:rPr>
          <w:rStyle w:val="Appelnotedebasdep"/>
          <w:rFonts w:ascii="Century" w:hAnsi="Century"/>
          <w:sz w:val="18"/>
          <w:szCs w:val="18"/>
        </w:rPr>
        <w:footnoteRef/>
      </w:r>
      <w:r w:rsidRPr="0014243F">
        <w:rPr>
          <w:rFonts w:ascii="Century" w:hAnsi="Century"/>
          <w:sz w:val="18"/>
          <w:szCs w:val="18"/>
          <w:lang w:val="fr-BE"/>
        </w:rPr>
        <w:t xml:space="preserve"> Voy. not. sur cette crise </w:t>
      </w:r>
      <w:r w:rsidRPr="0014243F">
        <w:rPr>
          <w:rFonts w:ascii="Century" w:hAnsi="Century"/>
          <w:smallCaps/>
          <w:sz w:val="18"/>
          <w:szCs w:val="18"/>
          <w:lang w:val="fr-BE"/>
        </w:rPr>
        <w:t xml:space="preserve">H. Dumont, </w:t>
      </w:r>
      <w:r w:rsidRPr="0014243F">
        <w:rPr>
          <w:rFonts w:ascii="Century" w:hAnsi="Century"/>
          <w:sz w:val="18"/>
          <w:szCs w:val="18"/>
          <w:lang w:val="fr-BE"/>
        </w:rPr>
        <w:t xml:space="preserve">« Décembre 2018-octobre 2020 : la dernière crise politique de l’état belge, la plus profonde », Premier volet, </w:t>
      </w:r>
      <w:r w:rsidRPr="0014243F">
        <w:rPr>
          <w:rFonts w:ascii="Century" w:hAnsi="Century"/>
          <w:i/>
          <w:sz w:val="18"/>
          <w:szCs w:val="18"/>
          <w:lang w:val="fr-BE"/>
        </w:rPr>
        <w:t>JP Blog</w:t>
      </w:r>
      <w:r w:rsidRPr="0014243F">
        <w:rPr>
          <w:rFonts w:ascii="Century" w:hAnsi="Century"/>
          <w:sz w:val="18"/>
          <w:szCs w:val="18"/>
          <w:lang w:val="fr-BE"/>
        </w:rPr>
        <w:t>, janvier 2021. (</w:t>
      </w:r>
      <w:hyperlink r:id="rId1" w:history="1">
        <w:r w:rsidRPr="0092542D">
          <w:rPr>
            <w:rStyle w:val="Lienhypertexte"/>
            <w:rFonts w:ascii="Century" w:hAnsi="Century"/>
            <w:spacing w:val="15"/>
            <w:sz w:val="18"/>
            <w:szCs w:val="18"/>
            <w:lang w:val="fr-BE"/>
          </w:rPr>
          <w:t>https://blog.juspoliticum.com/2021/01/11/decembre-2018-octobre-2020-la-derniere-crise-politique-de-letat-belge-la-plus-profonde-1-2-par-hugues-dumont/)</w:t>
        </w:r>
      </w:hyperlink>
      <w:r w:rsidRPr="0014243F">
        <w:rPr>
          <w:rFonts w:ascii="Century" w:hAnsi="Century"/>
          <w:sz w:val="18"/>
          <w:szCs w:val="18"/>
          <w:lang w:val="fr-BE"/>
        </w:rPr>
        <w:t xml:space="preserve">, Deuxième volet, </w:t>
      </w:r>
      <w:r w:rsidRPr="0014243F">
        <w:rPr>
          <w:rFonts w:ascii="Century" w:hAnsi="Century"/>
          <w:i/>
          <w:sz w:val="18"/>
          <w:szCs w:val="18"/>
          <w:lang w:val="fr-BE"/>
        </w:rPr>
        <w:t>JP Blog</w:t>
      </w:r>
      <w:r w:rsidRPr="0014243F">
        <w:rPr>
          <w:rFonts w:ascii="Century" w:hAnsi="Century"/>
          <w:sz w:val="18"/>
          <w:szCs w:val="18"/>
          <w:lang w:val="fr-BE"/>
        </w:rPr>
        <w:t>, janvier 2021 (</w:t>
      </w:r>
      <w:hyperlink r:id="rId2" w:history="1">
        <w:r w:rsidRPr="0092542D">
          <w:rPr>
            <w:rStyle w:val="Lienhypertexte"/>
            <w:rFonts w:ascii="Century" w:hAnsi="Century"/>
            <w:spacing w:val="15"/>
            <w:sz w:val="18"/>
            <w:szCs w:val="18"/>
            <w:lang w:val="fr-BE"/>
          </w:rPr>
          <w:t>https://blog.juspoliticum.com/2021/01/11/decembre-2018-octobre-2020-la-derniere-crise-politique-de-letat-belge-la-plus-profonde-2-2-par-hugues-dumont/</w:t>
        </w:r>
      </w:hyperlink>
      <w:r w:rsidRPr="0014243F">
        <w:rPr>
          <w:rFonts w:ascii="Century" w:hAnsi="Century"/>
          <w:sz w:val="18"/>
          <w:szCs w:val="18"/>
          <w:lang w:val="fr-BE"/>
        </w:rPr>
        <w:t>)</w:t>
      </w:r>
      <w:r w:rsidR="00E05164" w:rsidRPr="0092542D">
        <w:rPr>
          <w:rFonts w:ascii="Century" w:hAnsi="Century"/>
          <w:sz w:val="18"/>
          <w:szCs w:val="18"/>
          <w:lang w:val="fr-BE"/>
        </w:rPr>
        <w:t>.</w:t>
      </w:r>
    </w:p>
  </w:footnote>
  <w:footnote w:id="15">
    <w:p w14:paraId="273B31FB" w14:textId="60BCEB5F"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 S</w:t>
      </w:r>
      <w:r w:rsidRPr="0092542D">
        <w:rPr>
          <w:rFonts w:ascii="Century" w:hAnsi="Century"/>
          <w:smallCaps/>
          <w:sz w:val="18"/>
          <w:szCs w:val="18"/>
          <w:lang w:val="fr-BE"/>
        </w:rPr>
        <w:t xml:space="preserve">ägesser, </w:t>
      </w:r>
      <w:r w:rsidRPr="0092542D">
        <w:rPr>
          <w:rFonts w:ascii="Century" w:hAnsi="Century"/>
          <w:sz w:val="18"/>
          <w:szCs w:val="18"/>
          <w:lang w:val="fr-BE"/>
        </w:rPr>
        <w:t xml:space="preserve">« La formation du gouvernement De Croo (mai 2019-octobre 2020) », </w:t>
      </w:r>
      <w:r w:rsidRPr="0092542D">
        <w:rPr>
          <w:rFonts w:ascii="Century" w:hAnsi="Century"/>
          <w:i/>
          <w:sz w:val="18"/>
          <w:szCs w:val="18"/>
          <w:lang w:val="fr-BE"/>
        </w:rPr>
        <w:t>CH du CRISP</w:t>
      </w:r>
      <w:r w:rsidRPr="0092542D">
        <w:rPr>
          <w:rFonts w:ascii="Century" w:hAnsi="Century"/>
          <w:sz w:val="18"/>
          <w:szCs w:val="18"/>
          <w:lang w:val="fr-BE"/>
        </w:rPr>
        <w:t xml:space="preserve">, 2020, n° 2471-2472, p. 70. </w:t>
      </w:r>
    </w:p>
  </w:footnote>
  <w:footnote w:id="16">
    <w:p w14:paraId="24F934AA"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Le politologue Jeremy Dodeigne a fait la même observation au cours de ses interventions devant votre Commission le 21 septembre 2022. </w:t>
      </w:r>
    </w:p>
  </w:footnote>
  <w:footnote w:id="17">
    <w:p w14:paraId="0766265E"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Et ce alors que la deuxième branche du dilemme permettait d’éviter les difficiles débats de type institutionnel, à la différence des crises précédentes de 2007 et 2010-2011.  </w:t>
      </w:r>
    </w:p>
  </w:footnote>
  <w:footnote w:id="18">
    <w:p w14:paraId="74DA97FF"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à ce sujet H. D</w:t>
      </w:r>
      <w:r w:rsidRPr="0092542D">
        <w:rPr>
          <w:rFonts w:ascii="Century" w:hAnsi="Century"/>
          <w:smallCaps/>
          <w:sz w:val="18"/>
          <w:szCs w:val="18"/>
          <w:lang w:val="fr-BE"/>
        </w:rPr>
        <w:t>umont, M. El Berhoumi</w:t>
      </w:r>
      <w:r w:rsidRPr="0092542D">
        <w:rPr>
          <w:rFonts w:ascii="Century" w:hAnsi="Century"/>
          <w:sz w:val="18"/>
          <w:szCs w:val="18"/>
          <w:lang w:val="fr-BE"/>
        </w:rPr>
        <w:t xml:space="preserve"> et I. </w:t>
      </w:r>
      <w:r w:rsidRPr="0092542D">
        <w:rPr>
          <w:rFonts w:ascii="Century" w:hAnsi="Century"/>
          <w:smallCaps/>
          <w:sz w:val="18"/>
          <w:szCs w:val="18"/>
          <w:lang w:val="fr-BE"/>
        </w:rPr>
        <w:t xml:space="preserve">Hachez </w:t>
      </w:r>
      <w:r w:rsidRPr="0092542D">
        <w:rPr>
          <w:rFonts w:ascii="Century" w:hAnsi="Century"/>
          <w:sz w:val="18"/>
          <w:szCs w:val="18"/>
          <w:lang w:val="fr-BE"/>
        </w:rPr>
        <w:t xml:space="preserve">(dir.), </w:t>
      </w:r>
      <w:r w:rsidRPr="0092542D">
        <w:rPr>
          <w:rFonts w:ascii="Century" w:hAnsi="Century"/>
          <w:i/>
          <w:sz w:val="18"/>
          <w:szCs w:val="18"/>
          <w:lang w:val="fr-BE"/>
        </w:rPr>
        <w:t>La sixième réforme de l’État, l’art du compromis ou l’art de ne pas choisir ?</w:t>
      </w:r>
      <w:r w:rsidRPr="0092542D">
        <w:rPr>
          <w:rFonts w:ascii="Century" w:hAnsi="Century"/>
          <w:sz w:val="18"/>
          <w:szCs w:val="18"/>
          <w:lang w:val="fr-BE"/>
        </w:rPr>
        <w:t xml:space="preserve">, Bruxelles, Larcier, 2016. </w:t>
      </w:r>
    </w:p>
  </w:footnote>
  <w:footnote w:id="19">
    <w:p w14:paraId="01060628" w14:textId="121823BF" w:rsidR="00E468AE" w:rsidRPr="0092542D" w:rsidRDefault="00000000" w:rsidP="00F56AAC">
      <w:pPr>
        <w:pStyle w:val="Notedebasdepage"/>
        <w:spacing w:before="20" w:after="20"/>
        <w:ind w:left="567" w:right="567"/>
        <w:jc w:val="both"/>
        <w:rPr>
          <w:rFonts w:ascii="Century" w:hAnsi="Century" w:cstheme="minorHAnsi"/>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Pour un résumé des idées en présence, voy. H. D</w:t>
      </w:r>
      <w:r w:rsidRPr="0092542D">
        <w:rPr>
          <w:rFonts w:ascii="Century" w:hAnsi="Century"/>
          <w:smallCaps/>
          <w:sz w:val="18"/>
          <w:szCs w:val="18"/>
          <w:lang w:val="fr-BE"/>
        </w:rPr>
        <w:t>umont</w:t>
      </w:r>
      <w:r w:rsidRPr="0092542D">
        <w:rPr>
          <w:rFonts w:ascii="Century" w:hAnsi="Century" w:cstheme="minorHAnsi"/>
          <w:smallCaps/>
          <w:sz w:val="18"/>
          <w:szCs w:val="18"/>
          <w:lang w:val="fr-BE"/>
        </w:rPr>
        <w:t>,</w:t>
      </w:r>
      <w:r w:rsidRPr="0092542D">
        <w:rPr>
          <w:rFonts w:ascii="Century" w:hAnsi="Century" w:cstheme="minorHAnsi"/>
          <w:sz w:val="18"/>
          <w:szCs w:val="18"/>
          <w:lang w:val="fr-BE"/>
        </w:rPr>
        <w:t xml:space="preserve"> </w:t>
      </w:r>
      <w:r w:rsidRPr="0092542D">
        <w:rPr>
          <w:rFonts w:ascii="Century" w:hAnsi="Century" w:cstheme="minorHAnsi"/>
          <w:smallCaps/>
          <w:sz w:val="18"/>
          <w:szCs w:val="18"/>
          <w:lang w:val="fr-BE"/>
        </w:rPr>
        <w:t>« </w:t>
      </w:r>
      <w:r w:rsidRPr="0092542D">
        <w:rPr>
          <w:rFonts w:ascii="Century" w:hAnsi="Century" w:cstheme="minorHAnsi"/>
          <w:sz w:val="18"/>
          <w:szCs w:val="18"/>
          <w:lang w:val="fr-BE"/>
        </w:rPr>
        <w:t xml:space="preserve">Lettre ouverte aux Belges qui souhaitent se réapproprier les cadres de leur vie démocratique », </w:t>
      </w:r>
      <w:r w:rsidRPr="0092542D">
        <w:rPr>
          <w:rFonts w:ascii="Century" w:hAnsi="Century" w:cstheme="minorHAnsi"/>
          <w:i/>
          <w:sz w:val="18"/>
          <w:szCs w:val="18"/>
          <w:lang w:val="fr-BE"/>
        </w:rPr>
        <w:t>Politique</w:t>
      </w:r>
      <w:r w:rsidRPr="0092542D">
        <w:rPr>
          <w:rFonts w:ascii="Century" w:hAnsi="Century" w:cstheme="minorHAnsi"/>
          <w:sz w:val="18"/>
          <w:szCs w:val="18"/>
          <w:lang w:val="fr-BE"/>
        </w:rPr>
        <w:t>, n° 113, septembre 2020, p. 63-67.</w:t>
      </w:r>
    </w:p>
  </w:footnote>
  <w:footnote w:id="20">
    <w:p w14:paraId="5F26CB07"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Le gouvernement Michel I formé le 11 octobre 2014 suite aux élections du 25 mai 2014 fait exception, mais il s’agissait alors de digérer la 6</w:t>
      </w:r>
      <w:r w:rsidRPr="0092542D">
        <w:rPr>
          <w:rFonts w:ascii="Century" w:hAnsi="Century"/>
          <w:sz w:val="18"/>
          <w:szCs w:val="18"/>
          <w:vertAlign w:val="superscript"/>
          <w:lang w:val="fr-BE"/>
        </w:rPr>
        <w:t>ème</w:t>
      </w:r>
      <w:r w:rsidRPr="0092542D">
        <w:rPr>
          <w:rFonts w:ascii="Century" w:hAnsi="Century"/>
          <w:sz w:val="18"/>
          <w:szCs w:val="18"/>
          <w:lang w:val="fr-BE"/>
        </w:rPr>
        <w:t xml:space="preserve"> réforme de l’Etat. Par ailleurs, la N-VA passée en tête en nombre de sièges à la Chambre et au Sénat considérait que mettre le PS dans l’opposition équivalait à une réforme de l’Etat...</w:t>
      </w:r>
    </w:p>
  </w:footnote>
  <w:footnote w:id="21">
    <w:p w14:paraId="6E47A29C" w14:textId="3D502C40" w:rsidR="00E468AE" w:rsidRPr="0092542D" w:rsidRDefault="00000000" w:rsidP="00C47D72">
      <w:pPr>
        <w:pStyle w:val="Notedebasdepage"/>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Nous répondons ici à l’une des deux grandes raisons soulevées par Jan Velaers lors de son audition du 7 décembre 2022</w:t>
      </w:r>
      <w:r w:rsidR="009B0365" w:rsidRPr="0092542D">
        <w:rPr>
          <w:rFonts w:ascii="Century" w:hAnsi="Century"/>
          <w:sz w:val="18"/>
          <w:szCs w:val="18"/>
          <w:lang w:val="fr-BE"/>
        </w:rPr>
        <w:t xml:space="preserve"> expliquant la difficulté à former un gouvernement fédéral</w:t>
      </w:r>
      <w:r w:rsidRPr="0092542D">
        <w:rPr>
          <w:rFonts w:ascii="Century" w:hAnsi="Century"/>
          <w:sz w:val="18"/>
          <w:szCs w:val="18"/>
          <w:lang w:val="fr-BE"/>
        </w:rPr>
        <w:t xml:space="preserve">, à savoir le fait que la formation du gouvernement belge est souvent couplée à une réforme de l’Etat.  </w:t>
      </w:r>
    </w:p>
  </w:footnote>
  <w:footnote w:id="22">
    <w:p w14:paraId="4D362286" w14:textId="77777777" w:rsidR="00E468AE" w:rsidRPr="0092542D" w:rsidRDefault="00000000" w:rsidP="00F56AAC">
      <w:pPr>
        <w:autoSpaceDE w:val="0"/>
        <w:autoSpaceDN w:val="0"/>
        <w:adjustRightInd w:val="0"/>
        <w:spacing w:before="20" w:after="20" w:line="240" w:lineRule="auto"/>
        <w:ind w:left="567" w:right="567"/>
        <w:jc w:val="both"/>
        <w:rPr>
          <w:rFonts w:ascii="Century" w:hAnsi="Century"/>
          <w:sz w:val="18"/>
          <w:szCs w:val="18"/>
          <w:lang w:val="fr-FR"/>
        </w:rPr>
      </w:pPr>
      <w:r w:rsidRPr="0092542D">
        <w:rPr>
          <w:rStyle w:val="Appelnotedebasdep"/>
          <w:rFonts w:ascii="Century" w:hAnsi="Century"/>
          <w:sz w:val="18"/>
          <w:szCs w:val="18"/>
        </w:rPr>
        <w:footnoteRef/>
      </w:r>
      <w:r w:rsidRPr="0092542D">
        <w:rPr>
          <w:rFonts w:ascii="Century" w:hAnsi="Century"/>
          <w:sz w:val="18"/>
          <w:szCs w:val="18"/>
          <w:lang w:val="fr-BE"/>
        </w:rPr>
        <w:t xml:space="preserve"> Elle a été présentée schématiquement et soutenue déjà en 2019 dans H. </w:t>
      </w:r>
      <w:r w:rsidRPr="0092542D">
        <w:rPr>
          <w:rFonts w:ascii="Century" w:hAnsi="Century"/>
          <w:smallCaps/>
          <w:sz w:val="18"/>
          <w:szCs w:val="18"/>
          <w:lang w:val="fr-BE"/>
        </w:rPr>
        <w:t>Dumont</w:t>
      </w:r>
      <w:r w:rsidRPr="0092542D">
        <w:rPr>
          <w:rFonts w:ascii="Century" w:hAnsi="Century"/>
          <w:sz w:val="18"/>
          <w:szCs w:val="18"/>
          <w:lang w:val="fr-BE"/>
        </w:rPr>
        <w:t xml:space="preserve">, </w:t>
      </w:r>
      <w:r w:rsidRPr="0092542D">
        <w:rPr>
          <w:rFonts w:ascii="Century" w:hAnsi="Century"/>
          <w:smallCaps/>
          <w:sz w:val="18"/>
          <w:szCs w:val="18"/>
          <w:lang w:val="fr-BE"/>
        </w:rPr>
        <w:t>M. Uyttendaele</w:t>
      </w:r>
      <w:r w:rsidRPr="0092542D">
        <w:rPr>
          <w:rFonts w:ascii="Century" w:hAnsi="Century"/>
          <w:sz w:val="18"/>
          <w:szCs w:val="18"/>
          <w:lang w:val="fr-BE"/>
        </w:rPr>
        <w:t xml:space="preserve"> et </w:t>
      </w:r>
      <w:r w:rsidRPr="0092542D">
        <w:rPr>
          <w:rFonts w:ascii="Century" w:hAnsi="Century"/>
          <w:smallCaps/>
          <w:sz w:val="18"/>
          <w:szCs w:val="18"/>
          <w:lang w:val="fr-BE"/>
        </w:rPr>
        <w:t>M. Verdussen</w:t>
      </w:r>
      <w:r w:rsidRPr="0092542D">
        <w:rPr>
          <w:rFonts w:ascii="Century" w:hAnsi="Century"/>
          <w:sz w:val="18"/>
          <w:szCs w:val="18"/>
          <w:lang w:val="fr-BE"/>
        </w:rPr>
        <w:t xml:space="preserve">, « Entrer à reculons dans un Etat-coquille vide ou construire l’avenir délibérément ? » , in </w:t>
      </w:r>
      <w:r w:rsidRPr="0092542D">
        <w:rPr>
          <w:rFonts w:ascii="Century" w:hAnsi="Century"/>
          <w:i/>
          <w:sz w:val="18"/>
          <w:szCs w:val="18"/>
          <w:lang w:val="fr-BE"/>
        </w:rPr>
        <w:t>La Libre Belgique</w:t>
      </w:r>
      <w:r w:rsidRPr="0092542D">
        <w:rPr>
          <w:rFonts w:ascii="Century" w:hAnsi="Century"/>
          <w:sz w:val="18"/>
          <w:szCs w:val="18"/>
          <w:lang w:val="fr-BE"/>
        </w:rPr>
        <w:t>, 18 mars 2019.</w:t>
      </w:r>
    </w:p>
  </w:footnote>
  <w:footnote w:id="23">
    <w:p w14:paraId="30D73F3B"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H. D</w:t>
      </w:r>
      <w:r w:rsidRPr="0092542D">
        <w:rPr>
          <w:rFonts w:ascii="Century" w:hAnsi="Century"/>
          <w:smallCaps/>
          <w:sz w:val="18"/>
          <w:szCs w:val="18"/>
          <w:lang w:val="fr-BE"/>
        </w:rPr>
        <w:t xml:space="preserve">umont, </w:t>
      </w:r>
      <w:r w:rsidRPr="0092542D">
        <w:rPr>
          <w:rFonts w:ascii="Century" w:hAnsi="Century"/>
          <w:sz w:val="18"/>
          <w:szCs w:val="18"/>
          <w:lang w:val="fr-BE"/>
        </w:rPr>
        <w:t xml:space="preserve">« Ouvrir à révision l’article 195 et réveiller le pouvoir constituant originaire : possibilité, risques et opportunités », in </w:t>
      </w:r>
      <w:r w:rsidRPr="0092542D">
        <w:rPr>
          <w:rFonts w:ascii="Century" w:hAnsi="Century"/>
          <w:i/>
          <w:sz w:val="18"/>
          <w:szCs w:val="18"/>
          <w:lang w:val="fr-BE"/>
        </w:rPr>
        <w:t xml:space="preserve">Chroniques de Droit Public – Publiekrechtelijke Kronieken, </w:t>
      </w:r>
      <w:r w:rsidRPr="0092542D">
        <w:rPr>
          <w:rFonts w:ascii="Century" w:hAnsi="Century"/>
          <w:sz w:val="18"/>
          <w:szCs w:val="18"/>
          <w:lang w:val="fr-BE"/>
        </w:rPr>
        <w:t xml:space="preserve">2019, p. 443-452. </w:t>
      </w:r>
    </w:p>
  </w:footnote>
  <w:footnote w:id="24">
    <w:p w14:paraId="4CA17806"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les articles 11bis, al. 2, 96, al. 1</w:t>
      </w:r>
      <w:r w:rsidRPr="0092542D">
        <w:rPr>
          <w:rFonts w:ascii="Century" w:hAnsi="Century"/>
          <w:sz w:val="18"/>
          <w:szCs w:val="18"/>
          <w:vertAlign w:val="superscript"/>
          <w:lang w:val="fr-BE"/>
        </w:rPr>
        <w:t>er</w:t>
      </w:r>
      <w:r w:rsidRPr="0092542D">
        <w:rPr>
          <w:rFonts w:ascii="Century" w:hAnsi="Century"/>
          <w:sz w:val="18"/>
          <w:szCs w:val="18"/>
          <w:lang w:val="fr-BE"/>
        </w:rPr>
        <w:t xml:space="preserve">, 97, 98 et 99, al. 2, de la Constitution. </w:t>
      </w:r>
    </w:p>
  </w:footnote>
  <w:footnote w:id="25">
    <w:p w14:paraId="698663DB" w14:textId="432016FA"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E. </w:t>
      </w:r>
      <w:r w:rsidRPr="0092542D">
        <w:rPr>
          <w:rFonts w:ascii="Century" w:hAnsi="Century"/>
          <w:smallCaps/>
          <w:sz w:val="18"/>
          <w:szCs w:val="18"/>
          <w:lang w:val="fr-BE"/>
        </w:rPr>
        <w:t>Grossman</w:t>
      </w:r>
      <w:r w:rsidRPr="0092542D">
        <w:rPr>
          <w:rFonts w:ascii="Century" w:hAnsi="Century"/>
          <w:sz w:val="18"/>
          <w:szCs w:val="18"/>
          <w:lang w:val="fr-BE"/>
        </w:rPr>
        <w:t xml:space="preserve"> et </w:t>
      </w:r>
      <w:r w:rsidRPr="0092542D">
        <w:rPr>
          <w:rFonts w:ascii="Century" w:hAnsi="Century"/>
          <w:smallCaps/>
          <w:sz w:val="18"/>
          <w:szCs w:val="18"/>
          <w:lang w:val="fr-BE"/>
        </w:rPr>
        <w:t xml:space="preserve">N. Sauger, </w:t>
      </w:r>
      <w:r w:rsidRPr="0092542D">
        <w:rPr>
          <w:rFonts w:ascii="Century" w:hAnsi="Century"/>
          <w:i/>
          <w:sz w:val="18"/>
          <w:szCs w:val="18"/>
          <w:lang w:val="fr-BE"/>
        </w:rPr>
        <w:t>Introduction aux systèmes politiques nationaux de l’UE</w:t>
      </w:r>
      <w:r w:rsidRPr="0092542D">
        <w:rPr>
          <w:rFonts w:ascii="Century" w:hAnsi="Century"/>
          <w:sz w:val="18"/>
          <w:szCs w:val="18"/>
          <w:lang w:val="fr-BE"/>
        </w:rPr>
        <w:t xml:space="preserve">, Bruxelles, De Boeck et Larcier, 2007, p. 131. </w:t>
      </w:r>
    </w:p>
  </w:footnote>
  <w:footnote w:id="26">
    <w:p w14:paraId="63B1B50E" w14:textId="4A9E7B92"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w:t>
      </w:r>
      <w:r w:rsidRPr="0092542D">
        <w:rPr>
          <w:rFonts w:ascii="Century" w:hAnsi="Century"/>
          <w:smallCaps/>
          <w:sz w:val="18"/>
          <w:szCs w:val="18"/>
          <w:lang w:val="fr-BE"/>
        </w:rPr>
        <w:t xml:space="preserve">D. Rojas, </w:t>
      </w:r>
      <w:r w:rsidRPr="0092542D">
        <w:rPr>
          <w:rFonts w:ascii="Century" w:hAnsi="Century"/>
          <w:sz w:val="18"/>
          <w:szCs w:val="18"/>
          <w:lang w:val="fr-BE"/>
        </w:rPr>
        <w:t xml:space="preserve">« La quête de la formation d’un gouvernement en Espagne à l’aune de l’expérience belge : un défi à l’encadrement juridique », </w:t>
      </w:r>
      <w:r w:rsidRPr="0092542D">
        <w:rPr>
          <w:rFonts w:ascii="Century" w:hAnsi="Century"/>
          <w:i/>
          <w:sz w:val="18"/>
          <w:szCs w:val="18"/>
          <w:lang w:val="fr-BE"/>
        </w:rPr>
        <w:t>R.D.P.</w:t>
      </w:r>
      <w:r w:rsidRPr="0092542D">
        <w:rPr>
          <w:rFonts w:ascii="Century" w:hAnsi="Century"/>
          <w:sz w:val="18"/>
          <w:szCs w:val="18"/>
          <w:lang w:val="fr-BE"/>
        </w:rPr>
        <w:t xml:space="preserve">, 2017/2, p. 461. </w:t>
      </w:r>
    </w:p>
  </w:footnote>
  <w:footnote w:id="27">
    <w:p w14:paraId="337BB487" w14:textId="2D51377C"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A.-P . </w:t>
      </w:r>
      <w:r w:rsidRPr="0092542D">
        <w:rPr>
          <w:rFonts w:ascii="Century" w:hAnsi="Century"/>
          <w:smallCaps/>
          <w:sz w:val="18"/>
          <w:szCs w:val="18"/>
          <w:lang w:val="fr-BE"/>
        </w:rPr>
        <w:t xml:space="preserve">Frognier, </w:t>
      </w:r>
      <w:r w:rsidRPr="0092542D">
        <w:rPr>
          <w:rFonts w:ascii="Century" w:hAnsi="Century"/>
          <w:sz w:val="18"/>
          <w:szCs w:val="18"/>
          <w:lang w:val="fr-BE"/>
        </w:rPr>
        <w:t xml:space="preserve">« Les systèmes électoraux : types et effets des politiques », in </w:t>
      </w:r>
      <w:r w:rsidRPr="0092542D">
        <w:rPr>
          <w:rFonts w:ascii="Century" w:hAnsi="Century"/>
          <w:i/>
          <w:sz w:val="18"/>
          <w:szCs w:val="18"/>
          <w:lang w:val="fr-BE"/>
        </w:rPr>
        <w:t>Administration publique (trimestriel)</w:t>
      </w:r>
      <w:r w:rsidRPr="0092542D">
        <w:rPr>
          <w:rFonts w:ascii="Century" w:hAnsi="Century"/>
          <w:sz w:val="18"/>
          <w:szCs w:val="18"/>
          <w:lang w:val="fr-BE"/>
        </w:rPr>
        <w:t xml:space="preserve">, 1998, p. 8. </w:t>
      </w:r>
    </w:p>
  </w:footnote>
  <w:footnote w:id="28">
    <w:p w14:paraId="2BC95BBD"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F. </w:t>
      </w:r>
      <w:r w:rsidRPr="0092542D">
        <w:rPr>
          <w:rFonts w:ascii="Century" w:hAnsi="Century"/>
          <w:smallCaps/>
          <w:sz w:val="18"/>
          <w:szCs w:val="18"/>
          <w:lang w:val="fr-BE"/>
        </w:rPr>
        <w:t xml:space="preserve">Bouhon, </w:t>
      </w:r>
      <w:r w:rsidRPr="0092542D">
        <w:rPr>
          <w:rFonts w:ascii="Century" w:hAnsi="Century"/>
          <w:i/>
          <w:sz w:val="18"/>
          <w:szCs w:val="18"/>
          <w:lang w:val="fr-BE"/>
        </w:rPr>
        <w:t>Droit électoral et principe d’égalité. L’élection des assemblées législatives nationales en droit allemand, belge et britannique</w:t>
      </w:r>
      <w:r w:rsidRPr="0092542D">
        <w:rPr>
          <w:rFonts w:ascii="Century" w:hAnsi="Century"/>
          <w:sz w:val="18"/>
          <w:szCs w:val="18"/>
          <w:lang w:val="fr-BE"/>
        </w:rPr>
        <w:t xml:space="preserve">, Bruxelles, Bruylant, 2014, n° 701. Sur les avantages et les inconvénients du scrutin majoritaire et du scrutin proportionnel, ainsi que sur l’incidence très limitée des normes de la Convention européenne des droits de l’homme sur ce débat, voy. dans ce même ouvrage n° 672-701. </w:t>
      </w:r>
    </w:p>
  </w:footnote>
  <w:footnote w:id="29">
    <w:p w14:paraId="66D11A14" w14:textId="77B9A201" w:rsidR="00E468AE" w:rsidRPr="0092542D" w:rsidRDefault="00000000" w:rsidP="00F56AAC">
      <w:pPr>
        <w:spacing w:before="20" w:after="20" w:line="240" w:lineRule="auto"/>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not. </w:t>
      </w:r>
      <w:r w:rsidRPr="0092542D">
        <w:rPr>
          <w:rFonts w:ascii="Century" w:hAnsi="Century"/>
          <w:smallCaps/>
          <w:sz w:val="18"/>
          <w:szCs w:val="18"/>
          <w:lang w:val="fr-BE"/>
        </w:rPr>
        <w:t xml:space="preserve">H. Dumont, </w:t>
      </w:r>
      <w:r w:rsidRPr="0092542D">
        <w:rPr>
          <w:rFonts w:ascii="Century" w:hAnsi="Century"/>
          <w:sz w:val="18"/>
          <w:szCs w:val="18"/>
          <w:lang w:val="fr-BE"/>
        </w:rPr>
        <w:t xml:space="preserve">« Intervention à la table ronde scientifique », in </w:t>
      </w:r>
      <w:r w:rsidRPr="0092542D">
        <w:rPr>
          <w:rFonts w:ascii="Century" w:hAnsi="Century"/>
          <w:i/>
          <w:sz w:val="18"/>
          <w:szCs w:val="18"/>
          <w:lang w:val="fr-BE"/>
        </w:rPr>
        <w:t>Les élections dans tous leurs états. Bilan, enjeux et perspectives du droit électoral</w:t>
      </w:r>
      <w:r w:rsidRPr="0092542D">
        <w:rPr>
          <w:rFonts w:ascii="Century" w:hAnsi="Century"/>
          <w:sz w:val="18"/>
          <w:szCs w:val="18"/>
          <w:lang w:val="fr-BE"/>
        </w:rPr>
        <w:t xml:space="preserve">, Bruxelles, Bruylant, 2001, p. 581-591.  </w:t>
      </w:r>
    </w:p>
  </w:footnote>
  <w:footnote w:id="30">
    <w:p w14:paraId="4A8B27B4" w14:textId="7EC03339" w:rsidR="0048065D" w:rsidRPr="0014243F" w:rsidRDefault="00000000" w:rsidP="0014243F">
      <w:pPr>
        <w:pStyle w:val="Notedebasdepage"/>
        <w:spacing w:before="20" w:after="20"/>
        <w:ind w:left="567" w:right="567"/>
        <w:jc w:val="both"/>
        <w:rPr>
          <w:rFonts w:ascii="Century" w:hAnsi="Century"/>
          <w:sz w:val="18"/>
          <w:szCs w:val="18"/>
          <w:lang w:val="fr-BE"/>
        </w:rPr>
      </w:pPr>
      <w:r w:rsidRPr="0014243F">
        <w:rPr>
          <w:rStyle w:val="Appelnotedebasdep"/>
          <w:rFonts w:ascii="Century" w:hAnsi="Century"/>
          <w:sz w:val="18"/>
          <w:szCs w:val="18"/>
        </w:rPr>
        <w:footnoteRef/>
      </w:r>
      <w:r w:rsidRPr="0014243F">
        <w:rPr>
          <w:rFonts w:ascii="Century" w:hAnsi="Century"/>
          <w:sz w:val="18"/>
          <w:szCs w:val="18"/>
          <w:lang w:val="fr-BE"/>
        </w:rPr>
        <w:t xml:space="preserve"> </w:t>
      </w:r>
      <w:r w:rsidRPr="0092542D">
        <w:rPr>
          <w:rFonts w:ascii="Century" w:hAnsi="Century"/>
          <w:sz w:val="18"/>
          <w:szCs w:val="18"/>
          <w:lang w:val="fr-BE"/>
        </w:rPr>
        <w:t xml:space="preserve">Lors de son intervention du 7 décembre 2022, Jan Velaers a aussi souligné le danger d’envisager le passage vers un système majoritaire, celui-ci ne pouvant qu’accentuer la division de la Belgique en « deux démocraties » </w:t>
      </w:r>
      <w:r w:rsidR="00566E60" w:rsidRPr="0092542D">
        <w:rPr>
          <w:rFonts w:ascii="Century" w:hAnsi="Century"/>
          <w:sz w:val="18"/>
          <w:szCs w:val="18"/>
          <w:lang w:val="fr-BE"/>
        </w:rPr>
        <w:t xml:space="preserve">potentiellement </w:t>
      </w:r>
      <w:r w:rsidRPr="0092542D">
        <w:rPr>
          <w:rFonts w:ascii="Century" w:hAnsi="Century"/>
          <w:sz w:val="18"/>
          <w:szCs w:val="18"/>
          <w:lang w:val="fr-BE"/>
        </w:rPr>
        <w:t>inaptes à fonctionner ensemble.</w:t>
      </w:r>
    </w:p>
  </w:footnote>
  <w:footnote w:id="31">
    <w:p w14:paraId="7EE268D9"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Cette piste a aussi été préconisée par le politologue Dave Sinardet et la députée Melissa Depraeter dans leurs interventions du 21 septembre 2022. </w:t>
      </w:r>
    </w:p>
  </w:footnote>
  <w:footnote w:id="32">
    <w:p w14:paraId="4EDD4923"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Cette piste a aussi été évoquée par Maxime Vandenberghe dans son intervention du 21 septembre 2022. </w:t>
      </w:r>
    </w:p>
  </w:footnote>
  <w:footnote w:id="33">
    <w:p w14:paraId="1A4BAABE" w14:textId="411E3E53"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14243F">
        <w:rPr>
          <w:rFonts w:ascii="Century" w:hAnsi="Century"/>
          <w:sz w:val="18"/>
          <w:szCs w:val="18"/>
          <w:lang w:val="nl-BE"/>
        </w:rPr>
        <w:t xml:space="preserve"> Cfr J. </w:t>
      </w:r>
      <w:r w:rsidRPr="0014243F">
        <w:rPr>
          <w:rFonts w:ascii="Century" w:hAnsi="Century"/>
          <w:smallCaps/>
          <w:sz w:val="18"/>
          <w:szCs w:val="18"/>
          <w:lang w:val="nl-BE"/>
        </w:rPr>
        <w:t>Billiet</w:t>
      </w:r>
      <w:r w:rsidRPr="0014243F">
        <w:rPr>
          <w:rFonts w:ascii="Century" w:hAnsi="Century"/>
          <w:sz w:val="18"/>
          <w:szCs w:val="18"/>
          <w:lang w:val="nl-BE"/>
        </w:rPr>
        <w:t>, P. D</w:t>
      </w:r>
      <w:r w:rsidRPr="0014243F">
        <w:rPr>
          <w:rFonts w:ascii="Century" w:hAnsi="Century"/>
          <w:smallCaps/>
          <w:sz w:val="18"/>
          <w:szCs w:val="18"/>
          <w:lang w:val="nl-BE"/>
        </w:rPr>
        <w:t>elwit</w:t>
      </w:r>
      <w:r w:rsidRPr="0014243F">
        <w:rPr>
          <w:rFonts w:ascii="Century" w:hAnsi="Century"/>
          <w:sz w:val="18"/>
          <w:szCs w:val="18"/>
          <w:lang w:val="nl-BE"/>
        </w:rPr>
        <w:t xml:space="preserve">, H. </w:t>
      </w:r>
      <w:r w:rsidRPr="0014243F">
        <w:rPr>
          <w:rFonts w:ascii="Century" w:hAnsi="Century"/>
          <w:smallCaps/>
          <w:sz w:val="18"/>
          <w:szCs w:val="18"/>
          <w:lang w:val="nl-BE"/>
        </w:rPr>
        <w:t xml:space="preserve">Dumont, </w:t>
      </w:r>
      <w:r w:rsidRPr="0014243F">
        <w:rPr>
          <w:rFonts w:ascii="Century" w:hAnsi="Century"/>
          <w:sz w:val="18"/>
          <w:szCs w:val="18"/>
          <w:lang w:val="nl-BE"/>
        </w:rPr>
        <w:t>K. D</w:t>
      </w:r>
      <w:r w:rsidRPr="0014243F">
        <w:rPr>
          <w:rFonts w:ascii="Century" w:hAnsi="Century"/>
          <w:smallCaps/>
          <w:sz w:val="18"/>
          <w:szCs w:val="18"/>
          <w:lang w:val="nl-BE"/>
        </w:rPr>
        <w:t>eschouwer</w:t>
      </w:r>
      <w:r w:rsidRPr="0014243F">
        <w:rPr>
          <w:rFonts w:ascii="Century" w:hAnsi="Century"/>
          <w:sz w:val="18"/>
          <w:szCs w:val="18"/>
          <w:lang w:val="nl-BE"/>
        </w:rPr>
        <w:t xml:space="preserve">, J. </w:t>
      </w:r>
      <w:r w:rsidRPr="0014243F">
        <w:rPr>
          <w:rFonts w:ascii="Century" w:hAnsi="Century"/>
          <w:smallCaps/>
          <w:sz w:val="18"/>
          <w:szCs w:val="18"/>
          <w:lang w:val="nl-BE"/>
        </w:rPr>
        <w:t>Dujardin</w:t>
      </w:r>
      <w:r w:rsidR="0085368A" w:rsidRPr="0014243F">
        <w:rPr>
          <w:rFonts w:ascii="Century" w:hAnsi="Century"/>
          <w:smallCaps/>
          <w:sz w:val="18"/>
          <w:szCs w:val="18"/>
          <w:lang w:val="nl-BE"/>
        </w:rPr>
        <w:t xml:space="preserve">, </w:t>
      </w:r>
      <w:r w:rsidRPr="0014243F">
        <w:rPr>
          <w:rFonts w:ascii="Century" w:hAnsi="Century"/>
          <w:smallCaps/>
          <w:sz w:val="18"/>
          <w:szCs w:val="18"/>
          <w:lang w:val="nl-BE"/>
        </w:rPr>
        <w:t>J</w:t>
      </w:r>
      <w:r w:rsidR="0085368A" w:rsidRPr="0014243F">
        <w:rPr>
          <w:rFonts w:ascii="Century" w:hAnsi="Century"/>
          <w:smallCaps/>
          <w:sz w:val="18"/>
          <w:szCs w:val="18"/>
          <w:lang w:val="nl-BE"/>
        </w:rPr>
        <w:t>-</w:t>
      </w:r>
      <w:r w:rsidRPr="0014243F">
        <w:rPr>
          <w:rFonts w:ascii="Century" w:hAnsi="Century"/>
          <w:sz w:val="18"/>
          <w:szCs w:val="18"/>
          <w:lang w:val="nl-BE"/>
        </w:rPr>
        <w:t xml:space="preserve">Cl. </w:t>
      </w:r>
      <w:r w:rsidRPr="0092542D">
        <w:rPr>
          <w:rFonts w:ascii="Century" w:hAnsi="Century"/>
          <w:sz w:val="18"/>
          <w:szCs w:val="18"/>
          <w:lang w:val="fr-BE"/>
        </w:rPr>
        <w:t>S</w:t>
      </w:r>
      <w:r w:rsidRPr="0092542D">
        <w:rPr>
          <w:rFonts w:ascii="Century" w:hAnsi="Century"/>
          <w:smallCaps/>
          <w:sz w:val="18"/>
          <w:szCs w:val="18"/>
          <w:lang w:val="fr-BE"/>
        </w:rPr>
        <w:t>cholsem</w:t>
      </w:r>
      <w:r w:rsidRPr="0092542D">
        <w:rPr>
          <w:rFonts w:ascii="Century" w:hAnsi="Century"/>
          <w:sz w:val="18"/>
          <w:szCs w:val="18"/>
          <w:lang w:val="fr-BE"/>
        </w:rPr>
        <w:t>, L. V</w:t>
      </w:r>
      <w:r w:rsidRPr="0092542D">
        <w:rPr>
          <w:rFonts w:ascii="Century" w:hAnsi="Century"/>
          <w:smallCaps/>
          <w:sz w:val="18"/>
          <w:szCs w:val="18"/>
          <w:lang w:val="fr-BE"/>
        </w:rPr>
        <w:t>eny</w:t>
      </w:r>
      <w:r w:rsidRPr="0092542D">
        <w:rPr>
          <w:rFonts w:ascii="Century" w:hAnsi="Century"/>
          <w:sz w:val="18"/>
          <w:szCs w:val="18"/>
          <w:lang w:val="fr-BE"/>
        </w:rPr>
        <w:t xml:space="preserve"> et M. V</w:t>
      </w:r>
      <w:r w:rsidRPr="0092542D">
        <w:rPr>
          <w:rFonts w:ascii="Century" w:hAnsi="Century"/>
          <w:smallCaps/>
          <w:sz w:val="18"/>
          <w:szCs w:val="18"/>
          <w:lang w:val="fr-BE"/>
        </w:rPr>
        <w:t>erdussen</w:t>
      </w:r>
      <w:r w:rsidRPr="0092542D">
        <w:rPr>
          <w:rFonts w:ascii="Century" w:hAnsi="Century"/>
          <w:sz w:val="18"/>
          <w:szCs w:val="18"/>
          <w:lang w:val="fr-BE"/>
        </w:rPr>
        <w:t xml:space="preserve">, </w:t>
      </w:r>
      <w:r w:rsidRPr="0092542D">
        <w:rPr>
          <w:rFonts w:ascii="Century" w:hAnsi="Century"/>
          <w:i/>
          <w:sz w:val="18"/>
          <w:szCs w:val="18"/>
          <w:lang w:val="fr-BE"/>
        </w:rPr>
        <w:t>Le renouveau politique. Démocratie représentative</w:t>
      </w:r>
      <w:r w:rsidRPr="0092542D">
        <w:rPr>
          <w:rFonts w:ascii="Century" w:hAnsi="Century"/>
          <w:sz w:val="18"/>
          <w:szCs w:val="18"/>
          <w:lang w:val="fr-BE"/>
        </w:rPr>
        <w:t xml:space="preserve">, Avis du Comité scientifique chargé d'assister les commissions du Renouveau politique de la Chambre des représentants et du Sénat, </w:t>
      </w:r>
      <w:r w:rsidRPr="0092542D">
        <w:rPr>
          <w:rFonts w:ascii="Century" w:hAnsi="Century"/>
          <w:i/>
          <w:sz w:val="18"/>
          <w:szCs w:val="18"/>
          <w:lang w:val="fr-BE"/>
        </w:rPr>
        <w:t>Doc. parl.</w:t>
      </w:r>
      <w:r w:rsidRPr="0092542D">
        <w:rPr>
          <w:rFonts w:ascii="Century" w:hAnsi="Century"/>
          <w:sz w:val="18"/>
          <w:szCs w:val="18"/>
          <w:lang w:val="fr-BE"/>
        </w:rPr>
        <w:t xml:space="preserve">, s.o. 2000-2001, Chambre, n°50 1421/001 et Sénat, n°2-506/1, 23-27. </w:t>
      </w:r>
    </w:p>
  </w:footnote>
  <w:footnote w:id="34">
    <w:p w14:paraId="63E20B7F" w14:textId="6BD3E866"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14243F">
        <w:rPr>
          <w:rFonts w:ascii="Century" w:hAnsi="Century"/>
          <w:sz w:val="18"/>
          <w:szCs w:val="18"/>
          <w:lang w:val="fr-BE"/>
        </w:rPr>
        <w:t xml:space="preserve"> F. </w:t>
      </w:r>
      <w:r w:rsidRPr="0014243F">
        <w:rPr>
          <w:rFonts w:ascii="Century" w:hAnsi="Century"/>
          <w:smallCaps/>
          <w:sz w:val="18"/>
          <w:szCs w:val="18"/>
          <w:lang w:val="fr-BE"/>
        </w:rPr>
        <w:t xml:space="preserve">Bouhon, </w:t>
      </w:r>
      <w:r w:rsidRPr="0014243F">
        <w:rPr>
          <w:rFonts w:ascii="Century" w:hAnsi="Century"/>
          <w:i/>
          <w:sz w:val="18"/>
          <w:szCs w:val="18"/>
          <w:lang w:val="fr-BE"/>
        </w:rPr>
        <w:t>op. cit.</w:t>
      </w:r>
      <w:r w:rsidRPr="0014243F">
        <w:rPr>
          <w:rFonts w:ascii="Century" w:hAnsi="Century"/>
          <w:sz w:val="18"/>
          <w:szCs w:val="18"/>
          <w:lang w:val="fr-BE"/>
        </w:rPr>
        <w:t>, n°736</w:t>
      </w:r>
      <w:r w:rsidR="0085368A" w:rsidRPr="0092542D">
        <w:rPr>
          <w:rFonts w:ascii="Century" w:hAnsi="Century"/>
          <w:sz w:val="18"/>
          <w:szCs w:val="18"/>
          <w:lang w:val="fr-BE"/>
        </w:rPr>
        <w:t> ;</w:t>
      </w:r>
      <w:r w:rsidRPr="0014243F">
        <w:rPr>
          <w:rFonts w:ascii="Century" w:hAnsi="Century"/>
          <w:sz w:val="18"/>
          <w:szCs w:val="18"/>
          <w:lang w:val="fr-BE"/>
        </w:rPr>
        <w:t xml:space="preserve"> </w:t>
      </w:r>
      <w:r w:rsidR="0085368A" w:rsidRPr="0092542D">
        <w:rPr>
          <w:rFonts w:ascii="Century" w:hAnsi="Century"/>
          <w:sz w:val="18"/>
          <w:szCs w:val="18"/>
          <w:lang w:val="fr-BE"/>
        </w:rPr>
        <w:t>v</w:t>
      </w:r>
      <w:r w:rsidRPr="0092542D">
        <w:rPr>
          <w:rFonts w:ascii="Century" w:hAnsi="Century"/>
          <w:sz w:val="18"/>
          <w:szCs w:val="18"/>
          <w:lang w:val="fr-BE"/>
        </w:rPr>
        <w:t>oy. dans ce remarquable ouvrage, sur le modèle allemand, les n° 374-392, 731-741, 749-753, 764-766, 771-780.</w:t>
      </w:r>
      <w:r w:rsidR="0096567C" w:rsidRPr="0092542D">
        <w:rPr>
          <w:rFonts w:ascii="Century" w:hAnsi="Century"/>
          <w:sz w:val="18"/>
          <w:szCs w:val="18"/>
          <w:lang w:val="fr-BE"/>
        </w:rPr>
        <w:t xml:space="preserve"> Adde J. </w:t>
      </w:r>
      <w:r w:rsidR="0096567C" w:rsidRPr="0092542D">
        <w:rPr>
          <w:rFonts w:ascii="Century" w:hAnsi="Century"/>
          <w:smallCaps/>
          <w:sz w:val="18"/>
          <w:szCs w:val="18"/>
          <w:lang w:val="fr-BE"/>
        </w:rPr>
        <w:t xml:space="preserve">Sohier, </w:t>
      </w:r>
      <w:r w:rsidR="0096567C" w:rsidRPr="0092542D">
        <w:rPr>
          <w:rFonts w:ascii="Century" w:hAnsi="Century"/>
          <w:i/>
          <w:iCs/>
          <w:sz w:val="18"/>
          <w:szCs w:val="18"/>
          <w:lang w:val="fr-BE"/>
        </w:rPr>
        <w:t>Système électoral, Etat particratique, régime représentatif – 10 propositions pour réformer la démocratie belge</w:t>
      </w:r>
      <w:r w:rsidR="0096567C" w:rsidRPr="0092542D">
        <w:rPr>
          <w:rFonts w:ascii="Century" w:hAnsi="Century"/>
          <w:sz w:val="18"/>
          <w:szCs w:val="18"/>
          <w:lang w:val="fr-BE"/>
        </w:rPr>
        <w:t>, Limal, Anthemis, 2022, p. 32 et sv., 169-172.</w:t>
      </w:r>
    </w:p>
  </w:footnote>
  <w:footnote w:id="35">
    <w:p w14:paraId="71DFE41F"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L’instauration de cette faculté a été souhaitée lors de leurs interventions le 21 septembre 2022 par les députés Kristof Calvo et Wouter Beke. </w:t>
      </w:r>
    </w:p>
  </w:footnote>
  <w:footnote w:id="36">
    <w:p w14:paraId="78C341F7" w14:textId="3B8780B3" w:rsidR="00C74BA5" w:rsidRPr="0092542D" w:rsidRDefault="00000000" w:rsidP="00C74BA5">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Nous précisons que cette deux</w:t>
      </w:r>
      <w:r w:rsidR="0011291F" w:rsidRPr="0092542D">
        <w:rPr>
          <w:rFonts w:ascii="Century" w:hAnsi="Century" w:cs="Times New Roman"/>
          <w:sz w:val="18"/>
          <w:szCs w:val="18"/>
          <w:lang w:val="fr-BE"/>
        </w:rPr>
        <w:t>i</w:t>
      </w:r>
      <w:r w:rsidRPr="0092542D">
        <w:rPr>
          <w:rFonts w:ascii="Century" w:hAnsi="Century" w:cs="Times New Roman"/>
          <w:sz w:val="18"/>
          <w:szCs w:val="18"/>
          <w:lang w:val="fr-BE"/>
        </w:rPr>
        <w:t xml:space="preserve">ème piste n’était pas examinée dans le rapport initial que nous avons déposé auprès de la Commission </w:t>
      </w:r>
      <w:r w:rsidRPr="0092542D">
        <w:rPr>
          <w:rFonts w:ascii="Century" w:hAnsi="Century" w:cs="Times New Roman"/>
          <w:sz w:val="18"/>
          <w:szCs w:val="18"/>
          <w:lang w:val="fr-FR"/>
        </w:rPr>
        <w:t>parlementaire de la Constitution et du Renouveau institutionnel le 7 décembre 2022.</w:t>
      </w:r>
    </w:p>
  </w:footnote>
  <w:footnote w:id="37">
    <w:p w14:paraId="75C6A653" w14:textId="77777777" w:rsidR="00C74BA5" w:rsidRPr="0092542D" w:rsidRDefault="00000000" w:rsidP="0014243F">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Pour les </w:t>
      </w:r>
      <w:r w:rsidRPr="0092542D">
        <w:rPr>
          <w:rFonts w:ascii="Century" w:hAnsi="Century" w:cs="Times New Roman"/>
          <w:sz w:val="18"/>
          <w:szCs w:val="18"/>
          <w:lang w:val="fr-BE"/>
        </w:rPr>
        <w:t>raisons</w:t>
      </w:r>
      <w:r w:rsidRPr="0092542D">
        <w:rPr>
          <w:rFonts w:ascii="Century" w:hAnsi="Century"/>
          <w:sz w:val="18"/>
          <w:szCs w:val="18"/>
          <w:lang w:val="fr-BE"/>
        </w:rPr>
        <w:t xml:space="preserve"> évoquées lors de l’examen de la première piste. </w:t>
      </w:r>
    </w:p>
  </w:footnote>
  <w:footnote w:id="38">
    <w:p w14:paraId="60E7B942" w14:textId="65F85D59" w:rsidR="00C74BA5" w:rsidRPr="0092542D" w:rsidRDefault="00000000" w:rsidP="00C74BA5">
      <w:pPr>
        <w:pStyle w:val="Notedebasdepage"/>
        <w:spacing w:before="20" w:after="20"/>
        <w:ind w:left="567" w:right="567"/>
        <w:jc w:val="both"/>
        <w:rPr>
          <w:rFonts w:ascii="Century" w:hAnsi="Century" w:cs="Times New Roman"/>
          <w:sz w:val="18"/>
          <w:szCs w:val="18"/>
          <w:shd w:val="clear" w:color="auto" w:fill="FFFFFF"/>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Voy. notamment l’intervention de </w:t>
      </w:r>
      <w:r w:rsidRPr="0092542D">
        <w:rPr>
          <w:rFonts w:ascii="Century" w:hAnsi="Century" w:cs="Times New Roman"/>
          <w:sz w:val="18"/>
          <w:szCs w:val="18"/>
          <w:shd w:val="clear" w:color="auto" w:fill="FFFFFF"/>
          <w:lang w:val="fr-BE"/>
        </w:rPr>
        <w:t>Min Reuchamps (et appuyée par Dave Sinardet) le 21 septembre 2022, faisant référence au terme de « preferendum » pour désigner un système où les électeurs auraient la possibilité d’indiquer par ordre de préférence le(s) parti(s) qui devrai(en)t gouverner, ce qui permettrait de fournir</w:t>
      </w:r>
      <w:r w:rsidR="0073365B" w:rsidRPr="0092542D">
        <w:rPr>
          <w:rFonts w:ascii="Century" w:hAnsi="Century" w:cs="Times New Roman"/>
          <w:sz w:val="18"/>
          <w:szCs w:val="18"/>
          <w:shd w:val="clear" w:color="auto" w:fill="FFFFFF"/>
          <w:lang w:val="fr-BE"/>
        </w:rPr>
        <w:t xml:space="preserve"> </w:t>
      </w:r>
      <w:r w:rsidRPr="0092542D">
        <w:rPr>
          <w:rFonts w:ascii="Century" w:hAnsi="Century" w:cs="Times New Roman"/>
          <w:sz w:val="18"/>
          <w:szCs w:val="18"/>
          <w:shd w:val="clear" w:color="auto" w:fill="FFFFFF"/>
          <w:lang w:val="fr-BE"/>
        </w:rPr>
        <w:t>une série d’informations que notre système électoral actuel ne livre pas</w:t>
      </w:r>
      <w:r w:rsidR="004708DA">
        <w:rPr>
          <w:rFonts w:ascii="Century" w:hAnsi="Century" w:cs="Times New Roman"/>
          <w:sz w:val="18"/>
          <w:szCs w:val="18"/>
          <w:shd w:val="clear" w:color="auto" w:fill="FFFFFF"/>
          <w:lang w:val="fr-BE"/>
        </w:rPr>
        <w:t>.</w:t>
      </w:r>
      <w:r w:rsidR="0073365B" w:rsidRPr="0092542D">
        <w:rPr>
          <w:rFonts w:ascii="Century" w:hAnsi="Century" w:cs="Times New Roman"/>
          <w:sz w:val="18"/>
          <w:szCs w:val="18"/>
          <w:shd w:val="clear" w:color="auto" w:fill="FFFFFF"/>
          <w:lang w:val="fr-BE"/>
        </w:rPr>
        <w:t xml:space="preserve"> </w:t>
      </w:r>
      <w:r w:rsidRPr="0092542D">
        <w:rPr>
          <w:rFonts w:ascii="Century" w:hAnsi="Century" w:cs="Times New Roman"/>
          <w:sz w:val="18"/>
          <w:szCs w:val="18"/>
          <w:shd w:val="clear" w:color="auto" w:fill="FFFFFF"/>
          <w:lang w:val="fr-BE"/>
        </w:rPr>
        <w:t xml:space="preserve">Voy. également l’intervention de Jan Velaers du 7 décembre 2022. </w:t>
      </w:r>
    </w:p>
  </w:footnote>
  <w:footnote w:id="39">
    <w:p w14:paraId="34BB039A" w14:textId="77777777" w:rsidR="00C74BA5" w:rsidRPr="0092542D" w:rsidRDefault="00000000" w:rsidP="00C74BA5">
      <w:pPr>
        <w:pStyle w:val="Notedebasdepage"/>
        <w:spacing w:before="20" w:after="20"/>
        <w:ind w:left="567" w:right="567"/>
        <w:jc w:val="both"/>
        <w:rPr>
          <w:rFonts w:ascii="Century" w:hAnsi="Century" w:cs="Times New Roman"/>
          <w:sz w:val="18"/>
          <w:szCs w:val="18"/>
        </w:rPr>
      </w:pPr>
      <w:r w:rsidRPr="0092542D">
        <w:rPr>
          <w:rStyle w:val="Appelnotedebasdep"/>
          <w:rFonts w:ascii="Century" w:hAnsi="Century" w:cs="Times New Roman"/>
          <w:sz w:val="18"/>
          <w:szCs w:val="18"/>
        </w:rPr>
        <w:footnoteRef/>
      </w:r>
      <w:r w:rsidRPr="0092542D">
        <w:rPr>
          <w:rFonts w:ascii="Century" w:hAnsi="Century" w:cs="Times New Roman"/>
          <w:sz w:val="18"/>
          <w:szCs w:val="18"/>
        </w:rPr>
        <w:t xml:space="preserve"> Voy. </w:t>
      </w:r>
      <w:r w:rsidRPr="0092542D">
        <w:rPr>
          <w:rFonts w:ascii="Century" w:hAnsi="Century" w:cs="Times New Roman"/>
          <w:sz w:val="18"/>
          <w:szCs w:val="18"/>
          <w:shd w:val="clear" w:color="auto" w:fill="FFFFFF"/>
        </w:rPr>
        <w:t xml:space="preserve">M. </w:t>
      </w:r>
      <w:r w:rsidRPr="0092542D">
        <w:rPr>
          <w:rFonts w:ascii="Century" w:hAnsi="Century" w:cs="Times New Roman"/>
          <w:smallCaps/>
          <w:sz w:val="18"/>
          <w:szCs w:val="18"/>
          <w:shd w:val="clear" w:color="auto" w:fill="FFFFFF"/>
        </w:rPr>
        <w:t>Gallagher</w:t>
      </w:r>
      <w:r w:rsidRPr="0092542D">
        <w:rPr>
          <w:rFonts w:ascii="Century" w:hAnsi="Century" w:cs="Times New Roman"/>
          <w:sz w:val="18"/>
          <w:szCs w:val="18"/>
          <w:shd w:val="clear" w:color="auto" w:fill="FFFFFF"/>
        </w:rPr>
        <w:t xml:space="preserve">, P. </w:t>
      </w:r>
      <w:r w:rsidRPr="0092542D">
        <w:rPr>
          <w:rFonts w:ascii="Century" w:hAnsi="Century" w:cs="Times New Roman"/>
          <w:smallCaps/>
          <w:sz w:val="18"/>
          <w:szCs w:val="18"/>
          <w:shd w:val="clear" w:color="auto" w:fill="FFFFFF"/>
        </w:rPr>
        <w:t>Mitchell</w:t>
      </w:r>
      <w:r w:rsidRPr="0092542D">
        <w:rPr>
          <w:rFonts w:ascii="Century" w:hAnsi="Century" w:cs="Times New Roman"/>
          <w:sz w:val="18"/>
          <w:szCs w:val="18"/>
          <w:shd w:val="clear" w:color="auto" w:fill="FFFFFF"/>
        </w:rPr>
        <w:t xml:space="preserve">, </w:t>
      </w:r>
      <w:r w:rsidRPr="0092542D">
        <w:rPr>
          <w:rFonts w:ascii="Century" w:hAnsi="Century" w:cs="Times New Roman"/>
          <w:i/>
          <w:iCs/>
          <w:sz w:val="18"/>
          <w:szCs w:val="18"/>
          <w:shd w:val="clear" w:color="auto" w:fill="FFFFFF"/>
        </w:rPr>
        <w:t>The politics of Electoral System</w:t>
      </w:r>
      <w:r w:rsidRPr="0092542D">
        <w:rPr>
          <w:rFonts w:ascii="Century" w:hAnsi="Century" w:cs="Times New Roman"/>
          <w:sz w:val="18"/>
          <w:szCs w:val="18"/>
          <w:shd w:val="clear" w:color="auto" w:fill="FFFFFF"/>
        </w:rPr>
        <w:t xml:space="preserve">, Oxford, Oxford University Press, 2005, p. 634. </w:t>
      </w:r>
    </w:p>
  </w:footnote>
  <w:footnote w:id="40">
    <w:p w14:paraId="0585F0A2" w14:textId="77777777" w:rsidR="00C74BA5" w:rsidRPr="0092542D" w:rsidRDefault="00000000" w:rsidP="00C74BA5">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Voy. à cet égard le site de l’Union Interparlementaire : </w:t>
      </w:r>
      <w:hyperlink r:id="rId3" w:history="1">
        <w:r w:rsidRPr="0092542D">
          <w:rPr>
            <w:rStyle w:val="Lienhypertexte"/>
            <w:rFonts w:ascii="Century" w:hAnsi="Century" w:cs="Times New Roman"/>
            <w:color w:val="auto"/>
            <w:sz w:val="18"/>
            <w:szCs w:val="18"/>
            <w:lang w:val="fr-BE"/>
          </w:rPr>
          <w:t>http://archive.ipu.org/parline-f/reports/1191.htm</w:t>
        </w:r>
      </w:hyperlink>
      <w:r w:rsidRPr="0092542D">
        <w:rPr>
          <w:rFonts w:ascii="Century" w:hAnsi="Century" w:cs="Times New Roman"/>
          <w:sz w:val="18"/>
          <w:szCs w:val="18"/>
          <w:lang w:val="fr-BE"/>
        </w:rPr>
        <w:t xml:space="preserve"> (consulté le 12 avril 2023) et le site officiel du gouvernement du Grand-Duché du Luxembourg : </w:t>
      </w:r>
      <w:hyperlink r:id="rId4" w:history="1">
        <w:r w:rsidRPr="0092542D">
          <w:rPr>
            <w:rStyle w:val="Lienhypertexte"/>
            <w:rFonts w:ascii="Century" w:hAnsi="Century" w:cs="Times New Roman"/>
            <w:sz w:val="18"/>
            <w:szCs w:val="18"/>
            <w:lang w:val="fr-BE"/>
          </w:rPr>
          <w:t>https://elections.public.lu/fr/systeme-electoral/legislatives-mode-emploi/principes.html</w:t>
        </w:r>
      </w:hyperlink>
      <w:r w:rsidRPr="0092542D">
        <w:rPr>
          <w:rFonts w:ascii="Century" w:hAnsi="Century" w:cs="Times New Roman"/>
          <w:sz w:val="18"/>
          <w:szCs w:val="18"/>
          <w:lang w:val="fr-BE"/>
        </w:rPr>
        <w:t xml:space="preserve"> (consulté le 12 avril 2023). </w:t>
      </w:r>
    </w:p>
  </w:footnote>
  <w:footnote w:id="41">
    <w:p w14:paraId="7E6D277A" w14:textId="77777777" w:rsidR="00C74BA5" w:rsidRPr="0092542D" w:rsidRDefault="00000000" w:rsidP="00C74BA5">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Voy. art. 35 de la loi suisse fédérale sur les droits politiques (LDP) du 17 décembre 1976. </w:t>
      </w:r>
    </w:p>
  </w:footnote>
  <w:footnote w:id="42">
    <w:p w14:paraId="3C906F1A" w14:textId="0E6AF55F" w:rsidR="00C74BA5" w:rsidRPr="0092542D" w:rsidRDefault="00000000" w:rsidP="00C74BA5">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Voy. à cet égard R. </w:t>
      </w:r>
      <w:r w:rsidRPr="0092542D">
        <w:rPr>
          <w:rFonts w:ascii="Century" w:hAnsi="Century" w:cs="Times New Roman"/>
          <w:smallCaps/>
          <w:sz w:val="18"/>
          <w:szCs w:val="18"/>
          <w:lang w:val="fr-BE"/>
        </w:rPr>
        <w:t>Mertens</w:t>
      </w:r>
      <w:r w:rsidRPr="0092542D">
        <w:rPr>
          <w:rFonts w:ascii="Century" w:hAnsi="Century" w:cs="Times New Roman"/>
          <w:sz w:val="18"/>
          <w:szCs w:val="18"/>
          <w:lang w:val="fr-BE"/>
        </w:rPr>
        <w:t xml:space="preserve">, « L’évolution des seuils électoraux en Belgique : historique, tendances et perspectives », </w:t>
      </w:r>
      <w:r w:rsidRPr="0092542D">
        <w:rPr>
          <w:rFonts w:ascii="Century" w:hAnsi="Century" w:cs="Times New Roman"/>
          <w:i/>
          <w:iCs/>
          <w:sz w:val="18"/>
          <w:szCs w:val="18"/>
          <w:lang w:val="fr-BE"/>
        </w:rPr>
        <w:t>RFDL</w:t>
      </w:r>
      <w:r w:rsidRPr="0092542D">
        <w:rPr>
          <w:rFonts w:ascii="Century" w:hAnsi="Century" w:cs="Times New Roman"/>
          <w:sz w:val="18"/>
          <w:szCs w:val="18"/>
          <w:lang w:val="fr-BE"/>
        </w:rPr>
        <w:t>, 2022, p. 406. L’auteur</w:t>
      </w:r>
      <w:r w:rsidR="00E13272" w:rsidRPr="0092542D">
        <w:rPr>
          <w:rFonts w:ascii="Century" w:hAnsi="Century" w:cs="Times New Roman"/>
          <w:sz w:val="18"/>
          <w:szCs w:val="18"/>
          <w:lang w:val="fr-BE"/>
        </w:rPr>
        <w:t xml:space="preserve"> </w:t>
      </w:r>
      <w:r w:rsidRPr="0092542D">
        <w:rPr>
          <w:rFonts w:ascii="Century" w:hAnsi="Century" w:cs="Times New Roman"/>
          <w:sz w:val="18"/>
          <w:szCs w:val="18"/>
          <w:lang w:val="fr-BE"/>
        </w:rPr>
        <w:t xml:space="preserve">souligne cependant que les électeurs étaient généralement fidèles à une seule liste, ce qui tendait à atténuer l’importance de cette possibilité de panachage. </w:t>
      </w:r>
    </w:p>
  </w:footnote>
  <w:footnote w:id="43">
    <w:p w14:paraId="0C0314FC" w14:textId="7CC5A95D" w:rsidR="00C74BA5" w:rsidRPr="0092542D" w:rsidRDefault="00000000" w:rsidP="00C74BA5">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4708DA">
        <w:rPr>
          <w:rFonts w:ascii="Century" w:hAnsi="Century"/>
          <w:sz w:val="18"/>
          <w:szCs w:val="18"/>
          <w:lang w:val="en-US"/>
        </w:rPr>
        <w:t xml:space="preserve"> </w:t>
      </w:r>
      <w:proofErr w:type="spellStart"/>
      <w:r w:rsidRPr="004708DA">
        <w:rPr>
          <w:rFonts w:ascii="Century" w:hAnsi="Century"/>
          <w:sz w:val="18"/>
          <w:szCs w:val="18"/>
          <w:lang w:val="en-US"/>
        </w:rPr>
        <w:t>Voy</w:t>
      </w:r>
      <w:proofErr w:type="spellEnd"/>
      <w:r w:rsidRPr="004708DA">
        <w:rPr>
          <w:rFonts w:ascii="Century" w:hAnsi="Century"/>
          <w:sz w:val="18"/>
          <w:szCs w:val="18"/>
          <w:lang w:val="en-US"/>
        </w:rPr>
        <w:t xml:space="preserve">. à </w:t>
      </w:r>
      <w:proofErr w:type="spellStart"/>
      <w:r w:rsidRPr="004708DA">
        <w:rPr>
          <w:rFonts w:ascii="Century" w:hAnsi="Century"/>
          <w:sz w:val="18"/>
          <w:szCs w:val="18"/>
          <w:lang w:val="en-US"/>
        </w:rPr>
        <w:t>cet</w:t>
      </w:r>
      <w:proofErr w:type="spellEnd"/>
      <w:r w:rsidRPr="004708DA">
        <w:rPr>
          <w:rFonts w:ascii="Century" w:hAnsi="Century"/>
          <w:sz w:val="18"/>
          <w:szCs w:val="18"/>
          <w:lang w:val="en-US"/>
        </w:rPr>
        <w:t xml:space="preserve"> </w:t>
      </w:r>
      <w:proofErr w:type="spellStart"/>
      <w:r w:rsidRPr="004708DA">
        <w:rPr>
          <w:rFonts w:ascii="Century" w:hAnsi="Century"/>
          <w:sz w:val="18"/>
          <w:szCs w:val="18"/>
          <w:lang w:val="en-US"/>
        </w:rPr>
        <w:t>égard</w:t>
      </w:r>
      <w:proofErr w:type="spellEnd"/>
      <w:r w:rsidRPr="004708DA">
        <w:rPr>
          <w:rFonts w:ascii="Century" w:hAnsi="Century"/>
          <w:sz w:val="18"/>
          <w:szCs w:val="18"/>
          <w:lang w:val="en-US"/>
        </w:rPr>
        <w:t xml:space="preserve"> D. </w:t>
      </w:r>
      <w:proofErr w:type="spellStart"/>
      <w:r w:rsidRPr="004708DA">
        <w:rPr>
          <w:rFonts w:ascii="Century" w:hAnsi="Century"/>
          <w:smallCaps/>
          <w:sz w:val="18"/>
          <w:szCs w:val="18"/>
          <w:lang w:val="en-US"/>
        </w:rPr>
        <w:t>Nyhuis</w:t>
      </w:r>
      <w:proofErr w:type="spellEnd"/>
      <w:r w:rsidRPr="004708DA">
        <w:rPr>
          <w:rFonts w:ascii="Century" w:hAnsi="Century"/>
          <w:sz w:val="18"/>
          <w:szCs w:val="18"/>
          <w:lang w:val="en-US"/>
        </w:rPr>
        <w:t xml:space="preserve">, « Estimating policy positions of local parties in elections with multi-vote ballot », </w:t>
      </w:r>
      <w:r w:rsidRPr="004708DA">
        <w:rPr>
          <w:rFonts w:ascii="Century" w:hAnsi="Century"/>
          <w:i/>
          <w:iCs/>
          <w:sz w:val="18"/>
          <w:szCs w:val="18"/>
          <w:lang w:val="en-US"/>
        </w:rPr>
        <w:t>Local Government Studies</w:t>
      </w:r>
      <w:r w:rsidRPr="004708DA">
        <w:rPr>
          <w:rFonts w:ascii="Century" w:hAnsi="Century"/>
          <w:sz w:val="18"/>
          <w:szCs w:val="18"/>
          <w:lang w:val="en-US"/>
        </w:rPr>
        <w:t>, 2017, Vol. 43, pp. 475–498</w:t>
      </w:r>
      <w:r w:rsidR="004708DA" w:rsidRPr="004708DA">
        <w:rPr>
          <w:rFonts w:ascii="Century" w:hAnsi="Century"/>
          <w:sz w:val="18"/>
          <w:szCs w:val="18"/>
          <w:lang w:val="en-US"/>
        </w:rPr>
        <w:t>.</w:t>
      </w:r>
      <w:r w:rsidR="00E13272" w:rsidRPr="004708DA">
        <w:rPr>
          <w:rFonts w:ascii="Century" w:hAnsi="Century"/>
          <w:sz w:val="18"/>
          <w:szCs w:val="18"/>
          <w:lang w:val="en-US"/>
        </w:rPr>
        <w:t xml:space="preserve"> </w:t>
      </w:r>
      <w:r w:rsidRPr="0092542D">
        <w:rPr>
          <w:rFonts w:ascii="Century" w:hAnsi="Century"/>
          <w:sz w:val="18"/>
          <w:szCs w:val="18"/>
          <w:lang w:val="fr-BE"/>
        </w:rPr>
        <w:t>Dans cette</w:t>
      </w:r>
      <w:r w:rsidR="00E13272" w:rsidRPr="0092542D">
        <w:rPr>
          <w:rFonts w:ascii="Century" w:hAnsi="Century"/>
          <w:sz w:val="18"/>
          <w:szCs w:val="18"/>
          <w:lang w:val="fr-BE"/>
        </w:rPr>
        <w:t xml:space="preserve"> </w:t>
      </w:r>
      <w:r w:rsidRPr="0092542D">
        <w:rPr>
          <w:rFonts w:ascii="Century" w:hAnsi="Century"/>
          <w:sz w:val="18"/>
          <w:szCs w:val="18"/>
          <w:lang w:val="fr-BE"/>
        </w:rPr>
        <w:t xml:space="preserve">étude, l’auteur analyse les élections municipales de 2014 dans la ville allemande d’Heidelberg pour lesquelles le panachage était d’application. Les électeurs avaient plusieurs options pour voter : tout d'abord, les électeurs peuvent remettre l'un des bulletins de vote sans faire aucune marque. Il en résulte un vote pour chacun des candidats. Les électeurs peuvent également marquer le nombre de voix qu'ils souhaitent attribuer à chaque candidat </w:t>
      </w:r>
      <w:r w:rsidR="004103D9" w:rsidRPr="0014243F">
        <w:rPr>
          <w:rFonts w:ascii="Century" w:hAnsi="Century"/>
          <w:sz w:val="18"/>
          <w:szCs w:val="18"/>
          <w:lang w:val="fr-BE"/>
        </w:rPr>
        <w:t>–</w:t>
      </w:r>
      <w:r w:rsidRPr="0092542D">
        <w:rPr>
          <w:rFonts w:ascii="Century" w:hAnsi="Century"/>
          <w:sz w:val="18"/>
          <w:szCs w:val="18"/>
          <w:lang w:val="fr-BE"/>
        </w:rPr>
        <w:t xml:space="preserve"> jusqu'à un maximum de trois voix par candidat. Ils peuvent même rayer certains candidats de la liste, ce qui signifie qu'aucun vote ne leur</w:t>
      </w:r>
      <w:r w:rsidR="00BB4B8A" w:rsidRPr="0092542D">
        <w:rPr>
          <w:rFonts w:ascii="Century" w:hAnsi="Century"/>
          <w:sz w:val="18"/>
          <w:szCs w:val="18"/>
          <w:lang w:val="fr-BE"/>
        </w:rPr>
        <w:t xml:space="preserve"> </w:t>
      </w:r>
      <w:r w:rsidRPr="0092542D">
        <w:rPr>
          <w:rFonts w:ascii="Century" w:hAnsi="Century"/>
          <w:sz w:val="18"/>
          <w:szCs w:val="18"/>
          <w:lang w:val="fr-BE"/>
        </w:rPr>
        <w:t>est accordé. Enfin, les électeurs ont la possibilité d'inscrire des noms figurant sur les bulletins de vote d'autres partis - et de leur attribuer jusqu'à trois voix - ce qui permet de donner des voix à des candidats figurant sur les listes de plusieurs partis (panachage). Chaque bulletin est donc nominalement associé à un parti politique donné, mais contient également des informations sur le flux de votes entre les candidats concurrents. Ces informations sont rendues publiques par les bureaux électoraux municipaux sous la forme de matrices carrées qui indiquent le nombre de voix qui ont été exprimées pour les candidats de la liste B sur un bulletin de vote de la liste A. Dominic Nyhuis déduit de ces informations que lorsque le panachage est appliqué, il est possible de déterminer des positions politiques « transpartisanes » constituant les préférences des électeurs : «</w:t>
      </w:r>
      <w:r w:rsidRPr="0092542D">
        <w:rPr>
          <w:rFonts w:ascii="Century" w:hAnsi="Century"/>
          <w:i/>
          <w:iCs/>
          <w:sz w:val="18"/>
          <w:szCs w:val="18"/>
          <w:lang w:val="fr-BE"/>
        </w:rPr>
        <w:t xml:space="preserve">When voters can spread their votes across multiple party lists in open list elections, they are more likely to select candidates from parties with similar policy positions. </w:t>
      </w:r>
      <w:r w:rsidRPr="0092542D">
        <w:rPr>
          <w:rFonts w:ascii="Century" w:hAnsi="Century"/>
          <w:i/>
          <w:iCs/>
          <w:sz w:val="18"/>
          <w:szCs w:val="18"/>
        </w:rPr>
        <w:t>The electoral results can therefore be exploited to infer parties’ preferences based on the structure of vote combinations</w:t>
      </w:r>
      <w:r w:rsidRPr="0092542D">
        <w:rPr>
          <w:rFonts w:ascii="Century" w:hAnsi="Century"/>
          <w:sz w:val="18"/>
          <w:szCs w:val="18"/>
        </w:rPr>
        <w:t xml:space="preserve"> </w:t>
      </w:r>
      <w:r w:rsidRPr="0092542D">
        <w:rPr>
          <w:rFonts w:ascii="Century" w:hAnsi="Century"/>
          <w:sz w:val="18"/>
          <w:szCs w:val="18"/>
          <w:lang w:val="en-US"/>
        </w:rPr>
        <w:t xml:space="preserve">». </w:t>
      </w:r>
      <w:r w:rsidRPr="0092542D">
        <w:rPr>
          <w:rFonts w:ascii="Century" w:hAnsi="Century"/>
          <w:sz w:val="18"/>
          <w:szCs w:val="18"/>
        </w:rPr>
        <w:t xml:space="preserve"> </w:t>
      </w:r>
    </w:p>
  </w:footnote>
  <w:footnote w:id="44">
    <w:p w14:paraId="6D48C788" w14:textId="77777777" w:rsidR="00C74BA5" w:rsidRPr="0092542D" w:rsidRDefault="00000000" w:rsidP="00C74BA5">
      <w:pPr>
        <w:autoSpaceDE w:val="0"/>
        <w:autoSpaceDN w:val="0"/>
        <w:adjustRightInd w:val="0"/>
        <w:spacing w:before="20" w:after="20" w:line="240" w:lineRule="auto"/>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rPr>
        <w:t xml:space="preserve"> D. </w:t>
      </w:r>
      <w:r w:rsidRPr="0092542D">
        <w:rPr>
          <w:rFonts w:ascii="Century" w:hAnsi="Century"/>
          <w:smallCaps/>
          <w:sz w:val="18"/>
          <w:szCs w:val="18"/>
        </w:rPr>
        <w:t>Muller</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sz w:val="18"/>
          <w:szCs w:val="18"/>
        </w:rPr>
        <w:t xml:space="preserve"> Preferences in Australian federal elections: A quick guide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i/>
          <w:iCs/>
          <w:sz w:val="18"/>
          <w:szCs w:val="18"/>
        </w:rPr>
        <w:t>Parliament of Australia Research Paper Series 2021–22</w:t>
      </w:r>
      <w:r w:rsidRPr="0092542D">
        <w:rPr>
          <w:rFonts w:ascii="Century" w:hAnsi="Century"/>
          <w:sz w:val="18"/>
          <w:szCs w:val="18"/>
        </w:rPr>
        <w:t xml:space="preserve">, 2022, </w:t>
      </w:r>
      <w:hyperlink r:id="rId5" w:history="1">
        <w:r w:rsidRPr="0092542D">
          <w:rPr>
            <w:rStyle w:val="Lienhypertexte"/>
            <w:rFonts w:ascii="Century" w:hAnsi="Century"/>
            <w:sz w:val="18"/>
            <w:szCs w:val="18"/>
          </w:rPr>
          <w:t>https://parlinfo.aph.gov.au/parlInfo/download/library/prspub/8533574/upload_binary/8533574.pdf</w:t>
        </w:r>
      </w:hyperlink>
      <w:r w:rsidRPr="0092542D">
        <w:rPr>
          <w:rFonts w:ascii="Century" w:hAnsi="Century"/>
          <w:sz w:val="18"/>
          <w:szCs w:val="18"/>
        </w:rPr>
        <w:t xml:space="preserve"> (consulté le 9 avril 2023). </w:t>
      </w:r>
    </w:p>
  </w:footnote>
  <w:footnote w:id="45">
    <w:p w14:paraId="1C1BB142" w14:textId="77777777" w:rsidR="00C74BA5" w:rsidRPr="0092542D" w:rsidRDefault="00000000" w:rsidP="00C74BA5">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Pour un exemple concret (fictif) de ce système : voy. </w:t>
      </w:r>
      <w:hyperlink r:id="rId6" w:anchor=":~:text=In%20Australia%2C%20preferential%20voting%20systems,an%20absolute%20majority%20is%20obtained" w:history="1">
        <w:r w:rsidRPr="0092542D">
          <w:rPr>
            <w:rStyle w:val="Lienhypertexte"/>
            <w:rFonts w:ascii="Century" w:hAnsi="Century"/>
            <w:sz w:val="18"/>
            <w:szCs w:val="18"/>
            <w:lang w:val="fr-BE"/>
          </w:rPr>
          <w:t>https://www.ecanz.gov.au/electoral-systems/preferential#:~:text=In%20Australia%2C%20preferential%20voting%20systems,an%20absolute%20majority%20is%20obtained</w:t>
        </w:r>
      </w:hyperlink>
      <w:r w:rsidRPr="0092542D">
        <w:rPr>
          <w:rFonts w:ascii="Century" w:hAnsi="Century"/>
          <w:sz w:val="18"/>
          <w:szCs w:val="18"/>
          <w:lang w:val="fr-BE"/>
        </w:rPr>
        <w:t xml:space="preserve"> (consulté le 12 avril 2023). </w:t>
      </w:r>
    </w:p>
  </w:footnote>
  <w:footnote w:id="46">
    <w:p w14:paraId="6D6BE666" w14:textId="77777777" w:rsidR="00C74BA5" w:rsidRPr="0092542D" w:rsidRDefault="00000000" w:rsidP="00C74BA5">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rPr>
        <w:t xml:space="preserve"> D. </w:t>
      </w:r>
      <w:r w:rsidRPr="0014243F">
        <w:rPr>
          <w:rFonts w:ascii="Century" w:hAnsi="Century"/>
          <w:smallCaps/>
          <w:sz w:val="18"/>
          <w:szCs w:val="18"/>
        </w:rPr>
        <w:t>Muller</w:t>
      </w:r>
      <w:r w:rsidRPr="0092542D">
        <w:rPr>
          <w:rFonts w:ascii="Century" w:hAnsi="Century"/>
          <w:sz w:val="18"/>
          <w:szCs w:val="18"/>
        </w:rPr>
        <w:t xml:space="preserve">, </w:t>
      </w:r>
      <w:r w:rsidRPr="0092542D">
        <w:rPr>
          <w:rFonts w:ascii="Century" w:hAnsi="Century"/>
          <w:i/>
          <w:sz w:val="18"/>
          <w:szCs w:val="18"/>
        </w:rPr>
        <w:t>op. cit</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i/>
          <w:iCs/>
          <w:sz w:val="18"/>
          <w:szCs w:val="18"/>
        </w:rPr>
        <w:t>Technically candidates do not allocate preferences: voters do. The only way a candidate can direct preferences is to communicate to their supporters how they would like them to order the candidates on their ballot papers. The way that this is typically done in Australian elections is through producing a How To Vote (HTV) card that indicates the candidate’s preferred preference distribution, and getting those HTV cards into the hands of their supporters.</w:t>
      </w:r>
      <w:r w:rsidRPr="0092542D">
        <w:rPr>
          <w:rFonts w:ascii="Century" w:hAnsi="Century"/>
          <w:sz w:val="18"/>
          <w:szCs w:val="18"/>
        </w:rPr>
        <w:t xml:space="preserve"> </w:t>
      </w:r>
      <w:r w:rsidRPr="0092542D">
        <w:rPr>
          <w:rFonts w:ascii="Century" w:hAnsi="Century"/>
          <w:i/>
          <w:iCs/>
          <w:sz w:val="18"/>
          <w:szCs w:val="18"/>
        </w:rPr>
        <w:t>Many candidates have an interest as to which candidate ‘their’ votes (that is, a ballot paper that gives them a first preference) ends up counting towards. For example, a candidate who does not have sufficient support to be one of the final two candidates in an election might want to support another candidate in the e</w:t>
      </w:r>
      <w:bookmarkStart w:id="12" w:name="OpenAt"/>
      <w:bookmarkEnd w:id="12"/>
      <w:r w:rsidRPr="0092542D">
        <w:rPr>
          <w:rFonts w:ascii="Century" w:hAnsi="Century"/>
          <w:i/>
          <w:iCs/>
          <w:sz w:val="18"/>
          <w:szCs w:val="18"/>
        </w:rPr>
        <w:t>lection who is ideologically aligned, and have their first preference votes count against that candidate</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i/>
          <w:iCs/>
          <w:sz w:val="18"/>
          <w:szCs w:val="18"/>
        </w:rPr>
        <w:t xml:space="preserve">. </w:t>
      </w:r>
    </w:p>
  </w:footnote>
  <w:footnote w:id="47">
    <w:p w14:paraId="353F6310" w14:textId="3E6038DC" w:rsidR="00E468AE" w:rsidRPr="0092542D" w:rsidRDefault="00000000" w:rsidP="00F56AAC">
      <w:pPr>
        <w:pStyle w:val="Notedebasdepage"/>
        <w:spacing w:before="20" w:after="20"/>
        <w:ind w:left="567" w:right="567"/>
        <w:jc w:val="both"/>
        <w:rPr>
          <w:rFonts w:ascii="Century" w:hAnsi="Century"/>
          <w:sz w:val="18"/>
          <w:szCs w:val="18"/>
          <w:lang w:val="nl-BE"/>
        </w:rPr>
      </w:pPr>
      <w:r w:rsidRPr="0092542D">
        <w:rPr>
          <w:rStyle w:val="Appelnotedebasdep"/>
          <w:rFonts w:ascii="Century" w:hAnsi="Century"/>
          <w:sz w:val="18"/>
          <w:szCs w:val="18"/>
        </w:rPr>
        <w:footnoteRef/>
      </w:r>
      <w:r w:rsidRPr="0092542D">
        <w:rPr>
          <w:rFonts w:ascii="Century" w:hAnsi="Century"/>
          <w:sz w:val="18"/>
          <w:szCs w:val="18"/>
          <w:lang w:val="fr-BE"/>
        </w:rPr>
        <w:t xml:space="preserve"> Sur cette idée, voy. not. </w:t>
      </w:r>
      <w:r w:rsidRPr="0014243F">
        <w:rPr>
          <w:rFonts w:ascii="Century" w:hAnsi="Century"/>
          <w:sz w:val="18"/>
          <w:szCs w:val="18"/>
          <w:lang w:val="fr-BE"/>
        </w:rPr>
        <w:t xml:space="preserve">K. </w:t>
      </w:r>
      <w:r w:rsidRPr="0014243F">
        <w:rPr>
          <w:rFonts w:ascii="Century" w:hAnsi="Century"/>
          <w:smallCaps/>
          <w:sz w:val="18"/>
          <w:szCs w:val="18"/>
          <w:lang w:val="fr-BE"/>
        </w:rPr>
        <w:t xml:space="preserve">Deschouwer </w:t>
      </w:r>
      <w:r w:rsidRPr="0014243F">
        <w:rPr>
          <w:rFonts w:ascii="Century" w:hAnsi="Century"/>
          <w:sz w:val="18"/>
          <w:szCs w:val="18"/>
          <w:lang w:val="fr-BE"/>
        </w:rPr>
        <w:t xml:space="preserve">et Ph. </w:t>
      </w:r>
      <w:r w:rsidRPr="0092542D">
        <w:rPr>
          <w:rFonts w:ascii="Century" w:hAnsi="Century"/>
          <w:smallCaps/>
          <w:sz w:val="18"/>
          <w:szCs w:val="18"/>
          <w:lang w:val="fr-FR"/>
        </w:rPr>
        <w:t xml:space="preserve">Van Parys, </w:t>
      </w:r>
      <w:r w:rsidRPr="0092542D">
        <w:rPr>
          <w:rFonts w:ascii="Century" w:hAnsi="Century"/>
          <w:sz w:val="18"/>
          <w:szCs w:val="18"/>
          <w:lang w:val="fr-FR"/>
        </w:rPr>
        <w:t xml:space="preserve">« A country-Wide Electoral District for Belgium’s Federal Parliament », in </w:t>
      </w:r>
      <w:r w:rsidRPr="0092542D">
        <w:rPr>
          <w:rFonts w:ascii="Century" w:hAnsi="Century"/>
          <w:i/>
          <w:sz w:val="18"/>
          <w:szCs w:val="18"/>
          <w:lang w:val="fr-BE"/>
        </w:rPr>
        <w:t>Electoral Engineering for a Stalled Federation</w:t>
      </w:r>
      <w:r w:rsidRPr="0092542D">
        <w:rPr>
          <w:rFonts w:ascii="Century" w:hAnsi="Century"/>
          <w:sz w:val="18"/>
          <w:szCs w:val="18"/>
          <w:lang w:val="fr-BE"/>
        </w:rPr>
        <w:t>, Re-Bel e-book, 2009 ;</w:t>
      </w:r>
      <w:r w:rsidRPr="0092542D">
        <w:rPr>
          <w:rFonts w:ascii="Century" w:hAnsi="Century"/>
          <w:smallCaps/>
          <w:sz w:val="18"/>
          <w:szCs w:val="18"/>
          <w:lang w:val="fr-BE"/>
        </w:rPr>
        <w:t xml:space="preserve"> L</w:t>
      </w:r>
      <w:r w:rsidRPr="0092542D">
        <w:rPr>
          <w:rFonts w:ascii="Century" w:hAnsi="Century"/>
          <w:sz w:val="18"/>
          <w:szCs w:val="18"/>
          <w:lang w:val="fr-BE"/>
        </w:rPr>
        <w:t>. D</w:t>
      </w:r>
      <w:r w:rsidRPr="0092542D">
        <w:rPr>
          <w:rFonts w:ascii="Century" w:hAnsi="Century"/>
          <w:smallCaps/>
          <w:sz w:val="18"/>
          <w:szCs w:val="18"/>
          <w:lang w:val="fr-BE"/>
        </w:rPr>
        <w:t xml:space="preserve">etroux, </w:t>
      </w:r>
      <w:r w:rsidRPr="0092542D">
        <w:rPr>
          <w:rFonts w:ascii="Century" w:hAnsi="Century"/>
          <w:sz w:val="18"/>
          <w:szCs w:val="18"/>
          <w:lang w:val="fr-BE"/>
        </w:rPr>
        <w:t xml:space="preserve">« La circonscription fédérale : du mythe à la réalité … ou à l’histoire », </w:t>
      </w:r>
      <w:r w:rsidRPr="0092542D">
        <w:rPr>
          <w:rFonts w:ascii="Century" w:hAnsi="Century"/>
          <w:i/>
          <w:sz w:val="18"/>
          <w:szCs w:val="18"/>
          <w:lang w:val="fr-BE"/>
        </w:rPr>
        <w:t>Revue belge de droit constitutionnel</w:t>
      </w:r>
      <w:r w:rsidRPr="0092542D">
        <w:rPr>
          <w:rFonts w:ascii="Century" w:hAnsi="Century"/>
          <w:sz w:val="18"/>
          <w:szCs w:val="18"/>
          <w:lang w:val="fr-BE"/>
        </w:rPr>
        <w:t>, 2011, p. 307 et sv</w:t>
      </w:r>
      <w:r w:rsidR="008973D4" w:rsidRPr="0092542D">
        <w:rPr>
          <w:rFonts w:ascii="Century" w:hAnsi="Century"/>
          <w:sz w:val="18"/>
          <w:szCs w:val="18"/>
          <w:lang w:val="fr-BE"/>
        </w:rPr>
        <w:t> ;</w:t>
      </w:r>
      <w:r w:rsidRPr="0092542D">
        <w:rPr>
          <w:rFonts w:ascii="Century" w:hAnsi="Century"/>
          <w:sz w:val="18"/>
          <w:szCs w:val="18"/>
          <w:lang w:val="fr-BE"/>
        </w:rPr>
        <w:t xml:space="preserve"> Lors de leurs interventions le 21 septembre 2022, se sont aussi prononcés en faveur de cette piste les politologues Jéremy Dodeigne, Jean Faniel, Min Reuchamp, Dave Sinardet, ainsi que le député Patrick Dewael. Lors de leurs interventions le 7 décembre 2022, se sont aussi prononcés en faveur de cette piste Jan Velaers (avec quelques intéressantes réserves quant à sa mise en œuvre), Marc Uyttendaele</w:t>
      </w:r>
      <w:r w:rsidR="007772F3" w:rsidRPr="0092542D">
        <w:rPr>
          <w:rFonts w:ascii="Century" w:hAnsi="Century"/>
          <w:sz w:val="18"/>
          <w:szCs w:val="18"/>
          <w:lang w:val="fr-BE"/>
        </w:rPr>
        <w:t xml:space="preserve"> et</w:t>
      </w:r>
      <w:r w:rsidR="00BB4B8A" w:rsidRPr="0092542D">
        <w:rPr>
          <w:rFonts w:ascii="Century" w:hAnsi="Century"/>
          <w:sz w:val="18"/>
          <w:szCs w:val="18"/>
          <w:lang w:val="fr-BE"/>
        </w:rPr>
        <w:t xml:space="preserve"> </w:t>
      </w:r>
      <w:r w:rsidRPr="0092542D">
        <w:rPr>
          <w:rFonts w:ascii="Century" w:hAnsi="Century"/>
          <w:sz w:val="18"/>
          <w:szCs w:val="18"/>
          <w:lang w:val="fr-BE"/>
        </w:rPr>
        <w:t xml:space="preserve">Stéphanie Wattier. </w:t>
      </w:r>
      <w:r w:rsidR="007772F3" w:rsidRPr="0092542D">
        <w:rPr>
          <w:rFonts w:ascii="Century" w:hAnsi="Century"/>
          <w:sz w:val="18"/>
          <w:szCs w:val="18"/>
          <w:lang w:val="fr-BE"/>
        </w:rPr>
        <w:t>T</w:t>
      </w:r>
      <w:r w:rsidRPr="0092542D">
        <w:rPr>
          <w:rFonts w:ascii="Century" w:hAnsi="Century"/>
          <w:sz w:val="18"/>
          <w:szCs w:val="18"/>
          <w:lang w:val="fr-BE"/>
        </w:rPr>
        <w:t>outefois</w:t>
      </w:r>
      <w:r w:rsidR="007772F3" w:rsidRPr="0092542D">
        <w:rPr>
          <w:rFonts w:ascii="Century" w:hAnsi="Century"/>
          <w:sz w:val="18"/>
          <w:szCs w:val="18"/>
          <w:lang w:val="fr-BE"/>
        </w:rPr>
        <w:t>,</w:t>
      </w:r>
      <w:r w:rsidR="00BB4B8A" w:rsidRPr="0092542D">
        <w:rPr>
          <w:rFonts w:ascii="Century" w:hAnsi="Century"/>
          <w:sz w:val="18"/>
          <w:szCs w:val="18"/>
          <w:lang w:val="fr-BE"/>
        </w:rPr>
        <w:t xml:space="preserve"> </w:t>
      </w:r>
      <w:r w:rsidR="007772F3" w:rsidRPr="0092542D">
        <w:rPr>
          <w:rFonts w:ascii="Century" w:hAnsi="Century"/>
          <w:sz w:val="18"/>
          <w:szCs w:val="18"/>
          <w:lang w:val="fr-BE"/>
        </w:rPr>
        <w:t xml:space="preserve">il n’y a guère </w:t>
      </w:r>
      <w:r w:rsidRPr="0092542D">
        <w:rPr>
          <w:rFonts w:ascii="Century" w:hAnsi="Century"/>
          <w:sz w:val="18"/>
          <w:szCs w:val="18"/>
          <w:lang w:val="fr-BE"/>
        </w:rPr>
        <w:t>de consensus entre les personnes auditionnées sur le nombre de députés à élire au sein de cette circonscription fédérale (i.e. tous les députés ou seulement une portion d’entre eux)</w:t>
      </w:r>
      <w:r w:rsidR="007772F3" w:rsidRPr="0092542D">
        <w:rPr>
          <w:rFonts w:ascii="Century" w:hAnsi="Century"/>
          <w:sz w:val="18"/>
          <w:szCs w:val="18"/>
          <w:lang w:val="fr-BE"/>
        </w:rPr>
        <w:t>.</w:t>
      </w:r>
      <w:r w:rsidRPr="0092542D">
        <w:rPr>
          <w:rFonts w:ascii="Century" w:hAnsi="Century"/>
          <w:sz w:val="18"/>
          <w:szCs w:val="18"/>
          <w:lang w:val="fr-BE"/>
        </w:rPr>
        <w:t>  Les auteurs notent également que la piste d’une circonscription fédérale a été mis</w:t>
      </w:r>
      <w:r w:rsidR="009B0365" w:rsidRPr="0092542D">
        <w:rPr>
          <w:rFonts w:ascii="Century" w:hAnsi="Century"/>
          <w:sz w:val="18"/>
          <w:szCs w:val="18"/>
          <w:lang w:val="fr-BE"/>
        </w:rPr>
        <w:t>e</w:t>
      </w:r>
      <w:r w:rsidRPr="0092542D">
        <w:rPr>
          <w:rFonts w:ascii="Century" w:hAnsi="Century"/>
          <w:sz w:val="18"/>
          <w:szCs w:val="18"/>
          <w:lang w:val="fr-BE"/>
        </w:rPr>
        <w:t xml:space="preserve"> en avant en avril 2023 par l’Open Vld dans la presse : voy. </w:t>
      </w:r>
      <w:r w:rsidRPr="0092542D">
        <w:rPr>
          <w:rFonts w:ascii="Century" w:hAnsi="Century"/>
          <w:sz w:val="18"/>
          <w:szCs w:val="18"/>
          <w:lang w:val="nl-BE"/>
        </w:rPr>
        <w:t xml:space="preserve">Het Nieuwsblad : « Van “totaal ondenkbaar” tot “in Israël zijn ze er snel van afgestapt”: experts over voorstel Open VLD om verkiezingen te hervormen », </w:t>
      </w:r>
      <w:hyperlink r:id="rId7" w:history="1">
        <w:r w:rsidRPr="0092542D">
          <w:rPr>
            <w:rStyle w:val="Lienhypertexte"/>
            <w:rFonts w:ascii="Century" w:hAnsi="Century"/>
            <w:sz w:val="18"/>
            <w:szCs w:val="18"/>
            <w:lang w:val="nl-BE"/>
          </w:rPr>
          <w:t>https://www.nieuwsblad.be/cnt/dmf20230411_94963058</w:t>
        </w:r>
      </w:hyperlink>
      <w:r w:rsidRPr="0092542D">
        <w:rPr>
          <w:rFonts w:ascii="Century" w:hAnsi="Century"/>
          <w:sz w:val="18"/>
          <w:szCs w:val="18"/>
          <w:lang w:val="nl-BE"/>
        </w:rPr>
        <w:t xml:space="preserve"> (consulté le 18 avril 2023).</w:t>
      </w:r>
    </w:p>
  </w:footnote>
  <w:footnote w:id="48">
    <w:p w14:paraId="5BC82292" w14:textId="2DB3ED76"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en ce sens </w:t>
      </w:r>
      <w:r w:rsidRPr="0092542D">
        <w:rPr>
          <w:rFonts w:ascii="Century" w:hAnsi="Century"/>
          <w:smallCaps/>
          <w:sz w:val="18"/>
          <w:szCs w:val="18"/>
          <w:lang w:val="fr-BE"/>
        </w:rPr>
        <w:t xml:space="preserve">D. Sinardet, </w:t>
      </w:r>
      <w:r w:rsidRPr="0092542D">
        <w:rPr>
          <w:rFonts w:ascii="Century" w:hAnsi="Century"/>
          <w:sz w:val="18"/>
          <w:szCs w:val="18"/>
          <w:lang w:val="fr-BE"/>
        </w:rPr>
        <w:t xml:space="preserve">« Le fédéralisme consociatif belge : vecteur d’instabilité ? », </w:t>
      </w:r>
      <w:r w:rsidRPr="0092542D">
        <w:rPr>
          <w:rFonts w:ascii="Century" w:hAnsi="Century"/>
          <w:i/>
          <w:sz w:val="18"/>
          <w:szCs w:val="18"/>
          <w:lang w:val="fr-BE"/>
        </w:rPr>
        <w:t>Pouvoirs</w:t>
      </w:r>
      <w:r w:rsidRPr="0092542D">
        <w:rPr>
          <w:rFonts w:ascii="Century" w:hAnsi="Century"/>
          <w:sz w:val="18"/>
          <w:szCs w:val="18"/>
          <w:lang w:val="fr-BE"/>
        </w:rPr>
        <w:t xml:space="preserve">, 2011/1, p. 28 et sv. </w:t>
      </w:r>
    </w:p>
  </w:footnote>
  <w:footnote w:id="49">
    <w:p w14:paraId="27E31900" w14:textId="19DFD731" w:rsidR="00E468AE" w:rsidRPr="0092542D" w:rsidRDefault="00000000" w:rsidP="00F56AAC">
      <w:pPr>
        <w:pStyle w:val="Notedebasdepage"/>
        <w:spacing w:before="20" w:after="20"/>
        <w:ind w:left="567" w:right="567"/>
        <w:jc w:val="both"/>
        <w:rPr>
          <w:rFonts w:ascii="Century" w:hAnsi="Century"/>
          <w:sz w:val="18"/>
          <w:szCs w:val="18"/>
          <w:lang w:val="en-US"/>
        </w:rPr>
      </w:pPr>
      <w:r w:rsidRPr="0092542D">
        <w:rPr>
          <w:rStyle w:val="Appelnotedebasdep"/>
          <w:rFonts w:ascii="Century" w:hAnsi="Century"/>
          <w:sz w:val="18"/>
          <w:szCs w:val="18"/>
        </w:rPr>
        <w:footnoteRef/>
      </w:r>
      <w:r w:rsidRPr="0092542D">
        <w:rPr>
          <w:rFonts w:ascii="Century" w:hAnsi="Century"/>
          <w:sz w:val="18"/>
          <w:szCs w:val="18"/>
          <w:lang w:val="en-US"/>
        </w:rPr>
        <w:t xml:space="preserve"> Voy. aussi en faveur de cette idée, aussi bien pour l’Union européenne que pour la Belgique, W. S</w:t>
      </w:r>
      <w:r w:rsidRPr="0092542D">
        <w:rPr>
          <w:rFonts w:ascii="Century" w:hAnsi="Century"/>
          <w:smallCaps/>
          <w:sz w:val="18"/>
          <w:szCs w:val="18"/>
          <w:lang w:val="en-US"/>
        </w:rPr>
        <w:t xml:space="preserve">wenden, </w:t>
      </w:r>
      <w:r w:rsidRPr="0092542D">
        <w:rPr>
          <w:rFonts w:ascii="Century" w:hAnsi="Century"/>
          <w:sz w:val="18"/>
          <w:szCs w:val="18"/>
          <w:lang w:val="en-US"/>
        </w:rPr>
        <w:t xml:space="preserve">« What –if anything– can the European Union learn from Belgian federalism and vice-versa », </w:t>
      </w:r>
      <w:r w:rsidRPr="0092542D">
        <w:rPr>
          <w:rFonts w:ascii="Century" w:hAnsi="Century"/>
          <w:i/>
          <w:sz w:val="18"/>
          <w:szCs w:val="18"/>
          <w:lang w:val="en-US"/>
        </w:rPr>
        <w:t>Regional and Federal Studies</w:t>
      </w:r>
      <w:r w:rsidRPr="0092542D">
        <w:rPr>
          <w:rFonts w:ascii="Century" w:hAnsi="Century"/>
          <w:sz w:val="18"/>
          <w:szCs w:val="18"/>
          <w:lang w:val="en-US"/>
        </w:rPr>
        <w:t>, vol. 15, n°2, juin 2005, p. 200-202 et  S. R</w:t>
      </w:r>
      <w:r w:rsidRPr="0092542D">
        <w:rPr>
          <w:rFonts w:ascii="Century" w:hAnsi="Century"/>
          <w:smallCaps/>
          <w:sz w:val="18"/>
          <w:szCs w:val="18"/>
          <w:lang w:val="en-US"/>
        </w:rPr>
        <w:t xml:space="preserve">ummens </w:t>
      </w:r>
      <w:r w:rsidRPr="0092542D">
        <w:rPr>
          <w:rFonts w:ascii="Century" w:hAnsi="Century"/>
          <w:sz w:val="18"/>
          <w:szCs w:val="18"/>
          <w:lang w:val="en-US"/>
        </w:rPr>
        <w:t>et S. S</w:t>
      </w:r>
      <w:r w:rsidRPr="0092542D">
        <w:rPr>
          <w:rFonts w:ascii="Century" w:hAnsi="Century"/>
          <w:smallCaps/>
          <w:sz w:val="18"/>
          <w:szCs w:val="18"/>
          <w:lang w:val="en-US"/>
        </w:rPr>
        <w:t xml:space="preserve">ottiaux, </w:t>
      </w:r>
      <w:r w:rsidRPr="0092542D">
        <w:rPr>
          <w:rFonts w:ascii="Century" w:hAnsi="Century"/>
          <w:sz w:val="18"/>
          <w:szCs w:val="18"/>
          <w:lang w:val="en-US"/>
        </w:rPr>
        <w:t>« Democratic Legitimacy</w:t>
      </w:r>
      <w:r w:rsidRPr="0092542D">
        <w:rPr>
          <w:rFonts w:ascii="Century" w:hAnsi="Century"/>
          <w:smallCaps/>
          <w:sz w:val="18"/>
          <w:szCs w:val="18"/>
          <w:lang w:val="en-US"/>
        </w:rPr>
        <w:t xml:space="preserve"> </w:t>
      </w:r>
      <w:r w:rsidRPr="0092542D">
        <w:rPr>
          <w:rFonts w:ascii="Century" w:hAnsi="Century"/>
          <w:sz w:val="18"/>
          <w:szCs w:val="18"/>
          <w:lang w:val="en-US"/>
        </w:rPr>
        <w:t xml:space="preserve">in the </w:t>
      </w:r>
      <w:r w:rsidRPr="0092542D">
        <w:rPr>
          <w:rFonts w:ascii="Century" w:hAnsi="Century"/>
          <w:i/>
          <w:sz w:val="18"/>
          <w:szCs w:val="18"/>
          <w:lang w:val="en-US"/>
        </w:rPr>
        <w:t>Bund</w:t>
      </w:r>
      <w:r w:rsidRPr="0092542D">
        <w:rPr>
          <w:rFonts w:ascii="Century" w:hAnsi="Century"/>
          <w:sz w:val="18"/>
          <w:szCs w:val="18"/>
          <w:lang w:val="en-US"/>
        </w:rPr>
        <w:t xml:space="preserve"> or ‘Federation of States’ : the Cases of Belgium and the EU », </w:t>
      </w:r>
      <w:r w:rsidRPr="0092542D">
        <w:rPr>
          <w:rFonts w:ascii="Century" w:hAnsi="Century"/>
          <w:i/>
          <w:sz w:val="18"/>
          <w:szCs w:val="18"/>
          <w:lang w:val="en-US"/>
        </w:rPr>
        <w:t>European Law Journal</w:t>
      </w:r>
      <w:r w:rsidRPr="0092542D">
        <w:rPr>
          <w:rFonts w:ascii="Century" w:hAnsi="Century"/>
          <w:sz w:val="18"/>
          <w:szCs w:val="18"/>
          <w:lang w:val="en-US"/>
        </w:rPr>
        <w:t xml:space="preserve">, vol. 20, n°4, juillet 2014, p. 581-584. </w:t>
      </w:r>
    </w:p>
  </w:footnote>
  <w:footnote w:id="50">
    <w:p w14:paraId="4E42E64C" w14:textId="77777777" w:rsidR="00E468AE" w:rsidRPr="0092542D" w:rsidRDefault="00000000" w:rsidP="00F56AAC">
      <w:pPr>
        <w:pStyle w:val="Notedebasdepage"/>
        <w:spacing w:before="20" w:after="20"/>
        <w:ind w:left="567" w:right="567"/>
        <w:jc w:val="both"/>
        <w:rPr>
          <w:rFonts w:ascii="Century" w:hAnsi="Century"/>
          <w:sz w:val="18"/>
          <w:szCs w:val="18"/>
          <w:lang w:val="nl-BE"/>
        </w:rPr>
      </w:pPr>
      <w:r w:rsidRPr="0092542D">
        <w:rPr>
          <w:rStyle w:val="Appelnotedebasdep"/>
          <w:rFonts w:ascii="Century" w:hAnsi="Century"/>
          <w:sz w:val="18"/>
          <w:szCs w:val="18"/>
        </w:rPr>
        <w:footnoteRef/>
      </w:r>
      <w:r w:rsidRPr="0092542D">
        <w:rPr>
          <w:rFonts w:ascii="Century" w:hAnsi="Century"/>
          <w:sz w:val="18"/>
          <w:szCs w:val="18"/>
          <w:lang w:val="nl-BE"/>
        </w:rPr>
        <w:t xml:space="preserve"> L. D</w:t>
      </w:r>
      <w:r w:rsidRPr="0092542D">
        <w:rPr>
          <w:rFonts w:ascii="Century" w:hAnsi="Century"/>
          <w:smallCaps/>
          <w:sz w:val="18"/>
          <w:szCs w:val="18"/>
          <w:lang w:val="nl-BE"/>
        </w:rPr>
        <w:t>etroux</w:t>
      </w:r>
      <w:r w:rsidRPr="0092542D">
        <w:rPr>
          <w:rFonts w:ascii="Century" w:hAnsi="Century"/>
          <w:sz w:val="18"/>
          <w:szCs w:val="18"/>
          <w:lang w:val="nl-BE"/>
        </w:rPr>
        <w:t xml:space="preserve">, </w:t>
      </w:r>
      <w:r w:rsidRPr="0092542D">
        <w:rPr>
          <w:rFonts w:ascii="Century" w:hAnsi="Century"/>
          <w:i/>
          <w:sz w:val="18"/>
          <w:szCs w:val="18"/>
          <w:lang w:val="nl-BE"/>
        </w:rPr>
        <w:t>op. cit</w:t>
      </w:r>
      <w:r w:rsidRPr="0092542D">
        <w:rPr>
          <w:rFonts w:ascii="Century" w:hAnsi="Century"/>
          <w:sz w:val="18"/>
          <w:szCs w:val="18"/>
          <w:lang w:val="nl-BE"/>
        </w:rPr>
        <w:t xml:space="preserve">., p. 332. </w:t>
      </w:r>
    </w:p>
  </w:footnote>
  <w:footnote w:id="51">
    <w:p w14:paraId="7789CE84"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w:t>
      </w:r>
      <w:r w:rsidRPr="0092542D">
        <w:rPr>
          <w:rFonts w:ascii="Century" w:hAnsi="Century"/>
          <w:i/>
          <w:sz w:val="18"/>
          <w:szCs w:val="18"/>
          <w:lang w:val="fr-BE"/>
        </w:rPr>
        <w:t>Ibidem</w:t>
      </w:r>
      <w:r w:rsidRPr="0092542D">
        <w:rPr>
          <w:rFonts w:ascii="Century" w:hAnsi="Century"/>
          <w:sz w:val="18"/>
          <w:szCs w:val="18"/>
          <w:lang w:val="fr-BE"/>
        </w:rPr>
        <w:t xml:space="preserve">, p. 311. </w:t>
      </w:r>
    </w:p>
  </w:footnote>
  <w:footnote w:id="52">
    <w:p w14:paraId="7CC4A725"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H. D</w:t>
      </w:r>
      <w:r w:rsidRPr="0092542D">
        <w:rPr>
          <w:rFonts w:ascii="Century" w:hAnsi="Century"/>
          <w:smallCaps/>
          <w:sz w:val="18"/>
          <w:szCs w:val="18"/>
          <w:lang w:val="fr-BE"/>
        </w:rPr>
        <w:t xml:space="preserve">umont, M. El Berhoumi </w:t>
      </w:r>
      <w:r w:rsidRPr="0092542D">
        <w:rPr>
          <w:rFonts w:ascii="Century" w:hAnsi="Century"/>
          <w:sz w:val="18"/>
          <w:szCs w:val="18"/>
          <w:lang w:val="fr-BE"/>
        </w:rPr>
        <w:t xml:space="preserve"> et I. </w:t>
      </w:r>
      <w:r w:rsidRPr="0092542D">
        <w:rPr>
          <w:rFonts w:ascii="Century" w:hAnsi="Century"/>
          <w:smallCaps/>
          <w:sz w:val="18"/>
          <w:szCs w:val="18"/>
          <w:lang w:val="fr-BE"/>
        </w:rPr>
        <w:t xml:space="preserve">Hachez </w:t>
      </w:r>
      <w:r w:rsidRPr="0092542D">
        <w:rPr>
          <w:rFonts w:ascii="Century" w:hAnsi="Century"/>
          <w:sz w:val="18"/>
          <w:szCs w:val="18"/>
          <w:lang w:val="fr-BE"/>
        </w:rPr>
        <w:t xml:space="preserve">(dir.), </w:t>
      </w:r>
      <w:r w:rsidRPr="0092542D">
        <w:rPr>
          <w:rFonts w:ascii="Century" w:hAnsi="Century"/>
          <w:i/>
          <w:sz w:val="18"/>
          <w:szCs w:val="18"/>
          <w:lang w:val="fr-BE"/>
        </w:rPr>
        <w:t>La sixième réforme de l’Etat : l’art de ne pas choisir ou l’art du compromis ?</w:t>
      </w:r>
      <w:r w:rsidRPr="0092542D">
        <w:rPr>
          <w:rFonts w:ascii="Century" w:hAnsi="Century"/>
          <w:sz w:val="18"/>
          <w:szCs w:val="18"/>
          <w:lang w:val="fr-BE"/>
        </w:rPr>
        <w:t xml:space="preserve">, Bruxelles, Larcier, 2015, p. 69. </w:t>
      </w:r>
    </w:p>
  </w:footnote>
  <w:footnote w:id="53">
    <w:p w14:paraId="1F4D26C3"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à ce sujet </w:t>
      </w:r>
      <w:r w:rsidRPr="0092542D">
        <w:rPr>
          <w:rFonts w:ascii="Century" w:hAnsi="Century"/>
          <w:i/>
          <w:sz w:val="18"/>
          <w:szCs w:val="18"/>
          <w:lang w:val="fr-BE"/>
        </w:rPr>
        <w:t>ibidem</w:t>
      </w:r>
      <w:r w:rsidRPr="0092542D">
        <w:rPr>
          <w:rFonts w:ascii="Century" w:hAnsi="Century"/>
          <w:sz w:val="18"/>
          <w:szCs w:val="18"/>
          <w:lang w:val="fr-BE"/>
        </w:rPr>
        <w:t xml:space="preserve">, p. 64-65. </w:t>
      </w:r>
    </w:p>
  </w:footnote>
  <w:footnote w:id="54">
    <w:p w14:paraId="6DD4C51A" w14:textId="0C722771" w:rsidR="00E468AE" w:rsidRPr="0092542D" w:rsidRDefault="00000000" w:rsidP="00F56AAC">
      <w:pPr>
        <w:pStyle w:val="Notedebasdepage"/>
        <w:spacing w:before="20" w:after="20"/>
        <w:ind w:left="567" w:right="567"/>
        <w:jc w:val="both"/>
        <w:rPr>
          <w:rFonts w:ascii="Century" w:hAnsi="Century"/>
          <w:sz w:val="18"/>
          <w:szCs w:val="18"/>
          <w:highlight w:val="cyan"/>
        </w:rPr>
      </w:pPr>
      <w:r w:rsidRPr="0092542D">
        <w:rPr>
          <w:rStyle w:val="Appelnotedebasdep"/>
          <w:rFonts w:ascii="Century" w:hAnsi="Century"/>
          <w:sz w:val="18"/>
          <w:szCs w:val="18"/>
        </w:rPr>
        <w:footnoteRef/>
      </w:r>
      <w:r w:rsidRPr="0092542D">
        <w:rPr>
          <w:rFonts w:ascii="Century" w:hAnsi="Century"/>
          <w:sz w:val="18"/>
          <w:szCs w:val="18"/>
          <w:lang w:val="fr-BE"/>
        </w:rPr>
        <w:t xml:space="preserve"> Sur le modèle de formation du gouvernement au Pays-Bas, voy. not. </w:t>
      </w:r>
      <w:r w:rsidRPr="0092542D">
        <w:rPr>
          <w:rFonts w:ascii="Century" w:hAnsi="Century"/>
          <w:sz w:val="18"/>
          <w:szCs w:val="18"/>
        </w:rPr>
        <w:t xml:space="preserve">A. </w:t>
      </w:r>
      <w:r w:rsidRPr="0092542D">
        <w:rPr>
          <w:rFonts w:ascii="Century" w:hAnsi="Century"/>
          <w:smallCaps/>
          <w:sz w:val="18"/>
          <w:szCs w:val="18"/>
        </w:rPr>
        <w:t>Krouwel</w:t>
      </w:r>
      <w:r w:rsidRPr="0092542D">
        <w:rPr>
          <w:rFonts w:ascii="Century" w:hAnsi="Century"/>
          <w:sz w:val="18"/>
          <w:szCs w:val="18"/>
        </w:rPr>
        <w:t xml:space="preserve"> et J. </w:t>
      </w:r>
      <w:r w:rsidRPr="0092542D">
        <w:rPr>
          <w:rFonts w:ascii="Century" w:hAnsi="Century"/>
          <w:smallCaps/>
          <w:sz w:val="18"/>
          <w:szCs w:val="18"/>
        </w:rPr>
        <w:t>Koedam</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sz w:val="18"/>
          <w:szCs w:val="18"/>
        </w:rPr>
        <w:t xml:space="preserve"> Parliamentary Parties in the Netherlands: Informal Investiture behind Closed Doors </w:t>
      </w:r>
      <w:r w:rsidRPr="0092542D">
        <w:rPr>
          <w:rFonts w:ascii="Century" w:hAnsi="Century"/>
          <w:sz w:val="18"/>
          <w:szCs w:val="18"/>
          <w:lang w:val="en-US"/>
        </w:rPr>
        <w:t>»</w:t>
      </w:r>
      <w:r w:rsidRPr="0092542D">
        <w:rPr>
          <w:rFonts w:ascii="Century" w:hAnsi="Century"/>
          <w:sz w:val="18"/>
          <w:szCs w:val="18"/>
        </w:rPr>
        <w:t xml:space="preserve">, in </w:t>
      </w:r>
      <w:r w:rsidRPr="0092542D">
        <w:rPr>
          <w:rFonts w:ascii="Century" w:hAnsi="Century"/>
          <w:i/>
          <w:iCs/>
          <w:sz w:val="18"/>
          <w:szCs w:val="18"/>
        </w:rPr>
        <w:t>Parliaments and Government Formation: Unpacking Investiture Rules</w:t>
      </w:r>
      <w:r w:rsidRPr="0092542D">
        <w:rPr>
          <w:rFonts w:ascii="Century" w:hAnsi="Century"/>
          <w:sz w:val="18"/>
          <w:szCs w:val="18"/>
        </w:rPr>
        <w:t xml:space="preserve">, Oxford University Press, Oxford, 2015, pp 253-274; T. </w:t>
      </w:r>
      <w:r w:rsidRPr="0092542D">
        <w:rPr>
          <w:rFonts w:ascii="Century" w:hAnsi="Century"/>
          <w:smallCaps/>
          <w:sz w:val="18"/>
          <w:szCs w:val="18"/>
        </w:rPr>
        <w:t>Louwerse</w:t>
      </w:r>
      <w:r w:rsidRPr="0092542D">
        <w:rPr>
          <w:rFonts w:ascii="Century" w:hAnsi="Century"/>
          <w:sz w:val="18"/>
          <w:szCs w:val="18"/>
        </w:rPr>
        <w:t xml:space="preserve"> et A. </w:t>
      </w:r>
      <w:r w:rsidRPr="0092542D">
        <w:rPr>
          <w:rFonts w:ascii="Century" w:hAnsi="Century"/>
          <w:smallCaps/>
          <w:sz w:val="18"/>
          <w:szCs w:val="18"/>
        </w:rPr>
        <w:t>Timmermans</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sz w:val="18"/>
          <w:szCs w:val="18"/>
        </w:rPr>
        <w:t xml:space="preserve"> The Netherlands: Old Solutions to New Problems </w:t>
      </w:r>
      <w:r w:rsidRPr="0092542D">
        <w:rPr>
          <w:rFonts w:ascii="Century" w:hAnsi="Century"/>
          <w:sz w:val="18"/>
          <w:szCs w:val="18"/>
          <w:lang w:val="en-US"/>
        </w:rPr>
        <w:t>»</w:t>
      </w:r>
      <w:r w:rsidRPr="0092542D">
        <w:rPr>
          <w:rFonts w:ascii="Century" w:hAnsi="Century"/>
          <w:sz w:val="18"/>
          <w:szCs w:val="18"/>
        </w:rPr>
        <w:t xml:space="preserve">, in </w:t>
      </w:r>
      <w:r w:rsidRPr="0092542D">
        <w:rPr>
          <w:rFonts w:ascii="Century" w:hAnsi="Century" w:cs="Times New Roman"/>
          <w:i/>
          <w:iCs/>
          <w:sz w:val="18"/>
          <w:szCs w:val="18"/>
        </w:rPr>
        <w:t>Coalition Governance in Western Europe</w:t>
      </w:r>
      <w:r w:rsidRPr="0092542D">
        <w:rPr>
          <w:rFonts w:ascii="Century" w:hAnsi="Century" w:cs="Times New Roman"/>
          <w:sz w:val="18"/>
          <w:szCs w:val="18"/>
        </w:rPr>
        <w:t xml:space="preserve">, Oxford, Oxford University Press, 2021, pp. 448-481. </w:t>
      </w:r>
    </w:p>
  </w:footnote>
  <w:footnote w:id="55">
    <w:p w14:paraId="169A747A" w14:textId="7A8EFA4D"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w:t>
      </w:r>
      <w:r w:rsidRPr="0092542D">
        <w:rPr>
          <w:rFonts w:ascii="Century" w:hAnsi="Century"/>
          <w:sz w:val="18"/>
          <w:szCs w:val="18"/>
          <w:lang w:val="fr-FR"/>
        </w:rPr>
        <w:t>En théorie, étant donné que le cadre juridique néerlandais ne prévoit pas de vote de confiance positif formel, seuls les votes de défiance sont pertinents dans le contexte de l'émergence et de la disparition d'un gouvernement</w:t>
      </w:r>
      <w:r w:rsidRPr="0092542D">
        <w:rPr>
          <w:rStyle w:val="Appelnotedebasdep"/>
          <w:rFonts w:ascii="Century" w:hAnsi="Century"/>
          <w:sz w:val="18"/>
          <w:szCs w:val="18"/>
          <w:lang w:val="fr-FR"/>
        </w:rPr>
        <w:t xml:space="preserve"> </w:t>
      </w:r>
      <w:r w:rsidRPr="0092542D">
        <w:rPr>
          <w:rFonts w:ascii="Century" w:hAnsi="Century"/>
          <w:sz w:val="18"/>
          <w:szCs w:val="18"/>
          <w:lang w:val="fr-FR"/>
        </w:rPr>
        <w:t>(</w:t>
      </w:r>
      <w:r w:rsidRPr="0092542D">
        <w:rPr>
          <w:rFonts w:ascii="Century" w:hAnsi="Century"/>
          <w:sz w:val="18"/>
          <w:szCs w:val="18"/>
          <w:lang w:val="fr-BE"/>
        </w:rPr>
        <w:t xml:space="preserve">A. </w:t>
      </w:r>
      <w:r w:rsidRPr="0092542D">
        <w:rPr>
          <w:rFonts w:ascii="Century" w:hAnsi="Century"/>
          <w:smallCaps/>
          <w:sz w:val="18"/>
          <w:szCs w:val="18"/>
          <w:lang w:val="fr-BE"/>
        </w:rPr>
        <w:t>Krouwel</w:t>
      </w:r>
      <w:r w:rsidRPr="0092542D">
        <w:rPr>
          <w:rFonts w:ascii="Century" w:hAnsi="Century"/>
          <w:sz w:val="18"/>
          <w:szCs w:val="18"/>
          <w:lang w:val="fr-BE"/>
        </w:rPr>
        <w:t xml:space="preserve"> et J. </w:t>
      </w:r>
      <w:r w:rsidRPr="0092542D">
        <w:rPr>
          <w:rFonts w:ascii="Century" w:hAnsi="Century"/>
          <w:smallCaps/>
          <w:sz w:val="18"/>
          <w:szCs w:val="18"/>
          <w:lang w:val="fr-BE"/>
        </w:rPr>
        <w:t>Koedam</w:t>
      </w:r>
      <w:r w:rsidRPr="0092542D">
        <w:rPr>
          <w:rFonts w:ascii="Century" w:hAnsi="Century"/>
          <w:sz w:val="18"/>
          <w:szCs w:val="18"/>
          <w:lang w:val="fr-BE"/>
        </w:rPr>
        <w:t xml:space="preserve">, </w:t>
      </w:r>
      <w:r w:rsidRPr="0092542D">
        <w:rPr>
          <w:rFonts w:ascii="Century" w:hAnsi="Century"/>
          <w:i/>
          <w:iCs/>
          <w:sz w:val="18"/>
          <w:szCs w:val="18"/>
          <w:lang w:val="fr-BE"/>
        </w:rPr>
        <w:t>op. cit</w:t>
      </w:r>
      <w:r w:rsidRPr="0092542D">
        <w:rPr>
          <w:rFonts w:ascii="Century" w:hAnsi="Century"/>
          <w:sz w:val="18"/>
          <w:szCs w:val="18"/>
          <w:lang w:val="fr-BE"/>
        </w:rPr>
        <w:t>., p. 253 et sv</w:t>
      </w:r>
      <w:r w:rsidR="006C4BC7" w:rsidRPr="0092542D">
        <w:rPr>
          <w:rFonts w:ascii="Century" w:hAnsi="Century"/>
          <w:sz w:val="18"/>
          <w:szCs w:val="18"/>
          <w:lang w:val="fr-BE"/>
        </w:rPr>
        <w:t>.</w:t>
      </w:r>
      <w:r w:rsidRPr="0092542D">
        <w:rPr>
          <w:rFonts w:ascii="Century" w:hAnsi="Century"/>
          <w:sz w:val="18"/>
          <w:szCs w:val="18"/>
          <w:lang w:val="fr-BE"/>
        </w:rPr>
        <w:t>)</w:t>
      </w:r>
      <w:r w:rsidRPr="0092542D">
        <w:rPr>
          <w:rFonts w:ascii="Century" w:hAnsi="Century"/>
          <w:sz w:val="18"/>
          <w:szCs w:val="18"/>
          <w:lang w:val="fr-FR"/>
        </w:rPr>
        <w:t xml:space="preserve">. Il faut toutefois préciser que le règlement de la </w:t>
      </w:r>
      <w:r w:rsidRPr="0092542D">
        <w:rPr>
          <w:rFonts w:ascii="Century" w:hAnsi="Century"/>
          <w:i/>
          <w:iCs/>
          <w:sz w:val="18"/>
          <w:szCs w:val="18"/>
          <w:lang w:val="fr-FR"/>
        </w:rPr>
        <w:t>Tweede Kamer</w:t>
      </w:r>
      <w:r w:rsidRPr="0092542D">
        <w:rPr>
          <w:rFonts w:ascii="Century" w:hAnsi="Century"/>
          <w:sz w:val="18"/>
          <w:szCs w:val="18"/>
          <w:lang w:val="fr-FR"/>
        </w:rPr>
        <w:t xml:space="preserve"> prévoit explicitement la nomination du formateur du gouvernement, ce qui pourrait rapprocher les Pays-Bas des Etats présentant un régime de formation du gouvernement de « type positif » (sur cette notion, voy. les commentaires sur la </w:t>
      </w:r>
      <w:r w:rsidR="006E403C" w:rsidRPr="0092542D">
        <w:rPr>
          <w:rFonts w:ascii="Century" w:hAnsi="Century"/>
          <w:sz w:val="18"/>
          <w:szCs w:val="18"/>
          <w:lang w:val="fr-FR"/>
        </w:rPr>
        <w:t>6</w:t>
      </w:r>
      <w:r w:rsidRPr="0092542D">
        <w:rPr>
          <w:rFonts w:ascii="Century" w:hAnsi="Century"/>
          <w:sz w:val="18"/>
          <w:szCs w:val="18"/>
          <w:vertAlign w:val="superscript"/>
          <w:lang w:val="fr-FR"/>
        </w:rPr>
        <w:t>ème</w:t>
      </w:r>
      <w:r w:rsidRPr="0092542D">
        <w:rPr>
          <w:rFonts w:ascii="Century" w:hAnsi="Century"/>
          <w:sz w:val="18"/>
          <w:szCs w:val="18"/>
          <w:lang w:val="fr-FR"/>
        </w:rPr>
        <w:t xml:space="preserve"> piste). La nomination du formateur par le Parlement n’est cependant pas une obligation constitutionnelle ou légale, de sorte que les Pays-Bas restent à ce jour </w:t>
      </w:r>
      <w:r w:rsidR="009B0365" w:rsidRPr="0092542D">
        <w:rPr>
          <w:rFonts w:ascii="Century" w:hAnsi="Century"/>
          <w:sz w:val="18"/>
          <w:szCs w:val="18"/>
          <w:lang w:val="fr-FR"/>
        </w:rPr>
        <w:t xml:space="preserve">classés </w:t>
      </w:r>
      <w:r w:rsidRPr="0092542D">
        <w:rPr>
          <w:rFonts w:ascii="Century" w:hAnsi="Century"/>
          <w:sz w:val="18"/>
          <w:szCs w:val="18"/>
          <w:lang w:val="fr-FR"/>
        </w:rPr>
        <w:t xml:space="preserve">parmi les régimes de « type négatif » (sur cette notion, voy. les commentaires sur la </w:t>
      </w:r>
      <w:r w:rsidR="006E403C" w:rsidRPr="0092542D">
        <w:rPr>
          <w:rFonts w:ascii="Century" w:hAnsi="Century"/>
          <w:sz w:val="18"/>
          <w:szCs w:val="18"/>
          <w:lang w:val="fr-FR"/>
        </w:rPr>
        <w:t>6</w:t>
      </w:r>
      <w:r w:rsidRPr="0092542D">
        <w:rPr>
          <w:rFonts w:ascii="Century" w:hAnsi="Century"/>
          <w:sz w:val="18"/>
          <w:szCs w:val="18"/>
          <w:vertAlign w:val="superscript"/>
          <w:lang w:val="fr-FR"/>
        </w:rPr>
        <w:t>ème</w:t>
      </w:r>
      <w:r w:rsidRPr="0092542D">
        <w:rPr>
          <w:rFonts w:ascii="Century" w:hAnsi="Century"/>
          <w:sz w:val="18"/>
          <w:szCs w:val="18"/>
          <w:lang w:val="fr-FR"/>
        </w:rPr>
        <w:t xml:space="preserve"> piste).</w:t>
      </w:r>
    </w:p>
  </w:footnote>
  <w:footnote w:id="56">
    <w:p w14:paraId="3E7333E1" w14:textId="77777777" w:rsidR="00E468AE" w:rsidRPr="0092542D" w:rsidRDefault="00000000" w:rsidP="00F56AAC">
      <w:pPr>
        <w:pStyle w:val="Notedebasdepage"/>
        <w:spacing w:before="20" w:after="20"/>
        <w:ind w:left="567" w:right="567"/>
        <w:jc w:val="both"/>
        <w:rPr>
          <w:rFonts w:ascii="Century" w:hAnsi="Century"/>
          <w:sz w:val="18"/>
          <w:szCs w:val="18"/>
          <w:lang w:val="nl-BE"/>
        </w:rPr>
      </w:pPr>
      <w:r w:rsidRPr="0092542D">
        <w:rPr>
          <w:rStyle w:val="Appelnotedebasdep"/>
          <w:rFonts w:ascii="Century" w:hAnsi="Century"/>
          <w:sz w:val="18"/>
          <w:szCs w:val="18"/>
        </w:rPr>
        <w:footnoteRef/>
      </w:r>
      <w:r w:rsidRPr="0092542D">
        <w:rPr>
          <w:rFonts w:ascii="Century" w:hAnsi="Century"/>
          <w:sz w:val="18"/>
          <w:szCs w:val="18"/>
          <w:lang w:val="nl-BE"/>
        </w:rPr>
        <w:t xml:space="preserve"> A. </w:t>
      </w:r>
      <w:r w:rsidRPr="0092542D">
        <w:rPr>
          <w:rFonts w:ascii="Century" w:hAnsi="Century"/>
          <w:smallCaps/>
          <w:sz w:val="18"/>
          <w:szCs w:val="18"/>
          <w:lang w:val="nl-BE"/>
        </w:rPr>
        <w:t>Krouwel</w:t>
      </w:r>
      <w:r w:rsidRPr="0092542D">
        <w:rPr>
          <w:rFonts w:ascii="Century" w:hAnsi="Century"/>
          <w:sz w:val="18"/>
          <w:szCs w:val="18"/>
          <w:lang w:val="nl-BE"/>
        </w:rPr>
        <w:t xml:space="preserve"> et J. </w:t>
      </w:r>
      <w:r w:rsidRPr="0092542D">
        <w:rPr>
          <w:rFonts w:ascii="Century" w:hAnsi="Century"/>
          <w:smallCaps/>
          <w:sz w:val="18"/>
          <w:szCs w:val="18"/>
          <w:lang w:val="nl-BE"/>
        </w:rPr>
        <w:t>Koedam</w:t>
      </w:r>
      <w:r w:rsidRPr="0092542D">
        <w:rPr>
          <w:rFonts w:ascii="Century" w:hAnsi="Century"/>
          <w:sz w:val="18"/>
          <w:szCs w:val="18"/>
          <w:lang w:val="nl-BE"/>
        </w:rPr>
        <w:t xml:space="preserve">, </w:t>
      </w:r>
      <w:r w:rsidRPr="0092542D">
        <w:rPr>
          <w:rFonts w:ascii="Century" w:hAnsi="Century"/>
          <w:i/>
          <w:iCs/>
          <w:sz w:val="18"/>
          <w:szCs w:val="18"/>
          <w:lang w:val="nl-BE"/>
        </w:rPr>
        <w:t>op. cit</w:t>
      </w:r>
      <w:r w:rsidRPr="0092542D">
        <w:rPr>
          <w:rFonts w:ascii="Century" w:hAnsi="Century"/>
          <w:sz w:val="18"/>
          <w:szCs w:val="18"/>
          <w:lang w:val="nl-BE"/>
        </w:rPr>
        <w:t>, p. 271.</w:t>
      </w:r>
    </w:p>
  </w:footnote>
  <w:footnote w:id="57">
    <w:p w14:paraId="7784FF46" w14:textId="5D3A9DC3" w:rsidR="0066065D" w:rsidRPr="0092542D" w:rsidRDefault="00000000" w:rsidP="0066065D">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L'adoption de cette réforme a été rendue possible par l'affaiblissement électoral des chrétiens-démocrates lors des élections de 2010, qui a permis l’émergence d’une majorité parlementaire étendue en sa faveur. Lors d'un vote parlementaire en mars 2012, seuls le VVD libéral et les partis chrétiens plus monarchistes (CDA, CU et SGP) se sont opposés à la réforme, tandis que tous les partis de gauche (PvdA, SP, GreenLeft et Animal Rights Party) ainsi que la D66 de centre-droit et le PVV de droite, ont voté en faveur d'une motion visant à modifier les règles de procédure parlementaire qui traitent du processus de formation du gouvernement (A. </w:t>
      </w:r>
      <w:r w:rsidRPr="0092542D">
        <w:rPr>
          <w:rFonts w:ascii="Century" w:hAnsi="Century"/>
          <w:smallCaps/>
          <w:sz w:val="18"/>
          <w:szCs w:val="18"/>
          <w:lang w:val="fr-BE"/>
        </w:rPr>
        <w:t>Krouwel</w:t>
      </w:r>
      <w:r w:rsidRPr="0092542D">
        <w:rPr>
          <w:rFonts w:ascii="Century" w:hAnsi="Century"/>
          <w:sz w:val="18"/>
          <w:szCs w:val="18"/>
          <w:lang w:val="fr-BE"/>
        </w:rPr>
        <w:t xml:space="preserve"> et J. </w:t>
      </w:r>
      <w:r w:rsidRPr="0092542D">
        <w:rPr>
          <w:rFonts w:ascii="Century" w:hAnsi="Century"/>
          <w:smallCaps/>
          <w:sz w:val="18"/>
          <w:szCs w:val="18"/>
          <w:lang w:val="fr-BE"/>
        </w:rPr>
        <w:t>Koedam</w:t>
      </w:r>
      <w:r w:rsidRPr="0092542D">
        <w:rPr>
          <w:rFonts w:ascii="Century" w:hAnsi="Century"/>
          <w:sz w:val="18"/>
          <w:szCs w:val="18"/>
          <w:lang w:val="fr-BE"/>
        </w:rPr>
        <w:t xml:space="preserve">, </w:t>
      </w:r>
      <w:r w:rsidRPr="0092542D">
        <w:rPr>
          <w:rFonts w:ascii="Century" w:hAnsi="Century"/>
          <w:i/>
          <w:iCs/>
          <w:sz w:val="18"/>
          <w:szCs w:val="18"/>
          <w:lang w:val="fr-BE"/>
        </w:rPr>
        <w:t>op. cit</w:t>
      </w:r>
      <w:r w:rsidRPr="0092542D">
        <w:rPr>
          <w:rFonts w:ascii="Century" w:hAnsi="Century"/>
          <w:sz w:val="18"/>
          <w:szCs w:val="18"/>
          <w:lang w:val="fr-BE"/>
        </w:rPr>
        <w:t>, p. 269 et sv.)</w:t>
      </w:r>
      <w:r w:rsidR="008973D4" w:rsidRPr="0092542D">
        <w:rPr>
          <w:rFonts w:ascii="Century" w:hAnsi="Century"/>
          <w:sz w:val="18"/>
          <w:szCs w:val="18"/>
          <w:lang w:val="fr-BE"/>
        </w:rPr>
        <w:t>.</w:t>
      </w:r>
    </w:p>
  </w:footnote>
  <w:footnote w:id="58">
    <w:p w14:paraId="039CFABF"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Se sont prononcés en faveur de celle-ci lors de leurs interventions du 21 septembre 2022 Lieven De Winter, Patrick Dumont et Jean Faniel, ainsi que, mais de manière plus interrogative, Stefaan Walgrave. Cette proposition a fait l’objet de nombreuses réserves de la part de Toon Moonen lors de son intervention le 7 décembre 2022. </w:t>
      </w:r>
    </w:p>
  </w:footnote>
  <w:footnote w:id="59">
    <w:p w14:paraId="384C30ED" w14:textId="67520C5A"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aussi en ce sens les interventions en Commission du 21 septembre 2022 de </w:t>
      </w:r>
      <w:proofErr w:type="spellStart"/>
      <w:r w:rsidRPr="0092542D">
        <w:rPr>
          <w:rFonts w:ascii="Century" w:hAnsi="Century"/>
          <w:sz w:val="18"/>
          <w:szCs w:val="18"/>
          <w:lang w:val="fr-BE"/>
        </w:rPr>
        <w:t>Stefaan</w:t>
      </w:r>
      <w:proofErr w:type="spellEnd"/>
      <w:r w:rsidRPr="0092542D">
        <w:rPr>
          <w:rFonts w:ascii="Century" w:hAnsi="Century"/>
          <w:sz w:val="18"/>
          <w:szCs w:val="18"/>
          <w:lang w:val="fr-BE"/>
        </w:rPr>
        <w:t xml:space="preserve"> </w:t>
      </w:r>
      <w:proofErr w:type="spellStart"/>
      <w:r w:rsidRPr="0092542D">
        <w:rPr>
          <w:rFonts w:ascii="Century" w:hAnsi="Century"/>
          <w:sz w:val="18"/>
          <w:szCs w:val="18"/>
          <w:lang w:val="fr-BE"/>
        </w:rPr>
        <w:t>Walgrave</w:t>
      </w:r>
      <w:proofErr w:type="spellEnd"/>
      <w:r w:rsidRPr="0092542D">
        <w:rPr>
          <w:rFonts w:ascii="Century" w:hAnsi="Century"/>
          <w:sz w:val="18"/>
          <w:szCs w:val="18"/>
          <w:lang w:val="fr-BE"/>
        </w:rPr>
        <w:t xml:space="preserve">, Maxime </w:t>
      </w:r>
      <w:proofErr w:type="spellStart"/>
      <w:r w:rsidRPr="0092542D">
        <w:rPr>
          <w:rFonts w:ascii="Century" w:hAnsi="Century"/>
          <w:sz w:val="18"/>
          <w:szCs w:val="18"/>
          <w:lang w:val="fr-BE"/>
        </w:rPr>
        <w:t>Vandenberghe</w:t>
      </w:r>
      <w:proofErr w:type="spellEnd"/>
      <w:r w:rsidR="00E3428A">
        <w:rPr>
          <w:rFonts w:ascii="Century" w:hAnsi="Century"/>
          <w:sz w:val="18"/>
          <w:szCs w:val="18"/>
          <w:lang w:val="fr-BE"/>
        </w:rPr>
        <w:t>,</w:t>
      </w:r>
      <w:r w:rsidRPr="0092542D">
        <w:rPr>
          <w:rFonts w:ascii="Century" w:hAnsi="Century"/>
          <w:sz w:val="18"/>
          <w:szCs w:val="18"/>
          <w:lang w:val="fr-BE"/>
        </w:rPr>
        <w:t xml:space="preserve"> Wouter </w:t>
      </w:r>
      <w:proofErr w:type="spellStart"/>
      <w:r w:rsidRPr="0092542D">
        <w:rPr>
          <w:rFonts w:ascii="Century" w:hAnsi="Century"/>
          <w:sz w:val="18"/>
          <w:szCs w:val="18"/>
          <w:lang w:val="fr-BE"/>
        </w:rPr>
        <w:t>Beke</w:t>
      </w:r>
      <w:proofErr w:type="spellEnd"/>
      <w:r w:rsidRPr="0092542D">
        <w:rPr>
          <w:rFonts w:ascii="Century" w:hAnsi="Century"/>
          <w:sz w:val="18"/>
          <w:szCs w:val="18"/>
          <w:lang w:val="fr-BE"/>
        </w:rPr>
        <w:t xml:space="preserve"> et Sophie Wilmès. </w:t>
      </w:r>
      <w:r w:rsidRPr="0092542D">
        <w:rPr>
          <w:rFonts w:ascii="Century" w:hAnsi="Century"/>
          <w:i/>
          <w:sz w:val="18"/>
          <w:szCs w:val="18"/>
          <w:lang w:val="fr-BE"/>
        </w:rPr>
        <w:t>Contra</w:t>
      </w:r>
      <w:r w:rsidRPr="0092542D">
        <w:rPr>
          <w:rFonts w:ascii="Century" w:hAnsi="Century"/>
          <w:sz w:val="18"/>
          <w:szCs w:val="18"/>
          <w:lang w:val="fr-BE"/>
        </w:rPr>
        <w:t xml:space="preserve"> celles de Jean Faniel et Kristof Calvo. </w:t>
      </w:r>
    </w:p>
  </w:footnote>
  <w:footnote w:id="60">
    <w:p w14:paraId="5DFDCF22" w14:textId="6691ED94"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C’est également ce qu’a soutenu Marc Verdussen lors de </w:t>
      </w:r>
      <w:r w:rsidR="006C4BC7" w:rsidRPr="0092542D">
        <w:rPr>
          <w:rFonts w:ascii="Century" w:hAnsi="Century" w:cs="Times New Roman"/>
          <w:sz w:val="18"/>
          <w:szCs w:val="18"/>
          <w:lang w:val="fr-BE"/>
        </w:rPr>
        <w:t>son intervention</w:t>
      </w:r>
      <w:r w:rsidRPr="0092542D">
        <w:rPr>
          <w:rFonts w:ascii="Century" w:hAnsi="Century" w:cs="Times New Roman"/>
          <w:sz w:val="18"/>
          <w:szCs w:val="18"/>
          <w:lang w:val="fr-BE"/>
        </w:rPr>
        <w:t xml:space="preserve"> du 7 décembre 2022 en Commission de la Constitution et du Renouveau Institutionnel : « </w:t>
      </w:r>
      <w:r w:rsidRPr="0092542D">
        <w:rPr>
          <w:rFonts w:ascii="Century" w:hAnsi="Century" w:cs="Times New Roman"/>
          <w:i/>
          <w:iCs/>
          <w:sz w:val="18"/>
          <w:szCs w:val="18"/>
          <w:lang w:val="fr-BE"/>
        </w:rPr>
        <w:t>Afin de rendre ce processus plus transparent, l’orateur propose d’obliger toute personne chargée d’une mission par le Roi de se présenter, au terme de la mission, chez le Roi, puis, devant la Chambre des représentants dans le but d’informer la représentation nationale – et donc, les citoyens – de l’avancement de la crise</w:t>
      </w:r>
      <w:r w:rsidRPr="0092542D">
        <w:rPr>
          <w:rFonts w:ascii="Century" w:hAnsi="Century" w:cs="Times New Roman"/>
          <w:sz w:val="18"/>
          <w:szCs w:val="18"/>
          <w:lang w:val="fr-BE"/>
        </w:rPr>
        <w:t> » ; « </w:t>
      </w:r>
      <w:r w:rsidRPr="0092542D">
        <w:rPr>
          <w:rFonts w:ascii="Century" w:hAnsi="Century" w:cs="Times New Roman"/>
          <w:i/>
          <w:iCs/>
          <w:sz w:val="18"/>
          <w:szCs w:val="18"/>
          <w:lang w:val="fr-BE"/>
        </w:rPr>
        <w:t>M. Verdussen ne se montre pas favorable à une transparence intégrale et conçoit qu’une communication au parlement reste incomplète et minimale. Il convient de trouver un juste milieu car une période de formation de gouvernement s’étendant sur 541 jours, comme en 2010- 2011, justifie davantage de transparence pour le citoyen</w:t>
      </w:r>
      <w:r w:rsidRPr="0092542D">
        <w:rPr>
          <w:rFonts w:ascii="Century" w:hAnsi="Century" w:cs="Times New Roman"/>
          <w:sz w:val="18"/>
          <w:szCs w:val="18"/>
          <w:lang w:val="fr-BE"/>
        </w:rPr>
        <w:t> » (</w:t>
      </w:r>
      <w:r w:rsidRPr="0092542D">
        <w:rPr>
          <w:rFonts w:ascii="Century" w:hAnsi="Century" w:cs="Times New Roman"/>
          <w:i/>
          <w:iCs/>
          <w:sz w:val="18"/>
          <w:szCs w:val="18"/>
          <w:lang w:val="fr-BE"/>
        </w:rPr>
        <w:t xml:space="preserve">Doc. Parl., </w:t>
      </w:r>
      <w:r w:rsidRPr="0092542D">
        <w:rPr>
          <w:rFonts w:ascii="Century" w:hAnsi="Century" w:cs="Times New Roman"/>
          <w:sz w:val="18"/>
          <w:szCs w:val="18"/>
          <w:lang w:val="fr-BE"/>
        </w:rPr>
        <w:t xml:space="preserve">à paraître). </w:t>
      </w:r>
    </w:p>
  </w:footnote>
  <w:footnote w:id="61">
    <w:p w14:paraId="6D003FCA" w14:textId="5E80C84A"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Le souci d’une plus grande transparence dans le processus de formation du gouvernement fédéral fait d’ailleurs écho à un besoin similaire dans le fonctionnement du Comité de concertation (Codeco). </w:t>
      </w:r>
      <w:r w:rsidR="001509F9" w:rsidRPr="0092542D">
        <w:rPr>
          <w:rFonts w:ascii="Century" w:hAnsi="Century"/>
          <w:sz w:val="18"/>
          <w:szCs w:val="18"/>
          <w:lang w:val="fr-BE"/>
        </w:rPr>
        <w:t xml:space="preserve">Dans </w:t>
      </w:r>
      <w:r w:rsidRPr="0092542D">
        <w:rPr>
          <w:rFonts w:ascii="Century" w:hAnsi="Century"/>
          <w:sz w:val="18"/>
          <w:szCs w:val="18"/>
          <w:lang w:val="fr-BE"/>
        </w:rPr>
        <w:t>un autre rapport à l’attention de la Commission parlementaire chargée de l'évaluation des réformes de l'État depuis 1970</w:t>
      </w:r>
      <w:r w:rsidR="001509F9" w:rsidRPr="0092542D">
        <w:rPr>
          <w:rFonts w:ascii="Century" w:hAnsi="Century"/>
          <w:sz w:val="18"/>
          <w:szCs w:val="18"/>
          <w:lang w:val="fr-BE"/>
        </w:rPr>
        <w:t>,</w:t>
      </w:r>
      <w:r w:rsidR="00BB4B8A" w:rsidRPr="0092542D">
        <w:rPr>
          <w:rFonts w:ascii="Century" w:hAnsi="Century"/>
          <w:sz w:val="18"/>
          <w:szCs w:val="18"/>
          <w:lang w:val="fr-BE"/>
        </w:rPr>
        <w:t xml:space="preserve"> </w:t>
      </w:r>
      <w:r w:rsidRPr="0092542D">
        <w:rPr>
          <w:rFonts w:ascii="Century" w:hAnsi="Century"/>
          <w:sz w:val="18"/>
          <w:szCs w:val="18"/>
          <w:lang w:val="fr-BE"/>
        </w:rPr>
        <w:t xml:space="preserve">nous suggérons </w:t>
      </w:r>
      <w:r w:rsidR="001509F9" w:rsidRPr="0092542D">
        <w:rPr>
          <w:rFonts w:ascii="Century" w:hAnsi="Century"/>
          <w:sz w:val="18"/>
          <w:szCs w:val="18"/>
          <w:lang w:val="fr-BE"/>
        </w:rPr>
        <w:t xml:space="preserve">d’instituer </w:t>
      </w:r>
      <w:r w:rsidRPr="0092542D">
        <w:rPr>
          <w:rFonts w:ascii="Century" w:hAnsi="Century"/>
          <w:sz w:val="18"/>
          <w:szCs w:val="18"/>
          <w:lang w:val="fr-BE"/>
        </w:rPr>
        <w:t>une relation privilégiée entre le Comité de concertation et le Sénat qui exclurait tout pouvoir contraignant du Sénat sur le processus décisionnel du Comité de concertation (celui-ci devant conserver l’espace de liberté qui lui permet de déboucher à huis clos sur des solutions dans des dossiers par hypothèse complexes et sensibles)</w:t>
      </w:r>
      <w:r w:rsidR="001509F9" w:rsidRPr="0092542D">
        <w:rPr>
          <w:rFonts w:ascii="Century" w:hAnsi="Century"/>
          <w:sz w:val="18"/>
          <w:szCs w:val="18"/>
          <w:lang w:val="fr-BE"/>
        </w:rPr>
        <w:t>,</w:t>
      </w:r>
      <w:r w:rsidRPr="0092542D">
        <w:rPr>
          <w:rFonts w:ascii="Century" w:hAnsi="Century"/>
          <w:sz w:val="18"/>
          <w:szCs w:val="18"/>
          <w:lang w:val="fr-BE"/>
        </w:rPr>
        <w:t xml:space="preserve"> mais qui donnerait au Sénat les moyens de débattre en connaissance de cause des thématiques discutées au sein du Comité de concertation et de lui adresser des recommandations</w:t>
      </w:r>
      <w:r w:rsidR="001509F9" w:rsidRPr="0092542D">
        <w:rPr>
          <w:rFonts w:ascii="Century" w:hAnsi="Century"/>
          <w:sz w:val="18"/>
          <w:szCs w:val="18"/>
          <w:lang w:val="fr-BE"/>
        </w:rPr>
        <w:t> :</w:t>
      </w:r>
      <w:r w:rsidRPr="0092542D">
        <w:rPr>
          <w:rFonts w:ascii="Century" w:hAnsi="Century"/>
          <w:sz w:val="18"/>
          <w:szCs w:val="18"/>
          <w:lang w:val="fr-BE"/>
        </w:rPr>
        <w:t xml:space="preserve"> voy. </w:t>
      </w:r>
      <w:r w:rsidRPr="0092542D">
        <w:rPr>
          <w:rStyle w:val="small-caps"/>
          <w:rFonts w:ascii="Century" w:hAnsi="Century" w:cs="Open Sans"/>
          <w:color w:val="000000"/>
          <w:sz w:val="18"/>
          <w:szCs w:val="18"/>
          <w:shd w:val="clear" w:color="auto" w:fill="FFFFFF"/>
          <w:lang w:val="fr-BE"/>
        </w:rPr>
        <w:t xml:space="preserve">H. </w:t>
      </w:r>
      <w:r w:rsidRPr="0092542D">
        <w:rPr>
          <w:rStyle w:val="small-caps"/>
          <w:rFonts w:ascii="Century" w:hAnsi="Century" w:cs="Open Sans"/>
          <w:smallCaps/>
          <w:color w:val="000000"/>
          <w:sz w:val="18"/>
          <w:szCs w:val="18"/>
          <w:shd w:val="clear" w:color="auto" w:fill="FFFFFF"/>
          <w:lang w:val="fr-BE"/>
        </w:rPr>
        <w:t>Dumont</w:t>
      </w:r>
      <w:r w:rsidRPr="0092542D">
        <w:rPr>
          <w:rFonts w:ascii="Century" w:hAnsi="Century" w:cs="Open Sans"/>
          <w:color w:val="000000"/>
          <w:sz w:val="18"/>
          <w:szCs w:val="18"/>
          <w:shd w:val="clear" w:color="auto" w:fill="FFFFFF"/>
          <w:lang w:val="fr-BE"/>
        </w:rPr>
        <w:t xml:space="preserve">, M. </w:t>
      </w:r>
      <w:r w:rsidRPr="0092542D">
        <w:rPr>
          <w:rStyle w:val="small-caps"/>
          <w:rFonts w:ascii="Century" w:hAnsi="Century" w:cs="Open Sans"/>
          <w:smallCaps/>
          <w:color w:val="000000"/>
          <w:sz w:val="18"/>
          <w:szCs w:val="18"/>
          <w:shd w:val="clear" w:color="auto" w:fill="FFFFFF"/>
          <w:lang w:val="fr-BE"/>
        </w:rPr>
        <w:t>Hardt</w:t>
      </w:r>
      <w:r w:rsidRPr="0092542D">
        <w:rPr>
          <w:rFonts w:ascii="Century" w:hAnsi="Century" w:cs="Open Sans"/>
          <w:color w:val="000000"/>
          <w:sz w:val="18"/>
          <w:szCs w:val="18"/>
          <w:shd w:val="clear" w:color="auto" w:fill="FFFFFF"/>
          <w:lang w:val="fr-BE"/>
        </w:rPr>
        <w:t xml:space="preserve"> et J. </w:t>
      </w:r>
      <w:r w:rsidRPr="0092542D">
        <w:rPr>
          <w:rStyle w:val="small-caps"/>
          <w:rFonts w:ascii="Century" w:hAnsi="Century" w:cs="Open Sans"/>
          <w:smallCaps/>
          <w:color w:val="000000"/>
          <w:sz w:val="18"/>
          <w:szCs w:val="18"/>
          <w:shd w:val="clear" w:color="auto" w:fill="FFFFFF"/>
          <w:lang w:val="fr-BE"/>
        </w:rPr>
        <w:t>Renaux</w:t>
      </w:r>
      <w:r w:rsidRPr="0092542D">
        <w:rPr>
          <w:rFonts w:ascii="Century" w:hAnsi="Century" w:cs="Open Sans"/>
          <w:color w:val="000000"/>
          <w:sz w:val="18"/>
          <w:szCs w:val="18"/>
          <w:shd w:val="clear" w:color="auto" w:fill="FFFFFF"/>
          <w:lang w:val="fr-BE"/>
        </w:rPr>
        <w:t>, « Eléments pour une évaluation du fédéralisme coopératif en Belgique », </w:t>
      </w:r>
      <w:r w:rsidRPr="0092542D">
        <w:rPr>
          <w:rFonts w:ascii="Century" w:hAnsi="Century" w:cs="Open Sans"/>
          <w:i/>
          <w:iCs/>
          <w:color w:val="000000"/>
          <w:sz w:val="18"/>
          <w:szCs w:val="18"/>
          <w:shd w:val="clear" w:color="auto" w:fill="FFFFFF"/>
          <w:lang w:val="fr-BE"/>
        </w:rPr>
        <w:t>R.B.D.C.</w:t>
      </w:r>
      <w:r w:rsidRPr="0092542D">
        <w:rPr>
          <w:rFonts w:ascii="Century" w:hAnsi="Century" w:cs="Open Sans"/>
          <w:color w:val="000000"/>
          <w:sz w:val="18"/>
          <w:szCs w:val="18"/>
          <w:shd w:val="clear" w:color="auto" w:fill="FFFFFF"/>
          <w:lang w:val="fr-BE"/>
        </w:rPr>
        <w:t>, 2022/1-2, p. 37 et sv.</w:t>
      </w:r>
    </w:p>
  </w:footnote>
  <w:footnote w:id="62">
    <w:p w14:paraId="3D9C0C90" w14:textId="125FD386"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La grande majorité des constitutionnalistes adhèrent à cette thèse</w:t>
      </w:r>
      <w:r w:rsidR="006C4BC7" w:rsidRPr="0092542D">
        <w:rPr>
          <w:rFonts w:ascii="Century" w:hAnsi="Century" w:cs="Times New Roman"/>
          <w:sz w:val="18"/>
          <w:szCs w:val="18"/>
          <w:lang w:val="fr-BE"/>
        </w:rPr>
        <w:t> ;</w:t>
      </w:r>
      <w:r w:rsidRPr="0092542D">
        <w:rPr>
          <w:rFonts w:ascii="Century" w:hAnsi="Century" w:cs="Times New Roman"/>
          <w:sz w:val="18"/>
          <w:szCs w:val="18"/>
          <w:lang w:val="fr-BE"/>
        </w:rPr>
        <w:t xml:space="preserve"> </w:t>
      </w:r>
      <w:r w:rsidR="006C4BC7" w:rsidRPr="0092542D">
        <w:rPr>
          <w:rFonts w:ascii="Century" w:hAnsi="Century" w:cs="Times New Roman"/>
          <w:sz w:val="18"/>
          <w:szCs w:val="18"/>
          <w:lang w:val="fr-BE"/>
        </w:rPr>
        <w:t>v</w:t>
      </w:r>
      <w:r w:rsidRPr="0092542D">
        <w:rPr>
          <w:rFonts w:ascii="Century" w:hAnsi="Century" w:cs="Times New Roman"/>
          <w:sz w:val="18"/>
          <w:szCs w:val="18"/>
          <w:lang w:val="fr-BE"/>
        </w:rPr>
        <w:t xml:space="preserve">oy. en ce sens les auteurs cités par Y. </w:t>
      </w:r>
      <w:r w:rsidRPr="0092542D">
        <w:rPr>
          <w:rFonts w:ascii="Century" w:hAnsi="Century" w:cs="Times New Roman"/>
          <w:smallCaps/>
          <w:sz w:val="18"/>
          <w:szCs w:val="18"/>
          <w:lang w:val="fr-BE"/>
        </w:rPr>
        <w:t xml:space="preserve">Lejeune, </w:t>
      </w:r>
      <w:r w:rsidRPr="0092542D">
        <w:rPr>
          <w:rFonts w:ascii="Century" w:hAnsi="Century" w:cs="Times New Roman"/>
          <w:sz w:val="18"/>
          <w:szCs w:val="18"/>
          <w:lang w:val="fr-BE"/>
        </w:rPr>
        <w:t xml:space="preserve">« Un gouvernement fédéral remanié doit-il solliciter la confiance de la Chambre quand il est devenu minoritaire ? Examen à la lumière d’une théorie des usages constitutionnels en Belgique », in </w:t>
      </w:r>
      <w:r w:rsidRPr="0092542D">
        <w:rPr>
          <w:rFonts w:ascii="Century" w:hAnsi="Century" w:cs="Times New Roman"/>
          <w:i/>
          <w:sz w:val="18"/>
          <w:szCs w:val="18"/>
          <w:lang w:val="fr-BE"/>
        </w:rPr>
        <w:t>Semper perseverans. Liber Amicorum André Alen</w:t>
      </w:r>
      <w:r w:rsidRPr="0092542D">
        <w:rPr>
          <w:rFonts w:ascii="Century" w:hAnsi="Century" w:cs="Times New Roman"/>
          <w:sz w:val="18"/>
          <w:szCs w:val="18"/>
          <w:lang w:val="fr-BE"/>
        </w:rPr>
        <w:t xml:space="preserve">, Anvers, Intersentia, 2020, p. 450, note 46. </w:t>
      </w:r>
      <w:r w:rsidRPr="0092542D">
        <w:rPr>
          <w:rFonts w:ascii="Century" w:hAnsi="Century" w:cs="Times New Roman"/>
          <w:i/>
          <w:sz w:val="18"/>
          <w:szCs w:val="18"/>
          <w:lang w:val="fr-BE"/>
        </w:rPr>
        <w:t>Adde</w:t>
      </w:r>
      <w:r w:rsidRPr="0092542D">
        <w:rPr>
          <w:rFonts w:ascii="Century" w:hAnsi="Century" w:cs="Times New Roman"/>
          <w:sz w:val="18"/>
          <w:szCs w:val="18"/>
          <w:lang w:val="fr-BE"/>
        </w:rPr>
        <w:t xml:space="preserve"> aussi en ce sens J. </w:t>
      </w:r>
      <w:r w:rsidRPr="0092542D">
        <w:rPr>
          <w:rFonts w:ascii="Century" w:hAnsi="Century" w:cs="Times New Roman"/>
          <w:smallCaps/>
          <w:sz w:val="18"/>
          <w:szCs w:val="18"/>
          <w:lang w:val="fr-BE"/>
        </w:rPr>
        <w:t xml:space="preserve">Velaers, </w:t>
      </w:r>
      <w:r w:rsidRPr="0092542D">
        <w:rPr>
          <w:rFonts w:ascii="Century" w:hAnsi="Century" w:cs="Times New Roman"/>
          <w:i/>
          <w:sz w:val="18"/>
          <w:szCs w:val="18"/>
          <w:lang w:val="fr-BE"/>
        </w:rPr>
        <w:t>De Grondwet. Een artikelsgewijze commentaar</w:t>
      </w:r>
      <w:r w:rsidRPr="0092542D">
        <w:rPr>
          <w:rFonts w:ascii="Century" w:hAnsi="Century" w:cs="Times New Roman"/>
          <w:sz w:val="18"/>
          <w:szCs w:val="18"/>
          <w:lang w:val="fr-BE"/>
        </w:rPr>
        <w:t xml:space="preserve">, deel 2, Brugge, Die Keure, 2019, p.452-453 ; T. </w:t>
      </w:r>
      <w:r w:rsidRPr="0092542D">
        <w:rPr>
          <w:rFonts w:ascii="Century" w:hAnsi="Century" w:cs="Times New Roman"/>
          <w:smallCaps/>
          <w:sz w:val="18"/>
          <w:szCs w:val="18"/>
          <w:lang w:val="fr-BE"/>
        </w:rPr>
        <w:t xml:space="preserve">Moonen </w:t>
      </w:r>
      <w:r w:rsidRPr="0092542D">
        <w:rPr>
          <w:rFonts w:ascii="Century" w:hAnsi="Century" w:cs="Times New Roman"/>
          <w:sz w:val="18"/>
          <w:szCs w:val="18"/>
          <w:lang w:val="fr-BE"/>
        </w:rPr>
        <w:t xml:space="preserve"> et </w:t>
      </w:r>
      <w:r w:rsidRPr="0092542D">
        <w:rPr>
          <w:rFonts w:ascii="Century" w:hAnsi="Century" w:cs="Times New Roman"/>
          <w:smallCaps/>
          <w:sz w:val="18"/>
          <w:szCs w:val="18"/>
          <w:lang w:val="fr-BE"/>
        </w:rPr>
        <w:t xml:space="preserve">J. Clarenne, </w:t>
      </w:r>
      <w:r w:rsidRPr="0092542D">
        <w:rPr>
          <w:rFonts w:ascii="Century" w:hAnsi="Century" w:cs="Times New Roman"/>
          <w:sz w:val="18"/>
          <w:szCs w:val="18"/>
          <w:lang w:val="fr-BE"/>
        </w:rPr>
        <w:t xml:space="preserve">« Wilmès II par-delà les apparences : réflexions sur la notion de ‘gouvernement minoritaire’ », in </w:t>
      </w:r>
      <w:r w:rsidRPr="0092542D">
        <w:rPr>
          <w:rFonts w:ascii="Century" w:hAnsi="Century" w:cs="Times New Roman"/>
          <w:smallCaps/>
          <w:sz w:val="18"/>
          <w:szCs w:val="18"/>
          <w:lang w:val="fr-BE"/>
        </w:rPr>
        <w:t xml:space="preserve">F. Bouhon, E. Slautsky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S. Wattier, </w:t>
      </w:r>
      <w:r w:rsidRPr="0092542D">
        <w:rPr>
          <w:rFonts w:ascii="Century" w:hAnsi="Century" w:cs="Times New Roman"/>
          <w:sz w:val="18"/>
          <w:szCs w:val="18"/>
          <w:lang w:val="fr-BE"/>
        </w:rPr>
        <w:t xml:space="preserve">(dir.), </w:t>
      </w:r>
      <w:r w:rsidRPr="0092542D">
        <w:rPr>
          <w:rFonts w:ascii="Century" w:hAnsi="Century" w:cs="Times New Roman"/>
          <w:i/>
          <w:sz w:val="18"/>
          <w:szCs w:val="18"/>
          <w:lang w:val="fr-BE"/>
        </w:rPr>
        <w:t xml:space="preserve">Le droit public belge face au Covid-19. </w:t>
      </w:r>
      <w:r w:rsidRPr="0092542D">
        <w:rPr>
          <w:rFonts w:ascii="Century" w:hAnsi="Century" w:cs="Times New Roman"/>
          <w:i/>
          <w:sz w:val="18"/>
          <w:szCs w:val="18"/>
          <w:lang w:val="nl-BE"/>
        </w:rPr>
        <w:t>Quelles leçons pour l’avenir ?</w:t>
      </w:r>
      <w:r w:rsidRPr="0092542D">
        <w:rPr>
          <w:rFonts w:ascii="Century" w:hAnsi="Century" w:cs="Times New Roman"/>
          <w:sz w:val="18"/>
          <w:szCs w:val="18"/>
          <w:lang w:val="nl-BE"/>
        </w:rPr>
        <w:t>,</w:t>
      </w:r>
      <w:r w:rsidRPr="0092542D">
        <w:rPr>
          <w:rFonts w:ascii="Century" w:hAnsi="Century" w:cs="Times New Roman"/>
          <w:i/>
          <w:sz w:val="18"/>
          <w:szCs w:val="18"/>
          <w:lang w:val="nl-BE"/>
        </w:rPr>
        <w:t xml:space="preserve"> </w:t>
      </w:r>
      <w:r w:rsidRPr="0092542D">
        <w:rPr>
          <w:rFonts w:ascii="Century" w:hAnsi="Century" w:cs="Times New Roman"/>
          <w:sz w:val="18"/>
          <w:szCs w:val="18"/>
          <w:lang w:val="nl-BE"/>
        </w:rPr>
        <w:t xml:space="preserve">Bruxelles, Larcier, 2022, p. 259 ; et K. </w:t>
      </w:r>
      <w:r w:rsidRPr="0092542D">
        <w:rPr>
          <w:rFonts w:ascii="Century" w:hAnsi="Century" w:cs="Times New Roman"/>
          <w:smallCaps/>
          <w:sz w:val="18"/>
          <w:szCs w:val="18"/>
          <w:lang w:val="nl-BE"/>
        </w:rPr>
        <w:t xml:space="preserve">Lemmens, </w:t>
      </w:r>
      <w:r w:rsidRPr="0092542D">
        <w:rPr>
          <w:rFonts w:ascii="Century" w:hAnsi="Century" w:cs="Times New Roman"/>
          <w:sz w:val="18"/>
          <w:szCs w:val="18"/>
          <w:lang w:val="nl-BE"/>
        </w:rPr>
        <w:t xml:space="preserve">« Een minderheidsregering als uitdaging voor het Belgisch grondwettelijk recht », in </w:t>
      </w:r>
      <w:r w:rsidRPr="0092542D">
        <w:rPr>
          <w:rFonts w:ascii="Century" w:hAnsi="Century" w:cs="Times New Roman"/>
          <w:i/>
          <w:sz w:val="18"/>
          <w:szCs w:val="18"/>
          <w:lang w:val="nl-BE"/>
        </w:rPr>
        <w:t xml:space="preserve">Semper perseverans. </w:t>
      </w:r>
      <w:r w:rsidRPr="0092542D">
        <w:rPr>
          <w:rFonts w:ascii="Century" w:hAnsi="Century" w:cs="Times New Roman"/>
          <w:i/>
          <w:sz w:val="18"/>
          <w:szCs w:val="18"/>
          <w:lang w:val="fr-BE"/>
        </w:rPr>
        <w:t>Liber Amicorum André Alen</w:t>
      </w:r>
      <w:r w:rsidRPr="0092542D">
        <w:rPr>
          <w:rFonts w:ascii="Century" w:hAnsi="Century" w:cs="Times New Roman"/>
          <w:sz w:val="18"/>
          <w:szCs w:val="18"/>
          <w:lang w:val="fr-BE"/>
        </w:rPr>
        <w:t xml:space="preserve">, Anvers, Intersentia, 2020, p. 453-463. Pour sa part, Y. </w:t>
      </w:r>
      <w:r w:rsidRPr="0092542D">
        <w:rPr>
          <w:rFonts w:ascii="Century" w:hAnsi="Century" w:cs="Times New Roman"/>
          <w:smallCaps/>
          <w:sz w:val="18"/>
          <w:szCs w:val="18"/>
          <w:lang w:val="fr-BE"/>
        </w:rPr>
        <w:t xml:space="preserve">Lejeune, </w:t>
      </w:r>
      <w:r w:rsidRPr="0092542D">
        <w:rPr>
          <w:rFonts w:ascii="Century" w:hAnsi="Century" w:cs="Times New Roman"/>
          <w:sz w:val="18"/>
          <w:szCs w:val="18"/>
          <w:lang w:val="fr-BE"/>
        </w:rPr>
        <w:t xml:space="preserve">dans l’étude précitée, présente la règle non pas comme une coutume, mais comme une convention de la Constitution politiquement obligatoire. Pour un examen très nuancé des arguments en faveur et en défaveur de la thèse de la coutume constitutionnelle juridiquement obligatoire, mais finalement enclin à y adhérer, voy. M. </w:t>
      </w:r>
      <w:r w:rsidRPr="0092542D">
        <w:rPr>
          <w:rFonts w:ascii="Century" w:hAnsi="Century" w:cs="Times New Roman"/>
          <w:smallCaps/>
          <w:sz w:val="18"/>
          <w:szCs w:val="18"/>
          <w:lang w:val="fr-BE"/>
        </w:rPr>
        <w:t xml:space="preserve">Servais, N. Henry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F. Bouhon, </w:t>
      </w:r>
      <w:r w:rsidRPr="0092542D">
        <w:rPr>
          <w:rFonts w:ascii="Century" w:hAnsi="Century"/>
          <w:sz w:val="18"/>
          <w:szCs w:val="18"/>
          <w:lang w:val="fr-BE"/>
        </w:rPr>
        <w:t>« </w:t>
      </w:r>
      <w:r w:rsidRPr="0092542D">
        <w:rPr>
          <w:rFonts w:ascii="Century" w:hAnsi="Century" w:cs="Times New Roman"/>
          <w:sz w:val="18"/>
          <w:szCs w:val="18"/>
          <w:lang w:val="fr-BE"/>
        </w:rPr>
        <w:t xml:space="preserve">Le polymorphisme du gouvernement minoritaire : de la composition de la coalition à la question de confiance », </w:t>
      </w:r>
      <w:r w:rsidRPr="0092542D">
        <w:rPr>
          <w:rFonts w:ascii="Century" w:hAnsi="Century" w:cs="Times New Roman"/>
          <w:i/>
          <w:sz w:val="18"/>
          <w:szCs w:val="18"/>
          <w:lang w:val="fr-BE"/>
        </w:rPr>
        <w:t>Administration publique</w:t>
      </w:r>
      <w:r w:rsidRPr="0092542D">
        <w:rPr>
          <w:rFonts w:ascii="Century" w:hAnsi="Century" w:cs="Times New Roman"/>
          <w:sz w:val="18"/>
          <w:szCs w:val="18"/>
          <w:lang w:val="fr-BE"/>
        </w:rPr>
        <w:t xml:space="preserve">, T 3-4, 2020, p. 384-391. </w:t>
      </w:r>
      <w:r w:rsidR="00412E83" w:rsidRPr="0092542D">
        <w:rPr>
          <w:rFonts w:ascii="Century" w:hAnsi="Century" w:cs="Times New Roman"/>
          <w:sz w:val="18"/>
          <w:szCs w:val="18"/>
          <w:lang w:val="fr-BE"/>
        </w:rPr>
        <w:t xml:space="preserve">C’est la raison pour laquelle nous rangeons la Belgique dans la catégorie des régimes parlementaires de type positif : cfr </w:t>
      </w:r>
      <w:r w:rsidR="00412E83" w:rsidRPr="0092542D">
        <w:rPr>
          <w:rFonts w:ascii="Century" w:hAnsi="Century" w:cs="Times New Roman"/>
          <w:i/>
          <w:iCs/>
          <w:sz w:val="18"/>
          <w:szCs w:val="18"/>
          <w:lang w:val="fr-BE"/>
        </w:rPr>
        <w:t>infra</w:t>
      </w:r>
      <w:r w:rsidR="00412E83" w:rsidRPr="0092542D">
        <w:rPr>
          <w:rFonts w:ascii="Century" w:hAnsi="Century" w:cs="Times New Roman"/>
          <w:sz w:val="18"/>
          <w:szCs w:val="18"/>
          <w:lang w:val="fr-BE"/>
        </w:rPr>
        <w:t xml:space="preserve"> </w:t>
      </w:r>
      <w:r w:rsidR="00412E83" w:rsidRPr="0014243F">
        <w:rPr>
          <w:rFonts w:ascii="Century" w:hAnsi="Century" w:cs="Times New Roman"/>
          <w:sz w:val="18"/>
          <w:szCs w:val="18"/>
          <w:highlight w:val="yellow"/>
          <w:lang w:val="fr-BE"/>
        </w:rPr>
        <w:t xml:space="preserve">note </w:t>
      </w:r>
      <w:r w:rsidR="001E431B" w:rsidRPr="0092542D">
        <w:rPr>
          <w:rFonts w:ascii="Century" w:hAnsi="Century" w:cs="Times New Roman"/>
          <w:sz w:val="18"/>
          <w:szCs w:val="18"/>
          <w:highlight w:val="yellow"/>
          <w:lang w:val="fr-BE"/>
        </w:rPr>
        <w:t>76</w:t>
      </w:r>
      <w:r w:rsidR="00412E83" w:rsidRPr="0014243F">
        <w:rPr>
          <w:rFonts w:ascii="Century" w:hAnsi="Century" w:cs="Times New Roman"/>
          <w:sz w:val="18"/>
          <w:szCs w:val="18"/>
          <w:highlight w:val="yellow"/>
          <w:lang w:val="fr-BE"/>
        </w:rPr>
        <w:t>.</w:t>
      </w:r>
      <w:r w:rsidR="00412E83" w:rsidRPr="0092542D">
        <w:rPr>
          <w:rFonts w:ascii="Century" w:hAnsi="Century" w:cs="Times New Roman"/>
          <w:sz w:val="18"/>
          <w:szCs w:val="18"/>
          <w:lang w:val="fr-BE"/>
        </w:rPr>
        <w:t xml:space="preserve"> </w:t>
      </w:r>
    </w:p>
  </w:footnote>
  <w:footnote w:id="63">
    <w:p w14:paraId="269AC49C"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Cfr art. 53 de la Constitution lu en combinaison avec l’article 61 du Règlement de la Chambre. </w:t>
      </w:r>
    </w:p>
  </w:footnote>
  <w:footnote w:id="64">
    <w:p w14:paraId="1A75556A"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Selon l’expression de T. </w:t>
      </w:r>
      <w:r w:rsidRPr="0092542D">
        <w:rPr>
          <w:rFonts w:ascii="Century" w:hAnsi="Century" w:cs="Times New Roman"/>
          <w:smallCaps/>
          <w:sz w:val="18"/>
          <w:szCs w:val="18"/>
          <w:lang w:val="fr-BE"/>
        </w:rPr>
        <w:t xml:space="preserve">Moonen </w:t>
      </w:r>
      <w:r w:rsidRPr="0092542D">
        <w:rPr>
          <w:rFonts w:ascii="Century" w:hAnsi="Century" w:cs="Times New Roman"/>
          <w:sz w:val="18"/>
          <w:szCs w:val="18"/>
          <w:lang w:val="fr-BE"/>
        </w:rPr>
        <w:t xml:space="preserve"> et </w:t>
      </w:r>
      <w:r w:rsidRPr="0092542D">
        <w:rPr>
          <w:rFonts w:ascii="Century" w:hAnsi="Century" w:cs="Times New Roman"/>
          <w:smallCaps/>
          <w:sz w:val="18"/>
          <w:szCs w:val="18"/>
          <w:lang w:val="fr-BE"/>
        </w:rPr>
        <w:t xml:space="preserve">J. Clarenne,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258-272. </w:t>
      </w:r>
    </w:p>
  </w:footnote>
  <w:footnote w:id="65">
    <w:p w14:paraId="225A7497" w14:textId="77777777" w:rsidR="00E468AE" w:rsidRPr="0092542D" w:rsidRDefault="00000000" w:rsidP="00F56AAC">
      <w:pPr>
        <w:pStyle w:val="Notedebasdepage"/>
        <w:spacing w:before="20" w:after="20"/>
        <w:ind w:left="567" w:right="567"/>
        <w:jc w:val="both"/>
        <w:rPr>
          <w:rFonts w:ascii="Century" w:hAnsi="Century" w:cs="Times New Roman"/>
          <w:smallCaps/>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Selon l’expression de M. </w:t>
      </w:r>
      <w:r w:rsidRPr="0092542D">
        <w:rPr>
          <w:rFonts w:ascii="Century" w:hAnsi="Century" w:cs="Times New Roman"/>
          <w:smallCaps/>
          <w:sz w:val="18"/>
          <w:szCs w:val="18"/>
          <w:lang w:val="fr-BE"/>
        </w:rPr>
        <w:t xml:space="preserve">Servais, N. Henry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F. Bouhon,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394-398. Voy. aussi sur les gouvernements minoritaires L. </w:t>
      </w:r>
      <w:r w:rsidRPr="0092542D">
        <w:rPr>
          <w:rFonts w:ascii="Century" w:hAnsi="Century" w:cs="Times New Roman"/>
          <w:smallCaps/>
          <w:sz w:val="18"/>
          <w:szCs w:val="18"/>
          <w:lang w:val="fr-BE"/>
        </w:rPr>
        <w:t xml:space="preserve">Rigaux, </w:t>
      </w:r>
      <w:r w:rsidRPr="0092542D">
        <w:rPr>
          <w:rFonts w:ascii="Century" w:hAnsi="Century" w:cs="Times New Roman"/>
          <w:sz w:val="18"/>
          <w:szCs w:val="18"/>
          <w:lang w:val="fr-BE"/>
        </w:rPr>
        <w:t>« Les gouvernements</w:t>
      </w:r>
      <w:r w:rsidRPr="0092542D">
        <w:rPr>
          <w:rFonts w:ascii="Century" w:hAnsi="Century" w:cs="Times New Roman"/>
          <w:smallCaps/>
          <w:sz w:val="18"/>
          <w:szCs w:val="18"/>
          <w:lang w:val="fr-BE"/>
        </w:rPr>
        <w:t xml:space="preserve"> </w:t>
      </w:r>
      <w:r w:rsidRPr="0092542D">
        <w:rPr>
          <w:rFonts w:ascii="Century" w:hAnsi="Century" w:cs="Times New Roman"/>
          <w:sz w:val="18"/>
          <w:szCs w:val="18"/>
          <w:lang w:val="fr-BE"/>
        </w:rPr>
        <w:t xml:space="preserve">minoritaires en Belgique. Leur formation et l’étendue de leur pouvoir au regard de leur légitimité démocratique, </w:t>
      </w:r>
      <w:r w:rsidRPr="0092542D">
        <w:rPr>
          <w:rFonts w:ascii="Century" w:hAnsi="Century" w:cs="Times New Roman"/>
          <w:i/>
          <w:sz w:val="18"/>
          <w:szCs w:val="18"/>
          <w:lang w:val="fr-BE"/>
        </w:rPr>
        <w:t>R.B.D.C.</w:t>
      </w:r>
      <w:r w:rsidRPr="0092542D">
        <w:rPr>
          <w:rFonts w:ascii="Century" w:hAnsi="Century" w:cs="Times New Roman"/>
          <w:sz w:val="18"/>
          <w:szCs w:val="18"/>
          <w:lang w:val="fr-BE"/>
        </w:rPr>
        <w:t>, 2020, p. 337-394.</w:t>
      </w:r>
      <w:r w:rsidRPr="0092542D">
        <w:rPr>
          <w:rFonts w:ascii="Century" w:hAnsi="Century" w:cs="Times New Roman"/>
          <w:smallCaps/>
          <w:sz w:val="18"/>
          <w:szCs w:val="18"/>
          <w:lang w:val="fr-BE"/>
        </w:rPr>
        <w:t xml:space="preserve"> </w:t>
      </w:r>
    </w:p>
  </w:footnote>
  <w:footnote w:id="66">
    <w:p w14:paraId="0337775C" w14:textId="7532F309"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Sur 16 Etats d’Europe occidentale pratiquant le régime parlementaire, un tiers des gouvernements formés dans ces Etats entre 1945 et 2015 étaient politiquement minoritaire. Cfr A. </w:t>
      </w:r>
      <w:r w:rsidRPr="0092542D">
        <w:rPr>
          <w:rFonts w:ascii="Century" w:hAnsi="Century" w:cs="Times New Roman"/>
          <w:smallCaps/>
          <w:sz w:val="18"/>
          <w:szCs w:val="18"/>
          <w:lang w:val="fr-BE"/>
        </w:rPr>
        <w:t xml:space="preserve">Bassi, </w:t>
      </w:r>
      <w:r w:rsidRPr="0092542D">
        <w:rPr>
          <w:rFonts w:ascii="Century" w:hAnsi="Century" w:cs="Times New Roman"/>
          <w:sz w:val="18"/>
          <w:szCs w:val="18"/>
          <w:lang w:val="fr-BE"/>
        </w:rPr>
        <w:t>« Preferences in Coalition Formation and the Stability of Minority and Surplus Government</w:t>
      </w:r>
      <w:r w:rsidRPr="0092542D">
        <w:rPr>
          <w:rFonts w:ascii="Century" w:hAnsi="Century"/>
          <w:sz w:val="18"/>
          <w:szCs w:val="18"/>
          <w:lang w:val="fr-BE"/>
        </w:rPr>
        <w:t xml:space="preserve"> </w:t>
      </w:r>
      <w:r w:rsidRPr="0092542D">
        <w:rPr>
          <w:rFonts w:ascii="Century" w:hAnsi="Century"/>
          <w:sz w:val="18"/>
          <w:szCs w:val="18"/>
          <w:lang w:val="fr-FR"/>
        </w:rPr>
        <w:t>»,</w:t>
      </w:r>
      <w:r w:rsidRPr="0092542D">
        <w:rPr>
          <w:rFonts w:ascii="Century" w:hAnsi="Century" w:cs="Times New Roman"/>
          <w:sz w:val="18"/>
          <w:szCs w:val="18"/>
          <w:lang w:val="fr-BE"/>
        </w:rPr>
        <w:t xml:space="preserve"> cité par M. </w:t>
      </w:r>
      <w:r w:rsidRPr="0092542D">
        <w:rPr>
          <w:rFonts w:ascii="Century" w:hAnsi="Century" w:cs="Times New Roman"/>
          <w:smallCaps/>
          <w:sz w:val="18"/>
          <w:szCs w:val="18"/>
          <w:lang w:val="fr-BE"/>
        </w:rPr>
        <w:t xml:space="preserve">Servais, N. Henry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F. Bouhon,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382 qui citent les exemples du Danemark, de la Suède, de l’Espagne et de la Norvège. </w:t>
      </w:r>
    </w:p>
  </w:footnote>
  <w:footnote w:id="67">
    <w:p w14:paraId="01EAC83C" w14:textId="6D243D91"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Sur ces avantages et inconvénients, voy. L. </w:t>
      </w:r>
      <w:r w:rsidRPr="0092542D">
        <w:rPr>
          <w:rFonts w:ascii="Century" w:hAnsi="Century" w:cs="Times New Roman"/>
          <w:smallCaps/>
          <w:sz w:val="18"/>
          <w:szCs w:val="18"/>
          <w:lang w:val="fr-BE"/>
        </w:rPr>
        <w:t xml:space="preserve">Rigaux,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374 et </w:t>
      </w:r>
      <w:proofErr w:type="spellStart"/>
      <w:r w:rsidRPr="0092542D">
        <w:rPr>
          <w:rFonts w:ascii="Century" w:hAnsi="Century" w:cs="Times New Roman"/>
          <w:sz w:val="18"/>
          <w:szCs w:val="18"/>
          <w:lang w:val="fr-BE"/>
        </w:rPr>
        <w:t>sv</w:t>
      </w:r>
      <w:proofErr w:type="spellEnd"/>
      <w:r w:rsidR="00E3428A">
        <w:rPr>
          <w:rFonts w:ascii="Century" w:hAnsi="Century" w:cs="Times New Roman"/>
          <w:sz w:val="18"/>
          <w:szCs w:val="18"/>
          <w:lang w:val="fr-BE"/>
        </w:rPr>
        <w:t>.</w:t>
      </w:r>
      <w:r w:rsidRPr="0092542D">
        <w:rPr>
          <w:rFonts w:ascii="Century" w:hAnsi="Century" w:cs="Times New Roman"/>
          <w:sz w:val="18"/>
          <w:szCs w:val="18"/>
          <w:lang w:val="fr-BE"/>
        </w:rPr>
        <w:t xml:space="preserve"> Offre un exemple de gouvernement minoritaire contraint d’exécuter un budget qui n’est pas celui qu’il a proposé, le gouvernement suédois conduit par le social-démocrate Stefan Löfven en décembre 2014 : cfr à ce sujet E. </w:t>
      </w:r>
      <w:r w:rsidRPr="0092542D">
        <w:rPr>
          <w:rFonts w:ascii="Century" w:hAnsi="Century" w:cs="Times New Roman"/>
          <w:smallCaps/>
          <w:sz w:val="18"/>
          <w:szCs w:val="18"/>
          <w:lang w:val="fr-BE"/>
        </w:rPr>
        <w:t xml:space="preserve">Matutano, </w:t>
      </w:r>
      <w:r w:rsidRPr="0092542D">
        <w:rPr>
          <w:rFonts w:ascii="Century" w:hAnsi="Century" w:cs="Times New Roman"/>
          <w:sz w:val="18"/>
          <w:szCs w:val="18"/>
          <w:lang w:val="fr-BE"/>
        </w:rPr>
        <w:t>« Le legs de la crise politique suédoise de décembre 2014 », in</w:t>
      </w:r>
      <w:r w:rsidRPr="0092542D">
        <w:rPr>
          <w:rFonts w:ascii="Century" w:hAnsi="Century" w:cs="Times New Roman"/>
          <w:i/>
          <w:sz w:val="18"/>
          <w:szCs w:val="18"/>
          <w:lang w:val="fr-BE"/>
        </w:rPr>
        <w:t xml:space="preserve"> R.F.D.C</w:t>
      </w:r>
      <w:r w:rsidRPr="0092542D">
        <w:rPr>
          <w:rFonts w:ascii="Century" w:hAnsi="Century" w:cs="Times New Roman"/>
          <w:sz w:val="18"/>
          <w:szCs w:val="18"/>
          <w:lang w:val="fr-BE"/>
        </w:rPr>
        <w:t xml:space="preserve">., 2016, n°106, p. 357-365. </w:t>
      </w:r>
    </w:p>
  </w:footnote>
  <w:footnote w:id="68">
    <w:p w14:paraId="2710680A" w14:textId="5ADFC3F8"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Ainsi, au Portugal, le premier gouvernement minoritaire dirigé par Antonio Costa nommé le 22 octobre 2015 suite aux élections du 4 octobre 2015 et exclusivement composé de ministres socialistes a réussi à construire sa stabilité jusqu’aux élections de 2019 grâce à des conventions conclues avec trois petites formations demeurées à l’extérieur du gouvernement. Après les élections de 2019, cette alliance devient plus fragile et les élections de 2022 donnent au parti socialiste la majorité des sièges</w:t>
      </w:r>
      <w:r w:rsidR="00800C82" w:rsidRPr="0092542D">
        <w:rPr>
          <w:rFonts w:ascii="Century" w:hAnsi="Century" w:cs="Times New Roman"/>
          <w:sz w:val="18"/>
          <w:szCs w:val="18"/>
          <w:lang w:val="fr-BE"/>
        </w:rPr>
        <w:t> ; c</w:t>
      </w:r>
      <w:r w:rsidRPr="0092542D">
        <w:rPr>
          <w:rFonts w:ascii="Century" w:hAnsi="Century" w:cs="Times New Roman"/>
          <w:sz w:val="18"/>
          <w:szCs w:val="18"/>
          <w:lang w:val="fr-BE"/>
        </w:rPr>
        <w:t xml:space="preserve">fr à ce sujet A.-V. </w:t>
      </w:r>
      <w:r w:rsidRPr="0092542D">
        <w:rPr>
          <w:rFonts w:ascii="Century" w:hAnsi="Century" w:cs="Times New Roman"/>
          <w:smallCaps/>
          <w:sz w:val="18"/>
          <w:szCs w:val="18"/>
          <w:lang w:val="fr-BE"/>
        </w:rPr>
        <w:t>Madeira, « </w:t>
      </w:r>
      <w:r w:rsidRPr="0092542D">
        <w:rPr>
          <w:rFonts w:ascii="Century" w:hAnsi="Century" w:cs="Times New Roman"/>
          <w:sz w:val="18"/>
          <w:szCs w:val="18"/>
          <w:lang w:val="fr-BE"/>
        </w:rPr>
        <w:t xml:space="preserve">Gouvernement minoritaire et crainte d’instabilité institutionnelle : analyse du cas portugais suite aux élections législatives d’octobre 2015 », </w:t>
      </w:r>
      <w:r w:rsidRPr="0092542D">
        <w:rPr>
          <w:rFonts w:ascii="Century" w:hAnsi="Century" w:cs="Times New Roman"/>
          <w:i/>
          <w:sz w:val="18"/>
          <w:szCs w:val="18"/>
          <w:lang w:val="fr-BE"/>
        </w:rPr>
        <w:t>R.D.P</w:t>
      </w:r>
      <w:r w:rsidRPr="0092542D">
        <w:rPr>
          <w:rFonts w:ascii="Century" w:hAnsi="Century" w:cs="Times New Roman"/>
          <w:sz w:val="18"/>
          <w:szCs w:val="18"/>
          <w:lang w:val="fr-BE"/>
        </w:rPr>
        <w:t xml:space="preserve">., 2017/2, p. 439-458 ; S. </w:t>
      </w:r>
      <w:r w:rsidRPr="0092542D">
        <w:rPr>
          <w:rFonts w:ascii="Century" w:hAnsi="Century" w:cs="Times New Roman"/>
          <w:smallCaps/>
          <w:sz w:val="18"/>
          <w:szCs w:val="18"/>
          <w:lang w:val="fr-BE"/>
        </w:rPr>
        <w:t xml:space="preserve">Morel, </w:t>
      </w:r>
      <w:r w:rsidRPr="0092542D">
        <w:rPr>
          <w:rFonts w:ascii="Century" w:hAnsi="Century" w:cs="Times New Roman"/>
          <w:sz w:val="18"/>
          <w:szCs w:val="18"/>
          <w:lang w:val="fr-BE"/>
        </w:rPr>
        <w:t xml:space="preserve">« Au Portugal, le gouvernement socialiste lâché par ses alliés d’extrême gauche », </w:t>
      </w:r>
      <w:r w:rsidRPr="0092542D">
        <w:rPr>
          <w:rFonts w:ascii="Century" w:hAnsi="Century" w:cs="Times New Roman"/>
          <w:i/>
          <w:sz w:val="18"/>
          <w:szCs w:val="18"/>
          <w:lang w:val="fr-BE"/>
        </w:rPr>
        <w:t>Le Monde</w:t>
      </w:r>
      <w:r w:rsidRPr="0092542D">
        <w:rPr>
          <w:rFonts w:ascii="Century" w:hAnsi="Century" w:cs="Times New Roman"/>
          <w:sz w:val="18"/>
          <w:szCs w:val="18"/>
          <w:lang w:val="fr-BE"/>
        </w:rPr>
        <w:t xml:space="preserve">, 28 octobre 2021. Autre exemple notoire : l’accord inter-partisan conclu en décembre 2014 par la plupart des partis politiques suédois à l’exception du parti de gauche et du parti d’extrême droite « Les démocrates suédois » a permis de stabiliser le gouvernement minoritaire Löfven I pendant quatre ans. Cet accord était censé couvrir une période plus longue jusqu’en 2022. Mais les résultats des élections de 2018 ont conduit à sa caducité : cfr à ce sujet E. </w:t>
      </w:r>
      <w:r w:rsidRPr="0092542D">
        <w:rPr>
          <w:rFonts w:ascii="Century" w:hAnsi="Century" w:cs="Times New Roman"/>
          <w:smallCaps/>
          <w:sz w:val="18"/>
          <w:szCs w:val="18"/>
          <w:lang w:val="fr-BE"/>
        </w:rPr>
        <w:t xml:space="preserve">Matutano,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357-365 et L. </w:t>
      </w:r>
      <w:r w:rsidRPr="0092542D">
        <w:rPr>
          <w:rFonts w:ascii="Century" w:hAnsi="Century" w:cs="Times New Roman"/>
          <w:smallCaps/>
          <w:sz w:val="18"/>
          <w:szCs w:val="18"/>
          <w:lang w:val="fr-BE"/>
        </w:rPr>
        <w:t xml:space="preserve">Léothier, </w:t>
      </w:r>
      <w:r w:rsidRPr="0092542D">
        <w:rPr>
          <w:rFonts w:ascii="Century" w:hAnsi="Century" w:cs="Times New Roman"/>
          <w:sz w:val="18"/>
          <w:szCs w:val="18"/>
          <w:lang w:val="fr-BE"/>
        </w:rPr>
        <w:t xml:space="preserve">« Du parlementarisme minoritaire régulé au parlementarisme démembré. Le legs de la crise ministérielle suédoise survenue à l’issue des élections législatives de septembre 2018 », </w:t>
      </w:r>
      <w:r w:rsidRPr="0092542D">
        <w:rPr>
          <w:rFonts w:ascii="Century" w:hAnsi="Century" w:cs="Times New Roman"/>
          <w:i/>
          <w:sz w:val="18"/>
          <w:szCs w:val="18"/>
          <w:lang w:val="fr-BE"/>
        </w:rPr>
        <w:t>R.F.D.C.</w:t>
      </w:r>
      <w:r w:rsidRPr="0092542D">
        <w:rPr>
          <w:rFonts w:ascii="Century" w:hAnsi="Century" w:cs="Times New Roman"/>
          <w:sz w:val="18"/>
          <w:szCs w:val="18"/>
          <w:lang w:val="fr-BE"/>
        </w:rPr>
        <w:t xml:space="preserve">, 2019, n°118, p. 357-363. </w:t>
      </w:r>
    </w:p>
  </w:footnote>
  <w:footnote w:id="69">
    <w:p w14:paraId="3B7401A0" w14:textId="61E566EB"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Comme l’a relevé Stefaan Walgrave en Commission du 21 septembre 2022.</w:t>
      </w:r>
    </w:p>
  </w:footnote>
  <w:footnote w:id="70">
    <w:p w14:paraId="266C3CD2" w14:textId="386D4D21" w:rsidR="00F10A89" w:rsidRPr="0014243F" w:rsidRDefault="00000000" w:rsidP="00F10A89">
      <w:pPr>
        <w:pStyle w:val="Notedebasdepage"/>
        <w:spacing w:before="20" w:after="20"/>
        <w:ind w:left="567" w:right="567"/>
        <w:jc w:val="both"/>
        <w:rPr>
          <w:rFonts w:ascii="Century" w:hAnsi="Century"/>
          <w:sz w:val="18"/>
          <w:szCs w:val="18"/>
          <w:lang w:val="en-US"/>
        </w:rPr>
      </w:pPr>
      <w:r w:rsidRPr="0092542D">
        <w:rPr>
          <w:rStyle w:val="Appelnotedebasdep"/>
          <w:rFonts w:ascii="Century" w:hAnsi="Century"/>
          <w:sz w:val="18"/>
          <w:szCs w:val="18"/>
        </w:rPr>
        <w:footnoteRef/>
      </w:r>
      <w:r w:rsidRPr="0092542D">
        <w:rPr>
          <w:rFonts w:ascii="Century" w:hAnsi="Century"/>
          <w:sz w:val="18"/>
          <w:szCs w:val="18"/>
        </w:rPr>
        <w:t xml:space="preserve"> </w:t>
      </w:r>
      <w:r w:rsidRPr="0092542D">
        <w:rPr>
          <w:rFonts w:ascii="Century" w:hAnsi="Century"/>
          <w:sz w:val="18"/>
          <w:szCs w:val="18"/>
          <w:lang w:val="en-US"/>
        </w:rPr>
        <w:t xml:space="preserve">Cfr en ce sens </w:t>
      </w:r>
      <w:r w:rsidRPr="0092542D">
        <w:rPr>
          <w:rFonts w:ascii="Century" w:hAnsi="Century" w:cs="Helvetica Neue"/>
          <w:color w:val="000000"/>
          <w:sz w:val="18"/>
          <w:szCs w:val="18"/>
          <w:lang w:val="en-US"/>
        </w:rPr>
        <w:t xml:space="preserve">J. </w:t>
      </w:r>
      <w:r w:rsidRPr="0092542D">
        <w:rPr>
          <w:rFonts w:ascii="Century" w:hAnsi="Century" w:cs="Helvetica Neue"/>
          <w:smallCaps/>
          <w:color w:val="000000"/>
          <w:sz w:val="18"/>
          <w:szCs w:val="18"/>
          <w:lang w:val="en-US"/>
        </w:rPr>
        <w:t>Cheibub</w:t>
      </w:r>
      <w:r w:rsidRPr="0092542D">
        <w:rPr>
          <w:rFonts w:ascii="Century" w:hAnsi="Century" w:cs="Helvetica Neue"/>
          <w:color w:val="000000"/>
          <w:sz w:val="18"/>
          <w:szCs w:val="18"/>
          <w:lang w:val="en-US"/>
        </w:rPr>
        <w:t xml:space="preserve">, S. </w:t>
      </w:r>
      <w:r w:rsidRPr="0092542D">
        <w:rPr>
          <w:rFonts w:ascii="Century" w:hAnsi="Century" w:cs="Helvetica Neue"/>
          <w:smallCaps/>
          <w:color w:val="000000"/>
          <w:sz w:val="18"/>
          <w:szCs w:val="18"/>
          <w:lang w:val="en-US"/>
        </w:rPr>
        <w:t>Martin</w:t>
      </w:r>
      <w:r w:rsidRPr="0092542D">
        <w:rPr>
          <w:rFonts w:ascii="Century" w:hAnsi="Century" w:cs="Helvetica Neue"/>
          <w:color w:val="000000"/>
          <w:sz w:val="18"/>
          <w:szCs w:val="18"/>
          <w:lang w:val="en-US"/>
        </w:rPr>
        <w:t xml:space="preserve"> et E. </w:t>
      </w:r>
      <w:r w:rsidRPr="0092542D">
        <w:rPr>
          <w:rFonts w:ascii="Century" w:hAnsi="Century" w:cs="Helvetica Neue"/>
          <w:smallCaps/>
          <w:color w:val="000000"/>
          <w:sz w:val="18"/>
          <w:szCs w:val="18"/>
          <w:lang w:val="en-US"/>
        </w:rPr>
        <w:t>Rasch</w:t>
      </w:r>
      <w:r w:rsidRPr="0092542D">
        <w:rPr>
          <w:rFonts w:ascii="Century" w:hAnsi="Century" w:cs="Helvetica Neue"/>
          <w:color w:val="000000"/>
          <w:sz w:val="18"/>
          <w:szCs w:val="18"/>
          <w:lang w:val="en-US"/>
        </w:rPr>
        <w:t xml:space="preserve">, « Investiture rules and formation of minority </w:t>
      </w:r>
      <w:r w:rsidRPr="0014243F">
        <w:rPr>
          <w:rFonts w:ascii="Century" w:hAnsi="Century" w:cs="Times New Roman"/>
          <w:sz w:val="18"/>
          <w:szCs w:val="18"/>
          <w:lang w:val="en-US"/>
        </w:rPr>
        <w:t>governments</w:t>
      </w:r>
      <w:r w:rsidRPr="0092542D">
        <w:rPr>
          <w:rFonts w:ascii="Century" w:hAnsi="Century" w:cs="Helvetica Neue"/>
          <w:color w:val="000000"/>
          <w:sz w:val="18"/>
          <w:szCs w:val="18"/>
          <w:lang w:val="en-US"/>
        </w:rPr>
        <w:t xml:space="preserve"> in European parliamentary democracies </w:t>
      </w:r>
      <w:r w:rsidRPr="0014243F">
        <w:rPr>
          <w:rFonts w:ascii="Century" w:hAnsi="Century" w:cs="Times New Roman"/>
          <w:sz w:val="18"/>
          <w:szCs w:val="18"/>
          <w:lang w:val="en-US"/>
        </w:rPr>
        <w:t>»</w:t>
      </w:r>
      <w:r w:rsidRPr="0092542D">
        <w:rPr>
          <w:rFonts w:ascii="Century" w:hAnsi="Century" w:cs="Helvetica Neue"/>
          <w:color w:val="000000"/>
          <w:sz w:val="18"/>
          <w:szCs w:val="18"/>
          <w:lang w:val="en-US"/>
        </w:rPr>
        <w:t xml:space="preserve">, </w:t>
      </w:r>
      <w:r w:rsidRPr="0092542D">
        <w:rPr>
          <w:rFonts w:ascii="Century" w:hAnsi="Century" w:cs="Helvetica Neue"/>
          <w:i/>
          <w:iCs/>
          <w:color w:val="000000"/>
          <w:sz w:val="18"/>
          <w:szCs w:val="18"/>
          <w:lang w:val="en-US"/>
        </w:rPr>
        <w:t xml:space="preserve">Party Politics, </w:t>
      </w:r>
      <w:r w:rsidRPr="0092542D">
        <w:rPr>
          <w:rFonts w:ascii="Century" w:hAnsi="Century" w:cs="Helvetica Neue"/>
          <w:color w:val="000000"/>
          <w:sz w:val="18"/>
          <w:szCs w:val="18"/>
          <w:lang w:val="en-US"/>
        </w:rPr>
        <w:t xml:space="preserve">2021, </w:t>
      </w:r>
      <w:r w:rsidRPr="0014243F">
        <w:rPr>
          <w:rFonts w:ascii="Century" w:hAnsi="Century" w:cs="Helvetica Neue"/>
          <w:color w:val="000000"/>
          <w:sz w:val="18"/>
          <w:szCs w:val="18"/>
          <w:lang w:val="en-US"/>
        </w:rPr>
        <w:t xml:space="preserve">p 359: </w:t>
      </w:r>
      <w:r w:rsidRPr="0014243F">
        <w:rPr>
          <w:rFonts w:ascii="Century" w:hAnsi="Century" w:cs="Times New Roman"/>
          <w:sz w:val="18"/>
          <w:szCs w:val="18"/>
          <w:lang w:val="en-US"/>
        </w:rPr>
        <w:t>«</w:t>
      </w:r>
      <w:r w:rsidRPr="0092542D">
        <w:rPr>
          <w:rFonts w:ascii="Century" w:hAnsi="Century" w:cs="Times New Roman"/>
          <w:sz w:val="18"/>
          <w:szCs w:val="18"/>
          <w:lang w:val="en-US"/>
        </w:rPr>
        <w:t xml:space="preserve"> </w:t>
      </w:r>
      <w:r w:rsidRPr="0014243F">
        <w:rPr>
          <w:rFonts w:ascii="Century" w:hAnsi="Century"/>
          <w:i/>
          <w:iCs/>
          <w:sz w:val="18"/>
          <w:szCs w:val="18"/>
          <w:lang w:val="en-US"/>
        </w:rPr>
        <w:t>[The investiture] vote modifies the government formation process, that is, it makes the emergence of minority governments less likely, only when it requires that an effective parliamentary majority make the decision, that is, a majority of all members of parliament</w:t>
      </w:r>
      <w:r w:rsidRPr="0092542D">
        <w:rPr>
          <w:rFonts w:ascii="Century" w:hAnsi="Century" w:cs="Times New Roman"/>
          <w:sz w:val="18"/>
          <w:szCs w:val="18"/>
          <w:lang w:val="en-US"/>
        </w:rPr>
        <w:t xml:space="preserve"> </w:t>
      </w:r>
      <w:r w:rsidRPr="0014243F">
        <w:rPr>
          <w:rFonts w:ascii="Century" w:hAnsi="Century" w:cs="Times New Roman"/>
          <w:sz w:val="18"/>
          <w:szCs w:val="18"/>
          <w:lang w:val="en-US"/>
        </w:rPr>
        <w:t>»</w:t>
      </w:r>
      <w:r w:rsidRPr="0092542D">
        <w:rPr>
          <w:rFonts w:ascii="Century" w:hAnsi="Century" w:cs="Times New Roman"/>
          <w:sz w:val="18"/>
          <w:szCs w:val="18"/>
          <w:lang w:val="en-US"/>
        </w:rPr>
        <w:t>.</w:t>
      </w:r>
    </w:p>
  </w:footnote>
  <w:footnote w:id="71">
    <w:p w14:paraId="07695E3A" w14:textId="56C4F3B9" w:rsidR="002663BA" w:rsidRPr="0014243F" w:rsidRDefault="00000000" w:rsidP="0014243F">
      <w:pPr>
        <w:pStyle w:val="Notedebasdepage"/>
        <w:spacing w:before="20" w:after="20"/>
        <w:ind w:left="567" w:right="567"/>
        <w:jc w:val="both"/>
        <w:rPr>
          <w:rFonts w:ascii="Century" w:hAnsi="Century"/>
          <w:sz w:val="18"/>
          <w:szCs w:val="18"/>
          <w:lang w:val="fr-BE"/>
        </w:rPr>
      </w:pPr>
      <w:r w:rsidRPr="0014243F">
        <w:rPr>
          <w:rStyle w:val="Appelnotedebasdep"/>
          <w:rFonts w:ascii="Century" w:hAnsi="Century"/>
          <w:sz w:val="18"/>
          <w:szCs w:val="18"/>
        </w:rPr>
        <w:footnoteRef/>
      </w:r>
      <w:r w:rsidRPr="0014243F">
        <w:rPr>
          <w:rFonts w:ascii="Century" w:hAnsi="Century"/>
          <w:sz w:val="18"/>
          <w:szCs w:val="18"/>
          <w:lang w:val="fr-BE"/>
        </w:rPr>
        <w:t xml:space="preserve"> </w:t>
      </w:r>
      <w:r w:rsidRPr="0092542D">
        <w:rPr>
          <w:rFonts w:ascii="Century" w:hAnsi="Century" w:cs="Times New Roman"/>
          <w:sz w:val="18"/>
          <w:szCs w:val="18"/>
          <w:lang w:val="fr-BE"/>
        </w:rPr>
        <w:t xml:space="preserve">Ainsi, après les élections du 9 septembre 2018 en Suède, il a fallu 134 jours de négociations pour former le gouvernement minoritaire Löfven II : cfr à ce sujet L. </w:t>
      </w:r>
      <w:r w:rsidRPr="0092542D">
        <w:rPr>
          <w:rFonts w:ascii="Century" w:hAnsi="Century" w:cs="Times New Roman"/>
          <w:smallCaps/>
          <w:sz w:val="18"/>
          <w:szCs w:val="18"/>
          <w:lang w:val="fr-BE"/>
        </w:rPr>
        <w:t xml:space="preserve">Léothier,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357-363. </w:t>
      </w:r>
    </w:p>
  </w:footnote>
  <w:footnote w:id="72">
    <w:p w14:paraId="02AFB838" w14:textId="5434BCF5" w:rsidR="002663BA" w:rsidRPr="0014243F" w:rsidRDefault="00000000" w:rsidP="0014243F">
      <w:pPr>
        <w:pStyle w:val="Notedebasdepage"/>
        <w:spacing w:before="20" w:after="20"/>
        <w:ind w:left="567" w:right="567"/>
        <w:jc w:val="both"/>
        <w:rPr>
          <w:rFonts w:ascii="Century" w:hAnsi="Century"/>
          <w:sz w:val="18"/>
          <w:szCs w:val="18"/>
          <w:lang w:val="fr-BE"/>
        </w:rPr>
      </w:pPr>
      <w:r w:rsidRPr="0014243F">
        <w:rPr>
          <w:rStyle w:val="Appelnotedebasdep"/>
          <w:rFonts w:ascii="Century" w:hAnsi="Century"/>
          <w:sz w:val="18"/>
          <w:szCs w:val="18"/>
        </w:rPr>
        <w:footnoteRef/>
      </w:r>
      <w:r w:rsidRPr="0014243F">
        <w:rPr>
          <w:rFonts w:ascii="Century" w:hAnsi="Century"/>
          <w:sz w:val="18"/>
          <w:szCs w:val="18"/>
          <w:lang w:val="fr-BE"/>
        </w:rPr>
        <w:t xml:space="preserve"> En </w:t>
      </w:r>
      <w:r w:rsidRPr="0014243F">
        <w:rPr>
          <w:rFonts w:ascii="Century" w:hAnsi="Century" w:cs="Times New Roman"/>
          <w:sz w:val="18"/>
          <w:szCs w:val="18"/>
          <w:lang w:val="fr-BE"/>
        </w:rPr>
        <w:t>témoigne</w:t>
      </w:r>
      <w:r w:rsidRPr="0014243F">
        <w:rPr>
          <w:rFonts w:ascii="Century" w:hAnsi="Century"/>
          <w:sz w:val="18"/>
          <w:szCs w:val="18"/>
          <w:lang w:val="fr-BE"/>
        </w:rPr>
        <w:t xml:space="preserve"> </w:t>
      </w:r>
      <w:r w:rsidRPr="0092542D">
        <w:rPr>
          <w:rFonts w:ascii="Century" w:hAnsi="Century" w:cs="Times New Roman"/>
          <w:sz w:val="18"/>
          <w:szCs w:val="18"/>
          <w:lang w:val="fr-BE"/>
        </w:rPr>
        <w:t xml:space="preserve">la lenteur du processus de formation du gouvernement au Pays-Bas où beaucoup de partis politiques ne dépassent pas, à l’échelle nationale, les 10-15% des voix (voy. à cet égard, T. </w:t>
      </w:r>
      <w:r w:rsidRPr="0092542D">
        <w:rPr>
          <w:rFonts w:ascii="Century" w:hAnsi="Century" w:cs="Times New Roman"/>
          <w:smallCaps/>
          <w:sz w:val="18"/>
          <w:szCs w:val="18"/>
          <w:lang w:val="fr-BE"/>
        </w:rPr>
        <w:t>Louwerse</w:t>
      </w:r>
      <w:r w:rsidRPr="0092542D">
        <w:rPr>
          <w:rFonts w:ascii="Century" w:hAnsi="Century" w:cs="Times New Roman"/>
          <w:sz w:val="18"/>
          <w:szCs w:val="18"/>
          <w:lang w:val="fr-BE"/>
        </w:rPr>
        <w:t xml:space="preserve"> et A. </w:t>
      </w:r>
      <w:r w:rsidRPr="0092542D">
        <w:rPr>
          <w:rFonts w:ascii="Century" w:hAnsi="Century" w:cs="Times New Roman"/>
          <w:smallCaps/>
          <w:sz w:val="18"/>
          <w:szCs w:val="18"/>
          <w:lang w:val="fr-BE"/>
        </w:rPr>
        <w:t>Timmermans</w:t>
      </w:r>
      <w:r w:rsidRPr="0092542D">
        <w:rPr>
          <w:rFonts w:ascii="Century" w:hAnsi="Century" w:cs="Times New Roman"/>
          <w:sz w:val="18"/>
          <w:szCs w:val="18"/>
          <w:lang w:val="fr-BE"/>
        </w:rPr>
        <w:t xml:space="preserve">, </w:t>
      </w:r>
      <w:r w:rsidRPr="0092542D">
        <w:rPr>
          <w:rFonts w:ascii="Century" w:hAnsi="Century" w:cs="Times New Roman"/>
          <w:i/>
          <w:iCs/>
          <w:sz w:val="18"/>
          <w:szCs w:val="18"/>
          <w:lang w:val="fr-BE"/>
        </w:rPr>
        <w:t>op. cit.</w:t>
      </w:r>
      <w:r w:rsidRPr="0092542D">
        <w:rPr>
          <w:rFonts w:ascii="Century" w:hAnsi="Century" w:cs="Times New Roman"/>
          <w:sz w:val="18"/>
          <w:szCs w:val="18"/>
          <w:lang w:val="fr-BE"/>
        </w:rPr>
        <w:t xml:space="preserve"> , pp. 456 et sv.)</w:t>
      </w:r>
      <w:r w:rsidR="00B65C60" w:rsidRPr="0092542D">
        <w:rPr>
          <w:rFonts w:ascii="Century" w:hAnsi="Century" w:cs="Times New Roman"/>
          <w:sz w:val="18"/>
          <w:szCs w:val="18"/>
          <w:lang w:val="fr-BE"/>
        </w:rPr>
        <w:t>.</w:t>
      </w:r>
    </w:p>
  </w:footnote>
  <w:footnote w:id="73">
    <w:p w14:paraId="6C6F1996"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L. R</w:t>
      </w:r>
      <w:r w:rsidRPr="0092542D">
        <w:rPr>
          <w:rFonts w:ascii="Century" w:hAnsi="Century" w:cs="Times New Roman"/>
          <w:smallCaps/>
          <w:sz w:val="18"/>
          <w:szCs w:val="18"/>
          <w:lang w:val="fr-BE"/>
        </w:rPr>
        <w:t xml:space="preserve">igaux,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367. </w:t>
      </w:r>
    </w:p>
  </w:footnote>
  <w:footnote w:id="74">
    <w:p w14:paraId="7D356DC0" w14:textId="4721F608" w:rsidR="00E468AE" w:rsidRPr="0092542D" w:rsidRDefault="00000000" w:rsidP="00F56AAC">
      <w:pPr>
        <w:pStyle w:val="Notedebasdepage"/>
        <w:spacing w:before="20" w:after="20"/>
        <w:ind w:left="567" w:right="567"/>
        <w:jc w:val="both"/>
        <w:rPr>
          <w:rFonts w:ascii="Century" w:hAnsi="Century" w:cs="Times New Roman"/>
          <w:sz w:val="18"/>
          <w:szCs w:val="18"/>
          <w:lang w:val="en-US"/>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Cfr C. G</w:t>
      </w:r>
      <w:r w:rsidRPr="0092542D">
        <w:rPr>
          <w:rFonts w:ascii="Century" w:hAnsi="Century" w:cs="Times New Roman"/>
          <w:smallCaps/>
          <w:sz w:val="18"/>
          <w:szCs w:val="18"/>
          <w:lang w:val="fr-BE"/>
        </w:rPr>
        <w:t xml:space="preserve">rewe </w:t>
      </w:r>
      <w:r w:rsidRPr="0092542D">
        <w:rPr>
          <w:rFonts w:ascii="Century" w:hAnsi="Century" w:cs="Times New Roman"/>
          <w:sz w:val="18"/>
          <w:szCs w:val="18"/>
          <w:lang w:val="fr-BE"/>
        </w:rPr>
        <w:t xml:space="preserve">et H. </w:t>
      </w:r>
      <w:r w:rsidRPr="0092542D">
        <w:rPr>
          <w:rFonts w:ascii="Century" w:hAnsi="Century" w:cs="Times New Roman"/>
          <w:smallCaps/>
          <w:sz w:val="18"/>
          <w:szCs w:val="18"/>
          <w:lang w:val="fr-BE"/>
        </w:rPr>
        <w:t xml:space="preserve">Ruiz Fabri, </w:t>
      </w:r>
      <w:r w:rsidRPr="0092542D">
        <w:rPr>
          <w:rFonts w:ascii="Century" w:hAnsi="Century" w:cs="Times New Roman"/>
          <w:i/>
          <w:sz w:val="18"/>
          <w:szCs w:val="18"/>
          <w:lang w:val="fr-BE"/>
        </w:rPr>
        <w:t>Droits constitutionnels européens</w:t>
      </w:r>
      <w:r w:rsidRPr="0092542D">
        <w:rPr>
          <w:rFonts w:ascii="Century" w:hAnsi="Century" w:cs="Times New Roman"/>
          <w:sz w:val="18"/>
          <w:szCs w:val="18"/>
          <w:lang w:val="fr-BE"/>
        </w:rPr>
        <w:t xml:space="preserve">, Paris, PUF, 1995, p. 528-535 ; </w:t>
      </w:r>
      <w:r w:rsidRPr="0092542D">
        <w:rPr>
          <w:rFonts w:ascii="Century" w:hAnsi="Century" w:cs="Times New Roman"/>
          <w:smallCaps/>
          <w:sz w:val="18"/>
          <w:szCs w:val="18"/>
          <w:lang w:val="fr-BE"/>
        </w:rPr>
        <w:t>T. Bergman</w:t>
      </w:r>
      <w:r w:rsidRPr="0092542D">
        <w:rPr>
          <w:rFonts w:ascii="Century" w:hAnsi="Century" w:cs="Times New Roman"/>
          <w:sz w:val="18"/>
          <w:szCs w:val="18"/>
          <w:lang w:val="fr-BE"/>
        </w:rPr>
        <w:t xml:space="preserve">, </w:t>
      </w:r>
      <w:r w:rsidRPr="0092542D">
        <w:rPr>
          <w:rFonts w:ascii="Century" w:hAnsi="Century"/>
          <w:sz w:val="18"/>
          <w:szCs w:val="18"/>
          <w:lang w:val="fr-FR"/>
        </w:rPr>
        <w:t xml:space="preserve">« </w:t>
      </w:r>
      <w:r w:rsidRPr="0092542D">
        <w:rPr>
          <w:rFonts w:ascii="Century" w:hAnsi="Century" w:cs="Times New Roman"/>
          <w:iCs/>
          <w:sz w:val="18"/>
          <w:szCs w:val="18"/>
          <w:lang w:val="fr-BE"/>
        </w:rPr>
        <w:t>Formation rules and minority governments</w:t>
      </w:r>
      <w:r w:rsidRPr="0092542D">
        <w:rPr>
          <w:rFonts w:ascii="Century" w:hAnsi="Century"/>
          <w:sz w:val="18"/>
          <w:szCs w:val="18"/>
          <w:lang w:val="fr-FR"/>
        </w:rPr>
        <w:t xml:space="preserve"> »,</w:t>
      </w:r>
      <w:r w:rsidRPr="0092542D">
        <w:rPr>
          <w:rFonts w:ascii="Century" w:hAnsi="Century" w:cs="Times New Roman"/>
          <w:i/>
          <w:sz w:val="18"/>
          <w:szCs w:val="18"/>
          <w:lang w:val="fr-BE"/>
        </w:rPr>
        <w:t xml:space="preserve"> European Journal of Political Research</w:t>
      </w:r>
      <w:r w:rsidRPr="0092542D">
        <w:rPr>
          <w:rFonts w:ascii="Century" w:hAnsi="Century" w:cs="Times New Roman"/>
          <w:sz w:val="18"/>
          <w:szCs w:val="18"/>
          <w:lang w:val="fr-BE"/>
        </w:rPr>
        <w:t xml:space="preserve">, 1993, p. 56 ; et Y. </w:t>
      </w:r>
      <w:r w:rsidRPr="0092542D">
        <w:rPr>
          <w:rFonts w:ascii="Century" w:hAnsi="Century" w:cs="Times New Roman"/>
          <w:smallCaps/>
          <w:sz w:val="18"/>
          <w:szCs w:val="18"/>
          <w:lang w:val="fr-BE"/>
        </w:rPr>
        <w:t xml:space="preserve">Déloye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J.-M. De Waele </w:t>
      </w:r>
      <w:r w:rsidRPr="0092542D">
        <w:rPr>
          <w:rFonts w:ascii="Century" w:hAnsi="Century" w:cs="Times New Roman"/>
          <w:sz w:val="18"/>
          <w:szCs w:val="18"/>
          <w:lang w:val="fr-BE"/>
        </w:rPr>
        <w:t xml:space="preserve">(coord.), </w:t>
      </w:r>
      <w:r w:rsidRPr="0092542D">
        <w:rPr>
          <w:rFonts w:ascii="Century" w:hAnsi="Century" w:cs="Times New Roman"/>
          <w:i/>
          <w:sz w:val="18"/>
          <w:szCs w:val="18"/>
          <w:lang w:val="fr-BE"/>
        </w:rPr>
        <w:t>Politique comparée</w:t>
      </w:r>
      <w:r w:rsidRPr="0092542D">
        <w:rPr>
          <w:rFonts w:ascii="Century" w:hAnsi="Century" w:cs="Times New Roman"/>
          <w:sz w:val="18"/>
          <w:szCs w:val="18"/>
          <w:lang w:val="fr-BE"/>
        </w:rPr>
        <w:t xml:space="preserve">, Bruxelles, Brylant, 2018, p. 325-328. A l’échelle mondiale, le système le plus répandu est le type négatif. </w:t>
      </w:r>
      <w:r w:rsidRPr="0092542D">
        <w:rPr>
          <w:rFonts w:ascii="Century" w:hAnsi="Century" w:cs="Times New Roman"/>
          <w:sz w:val="18"/>
          <w:szCs w:val="18"/>
          <w:lang w:val="en-US"/>
        </w:rPr>
        <w:t xml:space="preserve">Ainsi, selon A. W. </w:t>
      </w:r>
      <w:r w:rsidRPr="0092542D">
        <w:rPr>
          <w:rFonts w:ascii="Century" w:hAnsi="Century" w:cs="Times New Roman"/>
          <w:smallCaps/>
          <w:sz w:val="18"/>
          <w:szCs w:val="18"/>
          <w:lang w:val="en-US"/>
        </w:rPr>
        <w:t xml:space="preserve">Bradley </w:t>
      </w:r>
      <w:r w:rsidRPr="0092542D">
        <w:rPr>
          <w:rFonts w:ascii="Century" w:hAnsi="Century" w:cs="Times New Roman"/>
          <w:sz w:val="18"/>
          <w:szCs w:val="18"/>
          <w:lang w:val="en-US"/>
        </w:rPr>
        <w:t xml:space="preserve">et </w:t>
      </w:r>
      <w:r w:rsidRPr="0092542D">
        <w:rPr>
          <w:rFonts w:ascii="Century" w:hAnsi="Century" w:cs="Times New Roman"/>
          <w:smallCaps/>
          <w:sz w:val="18"/>
          <w:szCs w:val="18"/>
          <w:lang w:val="en-US"/>
        </w:rPr>
        <w:t xml:space="preserve">C. Pinelli,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sz w:val="18"/>
          <w:szCs w:val="18"/>
          <w:lang w:val="en-US"/>
        </w:rPr>
        <w:t>Parliamentarism</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mallCaps/>
          <w:sz w:val="18"/>
          <w:szCs w:val="18"/>
          <w:lang w:val="en-US"/>
        </w:rPr>
        <w:t xml:space="preserve">, </w:t>
      </w:r>
      <w:r w:rsidRPr="0092542D">
        <w:rPr>
          <w:rFonts w:ascii="Century" w:hAnsi="Century" w:cs="Times New Roman"/>
          <w:sz w:val="18"/>
          <w:szCs w:val="18"/>
          <w:lang w:val="en-US"/>
        </w:rPr>
        <w:t xml:space="preserve">in M. </w:t>
      </w:r>
      <w:r w:rsidRPr="0092542D">
        <w:rPr>
          <w:rFonts w:ascii="Century" w:hAnsi="Century" w:cs="Times New Roman"/>
          <w:smallCaps/>
          <w:sz w:val="18"/>
          <w:szCs w:val="18"/>
          <w:lang w:val="en-US"/>
        </w:rPr>
        <w:t>rosenfeld</w:t>
      </w:r>
      <w:r w:rsidR="00117A7E" w:rsidRPr="0092542D">
        <w:rPr>
          <w:rFonts w:ascii="Century" w:hAnsi="Century" w:cs="Times New Roman"/>
          <w:sz w:val="18"/>
          <w:szCs w:val="18"/>
          <w:lang w:val="en-US"/>
        </w:rPr>
        <w:t xml:space="preserve"> </w:t>
      </w:r>
      <w:r w:rsidRPr="0092542D">
        <w:rPr>
          <w:rFonts w:ascii="Century" w:hAnsi="Century" w:cs="Times New Roman"/>
          <w:sz w:val="18"/>
          <w:szCs w:val="18"/>
          <w:lang w:val="en-US"/>
        </w:rPr>
        <w:t xml:space="preserve">et </w:t>
      </w:r>
      <w:r w:rsidRPr="0092542D">
        <w:rPr>
          <w:rFonts w:ascii="Century" w:hAnsi="Century" w:cs="Times New Roman"/>
          <w:smallCaps/>
          <w:sz w:val="18"/>
          <w:szCs w:val="18"/>
          <w:lang w:val="en-US"/>
        </w:rPr>
        <w:t xml:space="preserve">A. Sajo, </w:t>
      </w:r>
      <w:r w:rsidRPr="0092542D">
        <w:rPr>
          <w:rFonts w:ascii="Century" w:hAnsi="Century" w:cs="Times New Roman"/>
          <w:i/>
          <w:sz w:val="18"/>
          <w:szCs w:val="18"/>
          <w:lang w:val="en-US"/>
        </w:rPr>
        <w:t>The Oxford Handbook of Comparative Constitutional Law</w:t>
      </w:r>
      <w:r w:rsidRPr="0092542D">
        <w:rPr>
          <w:rFonts w:ascii="Century" w:hAnsi="Century" w:cs="Times New Roman"/>
          <w:smallCaps/>
          <w:sz w:val="18"/>
          <w:szCs w:val="18"/>
          <w:lang w:val="en-US"/>
        </w:rPr>
        <w:t xml:space="preserve">, </w:t>
      </w:r>
      <w:r w:rsidRPr="0092542D">
        <w:rPr>
          <w:rFonts w:ascii="Century" w:hAnsi="Century" w:cs="Times New Roman"/>
          <w:sz w:val="18"/>
          <w:szCs w:val="18"/>
          <w:lang w:val="en-US"/>
        </w:rPr>
        <w:t>Oxford, Oxford University Press</w:t>
      </w:r>
      <w:r w:rsidRPr="0092542D">
        <w:rPr>
          <w:rFonts w:ascii="Century" w:hAnsi="Century" w:cs="Times New Roman"/>
          <w:smallCaps/>
          <w:sz w:val="18"/>
          <w:szCs w:val="18"/>
          <w:lang w:val="en-US"/>
        </w:rPr>
        <w:t xml:space="preserve">, 2013, </w:t>
      </w:r>
      <w:r w:rsidRPr="0092542D">
        <w:rPr>
          <w:rFonts w:ascii="Century" w:hAnsi="Century" w:cs="Times New Roman"/>
          <w:sz w:val="18"/>
          <w:szCs w:val="18"/>
          <w:lang w:val="en-US"/>
        </w:rPr>
        <w:t>p. 663</w:t>
      </w:r>
      <w:r w:rsidRPr="0092542D">
        <w:rPr>
          <w:rFonts w:ascii="Century" w:hAnsi="Century" w:cs="Times New Roman"/>
          <w:smallCaps/>
          <w:sz w:val="18"/>
          <w:szCs w:val="18"/>
          <w:lang w:val="en-US"/>
        </w:rPr>
        <w:t xml:space="preserve">, </w:t>
      </w:r>
      <w:r w:rsidRPr="0092542D">
        <w:rPr>
          <w:rFonts w:ascii="Century" w:hAnsi="Century" w:cs="Times New Roman"/>
          <w:sz w:val="18"/>
          <w:szCs w:val="18"/>
          <w:lang w:val="en-US"/>
        </w:rPr>
        <w:t>« </w:t>
      </w:r>
      <w:r w:rsidRPr="0092542D">
        <w:rPr>
          <w:rFonts w:ascii="Century" w:hAnsi="Century" w:cs="Times New Roman"/>
          <w:i/>
          <w:sz w:val="18"/>
          <w:szCs w:val="18"/>
          <w:lang w:val="en-US"/>
        </w:rPr>
        <w:t>In parliamentary systems, the parliament is rarely entrusted with the formal power of investing government with its functions. Once members of government are appointed by the head of the state, the confidence of the house is generally presumed to exist…</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z w:val="18"/>
          <w:szCs w:val="18"/>
          <w:lang w:val="en-US"/>
        </w:rPr>
        <w:t xml:space="preserve">; E. </w:t>
      </w:r>
      <w:r w:rsidRPr="0014243F">
        <w:rPr>
          <w:rFonts w:ascii="Century" w:hAnsi="Century" w:cs="Times New Roman"/>
          <w:smallCaps/>
          <w:sz w:val="18"/>
          <w:szCs w:val="18"/>
          <w:lang w:val="en-US"/>
        </w:rPr>
        <w:t>Bulmer</w:t>
      </w:r>
      <w:r w:rsidRPr="0092542D">
        <w:rPr>
          <w:rFonts w:ascii="Century" w:hAnsi="Century" w:cs="Times New Roman"/>
          <w:sz w:val="18"/>
          <w:szCs w:val="18"/>
          <w:lang w:val="en-US"/>
        </w:rPr>
        <w:t xml:space="preserve">,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sz w:val="18"/>
          <w:szCs w:val="18"/>
          <w:lang w:val="en-US"/>
        </w:rPr>
        <w:t>Government Formation and removal mechanisms</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z w:val="18"/>
          <w:szCs w:val="18"/>
          <w:lang w:val="en-US"/>
        </w:rPr>
        <w:t xml:space="preserve">, </w:t>
      </w:r>
      <w:r w:rsidRPr="0092542D">
        <w:rPr>
          <w:rFonts w:ascii="Century" w:hAnsi="Century" w:cs="Times New Roman"/>
          <w:i/>
          <w:iCs/>
          <w:sz w:val="18"/>
          <w:szCs w:val="18"/>
          <w:lang w:val="en-US"/>
        </w:rPr>
        <w:t>International IDEA</w:t>
      </w:r>
      <w:r w:rsidRPr="0092542D">
        <w:rPr>
          <w:rFonts w:ascii="Century" w:hAnsi="Century" w:cs="Times New Roman"/>
          <w:sz w:val="18"/>
          <w:szCs w:val="18"/>
          <w:lang w:val="en-US"/>
        </w:rPr>
        <w:t>, 2017, pp. 17 et sv.</w:t>
      </w:r>
    </w:p>
  </w:footnote>
  <w:footnote w:id="75">
    <w:p w14:paraId="05C04C13" w14:textId="25496B96"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Cfr Y. </w:t>
      </w:r>
      <w:r w:rsidRPr="0092542D">
        <w:rPr>
          <w:rFonts w:ascii="Century" w:hAnsi="Century" w:cs="Times New Roman"/>
          <w:smallCaps/>
          <w:sz w:val="18"/>
          <w:szCs w:val="18"/>
          <w:lang w:val="fr-BE"/>
        </w:rPr>
        <w:t xml:space="preserve">Déloye </w:t>
      </w:r>
      <w:r w:rsidRPr="0092542D">
        <w:rPr>
          <w:rFonts w:ascii="Century" w:hAnsi="Century" w:cs="Times New Roman"/>
          <w:sz w:val="18"/>
          <w:szCs w:val="18"/>
          <w:lang w:val="fr-BE"/>
        </w:rPr>
        <w:t xml:space="preserve">et </w:t>
      </w:r>
      <w:r w:rsidRPr="0092542D">
        <w:rPr>
          <w:rFonts w:ascii="Century" w:hAnsi="Century" w:cs="Times New Roman"/>
          <w:smallCaps/>
          <w:sz w:val="18"/>
          <w:szCs w:val="18"/>
          <w:lang w:val="fr-BE"/>
        </w:rPr>
        <w:t xml:space="preserve">J.-M. De Waele </w:t>
      </w:r>
      <w:r w:rsidRPr="0092542D">
        <w:rPr>
          <w:rFonts w:ascii="Century" w:hAnsi="Century" w:cs="Times New Roman"/>
          <w:sz w:val="18"/>
          <w:szCs w:val="18"/>
          <w:lang w:val="fr-BE"/>
        </w:rPr>
        <w:t xml:space="preserve">(coord.),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325. </w:t>
      </w:r>
      <w:r w:rsidRPr="0014243F">
        <w:rPr>
          <w:rFonts w:ascii="Century" w:hAnsi="Century" w:cs="Times New Roman"/>
          <w:sz w:val="18"/>
          <w:szCs w:val="18"/>
          <w:lang w:val="fr-BE"/>
        </w:rPr>
        <w:t xml:space="preserve">Comme on </w:t>
      </w:r>
      <w:r w:rsidRPr="0092542D">
        <w:rPr>
          <w:rFonts w:ascii="Century" w:hAnsi="Century" w:cs="Times New Roman"/>
          <w:sz w:val="18"/>
          <w:szCs w:val="18"/>
          <w:lang w:val="fr-BE"/>
        </w:rPr>
        <w:t>l’a relevé plus haut, l’exemple du Portugal conduit à nuancer le propos.</w:t>
      </w:r>
    </w:p>
  </w:footnote>
  <w:footnote w:id="76">
    <w:p w14:paraId="3D3328FA" w14:textId="7B87B0BA"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Notons que dans plusieurs études comparatives </w:t>
      </w:r>
      <w:r w:rsidR="003269B5" w:rsidRPr="0092542D">
        <w:rPr>
          <w:rFonts w:ascii="Century" w:hAnsi="Century" w:cs="Times New Roman"/>
          <w:sz w:val="18"/>
          <w:szCs w:val="18"/>
          <w:lang w:val="fr-BE"/>
        </w:rPr>
        <w:t xml:space="preserve">de science politique </w:t>
      </w:r>
      <w:r w:rsidRPr="0092542D">
        <w:rPr>
          <w:rFonts w:ascii="Century" w:hAnsi="Century" w:cs="Times New Roman"/>
          <w:sz w:val="18"/>
          <w:szCs w:val="18"/>
          <w:lang w:val="fr-BE"/>
        </w:rPr>
        <w:t xml:space="preserve">(voy. </w:t>
      </w:r>
      <w:r w:rsidRPr="0014243F">
        <w:rPr>
          <w:rFonts w:ascii="Century" w:hAnsi="Century" w:cs="Times New Roman"/>
          <w:sz w:val="18"/>
          <w:szCs w:val="18"/>
          <w:lang w:val="fr-BE"/>
        </w:rPr>
        <w:t xml:space="preserve">O. </w:t>
      </w:r>
      <w:r w:rsidRPr="0014243F">
        <w:rPr>
          <w:rFonts w:ascii="Century" w:hAnsi="Century" w:cs="Times New Roman"/>
          <w:smallCaps/>
          <w:sz w:val="18"/>
          <w:szCs w:val="18"/>
          <w:lang w:val="fr-BE"/>
        </w:rPr>
        <w:t>Akirav</w:t>
      </w:r>
      <w:r w:rsidRPr="0014243F">
        <w:rPr>
          <w:rFonts w:ascii="Century" w:hAnsi="Century" w:cs="Times New Roman"/>
          <w:sz w:val="18"/>
          <w:szCs w:val="18"/>
          <w:lang w:val="fr-BE"/>
        </w:rPr>
        <w:t xml:space="preserve">, </w:t>
      </w:r>
      <w:r w:rsidRPr="0014243F">
        <w:rPr>
          <w:rFonts w:ascii="Century" w:hAnsi="Century"/>
          <w:sz w:val="18"/>
          <w:szCs w:val="18"/>
          <w:lang w:val="fr-BE"/>
        </w:rPr>
        <w:t xml:space="preserve">« </w:t>
      </w:r>
      <w:r w:rsidRPr="0014243F">
        <w:rPr>
          <w:rFonts w:ascii="Century" w:hAnsi="Century" w:cs="Times New Roman"/>
          <w:sz w:val="18"/>
          <w:szCs w:val="18"/>
          <w:lang w:val="fr-BE"/>
        </w:rPr>
        <w:t>Investiture rules and the formation and type of government in Israel and Italy</w:t>
      </w:r>
      <w:r w:rsidRPr="0014243F">
        <w:rPr>
          <w:rFonts w:ascii="Century" w:hAnsi="Century"/>
          <w:sz w:val="18"/>
          <w:szCs w:val="18"/>
          <w:lang w:val="fr-BE"/>
        </w:rPr>
        <w:t xml:space="preserve"> »</w:t>
      </w:r>
      <w:r w:rsidRPr="0014243F">
        <w:rPr>
          <w:rFonts w:ascii="Century" w:hAnsi="Century" w:cs="Times New Roman"/>
          <w:sz w:val="18"/>
          <w:szCs w:val="18"/>
          <w:lang w:val="fr-BE"/>
        </w:rPr>
        <w:t xml:space="preserve">, </w:t>
      </w:r>
      <w:r w:rsidRPr="0014243F">
        <w:rPr>
          <w:rFonts w:ascii="Century" w:hAnsi="Century" w:cs="Times New Roman"/>
          <w:i/>
          <w:iCs/>
          <w:sz w:val="18"/>
          <w:szCs w:val="18"/>
          <w:lang w:val="fr-BE"/>
        </w:rPr>
        <w:t>The Journal of Legislative Studies</w:t>
      </w:r>
      <w:r w:rsidRPr="0014243F">
        <w:rPr>
          <w:rFonts w:ascii="Century" w:hAnsi="Century" w:cs="Times New Roman"/>
          <w:sz w:val="18"/>
          <w:szCs w:val="18"/>
          <w:lang w:val="fr-BE"/>
        </w:rPr>
        <w:t xml:space="preserve">, 2022, p. </w:t>
      </w:r>
      <w:r w:rsidR="00117A7E" w:rsidRPr="0092542D">
        <w:rPr>
          <w:rFonts w:ascii="Century" w:hAnsi="Century" w:cs="Times New Roman"/>
          <w:sz w:val="18"/>
          <w:szCs w:val="18"/>
          <w:lang w:val="fr-BE"/>
        </w:rPr>
        <w:t>18 ;</w:t>
      </w:r>
      <w:r w:rsidRPr="0092542D">
        <w:rPr>
          <w:rFonts w:ascii="Century" w:hAnsi="Century" w:cs="Times New Roman"/>
          <w:sz w:val="18"/>
          <w:szCs w:val="18"/>
          <w:lang w:val="fr-BE"/>
        </w:rPr>
        <w:t xml:space="preserve"> J. </w:t>
      </w:r>
      <w:r w:rsidRPr="0092542D">
        <w:rPr>
          <w:rFonts w:ascii="Century" w:hAnsi="Century" w:cs="Times New Roman"/>
          <w:smallCaps/>
          <w:sz w:val="18"/>
          <w:szCs w:val="18"/>
          <w:lang w:val="fr-BE"/>
        </w:rPr>
        <w:t>Cheibub</w:t>
      </w:r>
      <w:r w:rsidRPr="0092542D">
        <w:rPr>
          <w:rFonts w:ascii="Century" w:hAnsi="Century" w:cs="Times New Roman"/>
          <w:sz w:val="18"/>
          <w:szCs w:val="18"/>
          <w:lang w:val="fr-BE"/>
        </w:rPr>
        <w:t xml:space="preserve">, S. </w:t>
      </w:r>
      <w:r w:rsidRPr="0092542D">
        <w:rPr>
          <w:rFonts w:ascii="Century" w:hAnsi="Century" w:cs="Times New Roman"/>
          <w:smallCaps/>
          <w:sz w:val="18"/>
          <w:szCs w:val="18"/>
          <w:lang w:val="fr-BE"/>
        </w:rPr>
        <w:t>Martin</w:t>
      </w:r>
      <w:r w:rsidRPr="0092542D">
        <w:rPr>
          <w:rFonts w:ascii="Century" w:hAnsi="Century" w:cs="Times New Roman"/>
          <w:sz w:val="18"/>
          <w:szCs w:val="18"/>
          <w:lang w:val="fr-BE"/>
        </w:rPr>
        <w:t xml:space="preserve"> et E. </w:t>
      </w:r>
      <w:r w:rsidRPr="0092542D">
        <w:rPr>
          <w:rFonts w:ascii="Century" w:hAnsi="Century" w:cs="Times New Roman"/>
          <w:smallCaps/>
          <w:sz w:val="18"/>
          <w:szCs w:val="18"/>
          <w:lang w:val="fr-BE"/>
        </w:rPr>
        <w:t>Rasch</w:t>
      </w:r>
      <w:r w:rsidRPr="0092542D">
        <w:rPr>
          <w:rFonts w:ascii="Century" w:hAnsi="Century" w:cs="Times New Roman"/>
          <w:sz w:val="18"/>
          <w:szCs w:val="18"/>
          <w:lang w:val="fr-BE"/>
        </w:rPr>
        <w:t xml:space="preserve">, </w:t>
      </w:r>
      <w:r w:rsidR="003269B5" w:rsidRPr="0092542D">
        <w:rPr>
          <w:rFonts w:ascii="Century" w:hAnsi="Century" w:cs="Times New Roman"/>
          <w:i/>
          <w:iCs/>
          <w:sz w:val="18"/>
          <w:szCs w:val="18"/>
          <w:lang w:val="fr-BE"/>
        </w:rPr>
        <w:t>op. cit</w:t>
      </w:r>
      <w:r w:rsidR="003269B5" w:rsidRPr="0092542D">
        <w:rPr>
          <w:rFonts w:ascii="Century" w:hAnsi="Century" w:cs="Times New Roman"/>
          <w:sz w:val="18"/>
          <w:szCs w:val="18"/>
          <w:lang w:val="fr-BE"/>
        </w:rPr>
        <w:t>.</w:t>
      </w:r>
      <w:r w:rsidRPr="0092542D">
        <w:rPr>
          <w:rFonts w:ascii="Century" w:hAnsi="Century" w:cs="Times New Roman"/>
          <w:sz w:val="18"/>
          <w:szCs w:val="18"/>
          <w:lang w:val="fr-BE"/>
        </w:rPr>
        <w:t xml:space="preserve">, p. 357 ; L. </w:t>
      </w:r>
      <w:r w:rsidRPr="0092542D">
        <w:rPr>
          <w:rFonts w:ascii="Century" w:hAnsi="Century" w:cs="Times New Roman"/>
          <w:smallCaps/>
          <w:sz w:val="18"/>
          <w:szCs w:val="18"/>
          <w:lang w:val="fr-BE"/>
        </w:rPr>
        <w:t>De</w:t>
      </w:r>
      <w:r w:rsidRPr="0092542D">
        <w:rPr>
          <w:rFonts w:ascii="Century" w:hAnsi="Century" w:cs="Times New Roman"/>
          <w:sz w:val="18"/>
          <w:szCs w:val="18"/>
          <w:lang w:val="fr-BE"/>
        </w:rPr>
        <w:t xml:space="preserve"> </w:t>
      </w:r>
      <w:r w:rsidRPr="0092542D">
        <w:rPr>
          <w:rFonts w:ascii="Century" w:hAnsi="Century" w:cs="Times New Roman"/>
          <w:smallCaps/>
          <w:sz w:val="18"/>
          <w:szCs w:val="18"/>
          <w:lang w:val="fr-BE"/>
        </w:rPr>
        <w:t>Winter</w:t>
      </w:r>
      <w:r w:rsidRPr="0092542D">
        <w:rPr>
          <w:rFonts w:ascii="Century" w:hAnsi="Century" w:cs="Times New Roman"/>
          <w:sz w:val="18"/>
          <w:szCs w:val="18"/>
          <w:lang w:val="fr-BE"/>
        </w:rPr>
        <w:t xml:space="preserve"> et P. </w:t>
      </w:r>
      <w:r w:rsidRPr="0092542D">
        <w:rPr>
          <w:rFonts w:ascii="Century" w:hAnsi="Century" w:cs="Times New Roman"/>
          <w:smallCaps/>
          <w:sz w:val="18"/>
          <w:szCs w:val="18"/>
          <w:lang w:val="fr-BE"/>
        </w:rPr>
        <w:t>Dumont</w:t>
      </w:r>
      <w:r w:rsidRPr="0092542D">
        <w:rPr>
          <w:rFonts w:ascii="Century" w:hAnsi="Century" w:cs="Times New Roman"/>
          <w:sz w:val="18"/>
          <w:szCs w:val="18"/>
          <w:lang w:val="fr-BE"/>
        </w:rPr>
        <w:t xml:space="preserve">, </w:t>
      </w:r>
      <w:r w:rsidRPr="0092542D">
        <w:rPr>
          <w:rFonts w:ascii="Century" w:hAnsi="Century"/>
          <w:sz w:val="18"/>
          <w:szCs w:val="18"/>
          <w:lang w:val="fr-BE"/>
        </w:rPr>
        <w:t xml:space="preserve">« </w:t>
      </w:r>
      <w:r w:rsidRPr="0092542D">
        <w:rPr>
          <w:rFonts w:ascii="Century" w:hAnsi="Century" w:cs="Times New Roman"/>
          <w:sz w:val="18"/>
          <w:szCs w:val="18"/>
          <w:lang w:val="fr-BE"/>
        </w:rPr>
        <w:t xml:space="preserve">Belgium: From Highly Constrained and Complex Bargaining Settings to Paralysis? </w:t>
      </w:r>
      <w:r w:rsidRPr="0092542D">
        <w:rPr>
          <w:rFonts w:ascii="Century" w:hAnsi="Century"/>
          <w:sz w:val="18"/>
          <w:szCs w:val="18"/>
          <w:lang w:val="fr-BE"/>
        </w:rPr>
        <w:t>»</w:t>
      </w:r>
      <w:r w:rsidRPr="0092542D">
        <w:rPr>
          <w:rFonts w:ascii="Century" w:hAnsi="Century" w:cs="Times New Roman"/>
          <w:sz w:val="18"/>
          <w:szCs w:val="18"/>
          <w:lang w:val="fr-BE"/>
        </w:rPr>
        <w:t xml:space="preserve">, in </w:t>
      </w:r>
      <w:r w:rsidRPr="0092542D">
        <w:rPr>
          <w:rFonts w:ascii="Century" w:hAnsi="Century" w:cs="Times New Roman"/>
          <w:i/>
          <w:iCs/>
          <w:sz w:val="18"/>
          <w:szCs w:val="18"/>
          <w:lang w:val="fr-BE"/>
        </w:rPr>
        <w:t>Coalition Governance in Western Europe</w:t>
      </w:r>
      <w:r w:rsidRPr="0092542D">
        <w:rPr>
          <w:rFonts w:ascii="Century" w:hAnsi="Century" w:cs="Times New Roman"/>
          <w:sz w:val="18"/>
          <w:szCs w:val="18"/>
          <w:lang w:val="fr-BE"/>
        </w:rPr>
        <w:t xml:space="preserve">, Oxford, Oxford University Press, 2021, p. 84 ; A. </w:t>
      </w:r>
      <w:r w:rsidRPr="0092542D">
        <w:rPr>
          <w:rFonts w:ascii="Century" w:hAnsi="Century" w:cs="Times New Roman"/>
          <w:smallCaps/>
          <w:sz w:val="18"/>
          <w:szCs w:val="18"/>
          <w:lang w:val="fr-BE"/>
        </w:rPr>
        <w:t>André</w:t>
      </w:r>
      <w:r w:rsidRPr="0092542D">
        <w:rPr>
          <w:rFonts w:ascii="Century" w:hAnsi="Century" w:cs="Times New Roman"/>
          <w:sz w:val="18"/>
          <w:szCs w:val="18"/>
          <w:lang w:val="fr-BE"/>
        </w:rPr>
        <w:t xml:space="preserve">, S. </w:t>
      </w:r>
      <w:r w:rsidRPr="0092542D">
        <w:rPr>
          <w:rFonts w:ascii="Century" w:hAnsi="Century" w:cs="Times New Roman"/>
          <w:smallCaps/>
          <w:sz w:val="18"/>
          <w:szCs w:val="18"/>
          <w:lang w:val="fr-BE"/>
        </w:rPr>
        <w:t>Depauw</w:t>
      </w:r>
      <w:r w:rsidRPr="0092542D">
        <w:rPr>
          <w:rFonts w:ascii="Century" w:hAnsi="Century" w:cs="Times New Roman"/>
          <w:sz w:val="18"/>
          <w:szCs w:val="18"/>
          <w:lang w:val="fr-BE"/>
        </w:rPr>
        <w:t xml:space="preserve"> et K. </w:t>
      </w:r>
      <w:r w:rsidRPr="0092542D">
        <w:rPr>
          <w:rFonts w:ascii="Century" w:hAnsi="Century" w:cs="Times New Roman"/>
          <w:smallCaps/>
          <w:sz w:val="18"/>
          <w:szCs w:val="18"/>
          <w:lang w:val="fr-BE"/>
        </w:rPr>
        <w:t>Deschouwer</w:t>
      </w:r>
      <w:r w:rsidRPr="0092542D">
        <w:rPr>
          <w:rFonts w:ascii="Century" w:hAnsi="Century" w:cs="Times New Roman"/>
          <w:sz w:val="18"/>
          <w:szCs w:val="18"/>
          <w:lang w:val="fr-BE"/>
        </w:rPr>
        <w:t xml:space="preserve">, </w:t>
      </w:r>
      <w:r w:rsidRPr="0092542D">
        <w:rPr>
          <w:rFonts w:ascii="Century" w:hAnsi="Century"/>
          <w:sz w:val="18"/>
          <w:szCs w:val="18"/>
          <w:lang w:val="fr-BE"/>
        </w:rPr>
        <w:t xml:space="preserve">« </w:t>
      </w:r>
      <w:r w:rsidRPr="0092542D">
        <w:rPr>
          <w:rFonts w:ascii="Century" w:hAnsi="Century" w:cs="Times New Roman"/>
          <w:sz w:val="18"/>
          <w:szCs w:val="18"/>
          <w:lang w:val="fr-BE"/>
        </w:rPr>
        <w:t>Changing Investiture rules in Belgium</w:t>
      </w:r>
      <w:r w:rsidRPr="0092542D">
        <w:rPr>
          <w:rFonts w:ascii="Century" w:hAnsi="Century"/>
          <w:sz w:val="18"/>
          <w:szCs w:val="18"/>
          <w:lang w:val="fr-BE"/>
        </w:rPr>
        <w:t xml:space="preserve"> »</w:t>
      </w:r>
      <w:r w:rsidRPr="0092542D">
        <w:rPr>
          <w:rFonts w:ascii="Century" w:hAnsi="Century" w:cs="Times New Roman"/>
          <w:sz w:val="18"/>
          <w:szCs w:val="18"/>
          <w:lang w:val="fr-BE"/>
        </w:rPr>
        <w:t xml:space="preserve">, in  </w:t>
      </w:r>
      <w:r w:rsidRPr="0092542D">
        <w:rPr>
          <w:rFonts w:ascii="Century" w:hAnsi="Century" w:cs="Times New Roman"/>
          <w:i/>
          <w:sz w:val="18"/>
          <w:szCs w:val="18"/>
          <w:lang w:val="fr-BE"/>
        </w:rPr>
        <w:t>Parliaments and Government Formation: Unpacking Investiture Rules</w:t>
      </w:r>
      <w:r w:rsidRPr="0092542D">
        <w:rPr>
          <w:rFonts w:ascii="Century" w:hAnsi="Century" w:cs="Times New Roman"/>
          <w:sz w:val="18"/>
          <w:szCs w:val="18"/>
          <w:lang w:val="fr-BE"/>
        </w:rPr>
        <w:t xml:space="preserve">, Oxford University Press, Oxford, 2015, pp. 49-66), la Suède est associée au système portugais et au système belge, car les trois Etats sont vus comme </w:t>
      </w:r>
      <w:r w:rsidR="00246862" w:rsidRPr="0092542D">
        <w:rPr>
          <w:rFonts w:ascii="Century" w:hAnsi="Century" w:cs="Times New Roman"/>
          <w:sz w:val="18"/>
          <w:szCs w:val="18"/>
          <w:lang w:val="fr-BE"/>
        </w:rPr>
        <w:t xml:space="preserve">pratiquant </w:t>
      </w:r>
      <w:r w:rsidRPr="0092542D">
        <w:rPr>
          <w:rFonts w:ascii="Century" w:hAnsi="Century" w:cs="Times New Roman"/>
          <w:sz w:val="18"/>
          <w:szCs w:val="18"/>
          <w:lang w:val="fr-BE"/>
        </w:rPr>
        <w:t xml:space="preserve">un vote sur la formation du gouvernement « à la majorité négative ». Une rapide comparaison de ces trois systèmes </w:t>
      </w:r>
      <w:r w:rsidR="003269B5" w:rsidRPr="0092542D">
        <w:rPr>
          <w:rFonts w:ascii="Century" w:hAnsi="Century" w:cs="Times New Roman"/>
          <w:sz w:val="18"/>
          <w:szCs w:val="18"/>
          <w:lang w:val="fr-BE"/>
        </w:rPr>
        <w:t xml:space="preserve">oblige </w:t>
      </w:r>
      <w:r w:rsidRPr="0092542D">
        <w:rPr>
          <w:rFonts w:ascii="Century" w:hAnsi="Century" w:cs="Times New Roman"/>
          <w:sz w:val="18"/>
          <w:szCs w:val="18"/>
          <w:lang w:val="fr-BE"/>
        </w:rPr>
        <w:t xml:space="preserve">cependant </w:t>
      </w:r>
      <w:r w:rsidR="00246862" w:rsidRPr="0092542D">
        <w:rPr>
          <w:rFonts w:ascii="Century" w:hAnsi="Century" w:cs="Times New Roman"/>
          <w:sz w:val="18"/>
          <w:szCs w:val="18"/>
          <w:lang w:val="fr-BE"/>
        </w:rPr>
        <w:t>à relativiser cette classification et à</w:t>
      </w:r>
      <w:r w:rsidRPr="0092542D">
        <w:rPr>
          <w:rFonts w:ascii="Century" w:hAnsi="Century" w:cs="Times New Roman"/>
          <w:sz w:val="18"/>
          <w:szCs w:val="18"/>
          <w:lang w:val="fr-BE"/>
        </w:rPr>
        <w:t xml:space="preserve"> bien démarquer la Belgique de la Suède et du Portugal : </w:t>
      </w:r>
    </w:p>
    <w:p w14:paraId="6EB7E1DF" w14:textId="2DFABF1C" w:rsidR="00E468AE" w:rsidRPr="0092542D" w:rsidRDefault="00000000" w:rsidP="00F56AAC">
      <w:pPr>
        <w:pStyle w:val="Notedebasdepage"/>
        <w:numPr>
          <w:ilvl w:val="0"/>
          <w:numId w:val="7"/>
        </w:numPr>
        <w:spacing w:before="20" w:after="20"/>
        <w:ind w:right="567"/>
        <w:jc w:val="both"/>
        <w:rPr>
          <w:rFonts w:ascii="Century" w:hAnsi="Century" w:cs="Times New Roman"/>
          <w:sz w:val="18"/>
          <w:szCs w:val="18"/>
          <w:lang w:val="en-US"/>
        </w:rPr>
      </w:pPr>
      <w:r w:rsidRPr="0092542D">
        <w:rPr>
          <w:rFonts w:ascii="Century" w:hAnsi="Century" w:cs="Times New Roman"/>
          <w:sz w:val="18"/>
          <w:szCs w:val="18"/>
          <w:lang w:val="fr-BE"/>
        </w:rPr>
        <w:t xml:space="preserve">Au Portugal, le Président de la République (élu par élection directe) nomme le Premier Ministre qui forme ensuite son gouvernement. La Constitution portugaise prévoit, en son article 186.5, que le gouvernement ne peut exercer ses pleins pouvoirs qu’une fois que le programme du gouvernement a été soumis à l'examen de l'Assemblée de la République par une déclaration du Premier ministre, dans les dix jours qui suivent sa nomination (article 192 de la Constitution portugaise). Le système portugais renvoie donc aux régimes de « type positif ». Toutefois, lors de cet examen et jusqu’à la clôture des débats, qui ne peuvent pas durer plus de trois jours, chaque groupe parlementaire peut proposer le rejet du programme et le gouvernement peut demander l'adoption d'un vote de confiance. Le programme du gouvernement est rejeté à la majorité absolue des députés en exercice (voy. </w:t>
      </w:r>
      <w:r w:rsidRPr="0092542D">
        <w:rPr>
          <w:rFonts w:ascii="Century" w:hAnsi="Century" w:cs="Times New Roman"/>
          <w:sz w:val="18"/>
          <w:szCs w:val="18"/>
        </w:rPr>
        <w:t xml:space="preserve">P. </w:t>
      </w:r>
      <w:r w:rsidRPr="0092542D">
        <w:rPr>
          <w:rFonts w:ascii="Century" w:hAnsi="Century" w:cs="Times New Roman"/>
          <w:smallCaps/>
          <w:sz w:val="18"/>
          <w:szCs w:val="18"/>
        </w:rPr>
        <w:t>Calca</w:t>
      </w:r>
      <w:r w:rsidRPr="0092542D">
        <w:rPr>
          <w:rFonts w:ascii="Century" w:hAnsi="Century" w:cs="Times New Roman"/>
          <w:sz w:val="18"/>
          <w:szCs w:val="18"/>
        </w:rPr>
        <w:t xml:space="preserve">,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sz w:val="18"/>
          <w:szCs w:val="18"/>
        </w:rPr>
        <w:t>Portugal: Left-Wing Single-Party Governments and Right-Wing Coalitions</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z w:val="18"/>
          <w:szCs w:val="18"/>
        </w:rPr>
        <w:t xml:space="preserve">, in </w:t>
      </w:r>
      <w:r w:rsidRPr="0092542D">
        <w:rPr>
          <w:rFonts w:ascii="Century" w:hAnsi="Century" w:cs="Times New Roman"/>
          <w:i/>
          <w:iCs/>
          <w:sz w:val="18"/>
          <w:szCs w:val="18"/>
        </w:rPr>
        <w:t>Coalition Governance in Western Europe</w:t>
      </w:r>
      <w:r w:rsidRPr="0092542D">
        <w:rPr>
          <w:rFonts w:ascii="Century" w:hAnsi="Century" w:cs="Times New Roman"/>
          <w:sz w:val="18"/>
          <w:szCs w:val="18"/>
        </w:rPr>
        <w:t xml:space="preserve">, </w:t>
      </w:r>
      <w:r w:rsidRPr="0092542D">
        <w:rPr>
          <w:rFonts w:ascii="Century" w:hAnsi="Century" w:cs="Times New Roman"/>
          <w:sz w:val="18"/>
          <w:szCs w:val="18"/>
          <w:lang w:val="en-US"/>
        </w:rPr>
        <w:t xml:space="preserve">Oxford, Oxford University Press, 2021, pp. 517-543). </w:t>
      </w:r>
    </w:p>
    <w:p w14:paraId="6E0E4F30" w14:textId="700E4C8A" w:rsidR="00E468AE" w:rsidRPr="0014243F" w:rsidRDefault="00000000" w:rsidP="0014243F">
      <w:pPr>
        <w:pStyle w:val="Notedebasdepage"/>
        <w:numPr>
          <w:ilvl w:val="0"/>
          <w:numId w:val="7"/>
        </w:numPr>
        <w:spacing w:before="20" w:after="20"/>
        <w:ind w:right="567"/>
        <w:jc w:val="both"/>
        <w:rPr>
          <w:rFonts w:ascii="Century" w:hAnsi="Century" w:cs="Times New Roman"/>
          <w:sz w:val="18"/>
          <w:szCs w:val="18"/>
        </w:rPr>
      </w:pPr>
      <w:r w:rsidRPr="0092542D">
        <w:rPr>
          <w:rFonts w:ascii="Century" w:hAnsi="Century" w:cs="Times New Roman"/>
          <w:sz w:val="18"/>
          <w:szCs w:val="18"/>
          <w:lang w:val="fr-BE"/>
        </w:rPr>
        <w:t>Si l’on se fonde exclusivement sur l’article 96, al. 2, qui a été introduit dans la Constitution en 1993, la</w:t>
      </w:r>
      <w:r w:rsidRPr="0014243F">
        <w:rPr>
          <w:rFonts w:ascii="Century" w:hAnsi="Century" w:cs="Times New Roman"/>
          <w:sz w:val="18"/>
          <w:szCs w:val="18"/>
          <w:lang w:val="fr-BE"/>
        </w:rPr>
        <w:t xml:space="preserve"> Belgique semble devoir être classée dans la catégorie des Etats à vote d’investiture négatif. En</w:t>
      </w:r>
      <w:r w:rsidR="009D2F6A" w:rsidRPr="0014243F">
        <w:rPr>
          <w:rFonts w:ascii="Century" w:hAnsi="Century" w:cs="Times New Roman"/>
          <w:sz w:val="18"/>
          <w:szCs w:val="18"/>
          <w:lang w:val="fr-BE"/>
        </w:rPr>
        <w:t xml:space="preserve"> </w:t>
      </w:r>
      <w:r w:rsidRPr="0014243F">
        <w:rPr>
          <w:rFonts w:ascii="Century" w:hAnsi="Century" w:cs="Times New Roman"/>
          <w:sz w:val="18"/>
          <w:szCs w:val="18"/>
          <w:lang w:val="fr-BE"/>
        </w:rPr>
        <w:t xml:space="preserve">effet, selon ses termes, c’est uniquement dans l’hypothèse où le gouvernement (i) fait face à une motion de méfiance adoptée à la majorité absolue </w:t>
      </w:r>
      <w:r w:rsidR="00412E83" w:rsidRPr="0014243F">
        <w:rPr>
          <w:rFonts w:ascii="Century" w:hAnsi="Century" w:cs="Times New Roman"/>
          <w:sz w:val="18"/>
          <w:szCs w:val="18"/>
          <w:lang w:val="fr-BE"/>
        </w:rPr>
        <w:t xml:space="preserve">de ses membres </w:t>
      </w:r>
      <w:r w:rsidRPr="0014243F">
        <w:rPr>
          <w:rFonts w:ascii="Century" w:hAnsi="Century" w:cs="Times New Roman"/>
          <w:sz w:val="18"/>
          <w:szCs w:val="18"/>
          <w:lang w:val="fr-BE"/>
        </w:rPr>
        <w:t xml:space="preserve">par la Chambre des représentants </w:t>
      </w:r>
      <w:r w:rsidR="003269B5" w:rsidRPr="0014243F">
        <w:rPr>
          <w:rFonts w:ascii="Century" w:hAnsi="Century" w:cs="Times New Roman"/>
          <w:sz w:val="18"/>
          <w:szCs w:val="18"/>
          <w:lang w:val="fr-BE"/>
        </w:rPr>
        <w:t xml:space="preserve">ou au rejet d’une motion de confiance </w:t>
      </w:r>
      <w:r w:rsidRPr="0014243F">
        <w:rPr>
          <w:rFonts w:ascii="Century" w:hAnsi="Century" w:cs="Times New Roman"/>
          <w:sz w:val="18"/>
          <w:szCs w:val="18"/>
          <w:lang w:val="fr-BE"/>
        </w:rPr>
        <w:t xml:space="preserve">et (ii) que la Chambre propose un successeur au Premier Ministre que le gouvernement est  obligé de démissionner. Toutefois, comme nous l’avons déjà relevé </w:t>
      </w:r>
      <w:r w:rsidRPr="0014243F">
        <w:rPr>
          <w:rFonts w:ascii="Century" w:hAnsi="Century" w:cs="Times New Roman"/>
          <w:i/>
          <w:iCs/>
          <w:sz w:val="18"/>
          <w:szCs w:val="18"/>
          <w:lang w:val="fr-BE"/>
        </w:rPr>
        <w:t>supra</w:t>
      </w:r>
      <w:r w:rsidRPr="0014243F">
        <w:rPr>
          <w:rFonts w:ascii="Century" w:hAnsi="Century" w:cs="Times New Roman"/>
          <w:sz w:val="18"/>
          <w:szCs w:val="18"/>
          <w:lang w:val="fr-BE"/>
        </w:rPr>
        <w:t xml:space="preserve"> sous la </w:t>
      </w:r>
      <w:r w:rsidRPr="0014243F">
        <w:rPr>
          <w:rFonts w:ascii="Century" w:hAnsi="Century" w:cs="Times New Roman"/>
          <w:sz w:val="18"/>
          <w:szCs w:val="18"/>
          <w:highlight w:val="yellow"/>
          <w:lang w:val="fr-BE"/>
        </w:rPr>
        <w:t xml:space="preserve">note </w:t>
      </w:r>
      <w:r w:rsidR="001E431B" w:rsidRPr="0014243F">
        <w:rPr>
          <w:rFonts w:ascii="Century" w:hAnsi="Century" w:cs="Times New Roman"/>
          <w:sz w:val="18"/>
          <w:szCs w:val="18"/>
          <w:highlight w:val="yellow"/>
          <w:lang w:val="fr-BE"/>
        </w:rPr>
        <w:t>62</w:t>
      </w:r>
      <w:r w:rsidRPr="0014243F">
        <w:rPr>
          <w:rFonts w:ascii="Century" w:hAnsi="Century" w:cs="Times New Roman"/>
          <w:sz w:val="18"/>
          <w:szCs w:val="18"/>
          <w:lang w:val="fr-BE"/>
        </w:rPr>
        <w:t>, la coutume constitutionnelle veut que le Premier ministre nommé par le Roi sollicite la confiance de la Chambre au début de son mandat</w:t>
      </w:r>
      <w:r w:rsidR="004E42D6" w:rsidRPr="0014243F">
        <w:rPr>
          <w:rFonts w:ascii="Century" w:hAnsi="Century" w:cs="Times New Roman"/>
          <w:sz w:val="18"/>
          <w:szCs w:val="18"/>
          <w:lang w:val="fr-BE"/>
        </w:rPr>
        <w:t>, cette confiance étant acquise si une majorité absolue de suffrages exprimés se prononce en sa faveur</w:t>
      </w:r>
      <w:r w:rsidRPr="0014243F">
        <w:rPr>
          <w:rFonts w:ascii="Century" w:hAnsi="Century" w:cs="Times New Roman"/>
          <w:sz w:val="18"/>
          <w:szCs w:val="18"/>
          <w:lang w:val="fr-BE"/>
        </w:rPr>
        <w:t xml:space="preserve">. </w:t>
      </w:r>
      <w:r w:rsidR="004E42D6" w:rsidRPr="0014243F">
        <w:rPr>
          <w:rFonts w:ascii="Century" w:hAnsi="Century" w:cs="Times New Roman"/>
          <w:sz w:val="18"/>
          <w:szCs w:val="18"/>
          <w:lang w:val="fr-BE"/>
        </w:rPr>
        <w:t>Mais formellement, il ne s’agit pas d’un vote d’investiture puisque l’article 96, al. 1</w:t>
      </w:r>
      <w:r w:rsidR="004E42D6" w:rsidRPr="0014243F">
        <w:rPr>
          <w:rFonts w:ascii="Century" w:hAnsi="Century" w:cs="Times New Roman"/>
          <w:sz w:val="18"/>
          <w:szCs w:val="18"/>
          <w:vertAlign w:val="superscript"/>
          <w:lang w:val="fr-BE"/>
        </w:rPr>
        <w:t>er</w:t>
      </w:r>
      <w:r w:rsidR="004E42D6" w:rsidRPr="0014243F">
        <w:rPr>
          <w:rFonts w:ascii="Century" w:hAnsi="Century" w:cs="Times New Roman"/>
          <w:sz w:val="18"/>
          <w:szCs w:val="18"/>
          <w:lang w:val="fr-BE"/>
        </w:rPr>
        <w:t xml:space="preserve">, de la Constitution réserve au Roi seul le pouvoir de nommer les ministres. La question de savoir si le gouvernement est en pleine possession de ses pouvoirs dès la nomination par le Roi </w:t>
      </w:r>
      <w:r w:rsidR="00246862" w:rsidRPr="0014243F">
        <w:rPr>
          <w:rFonts w:ascii="Century" w:hAnsi="Century" w:cs="Times New Roman"/>
          <w:sz w:val="18"/>
          <w:szCs w:val="18"/>
          <w:lang w:val="fr-BE"/>
        </w:rPr>
        <w:t xml:space="preserve">et la prestation de serment des ministres </w:t>
      </w:r>
      <w:r w:rsidR="004E42D6" w:rsidRPr="0014243F">
        <w:rPr>
          <w:rFonts w:ascii="Century" w:hAnsi="Century" w:cs="Times New Roman"/>
          <w:sz w:val="18"/>
          <w:szCs w:val="18"/>
          <w:lang w:val="fr-BE"/>
        </w:rPr>
        <w:t xml:space="preserve">sans attendre le vote </w:t>
      </w:r>
      <w:r w:rsidR="00B60EDB" w:rsidRPr="0014243F">
        <w:rPr>
          <w:rFonts w:ascii="Century" w:hAnsi="Century" w:cs="Times New Roman"/>
          <w:sz w:val="18"/>
          <w:szCs w:val="18"/>
          <w:lang w:val="fr-BE"/>
        </w:rPr>
        <w:t xml:space="preserve">de confiance est controversée. </w:t>
      </w:r>
      <w:r w:rsidR="00EB7886" w:rsidRPr="0014243F">
        <w:rPr>
          <w:rFonts w:ascii="Century" w:hAnsi="Century" w:cs="Times New Roman"/>
          <w:sz w:val="18"/>
          <w:szCs w:val="18"/>
          <w:lang w:val="fr-BE"/>
        </w:rPr>
        <w:t xml:space="preserve">Comp. </w:t>
      </w:r>
      <w:r w:rsidR="00EB7886" w:rsidRPr="0014243F">
        <w:rPr>
          <w:rFonts w:ascii="Century" w:hAnsi="Century" w:cs="Times New Roman"/>
          <w:smallCaps/>
          <w:sz w:val="18"/>
          <w:szCs w:val="18"/>
          <w:lang w:val="fr-BE"/>
        </w:rPr>
        <w:t xml:space="preserve">Y.  Lejeune, </w:t>
      </w:r>
      <w:r w:rsidR="00EB7886" w:rsidRPr="0014243F">
        <w:rPr>
          <w:rFonts w:ascii="Century" w:hAnsi="Century" w:cs="Times New Roman"/>
          <w:i/>
          <w:iCs/>
          <w:sz w:val="18"/>
          <w:szCs w:val="18"/>
          <w:lang w:val="fr-BE"/>
        </w:rPr>
        <w:t>Droit constitutionnel belge. Fondements et institutions</w:t>
      </w:r>
      <w:r w:rsidR="00EB7886" w:rsidRPr="0014243F">
        <w:rPr>
          <w:rFonts w:ascii="Century" w:hAnsi="Century" w:cs="Times New Roman"/>
          <w:sz w:val="18"/>
          <w:szCs w:val="18"/>
          <w:lang w:val="fr-BE"/>
        </w:rPr>
        <w:t xml:space="preserve">, Bruxelles, Larcier, 2021, p. 807 et </w:t>
      </w:r>
      <w:r w:rsidR="00EB7886" w:rsidRPr="0014243F">
        <w:rPr>
          <w:rFonts w:ascii="Century" w:hAnsi="Century" w:cs="Times New Roman"/>
          <w:smallCaps/>
          <w:sz w:val="18"/>
          <w:szCs w:val="18"/>
          <w:lang w:val="fr-BE"/>
        </w:rPr>
        <w:t xml:space="preserve">J. Velaers, </w:t>
      </w:r>
      <w:r w:rsidR="00EB7886" w:rsidRPr="0014243F">
        <w:rPr>
          <w:rFonts w:ascii="Century" w:hAnsi="Century" w:cs="Times New Roman"/>
          <w:i/>
          <w:iCs/>
          <w:sz w:val="18"/>
          <w:szCs w:val="18"/>
          <w:lang w:val="fr-BE"/>
        </w:rPr>
        <w:t>De</w:t>
      </w:r>
      <w:r w:rsidR="00EB7886" w:rsidRPr="0014243F">
        <w:rPr>
          <w:rFonts w:ascii="Century" w:hAnsi="Century" w:cs="Times New Roman"/>
          <w:i/>
          <w:iCs/>
          <w:smallCaps/>
          <w:sz w:val="18"/>
          <w:szCs w:val="18"/>
          <w:lang w:val="fr-BE"/>
        </w:rPr>
        <w:t xml:space="preserve"> </w:t>
      </w:r>
      <w:r w:rsidR="00EB7886" w:rsidRPr="0014243F">
        <w:rPr>
          <w:rFonts w:ascii="Century" w:hAnsi="Century" w:cs="Times New Roman"/>
          <w:i/>
          <w:iCs/>
          <w:sz w:val="18"/>
          <w:szCs w:val="18"/>
          <w:lang w:val="fr-BE"/>
        </w:rPr>
        <w:t>Grondwet</w:t>
      </w:r>
      <w:r w:rsidR="00EB7886" w:rsidRPr="0014243F">
        <w:rPr>
          <w:rFonts w:ascii="Century" w:hAnsi="Century" w:cs="Times New Roman"/>
          <w:sz w:val="18"/>
          <w:szCs w:val="18"/>
          <w:lang w:val="fr-BE"/>
        </w:rPr>
        <w:t xml:space="preserve">, </w:t>
      </w:r>
      <w:r w:rsidR="00EB7886" w:rsidRPr="0014243F">
        <w:rPr>
          <w:rFonts w:ascii="Century" w:hAnsi="Century" w:cs="Times New Roman"/>
          <w:i/>
          <w:iCs/>
          <w:sz w:val="18"/>
          <w:szCs w:val="18"/>
          <w:lang w:val="fr-BE"/>
        </w:rPr>
        <w:t>op. cit.</w:t>
      </w:r>
      <w:r w:rsidR="00EB7886" w:rsidRPr="0014243F">
        <w:rPr>
          <w:rFonts w:ascii="Century" w:hAnsi="Century" w:cs="Times New Roman"/>
          <w:sz w:val="18"/>
          <w:szCs w:val="18"/>
          <w:lang w:val="fr-BE"/>
        </w:rPr>
        <w:t xml:space="preserve">, deel 2, p. 452. </w:t>
      </w:r>
      <w:r w:rsidR="00B60EDB" w:rsidRPr="0014243F">
        <w:rPr>
          <w:rFonts w:ascii="Century" w:hAnsi="Century" w:cs="Times New Roman"/>
          <w:sz w:val="18"/>
          <w:szCs w:val="18"/>
          <w:lang w:val="fr-BE"/>
        </w:rPr>
        <w:t>Dans le cadre du présent article, nous rattachons néanmoins la Belgique davantage aux régimes parlementaires de « type positif ».</w:t>
      </w:r>
      <w:r w:rsidR="00117A7E" w:rsidRPr="0092542D">
        <w:rPr>
          <w:rFonts w:ascii="Century" w:hAnsi="Century" w:cs="Times New Roman"/>
          <w:sz w:val="18"/>
          <w:szCs w:val="18"/>
          <w:lang w:val="fr-BE"/>
        </w:rPr>
        <w:t xml:space="preserve"> </w:t>
      </w:r>
      <w:r w:rsidR="004E42D6" w:rsidRPr="0014243F">
        <w:rPr>
          <w:rFonts w:ascii="Century" w:hAnsi="Century" w:cs="Times New Roman"/>
          <w:sz w:val="18"/>
          <w:szCs w:val="18"/>
          <w:lang w:val="en-US"/>
        </w:rPr>
        <w:t xml:space="preserve">Comp. </w:t>
      </w:r>
      <w:r w:rsidR="00117A7E" w:rsidRPr="0092542D">
        <w:rPr>
          <w:rFonts w:ascii="Century" w:hAnsi="Century"/>
          <w:sz w:val="18"/>
          <w:szCs w:val="18"/>
          <w:lang w:val="en-US"/>
        </w:rPr>
        <w:t xml:space="preserve">T. </w:t>
      </w:r>
      <w:r w:rsidR="00117A7E" w:rsidRPr="0092542D">
        <w:rPr>
          <w:rFonts w:ascii="Century" w:hAnsi="Century"/>
          <w:smallCaps/>
          <w:sz w:val="18"/>
          <w:szCs w:val="18"/>
          <w:lang w:val="en-US"/>
        </w:rPr>
        <w:t>Bergman</w:t>
      </w:r>
      <w:r w:rsidR="00117A7E" w:rsidRPr="0092542D">
        <w:rPr>
          <w:rFonts w:ascii="Century" w:hAnsi="Century"/>
          <w:sz w:val="18"/>
          <w:szCs w:val="18"/>
          <w:lang w:val="en-US"/>
        </w:rPr>
        <w:t xml:space="preserve">, H. </w:t>
      </w:r>
      <w:r w:rsidR="00117A7E" w:rsidRPr="0092542D">
        <w:rPr>
          <w:rFonts w:ascii="Century" w:hAnsi="Century"/>
          <w:smallCaps/>
          <w:sz w:val="18"/>
          <w:szCs w:val="18"/>
          <w:lang w:val="en-US"/>
        </w:rPr>
        <w:t>Bäck</w:t>
      </w:r>
      <w:r w:rsidR="00117A7E" w:rsidRPr="0092542D">
        <w:rPr>
          <w:rFonts w:ascii="Century" w:hAnsi="Century"/>
          <w:sz w:val="18"/>
          <w:szCs w:val="18"/>
          <w:lang w:val="en-US"/>
        </w:rPr>
        <w:t xml:space="preserve">, and J. </w:t>
      </w:r>
      <w:r w:rsidR="00117A7E" w:rsidRPr="0092542D">
        <w:rPr>
          <w:rFonts w:ascii="Century" w:hAnsi="Century"/>
          <w:smallCaps/>
          <w:sz w:val="18"/>
          <w:szCs w:val="18"/>
          <w:lang w:val="en-US"/>
        </w:rPr>
        <w:t>Hellström</w:t>
      </w:r>
      <w:r w:rsidR="00117A7E" w:rsidRPr="0092542D">
        <w:rPr>
          <w:rFonts w:ascii="Century" w:hAnsi="Century"/>
          <w:sz w:val="18"/>
          <w:szCs w:val="18"/>
          <w:lang w:val="en-US"/>
        </w:rPr>
        <w:t xml:space="preserve">, </w:t>
      </w:r>
      <w:r w:rsidR="00117A7E" w:rsidRPr="0092542D">
        <w:rPr>
          <w:rFonts w:ascii="Century" w:hAnsi="Century"/>
          <w:i/>
          <w:iCs/>
          <w:sz w:val="18"/>
          <w:szCs w:val="18"/>
          <w:lang w:val="en-US"/>
        </w:rPr>
        <w:t>op. cit.</w:t>
      </w:r>
      <w:r w:rsidR="00117A7E" w:rsidRPr="0092542D">
        <w:rPr>
          <w:rFonts w:ascii="Century" w:hAnsi="Century" w:cs="Times New Roman"/>
          <w:sz w:val="18"/>
          <w:szCs w:val="18"/>
          <w:lang w:val="en-US"/>
        </w:rPr>
        <w:t>, p. 686:</w:t>
      </w:r>
      <w:r w:rsidR="00117A7E" w:rsidRPr="0014243F">
        <w:rPr>
          <w:rFonts w:ascii="Century" w:hAnsi="Century" w:cs="Times New Roman"/>
          <w:sz w:val="18"/>
          <w:szCs w:val="18"/>
          <w:lang w:val="en-US"/>
        </w:rPr>
        <w:t xml:space="preserve"> «</w:t>
      </w:r>
      <w:r w:rsidR="00117A7E" w:rsidRPr="0014243F">
        <w:rPr>
          <w:rFonts w:ascii="Century" w:hAnsi="Century" w:cs="Times New Roman"/>
          <w:i/>
          <w:iCs/>
          <w:sz w:val="18"/>
          <w:szCs w:val="18"/>
        </w:rPr>
        <w:t xml:space="preserve"> [</w:t>
      </w:r>
      <w:r w:rsidRPr="0014243F">
        <w:rPr>
          <w:rFonts w:ascii="Century" w:hAnsi="Century" w:cs="Times New Roman"/>
          <w:i/>
          <w:iCs/>
          <w:sz w:val="18"/>
          <w:szCs w:val="18"/>
        </w:rPr>
        <w:t>In Belgium,</w:t>
      </w:r>
      <w:r w:rsidR="00117A7E" w:rsidRPr="0014243F">
        <w:rPr>
          <w:rFonts w:ascii="Century" w:hAnsi="Century" w:cs="Times New Roman"/>
          <w:i/>
          <w:iCs/>
          <w:sz w:val="18"/>
          <w:szCs w:val="18"/>
        </w:rPr>
        <w:t>]</w:t>
      </w:r>
      <w:r w:rsidRPr="0014243F">
        <w:rPr>
          <w:rFonts w:ascii="Century" w:hAnsi="Century" w:cs="Times New Roman"/>
          <w:i/>
          <w:iCs/>
          <w:sz w:val="18"/>
          <w:szCs w:val="18"/>
        </w:rPr>
        <w:t xml:space="preserve"> before, the constitutional convention was that the parliament voted on the incoming cabinet’s government declaration, resembling a system of positive parliamentarism. However, the incoming cabinet already held constitutional powers when it first was appointed by the king, which arguably could make Belgium a case of negative parliamentarism. With the reforms that went into effect in 1995, the rule is now that for the cabinet to be rejected by the parliament, an absolute majority must appoint an alternative PM. This suggests that the Belgian system can be classified as a case of negative parliamentarism; that is, there is no need for the cabinet to have active majority support at inauguration</w:t>
      </w:r>
      <w:r w:rsidR="00117A7E" w:rsidRPr="0014243F">
        <w:rPr>
          <w:rFonts w:ascii="Century" w:hAnsi="Century" w:cs="Times New Roman"/>
          <w:i/>
          <w:iCs/>
          <w:sz w:val="18"/>
          <w:szCs w:val="18"/>
        </w:rPr>
        <w:t xml:space="preserve"> </w:t>
      </w:r>
      <w:r w:rsidR="00117A7E" w:rsidRPr="0014243F">
        <w:rPr>
          <w:rFonts w:ascii="Century" w:hAnsi="Century" w:cs="Times New Roman"/>
          <w:sz w:val="18"/>
          <w:szCs w:val="18"/>
          <w:lang w:val="en-US"/>
        </w:rPr>
        <w:t>»</w:t>
      </w:r>
      <w:r w:rsidR="009D2F6A" w:rsidRPr="0014243F">
        <w:rPr>
          <w:rFonts w:ascii="Century" w:hAnsi="Century" w:cs="Times New Roman"/>
          <w:sz w:val="18"/>
          <w:szCs w:val="18"/>
        </w:rPr>
        <w:t>.</w:t>
      </w:r>
    </w:p>
  </w:footnote>
  <w:footnote w:id="77">
    <w:p w14:paraId="3600E7B6"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Cfr en ce sens C. G</w:t>
      </w:r>
      <w:r w:rsidRPr="0092542D">
        <w:rPr>
          <w:rFonts w:ascii="Century" w:hAnsi="Century" w:cs="Times New Roman"/>
          <w:smallCaps/>
          <w:sz w:val="18"/>
          <w:szCs w:val="18"/>
          <w:lang w:val="fr-BE"/>
        </w:rPr>
        <w:t xml:space="preserve">rewe </w:t>
      </w:r>
      <w:r w:rsidRPr="0092542D">
        <w:rPr>
          <w:rFonts w:ascii="Century" w:hAnsi="Century" w:cs="Times New Roman"/>
          <w:sz w:val="18"/>
          <w:szCs w:val="18"/>
          <w:lang w:val="fr-BE"/>
        </w:rPr>
        <w:t xml:space="preserve">et H. </w:t>
      </w:r>
      <w:r w:rsidRPr="0092542D">
        <w:rPr>
          <w:rFonts w:ascii="Century" w:hAnsi="Century" w:cs="Times New Roman"/>
          <w:smallCaps/>
          <w:sz w:val="18"/>
          <w:szCs w:val="18"/>
          <w:lang w:val="fr-BE"/>
        </w:rPr>
        <w:t xml:space="preserve">Ruiz Fabri, </w:t>
      </w:r>
      <w:r w:rsidRPr="0092542D">
        <w:rPr>
          <w:rFonts w:ascii="Century" w:hAnsi="Century" w:cs="Times New Roman"/>
          <w:i/>
          <w:sz w:val="18"/>
          <w:szCs w:val="18"/>
          <w:lang w:val="fr-BE"/>
        </w:rPr>
        <w:t>op. cit.</w:t>
      </w:r>
      <w:r w:rsidRPr="0092542D">
        <w:rPr>
          <w:rFonts w:ascii="Century" w:hAnsi="Century" w:cs="Times New Roman"/>
          <w:sz w:val="18"/>
          <w:szCs w:val="18"/>
          <w:lang w:val="fr-BE"/>
        </w:rPr>
        <w:t xml:space="preserve">, p. 534. </w:t>
      </w:r>
    </w:p>
  </w:footnote>
  <w:footnote w:id="78">
    <w:p w14:paraId="5BC613F2" w14:textId="427FFA52"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w:t>
      </w:r>
      <w:r w:rsidRPr="0092542D">
        <w:rPr>
          <w:rFonts w:ascii="Century" w:hAnsi="Century" w:cs="Times New Roman"/>
          <w:sz w:val="18"/>
          <w:szCs w:val="18"/>
          <w:lang w:val="fr-FR"/>
        </w:rPr>
        <w:t xml:space="preserve">En Suède, le vote d'investiture négative requiert </w:t>
      </w:r>
      <w:r w:rsidR="00DD0047" w:rsidRPr="0092542D">
        <w:rPr>
          <w:rFonts w:ascii="Century" w:hAnsi="Century" w:cs="Times New Roman"/>
          <w:sz w:val="18"/>
          <w:szCs w:val="18"/>
          <w:lang w:val="fr-FR"/>
        </w:rPr>
        <w:t>la</w:t>
      </w:r>
      <w:r w:rsidRPr="0092542D">
        <w:rPr>
          <w:rFonts w:ascii="Century" w:hAnsi="Century" w:cs="Times New Roman"/>
          <w:sz w:val="18"/>
          <w:szCs w:val="18"/>
          <w:lang w:val="fr-FR"/>
        </w:rPr>
        <w:t xml:space="preserve"> majorité absolue, c'est-à-dire un minimum de 175 députés (sur un total de 349). Les députés qui votent « oui » soutiennent la proposition du Président, tandis que ceux qui votent « non » soutiennent le contraire. Les députés peuvent également s'abstenir de voter, et ce comportement est enregistré. Cela signifie que les députés qui s'abstiennent (ou qui sont absents) comptent comme étant </w:t>
      </w:r>
      <w:r w:rsidR="00DD0047" w:rsidRPr="0092542D">
        <w:rPr>
          <w:rFonts w:ascii="Century" w:hAnsi="Century" w:cs="Times New Roman"/>
          <w:sz w:val="18"/>
          <w:szCs w:val="18"/>
          <w:lang w:val="fr-FR"/>
        </w:rPr>
        <w:t>favorable au</w:t>
      </w:r>
      <w:r w:rsidRPr="0092542D">
        <w:rPr>
          <w:rFonts w:ascii="Century" w:hAnsi="Century" w:cs="Times New Roman"/>
          <w:sz w:val="18"/>
          <w:szCs w:val="18"/>
          <w:lang w:val="fr-FR"/>
        </w:rPr>
        <w:t xml:space="preserve"> candidat, et donc que le soutien au Premier ministre peut en pratique consister en un très faible nombre de votes « oui », en théorie même aucun. Comme nous le verrons ci-dessous, le droit d'abstention est un élément clé du processus, car il permet aux députés de faire preuve de tolérance plutôt que de soutien explicite au candidat (voy. à cet égard </w:t>
      </w:r>
      <w:r w:rsidR="00E3428A" w:rsidRPr="00E3428A">
        <w:rPr>
          <w:rFonts w:ascii="Century" w:hAnsi="Century" w:cs="Times New Roman"/>
          <w:i/>
          <w:iCs/>
          <w:sz w:val="18"/>
          <w:szCs w:val="18"/>
          <w:lang w:val="fr-FR"/>
        </w:rPr>
        <w:t>infra</w:t>
      </w:r>
      <w:r w:rsidR="00E3428A">
        <w:rPr>
          <w:rFonts w:ascii="Century" w:hAnsi="Century" w:cs="Times New Roman"/>
          <w:sz w:val="18"/>
          <w:szCs w:val="18"/>
          <w:lang w:val="fr-FR"/>
        </w:rPr>
        <w:t xml:space="preserve"> </w:t>
      </w:r>
      <w:r w:rsidRPr="0092542D">
        <w:rPr>
          <w:rFonts w:ascii="Century" w:hAnsi="Century" w:cs="Times New Roman"/>
          <w:sz w:val="18"/>
          <w:szCs w:val="18"/>
          <w:lang w:val="fr-FR"/>
        </w:rPr>
        <w:t xml:space="preserve">la note </w:t>
      </w:r>
      <w:r w:rsidR="001E431B" w:rsidRPr="0014243F">
        <w:rPr>
          <w:rFonts w:ascii="Century" w:hAnsi="Century" w:cs="Times New Roman"/>
          <w:sz w:val="18"/>
          <w:szCs w:val="18"/>
          <w:highlight w:val="yellow"/>
          <w:lang w:val="fr-FR"/>
        </w:rPr>
        <w:t>10</w:t>
      </w:r>
      <w:r w:rsidR="00E3428A">
        <w:rPr>
          <w:rFonts w:ascii="Century" w:hAnsi="Century" w:cs="Times New Roman"/>
          <w:sz w:val="18"/>
          <w:szCs w:val="18"/>
          <w:highlight w:val="yellow"/>
          <w:lang w:val="fr-FR"/>
        </w:rPr>
        <w:t>5</w:t>
      </w:r>
      <w:r w:rsidR="0096660C" w:rsidRPr="0092542D">
        <w:rPr>
          <w:rFonts w:ascii="Century" w:hAnsi="Century" w:cs="Times New Roman"/>
          <w:sz w:val="18"/>
          <w:szCs w:val="18"/>
          <w:highlight w:val="yellow"/>
          <w:lang w:val="fr-FR"/>
        </w:rPr>
        <w:t>).</w:t>
      </w:r>
    </w:p>
  </w:footnote>
  <w:footnote w:id="79">
    <w:p w14:paraId="58F81B28" w14:textId="1568CC81"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Une traduction anglaise de </w:t>
      </w:r>
      <w:r w:rsidRPr="0092542D">
        <w:rPr>
          <w:rFonts w:ascii="Century" w:hAnsi="Century" w:cs="Times New Roman"/>
          <w:i/>
          <w:iCs/>
          <w:sz w:val="18"/>
          <w:szCs w:val="18"/>
          <w:lang w:val="fr-BE"/>
        </w:rPr>
        <w:t>l’Instrument de Gouvernement</w:t>
      </w:r>
      <w:r w:rsidRPr="0092542D">
        <w:rPr>
          <w:rFonts w:ascii="Century" w:hAnsi="Century" w:cs="Times New Roman"/>
          <w:sz w:val="18"/>
          <w:szCs w:val="18"/>
          <w:lang w:val="fr-BE"/>
        </w:rPr>
        <w:t xml:space="preserve"> </w:t>
      </w:r>
      <w:r w:rsidR="006C4BC7" w:rsidRPr="0092542D">
        <w:rPr>
          <w:rFonts w:ascii="Century" w:hAnsi="Century" w:cs="Times New Roman"/>
          <w:sz w:val="18"/>
          <w:szCs w:val="18"/>
          <w:lang w:val="fr-BE"/>
        </w:rPr>
        <w:t>est consultable</w:t>
      </w:r>
      <w:r w:rsidRPr="0092542D">
        <w:rPr>
          <w:rFonts w:ascii="Century" w:hAnsi="Century" w:cs="Times New Roman"/>
          <w:sz w:val="18"/>
          <w:szCs w:val="18"/>
          <w:lang w:val="fr-BE"/>
        </w:rPr>
        <w:t xml:space="preserve"> sur le site du Parlement suédois (</w:t>
      </w:r>
      <w:proofErr w:type="spellStart"/>
      <w:r w:rsidRPr="0092542D">
        <w:rPr>
          <w:rFonts w:ascii="Century" w:hAnsi="Century" w:cs="Times New Roman"/>
          <w:sz w:val="18"/>
          <w:szCs w:val="18"/>
          <w:lang w:val="fr-BE"/>
        </w:rPr>
        <w:t>Riksdag</w:t>
      </w:r>
      <w:proofErr w:type="spellEnd"/>
      <w:r w:rsidRPr="0092542D">
        <w:rPr>
          <w:rFonts w:ascii="Century" w:hAnsi="Century" w:cs="Times New Roman"/>
          <w:sz w:val="18"/>
          <w:szCs w:val="18"/>
          <w:lang w:val="fr-BE"/>
        </w:rPr>
        <w:t xml:space="preserve">) : </w:t>
      </w:r>
      <w:hyperlink r:id="rId8" w:history="1">
        <w:r w:rsidRPr="0092542D">
          <w:rPr>
            <w:rStyle w:val="Lienhypertexte"/>
            <w:rFonts w:ascii="Century" w:hAnsi="Century" w:cs="Times New Roman"/>
            <w:sz w:val="18"/>
            <w:szCs w:val="18"/>
            <w:lang w:val="fr-BE"/>
          </w:rPr>
          <w:t>https://www.riksdagen.se/globalassets/07.-dokument--</w:t>
        </w:r>
        <w:proofErr w:type="spellStart"/>
        <w:r w:rsidRPr="0092542D">
          <w:rPr>
            <w:rStyle w:val="Lienhypertexte"/>
            <w:rFonts w:ascii="Century" w:hAnsi="Century" w:cs="Times New Roman"/>
            <w:sz w:val="18"/>
            <w:szCs w:val="18"/>
            <w:lang w:val="fr-BE"/>
          </w:rPr>
          <w:t>lagar</w:t>
        </w:r>
        <w:proofErr w:type="spellEnd"/>
        <w:r w:rsidRPr="0092542D">
          <w:rPr>
            <w:rStyle w:val="Lienhypertexte"/>
            <w:rFonts w:ascii="Century" w:hAnsi="Century" w:cs="Times New Roman"/>
            <w:sz w:val="18"/>
            <w:szCs w:val="18"/>
            <w:lang w:val="fr-BE"/>
          </w:rPr>
          <w:t>/the-instrument-of-government-2015.pdf</w:t>
        </w:r>
      </w:hyperlink>
      <w:r w:rsidRPr="0092542D">
        <w:rPr>
          <w:rFonts w:ascii="Century" w:hAnsi="Century" w:cs="Times New Roman"/>
          <w:sz w:val="18"/>
          <w:szCs w:val="18"/>
          <w:lang w:val="fr-BE"/>
        </w:rPr>
        <w:t xml:space="preserve"> (consulté le 31 mars 2023). </w:t>
      </w:r>
    </w:p>
  </w:footnote>
  <w:footnote w:id="80">
    <w:p w14:paraId="4136AB1E" w14:textId="77777777" w:rsidR="00E468AE" w:rsidRPr="0092542D" w:rsidRDefault="00000000" w:rsidP="00F56AAC">
      <w:pPr>
        <w:pStyle w:val="Notedebasdepage"/>
        <w:spacing w:before="20" w:after="20"/>
        <w:ind w:left="567" w:right="567"/>
        <w:jc w:val="both"/>
        <w:rPr>
          <w:rFonts w:ascii="Century" w:hAnsi="Century" w:cs="Times New Roman"/>
          <w:sz w:val="18"/>
          <w:szCs w:val="18"/>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w:t>
      </w:r>
      <w:r w:rsidRPr="0092542D">
        <w:rPr>
          <w:rFonts w:ascii="Century" w:hAnsi="Century" w:cs="Times New Roman"/>
          <w:sz w:val="18"/>
          <w:szCs w:val="18"/>
          <w:lang w:val="fr-FR"/>
        </w:rPr>
        <w:t>L’Instrument de Gouvernement confie au Premier ministre le soin de désigner les autres membres du gouvernement. Le Riksdag « </w:t>
      </w:r>
      <w:r w:rsidRPr="0014243F">
        <w:rPr>
          <w:rFonts w:ascii="Century" w:hAnsi="Century" w:cs="Times New Roman"/>
          <w:i/>
          <w:iCs/>
          <w:sz w:val="18"/>
          <w:szCs w:val="18"/>
          <w:lang w:val="fr-FR"/>
        </w:rPr>
        <w:t>n’a pas à se prononcer par un vote sur la composition du cabinet </w:t>
      </w:r>
      <w:r w:rsidRPr="0092542D">
        <w:rPr>
          <w:rFonts w:ascii="Century" w:hAnsi="Century" w:cs="Times New Roman"/>
          <w:sz w:val="18"/>
          <w:szCs w:val="18"/>
          <w:lang w:val="fr-FR"/>
        </w:rPr>
        <w:t>» (</w:t>
      </w:r>
      <w:r w:rsidRPr="0092542D">
        <w:rPr>
          <w:rFonts w:ascii="Century" w:hAnsi="Century" w:cs="Times New Roman"/>
          <w:sz w:val="18"/>
          <w:szCs w:val="18"/>
          <w:lang w:val="fr-BE"/>
        </w:rPr>
        <w:t xml:space="preserve">Ph. </w:t>
      </w:r>
      <w:r w:rsidRPr="0092542D">
        <w:rPr>
          <w:rFonts w:ascii="Century" w:hAnsi="Century" w:cs="Times New Roman"/>
          <w:smallCaps/>
          <w:sz w:val="18"/>
          <w:szCs w:val="18"/>
        </w:rPr>
        <w:t xml:space="preserve">Lauvaux, A. Le Divellec, </w:t>
      </w:r>
      <w:r w:rsidRPr="0092542D">
        <w:rPr>
          <w:rFonts w:ascii="Century" w:hAnsi="Century" w:cs="Times New Roman"/>
          <w:i/>
          <w:sz w:val="18"/>
          <w:szCs w:val="18"/>
        </w:rPr>
        <w:t>op. cit</w:t>
      </w:r>
      <w:r w:rsidRPr="0092542D">
        <w:rPr>
          <w:rFonts w:ascii="Century" w:hAnsi="Century" w:cs="Times New Roman"/>
          <w:sz w:val="18"/>
          <w:szCs w:val="18"/>
        </w:rPr>
        <w:t>., p. 621).</w:t>
      </w:r>
    </w:p>
  </w:footnote>
  <w:footnote w:id="81">
    <w:p w14:paraId="694F72B7" w14:textId="0FFA4216" w:rsidR="00E468AE" w:rsidRPr="0092542D" w:rsidRDefault="00000000" w:rsidP="00F56AAC">
      <w:pPr>
        <w:pStyle w:val="Notedebasdepage"/>
        <w:spacing w:before="20" w:after="20"/>
        <w:ind w:left="567" w:right="567"/>
        <w:jc w:val="both"/>
        <w:rPr>
          <w:rFonts w:ascii="Century" w:hAnsi="Century" w:cs="Times New Roman"/>
          <w:sz w:val="18"/>
          <w:szCs w:val="18"/>
        </w:rPr>
      </w:pPr>
      <w:r w:rsidRPr="0092542D">
        <w:rPr>
          <w:rStyle w:val="Appelnotedebasdep"/>
          <w:rFonts w:ascii="Century" w:hAnsi="Century" w:cs="Times New Roman"/>
          <w:sz w:val="18"/>
          <w:szCs w:val="18"/>
        </w:rPr>
        <w:footnoteRef/>
      </w:r>
      <w:r w:rsidRPr="0092542D">
        <w:rPr>
          <w:rFonts w:ascii="Century" w:hAnsi="Century" w:cs="Times New Roman"/>
          <w:sz w:val="18"/>
          <w:szCs w:val="18"/>
        </w:rPr>
        <w:t xml:space="preserve"> Chapitre 6, article 3: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i/>
          <w:iCs/>
          <w:sz w:val="18"/>
          <w:szCs w:val="18"/>
        </w:rPr>
        <w:t>No later than two weeks after it has convened, a newly-elected Riksdag shall determine by means of a vote whether the Prime Minister has sufficient support in the Riksdag. If more than half of the members of the Riksdag vote no, the Prime Minister shall be discharged. No vote shall be held if the Prime Minister has already been discharged</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z w:val="18"/>
          <w:szCs w:val="18"/>
        </w:rPr>
        <w:t xml:space="preserve">. </w:t>
      </w:r>
    </w:p>
  </w:footnote>
  <w:footnote w:id="82">
    <w:p w14:paraId="27F0C800" w14:textId="7A730868" w:rsidR="00E468AE" w:rsidRPr="0092542D" w:rsidRDefault="00000000" w:rsidP="00F56AAC">
      <w:pPr>
        <w:pStyle w:val="Notedebasdepage"/>
        <w:spacing w:before="20" w:after="20"/>
        <w:ind w:left="567" w:right="567"/>
        <w:jc w:val="both"/>
        <w:rPr>
          <w:rFonts w:ascii="Century" w:hAnsi="Century" w:cs="Times New Roman"/>
          <w:sz w:val="18"/>
          <w:szCs w:val="18"/>
        </w:rPr>
      </w:pPr>
      <w:r w:rsidRPr="0092542D">
        <w:rPr>
          <w:rStyle w:val="Appelnotedebasdep"/>
          <w:rFonts w:ascii="Century" w:hAnsi="Century" w:cs="Times New Roman"/>
          <w:sz w:val="18"/>
          <w:szCs w:val="18"/>
        </w:rPr>
        <w:footnoteRef/>
      </w:r>
      <w:r w:rsidRPr="0092542D">
        <w:rPr>
          <w:rFonts w:ascii="Century" w:hAnsi="Century" w:cs="Times New Roman"/>
          <w:sz w:val="18"/>
          <w:szCs w:val="18"/>
        </w:rPr>
        <w:t xml:space="preserve"> Chapitre 6, article 4: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i/>
          <w:iCs/>
          <w:sz w:val="18"/>
          <w:szCs w:val="18"/>
        </w:rPr>
        <w:t xml:space="preserve">When a Prime Minister is to be appointed, the Speaker summons for consultation representatives from each party group in the Riksdag. The Speaker confers with the Deputy Speakers before presenting a proposal to the Riksdag. The Riksdag shall vote on the proposal within four days, without prior preparation in committee. </w:t>
      </w:r>
      <w:r w:rsidRPr="0092542D">
        <w:rPr>
          <w:rFonts w:ascii="Century" w:hAnsi="Century" w:cs="Times New Roman"/>
          <w:bCs/>
          <w:i/>
          <w:iCs/>
          <w:sz w:val="18"/>
          <w:szCs w:val="18"/>
        </w:rPr>
        <w:t>If more than half the members of the Riksdag vote against the proposal, it is rejected. In any other case, it is</w:t>
      </w:r>
      <w:r w:rsidRPr="0092542D">
        <w:rPr>
          <w:rFonts w:ascii="Century" w:hAnsi="Century" w:cs="Times New Roman"/>
          <w:i/>
          <w:iCs/>
          <w:sz w:val="18"/>
          <w:szCs w:val="18"/>
        </w:rPr>
        <w:t xml:space="preserve"> adopted</w:t>
      </w:r>
      <w:r w:rsidRPr="0092542D">
        <w:rPr>
          <w:rFonts w:ascii="Century" w:hAnsi="Century"/>
          <w:sz w:val="18"/>
          <w:szCs w:val="18"/>
          <w:lang w:val="en-US"/>
        </w:rPr>
        <w:t>»</w:t>
      </w:r>
      <w:r w:rsidRPr="0092542D">
        <w:rPr>
          <w:rFonts w:ascii="Century" w:hAnsi="Century" w:cs="Times New Roman"/>
          <w:sz w:val="18"/>
          <w:szCs w:val="18"/>
        </w:rPr>
        <w:t xml:space="preserve">. </w:t>
      </w:r>
    </w:p>
  </w:footnote>
  <w:footnote w:id="83">
    <w:p w14:paraId="5B356298" w14:textId="28531369" w:rsidR="00E468AE" w:rsidRPr="0092542D" w:rsidRDefault="00000000" w:rsidP="00F56AAC">
      <w:pPr>
        <w:pStyle w:val="Notedebasdepage"/>
        <w:spacing w:before="20" w:after="20"/>
        <w:ind w:left="567" w:right="567"/>
        <w:jc w:val="both"/>
        <w:rPr>
          <w:rFonts w:ascii="Century" w:hAnsi="Century" w:cs="Times New Roman"/>
          <w:sz w:val="18"/>
          <w:szCs w:val="18"/>
        </w:rPr>
      </w:pPr>
      <w:r w:rsidRPr="0092542D">
        <w:rPr>
          <w:rStyle w:val="Appelnotedebasdep"/>
          <w:rFonts w:ascii="Century" w:hAnsi="Century" w:cs="Times New Roman"/>
          <w:sz w:val="18"/>
          <w:szCs w:val="18"/>
        </w:rPr>
        <w:footnoteRef/>
      </w:r>
      <w:r w:rsidRPr="0092542D">
        <w:rPr>
          <w:rFonts w:ascii="Century" w:hAnsi="Century" w:cs="Times New Roman"/>
          <w:sz w:val="18"/>
          <w:szCs w:val="18"/>
        </w:rPr>
        <w:t xml:space="preserve"> Chapitre 6, article 5: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i/>
          <w:iCs/>
          <w:sz w:val="18"/>
          <w:szCs w:val="18"/>
        </w:rPr>
        <w:t>If the Riksdag rejects the Speaker’s proposal, the procedure laid down in Article 4 is repeated. If the Riksdag rejects the Speaker’s proposal four times, the procedure for appointing a Prime Minister is abandoned and resumed only after an election to the Riksdag has been held. If no ordinary election is due in any case to be held within three months, an extraordinary election shall be held within the same space of time</w:t>
      </w:r>
      <w:r w:rsidRPr="0092542D">
        <w:rPr>
          <w:rFonts w:ascii="Century" w:hAnsi="Century" w:cs="Times New Roman"/>
          <w:sz w:val="18"/>
          <w:szCs w:val="18"/>
        </w:rPr>
        <w:t xml:space="preserve"> </w:t>
      </w:r>
      <w:r w:rsidRPr="0092542D">
        <w:rPr>
          <w:rFonts w:ascii="Century" w:hAnsi="Century"/>
          <w:sz w:val="18"/>
          <w:szCs w:val="18"/>
          <w:lang w:val="en-US"/>
        </w:rPr>
        <w:t>»</w:t>
      </w:r>
      <w:r w:rsidRPr="0092542D">
        <w:rPr>
          <w:rFonts w:ascii="Century" w:hAnsi="Century" w:cs="Times New Roman"/>
          <w:sz w:val="18"/>
          <w:szCs w:val="18"/>
        </w:rPr>
        <w:t>.</w:t>
      </w:r>
    </w:p>
  </w:footnote>
  <w:footnote w:id="84">
    <w:p w14:paraId="2A143CB5"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nl-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nl-BE"/>
        </w:rPr>
        <w:t xml:space="preserve"> L. </w:t>
      </w:r>
      <w:r w:rsidRPr="0092542D">
        <w:rPr>
          <w:rFonts w:ascii="Century" w:hAnsi="Century" w:cs="Times New Roman"/>
          <w:smallCaps/>
          <w:sz w:val="18"/>
          <w:szCs w:val="18"/>
          <w:lang w:val="nl-BE"/>
        </w:rPr>
        <w:t xml:space="preserve">Léothier, </w:t>
      </w:r>
      <w:r w:rsidRPr="0092542D">
        <w:rPr>
          <w:rFonts w:ascii="Century" w:hAnsi="Century" w:cs="Times New Roman"/>
          <w:i/>
          <w:sz w:val="18"/>
          <w:szCs w:val="18"/>
          <w:lang w:val="nl-BE"/>
        </w:rPr>
        <w:t>op. cit.</w:t>
      </w:r>
      <w:r w:rsidRPr="0092542D">
        <w:rPr>
          <w:rFonts w:ascii="Century" w:hAnsi="Century" w:cs="Times New Roman"/>
          <w:sz w:val="18"/>
          <w:szCs w:val="18"/>
          <w:lang w:val="nl-BE"/>
        </w:rPr>
        <w:t xml:space="preserve">, p. 359. </w:t>
      </w:r>
    </w:p>
  </w:footnote>
  <w:footnote w:id="85">
    <w:p w14:paraId="6569BD46" w14:textId="77777777" w:rsidR="00E468AE" w:rsidRPr="0092542D" w:rsidRDefault="00000000" w:rsidP="00F56AAC">
      <w:pPr>
        <w:pStyle w:val="Notedebasdepage"/>
        <w:spacing w:before="20" w:after="20"/>
        <w:ind w:left="567" w:right="567"/>
        <w:jc w:val="both"/>
        <w:rPr>
          <w:rFonts w:ascii="Century" w:hAnsi="Century" w:cs="Times New Roman"/>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Tel est le cas de tous les gouvernements depuis les élections de septembre 2014 (Lofven II et III, Anderson et Kristerson). Sur l’ensemble des trente-et-un gouvernements suédois formés entre 1945 et 2019, vingt-trois étaient minoritaires (soit 74%), parmi lesquels quinze gouvernements où le Parti Social-Démocrate (faisant partie du bloc « socialiste ») était le seul parti au pouvoir. </w:t>
      </w:r>
    </w:p>
    <w:p w14:paraId="248F183F" w14:textId="73EDE722" w:rsidR="00E468AE" w:rsidRPr="0092542D" w:rsidRDefault="00000000" w:rsidP="00DE58E2">
      <w:pPr>
        <w:pStyle w:val="Notedebasdepage"/>
        <w:spacing w:before="20" w:after="20"/>
        <w:ind w:left="567" w:right="567"/>
        <w:jc w:val="both"/>
        <w:rPr>
          <w:rFonts w:ascii="Century" w:hAnsi="Century" w:cs="Times New Roman"/>
          <w:sz w:val="18"/>
          <w:szCs w:val="18"/>
          <w:lang w:val="en-US"/>
        </w:rPr>
      </w:pPr>
      <w:r w:rsidRPr="0092542D">
        <w:rPr>
          <w:rFonts w:ascii="Century" w:hAnsi="Century" w:cs="Times New Roman"/>
          <w:sz w:val="18"/>
          <w:szCs w:val="18"/>
          <w:lang w:val="fr-FR"/>
        </w:rPr>
        <w:t>On constate d’ailleurs que depuis l'introduction d'un vote d'investiture négatif dans l’Instrument de Gouvernement de 1974, la proportion de gouvernements minoritaires a augmenté (de 64% à 82%). Pour expliquer l</w:t>
      </w:r>
      <w:r w:rsidR="00E3428A">
        <w:rPr>
          <w:rFonts w:ascii="Century" w:hAnsi="Century" w:cs="Times New Roman"/>
          <w:sz w:val="18"/>
          <w:szCs w:val="18"/>
          <w:lang w:val="fr-FR"/>
        </w:rPr>
        <w:t>e phénomène d</w:t>
      </w:r>
      <w:r w:rsidRPr="0092542D">
        <w:rPr>
          <w:rFonts w:ascii="Century" w:hAnsi="Century" w:cs="Times New Roman"/>
          <w:sz w:val="18"/>
          <w:szCs w:val="18"/>
          <w:lang w:val="fr-FR"/>
        </w:rPr>
        <w:t xml:space="preserve">es gouvernements minoritaires suédois, les chercheurs ont souligné à la fois l'importance des règles formelles, à savoir l'investiture négative, mais aussi les effets du système multipartite avec son parti médian dominant (social-démocrate). </w:t>
      </w:r>
      <w:r w:rsidRPr="0092542D">
        <w:rPr>
          <w:rFonts w:ascii="Century" w:hAnsi="Century" w:cs="Times New Roman"/>
          <w:sz w:val="18"/>
          <w:szCs w:val="18"/>
          <w:lang w:val="en-US"/>
        </w:rPr>
        <w:t xml:space="preserve">(H. </w:t>
      </w:r>
      <w:r w:rsidRPr="0092542D">
        <w:rPr>
          <w:rFonts w:ascii="Century" w:hAnsi="Century" w:cs="Times New Roman"/>
          <w:smallCaps/>
          <w:sz w:val="18"/>
          <w:szCs w:val="18"/>
          <w:lang w:val="en-US"/>
        </w:rPr>
        <w:t>Wockelberg,</w:t>
      </w:r>
      <w:r w:rsidRPr="0092542D">
        <w:rPr>
          <w:rFonts w:ascii="Century" w:hAnsi="Century" w:cs="Times New Roman"/>
          <w:sz w:val="18"/>
          <w:szCs w:val="18"/>
          <w:lang w:val="en-US"/>
        </w:rPr>
        <w:t xml:space="preserve"> </w:t>
      </w:r>
      <w:r w:rsidRPr="0092542D">
        <w:rPr>
          <w:rFonts w:ascii="Century" w:hAnsi="Century" w:cs="Times New Roman"/>
          <w:i/>
          <w:iCs/>
          <w:sz w:val="18"/>
          <w:szCs w:val="18"/>
          <w:lang w:val="en-US"/>
        </w:rPr>
        <w:t>op. cit.</w:t>
      </w:r>
      <w:r w:rsidRPr="0092542D">
        <w:rPr>
          <w:rFonts w:ascii="Century" w:hAnsi="Century" w:cs="Times New Roman"/>
          <w:sz w:val="18"/>
          <w:szCs w:val="18"/>
          <w:lang w:val="en-US"/>
        </w:rPr>
        <w:t xml:space="preserve"> ; J. </w:t>
      </w:r>
      <w:r w:rsidRPr="0092542D">
        <w:rPr>
          <w:rFonts w:ascii="Century" w:hAnsi="Century" w:cs="Times New Roman"/>
          <w:smallCaps/>
          <w:sz w:val="18"/>
          <w:szCs w:val="18"/>
          <w:lang w:val="en-US"/>
        </w:rPr>
        <w:t>Hellström</w:t>
      </w:r>
      <w:r w:rsidRPr="0092542D">
        <w:rPr>
          <w:rFonts w:ascii="Century" w:hAnsi="Century" w:cs="Times New Roman"/>
          <w:sz w:val="18"/>
          <w:szCs w:val="18"/>
          <w:lang w:val="en-US"/>
        </w:rPr>
        <w:t xml:space="preserve"> and J. </w:t>
      </w:r>
      <w:r w:rsidRPr="0092542D">
        <w:rPr>
          <w:rFonts w:ascii="Century" w:hAnsi="Century" w:cs="Times New Roman"/>
          <w:smallCaps/>
          <w:sz w:val="18"/>
          <w:szCs w:val="18"/>
          <w:lang w:val="en-US"/>
        </w:rPr>
        <w:t>Lindahl</w:t>
      </w:r>
      <w:r w:rsidRPr="0092542D">
        <w:rPr>
          <w:rFonts w:ascii="Century" w:hAnsi="Century" w:cs="Times New Roman"/>
          <w:sz w:val="18"/>
          <w:szCs w:val="18"/>
          <w:lang w:val="en-US"/>
        </w:rPr>
        <w:t xml:space="preserve">,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sz w:val="18"/>
          <w:szCs w:val="18"/>
        </w:rPr>
        <w:t>Sweden: The Rise and Fall of Bloc Politics</w:t>
      </w:r>
      <w:r w:rsidRPr="0092542D">
        <w:rPr>
          <w:rFonts w:ascii="Century" w:hAnsi="Century"/>
          <w:sz w:val="18"/>
          <w:szCs w:val="18"/>
          <w:lang w:val="en-US"/>
        </w:rPr>
        <w:t xml:space="preserve"> »</w:t>
      </w:r>
      <w:r w:rsidRPr="0092542D">
        <w:rPr>
          <w:rFonts w:ascii="Century" w:hAnsi="Century" w:cs="Times New Roman"/>
          <w:sz w:val="18"/>
          <w:szCs w:val="18"/>
        </w:rPr>
        <w:t xml:space="preserve">, in </w:t>
      </w:r>
      <w:r w:rsidRPr="0092542D">
        <w:rPr>
          <w:rFonts w:ascii="Century" w:hAnsi="Century" w:cs="Times New Roman"/>
          <w:i/>
          <w:iCs/>
          <w:sz w:val="18"/>
          <w:szCs w:val="18"/>
        </w:rPr>
        <w:t>Coalition Governance in Western Europe</w:t>
      </w:r>
      <w:r w:rsidRPr="0092542D">
        <w:rPr>
          <w:rFonts w:ascii="Century" w:hAnsi="Century" w:cs="Times New Roman"/>
          <w:sz w:val="18"/>
          <w:szCs w:val="18"/>
        </w:rPr>
        <w:t xml:space="preserve">, </w:t>
      </w:r>
      <w:r w:rsidRPr="0092542D">
        <w:rPr>
          <w:rFonts w:ascii="Century" w:hAnsi="Century" w:cs="Times New Roman"/>
          <w:sz w:val="18"/>
          <w:szCs w:val="18"/>
          <w:lang w:val="en-US"/>
        </w:rPr>
        <w:t>Oxford, Oxford University Press, 2021, pp. 591.</w:t>
      </w:r>
    </w:p>
  </w:footnote>
  <w:footnote w:id="86">
    <w:p w14:paraId="20A1FF5B" w14:textId="4EB8B1BD" w:rsidR="00E468AE" w:rsidRPr="0092542D" w:rsidRDefault="00000000" w:rsidP="00F56AAC">
      <w:pPr>
        <w:pStyle w:val="Notedebasdepage"/>
        <w:spacing w:before="20" w:after="20"/>
        <w:ind w:left="567" w:right="567"/>
        <w:jc w:val="both"/>
        <w:rPr>
          <w:rFonts w:ascii="Century" w:hAnsi="Century" w:cs="Times New Roman"/>
          <w:i/>
          <w:iCs/>
          <w:sz w:val="18"/>
          <w:szCs w:val="18"/>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rPr>
        <w:t xml:space="preserve"> Comme le souligne </w:t>
      </w:r>
      <w:r w:rsidRPr="0014243F">
        <w:rPr>
          <w:rFonts w:ascii="Century" w:hAnsi="Century" w:cs="Times New Roman"/>
          <w:smallCaps/>
          <w:sz w:val="18"/>
          <w:szCs w:val="18"/>
        </w:rPr>
        <w:t>J. Hellström</w:t>
      </w:r>
      <w:r w:rsidRPr="0092542D">
        <w:rPr>
          <w:rFonts w:ascii="Century" w:hAnsi="Century" w:cs="Times New Roman"/>
          <w:sz w:val="18"/>
          <w:szCs w:val="18"/>
        </w:rPr>
        <w:t xml:space="preserve"> and </w:t>
      </w:r>
      <w:r w:rsidRPr="0014243F">
        <w:rPr>
          <w:rFonts w:ascii="Century" w:hAnsi="Century" w:cs="Times New Roman"/>
          <w:smallCaps/>
          <w:sz w:val="18"/>
          <w:szCs w:val="18"/>
        </w:rPr>
        <w:t>J. Lindahl</w:t>
      </w:r>
      <w:r w:rsidRPr="0092542D">
        <w:rPr>
          <w:rFonts w:ascii="Century" w:hAnsi="Century" w:cs="Times New Roman"/>
          <w:sz w:val="18"/>
          <w:szCs w:val="18"/>
        </w:rPr>
        <w:t> (</w:t>
      </w:r>
      <w:r w:rsidRPr="0092542D">
        <w:rPr>
          <w:rFonts w:ascii="Century" w:hAnsi="Century" w:cs="Times New Roman"/>
          <w:i/>
          <w:iCs/>
          <w:sz w:val="18"/>
          <w:szCs w:val="18"/>
        </w:rPr>
        <w:t>op cit.</w:t>
      </w:r>
      <w:r w:rsidRPr="0092542D">
        <w:rPr>
          <w:rFonts w:ascii="Century" w:hAnsi="Century" w:cs="Times New Roman"/>
          <w:sz w:val="18"/>
          <w:szCs w:val="18"/>
        </w:rPr>
        <w:t xml:space="preserve">, p. 585): « </w:t>
      </w:r>
      <w:r w:rsidRPr="0092542D">
        <w:rPr>
          <w:rFonts w:ascii="Century" w:hAnsi="Century" w:cs="Times New Roman"/>
          <w:i/>
          <w:iCs/>
          <w:sz w:val="18"/>
          <w:szCs w:val="18"/>
        </w:rPr>
        <w:t>the Swedish government formation process has always been one of the shortest in Europe (being shorter only in Greece and Malta). The government formation remained rapid until 2018, never having taken longer than 19 days to complete before 2018, and on average only taking 6.1 days</w:t>
      </w:r>
      <w:r w:rsidRPr="0092542D">
        <w:rPr>
          <w:rFonts w:ascii="Century" w:hAnsi="Century" w:cs="Times New Roman"/>
          <w:sz w:val="18"/>
          <w:szCs w:val="18"/>
        </w:rPr>
        <w:t xml:space="preserve"> ». </w:t>
      </w:r>
      <w:r w:rsidRPr="0092542D">
        <w:rPr>
          <w:rFonts w:ascii="Century" w:hAnsi="Century" w:cs="Times New Roman"/>
          <w:sz w:val="18"/>
          <w:szCs w:val="18"/>
          <w:lang w:val="fr-BE"/>
        </w:rPr>
        <w:t xml:space="preserve">Nous remarquons toutefois que la stabilité des deux grands blocs politiques a également favorisé la rapidité du processus de formation du gouvernement. </w:t>
      </w:r>
      <w:r w:rsidRPr="0092542D">
        <w:rPr>
          <w:rFonts w:ascii="Century" w:hAnsi="Century" w:cs="Times New Roman"/>
          <w:i/>
          <w:iCs/>
          <w:sz w:val="18"/>
          <w:szCs w:val="18"/>
          <w:lang w:val="fr-BE"/>
        </w:rPr>
        <w:t>A contrario</w:t>
      </w:r>
      <w:r w:rsidRPr="0092542D">
        <w:rPr>
          <w:rFonts w:ascii="Century" w:hAnsi="Century" w:cs="Times New Roman"/>
          <w:sz w:val="18"/>
          <w:szCs w:val="18"/>
          <w:lang w:val="fr-BE"/>
        </w:rPr>
        <w:t xml:space="preserve">, voy. </w:t>
      </w:r>
      <w:r w:rsidR="00A90C1F">
        <w:rPr>
          <w:rFonts w:ascii="Century" w:hAnsi="Century" w:cs="Times New Roman"/>
          <w:sz w:val="18"/>
          <w:szCs w:val="18"/>
          <w:lang w:val="fr-BE"/>
        </w:rPr>
        <w:t xml:space="preserve">dans l’examen de la septième piste </w:t>
      </w:r>
      <w:r w:rsidRPr="0092542D">
        <w:rPr>
          <w:rFonts w:ascii="Century" w:hAnsi="Century" w:cs="Times New Roman"/>
          <w:sz w:val="18"/>
          <w:szCs w:val="18"/>
          <w:lang w:val="fr-BE"/>
        </w:rPr>
        <w:t xml:space="preserve">les commentaires relatifs à la crise politique de 2018 qui a nécessité 134 jours avant qu’un gouvernement soit effectivement mis en place. </w:t>
      </w:r>
    </w:p>
  </w:footnote>
  <w:footnote w:id="87">
    <w:p w14:paraId="01CE1111"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en ce sens M. </w:t>
      </w:r>
      <w:r w:rsidRPr="0092542D">
        <w:rPr>
          <w:rFonts w:ascii="Century" w:hAnsi="Century"/>
          <w:smallCaps/>
          <w:sz w:val="18"/>
          <w:szCs w:val="18"/>
          <w:lang w:val="fr-BE"/>
        </w:rPr>
        <w:t xml:space="preserve">Servais, N. Henry </w:t>
      </w:r>
      <w:r w:rsidRPr="0092542D">
        <w:rPr>
          <w:rFonts w:ascii="Century" w:hAnsi="Century"/>
          <w:sz w:val="18"/>
          <w:szCs w:val="18"/>
          <w:lang w:val="fr-BE"/>
        </w:rPr>
        <w:t xml:space="preserve">et </w:t>
      </w:r>
      <w:r w:rsidRPr="0092542D">
        <w:rPr>
          <w:rFonts w:ascii="Century" w:hAnsi="Century"/>
          <w:smallCaps/>
          <w:sz w:val="18"/>
          <w:szCs w:val="18"/>
          <w:lang w:val="fr-BE"/>
        </w:rPr>
        <w:t xml:space="preserve">F. Bouhon, </w:t>
      </w:r>
      <w:r w:rsidRPr="0092542D">
        <w:rPr>
          <w:rFonts w:ascii="Century" w:hAnsi="Century"/>
          <w:i/>
          <w:sz w:val="18"/>
          <w:szCs w:val="18"/>
          <w:lang w:val="fr-BE"/>
        </w:rPr>
        <w:t>op. cit</w:t>
      </w:r>
      <w:r w:rsidRPr="0092542D">
        <w:rPr>
          <w:rFonts w:ascii="Century" w:hAnsi="Century"/>
          <w:sz w:val="18"/>
          <w:szCs w:val="18"/>
          <w:lang w:val="fr-BE"/>
        </w:rPr>
        <w:t>., p. 389 avec les références aux études de P.</w:t>
      </w:r>
      <w:r w:rsidRPr="0092542D">
        <w:rPr>
          <w:rFonts w:ascii="Century" w:hAnsi="Century"/>
          <w:smallCaps/>
          <w:sz w:val="18"/>
          <w:szCs w:val="18"/>
          <w:lang w:val="fr-BE"/>
        </w:rPr>
        <w:t xml:space="preserve"> Popelier </w:t>
      </w:r>
      <w:r w:rsidRPr="0092542D">
        <w:rPr>
          <w:rFonts w:ascii="Century" w:hAnsi="Century"/>
          <w:sz w:val="18"/>
          <w:szCs w:val="18"/>
          <w:lang w:val="fr-BE"/>
        </w:rPr>
        <w:t xml:space="preserve"> et </w:t>
      </w:r>
      <w:r w:rsidRPr="0092542D">
        <w:rPr>
          <w:rFonts w:ascii="Century" w:hAnsi="Century"/>
          <w:smallCaps/>
          <w:sz w:val="18"/>
          <w:szCs w:val="18"/>
          <w:lang w:val="fr-BE"/>
        </w:rPr>
        <w:t xml:space="preserve">K. Lemmens </w:t>
      </w:r>
      <w:r w:rsidRPr="0092542D">
        <w:rPr>
          <w:rFonts w:ascii="Century" w:hAnsi="Century"/>
          <w:sz w:val="18"/>
          <w:szCs w:val="18"/>
          <w:lang w:val="fr-BE"/>
        </w:rPr>
        <w:t xml:space="preserve">sous la note 82. </w:t>
      </w:r>
    </w:p>
  </w:footnote>
  <w:footnote w:id="88">
    <w:p w14:paraId="0E808D04" w14:textId="60D08C88" w:rsidR="00B61965" w:rsidRPr="0014243F" w:rsidRDefault="00000000" w:rsidP="007B76D0">
      <w:pPr>
        <w:pStyle w:val="Notedebasdepage"/>
        <w:spacing w:before="20" w:after="20"/>
        <w:ind w:left="567" w:right="567"/>
        <w:jc w:val="both"/>
        <w:rPr>
          <w:rFonts w:ascii="Century" w:hAnsi="Century"/>
          <w:sz w:val="18"/>
          <w:szCs w:val="18"/>
          <w:lang w:val="nl-BE"/>
        </w:rPr>
      </w:pPr>
      <w:r w:rsidRPr="0092542D">
        <w:rPr>
          <w:rStyle w:val="Appelnotedebasdep"/>
          <w:rFonts w:ascii="Century" w:hAnsi="Century"/>
          <w:sz w:val="18"/>
          <w:szCs w:val="18"/>
        </w:rPr>
        <w:footnoteRef/>
      </w:r>
      <w:r w:rsidRPr="0014243F">
        <w:rPr>
          <w:rFonts w:ascii="Century" w:hAnsi="Century"/>
          <w:sz w:val="18"/>
          <w:szCs w:val="18"/>
          <w:lang w:val="nl-BE"/>
        </w:rPr>
        <w:t xml:space="preserve"> Voy. en ce sens </w:t>
      </w:r>
      <w:r w:rsidRPr="0014243F">
        <w:rPr>
          <w:rFonts w:ascii="Century" w:hAnsi="Century"/>
          <w:smallCaps/>
          <w:sz w:val="18"/>
          <w:szCs w:val="18"/>
          <w:lang w:val="nl-BE"/>
        </w:rPr>
        <w:t xml:space="preserve">J. Velaers, </w:t>
      </w:r>
      <w:r w:rsidRPr="0014243F">
        <w:rPr>
          <w:rFonts w:ascii="Century" w:hAnsi="Century"/>
          <w:sz w:val="18"/>
          <w:szCs w:val="18"/>
          <w:lang w:val="nl-BE"/>
        </w:rPr>
        <w:t xml:space="preserve">« De pariteit in de Ministerraad (artikel 99, tweede lid van de Grondwet) : een vereiste met een louter taalkundige, een communautaire of ook een ‘taalgroep-parlementaire’ betekenis ? », </w:t>
      </w:r>
      <w:r w:rsidRPr="0014243F">
        <w:rPr>
          <w:rFonts w:ascii="Century" w:hAnsi="Century"/>
          <w:i/>
          <w:iCs/>
          <w:sz w:val="18"/>
          <w:szCs w:val="18"/>
          <w:lang w:val="nl-BE"/>
        </w:rPr>
        <w:t>T.B.P.,</w:t>
      </w:r>
      <w:r w:rsidRPr="0014243F">
        <w:rPr>
          <w:rFonts w:ascii="Century" w:hAnsi="Century"/>
          <w:sz w:val="18"/>
          <w:szCs w:val="18"/>
          <w:lang w:val="nl-BE"/>
        </w:rPr>
        <w:t xml:space="preserve"> p. 4-22. </w:t>
      </w:r>
    </w:p>
  </w:footnote>
  <w:footnote w:id="89">
    <w:p w14:paraId="597165D5"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Rappelons que le gouvernement Michel I formé en 2014 n’était soutenu que par 32% des membres du groupe linguistique français. Cfr à ce sujet </w:t>
      </w:r>
      <w:r w:rsidRPr="0092542D">
        <w:rPr>
          <w:rFonts w:ascii="Century" w:hAnsi="Century"/>
          <w:smallCaps/>
          <w:sz w:val="18"/>
          <w:szCs w:val="18"/>
          <w:lang w:val="fr-BE"/>
        </w:rPr>
        <w:t xml:space="preserve">H. Dumont, M. Uyttendaele </w:t>
      </w:r>
      <w:r w:rsidRPr="0092542D">
        <w:rPr>
          <w:rFonts w:ascii="Century" w:hAnsi="Century"/>
          <w:sz w:val="18"/>
          <w:szCs w:val="18"/>
          <w:lang w:val="fr-BE"/>
        </w:rPr>
        <w:t xml:space="preserve"> et </w:t>
      </w:r>
      <w:r w:rsidRPr="0092542D">
        <w:rPr>
          <w:rFonts w:ascii="Century" w:hAnsi="Century"/>
          <w:smallCaps/>
          <w:sz w:val="18"/>
          <w:szCs w:val="18"/>
          <w:lang w:val="fr-BE"/>
        </w:rPr>
        <w:t xml:space="preserve">M. Verdussen, </w:t>
      </w:r>
      <w:r w:rsidRPr="0092542D">
        <w:rPr>
          <w:rFonts w:ascii="Century" w:hAnsi="Century"/>
          <w:sz w:val="18"/>
          <w:szCs w:val="18"/>
          <w:lang w:val="fr-BE"/>
        </w:rPr>
        <w:t xml:space="preserve">« Une coalition gouvernementale déséquilibrée menace l’harmonie du système constitutionnel », carte blanche, </w:t>
      </w:r>
      <w:r w:rsidRPr="0092542D">
        <w:rPr>
          <w:rFonts w:ascii="Century" w:hAnsi="Century"/>
          <w:i/>
          <w:sz w:val="18"/>
          <w:szCs w:val="18"/>
          <w:lang w:val="fr-BE"/>
        </w:rPr>
        <w:t>Le Soir</w:t>
      </w:r>
      <w:r w:rsidRPr="0092542D">
        <w:rPr>
          <w:rFonts w:ascii="Century" w:hAnsi="Century"/>
          <w:sz w:val="18"/>
          <w:szCs w:val="18"/>
          <w:lang w:val="fr-BE"/>
        </w:rPr>
        <w:t>, 19 août 2014. Dans le gouvernement De Croo actuel, 8 ministres flamands se partagent les postes les plus importants : le Premier, l’Intérieur, la Justice, la Santé, les Affaires sociales, les Finances et le Budget. Les 7 francophones héritent du reste. De toute évidence, c’est l’étroitesse du soutien dont ce gouvernement bénéficie dans le groupe linguistique néerlandais de la Chambre (41 députés sur 88, soit 46,6 %) qui est censée justifier ce déséquilibre politique.</w:t>
      </w:r>
    </w:p>
  </w:footnote>
  <w:footnote w:id="90">
    <w:p w14:paraId="6E5C801C"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en ce sens H. D</w:t>
      </w:r>
      <w:r w:rsidRPr="0092542D">
        <w:rPr>
          <w:rFonts w:ascii="Century" w:hAnsi="Century"/>
          <w:smallCaps/>
          <w:sz w:val="18"/>
          <w:szCs w:val="18"/>
          <w:lang w:val="fr-BE"/>
        </w:rPr>
        <w:t xml:space="preserve">umont </w:t>
      </w:r>
      <w:r w:rsidRPr="0092542D">
        <w:rPr>
          <w:rFonts w:ascii="Century" w:hAnsi="Century"/>
          <w:sz w:val="18"/>
          <w:szCs w:val="18"/>
          <w:lang w:val="fr-BE"/>
        </w:rPr>
        <w:t xml:space="preserve">et </w:t>
      </w:r>
      <w:r w:rsidRPr="0092542D">
        <w:rPr>
          <w:rFonts w:ascii="Century" w:hAnsi="Century"/>
          <w:smallCaps/>
          <w:sz w:val="18"/>
          <w:szCs w:val="18"/>
          <w:lang w:val="fr-BE"/>
        </w:rPr>
        <w:t xml:space="preserve">M. El Berhoumi, </w:t>
      </w:r>
      <w:r w:rsidRPr="0092542D">
        <w:rPr>
          <w:rFonts w:ascii="Century" w:hAnsi="Century"/>
          <w:i/>
          <w:sz w:val="18"/>
          <w:szCs w:val="18"/>
          <w:lang w:val="fr-BE"/>
        </w:rPr>
        <w:t>Droit constitutionnel. Approche critique et interdisciplinaire</w:t>
      </w:r>
      <w:r w:rsidRPr="0092542D">
        <w:rPr>
          <w:rFonts w:ascii="Century" w:hAnsi="Century"/>
          <w:sz w:val="18"/>
          <w:szCs w:val="18"/>
          <w:lang w:val="fr-BE"/>
        </w:rPr>
        <w:t xml:space="preserve">, tome I, </w:t>
      </w:r>
      <w:r w:rsidRPr="0092542D">
        <w:rPr>
          <w:rFonts w:ascii="Century" w:hAnsi="Century"/>
          <w:i/>
          <w:sz w:val="18"/>
          <w:szCs w:val="18"/>
          <w:lang w:val="fr-BE"/>
        </w:rPr>
        <w:t>L’Etat</w:t>
      </w:r>
      <w:r w:rsidRPr="0092542D">
        <w:rPr>
          <w:rFonts w:ascii="Century" w:hAnsi="Century"/>
          <w:sz w:val="18"/>
          <w:szCs w:val="18"/>
          <w:lang w:val="fr-BE"/>
        </w:rPr>
        <w:t xml:space="preserve">, Bruxelles, Larcier, 2021, n° 228. </w:t>
      </w:r>
    </w:p>
  </w:footnote>
  <w:footnote w:id="91">
    <w:p w14:paraId="6DAB99F2" w14:textId="77777777" w:rsidR="00E468AE" w:rsidRPr="0092542D" w:rsidRDefault="00000000" w:rsidP="00F56AAC">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lang w:val="fr-BE"/>
        </w:rPr>
        <w:t xml:space="preserve"> En Allemagne, l’investiture du chancelier doit aussi se faire dans des délais prédéterminés, mais à l’échéance de ceux-ci, la dissolution n’est pas automatique. Si aucun candidat n’a obtenu la majorité des voix des membres du </w:t>
      </w:r>
      <w:r w:rsidRPr="0092542D">
        <w:rPr>
          <w:rFonts w:ascii="Century" w:hAnsi="Century"/>
          <w:i/>
          <w:sz w:val="18"/>
          <w:szCs w:val="18"/>
          <w:lang w:val="fr-BE"/>
        </w:rPr>
        <w:t>Bundestag</w:t>
      </w:r>
      <w:r w:rsidRPr="0092542D">
        <w:rPr>
          <w:rFonts w:ascii="Century" w:hAnsi="Century"/>
          <w:sz w:val="18"/>
          <w:szCs w:val="18"/>
          <w:lang w:val="fr-BE"/>
        </w:rPr>
        <w:t xml:space="preserve">, le président fédéral doit, dans les sept jours à compter du dernier tour de scrutin, opter entre la nomination du candidat qui a obtenu le plus grand nombre de voix et la dissolution. </w:t>
      </w:r>
      <w:r w:rsidRPr="0092542D">
        <w:rPr>
          <w:rFonts w:ascii="Century" w:hAnsi="Century"/>
          <w:sz w:val="18"/>
          <w:szCs w:val="18"/>
        </w:rPr>
        <w:t>Voy. not. C. G</w:t>
      </w:r>
      <w:r w:rsidRPr="0092542D">
        <w:rPr>
          <w:rFonts w:ascii="Century" w:hAnsi="Century"/>
          <w:smallCaps/>
          <w:sz w:val="18"/>
          <w:szCs w:val="18"/>
        </w:rPr>
        <w:t xml:space="preserve">rewe </w:t>
      </w:r>
      <w:r w:rsidRPr="0092542D">
        <w:rPr>
          <w:rFonts w:ascii="Century" w:hAnsi="Century"/>
          <w:sz w:val="18"/>
          <w:szCs w:val="18"/>
        </w:rPr>
        <w:t xml:space="preserve">et H. </w:t>
      </w:r>
      <w:r w:rsidRPr="0092542D">
        <w:rPr>
          <w:rFonts w:ascii="Century" w:hAnsi="Century"/>
          <w:smallCaps/>
          <w:sz w:val="18"/>
          <w:szCs w:val="18"/>
        </w:rPr>
        <w:t xml:space="preserve">Ruie Fabri, </w:t>
      </w:r>
      <w:r w:rsidRPr="0092542D">
        <w:rPr>
          <w:rFonts w:ascii="Century" w:hAnsi="Century"/>
          <w:i/>
          <w:sz w:val="18"/>
          <w:szCs w:val="18"/>
        </w:rPr>
        <w:t>op. cit.</w:t>
      </w:r>
      <w:r w:rsidRPr="0092542D">
        <w:rPr>
          <w:rFonts w:ascii="Century" w:hAnsi="Century"/>
          <w:sz w:val="18"/>
          <w:szCs w:val="18"/>
        </w:rPr>
        <w:t xml:space="preserve">, p. 529. </w:t>
      </w:r>
    </w:p>
  </w:footnote>
  <w:footnote w:id="92">
    <w:p w14:paraId="6B3DC8C8" w14:textId="6F58D6E2" w:rsidR="00E468AE" w:rsidRPr="0092542D" w:rsidRDefault="00000000" w:rsidP="00F56AAC">
      <w:pPr>
        <w:pStyle w:val="Notedebasdepage"/>
        <w:spacing w:before="20" w:after="20"/>
        <w:ind w:left="567" w:right="567"/>
        <w:jc w:val="both"/>
        <w:rPr>
          <w:rFonts w:ascii="Century" w:hAnsi="Century"/>
          <w:sz w:val="18"/>
          <w:szCs w:val="18"/>
          <w:lang w:val="en-US"/>
        </w:rPr>
      </w:pPr>
      <w:r w:rsidRPr="0092542D">
        <w:rPr>
          <w:rStyle w:val="Appelnotedebasdep"/>
          <w:rFonts w:ascii="Century" w:hAnsi="Century"/>
          <w:sz w:val="18"/>
          <w:szCs w:val="18"/>
        </w:rPr>
        <w:footnoteRef/>
      </w:r>
      <w:r w:rsidRPr="0092542D">
        <w:rPr>
          <w:rFonts w:ascii="Century" w:hAnsi="Century"/>
          <w:sz w:val="18"/>
          <w:szCs w:val="18"/>
        </w:rPr>
        <w:t xml:space="preserve"> Voy. B. </w:t>
      </w:r>
      <w:r w:rsidRPr="0092542D">
        <w:rPr>
          <w:rFonts w:ascii="Century" w:hAnsi="Century"/>
          <w:smallCaps/>
          <w:sz w:val="18"/>
          <w:szCs w:val="18"/>
        </w:rPr>
        <w:t>Field</w:t>
      </w:r>
      <w:r w:rsidRPr="0092542D">
        <w:rPr>
          <w:rFonts w:ascii="Century" w:hAnsi="Century"/>
          <w:sz w:val="18"/>
          <w:szCs w:val="18"/>
        </w:rPr>
        <w:t xml:space="preserve">, « Spain: Single-Party Majority and Minority Governments », </w:t>
      </w:r>
      <w:r w:rsidRPr="0092542D">
        <w:rPr>
          <w:rFonts w:ascii="Century" w:hAnsi="Century" w:cs="Times New Roman"/>
          <w:sz w:val="18"/>
          <w:szCs w:val="18"/>
        </w:rPr>
        <w:t xml:space="preserve">in </w:t>
      </w:r>
      <w:r w:rsidRPr="0092542D">
        <w:rPr>
          <w:rFonts w:ascii="Century" w:hAnsi="Century" w:cs="Times New Roman"/>
          <w:i/>
          <w:iCs/>
          <w:sz w:val="18"/>
          <w:szCs w:val="18"/>
        </w:rPr>
        <w:t>Coalition Governance in Western Europe</w:t>
      </w:r>
      <w:r w:rsidRPr="0092542D">
        <w:rPr>
          <w:rFonts w:ascii="Century" w:hAnsi="Century" w:cs="Times New Roman"/>
          <w:sz w:val="18"/>
          <w:szCs w:val="18"/>
        </w:rPr>
        <w:t xml:space="preserve">, </w:t>
      </w:r>
      <w:r w:rsidRPr="0092542D">
        <w:rPr>
          <w:rFonts w:ascii="Century" w:hAnsi="Century" w:cs="Times New Roman"/>
          <w:sz w:val="18"/>
          <w:szCs w:val="18"/>
          <w:lang w:val="en-US"/>
        </w:rPr>
        <w:t xml:space="preserve">Oxford, Oxford University Press, 2021, pp. 544-573 ; </w:t>
      </w:r>
      <w:r w:rsidRPr="0092542D">
        <w:rPr>
          <w:rFonts w:ascii="Century" w:hAnsi="Century"/>
          <w:smallCaps/>
          <w:sz w:val="18"/>
          <w:szCs w:val="18"/>
          <w:lang w:val="en-US"/>
        </w:rPr>
        <w:t xml:space="preserve">F. Balaguer Callejon, </w:t>
      </w:r>
      <w:r w:rsidRPr="0092542D">
        <w:rPr>
          <w:rFonts w:ascii="Century" w:hAnsi="Century"/>
          <w:i/>
          <w:sz w:val="18"/>
          <w:szCs w:val="18"/>
          <w:lang w:val="en-US"/>
        </w:rPr>
        <w:t>Droit constitutionnel de l’Espagne</w:t>
      </w:r>
      <w:r w:rsidRPr="0092542D">
        <w:rPr>
          <w:rFonts w:ascii="Century" w:hAnsi="Century"/>
          <w:sz w:val="18"/>
          <w:szCs w:val="18"/>
          <w:lang w:val="en-US"/>
        </w:rPr>
        <w:t xml:space="preserve">, Bruxelles, Bruylant, 2022, pp. 42 et sv.  </w:t>
      </w:r>
    </w:p>
  </w:footnote>
  <w:footnote w:id="93">
    <w:p w14:paraId="3C4C81D7"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E. </w:t>
      </w:r>
      <w:r w:rsidRPr="0092542D">
        <w:rPr>
          <w:rFonts w:ascii="Century" w:hAnsi="Century"/>
          <w:smallCaps/>
          <w:sz w:val="18"/>
          <w:szCs w:val="18"/>
          <w:lang w:val="fr-BE"/>
        </w:rPr>
        <w:t xml:space="preserve">Alvarez Conde, </w:t>
      </w:r>
      <w:r w:rsidRPr="0092542D">
        <w:rPr>
          <w:rFonts w:ascii="Century" w:hAnsi="Century"/>
          <w:i/>
          <w:sz w:val="18"/>
          <w:szCs w:val="18"/>
          <w:lang w:val="fr-BE"/>
        </w:rPr>
        <w:t>Curso de derecho constitucional</w:t>
      </w:r>
      <w:r w:rsidRPr="0092542D">
        <w:rPr>
          <w:rFonts w:ascii="Century" w:hAnsi="Century"/>
          <w:sz w:val="18"/>
          <w:szCs w:val="18"/>
          <w:lang w:val="fr-BE"/>
        </w:rPr>
        <w:t xml:space="preserve">, 1997, cité par </w:t>
      </w:r>
      <w:r w:rsidRPr="0092542D">
        <w:rPr>
          <w:rFonts w:ascii="Century" w:hAnsi="Century"/>
          <w:smallCaps/>
          <w:sz w:val="18"/>
          <w:szCs w:val="18"/>
          <w:lang w:val="fr-BE"/>
        </w:rPr>
        <w:t xml:space="preserve">D. Rojas, </w:t>
      </w:r>
      <w:r w:rsidRPr="0092542D">
        <w:rPr>
          <w:rFonts w:ascii="Century" w:hAnsi="Century"/>
          <w:sz w:val="18"/>
          <w:szCs w:val="18"/>
          <w:lang w:val="fr-BE"/>
        </w:rPr>
        <w:t xml:space="preserve">« La quête de la formation d’un gouvernement en Espagne à l’aune de l’expérience belge : un défi à l’encadrement juridique », in </w:t>
      </w:r>
      <w:r w:rsidRPr="0092542D">
        <w:rPr>
          <w:rFonts w:ascii="Century" w:hAnsi="Century"/>
          <w:i/>
          <w:sz w:val="18"/>
          <w:szCs w:val="18"/>
          <w:lang w:val="fr-BE"/>
        </w:rPr>
        <w:t>R.D.P.</w:t>
      </w:r>
      <w:r w:rsidRPr="0092542D">
        <w:rPr>
          <w:rFonts w:ascii="Century" w:hAnsi="Century"/>
          <w:sz w:val="18"/>
          <w:szCs w:val="18"/>
          <w:lang w:val="fr-BE"/>
        </w:rPr>
        <w:t xml:space="preserve">, 2017/2, p. 477. </w:t>
      </w:r>
    </w:p>
  </w:footnote>
  <w:footnote w:id="94">
    <w:p w14:paraId="5E1DDF35"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par ex. sur l’enclenchement des élections du 26 juin 2016, D. </w:t>
      </w:r>
      <w:r w:rsidRPr="0092542D">
        <w:rPr>
          <w:rFonts w:ascii="Century" w:hAnsi="Century"/>
          <w:smallCaps/>
          <w:sz w:val="18"/>
          <w:szCs w:val="18"/>
          <w:lang w:val="fr-BE"/>
        </w:rPr>
        <w:t xml:space="preserve">Rojas, </w:t>
      </w:r>
      <w:r w:rsidRPr="0092542D">
        <w:rPr>
          <w:rFonts w:ascii="Century" w:hAnsi="Century"/>
          <w:i/>
          <w:sz w:val="18"/>
          <w:szCs w:val="18"/>
          <w:lang w:val="fr-BE"/>
        </w:rPr>
        <w:t>op. cit.</w:t>
      </w:r>
      <w:r w:rsidRPr="0092542D">
        <w:rPr>
          <w:rFonts w:ascii="Century" w:hAnsi="Century"/>
          <w:sz w:val="18"/>
          <w:szCs w:val="18"/>
          <w:lang w:val="fr-BE"/>
        </w:rPr>
        <w:t xml:space="preserve">, p. 474-477. </w:t>
      </w:r>
    </w:p>
  </w:footnote>
  <w:footnote w:id="95">
    <w:p w14:paraId="3B08E6BF"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On relève que jusque 2015, le mécanisme de censure constructive (qui ne trouve, en Europe occidentale, d’équivalent qu’en Belgique et en Allemagne) a grandement contribué à la stabilité et la durabilité des gouvernements successifs en Espagne (B. </w:t>
      </w:r>
      <w:r w:rsidRPr="0092542D">
        <w:rPr>
          <w:rFonts w:ascii="Century" w:hAnsi="Century"/>
          <w:smallCaps/>
          <w:sz w:val="18"/>
          <w:szCs w:val="18"/>
          <w:lang w:val="fr-BE"/>
        </w:rPr>
        <w:t>Field</w:t>
      </w:r>
      <w:r w:rsidRPr="0092542D">
        <w:rPr>
          <w:rFonts w:ascii="Century" w:hAnsi="Century"/>
          <w:sz w:val="18"/>
          <w:szCs w:val="18"/>
          <w:lang w:val="fr-BE"/>
        </w:rPr>
        <w:t xml:space="preserve">, </w:t>
      </w:r>
      <w:r w:rsidRPr="0092542D">
        <w:rPr>
          <w:rFonts w:ascii="Century" w:hAnsi="Century"/>
          <w:i/>
          <w:iCs/>
          <w:sz w:val="18"/>
          <w:szCs w:val="18"/>
          <w:lang w:val="fr-BE"/>
        </w:rPr>
        <w:t>op. cit</w:t>
      </w:r>
      <w:r w:rsidRPr="0092542D">
        <w:rPr>
          <w:rFonts w:ascii="Century" w:hAnsi="Century"/>
          <w:sz w:val="18"/>
          <w:szCs w:val="18"/>
          <w:lang w:val="fr-BE"/>
        </w:rPr>
        <w:t>. p, 547). La procédure de censure constructive n’a été mise en œuvre que quatre fois en Espagne et n’a été appliquée avec succès pour la première fois que le 1er juin 2018, lorsqu’un vote de défiance a été adopté contre l’ancien Premier ministre Rajoy, avec le vote de confiance simultané en faveur de la candidature du nouveau premier ministre, Pedro Sanchez par la majorité absolue des députés ; Sur ce premier cas réussi de censure constructive qui a conduit à la formation du gouvernement minoritaire Sanchez I : voy. A. S</w:t>
      </w:r>
      <w:r w:rsidRPr="0092542D">
        <w:rPr>
          <w:rFonts w:ascii="Century" w:hAnsi="Century"/>
          <w:smallCaps/>
          <w:sz w:val="18"/>
          <w:szCs w:val="18"/>
          <w:lang w:val="fr-BE"/>
        </w:rPr>
        <w:t>fez</w:t>
      </w:r>
      <w:r w:rsidRPr="0092542D">
        <w:rPr>
          <w:rFonts w:ascii="Century" w:hAnsi="Century"/>
          <w:sz w:val="18"/>
          <w:szCs w:val="18"/>
          <w:lang w:val="fr-BE"/>
        </w:rPr>
        <w:t>, « </w:t>
      </w:r>
      <w:r w:rsidRPr="0092542D">
        <w:rPr>
          <w:rFonts w:ascii="Century" w:hAnsi="Century"/>
          <w:color w:val="000000"/>
          <w:spacing w:val="15"/>
          <w:sz w:val="18"/>
          <w:szCs w:val="18"/>
          <w:lang w:val="fr-BE"/>
        </w:rPr>
        <w:t xml:space="preserve">Espagne : la motion de censure (peu) constructive qui a porté Pedro Sánchez au pouvoir », </w:t>
      </w:r>
      <w:r w:rsidRPr="0092542D">
        <w:rPr>
          <w:rFonts w:ascii="Century" w:hAnsi="Century"/>
          <w:i/>
          <w:color w:val="000000"/>
          <w:spacing w:val="15"/>
          <w:sz w:val="18"/>
          <w:szCs w:val="18"/>
          <w:lang w:val="fr-BE"/>
        </w:rPr>
        <w:t xml:space="preserve">jus </w:t>
      </w:r>
      <w:proofErr w:type="spellStart"/>
      <w:r w:rsidRPr="0092542D">
        <w:rPr>
          <w:rFonts w:ascii="Century" w:hAnsi="Century"/>
          <w:i/>
          <w:color w:val="000000"/>
          <w:spacing w:val="15"/>
          <w:sz w:val="18"/>
          <w:szCs w:val="18"/>
          <w:lang w:val="fr-BE"/>
        </w:rPr>
        <w:t>politicum</w:t>
      </w:r>
      <w:proofErr w:type="spellEnd"/>
      <w:r w:rsidRPr="0092542D">
        <w:rPr>
          <w:rFonts w:ascii="Century" w:hAnsi="Century"/>
          <w:i/>
          <w:color w:val="000000"/>
          <w:spacing w:val="15"/>
          <w:sz w:val="18"/>
          <w:szCs w:val="18"/>
          <w:lang w:val="fr-BE"/>
        </w:rPr>
        <w:t xml:space="preserve"> blog</w:t>
      </w:r>
      <w:r w:rsidRPr="0092542D">
        <w:rPr>
          <w:rFonts w:ascii="Century" w:hAnsi="Century"/>
          <w:color w:val="000000"/>
          <w:spacing w:val="15"/>
          <w:sz w:val="18"/>
          <w:szCs w:val="18"/>
          <w:lang w:val="fr-BE"/>
        </w:rPr>
        <w:t xml:space="preserve">, 2018, </w:t>
      </w:r>
      <w:hyperlink r:id="rId9" w:history="1">
        <w:r w:rsidRPr="0092542D">
          <w:rPr>
            <w:rStyle w:val="Lienhypertexte"/>
            <w:rFonts w:ascii="Century" w:hAnsi="Century"/>
            <w:spacing w:val="15"/>
            <w:sz w:val="18"/>
            <w:szCs w:val="18"/>
            <w:lang w:val="fr-BE"/>
          </w:rPr>
          <w:t>https://blog.juspoliticum.com/2018/06/15/espagne-la-motion-de-censure-peu-constructive-qui-a-porte-pedro-sanchez-au-pouvoir-par-anthony-sfez/</w:t>
        </w:r>
      </w:hyperlink>
      <w:r w:rsidRPr="0092542D">
        <w:rPr>
          <w:rFonts w:ascii="Century" w:hAnsi="Century"/>
          <w:color w:val="000000"/>
          <w:spacing w:val="15"/>
          <w:sz w:val="18"/>
          <w:szCs w:val="18"/>
          <w:lang w:val="fr-BE"/>
        </w:rPr>
        <w:t xml:space="preserve"> (consulté le 3 avril 2023)</w:t>
      </w:r>
      <w:r w:rsidRPr="0092542D">
        <w:rPr>
          <w:rFonts w:ascii="Century" w:hAnsi="Century"/>
          <w:sz w:val="18"/>
          <w:szCs w:val="18"/>
          <w:lang w:val="fr-BE"/>
        </w:rPr>
        <w:t xml:space="preserve">; O. </w:t>
      </w:r>
      <w:r w:rsidRPr="0092542D">
        <w:rPr>
          <w:rFonts w:ascii="Century" w:hAnsi="Century"/>
          <w:smallCaps/>
          <w:sz w:val="18"/>
          <w:szCs w:val="18"/>
          <w:lang w:val="fr-BE"/>
        </w:rPr>
        <w:t xml:space="preserve">Lecuq </w:t>
      </w:r>
      <w:r w:rsidRPr="0092542D">
        <w:rPr>
          <w:rFonts w:ascii="Century" w:hAnsi="Century"/>
          <w:sz w:val="18"/>
          <w:szCs w:val="18"/>
          <w:lang w:val="fr-BE"/>
        </w:rPr>
        <w:t xml:space="preserve">et </w:t>
      </w:r>
      <w:r w:rsidRPr="0092542D">
        <w:rPr>
          <w:rFonts w:ascii="Century" w:hAnsi="Century"/>
          <w:smallCaps/>
          <w:sz w:val="18"/>
          <w:szCs w:val="18"/>
          <w:lang w:val="fr-BE"/>
        </w:rPr>
        <w:t xml:space="preserve">H. Alcaraz, </w:t>
      </w:r>
      <w:r w:rsidRPr="0092542D">
        <w:rPr>
          <w:rFonts w:ascii="Century" w:hAnsi="Century"/>
          <w:sz w:val="18"/>
          <w:szCs w:val="18"/>
          <w:lang w:val="fr-BE"/>
        </w:rPr>
        <w:t xml:space="preserve">« Droit constitutionnel étranger : Espagne », in </w:t>
      </w:r>
      <w:r w:rsidRPr="0092542D">
        <w:rPr>
          <w:rFonts w:ascii="Century" w:hAnsi="Century"/>
          <w:i/>
          <w:sz w:val="18"/>
          <w:szCs w:val="18"/>
          <w:lang w:val="fr-BE"/>
        </w:rPr>
        <w:t>RFDC</w:t>
      </w:r>
      <w:r w:rsidRPr="0092542D">
        <w:rPr>
          <w:rFonts w:ascii="Century" w:hAnsi="Century"/>
          <w:sz w:val="18"/>
          <w:szCs w:val="18"/>
          <w:lang w:val="fr-BE"/>
        </w:rPr>
        <w:t xml:space="preserve">, n°117, 2019, p. 215 et sv. </w:t>
      </w:r>
    </w:p>
  </w:footnote>
  <w:footnote w:id="96">
    <w:p w14:paraId="5F88F5D7" w14:textId="1A469E78" w:rsidR="00E468AE" w:rsidRPr="0092542D" w:rsidRDefault="00000000" w:rsidP="00F56AAC">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lang w:val="fr-BE"/>
        </w:rPr>
        <w:t xml:space="preserve"> C’est le cas du dernier gouvernement Rajoy et des gouvernements Sanchez I et II ; voy. not. sur cette question N. </w:t>
      </w:r>
      <w:r w:rsidRPr="0092542D">
        <w:rPr>
          <w:rFonts w:ascii="Century" w:hAnsi="Century"/>
          <w:smallCaps/>
          <w:sz w:val="18"/>
          <w:szCs w:val="18"/>
          <w:lang w:val="fr-BE"/>
        </w:rPr>
        <w:t>Vidi</w:t>
      </w:r>
      <w:r w:rsidRPr="0092542D">
        <w:rPr>
          <w:rFonts w:ascii="Century" w:hAnsi="Century"/>
          <w:sz w:val="18"/>
          <w:szCs w:val="18"/>
          <w:lang w:val="fr-BE"/>
        </w:rPr>
        <w:t xml:space="preserve"> O</w:t>
      </w:r>
      <w:r w:rsidRPr="0092542D">
        <w:rPr>
          <w:rFonts w:ascii="Century" w:hAnsi="Century"/>
          <w:smallCaps/>
          <w:sz w:val="18"/>
          <w:szCs w:val="18"/>
          <w:lang w:val="fr-BE"/>
        </w:rPr>
        <w:t>psirnije</w:t>
      </w:r>
      <w:r w:rsidRPr="0092542D">
        <w:rPr>
          <w:rFonts w:ascii="Century" w:hAnsi="Century"/>
          <w:sz w:val="18"/>
          <w:szCs w:val="18"/>
          <w:lang w:val="fr-BE"/>
        </w:rPr>
        <w:t xml:space="preserve"> A</w:t>
      </w:r>
      <w:r w:rsidRPr="0092542D">
        <w:rPr>
          <w:rFonts w:ascii="Century" w:hAnsi="Century"/>
          <w:smallCaps/>
          <w:sz w:val="18"/>
          <w:szCs w:val="18"/>
          <w:lang w:val="fr-BE"/>
        </w:rPr>
        <w:t>jenjo</w:t>
      </w:r>
      <w:r w:rsidRPr="0092542D">
        <w:rPr>
          <w:rFonts w:ascii="Century" w:hAnsi="Century"/>
          <w:sz w:val="18"/>
          <w:szCs w:val="18"/>
          <w:lang w:val="fr-BE"/>
        </w:rPr>
        <w:t xml:space="preserve">, </w:t>
      </w:r>
      <w:r w:rsidRPr="0092542D">
        <w:rPr>
          <w:rFonts w:ascii="Century" w:hAnsi="Century"/>
          <w:sz w:val="18"/>
          <w:szCs w:val="18"/>
          <w:lang w:val="fr-FR"/>
        </w:rPr>
        <w:t xml:space="preserve">« </w:t>
      </w:r>
      <w:r w:rsidRPr="0092542D">
        <w:rPr>
          <w:rFonts w:ascii="Century" w:hAnsi="Century"/>
          <w:iCs/>
          <w:sz w:val="18"/>
          <w:szCs w:val="18"/>
          <w:lang w:val="fr-BE"/>
        </w:rPr>
        <w:t xml:space="preserve">Why Minority Governments in Spain? </w:t>
      </w:r>
      <w:r w:rsidRPr="0092542D">
        <w:rPr>
          <w:rFonts w:ascii="Century" w:hAnsi="Century"/>
          <w:iCs/>
          <w:sz w:val="18"/>
          <w:szCs w:val="18"/>
        </w:rPr>
        <w:t>How the Party System Undermines Investiture Rules</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sz w:val="18"/>
          <w:szCs w:val="18"/>
        </w:rPr>
        <w:t>, in</w:t>
      </w:r>
      <w:r w:rsidR="006C4BC7" w:rsidRPr="0092542D">
        <w:rPr>
          <w:rFonts w:ascii="Century" w:hAnsi="Century"/>
          <w:sz w:val="18"/>
          <w:szCs w:val="18"/>
        </w:rPr>
        <w:t xml:space="preserve"> </w:t>
      </w:r>
      <w:r w:rsidRPr="0092542D">
        <w:rPr>
          <w:rFonts w:ascii="Century" w:hAnsi="Century"/>
          <w:i/>
          <w:sz w:val="18"/>
          <w:szCs w:val="18"/>
        </w:rPr>
        <w:t>Parliaments and Government Formation: Unpacking Investiture Rules</w:t>
      </w:r>
      <w:r w:rsidRPr="0092542D">
        <w:rPr>
          <w:rFonts w:ascii="Century" w:hAnsi="Century"/>
          <w:sz w:val="18"/>
          <w:szCs w:val="18"/>
        </w:rPr>
        <w:t>, Oxford, Oxford University Press, 2015, pp. 153–164.</w:t>
      </w:r>
    </w:p>
  </w:footnote>
  <w:footnote w:id="97">
    <w:p w14:paraId="193714C8"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B. </w:t>
      </w:r>
      <w:r w:rsidRPr="0092542D">
        <w:rPr>
          <w:rFonts w:ascii="Century" w:hAnsi="Century"/>
          <w:smallCaps/>
          <w:sz w:val="18"/>
          <w:szCs w:val="18"/>
          <w:lang w:val="fr-BE"/>
        </w:rPr>
        <w:t>Field</w:t>
      </w:r>
      <w:r w:rsidRPr="0092542D">
        <w:rPr>
          <w:rFonts w:ascii="Century" w:hAnsi="Century"/>
          <w:sz w:val="18"/>
          <w:szCs w:val="18"/>
          <w:lang w:val="fr-BE"/>
        </w:rPr>
        <w:t xml:space="preserve">, </w:t>
      </w:r>
      <w:r w:rsidRPr="0092542D">
        <w:rPr>
          <w:rFonts w:ascii="Century" w:hAnsi="Century"/>
          <w:i/>
          <w:iCs/>
          <w:sz w:val="18"/>
          <w:szCs w:val="18"/>
          <w:lang w:val="fr-BE"/>
        </w:rPr>
        <w:t>op. cit</w:t>
      </w:r>
      <w:r w:rsidRPr="0092542D">
        <w:rPr>
          <w:rFonts w:ascii="Century" w:hAnsi="Century"/>
          <w:sz w:val="18"/>
          <w:szCs w:val="18"/>
          <w:lang w:val="fr-BE"/>
        </w:rPr>
        <w:t xml:space="preserve">, p. 547, note en bas de page 11. </w:t>
      </w:r>
    </w:p>
  </w:footnote>
  <w:footnote w:id="98">
    <w:p w14:paraId="014664BF" w14:textId="3E0EAA2B" w:rsidR="00BC78D5" w:rsidRPr="00BC78D5" w:rsidRDefault="00BC78D5" w:rsidP="00BC78D5">
      <w:pPr>
        <w:pStyle w:val="Notedebasdepage"/>
        <w:ind w:left="567"/>
        <w:jc w:val="both"/>
        <w:rPr>
          <w:rFonts w:ascii="Century" w:hAnsi="Century"/>
          <w:sz w:val="18"/>
          <w:szCs w:val="18"/>
          <w:lang w:val="fr-BE"/>
        </w:rPr>
      </w:pPr>
      <w:r>
        <w:rPr>
          <w:rStyle w:val="Appelnotedebasdep"/>
        </w:rPr>
        <w:footnoteRef/>
      </w:r>
      <w:r w:rsidRPr="00BC78D5">
        <w:rPr>
          <w:lang w:val="fr-BE"/>
        </w:rPr>
        <w:t xml:space="preserve"> </w:t>
      </w:r>
      <w:r>
        <w:rPr>
          <w:rFonts w:ascii="Century" w:hAnsi="Century"/>
          <w:sz w:val="18"/>
          <w:szCs w:val="18"/>
          <w:lang w:val="fr-BE"/>
        </w:rPr>
        <w:t xml:space="preserve">Lors du processus de formation d’un nouveau gouvernement suite aux élections du 23 juillet 2023, un communiqué du Palais royal a justifié comme suit la nomination de M. Alberto Nunez </w:t>
      </w:r>
      <w:proofErr w:type="spellStart"/>
      <w:r>
        <w:rPr>
          <w:rFonts w:ascii="Century" w:hAnsi="Century"/>
          <w:sz w:val="18"/>
          <w:szCs w:val="18"/>
          <w:lang w:val="fr-BE"/>
        </w:rPr>
        <w:t>Feijoo</w:t>
      </w:r>
      <w:proofErr w:type="spellEnd"/>
      <w:r>
        <w:rPr>
          <w:rFonts w:ascii="Century" w:hAnsi="Century"/>
          <w:sz w:val="18"/>
          <w:szCs w:val="18"/>
          <w:lang w:val="fr-BE"/>
        </w:rPr>
        <w:t xml:space="preserve"> en tant que candidat à l’investiture</w:t>
      </w:r>
      <w:r w:rsidR="00F3130A">
        <w:rPr>
          <w:rFonts w:ascii="Century" w:hAnsi="Century"/>
          <w:sz w:val="18"/>
          <w:szCs w:val="18"/>
          <w:lang w:val="fr-BE"/>
        </w:rPr>
        <w:t xml:space="preserve"> : « Dans toutes les élections générales depuis l’entrée en vigueur de la Constitution, le candidat du groupe qui a obtenu le plus grand nombre de sièges a été le premier à être proposé par le Roi. Cette pratique s’est transformée en coutume. Lors du processus de consultation, le Roi n’a pas constaté l’existence d’une majorité suffisante pour modifier la coutume » (cité par A. </w:t>
      </w:r>
      <w:proofErr w:type="spellStart"/>
      <w:r w:rsidR="00F3130A" w:rsidRPr="00F3130A">
        <w:rPr>
          <w:rFonts w:ascii="Century" w:hAnsi="Century"/>
          <w:smallCaps/>
          <w:sz w:val="18"/>
          <w:szCs w:val="18"/>
          <w:lang w:val="fr-BE"/>
        </w:rPr>
        <w:t>E</w:t>
      </w:r>
      <w:r w:rsidR="00F3130A">
        <w:rPr>
          <w:rFonts w:ascii="Century" w:hAnsi="Century"/>
          <w:smallCaps/>
          <w:sz w:val="18"/>
          <w:szCs w:val="18"/>
          <w:lang w:val="fr-BE"/>
        </w:rPr>
        <w:t>lkaïm</w:t>
      </w:r>
      <w:proofErr w:type="spellEnd"/>
      <w:r w:rsidR="00F3130A">
        <w:rPr>
          <w:rFonts w:ascii="Century" w:hAnsi="Century"/>
          <w:smallCaps/>
          <w:sz w:val="18"/>
          <w:szCs w:val="18"/>
          <w:lang w:val="fr-BE"/>
        </w:rPr>
        <w:t xml:space="preserve">, </w:t>
      </w:r>
      <w:r w:rsidR="00F3130A">
        <w:rPr>
          <w:rFonts w:ascii="Century" w:hAnsi="Century"/>
          <w:sz w:val="18"/>
          <w:szCs w:val="18"/>
          <w:lang w:val="fr-BE"/>
        </w:rPr>
        <w:t xml:space="preserve">« En Espagne, mission impossible pour le candidat du Parti populaire ? », </w:t>
      </w:r>
      <w:r w:rsidR="00F3130A" w:rsidRPr="00F3130A">
        <w:rPr>
          <w:rFonts w:ascii="Century" w:hAnsi="Century"/>
          <w:i/>
          <w:iCs/>
          <w:sz w:val="18"/>
          <w:szCs w:val="18"/>
          <w:lang w:val="fr-BE"/>
        </w:rPr>
        <w:t>La Libre Belgique</w:t>
      </w:r>
      <w:r w:rsidR="00F3130A">
        <w:rPr>
          <w:rFonts w:ascii="Century" w:hAnsi="Century"/>
          <w:sz w:val="18"/>
          <w:szCs w:val="18"/>
          <w:lang w:val="fr-BE"/>
        </w:rPr>
        <w:t>, 24 août 2023, p. 14)</w:t>
      </w:r>
      <w:r>
        <w:rPr>
          <w:rFonts w:ascii="Century" w:hAnsi="Century"/>
          <w:sz w:val="18"/>
          <w:szCs w:val="18"/>
          <w:lang w:val="fr-BE"/>
        </w:rPr>
        <w:t xml:space="preserve">. </w:t>
      </w:r>
    </w:p>
  </w:footnote>
  <w:footnote w:id="99">
    <w:p w14:paraId="712500B0" w14:textId="155A5971" w:rsidR="00E468AE" w:rsidRPr="0092542D" w:rsidRDefault="00000000" w:rsidP="0092542D">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Entre les élections anticipées du 28 avril 2019 (provoquées par les échecs du gouvernement minoritaire Sanchez I à obtenir l’adoption de projets de loi importants) et la formation du gouvernement Sanchez II le 13 janvier 2020, le gouvernement Sanchez I a expédié les affaires courantes pendant 8 mois. Pendant ces 8 mois, il a fallu organiser de nouvelles élections (le 10 novembre 2019) suite aux échecs de l’investiture de Sanchez II les 23 et 24 juillet 2020</w:t>
      </w:r>
      <w:r w:rsidR="0000306F" w:rsidRPr="0092542D">
        <w:rPr>
          <w:rFonts w:ascii="Century" w:hAnsi="Century"/>
          <w:sz w:val="18"/>
          <w:szCs w:val="18"/>
          <w:lang w:val="fr-BE"/>
        </w:rPr>
        <w:t xml:space="preserve"> ; </w:t>
      </w:r>
      <w:r w:rsidR="0000306F" w:rsidRPr="0092542D">
        <w:rPr>
          <w:rFonts w:ascii="Century" w:hAnsi="Century" w:cs="Times New Roman"/>
          <w:sz w:val="18"/>
          <w:szCs w:val="18"/>
          <w:lang w:val="fr-BE"/>
        </w:rPr>
        <w:t xml:space="preserve">il convient de souligner qu’avant 2015, la formation du gouvernement espagnol se caractérisait par sa rapidité (ainsi entre 1977 et 2015, la durée moyenne de formation d’un gouvernement était de 37 jours). Cette célérité s’explique davantage par la prédominance de deux grands partis nationaux, le parti socialiste ouvrier espagnol (PSOE) et le Parti Populaire (PP) - qui avait pour habitude de s’appuyer sur des petits partis régionaux pour parvenir à une majorité parlementaire, tout en gouvernant seul au sein d’un gouvernement minoritaire - que par le processus de formation du gouvernement. De manière similaire, la difficulté à former un gouvernement stable depuis 2015 s’explique principalement par l’émergence de deux partis politiques nationaux additionnels, Podemos et Ciudadanos. (voy. B. </w:t>
      </w:r>
      <w:r w:rsidR="0000306F" w:rsidRPr="0092542D">
        <w:rPr>
          <w:rFonts w:ascii="Century" w:hAnsi="Century" w:cs="Times New Roman"/>
          <w:smallCaps/>
          <w:sz w:val="18"/>
          <w:szCs w:val="18"/>
          <w:lang w:val="fr-BE"/>
        </w:rPr>
        <w:t>Field</w:t>
      </w:r>
      <w:r w:rsidR="0000306F" w:rsidRPr="0092542D">
        <w:rPr>
          <w:rFonts w:ascii="Century" w:hAnsi="Century" w:cs="Times New Roman"/>
          <w:sz w:val="18"/>
          <w:szCs w:val="18"/>
          <w:lang w:val="fr-BE"/>
        </w:rPr>
        <w:t xml:space="preserve">, </w:t>
      </w:r>
      <w:r w:rsidR="0000306F" w:rsidRPr="0092542D">
        <w:rPr>
          <w:rFonts w:ascii="Century" w:hAnsi="Century" w:cs="Times New Roman"/>
          <w:i/>
          <w:sz w:val="18"/>
          <w:szCs w:val="18"/>
          <w:lang w:val="fr-BE"/>
        </w:rPr>
        <w:t>op cit</w:t>
      </w:r>
      <w:r w:rsidR="0000306F" w:rsidRPr="0092542D">
        <w:rPr>
          <w:rFonts w:ascii="Century" w:hAnsi="Century" w:cs="Times New Roman"/>
          <w:sz w:val="18"/>
          <w:szCs w:val="18"/>
          <w:lang w:val="fr-BE"/>
        </w:rPr>
        <w:t>., pp. 551 et s.)</w:t>
      </w:r>
    </w:p>
  </w:footnote>
  <w:footnote w:id="100">
    <w:p w14:paraId="487A5F0B" w14:textId="77777777" w:rsidR="00E468AE" w:rsidRPr="0014243F"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14243F">
        <w:rPr>
          <w:rFonts w:ascii="Century" w:hAnsi="Century"/>
          <w:sz w:val="18"/>
          <w:szCs w:val="18"/>
          <w:lang w:val="fr-BE"/>
        </w:rPr>
        <w:t xml:space="preserve"> C. G</w:t>
      </w:r>
      <w:r w:rsidRPr="0014243F">
        <w:rPr>
          <w:rFonts w:ascii="Century" w:hAnsi="Century"/>
          <w:smallCaps/>
          <w:sz w:val="18"/>
          <w:szCs w:val="18"/>
          <w:lang w:val="fr-BE"/>
        </w:rPr>
        <w:t xml:space="preserve">rewe </w:t>
      </w:r>
      <w:r w:rsidRPr="0014243F">
        <w:rPr>
          <w:rFonts w:ascii="Century" w:hAnsi="Century"/>
          <w:sz w:val="18"/>
          <w:szCs w:val="18"/>
          <w:lang w:val="fr-BE"/>
        </w:rPr>
        <w:t xml:space="preserve">et H. </w:t>
      </w:r>
      <w:r w:rsidRPr="0014243F">
        <w:rPr>
          <w:rFonts w:ascii="Century" w:hAnsi="Century"/>
          <w:smallCaps/>
          <w:sz w:val="18"/>
          <w:szCs w:val="18"/>
          <w:lang w:val="fr-BE"/>
        </w:rPr>
        <w:t xml:space="preserve">Ruie Fabri, </w:t>
      </w:r>
      <w:r w:rsidRPr="0014243F">
        <w:rPr>
          <w:rFonts w:ascii="Century" w:hAnsi="Century"/>
          <w:i/>
          <w:sz w:val="18"/>
          <w:szCs w:val="18"/>
          <w:lang w:val="fr-BE"/>
        </w:rPr>
        <w:t>op. cit.</w:t>
      </w:r>
      <w:r w:rsidRPr="0014243F">
        <w:rPr>
          <w:rFonts w:ascii="Century" w:hAnsi="Century"/>
          <w:sz w:val="18"/>
          <w:szCs w:val="18"/>
          <w:lang w:val="fr-BE"/>
        </w:rPr>
        <w:t xml:space="preserve">, p. 531. </w:t>
      </w:r>
    </w:p>
  </w:footnote>
  <w:footnote w:id="101">
    <w:p w14:paraId="199D0EC0"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I. </w:t>
      </w:r>
      <w:r w:rsidRPr="0092542D">
        <w:rPr>
          <w:rFonts w:ascii="Century" w:hAnsi="Century"/>
          <w:smallCaps/>
          <w:sz w:val="18"/>
          <w:szCs w:val="18"/>
          <w:lang w:val="fr-BE"/>
        </w:rPr>
        <w:t xml:space="preserve">Kamtsidou, </w:t>
      </w:r>
      <w:r w:rsidRPr="0092542D">
        <w:rPr>
          <w:rFonts w:ascii="Century" w:hAnsi="Century"/>
          <w:sz w:val="18"/>
          <w:szCs w:val="18"/>
          <w:lang w:val="fr-BE"/>
        </w:rPr>
        <w:t xml:space="preserve">« La Grèce », in J.-M. </w:t>
      </w:r>
      <w:r w:rsidRPr="0092542D">
        <w:rPr>
          <w:rFonts w:ascii="Century" w:hAnsi="Century"/>
          <w:smallCaps/>
          <w:sz w:val="18"/>
          <w:szCs w:val="18"/>
          <w:lang w:val="fr-BE"/>
        </w:rPr>
        <w:t xml:space="preserve">De Waele </w:t>
      </w:r>
      <w:r w:rsidRPr="0092542D">
        <w:rPr>
          <w:rFonts w:ascii="Century" w:hAnsi="Century"/>
          <w:sz w:val="18"/>
          <w:szCs w:val="18"/>
          <w:lang w:val="fr-BE"/>
        </w:rPr>
        <w:t xml:space="preserve">et P. </w:t>
      </w:r>
      <w:r w:rsidRPr="0092542D">
        <w:rPr>
          <w:rFonts w:ascii="Century" w:hAnsi="Century"/>
          <w:smallCaps/>
          <w:sz w:val="18"/>
          <w:szCs w:val="18"/>
          <w:lang w:val="fr-BE"/>
        </w:rPr>
        <w:t xml:space="preserve">Magnette </w:t>
      </w:r>
      <w:r w:rsidRPr="0092542D">
        <w:rPr>
          <w:rFonts w:ascii="Century" w:hAnsi="Century"/>
          <w:sz w:val="18"/>
          <w:szCs w:val="18"/>
          <w:lang w:val="fr-BE"/>
        </w:rPr>
        <w:t xml:space="preserve">(dir.), </w:t>
      </w:r>
      <w:r w:rsidRPr="0092542D">
        <w:rPr>
          <w:rFonts w:ascii="Century" w:hAnsi="Century"/>
          <w:i/>
          <w:sz w:val="18"/>
          <w:szCs w:val="18"/>
          <w:lang w:val="fr-BE"/>
        </w:rPr>
        <w:t>Les démocraties européennes</w:t>
      </w:r>
      <w:r w:rsidRPr="0092542D">
        <w:rPr>
          <w:rFonts w:ascii="Century" w:hAnsi="Century"/>
          <w:sz w:val="18"/>
          <w:szCs w:val="18"/>
          <w:lang w:val="fr-BE"/>
        </w:rPr>
        <w:t xml:space="preserve">, Paris, Armand Colin, 2008, p. 185. </w:t>
      </w:r>
    </w:p>
  </w:footnote>
  <w:footnote w:id="102">
    <w:p w14:paraId="423A2D1F" w14:textId="52DE4A84" w:rsidR="00190FB2" w:rsidRPr="0092542D" w:rsidRDefault="00000000" w:rsidP="00190FB2">
      <w:pPr>
        <w:pStyle w:val="Notedebasdepage"/>
        <w:spacing w:before="20" w:after="20"/>
        <w:ind w:left="567" w:right="567"/>
        <w:jc w:val="both"/>
        <w:rPr>
          <w:rFonts w:ascii="Century" w:hAnsi="Century" w:cs="Times New Roman"/>
          <w:sz w:val="18"/>
          <w:szCs w:val="18"/>
          <w:lang w:val="en-US"/>
        </w:rPr>
      </w:pPr>
      <w:r w:rsidRPr="0092542D">
        <w:rPr>
          <w:rStyle w:val="Appelnotedebasdep"/>
          <w:rFonts w:ascii="Century" w:hAnsi="Century"/>
          <w:sz w:val="18"/>
          <w:szCs w:val="18"/>
        </w:rPr>
        <w:footnoteRef/>
      </w:r>
      <w:r w:rsidRPr="0014243F">
        <w:rPr>
          <w:rFonts w:ascii="Century" w:hAnsi="Century"/>
          <w:sz w:val="18"/>
          <w:szCs w:val="18"/>
          <w:lang w:val="en-US"/>
        </w:rPr>
        <w:t xml:space="preserve"> Cfr M. </w:t>
      </w:r>
      <w:r w:rsidRPr="0014243F">
        <w:rPr>
          <w:rFonts w:ascii="Century" w:hAnsi="Century"/>
          <w:smallCaps/>
          <w:sz w:val="18"/>
          <w:szCs w:val="18"/>
          <w:lang w:val="en-US"/>
        </w:rPr>
        <w:t>Tsakatika</w:t>
      </w:r>
      <w:r w:rsidRPr="0014243F">
        <w:rPr>
          <w:rFonts w:ascii="Century" w:hAnsi="Century"/>
          <w:sz w:val="18"/>
          <w:szCs w:val="18"/>
          <w:lang w:val="en-US"/>
        </w:rPr>
        <w:t xml:space="preserve">, « Greece: From Coalitions as a ‘State of Exception’ to the New Normal? », </w:t>
      </w:r>
      <w:r w:rsidRPr="0014243F">
        <w:rPr>
          <w:rFonts w:ascii="Century" w:hAnsi="Century" w:cs="Times New Roman"/>
          <w:i/>
          <w:iCs/>
          <w:sz w:val="18"/>
          <w:szCs w:val="18"/>
          <w:lang w:val="en-US"/>
        </w:rPr>
        <w:t>Coalition Governance in Western Europe</w:t>
      </w:r>
      <w:r w:rsidRPr="0014243F">
        <w:rPr>
          <w:rFonts w:ascii="Century" w:hAnsi="Century" w:cs="Times New Roman"/>
          <w:sz w:val="18"/>
          <w:szCs w:val="18"/>
          <w:lang w:val="en-US"/>
        </w:rPr>
        <w:t>, Oxford, Oxford University Press, 2021, p. 293</w:t>
      </w:r>
      <w:r w:rsidRPr="0092542D">
        <w:rPr>
          <w:rFonts w:ascii="Century" w:hAnsi="Century" w:cs="Times New Roman"/>
          <w:sz w:val="18"/>
          <w:szCs w:val="18"/>
          <w:lang w:val="en-US"/>
        </w:rPr>
        <w:t>, pour qui le</w:t>
      </w:r>
      <w:r w:rsidR="00F21322" w:rsidRPr="0092542D">
        <w:rPr>
          <w:rFonts w:ascii="Century" w:hAnsi="Century" w:cs="Times New Roman"/>
          <w:sz w:val="18"/>
          <w:szCs w:val="18"/>
          <w:lang w:val="en-US"/>
        </w:rPr>
        <w:t xml:space="preserve"> dispositif normatif </w:t>
      </w:r>
      <w:r w:rsidRPr="0092542D">
        <w:rPr>
          <w:rFonts w:ascii="Century" w:hAnsi="Century" w:cs="Times New Roman"/>
          <w:sz w:val="18"/>
          <w:szCs w:val="18"/>
          <w:lang w:val="en-US"/>
        </w:rPr>
        <w:t xml:space="preserve">prévu dans la Constitution </w:t>
      </w:r>
      <w:r w:rsidRPr="0014243F">
        <w:rPr>
          <w:rFonts w:ascii="Century" w:hAnsi="Century" w:cs="Times New Roman"/>
          <w:sz w:val="18"/>
          <w:szCs w:val="18"/>
          <w:lang w:val="en-US"/>
        </w:rPr>
        <w:t>« </w:t>
      </w:r>
      <w:r w:rsidRPr="0014243F">
        <w:rPr>
          <w:rFonts w:ascii="Century" w:hAnsi="Century" w:cs="Times New Roman"/>
          <w:i/>
          <w:iCs/>
          <w:sz w:val="18"/>
          <w:szCs w:val="18"/>
          <w:lang w:val="en-US"/>
        </w:rPr>
        <w:t>minimizes uncertainty as political actors bargain within very precise institutional constraints</w:t>
      </w:r>
      <w:r w:rsidRPr="0092542D">
        <w:rPr>
          <w:rFonts w:ascii="Century" w:hAnsi="Century" w:cs="Times New Roman"/>
          <w:sz w:val="18"/>
          <w:szCs w:val="18"/>
          <w:lang w:val="en-US"/>
        </w:rPr>
        <w:t> ».</w:t>
      </w:r>
      <w:r w:rsidRPr="0014243F">
        <w:rPr>
          <w:rFonts w:ascii="Century" w:hAnsi="Century" w:cs="Times New Roman"/>
          <w:sz w:val="18"/>
          <w:szCs w:val="18"/>
          <w:lang w:val="en-US"/>
        </w:rPr>
        <w:t xml:space="preserve"> </w:t>
      </w:r>
      <w:r w:rsidRPr="0092542D">
        <w:rPr>
          <w:rFonts w:ascii="Century" w:hAnsi="Century" w:cs="Times New Roman"/>
          <w:sz w:val="18"/>
          <w:szCs w:val="18"/>
          <w:lang w:val="en-US"/>
        </w:rPr>
        <w:t xml:space="preserve"> </w:t>
      </w:r>
    </w:p>
  </w:footnote>
  <w:footnote w:id="103">
    <w:p w14:paraId="0BE61C7D" w14:textId="46260B28" w:rsidR="00F21322" w:rsidRPr="0092542D" w:rsidRDefault="00000000" w:rsidP="00F21322">
      <w:pPr>
        <w:pStyle w:val="Notedebasdepage"/>
        <w:spacing w:before="20" w:after="20"/>
        <w:ind w:left="567" w:right="567"/>
        <w:jc w:val="both"/>
        <w:rPr>
          <w:rFonts w:ascii="Century" w:hAnsi="Century" w:cs="Times New Roman"/>
          <w:sz w:val="18"/>
          <w:szCs w:val="18"/>
          <w:lang w:val="nl-BE"/>
        </w:rPr>
      </w:pPr>
      <w:r w:rsidRPr="0092542D">
        <w:rPr>
          <w:rStyle w:val="Appelnotedebasdep"/>
          <w:rFonts w:ascii="Century" w:hAnsi="Century" w:cs="Times New Roman"/>
          <w:sz w:val="18"/>
          <w:szCs w:val="18"/>
        </w:rPr>
        <w:footnoteRef/>
      </w:r>
      <w:r w:rsidRPr="0014243F">
        <w:rPr>
          <w:rFonts w:ascii="Century" w:hAnsi="Century" w:cs="Times New Roman"/>
          <w:sz w:val="18"/>
          <w:szCs w:val="18"/>
          <w:lang w:val="nl-BE"/>
        </w:rPr>
        <w:t xml:space="preserve"> Cfr </w:t>
      </w:r>
      <w:r w:rsidRPr="0092542D">
        <w:rPr>
          <w:rFonts w:ascii="Century" w:hAnsi="Century" w:cs="Times New Roman"/>
          <w:sz w:val="18"/>
          <w:szCs w:val="18"/>
          <w:lang w:val="nl-BE"/>
        </w:rPr>
        <w:t xml:space="preserve">M. </w:t>
      </w:r>
      <w:r w:rsidRPr="0092542D">
        <w:rPr>
          <w:rFonts w:ascii="Century" w:hAnsi="Century" w:cs="Times New Roman"/>
          <w:smallCaps/>
          <w:sz w:val="18"/>
          <w:szCs w:val="18"/>
          <w:lang w:val="nl-BE"/>
        </w:rPr>
        <w:t>Tsakatika</w:t>
      </w:r>
      <w:r w:rsidRPr="0092542D">
        <w:rPr>
          <w:rFonts w:ascii="Century" w:hAnsi="Century" w:cs="Times New Roman"/>
          <w:sz w:val="18"/>
          <w:szCs w:val="18"/>
          <w:lang w:val="nl-BE"/>
        </w:rPr>
        <w:t xml:space="preserve">, </w:t>
      </w:r>
      <w:r w:rsidRPr="0092542D">
        <w:rPr>
          <w:rFonts w:ascii="Century" w:hAnsi="Century" w:cs="Times New Roman"/>
          <w:i/>
          <w:iCs/>
          <w:sz w:val="18"/>
          <w:szCs w:val="18"/>
          <w:lang w:val="nl-BE"/>
        </w:rPr>
        <w:t>op. cit</w:t>
      </w:r>
      <w:r w:rsidRPr="0092542D">
        <w:rPr>
          <w:rFonts w:ascii="Century" w:hAnsi="Century" w:cs="Times New Roman"/>
          <w:sz w:val="18"/>
          <w:szCs w:val="18"/>
          <w:lang w:val="nl-BE"/>
        </w:rPr>
        <w:t xml:space="preserve">., pp. 310 et s. </w:t>
      </w:r>
    </w:p>
  </w:footnote>
  <w:footnote w:id="104">
    <w:p w14:paraId="394BA8DA" w14:textId="3C86E5D5" w:rsidR="00E468AE" w:rsidRPr="0092542D" w:rsidRDefault="00000000" w:rsidP="00F56AAC">
      <w:pPr>
        <w:pStyle w:val="Notedebasdepage"/>
        <w:spacing w:before="20" w:after="20"/>
        <w:ind w:left="567" w:right="567"/>
        <w:jc w:val="both"/>
        <w:rPr>
          <w:rFonts w:ascii="Century" w:hAnsi="Century" w:cs="Times New Roman"/>
          <w:sz w:val="18"/>
          <w:szCs w:val="18"/>
          <w:lang w:val="en-US"/>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Jusque 2010, le paysage politique suédois s’illustrait par une remarquable stabilité entre deux grand « blocs » : cinq partis politiques majeurs se divisaient en un bloc « socialiste » et un bloc de « centre-droit ». L’arrivée en 2010 du parti populiste d’extrême droite </w:t>
      </w:r>
      <w:r w:rsidRPr="0092542D">
        <w:rPr>
          <w:rFonts w:ascii="Century" w:hAnsi="Century" w:cs="Times New Roman"/>
          <w:i/>
          <w:iCs/>
          <w:sz w:val="18"/>
          <w:szCs w:val="18"/>
          <w:lang w:val="fr-BE"/>
        </w:rPr>
        <w:t>Les Démocrates de Suède</w:t>
      </w:r>
      <w:r w:rsidRPr="0092542D">
        <w:rPr>
          <w:rFonts w:ascii="Century" w:hAnsi="Century" w:cs="Times New Roman"/>
          <w:sz w:val="18"/>
          <w:szCs w:val="18"/>
          <w:lang w:val="fr-BE"/>
        </w:rPr>
        <w:t xml:space="preserve"> (</w:t>
      </w:r>
      <w:r w:rsidRPr="0092542D">
        <w:rPr>
          <w:rFonts w:ascii="Century" w:hAnsi="Century" w:cs="Times New Roman"/>
          <w:i/>
          <w:iCs/>
          <w:sz w:val="18"/>
          <w:szCs w:val="18"/>
          <w:lang w:val="fr-BE"/>
        </w:rPr>
        <w:t>Verigedemokraterna</w:t>
      </w:r>
      <w:r w:rsidRPr="0092542D">
        <w:rPr>
          <w:rFonts w:ascii="Century" w:hAnsi="Century" w:cs="Times New Roman"/>
          <w:sz w:val="18"/>
          <w:szCs w:val="18"/>
          <w:lang w:val="fr-BE"/>
        </w:rPr>
        <w:t xml:space="preserve">) a </w:t>
      </w:r>
      <w:r w:rsidR="00A64B7E" w:rsidRPr="0092542D">
        <w:rPr>
          <w:rFonts w:ascii="Century" w:hAnsi="Century" w:cs="Times New Roman"/>
          <w:sz w:val="18"/>
          <w:szCs w:val="18"/>
          <w:lang w:val="fr-BE"/>
        </w:rPr>
        <w:t>bouleversé</w:t>
      </w:r>
      <w:r w:rsidRPr="0092542D">
        <w:rPr>
          <w:rFonts w:ascii="Century" w:hAnsi="Century" w:cs="Times New Roman"/>
          <w:sz w:val="18"/>
          <w:szCs w:val="18"/>
          <w:lang w:val="fr-BE"/>
        </w:rPr>
        <w:t xml:space="preserve"> la stabilité politique maintenue par les deux grands blocs en prenant entre 2010 et 2022, un poids politique grandissant (5,7% des voix aux élections parlementaires de 2014 ; 12,86% en 2014 ; 17,62% en 2018 ; et 20,54% en 2022, devenant le deuxième parti politique de Suède). </w:t>
      </w:r>
      <w:r w:rsidRPr="0092542D">
        <w:rPr>
          <w:rFonts w:ascii="Century" w:hAnsi="Century" w:cs="Times New Roman"/>
          <w:sz w:val="18"/>
          <w:szCs w:val="18"/>
        </w:rPr>
        <w:t xml:space="preserve">(voy. not. J. </w:t>
      </w:r>
      <w:r w:rsidRPr="0092542D">
        <w:rPr>
          <w:rFonts w:ascii="Century" w:hAnsi="Century" w:cs="Times New Roman"/>
          <w:smallCaps/>
          <w:sz w:val="18"/>
          <w:szCs w:val="18"/>
        </w:rPr>
        <w:t>Hellström</w:t>
      </w:r>
      <w:r w:rsidRPr="0092542D">
        <w:rPr>
          <w:rFonts w:ascii="Century" w:hAnsi="Century" w:cs="Times New Roman"/>
          <w:sz w:val="18"/>
          <w:szCs w:val="18"/>
        </w:rPr>
        <w:t xml:space="preserve"> and J. </w:t>
      </w:r>
      <w:r w:rsidRPr="0092542D">
        <w:rPr>
          <w:rFonts w:ascii="Century" w:hAnsi="Century" w:cs="Times New Roman"/>
          <w:smallCaps/>
          <w:sz w:val="18"/>
          <w:szCs w:val="18"/>
        </w:rPr>
        <w:t>Lindahl</w:t>
      </w:r>
      <w:r w:rsidRPr="0092542D">
        <w:rPr>
          <w:rFonts w:ascii="Century" w:hAnsi="Century" w:cs="Times New Roman"/>
          <w:sz w:val="18"/>
          <w:szCs w:val="18"/>
        </w:rPr>
        <w:t xml:space="preserve">, </w:t>
      </w:r>
      <w:r w:rsidRPr="0092542D">
        <w:rPr>
          <w:rFonts w:ascii="Century" w:hAnsi="Century"/>
          <w:i/>
          <w:sz w:val="18"/>
          <w:szCs w:val="18"/>
          <w:lang w:val="en-US"/>
        </w:rPr>
        <w:t>op. cit.</w:t>
      </w:r>
      <w:r w:rsidRPr="0092542D">
        <w:rPr>
          <w:rFonts w:ascii="Century" w:hAnsi="Century" w:cs="Times New Roman"/>
          <w:sz w:val="18"/>
          <w:szCs w:val="18"/>
          <w:lang w:val="en-US"/>
        </w:rPr>
        <w:t xml:space="preserve">, pp. 574-610). </w:t>
      </w:r>
    </w:p>
    <w:p w14:paraId="26998984" w14:textId="1F9D6A07" w:rsidR="00E468AE" w:rsidRPr="0092542D" w:rsidRDefault="00000000" w:rsidP="00F56AAC">
      <w:pPr>
        <w:pStyle w:val="Notedebasdepage"/>
        <w:spacing w:before="20" w:after="20"/>
        <w:ind w:left="567" w:right="567"/>
        <w:jc w:val="both"/>
        <w:rPr>
          <w:rFonts w:ascii="Century" w:hAnsi="Century" w:cs="Times New Roman"/>
          <w:sz w:val="18"/>
          <w:szCs w:val="18"/>
        </w:rPr>
      </w:pPr>
      <w:r w:rsidRPr="0092542D">
        <w:rPr>
          <w:rFonts w:ascii="Century" w:hAnsi="Century" w:cs="Times New Roman"/>
          <w:sz w:val="18"/>
          <w:szCs w:val="18"/>
          <w:lang w:val="fr-BE"/>
        </w:rPr>
        <w:t xml:space="preserve">L’arrivée sur la scène politique des </w:t>
      </w:r>
      <w:r w:rsidRPr="0092542D">
        <w:rPr>
          <w:rFonts w:ascii="Century" w:hAnsi="Century" w:cs="Times New Roman"/>
          <w:i/>
          <w:iCs/>
          <w:sz w:val="18"/>
          <w:szCs w:val="18"/>
          <w:lang w:val="fr-BE"/>
        </w:rPr>
        <w:t>Démocrates de Suède</w:t>
      </w:r>
      <w:r w:rsidRPr="0092542D">
        <w:rPr>
          <w:rFonts w:ascii="Century" w:hAnsi="Century" w:cs="Times New Roman"/>
          <w:sz w:val="18"/>
          <w:szCs w:val="18"/>
          <w:lang w:val="fr-BE"/>
        </w:rPr>
        <w:t xml:space="preserve"> a </w:t>
      </w:r>
      <w:r w:rsidR="00D63E3E">
        <w:rPr>
          <w:rFonts w:ascii="Century" w:hAnsi="Century" w:cs="Times New Roman"/>
          <w:sz w:val="18"/>
          <w:szCs w:val="18"/>
          <w:lang w:val="fr-BE"/>
        </w:rPr>
        <w:t xml:space="preserve">contribué </w:t>
      </w:r>
      <w:r w:rsidRPr="0092542D">
        <w:rPr>
          <w:rFonts w:ascii="Century" w:hAnsi="Century" w:cs="Times New Roman"/>
          <w:sz w:val="18"/>
          <w:szCs w:val="18"/>
          <w:lang w:val="fr-BE"/>
        </w:rPr>
        <w:t xml:space="preserve">au changement de l’attitude des deux grands blocs politiques sur la position à adopter quant à la nomination d’un nouveau Premier Ministre (après renouvellement du </w:t>
      </w:r>
      <w:r w:rsidRPr="00D63E3E">
        <w:rPr>
          <w:rFonts w:ascii="Century" w:hAnsi="Century" w:cs="Times New Roman"/>
          <w:i/>
          <w:iCs/>
          <w:sz w:val="18"/>
          <w:szCs w:val="18"/>
          <w:lang w:val="fr-BE"/>
        </w:rPr>
        <w:t>Riksdag</w:t>
      </w:r>
      <w:r w:rsidRPr="0092542D">
        <w:rPr>
          <w:rFonts w:ascii="Century" w:hAnsi="Century" w:cs="Times New Roman"/>
          <w:sz w:val="18"/>
          <w:szCs w:val="18"/>
          <w:lang w:val="fr-BE"/>
        </w:rPr>
        <w:t xml:space="preserve">). </w:t>
      </w:r>
      <w:r w:rsidRPr="0092542D">
        <w:rPr>
          <w:rFonts w:ascii="Century" w:hAnsi="Century" w:cs="Times New Roman"/>
          <w:sz w:val="18"/>
          <w:szCs w:val="18"/>
          <w:lang w:val="fr-FR"/>
        </w:rPr>
        <w:t>En pratique, jusqu’à la crise de 2018 (</w:t>
      </w:r>
      <w:proofErr w:type="spellStart"/>
      <w:r w:rsidR="00D63E3E">
        <w:rPr>
          <w:rFonts w:ascii="Century" w:hAnsi="Century" w:cs="Times New Roman"/>
          <w:sz w:val="18"/>
          <w:szCs w:val="18"/>
          <w:lang w:val="fr-FR"/>
        </w:rPr>
        <w:t>cfr</w:t>
      </w:r>
      <w:proofErr w:type="spellEnd"/>
      <w:r w:rsidR="00D63E3E">
        <w:rPr>
          <w:rFonts w:ascii="Century" w:hAnsi="Century" w:cs="Times New Roman"/>
          <w:sz w:val="18"/>
          <w:szCs w:val="18"/>
          <w:lang w:val="fr-FR"/>
        </w:rPr>
        <w:t xml:space="preserve"> </w:t>
      </w:r>
      <w:r w:rsidRPr="0092542D">
        <w:rPr>
          <w:rFonts w:ascii="Century" w:hAnsi="Century" w:cs="Times New Roman"/>
          <w:sz w:val="18"/>
          <w:szCs w:val="18"/>
          <w:lang w:val="fr-BE"/>
        </w:rPr>
        <w:t xml:space="preserve">L. </w:t>
      </w:r>
      <w:proofErr w:type="spellStart"/>
      <w:r w:rsidRPr="0092542D">
        <w:rPr>
          <w:rFonts w:ascii="Century" w:hAnsi="Century" w:cs="Times New Roman"/>
          <w:smallCaps/>
          <w:sz w:val="18"/>
          <w:szCs w:val="18"/>
          <w:lang w:val="fr-BE"/>
        </w:rPr>
        <w:t>Léothier</w:t>
      </w:r>
      <w:proofErr w:type="spellEnd"/>
      <w:r w:rsidRPr="0092542D">
        <w:rPr>
          <w:rFonts w:ascii="Century" w:hAnsi="Century" w:cs="Times New Roman"/>
          <w:smallCaps/>
          <w:sz w:val="18"/>
          <w:szCs w:val="18"/>
          <w:lang w:val="fr-BE"/>
        </w:rPr>
        <w:t xml:space="preserve">, </w:t>
      </w:r>
      <w:r w:rsidRPr="0092542D">
        <w:rPr>
          <w:rFonts w:ascii="Century" w:hAnsi="Century" w:cs="Times New Roman"/>
          <w:i/>
          <w:sz w:val="18"/>
          <w:szCs w:val="18"/>
          <w:lang w:val="fr-BE"/>
        </w:rPr>
        <w:t>op. cit.</w:t>
      </w:r>
      <w:r w:rsidRPr="0092542D">
        <w:rPr>
          <w:rFonts w:ascii="Century" w:hAnsi="Century" w:cs="Times New Roman"/>
          <w:sz w:val="18"/>
          <w:szCs w:val="18"/>
          <w:lang w:val="fr-BE"/>
        </w:rPr>
        <w:t>, p. 357-363)</w:t>
      </w:r>
      <w:r w:rsidRPr="0092542D">
        <w:rPr>
          <w:rFonts w:ascii="Century" w:hAnsi="Century" w:cs="Times New Roman"/>
          <w:sz w:val="18"/>
          <w:szCs w:val="18"/>
          <w:lang w:val="fr-FR"/>
        </w:rPr>
        <w:t xml:space="preserve">, le fait que le vote de nomination du Premier ministre porte essentiellement sur le choix du </w:t>
      </w:r>
      <w:r w:rsidRPr="0092542D">
        <w:rPr>
          <w:rFonts w:ascii="Century" w:hAnsi="Century" w:cs="Times New Roman"/>
          <w:iCs/>
          <w:sz w:val="18"/>
          <w:szCs w:val="18"/>
          <w:lang w:val="fr-FR"/>
        </w:rPr>
        <w:t>candidat</w:t>
      </w:r>
      <w:r w:rsidRPr="0092542D">
        <w:rPr>
          <w:rFonts w:ascii="Century" w:hAnsi="Century" w:cs="Times New Roman"/>
          <w:sz w:val="18"/>
          <w:szCs w:val="18"/>
          <w:lang w:val="fr-FR"/>
        </w:rPr>
        <w:t xml:space="preserve"> au poste de Premier ministre ne faisait pas débat. Tous les partis semblaient d'accord pour dire que les résultats des élections, tel qu'ils se traduisent en sièges parlementaires (la force relative des partis), devaient être honorés dans la formation du gouvernement. Il faut toutefois noter que les partis n’étaient pas d'accord sur la question de savoir si le vote concernait également </w:t>
      </w:r>
      <w:r w:rsidRPr="0092542D">
        <w:rPr>
          <w:rFonts w:ascii="Century" w:hAnsi="Century" w:cs="Times New Roman"/>
          <w:i/>
          <w:sz w:val="18"/>
          <w:szCs w:val="18"/>
          <w:lang w:val="fr-FR"/>
        </w:rPr>
        <w:t>le programme politique</w:t>
      </w:r>
      <w:r w:rsidRPr="0092542D">
        <w:rPr>
          <w:rFonts w:ascii="Century" w:hAnsi="Century" w:cs="Times New Roman"/>
          <w:sz w:val="18"/>
          <w:szCs w:val="18"/>
          <w:lang w:val="fr-FR"/>
        </w:rPr>
        <w:t xml:space="preserve"> du futur gouvernement. Les divergences de vues sur la signification du vote se traduisaient par un certain comportement de vote. D’une part, les </w:t>
      </w:r>
      <w:r w:rsidRPr="0092542D">
        <w:rPr>
          <w:rFonts w:ascii="Century" w:hAnsi="Century" w:cs="Times New Roman"/>
          <w:bCs/>
          <w:sz w:val="18"/>
          <w:szCs w:val="18"/>
          <w:lang w:val="fr-FR"/>
        </w:rPr>
        <w:t>partis du bloc de droite</w:t>
      </w:r>
      <w:r w:rsidRPr="0092542D">
        <w:rPr>
          <w:rFonts w:ascii="Century" w:hAnsi="Century" w:cs="Times New Roman"/>
          <w:b/>
          <w:sz w:val="18"/>
          <w:szCs w:val="18"/>
          <w:lang w:val="fr-FR"/>
        </w:rPr>
        <w:t xml:space="preserve"> </w:t>
      </w:r>
      <w:r w:rsidRPr="0092542D">
        <w:rPr>
          <w:rFonts w:ascii="Century" w:hAnsi="Century" w:cs="Times New Roman"/>
          <w:sz w:val="18"/>
          <w:szCs w:val="18"/>
          <w:lang w:val="fr-FR"/>
        </w:rPr>
        <w:t xml:space="preserve">se référaient couramment aux résultats des élections lorsqu'ils </w:t>
      </w:r>
      <w:r w:rsidRPr="0092542D">
        <w:rPr>
          <w:rFonts w:ascii="Century" w:hAnsi="Century" w:cs="Times New Roman"/>
          <w:i/>
          <w:sz w:val="18"/>
          <w:szCs w:val="18"/>
          <w:lang w:val="fr-FR"/>
        </w:rPr>
        <w:t>s'abstenaient</w:t>
      </w:r>
      <w:r w:rsidRPr="0092542D">
        <w:rPr>
          <w:rFonts w:ascii="Century" w:hAnsi="Century" w:cs="Times New Roman"/>
          <w:sz w:val="18"/>
          <w:szCs w:val="18"/>
          <w:lang w:val="fr-FR"/>
        </w:rPr>
        <w:t xml:space="preserve"> de voter quand un Premier ministre du bloc de gauche était proposé par le </w:t>
      </w:r>
      <w:r w:rsidRPr="00D63E3E">
        <w:rPr>
          <w:rFonts w:ascii="Century" w:hAnsi="Century" w:cs="Times New Roman"/>
          <w:i/>
          <w:iCs/>
          <w:sz w:val="18"/>
          <w:szCs w:val="18"/>
          <w:lang w:val="fr-FR"/>
        </w:rPr>
        <w:t>Speaker</w:t>
      </w:r>
      <w:r w:rsidRPr="0092542D">
        <w:rPr>
          <w:rFonts w:ascii="Century" w:hAnsi="Century" w:cs="Times New Roman"/>
          <w:sz w:val="18"/>
          <w:szCs w:val="18"/>
          <w:lang w:val="fr-FR"/>
        </w:rPr>
        <w:t xml:space="preserve">. L'abstention était leur manière de déclarer leur tolérance à l'égard du Premier ministre proposé comme étant la suggestion la plus réalisable à la lumière des circonstances. Ce n'était cependant pas, pour les partis de droite, une manière d'apporter un soutien passif au programme politique du Premier ministre. Voter « non » était une option pour les partis de droite si le </w:t>
      </w:r>
      <w:r w:rsidRPr="00D63E3E">
        <w:rPr>
          <w:rFonts w:ascii="Century" w:hAnsi="Century" w:cs="Times New Roman"/>
          <w:i/>
          <w:iCs/>
          <w:sz w:val="18"/>
          <w:szCs w:val="18"/>
          <w:lang w:val="fr-FR"/>
        </w:rPr>
        <w:t>Speaker</w:t>
      </w:r>
      <w:r w:rsidRPr="0092542D">
        <w:rPr>
          <w:rFonts w:ascii="Century" w:hAnsi="Century" w:cs="Times New Roman"/>
          <w:sz w:val="18"/>
          <w:szCs w:val="18"/>
          <w:lang w:val="fr-FR"/>
        </w:rPr>
        <w:t xml:space="preserve"> suggérait un candidat qu'ils considéraient comme déraisonnable compte tenu du résultat des élections et des circonstances parlementaires. D’autre part, l'interprétation du vote par les partis du bloc de gauche était différente : ils votaient « non » plutôt que de s'abstenir lorsqu'un Premier ministre d'un autre parti était proposé, car ils considéraient que le vote concernait à la fois le Premier ministre </w:t>
      </w:r>
      <w:r w:rsidRPr="00D63E3E">
        <w:rPr>
          <w:rFonts w:ascii="Century" w:hAnsi="Century" w:cs="Times New Roman"/>
          <w:bCs/>
          <w:i/>
          <w:iCs/>
          <w:sz w:val="18"/>
          <w:szCs w:val="18"/>
          <w:lang w:val="fr-FR"/>
        </w:rPr>
        <w:t>et</w:t>
      </w:r>
      <w:r w:rsidRPr="0092542D">
        <w:rPr>
          <w:rFonts w:ascii="Century" w:hAnsi="Century" w:cs="Times New Roman"/>
          <w:sz w:val="18"/>
          <w:szCs w:val="18"/>
          <w:lang w:val="fr-FR"/>
        </w:rPr>
        <w:t xml:space="preserve"> le programme du gouvernement en formation. </w:t>
      </w:r>
      <w:r w:rsidRPr="0092542D">
        <w:rPr>
          <w:rFonts w:ascii="Century" w:hAnsi="Century" w:cs="Times New Roman"/>
          <w:sz w:val="18"/>
          <w:szCs w:val="18"/>
        </w:rPr>
        <w:t xml:space="preserve">(voy. à cet égard, H. </w:t>
      </w:r>
      <w:r w:rsidRPr="0092542D">
        <w:rPr>
          <w:rFonts w:ascii="Century" w:hAnsi="Century" w:cs="Times New Roman"/>
          <w:smallCaps/>
          <w:sz w:val="18"/>
          <w:szCs w:val="18"/>
        </w:rPr>
        <w:t>Wockelberg</w:t>
      </w:r>
      <w:r w:rsidRPr="0092542D">
        <w:rPr>
          <w:rFonts w:ascii="Century" w:hAnsi="Century" w:cs="Times New Roman"/>
          <w:sz w:val="18"/>
          <w:szCs w:val="18"/>
        </w:rPr>
        <w:t xml:space="preserve"> </w:t>
      </w:r>
      <w:r w:rsidRPr="0092542D">
        <w:rPr>
          <w:rFonts w:ascii="Century" w:hAnsi="Century"/>
          <w:sz w:val="18"/>
          <w:szCs w:val="18"/>
          <w:lang w:val="en-US"/>
        </w:rPr>
        <w:t>«</w:t>
      </w:r>
      <w:r w:rsidRPr="0092542D">
        <w:rPr>
          <w:rFonts w:ascii="Century" w:hAnsi="Century"/>
          <w:sz w:val="18"/>
          <w:szCs w:val="18"/>
        </w:rPr>
        <w:t xml:space="preserve"> </w:t>
      </w:r>
      <w:r w:rsidRPr="0092542D">
        <w:rPr>
          <w:rFonts w:ascii="Century" w:hAnsi="Century" w:cs="Times New Roman"/>
          <w:sz w:val="18"/>
          <w:szCs w:val="18"/>
        </w:rPr>
        <w:t>Weak Investiture Rules and the Emergence of Minority Governments in Sweden</w:t>
      </w:r>
      <w:r w:rsidRPr="0092542D">
        <w:rPr>
          <w:rFonts w:ascii="Century" w:hAnsi="Century"/>
          <w:sz w:val="18"/>
          <w:szCs w:val="18"/>
        </w:rPr>
        <w:t xml:space="preserve"> </w:t>
      </w:r>
      <w:r w:rsidRPr="0092542D">
        <w:rPr>
          <w:rFonts w:ascii="Century" w:hAnsi="Century"/>
          <w:sz w:val="18"/>
          <w:szCs w:val="18"/>
          <w:lang w:val="en-US"/>
        </w:rPr>
        <w:t>»</w:t>
      </w:r>
      <w:r w:rsidRPr="0092542D">
        <w:rPr>
          <w:rFonts w:ascii="Century" w:hAnsi="Century" w:cs="Times New Roman"/>
          <w:sz w:val="18"/>
          <w:szCs w:val="18"/>
        </w:rPr>
        <w:t xml:space="preserve">, in </w:t>
      </w:r>
      <w:r w:rsidRPr="0092542D">
        <w:rPr>
          <w:rFonts w:ascii="Century" w:hAnsi="Century" w:cs="Times New Roman"/>
          <w:i/>
          <w:sz w:val="18"/>
          <w:szCs w:val="18"/>
        </w:rPr>
        <w:t>Parliaments and Government Formation: Unpacking Investiture Rules</w:t>
      </w:r>
      <w:r w:rsidRPr="0092542D">
        <w:rPr>
          <w:rFonts w:ascii="Century" w:hAnsi="Century" w:cs="Times New Roman"/>
          <w:sz w:val="18"/>
          <w:szCs w:val="18"/>
        </w:rPr>
        <w:t xml:space="preserve">, Oxford University Press, Oxford, 2015, pp. 233-250; voy. aussi J. </w:t>
      </w:r>
      <w:r w:rsidRPr="0092542D">
        <w:rPr>
          <w:rFonts w:ascii="Century" w:hAnsi="Century" w:cs="Times New Roman"/>
          <w:smallCaps/>
          <w:sz w:val="18"/>
          <w:szCs w:val="18"/>
        </w:rPr>
        <w:t>Hellström</w:t>
      </w:r>
      <w:r w:rsidRPr="0092542D">
        <w:rPr>
          <w:rFonts w:ascii="Century" w:hAnsi="Century" w:cs="Times New Roman"/>
          <w:sz w:val="18"/>
          <w:szCs w:val="18"/>
        </w:rPr>
        <w:t xml:space="preserve"> and J. </w:t>
      </w:r>
      <w:r w:rsidRPr="0092542D">
        <w:rPr>
          <w:rFonts w:ascii="Century" w:hAnsi="Century" w:cs="Times New Roman"/>
          <w:smallCaps/>
          <w:sz w:val="18"/>
          <w:szCs w:val="18"/>
        </w:rPr>
        <w:t>Lindahl</w:t>
      </w:r>
      <w:r w:rsidRPr="0092542D">
        <w:rPr>
          <w:rFonts w:ascii="Century" w:hAnsi="Century" w:cs="Times New Roman"/>
          <w:sz w:val="18"/>
          <w:szCs w:val="18"/>
        </w:rPr>
        <w:t xml:space="preserve">, </w:t>
      </w:r>
      <w:r w:rsidRPr="0092542D">
        <w:rPr>
          <w:rFonts w:ascii="Century" w:hAnsi="Century" w:cs="Times New Roman"/>
          <w:i/>
          <w:iCs/>
          <w:sz w:val="18"/>
          <w:szCs w:val="18"/>
        </w:rPr>
        <w:t>op. cit.</w:t>
      </w:r>
      <w:r w:rsidRPr="0092542D">
        <w:rPr>
          <w:rFonts w:ascii="Century" w:hAnsi="Century" w:cs="Times New Roman"/>
          <w:sz w:val="18"/>
          <w:szCs w:val="18"/>
        </w:rPr>
        <w:t>, pp. 590-591)</w:t>
      </w:r>
      <w:r w:rsidR="0092542D" w:rsidRPr="0092542D">
        <w:rPr>
          <w:rFonts w:ascii="Century" w:hAnsi="Century" w:cs="Times New Roman"/>
          <w:sz w:val="18"/>
          <w:szCs w:val="18"/>
        </w:rPr>
        <w:t>.</w:t>
      </w:r>
    </w:p>
  </w:footnote>
  <w:footnote w:id="105">
    <w:p w14:paraId="3C3697B9" w14:textId="16AB9E5D" w:rsidR="00CC6167" w:rsidRPr="0014243F" w:rsidRDefault="00000000" w:rsidP="00E53FDC">
      <w:pPr>
        <w:pStyle w:val="Notedebasdepage"/>
        <w:spacing w:before="20" w:after="20"/>
        <w:ind w:left="567" w:right="567"/>
        <w:jc w:val="both"/>
        <w:rPr>
          <w:rFonts w:ascii="Century" w:hAnsi="Century"/>
          <w:sz w:val="18"/>
          <w:szCs w:val="18"/>
          <w:lang w:val="fr-BE"/>
        </w:rPr>
      </w:pPr>
      <w:r w:rsidRPr="0014243F">
        <w:rPr>
          <w:rStyle w:val="Appelnotedebasdep"/>
          <w:rFonts w:ascii="Century" w:hAnsi="Century"/>
          <w:sz w:val="18"/>
          <w:szCs w:val="18"/>
        </w:rPr>
        <w:footnoteRef/>
      </w:r>
      <w:r w:rsidRPr="0014243F">
        <w:rPr>
          <w:rFonts w:ascii="Century" w:hAnsi="Century"/>
          <w:sz w:val="18"/>
          <w:szCs w:val="18"/>
          <w:lang w:val="fr-BE"/>
        </w:rPr>
        <w:t xml:space="preserve"> </w:t>
      </w:r>
      <w:r w:rsidRPr="0092542D">
        <w:rPr>
          <w:rFonts w:ascii="Century" w:hAnsi="Century"/>
          <w:sz w:val="18"/>
          <w:szCs w:val="18"/>
          <w:lang w:val="fr-BE"/>
        </w:rPr>
        <w:t xml:space="preserve">Cfr </w:t>
      </w:r>
      <w:r w:rsidR="0092542D">
        <w:rPr>
          <w:rFonts w:ascii="Century" w:hAnsi="Century"/>
          <w:iCs/>
          <w:sz w:val="18"/>
          <w:szCs w:val="18"/>
          <w:lang w:val="fr-FR"/>
        </w:rPr>
        <w:t>C</w:t>
      </w:r>
      <w:r w:rsidRPr="0092542D">
        <w:rPr>
          <w:rFonts w:ascii="Century" w:hAnsi="Century"/>
          <w:iCs/>
          <w:sz w:val="18"/>
          <w:szCs w:val="18"/>
          <w:lang w:val="fr-FR"/>
        </w:rPr>
        <w:t xml:space="preserve">hapitre 6, </w:t>
      </w:r>
      <w:r w:rsidRPr="0092542D">
        <w:rPr>
          <w:rFonts w:ascii="Century" w:hAnsi="Century" w:cs="Times New Roman"/>
          <w:sz w:val="18"/>
          <w:szCs w:val="18"/>
          <w:lang w:val="fr-FR"/>
        </w:rPr>
        <w:t>articles</w:t>
      </w:r>
      <w:r w:rsidRPr="0092542D">
        <w:rPr>
          <w:rFonts w:ascii="Century" w:hAnsi="Century"/>
          <w:iCs/>
          <w:sz w:val="18"/>
          <w:szCs w:val="18"/>
          <w:lang w:val="fr-FR"/>
        </w:rPr>
        <w:t xml:space="preserve"> 4 et 5 de l’Instrument de Gouvernement précité. </w:t>
      </w:r>
    </w:p>
  </w:footnote>
  <w:footnote w:id="106">
    <w:p w14:paraId="294D7D15" w14:textId="1817322C" w:rsidR="00E468AE" w:rsidRPr="0092542D" w:rsidRDefault="00000000" w:rsidP="00F56AAC">
      <w:pPr>
        <w:pStyle w:val="Notedebasdepage"/>
        <w:spacing w:before="20" w:after="20"/>
        <w:ind w:left="567" w:right="567"/>
        <w:jc w:val="both"/>
        <w:rPr>
          <w:rFonts w:ascii="Century" w:hAnsi="Century" w:cs="Times New Roman"/>
          <w:color w:val="202122"/>
          <w:sz w:val="18"/>
          <w:szCs w:val="18"/>
          <w:shd w:val="clear" w:color="auto" w:fill="FFFFFF"/>
          <w:lang w:val="fr-BE"/>
        </w:rPr>
      </w:pPr>
      <w:r w:rsidRPr="0092542D">
        <w:rPr>
          <w:rStyle w:val="Appelnotedebasdep"/>
          <w:rFonts w:ascii="Century" w:hAnsi="Century" w:cs="Times New Roman"/>
          <w:sz w:val="18"/>
          <w:szCs w:val="18"/>
        </w:rPr>
        <w:footnoteRef/>
      </w:r>
      <w:r w:rsidRPr="0092542D">
        <w:rPr>
          <w:rFonts w:ascii="Century" w:hAnsi="Century" w:cs="Times New Roman"/>
          <w:sz w:val="18"/>
          <w:szCs w:val="18"/>
          <w:lang w:val="fr-BE"/>
        </w:rPr>
        <w:t xml:space="preserve"> L. </w:t>
      </w:r>
      <w:r w:rsidRPr="0092542D">
        <w:rPr>
          <w:rFonts w:ascii="Century" w:hAnsi="Century" w:cs="Times New Roman"/>
          <w:smallCaps/>
          <w:sz w:val="18"/>
          <w:szCs w:val="18"/>
          <w:lang w:val="fr-BE"/>
        </w:rPr>
        <w:t xml:space="preserve">Léothier, </w:t>
      </w:r>
      <w:r w:rsidRPr="0092542D">
        <w:rPr>
          <w:rFonts w:ascii="Century" w:hAnsi="Century" w:cs="Times New Roman"/>
          <w:i/>
          <w:sz w:val="18"/>
          <w:szCs w:val="18"/>
          <w:lang w:val="fr-BE"/>
        </w:rPr>
        <w:t>op. cit.</w:t>
      </w:r>
      <w:r w:rsidRPr="0092542D">
        <w:rPr>
          <w:rFonts w:ascii="Century" w:hAnsi="Century" w:cs="Times New Roman"/>
          <w:sz w:val="18"/>
          <w:szCs w:val="18"/>
          <w:lang w:val="fr-BE"/>
        </w:rPr>
        <w:t>, p. 361</w:t>
      </w:r>
      <w:r w:rsidR="00D63E3E">
        <w:rPr>
          <w:rFonts w:ascii="Century" w:hAnsi="Century" w:cs="Times New Roman"/>
          <w:sz w:val="18"/>
          <w:szCs w:val="18"/>
          <w:lang w:val="fr-BE"/>
        </w:rPr>
        <w:t xml:space="preserve">. </w:t>
      </w:r>
      <w:r w:rsidRPr="0092542D">
        <w:rPr>
          <w:rFonts w:ascii="Century" w:hAnsi="Century" w:cs="Times New Roman"/>
          <w:sz w:val="18"/>
          <w:szCs w:val="18"/>
          <w:lang w:val="fr-BE"/>
        </w:rPr>
        <w:t>Le 21 juin 2021, le Premier ministre Stefan Löfven a toutefois fait l’objet d’une motion de méfiance (181 voix pour, 109 contre et 51 abstentions)</w:t>
      </w:r>
      <w:r w:rsidRPr="0092542D">
        <w:rPr>
          <w:rFonts w:ascii="Century" w:hAnsi="Century" w:cs="Times New Roman"/>
          <w:color w:val="202122"/>
          <w:sz w:val="18"/>
          <w:szCs w:val="18"/>
          <w:shd w:val="clear" w:color="auto" w:fill="FFFFFF"/>
          <w:lang w:val="fr-BE"/>
        </w:rPr>
        <w:t xml:space="preserve">, conformément à l’article 7 du Chapitre 6 de l’Instrument de Gouvernement. Le 28 juin 2021, </w:t>
      </w:r>
      <w:r w:rsidRPr="0092542D">
        <w:rPr>
          <w:rFonts w:ascii="Century" w:hAnsi="Century" w:cs="Times New Roman"/>
          <w:sz w:val="18"/>
          <w:szCs w:val="18"/>
          <w:lang w:val="fr-BE"/>
        </w:rPr>
        <w:t>Löfven a démissionné et entraînant par conséquent une nouvelle période de formation d’un gouvernement. Löfven a été à nouveau nommé Premier Ministre d’un gouvernement remanié (Löfven III) le 7 juillet 2022 (116 voix pour, 173 voix contre et 60 abstentions).</w:t>
      </w:r>
    </w:p>
  </w:footnote>
  <w:footnote w:id="107">
    <w:p w14:paraId="1CC44B66"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Ce qui est exceptionnellement long en Suède. </w:t>
      </w:r>
    </w:p>
  </w:footnote>
  <w:footnote w:id="108">
    <w:p w14:paraId="318D4772" w14:textId="049B190D" w:rsidR="00E468AE" w:rsidRPr="0092542D" w:rsidRDefault="00000000" w:rsidP="00F56AAC">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rPr>
        <w:t xml:space="preserve"> Intitulée la « </w:t>
      </w:r>
      <w:r w:rsidRPr="0092542D">
        <w:rPr>
          <w:rFonts w:ascii="Century" w:hAnsi="Century"/>
          <w:i/>
          <w:iCs/>
          <w:sz w:val="18"/>
          <w:szCs w:val="18"/>
        </w:rPr>
        <w:t>Basic Law: The Government (2001)</w:t>
      </w:r>
      <w:r w:rsidRPr="0092542D">
        <w:rPr>
          <w:rFonts w:ascii="Century" w:hAnsi="Century" w:cs="Times New Roman"/>
          <w:sz w:val="18"/>
          <w:szCs w:val="18"/>
          <w:lang w:val="en-US"/>
        </w:rPr>
        <w:t xml:space="preserve"> »</w:t>
      </w:r>
      <w:r w:rsidRPr="0092542D">
        <w:rPr>
          <w:rFonts w:ascii="Century" w:hAnsi="Century"/>
          <w:sz w:val="18"/>
          <w:szCs w:val="18"/>
        </w:rPr>
        <w:t>.</w:t>
      </w:r>
    </w:p>
  </w:footnote>
  <w:footnote w:id="109">
    <w:p w14:paraId="13FAAD85" w14:textId="0F8FB592" w:rsidR="00E468AE" w:rsidRPr="0092542D" w:rsidRDefault="00000000" w:rsidP="00F56AAC">
      <w:pPr>
        <w:pStyle w:val="Notedebasdepage"/>
        <w:spacing w:before="20" w:after="20"/>
        <w:ind w:left="567" w:right="567"/>
        <w:jc w:val="both"/>
        <w:rPr>
          <w:rFonts w:ascii="Century" w:hAnsi="Century"/>
          <w:sz w:val="18"/>
          <w:szCs w:val="18"/>
        </w:rPr>
      </w:pPr>
      <w:r w:rsidRPr="0092542D">
        <w:rPr>
          <w:rStyle w:val="Appelnotedebasdep"/>
          <w:rFonts w:ascii="Century" w:hAnsi="Century"/>
          <w:sz w:val="18"/>
          <w:szCs w:val="18"/>
        </w:rPr>
        <w:footnoteRef/>
      </w:r>
      <w:r w:rsidRPr="0092542D">
        <w:rPr>
          <w:rFonts w:ascii="Century" w:hAnsi="Century"/>
          <w:sz w:val="18"/>
          <w:szCs w:val="18"/>
        </w:rPr>
        <w:t xml:space="preserve"> Voy. I. </w:t>
      </w:r>
      <w:r w:rsidRPr="0092542D">
        <w:rPr>
          <w:rFonts w:ascii="Century" w:hAnsi="Century"/>
          <w:smallCaps/>
          <w:sz w:val="18"/>
          <w:szCs w:val="18"/>
        </w:rPr>
        <w:t>Galnoor</w:t>
      </w:r>
      <w:r w:rsidRPr="0092542D">
        <w:rPr>
          <w:rFonts w:ascii="Century" w:hAnsi="Century"/>
          <w:sz w:val="18"/>
          <w:szCs w:val="18"/>
        </w:rPr>
        <w:t xml:space="preserve"> et D. </w:t>
      </w:r>
      <w:r w:rsidRPr="0092542D">
        <w:rPr>
          <w:rFonts w:ascii="Century" w:hAnsi="Century"/>
          <w:smallCaps/>
          <w:sz w:val="18"/>
          <w:szCs w:val="18"/>
        </w:rPr>
        <w:t>Blander</w:t>
      </w:r>
      <w:r w:rsidRPr="0092542D">
        <w:rPr>
          <w:rFonts w:ascii="Century" w:hAnsi="Century"/>
          <w:sz w:val="18"/>
          <w:szCs w:val="18"/>
        </w:rPr>
        <w:t xml:space="preserve">, </w:t>
      </w:r>
      <w:r w:rsidRPr="0092542D">
        <w:rPr>
          <w:rFonts w:ascii="Century" w:hAnsi="Century"/>
          <w:i/>
          <w:iCs/>
          <w:sz w:val="18"/>
          <w:szCs w:val="18"/>
        </w:rPr>
        <w:t>The Handbook of Israel’s Political System</w:t>
      </w:r>
      <w:r w:rsidRPr="0092542D">
        <w:rPr>
          <w:rFonts w:ascii="Century" w:hAnsi="Century"/>
          <w:sz w:val="18"/>
          <w:szCs w:val="18"/>
        </w:rPr>
        <w:t xml:space="preserve">, CUP, 2018, Cambridge, pp. 148 et sv.; </w:t>
      </w:r>
      <w:r w:rsidRPr="0092542D">
        <w:rPr>
          <w:rFonts w:ascii="Century" w:hAnsi="Century" w:cs="Times New Roman"/>
          <w:sz w:val="18"/>
          <w:szCs w:val="18"/>
        </w:rPr>
        <w:t xml:space="preserve">O. </w:t>
      </w:r>
      <w:r w:rsidRPr="0092542D">
        <w:rPr>
          <w:rFonts w:ascii="Century" w:hAnsi="Century" w:cs="Times New Roman"/>
          <w:smallCaps/>
          <w:sz w:val="18"/>
          <w:szCs w:val="18"/>
        </w:rPr>
        <w:t>Akirav</w:t>
      </w:r>
      <w:r w:rsidRPr="0092542D">
        <w:rPr>
          <w:rFonts w:ascii="Century" w:hAnsi="Century" w:cs="Times New Roman"/>
          <w:sz w:val="18"/>
          <w:szCs w:val="18"/>
        </w:rPr>
        <w:t xml:space="preserve">, </w:t>
      </w:r>
      <w:r w:rsidR="006C4BC7" w:rsidRPr="0092542D">
        <w:rPr>
          <w:rFonts w:ascii="Century" w:hAnsi="Century"/>
          <w:i/>
          <w:sz w:val="18"/>
          <w:szCs w:val="18"/>
          <w:lang w:val="en-US"/>
        </w:rPr>
        <w:t>op. cit</w:t>
      </w:r>
      <w:r w:rsidR="006C4BC7" w:rsidRPr="0092542D">
        <w:rPr>
          <w:rFonts w:ascii="Century" w:hAnsi="Century"/>
          <w:sz w:val="18"/>
          <w:szCs w:val="18"/>
          <w:lang w:val="en-US"/>
        </w:rPr>
        <w:t>.</w:t>
      </w:r>
      <w:r w:rsidRPr="0092542D">
        <w:rPr>
          <w:rFonts w:ascii="Century" w:hAnsi="Century" w:cs="Times New Roman"/>
          <w:sz w:val="18"/>
          <w:szCs w:val="18"/>
        </w:rPr>
        <w:t>, p. 18.</w:t>
      </w:r>
    </w:p>
  </w:footnote>
  <w:footnote w:id="110">
    <w:p w14:paraId="12DF7746" w14:textId="50E71F9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Depuis la création de l’Etat israélien en 1948, celui-ci a connu pas moins de 76 gouvernements (O. </w:t>
      </w:r>
      <w:r w:rsidRPr="0092542D">
        <w:rPr>
          <w:rFonts w:ascii="Century" w:hAnsi="Century"/>
          <w:smallCaps/>
          <w:sz w:val="18"/>
          <w:szCs w:val="18"/>
          <w:lang w:val="fr-BE"/>
        </w:rPr>
        <w:t>Akirav</w:t>
      </w:r>
      <w:r w:rsidRPr="0092542D">
        <w:rPr>
          <w:rFonts w:ascii="Century" w:hAnsi="Century"/>
          <w:sz w:val="18"/>
          <w:szCs w:val="18"/>
          <w:lang w:val="fr-BE"/>
        </w:rPr>
        <w:t xml:space="preserve">, </w:t>
      </w:r>
      <w:r w:rsidRPr="0092542D">
        <w:rPr>
          <w:rFonts w:ascii="Century" w:hAnsi="Century"/>
          <w:i/>
          <w:iCs/>
          <w:sz w:val="18"/>
          <w:szCs w:val="18"/>
          <w:lang w:val="fr-BE"/>
        </w:rPr>
        <w:t>op. cit</w:t>
      </w:r>
      <w:r w:rsidRPr="0092542D">
        <w:rPr>
          <w:rFonts w:ascii="Century" w:hAnsi="Century"/>
          <w:sz w:val="18"/>
          <w:szCs w:val="18"/>
          <w:lang w:val="fr-BE"/>
        </w:rPr>
        <w:t>, p. 2).</w:t>
      </w:r>
    </w:p>
  </w:footnote>
  <w:footnote w:id="111">
    <w:p w14:paraId="21EF7580" w14:textId="193A2D39"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Ils ont été bien mis en avant par Lieven De Winter et Patrick Dumont, Stefaan Walgrave, Maxime Vandenberghe, Dave Sinardet et Jean Faniel lors de leurs auditions devant la Commission de la Constitution et du Renouveau institutionnel du 21 septembre 2022, ainsi que par Jan Velears et Marc Verdussen lors de leurs auditions du 7 décembre 2022 ; voy également la proposition en ce sens de l’Open VLD d’avril 2023, critiquée par Dave Sinardet et Nicolas Bouteca : Het Nieuwsblad : </w:t>
      </w:r>
      <w:r w:rsidRPr="0092542D">
        <w:rPr>
          <w:rFonts w:ascii="Century" w:hAnsi="Century"/>
          <w:sz w:val="18"/>
          <w:szCs w:val="18"/>
          <w:lang w:val="fr-FR"/>
        </w:rPr>
        <w:t xml:space="preserve">« </w:t>
      </w:r>
      <w:r w:rsidRPr="0092542D">
        <w:rPr>
          <w:rFonts w:ascii="Century" w:hAnsi="Century"/>
          <w:sz w:val="18"/>
          <w:szCs w:val="18"/>
          <w:lang w:val="fr-BE"/>
        </w:rPr>
        <w:t>Van “totaal ondenkbaar” tot “in Israël zijn ze er snel van afgestapt: experts over voorstel Open VLD om verkiezingen te hervormen</w:t>
      </w:r>
      <w:r w:rsidRPr="0092542D">
        <w:rPr>
          <w:rFonts w:ascii="Century" w:hAnsi="Century"/>
          <w:sz w:val="18"/>
          <w:szCs w:val="18"/>
          <w:lang w:val="fr-FR"/>
        </w:rPr>
        <w:t xml:space="preserve"> »</w:t>
      </w:r>
      <w:r w:rsidRPr="0092542D">
        <w:rPr>
          <w:rFonts w:ascii="Century" w:hAnsi="Century"/>
          <w:sz w:val="18"/>
          <w:szCs w:val="18"/>
          <w:lang w:val="fr-BE"/>
        </w:rPr>
        <w:t xml:space="preserve">, </w:t>
      </w:r>
      <w:hyperlink r:id="rId10" w:history="1">
        <w:r w:rsidRPr="0092542D">
          <w:rPr>
            <w:rStyle w:val="Lienhypertexte"/>
            <w:rFonts w:ascii="Century" w:hAnsi="Century"/>
            <w:sz w:val="18"/>
            <w:szCs w:val="18"/>
            <w:lang w:val="fr-BE"/>
          </w:rPr>
          <w:t>https://www.nieuwsblad.be/cnt/dmf20230411_94963058</w:t>
        </w:r>
      </w:hyperlink>
      <w:r w:rsidRPr="0092542D">
        <w:rPr>
          <w:rFonts w:ascii="Century" w:hAnsi="Century"/>
          <w:sz w:val="18"/>
          <w:szCs w:val="18"/>
          <w:lang w:val="fr-BE"/>
        </w:rPr>
        <w:t xml:space="preserve"> (consulté le 18 avril 2023). </w:t>
      </w:r>
    </w:p>
  </w:footnote>
  <w:footnote w:id="112">
    <w:p w14:paraId="7A7B6465"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Selon l’expression de Stefaan Walgrave lors de son audition du 21 septembre 2022. </w:t>
      </w:r>
    </w:p>
  </w:footnote>
  <w:footnote w:id="113">
    <w:p w14:paraId="6AC78008"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Par exemple, un délai d’au moins deux semaines entre chaque vote d’investiture devrait être prévu. </w:t>
      </w:r>
    </w:p>
  </w:footnote>
  <w:footnote w:id="114">
    <w:p w14:paraId="2AA44E48" w14:textId="6E046F6B" w:rsidR="00E468AE" w:rsidRPr="0092542D" w:rsidRDefault="00000000" w:rsidP="00B37392">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rPr>
        <w:t xml:space="preserve"> Voy. T. </w:t>
      </w:r>
      <w:r w:rsidRPr="0092542D">
        <w:rPr>
          <w:rFonts w:ascii="Century" w:hAnsi="Century"/>
          <w:smallCaps/>
          <w:sz w:val="18"/>
          <w:szCs w:val="18"/>
        </w:rPr>
        <w:t>Raunio</w:t>
      </w:r>
      <w:r w:rsidRPr="0092542D">
        <w:rPr>
          <w:rFonts w:ascii="Century" w:hAnsi="Century"/>
          <w:sz w:val="18"/>
          <w:szCs w:val="18"/>
        </w:rPr>
        <w:t xml:space="preserve">, « Finland: Forming and Managing Ideologically Heterogeneous Oversized Coalitions </w:t>
      </w:r>
      <w:r w:rsidRPr="0092542D">
        <w:rPr>
          <w:rFonts w:ascii="Century" w:hAnsi="Century" w:cs="Times New Roman"/>
          <w:sz w:val="18"/>
          <w:szCs w:val="18"/>
          <w:lang w:val="en-US"/>
        </w:rPr>
        <w:t>»</w:t>
      </w:r>
      <w:r w:rsidRPr="0092542D">
        <w:rPr>
          <w:rFonts w:ascii="Century" w:hAnsi="Century"/>
          <w:sz w:val="18"/>
          <w:szCs w:val="18"/>
        </w:rPr>
        <w:t xml:space="preserve">, </w:t>
      </w:r>
      <w:r w:rsidRPr="0092542D">
        <w:rPr>
          <w:rFonts w:ascii="Century" w:hAnsi="Century" w:cs="Times New Roman"/>
          <w:sz w:val="18"/>
          <w:szCs w:val="18"/>
        </w:rPr>
        <w:t xml:space="preserve">in </w:t>
      </w:r>
      <w:r w:rsidRPr="0092542D">
        <w:rPr>
          <w:rFonts w:ascii="Century" w:hAnsi="Century" w:cs="Times New Roman"/>
          <w:i/>
          <w:iCs/>
          <w:sz w:val="18"/>
          <w:szCs w:val="18"/>
        </w:rPr>
        <w:t>Coalition Governance in Western Europe</w:t>
      </w:r>
      <w:r w:rsidRPr="0092542D">
        <w:rPr>
          <w:rFonts w:ascii="Century" w:hAnsi="Century" w:cs="Times New Roman"/>
          <w:sz w:val="18"/>
          <w:szCs w:val="18"/>
        </w:rPr>
        <w:t xml:space="preserve">. </w:t>
      </w:r>
      <w:r w:rsidRPr="0092542D">
        <w:rPr>
          <w:rFonts w:ascii="Century" w:hAnsi="Century" w:cs="Times New Roman"/>
          <w:sz w:val="18"/>
          <w:szCs w:val="18"/>
          <w:lang w:val="fr-BE"/>
        </w:rPr>
        <w:t xml:space="preserve">Oxford, Oxford University Press, 2021, pp. 165-205. </w:t>
      </w:r>
    </w:p>
  </w:footnote>
  <w:footnote w:id="115">
    <w:p w14:paraId="7C5BF892" w14:textId="4DB3BA79" w:rsidR="00E468AE" w:rsidRPr="0092542D" w:rsidRDefault="00000000" w:rsidP="00F56AAC">
      <w:pPr>
        <w:pStyle w:val="Notedebasdepage"/>
        <w:ind w:left="567" w:right="567"/>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C’est également ce qu’</w:t>
      </w:r>
      <w:r w:rsidR="009C6A50">
        <w:rPr>
          <w:rFonts w:ascii="Century" w:hAnsi="Century"/>
          <w:sz w:val="18"/>
          <w:szCs w:val="18"/>
          <w:lang w:val="fr-BE"/>
        </w:rPr>
        <w:t>ont</w:t>
      </w:r>
      <w:r w:rsidRPr="0092542D">
        <w:rPr>
          <w:rFonts w:ascii="Century" w:hAnsi="Century"/>
          <w:sz w:val="18"/>
          <w:szCs w:val="18"/>
          <w:lang w:val="fr-BE"/>
        </w:rPr>
        <w:t xml:space="preserve"> souligné Jan Velears, Marc Uyttendaele, Stéphanie Wattier et Marc Verdussen lors de leurs interventions en Commission le 7 décembre 2022. </w:t>
      </w:r>
    </w:p>
  </w:footnote>
  <w:footnote w:id="116">
    <w:p w14:paraId="6F5BF6C4"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à ce sujet C. </w:t>
      </w:r>
      <w:r w:rsidRPr="0092542D">
        <w:rPr>
          <w:rFonts w:ascii="Century" w:hAnsi="Century"/>
          <w:smallCaps/>
          <w:sz w:val="18"/>
          <w:szCs w:val="18"/>
          <w:lang w:val="fr-BE"/>
        </w:rPr>
        <w:t xml:space="preserve">Istasse, </w:t>
      </w:r>
      <w:r w:rsidRPr="0092542D">
        <w:rPr>
          <w:rFonts w:ascii="Century" w:hAnsi="Century"/>
          <w:sz w:val="18"/>
          <w:szCs w:val="18"/>
          <w:lang w:val="fr-BE"/>
        </w:rPr>
        <w:t xml:space="preserve">« La ‘coalition miroir’ comme modalité de formation du gouvernement fédéral », </w:t>
      </w:r>
      <w:r w:rsidRPr="0092542D">
        <w:rPr>
          <w:rFonts w:ascii="Century" w:hAnsi="Century"/>
          <w:i/>
          <w:sz w:val="18"/>
          <w:szCs w:val="18"/>
          <w:lang w:val="fr-BE"/>
        </w:rPr>
        <w:t>C.H. du CRISP</w:t>
      </w:r>
      <w:r w:rsidRPr="0092542D">
        <w:rPr>
          <w:rFonts w:ascii="Century" w:hAnsi="Century"/>
          <w:sz w:val="18"/>
          <w:szCs w:val="18"/>
          <w:lang w:val="fr-BE"/>
        </w:rPr>
        <w:t xml:space="preserve">, n°2466, 2020. </w:t>
      </w:r>
    </w:p>
  </w:footnote>
  <w:footnote w:id="117">
    <w:p w14:paraId="3616B59D"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Voy. en ce sens notamment les études rassemblées dans le numéro spécial « Actualités des affaires courantes » de la </w:t>
      </w:r>
      <w:r w:rsidRPr="0092542D">
        <w:rPr>
          <w:rFonts w:ascii="Century" w:hAnsi="Century"/>
          <w:i/>
          <w:sz w:val="18"/>
          <w:szCs w:val="18"/>
          <w:lang w:val="fr-BE"/>
        </w:rPr>
        <w:t>R.B.D.C.</w:t>
      </w:r>
      <w:r w:rsidRPr="0092542D">
        <w:rPr>
          <w:rFonts w:ascii="Century" w:hAnsi="Century"/>
          <w:sz w:val="18"/>
          <w:szCs w:val="18"/>
          <w:lang w:val="fr-BE"/>
        </w:rPr>
        <w:t xml:space="preserve">, 2020/3. </w:t>
      </w:r>
    </w:p>
  </w:footnote>
  <w:footnote w:id="118">
    <w:p w14:paraId="20421DFB" w14:textId="77777777" w:rsidR="00E468AE" w:rsidRPr="0092542D" w:rsidRDefault="00000000" w:rsidP="00F56AAC">
      <w:pPr>
        <w:pStyle w:val="Notedebasdepage"/>
        <w:spacing w:before="20" w:after="20"/>
        <w:ind w:left="567" w:right="567"/>
        <w:jc w:val="both"/>
        <w:rPr>
          <w:rFonts w:ascii="Century" w:hAnsi="Century"/>
          <w:sz w:val="18"/>
          <w:szCs w:val="18"/>
          <w:lang w:val="fr-BE"/>
        </w:rPr>
      </w:pPr>
      <w:r w:rsidRPr="0092542D">
        <w:rPr>
          <w:rStyle w:val="Appelnotedebasdep"/>
          <w:rFonts w:ascii="Century" w:hAnsi="Century"/>
          <w:sz w:val="18"/>
          <w:szCs w:val="18"/>
        </w:rPr>
        <w:footnoteRef/>
      </w:r>
      <w:r w:rsidRPr="0092542D">
        <w:rPr>
          <w:rFonts w:ascii="Century" w:hAnsi="Century"/>
          <w:sz w:val="18"/>
          <w:szCs w:val="18"/>
          <w:lang w:val="fr-BE"/>
        </w:rPr>
        <w:t xml:space="preserve"> Cfr en ce sens J. </w:t>
      </w:r>
      <w:r w:rsidRPr="0092542D">
        <w:rPr>
          <w:rFonts w:ascii="Century" w:hAnsi="Century"/>
          <w:smallCaps/>
          <w:sz w:val="18"/>
          <w:szCs w:val="18"/>
          <w:lang w:val="fr-BE"/>
        </w:rPr>
        <w:t xml:space="preserve">Van Vyve, </w:t>
      </w:r>
      <w:r w:rsidRPr="0092542D">
        <w:rPr>
          <w:rFonts w:ascii="Century" w:hAnsi="Century"/>
          <w:sz w:val="18"/>
          <w:szCs w:val="18"/>
          <w:lang w:val="fr-BE"/>
        </w:rPr>
        <w:t xml:space="preserve">« Une coalition fédérale miroir calquée sur les majorités régionales ou communautaires », in </w:t>
      </w:r>
      <w:r w:rsidRPr="0092542D">
        <w:rPr>
          <w:rFonts w:ascii="Century" w:hAnsi="Century"/>
          <w:i/>
          <w:sz w:val="18"/>
          <w:szCs w:val="18"/>
          <w:lang w:val="fr-BE"/>
        </w:rPr>
        <w:t>R.B.D.C</w:t>
      </w:r>
      <w:r w:rsidRPr="0092542D">
        <w:rPr>
          <w:rFonts w:ascii="Century" w:hAnsi="Century"/>
          <w:sz w:val="18"/>
          <w:szCs w:val="18"/>
          <w:lang w:val="fr-BE"/>
        </w:rPr>
        <w:t xml:space="preserve">., 2021/2, p. 101-130.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81291"/>
    <w:multiLevelType w:val="hybridMultilevel"/>
    <w:tmpl w:val="FC829674"/>
    <w:lvl w:ilvl="0" w:tplc="14D818E0">
      <w:start w:val="45"/>
      <w:numFmt w:val="bullet"/>
      <w:lvlText w:val="-"/>
      <w:lvlJc w:val="left"/>
      <w:pPr>
        <w:ind w:left="1494" w:hanging="360"/>
      </w:pPr>
      <w:rPr>
        <w:rFonts w:ascii="Century" w:eastAsiaTheme="minorHAnsi" w:hAnsi="Century" w:cstheme="minorBidi" w:hint="default"/>
      </w:rPr>
    </w:lvl>
    <w:lvl w:ilvl="1" w:tplc="A3A0DAD8">
      <w:start w:val="1"/>
      <w:numFmt w:val="bullet"/>
      <w:lvlText w:val="o"/>
      <w:lvlJc w:val="left"/>
      <w:pPr>
        <w:ind w:left="1647" w:hanging="360"/>
      </w:pPr>
      <w:rPr>
        <w:rFonts w:ascii="Courier New" w:hAnsi="Courier New" w:cs="Courier New" w:hint="default"/>
      </w:rPr>
    </w:lvl>
    <w:lvl w:ilvl="2" w:tplc="2CBA330C" w:tentative="1">
      <w:start w:val="1"/>
      <w:numFmt w:val="bullet"/>
      <w:lvlText w:val=""/>
      <w:lvlJc w:val="left"/>
      <w:pPr>
        <w:ind w:left="2367" w:hanging="360"/>
      </w:pPr>
      <w:rPr>
        <w:rFonts w:ascii="Wingdings" w:hAnsi="Wingdings" w:hint="default"/>
      </w:rPr>
    </w:lvl>
    <w:lvl w:ilvl="3" w:tplc="D5FCB5E4" w:tentative="1">
      <w:start w:val="1"/>
      <w:numFmt w:val="bullet"/>
      <w:lvlText w:val=""/>
      <w:lvlJc w:val="left"/>
      <w:pPr>
        <w:ind w:left="3087" w:hanging="360"/>
      </w:pPr>
      <w:rPr>
        <w:rFonts w:ascii="Symbol" w:hAnsi="Symbol" w:hint="default"/>
      </w:rPr>
    </w:lvl>
    <w:lvl w:ilvl="4" w:tplc="60285314" w:tentative="1">
      <w:start w:val="1"/>
      <w:numFmt w:val="bullet"/>
      <w:lvlText w:val="o"/>
      <w:lvlJc w:val="left"/>
      <w:pPr>
        <w:ind w:left="3807" w:hanging="360"/>
      </w:pPr>
      <w:rPr>
        <w:rFonts w:ascii="Courier New" w:hAnsi="Courier New" w:cs="Courier New" w:hint="default"/>
      </w:rPr>
    </w:lvl>
    <w:lvl w:ilvl="5" w:tplc="8EA4BDC0" w:tentative="1">
      <w:start w:val="1"/>
      <w:numFmt w:val="bullet"/>
      <w:lvlText w:val=""/>
      <w:lvlJc w:val="left"/>
      <w:pPr>
        <w:ind w:left="4527" w:hanging="360"/>
      </w:pPr>
      <w:rPr>
        <w:rFonts w:ascii="Wingdings" w:hAnsi="Wingdings" w:hint="default"/>
      </w:rPr>
    </w:lvl>
    <w:lvl w:ilvl="6" w:tplc="15607346" w:tentative="1">
      <w:start w:val="1"/>
      <w:numFmt w:val="bullet"/>
      <w:lvlText w:val=""/>
      <w:lvlJc w:val="left"/>
      <w:pPr>
        <w:ind w:left="5247" w:hanging="360"/>
      </w:pPr>
      <w:rPr>
        <w:rFonts w:ascii="Symbol" w:hAnsi="Symbol" w:hint="default"/>
      </w:rPr>
    </w:lvl>
    <w:lvl w:ilvl="7" w:tplc="DF4851A4" w:tentative="1">
      <w:start w:val="1"/>
      <w:numFmt w:val="bullet"/>
      <w:lvlText w:val="o"/>
      <w:lvlJc w:val="left"/>
      <w:pPr>
        <w:ind w:left="5967" w:hanging="360"/>
      </w:pPr>
      <w:rPr>
        <w:rFonts w:ascii="Courier New" w:hAnsi="Courier New" w:cs="Courier New" w:hint="default"/>
      </w:rPr>
    </w:lvl>
    <w:lvl w:ilvl="8" w:tplc="699E2990" w:tentative="1">
      <w:start w:val="1"/>
      <w:numFmt w:val="bullet"/>
      <w:lvlText w:val=""/>
      <w:lvlJc w:val="left"/>
      <w:pPr>
        <w:ind w:left="6687" w:hanging="360"/>
      </w:pPr>
      <w:rPr>
        <w:rFonts w:ascii="Wingdings" w:hAnsi="Wingdings" w:hint="default"/>
      </w:rPr>
    </w:lvl>
  </w:abstractNum>
  <w:abstractNum w:abstractNumId="1" w15:restartNumberingAfterBreak="0">
    <w:nsid w:val="121724BB"/>
    <w:multiLevelType w:val="hybridMultilevel"/>
    <w:tmpl w:val="AF88681A"/>
    <w:lvl w:ilvl="0" w:tplc="DEAC167C">
      <w:start w:val="1"/>
      <w:numFmt w:val="upperRoman"/>
      <w:lvlText w:val="%1."/>
      <w:lvlJc w:val="right"/>
      <w:pPr>
        <w:ind w:left="1287" w:hanging="360"/>
      </w:pPr>
    </w:lvl>
    <w:lvl w:ilvl="1" w:tplc="D67E1CA4" w:tentative="1">
      <w:start w:val="1"/>
      <w:numFmt w:val="lowerLetter"/>
      <w:lvlText w:val="%2."/>
      <w:lvlJc w:val="left"/>
      <w:pPr>
        <w:ind w:left="2007" w:hanging="360"/>
      </w:pPr>
    </w:lvl>
    <w:lvl w:ilvl="2" w:tplc="0A76D036" w:tentative="1">
      <w:start w:val="1"/>
      <w:numFmt w:val="lowerRoman"/>
      <w:lvlText w:val="%3."/>
      <w:lvlJc w:val="right"/>
      <w:pPr>
        <w:ind w:left="2727" w:hanging="180"/>
      </w:pPr>
    </w:lvl>
    <w:lvl w:ilvl="3" w:tplc="1C72A720" w:tentative="1">
      <w:start w:val="1"/>
      <w:numFmt w:val="decimal"/>
      <w:lvlText w:val="%4."/>
      <w:lvlJc w:val="left"/>
      <w:pPr>
        <w:ind w:left="3447" w:hanging="360"/>
      </w:pPr>
    </w:lvl>
    <w:lvl w:ilvl="4" w:tplc="0E9258F8" w:tentative="1">
      <w:start w:val="1"/>
      <w:numFmt w:val="lowerLetter"/>
      <w:lvlText w:val="%5."/>
      <w:lvlJc w:val="left"/>
      <w:pPr>
        <w:ind w:left="4167" w:hanging="360"/>
      </w:pPr>
    </w:lvl>
    <w:lvl w:ilvl="5" w:tplc="929E1AC0" w:tentative="1">
      <w:start w:val="1"/>
      <w:numFmt w:val="lowerRoman"/>
      <w:lvlText w:val="%6."/>
      <w:lvlJc w:val="right"/>
      <w:pPr>
        <w:ind w:left="4887" w:hanging="180"/>
      </w:pPr>
    </w:lvl>
    <w:lvl w:ilvl="6" w:tplc="AF34E4C0" w:tentative="1">
      <w:start w:val="1"/>
      <w:numFmt w:val="decimal"/>
      <w:lvlText w:val="%7."/>
      <w:lvlJc w:val="left"/>
      <w:pPr>
        <w:ind w:left="5607" w:hanging="360"/>
      </w:pPr>
    </w:lvl>
    <w:lvl w:ilvl="7" w:tplc="5D6A0358" w:tentative="1">
      <w:start w:val="1"/>
      <w:numFmt w:val="lowerLetter"/>
      <w:lvlText w:val="%8."/>
      <w:lvlJc w:val="left"/>
      <w:pPr>
        <w:ind w:left="6327" w:hanging="360"/>
      </w:pPr>
    </w:lvl>
    <w:lvl w:ilvl="8" w:tplc="A8BA6CEA" w:tentative="1">
      <w:start w:val="1"/>
      <w:numFmt w:val="lowerRoman"/>
      <w:lvlText w:val="%9."/>
      <w:lvlJc w:val="right"/>
      <w:pPr>
        <w:ind w:left="7047" w:hanging="180"/>
      </w:pPr>
    </w:lvl>
  </w:abstractNum>
  <w:abstractNum w:abstractNumId="2" w15:restartNumberingAfterBreak="0">
    <w:nsid w:val="1337658D"/>
    <w:multiLevelType w:val="hybridMultilevel"/>
    <w:tmpl w:val="59965396"/>
    <w:lvl w:ilvl="0" w:tplc="0054F6F6">
      <w:start w:val="5"/>
      <w:numFmt w:val="bullet"/>
      <w:lvlText w:val="-"/>
      <w:lvlJc w:val="left"/>
      <w:pPr>
        <w:ind w:left="1080" w:hanging="360"/>
      </w:pPr>
      <w:rPr>
        <w:rFonts w:ascii="Times" w:eastAsiaTheme="minorHAnsi" w:hAnsi="Times" w:cstheme="minorBidi" w:hint="default"/>
      </w:rPr>
    </w:lvl>
    <w:lvl w:ilvl="1" w:tplc="C1A0B030" w:tentative="1">
      <w:start w:val="1"/>
      <w:numFmt w:val="bullet"/>
      <w:lvlText w:val="o"/>
      <w:lvlJc w:val="left"/>
      <w:pPr>
        <w:ind w:left="1800" w:hanging="360"/>
      </w:pPr>
      <w:rPr>
        <w:rFonts w:ascii="Courier New" w:hAnsi="Courier New" w:cs="Courier New" w:hint="default"/>
      </w:rPr>
    </w:lvl>
    <w:lvl w:ilvl="2" w:tplc="B5FC1ECE" w:tentative="1">
      <w:start w:val="1"/>
      <w:numFmt w:val="bullet"/>
      <w:lvlText w:val=""/>
      <w:lvlJc w:val="left"/>
      <w:pPr>
        <w:ind w:left="2520" w:hanging="360"/>
      </w:pPr>
      <w:rPr>
        <w:rFonts w:ascii="Wingdings" w:hAnsi="Wingdings" w:hint="default"/>
      </w:rPr>
    </w:lvl>
    <w:lvl w:ilvl="3" w:tplc="1BBA00B2" w:tentative="1">
      <w:start w:val="1"/>
      <w:numFmt w:val="bullet"/>
      <w:lvlText w:val=""/>
      <w:lvlJc w:val="left"/>
      <w:pPr>
        <w:ind w:left="3240" w:hanging="360"/>
      </w:pPr>
      <w:rPr>
        <w:rFonts w:ascii="Symbol" w:hAnsi="Symbol" w:hint="default"/>
      </w:rPr>
    </w:lvl>
    <w:lvl w:ilvl="4" w:tplc="FE00E40A" w:tentative="1">
      <w:start w:val="1"/>
      <w:numFmt w:val="bullet"/>
      <w:lvlText w:val="o"/>
      <w:lvlJc w:val="left"/>
      <w:pPr>
        <w:ind w:left="3960" w:hanging="360"/>
      </w:pPr>
      <w:rPr>
        <w:rFonts w:ascii="Courier New" w:hAnsi="Courier New" w:cs="Courier New" w:hint="default"/>
      </w:rPr>
    </w:lvl>
    <w:lvl w:ilvl="5" w:tplc="02F25E48" w:tentative="1">
      <w:start w:val="1"/>
      <w:numFmt w:val="bullet"/>
      <w:lvlText w:val=""/>
      <w:lvlJc w:val="left"/>
      <w:pPr>
        <w:ind w:left="4680" w:hanging="360"/>
      </w:pPr>
      <w:rPr>
        <w:rFonts w:ascii="Wingdings" w:hAnsi="Wingdings" w:hint="default"/>
      </w:rPr>
    </w:lvl>
    <w:lvl w:ilvl="6" w:tplc="53E630D4" w:tentative="1">
      <w:start w:val="1"/>
      <w:numFmt w:val="bullet"/>
      <w:lvlText w:val=""/>
      <w:lvlJc w:val="left"/>
      <w:pPr>
        <w:ind w:left="5400" w:hanging="360"/>
      </w:pPr>
      <w:rPr>
        <w:rFonts w:ascii="Symbol" w:hAnsi="Symbol" w:hint="default"/>
      </w:rPr>
    </w:lvl>
    <w:lvl w:ilvl="7" w:tplc="7A0CB7EE" w:tentative="1">
      <w:start w:val="1"/>
      <w:numFmt w:val="bullet"/>
      <w:lvlText w:val="o"/>
      <w:lvlJc w:val="left"/>
      <w:pPr>
        <w:ind w:left="6120" w:hanging="360"/>
      </w:pPr>
      <w:rPr>
        <w:rFonts w:ascii="Courier New" w:hAnsi="Courier New" w:cs="Courier New" w:hint="default"/>
      </w:rPr>
    </w:lvl>
    <w:lvl w:ilvl="8" w:tplc="DCE0F810" w:tentative="1">
      <w:start w:val="1"/>
      <w:numFmt w:val="bullet"/>
      <w:lvlText w:val=""/>
      <w:lvlJc w:val="left"/>
      <w:pPr>
        <w:ind w:left="6840" w:hanging="360"/>
      </w:pPr>
      <w:rPr>
        <w:rFonts w:ascii="Wingdings" w:hAnsi="Wingdings" w:hint="default"/>
      </w:rPr>
    </w:lvl>
  </w:abstractNum>
  <w:abstractNum w:abstractNumId="3" w15:restartNumberingAfterBreak="0">
    <w:nsid w:val="139452DC"/>
    <w:multiLevelType w:val="multilevel"/>
    <w:tmpl w:val="0BE2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B4D8A"/>
    <w:multiLevelType w:val="hybridMultilevel"/>
    <w:tmpl w:val="DF80B24A"/>
    <w:lvl w:ilvl="0" w:tplc="0652B434">
      <w:start w:val="1"/>
      <w:numFmt w:val="upperLetter"/>
      <w:pStyle w:val="Titre2"/>
      <w:lvlText w:val="%1."/>
      <w:lvlJc w:val="left"/>
      <w:pPr>
        <w:ind w:left="1211" w:hanging="360"/>
      </w:pPr>
      <w:rPr>
        <w:rFonts w:hint="default"/>
        <w:i w:val="0"/>
        <w:iCs/>
      </w:rPr>
    </w:lvl>
    <w:lvl w:ilvl="1" w:tplc="C6FAEBCE" w:tentative="1">
      <w:start w:val="1"/>
      <w:numFmt w:val="lowerLetter"/>
      <w:lvlText w:val="%2."/>
      <w:lvlJc w:val="left"/>
      <w:pPr>
        <w:ind w:left="1931" w:hanging="360"/>
      </w:pPr>
    </w:lvl>
    <w:lvl w:ilvl="2" w:tplc="D992703E" w:tentative="1">
      <w:start w:val="1"/>
      <w:numFmt w:val="lowerRoman"/>
      <w:lvlText w:val="%3."/>
      <w:lvlJc w:val="right"/>
      <w:pPr>
        <w:ind w:left="2651" w:hanging="180"/>
      </w:pPr>
    </w:lvl>
    <w:lvl w:ilvl="3" w:tplc="771290DA" w:tentative="1">
      <w:start w:val="1"/>
      <w:numFmt w:val="decimal"/>
      <w:lvlText w:val="%4."/>
      <w:lvlJc w:val="left"/>
      <w:pPr>
        <w:ind w:left="3371" w:hanging="360"/>
      </w:pPr>
    </w:lvl>
    <w:lvl w:ilvl="4" w:tplc="5FCEF810" w:tentative="1">
      <w:start w:val="1"/>
      <w:numFmt w:val="lowerLetter"/>
      <w:lvlText w:val="%5."/>
      <w:lvlJc w:val="left"/>
      <w:pPr>
        <w:ind w:left="4091" w:hanging="360"/>
      </w:pPr>
    </w:lvl>
    <w:lvl w:ilvl="5" w:tplc="0854C362" w:tentative="1">
      <w:start w:val="1"/>
      <w:numFmt w:val="lowerRoman"/>
      <w:lvlText w:val="%6."/>
      <w:lvlJc w:val="right"/>
      <w:pPr>
        <w:ind w:left="4811" w:hanging="180"/>
      </w:pPr>
    </w:lvl>
    <w:lvl w:ilvl="6" w:tplc="150CB634" w:tentative="1">
      <w:start w:val="1"/>
      <w:numFmt w:val="decimal"/>
      <w:lvlText w:val="%7."/>
      <w:lvlJc w:val="left"/>
      <w:pPr>
        <w:ind w:left="5531" w:hanging="360"/>
      </w:pPr>
    </w:lvl>
    <w:lvl w:ilvl="7" w:tplc="6C903C80" w:tentative="1">
      <w:start w:val="1"/>
      <w:numFmt w:val="lowerLetter"/>
      <w:lvlText w:val="%8."/>
      <w:lvlJc w:val="left"/>
      <w:pPr>
        <w:ind w:left="6251" w:hanging="360"/>
      </w:pPr>
    </w:lvl>
    <w:lvl w:ilvl="8" w:tplc="86085A2A" w:tentative="1">
      <w:start w:val="1"/>
      <w:numFmt w:val="lowerRoman"/>
      <w:lvlText w:val="%9."/>
      <w:lvlJc w:val="right"/>
      <w:pPr>
        <w:ind w:left="6971" w:hanging="180"/>
      </w:pPr>
    </w:lvl>
  </w:abstractNum>
  <w:abstractNum w:abstractNumId="5" w15:restartNumberingAfterBreak="0">
    <w:nsid w:val="206036A1"/>
    <w:multiLevelType w:val="hybridMultilevel"/>
    <w:tmpl w:val="6C102DBE"/>
    <w:lvl w:ilvl="0" w:tplc="D2E657DA">
      <w:start w:val="1"/>
      <w:numFmt w:val="upperRoman"/>
      <w:lvlText w:val="%1."/>
      <w:lvlJc w:val="left"/>
      <w:pPr>
        <w:ind w:left="1287" w:hanging="720"/>
      </w:pPr>
      <w:rPr>
        <w:rFonts w:hint="default"/>
      </w:rPr>
    </w:lvl>
    <w:lvl w:ilvl="1" w:tplc="A086CA18" w:tentative="1">
      <w:start w:val="1"/>
      <w:numFmt w:val="lowerLetter"/>
      <w:lvlText w:val="%2."/>
      <w:lvlJc w:val="left"/>
      <w:pPr>
        <w:ind w:left="1647" w:hanging="360"/>
      </w:pPr>
    </w:lvl>
    <w:lvl w:ilvl="2" w:tplc="B9403DE0" w:tentative="1">
      <w:start w:val="1"/>
      <w:numFmt w:val="lowerRoman"/>
      <w:lvlText w:val="%3."/>
      <w:lvlJc w:val="right"/>
      <w:pPr>
        <w:ind w:left="2367" w:hanging="180"/>
      </w:pPr>
    </w:lvl>
    <w:lvl w:ilvl="3" w:tplc="2786CD52" w:tentative="1">
      <w:start w:val="1"/>
      <w:numFmt w:val="decimal"/>
      <w:lvlText w:val="%4."/>
      <w:lvlJc w:val="left"/>
      <w:pPr>
        <w:ind w:left="3087" w:hanging="360"/>
      </w:pPr>
    </w:lvl>
    <w:lvl w:ilvl="4" w:tplc="6E4E2E72" w:tentative="1">
      <w:start w:val="1"/>
      <w:numFmt w:val="lowerLetter"/>
      <w:lvlText w:val="%5."/>
      <w:lvlJc w:val="left"/>
      <w:pPr>
        <w:ind w:left="3807" w:hanging="360"/>
      </w:pPr>
    </w:lvl>
    <w:lvl w:ilvl="5" w:tplc="3DB0144C" w:tentative="1">
      <w:start w:val="1"/>
      <w:numFmt w:val="lowerRoman"/>
      <w:lvlText w:val="%6."/>
      <w:lvlJc w:val="right"/>
      <w:pPr>
        <w:ind w:left="4527" w:hanging="180"/>
      </w:pPr>
    </w:lvl>
    <w:lvl w:ilvl="6" w:tplc="1D4EAA88" w:tentative="1">
      <w:start w:val="1"/>
      <w:numFmt w:val="decimal"/>
      <w:lvlText w:val="%7."/>
      <w:lvlJc w:val="left"/>
      <w:pPr>
        <w:ind w:left="5247" w:hanging="360"/>
      </w:pPr>
    </w:lvl>
    <w:lvl w:ilvl="7" w:tplc="B426AD58" w:tentative="1">
      <w:start w:val="1"/>
      <w:numFmt w:val="lowerLetter"/>
      <w:lvlText w:val="%8."/>
      <w:lvlJc w:val="left"/>
      <w:pPr>
        <w:ind w:left="5967" w:hanging="360"/>
      </w:pPr>
    </w:lvl>
    <w:lvl w:ilvl="8" w:tplc="BF6E60C2" w:tentative="1">
      <w:start w:val="1"/>
      <w:numFmt w:val="lowerRoman"/>
      <w:lvlText w:val="%9."/>
      <w:lvlJc w:val="right"/>
      <w:pPr>
        <w:ind w:left="6687" w:hanging="180"/>
      </w:pPr>
    </w:lvl>
  </w:abstractNum>
  <w:abstractNum w:abstractNumId="6" w15:restartNumberingAfterBreak="0">
    <w:nsid w:val="47304255"/>
    <w:multiLevelType w:val="hybridMultilevel"/>
    <w:tmpl w:val="C7326558"/>
    <w:lvl w:ilvl="0" w:tplc="21A08332">
      <w:start w:val="1"/>
      <w:numFmt w:val="bullet"/>
      <w:lvlText w:val="-"/>
      <w:lvlJc w:val="left"/>
      <w:pPr>
        <w:ind w:left="927" w:hanging="360"/>
      </w:pPr>
      <w:rPr>
        <w:rFonts w:ascii="Century" w:eastAsia="Times New Roman" w:hAnsi="Century" w:cs="Times New Roman" w:hint="default"/>
      </w:rPr>
    </w:lvl>
    <w:lvl w:ilvl="1" w:tplc="A05C56D8" w:tentative="1">
      <w:start w:val="1"/>
      <w:numFmt w:val="bullet"/>
      <w:lvlText w:val="o"/>
      <w:lvlJc w:val="left"/>
      <w:pPr>
        <w:ind w:left="1647" w:hanging="360"/>
      </w:pPr>
      <w:rPr>
        <w:rFonts w:ascii="Courier New" w:hAnsi="Courier New" w:cs="Courier New" w:hint="default"/>
      </w:rPr>
    </w:lvl>
    <w:lvl w:ilvl="2" w:tplc="120A8F4E" w:tentative="1">
      <w:start w:val="1"/>
      <w:numFmt w:val="bullet"/>
      <w:lvlText w:val=""/>
      <w:lvlJc w:val="left"/>
      <w:pPr>
        <w:ind w:left="2367" w:hanging="360"/>
      </w:pPr>
      <w:rPr>
        <w:rFonts w:ascii="Wingdings" w:hAnsi="Wingdings" w:hint="default"/>
      </w:rPr>
    </w:lvl>
    <w:lvl w:ilvl="3" w:tplc="067649A4" w:tentative="1">
      <w:start w:val="1"/>
      <w:numFmt w:val="bullet"/>
      <w:lvlText w:val=""/>
      <w:lvlJc w:val="left"/>
      <w:pPr>
        <w:ind w:left="3087" w:hanging="360"/>
      </w:pPr>
      <w:rPr>
        <w:rFonts w:ascii="Symbol" w:hAnsi="Symbol" w:hint="default"/>
      </w:rPr>
    </w:lvl>
    <w:lvl w:ilvl="4" w:tplc="993C3F74" w:tentative="1">
      <w:start w:val="1"/>
      <w:numFmt w:val="bullet"/>
      <w:lvlText w:val="o"/>
      <w:lvlJc w:val="left"/>
      <w:pPr>
        <w:ind w:left="3807" w:hanging="360"/>
      </w:pPr>
      <w:rPr>
        <w:rFonts w:ascii="Courier New" w:hAnsi="Courier New" w:cs="Courier New" w:hint="default"/>
      </w:rPr>
    </w:lvl>
    <w:lvl w:ilvl="5" w:tplc="D0945104" w:tentative="1">
      <w:start w:val="1"/>
      <w:numFmt w:val="bullet"/>
      <w:lvlText w:val=""/>
      <w:lvlJc w:val="left"/>
      <w:pPr>
        <w:ind w:left="4527" w:hanging="360"/>
      </w:pPr>
      <w:rPr>
        <w:rFonts w:ascii="Wingdings" w:hAnsi="Wingdings" w:hint="default"/>
      </w:rPr>
    </w:lvl>
    <w:lvl w:ilvl="6" w:tplc="6A3E3F74" w:tentative="1">
      <w:start w:val="1"/>
      <w:numFmt w:val="bullet"/>
      <w:lvlText w:val=""/>
      <w:lvlJc w:val="left"/>
      <w:pPr>
        <w:ind w:left="5247" w:hanging="360"/>
      </w:pPr>
      <w:rPr>
        <w:rFonts w:ascii="Symbol" w:hAnsi="Symbol" w:hint="default"/>
      </w:rPr>
    </w:lvl>
    <w:lvl w:ilvl="7" w:tplc="A18286BC" w:tentative="1">
      <w:start w:val="1"/>
      <w:numFmt w:val="bullet"/>
      <w:lvlText w:val="o"/>
      <w:lvlJc w:val="left"/>
      <w:pPr>
        <w:ind w:left="5967" w:hanging="360"/>
      </w:pPr>
      <w:rPr>
        <w:rFonts w:ascii="Courier New" w:hAnsi="Courier New" w:cs="Courier New" w:hint="default"/>
      </w:rPr>
    </w:lvl>
    <w:lvl w:ilvl="8" w:tplc="75F8180A" w:tentative="1">
      <w:start w:val="1"/>
      <w:numFmt w:val="bullet"/>
      <w:lvlText w:val=""/>
      <w:lvlJc w:val="left"/>
      <w:pPr>
        <w:ind w:left="6687" w:hanging="360"/>
      </w:pPr>
      <w:rPr>
        <w:rFonts w:ascii="Wingdings" w:hAnsi="Wingdings" w:hint="default"/>
      </w:rPr>
    </w:lvl>
  </w:abstractNum>
  <w:abstractNum w:abstractNumId="7" w15:restartNumberingAfterBreak="0">
    <w:nsid w:val="6FC23309"/>
    <w:multiLevelType w:val="hybridMultilevel"/>
    <w:tmpl w:val="DEF4CE7E"/>
    <w:lvl w:ilvl="0" w:tplc="270EB57E">
      <w:start w:val="4"/>
      <w:numFmt w:val="bullet"/>
      <w:lvlText w:val="-"/>
      <w:lvlJc w:val="left"/>
      <w:pPr>
        <w:ind w:left="1069" w:hanging="360"/>
      </w:pPr>
      <w:rPr>
        <w:rFonts w:ascii="Century" w:eastAsiaTheme="minorHAnsi" w:hAnsi="Century" w:cs="Times New Roman" w:hint="default"/>
      </w:rPr>
    </w:lvl>
    <w:lvl w:ilvl="1" w:tplc="510C9FB8" w:tentative="1">
      <w:start w:val="1"/>
      <w:numFmt w:val="bullet"/>
      <w:lvlText w:val="o"/>
      <w:lvlJc w:val="left"/>
      <w:pPr>
        <w:ind w:left="1789" w:hanging="360"/>
      </w:pPr>
      <w:rPr>
        <w:rFonts w:ascii="Courier New" w:hAnsi="Courier New" w:cs="Courier New" w:hint="default"/>
      </w:rPr>
    </w:lvl>
    <w:lvl w:ilvl="2" w:tplc="BD366C34" w:tentative="1">
      <w:start w:val="1"/>
      <w:numFmt w:val="bullet"/>
      <w:lvlText w:val=""/>
      <w:lvlJc w:val="left"/>
      <w:pPr>
        <w:ind w:left="2509" w:hanging="360"/>
      </w:pPr>
      <w:rPr>
        <w:rFonts w:ascii="Wingdings" w:hAnsi="Wingdings" w:hint="default"/>
      </w:rPr>
    </w:lvl>
    <w:lvl w:ilvl="3" w:tplc="874A8BAE" w:tentative="1">
      <w:start w:val="1"/>
      <w:numFmt w:val="bullet"/>
      <w:lvlText w:val=""/>
      <w:lvlJc w:val="left"/>
      <w:pPr>
        <w:ind w:left="3229" w:hanging="360"/>
      </w:pPr>
      <w:rPr>
        <w:rFonts w:ascii="Symbol" w:hAnsi="Symbol" w:hint="default"/>
      </w:rPr>
    </w:lvl>
    <w:lvl w:ilvl="4" w:tplc="1D6C2ABA" w:tentative="1">
      <w:start w:val="1"/>
      <w:numFmt w:val="bullet"/>
      <w:lvlText w:val="o"/>
      <w:lvlJc w:val="left"/>
      <w:pPr>
        <w:ind w:left="3949" w:hanging="360"/>
      </w:pPr>
      <w:rPr>
        <w:rFonts w:ascii="Courier New" w:hAnsi="Courier New" w:cs="Courier New" w:hint="default"/>
      </w:rPr>
    </w:lvl>
    <w:lvl w:ilvl="5" w:tplc="9BAA4318" w:tentative="1">
      <w:start w:val="1"/>
      <w:numFmt w:val="bullet"/>
      <w:lvlText w:val=""/>
      <w:lvlJc w:val="left"/>
      <w:pPr>
        <w:ind w:left="4669" w:hanging="360"/>
      </w:pPr>
      <w:rPr>
        <w:rFonts w:ascii="Wingdings" w:hAnsi="Wingdings" w:hint="default"/>
      </w:rPr>
    </w:lvl>
    <w:lvl w:ilvl="6" w:tplc="7B66954E" w:tentative="1">
      <w:start w:val="1"/>
      <w:numFmt w:val="bullet"/>
      <w:lvlText w:val=""/>
      <w:lvlJc w:val="left"/>
      <w:pPr>
        <w:ind w:left="5389" w:hanging="360"/>
      </w:pPr>
      <w:rPr>
        <w:rFonts w:ascii="Symbol" w:hAnsi="Symbol" w:hint="default"/>
      </w:rPr>
    </w:lvl>
    <w:lvl w:ilvl="7" w:tplc="49C6B7EA" w:tentative="1">
      <w:start w:val="1"/>
      <w:numFmt w:val="bullet"/>
      <w:lvlText w:val="o"/>
      <w:lvlJc w:val="left"/>
      <w:pPr>
        <w:ind w:left="6109" w:hanging="360"/>
      </w:pPr>
      <w:rPr>
        <w:rFonts w:ascii="Courier New" w:hAnsi="Courier New" w:cs="Courier New" w:hint="default"/>
      </w:rPr>
    </w:lvl>
    <w:lvl w:ilvl="8" w:tplc="21668E8C" w:tentative="1">
      <w:start w:val="1"/>
      <w:numFmt w:val="bullet"/>
      <w:lvlText w:val=""/>
      <w:lvlJc w:val="left"/>
      <w:pPr>
        <w:ind w:left="6829" w:hanging="360"/>
      </w:pPr>
      <w:rPr>
        <w:rFonts w:ascii="Wingdings" w:hAnsi="Wingdings" w:hint="default"/>
      </w:rPr>
    </w:lvl>
  </w:abstractNum>
  <w:abstractNum w:abstractNumId="8" w15:restartNumberingAfterBreak="0">
    <w:nsid w:val="71471272"/>
    <w:multiLevelType w:val="hybridMultilevel"/>
    <w:tmpl w:val="72882EAE"/>
    <w:lvl w:ilvl="0" w:tplc="D7F215C4">
      <w:start w:val="1"/>
      <w:numFmt w:val="upperRoman"/>
      <w:pStyle w:val="Titre1"/>
      <w:lvlText w:val="%1."/>
      <w:lvlJc w:val="left"/>
      <w:pPr>
        <w:ind w:left="1287" w:hanging="720"/>
      </w:pPr>
      <w:rPr>
        <w:rFonts w:hint="default"/>
      </w:rPr>
    </w:lvl>
    <w:lvl w:ilvl="1" w:tplc="7430D3EA" w:tentative="1">
      <w:start w:val="1"/>
      <w:numFmt w:val="lowerLetter"/>
      <w:lvlText w:val="%2."/>
      <w:lvlJc w:val="left"/>
      <w:pPr>
        <w:ind w:left="1647" w:hanging="360"/>
      </w:pPr>
    </w:lvl>
    <w:lvl w:ilvl="2" w:tplc="57A610C4" w:tentative="1">
      <w:start w:val="1"/>
      <w:numFmt w:val="lowerRoman"/>
      <w:lvlText w:val="%3."/>
      <w:lvlJc w:val="right"/>
      <w:pPr>
        <w:ind w:left="2367" w:hanging="180"/>
      </w:pPr>
    </w:lvl>
    <w:lvl w:ilvl="3" w:tplc="9E9A0C1C" w:tentative="1">
      <w:start w:val="1"/>
      <w:numFmt w:val="decimal"/>
      <w:lvlText w:val="%4."/>
      <w:lvlJc w:val="left"/>
      <w:pPr>
        <w:ind w:left="3087" w:hanging="360"/>
      </w:pPr>
    </w:lvl>
    <w:lvl w:ilvl="4" w:tplc="F1B2E986" w:tentative="1">
      <w:start w:val="1"/>
      <w:numFmt w:val="lowerLetter"/>
      <w:lvlText w:val="%5."/>
      <w:lvlJc w:val="left"/>
      <w:pPr>
        <w:ind w:left="3807" w:hanging="360"/>
      </w:pPr>
    </w:lvl>
    <w:lvl w:ilvl="5" w:tplc="4AD8B41E" w:tentative="1">
      <w:start w:val="1"/>
      <w:numFmt w:val="lowerRoman"/>
      <w:lvlText w:val="%6."/>
      <w:lvlJc w:val="right"/>
      <w:pPr>
        <w:ind w:left="4527" w:hanging="180"/>
      </w:pPr>
    </w:lvl>
    <w:lvl w:ilvl="6" w:tplc="67CC7C06" w:tentative="1">
      <w:start w:val="1"/>
      <w:numFmt w:val="decimal"/>
      <w:lvlText w:val="%7."/>
      <w:lvlJc w:val="left"/>
      <w:pPr>
        <w:ind w:left="5247" w:hanging="360"/>
      </w:pPr>
    </w:lvl>
    <w:lvl w:ilvl="7" w:tplc="5ED48966" w:tentative="1">
      <w:start w:val="1"/>
      <w:numFmt w:val="lowerLetter"/>
      <w:lvlText w:val="%8."/>
      <w:lvlJc w:val="left"/>
      <w:pPr>
        <w:ind w:left="5967" w:hanging="360"/>
      </w:pPr>
    </w:lvl>
    <w:lvl w:ilvl="8" w:tplc="A37C45E0" w:tentative="1">
      <w:start w:val="1"/>
      <w:numFmt w:val="lowerRoman"/>
      <w:lvlText w:val="%9."/>
      <w:lvlJc w:val="right"/>
      <w:pPr>
        <w:ind w:left="6687" w:hanging="180"/>
      </w:pPr>
    </w:lvl>
  </w:abstractNum>
  <w:num w:numId="1" w16cid:durableId="696347045">
    <w:abstractNumId w:val="2"/>
  </w:num>
  <w:num w:numId="2" w16cid:durableId="240796391">
    <w:abstractNumId w:val="3"/>
  </w:num>
  <w:num w:numId="3" w16cid:durableId="1509711754">
    <w:abstractNumId w:val="0"/>
  </w:num>
  <w:num w:numId="4" w16cid:durableId="1302272896">
    <w:abstractNumId w:val="1"/>
  </w:num>
  <w:num w:numId="5" w16cid:durableId="2013296642">
    <w:abstractNumId w:val="5"/>
  </w:num>
  <w:num w:numId="6" w16cid:durableId="1316572165">
    <w:abstractNumId w:val="4"/>
  </w:num>
  <w:num w:numId="7" w16cid:durableId="1409307780">
    <w:abstractNumId w:val="7"/>
  </w:num>
  <w:num w:numId="8" w16cid:durableId="366108835">
    <w:abstractNumId w:val="8"/>
  </w:num>
  <w:num w:numId="9" w16cid:durableId="1991132224">
    <w:abstractNumId w:val="8"/>
  </w:num>
  <w:num w:numId="10" w16cid:durableId="1119059677">
    <w:abstractNumId w:val="4"/>
  </w:num>
  <w:num w:numId="11" w16cid:durableId="2108229525">
    <w:abstractNumId w:val="4"/>
  </w:num>
  <w:num w:numId="12" w16cid:durableId="1091589649">
    <w:abstractNumId w:val="4"/>
  </w:num>
  <w:num w:numId="13" w16cid:durableId="838539309">
    <w:abstractNumId w:val="4"/>
  </w:num>
  <w:num w:numId="14" w16cid:durableId="1943956231">
    <w:abstractNumId w:val="4"/>
  </w:num>
  <w:num w:numId="15" w16cid:durableId="524098147">
    <w:abstractNumId w:val="4"/>
  </w:num>
  <w:num w:numId="16" w16cid:durableId="1421758909">
    <w:abstractNumId w:val="4"/>
  </w:num>
  <w:num w:numId="17" w16cid:durableId="152255963">
    <w:abstractNumId w:val="4"/>
  </w:num>
  <w:num w:numId="18" w16cid:durableId="1017653761">
    <w:abstractNumId w:val="6"/>
  </w:num>
  <w:num w:numId="19" w16cid:durableId="193932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D46"/>
    <w:rsid w:val="00000B8D"/>
    <w:rsid w:val="0000306F"/>
    <w:rsid w:val="000217C0"/>
    <w:rsid w:val="00061E04"/>
    <w:rsid w:val="00066658"/>
    <w:rsid w:val="00076F7F"/>
    <w:rsid w:val="00086C5E"/>
    <w:rsid w:val="000D317E"/>
    <w:rsid w:val="000D364E"/>
    <w:rsid w:val="000D3BD6"/>
    <w:rsid w:val="000F7732"/>
    <w:rsid w:val="00102748"/>
    <w:rsid w:val="00107A2E"/>
    <w:rsid w:val="0011291F"/>
    <w:rsid w:val="00117A7E"/>
    <w:rsid w:val="001332B9"/>
    <w:rsid w:val="00136032"/>
    <w:rsid w:val="00136827"/>
    <w:rsid w:val="0014243F"/>
    <w:rsid w:val="001509F9"/>
    <w:rsid w:val="00161C77"/>
    <w:rsid w:val="00162279"/>
    <w:rsid w:val="00190FB2"/>
    <w:rsid w:val="001E431B"/>
    <w:rsid w:val="00220F41"/>
    <w:rsid w:val="00236AAF"/>
    <w:rsid w:val="00246862"/>
    <w:rsid w:val="0025545E"/>
    <w:rsid w:val="002663BA"/>
    <w:rsid w:val="002D289B"/>
    <w:rsid w:val="00306919"/>
    <w:rsid w:val="00315E47"/>
    <w:rsid w:val="00317A1B"/>
    <w:rsid w:val="003269B5"/>
    <w:rsid w:val="00326D88"/>
    <w:rsid w:val="0035797D"/>
    <w:rsid w:val="003617D5"/>
    <w:rsid w:val="003A436A"/>
    <w:rsid w:val="003D156D"/>
    <w:rsid w:val="003D5789"/>
    <w:rsid w:val="003E09B0"/>
    <w:rsid w:val="003E22D6"/>
    <w:rsid w:val="003F25F9"/>
    <w:rsid w:val="004103D9"/>
    <w:rsid w:val="00412E83"/>
    <w:rsid w:val="004601EC"/>
    <w:rsid w:val="00461B41"/>
    <w:rsid w:val="004708DA"/>
    <w:rsid w:val="0048065D"/>
    <w:rsid w:val="004B6D6E"/>
    <w:rsid w:val="004C685E"/>
    <w:rsid w:val="004D3887"/>
    <w:rsid w:val="004E42D6"/>
    <w:rsid w:val="004F1A03"/>
    <w:rsid w:val="00556957"/>
    <w:rsid w:val="00566E60"/>
    <w:rsid w:val="00567157"/>
    <w:rsid w:val="00577B4F"/>
    <w:rsid w:val="005A5C97"/>
    <w:rsid w:val="005D7455"/>
    <w:rsid w:val="005F2ED9"/>
    <w:rsid w:val="00602ECF"/>
    <w:rsid w:val="00636E05"/>
    <w:rsid w:val="0065013F"/>
    <w:rsid w:val="0066065D"/>
    <w:rsid w:val="006773C3"/>
    <w:rsid w:val="00694B18"/>
    <w:rsid w:val="006C380B"/>
    <w:rsid w:val="006C4BC7"/>
    <w:rsid w:val="006D6669"/>
    <w:rsid w:val="006D728D"/>
    <w:rsid w:val="006E403C"/>
    <w:rsid w:val="00703A85"/>
    <w:rsid w:val="00703E7B"/>
    <w:rsid w:val="00713FD6"/>
    <w:rsid w:val="0073365B"/>
    <w:rsid w:val="007409CE"/>
    <w:rsid w:val="00743F39"/>
    <w:rsid w:val="00747C76"/>
    <w:rsid w:val="00763558"/>
    <w:rsid w:val="007772F3"/>
    <w:rsid w:val="00790571"/>
    <w:rsid w:val="007A499E"/>
    <w:rsid w:val="007B3815"/>
    <w:rsid w:val="007B76D0"/>
    <w:rsid w:val="007C2D93"/>
    <w:rsid w:val="00800C82"/>
    <w:rsid w:val="00847563"/>
    <w:rsid w:val="0085368A"/>
    <w:rsid w:val="00887E2C"/>
    <w:rsid w:val="008973D4"/>
    <w:rsid w:val="008B6F07"/>
    <w:rsid w:val="009018AC"/>
    <w:rsid w:val="00924952"/>
    <w:rsid w:val="0092542D"/>
    <w:rsid w:val="0094184A"/>
    <w:rsid w:val="0094274C"/>
    <w:rsid w:val="0096567C"/>
    <w:rsid w:val="0096660C"/>
    <w:rsid w:val="009770DF"/>
    <w:rsid w:val="009A58E9"/>
    <w:rsid w:val="009B0365"/>
    <w:rsid w:val="009C6A50"/>
    <w:rsid w:val="009D11CE"/>
    <w:rsid w:val="009D2F6A"/>
    <w:rsid w:val="00A00D9A"/>
    <w:rsid w:val="00A121F0"/>
    <w:rsid w:val="00A152D6"/>
    <w:rsid w:val="00A4468C"/>
    <w:rsid w:val="00A621ED"/>
    <w:rsid w:val="00A64B7E"/>
    <w:rsid w:val="00A90C1F"/>
    <w:rsid w:val="00A935BC"/>
    <w:rsid w:val="00A96390"/>
    <w:rsid w:val="00AA33C4"/>
    <w:rsid w:val="00AA67FB"/>
    <w:rsid w:val="00AB5632"/>
    <w:rsid w:val="00B37392"/>
    <w:rsid w:val="00B47342"/>
    <w:rsid w:val="00B530A4"/>
    <w:rsid w:val="00B54B32"/>
    <w:rsid w:val="00B60EDB"/>
    <w:rsid w:val="00B61965"/>
    <w:rsid w:val="00B61E9E"/>
    <w:rsid w:val="00B65C60"/>
    <w:rsid w:val="00B735B0"/>
    <w:rsid w:val="00B76867"/>
    <w:rsid w:val="00B873B6"/>
    <w:rsid w:val="00BB4B8A"/>
    <w:rsid w:val="00BC78D5"/>
    <w:rsid w:val="00BD69D5"/>
    <w:rsid w:val="00C21328"/>
    <w:rsid w:val="00C3078E"/>
    <w:rsid w:val="00C31966"/>
    <w:rsid w:val="00C47D72"/>
    <w:rsid w:val="00C606A4"/>
    <w:rsid w:val="00C72B80"/>
    <w:rsid w:val="00C74BA5"/>
    <w:rsid w:val="00C77EF4"/>
    <w:rsid w:val="00C90884"/>
    <w:rsid w:val="00CA000D"/>
    <w:rsid w:val="00CA04A4"/>
    <w:rsid w:val="00CA0CE0"/>
    <w:rsid w:val="00CA61E8"/>
    <w:rsid w:val="00CA7195"/>
    <w:rsid w:val="00CB5138"/>
    <w:rsid w:val="00CC4E4B"/>
    <w:rsid w:val="00CC6167"/>
    <w:rsid w:val="00CF09F3"/>
    <w:rsid w:val="00D56223"/>
    <w:rsid w:val="00D5775E"/>
    <w:rsid w:val="00D63E3E"/>
    <w:rsid w:val="00D66037"/>
    <w:rsid w:val="00D71331"/>
    <w:rsid w:val="00D87655"/>
    <w:rsid w:val="00D924E5"/>
    <w:rsid w:val="00DA26B4"/>
    <w:rsid w:val="00DC5A9D"/>
    <w:rsid w:val="00DC75AC"/>
    <w:rsid w:val="00DD0047"/>
    <w:rsid w:val="00DD2DA3"/>
    <w:rsid w:val="00DE58E2"/>
    <w:rsid w:val="00E05164"/>
    <w:rsid w:val="00E1024C"/>
    <w:rsid w:val="00E13272"/>
    <w:rsid w:val="00E168CD"/>
    <w:rsid w:val="00E16EE9"/>
    <w:rsid w:val="00E3428A"/>
    <w:rsid w:val="00E468AE"/>
    <w:rsid w:val="00E53FDC"/>
    <w:rsid w:val="00E66112"/>
    <w:rsid w:val="00E857C8"/>
    <w:rsid w:val="00EA00E6"/>
    <w:rsid w:val="00EB1756"/>
    <w:rsid w:val="00EB7886"/>
    <w:rsid w:val="00EF0A3D"/>
    <w:rsid w:val="00F10A89"/>
    <w:rsid w:val="00F21322"/>
    <w:rsid w:val="00F3130A"/>
    <w:rsid w:val="00F56AAC"/>
    <w:rsid w:val="00FB2453"/>
    <w:rsid w:val="00FE144B"/>
    <w:rsid w:val="00FE32BA"/>
    <w:rsid w:val="00FE5D46"/>
    <w:rsid w:val="00FF5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A26"/>
  <w15:chartTrackingRefBased/>
  <w15:docId w15:val="{7D948073-FD95-4711-A17C-10CEB185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Paragraphedeliste"/>
    <w:link w:val="Titre1Car"/>
    <w:uiPriority w:val="9"/>
    <w:qFormat/>
    <w:rsid w:val="00DC5A9D"/>
    <w:pPr>
      <w:numPr>
        <w:numId w:val="8"/>
      </w:numPr>
      <w:ind w:right="567"/>
      <w:jc w:val="both"/>
      <w:outlineLvl w:val="0"/>
    </w:pPr>
    <w:rPr>
      <w:rFonts w:ascii="Century" w:hAnsi="Century"/>
      <w:smallCaps/>
      <w:lang w:val="fr-FR"/>
    </w:rPr>
  </w:style>
  <w:style w:type="paragraph" w:styleId="Titre2">
    <w:name w:val="heading 2"/>
    <w:basedOn w:val="Paragraphedeliste"/>
    <w:link w:val="Titre2Car"/>
    <w:uiPriority w:val="9"/>
    <w:qFormat/>
    <w:rsid w:val="00C47D72"/>
    <w:pPr>
      <w:numPr>
        <w:numId w:val="6"/>
      </w:numPr>
      <w:ind w:right="567"/>
      <w:jc w:val="both"/>
      <w:outlineLvl w:val="1"/>
    </w:pPr>
    <w:rPr>
      <w:rFonts w:ascii="Century" w:hAnsi="Century"/>
      <w: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lang w:val="fr-BE" w:eastAsia="fr-FR"/>
    </w:rPr>
  </w:style>
  <w:style w:type="paragraph" w:styleId="Notedebasdepage">
    <w:name w:val="footnote text"/>
    <w:aliases w:val=" Car Char Char, Car Char1,Car Char Char,Car Char1,Footnote,Footnote Car Car Car Car Car,Footnote Text Char Char,Footnote Text Char1,Footnote texte,Footnote2 Car,Footnote2 Car Car Car,Footnotes,Ftnote-texte,fn"/>
    <w:basedOn w:val="Normal"/>
    <w:link w:val="NotedebasdepageCar"/>
    <w:uiPriority w:val="99"/>
    <w:unhideWhenUsed/>
    <w:qFormat/>
    <w:pPr>
      <w:spacing w:after="0" w:line="240" w:lineRule="auto"/>
    </w:pPr>
    <w:rPr>
      <w:sz w:val="20"/>
      <w:szCs w:val="20"/>
    </w:rPr>
  </w:style>
  <w:style w:type="character" w:customStyle="1" w:styleId="NotedebasdepageCar">
    <w:name w:val="Note de bas de page Car"/>
    <w:aliases w:val=" Car Char Char Car, Car Char1 Car,Car Char Char Car,Car Char1 Car,Footnote Car,Footnote Car Car Car Car Car Car,Footnote Text Char Char Car,Footnote Text Char1 Car,Footnote texte Car,Footnote2 Car Car,Footnote2 Car Car Car Car"/>
    <w:basedOn w:val="Policepardfaut"/>
    <w:link w:val="Notedebasdepage"/>
    <w:uiPriority w:val="99"/>
    <w:rPr>
      <w:sz w:val="20"/>
      <w:szCs w:val="20"/>
    </w:rPr>
  </w:style>
  <w:style w:type="character" w:styleId="Appelnotedebasdep">
    <w:name w:val="footnote reference"/>
    <w:aliases w:val="-E,Appel note de bas de,Appel note de bas de page,BVI fnr,EN Footnote Reference,Exposant 3 Point,Footnote reference number,Footnote symbol,Footnote1,Ref,SUPERS,Times 10 Point,callout,de nota al pie,note TESI,numb,number,stylish"/>
    <w:basedOn w:val="Policepardfaut"/>
    <w:uiPriority w:val="99"/>
    <w:unhideWhenUsed/>
    <w:rPr>
      <w:vertAlign w:val="superscript"/>
    </w:rPr>
  </w:style>
  <w:style w:type="character" w:styleId="Lienhypertexte">
    <w:name w:val="Hyperlink"/>
    <w:basedOn w:val="Policepardfaut"/>
    <w:uiPriority w:val="99"/>
    <w:unhideWhenUsed/>
    <w:rPr>
      <w:color w:val="0000FF" w:themeColor="hyperlink"/>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FootnoteTextChar2">
    <w:name w:val="Footnote Text Char2"/>
    <w:aliases w:val=" Car Char Char Char, Car Char1 Char,Car Char Char Char,Car Char1 Char,Footnote Text Char Char Char,Footnote Text Char Char1,Footnote Text Char1 Char,Footnote texte Char,Footnote2 Car Char,Footnotes Char,Ftnote-texte Char,fn Char"/>
    <w:basedOn w:val="Policepardfaut"/>
    <w:uiPriority w:val="99"/>
    <w:rPr>
      <w:rFonts w:ascii="Times New Roman" w:eastAsia="Times New Roman" w:hAnsi="Times New Roman" w:cs="Times New Roman"/>
      <w:sz w:val="20"/>
      <w:szCs w:val="20"/>
      <w:lang w:val="fr-FR" w:eastAsia="fr-FR"/>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eastAsia="fr-FR"/>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rsid w:val="00DC5A9D"/>
    <w:rPr>
      <w:rFonts w:ascii="Century" w:eastAsia="Times New Roman" w:hAnsi="Century" w:cs="Times New Roman"/>
      <w:smallCaps/>
      <w:sz w:val="24"/>
      <w:szCs w:val="24"/>
      <w:lang w:val="fr-FR" w:eastAsia="fr-FR"/>
    </w:rPr>
  </w:style>
  <w:style w:type="character" w:customStyle="1" w:styleId="Titre2Car">
    <w:name w:val="Titre 2 Car"/>
    <w:basedOn w:val="Policepardfaut"/>
    <w:link w:val="Titre2"/>
    <w:uiPriority w:val="9"/>
    <w:rsid w:val="00C47D72"/>
    <w:rPr>
      <w:rFonts w:ascii="Century" w:eastAsia="Times New Roman" w:hAnsi="Century" w:cs="Times New Roman"/>
      <w:i/>
      <w:lang w:val="fr-BE" w:eastAsia="fr-FR"/>
    </w:rPr>
  </w:style>
  <w:style w:type="character" w:customStyle="1" w:styleId="markl5oml46xr">
    <w:name w:val="markl5oml46xr"/>
    <w:basedOn w:val="Policepardfaut"/>
  </w:style>
  <w:style w:type="paragraph" w:styleId="En-ttedetabledesmatires">
    <w:name w:val="TOC Heading"/>
    <w:basedOn w:val="Titre1"/>
    <w:next w:val="Normal"/>
    <w:uiPriority w:val="39"/>
    <w:unhideWhenUsed/>
    <w:qFormat/>
    <w:pPr>
      <w:keepNext/>
      <w:keepLines/>
      <w:spacing w:before="240" w:line="259" w:lineRule="auto"/>
      <w:outlineLvl w:val="9"/>
    </w:pPr>
    <w:rPr>
      <w:rFonts w:asciiTheme="majorHAnsi" w:eastAsiaTheme="majorEastAsia" w:hAnsiTheme="majorHAnsi" w:cstheme="majorBidi"/>
      <w:b/>
      <w:bCs/>
      <w:color w:val="365F91" w:themeColor="accent1" w:themeShade="BF"/>
      <w:sz w:val="32"/>
      <w:szCs w:val="32"/>
      <w:lang w:val="en-US" w:eastAsia="en-US"/>
    </w:rPr>
  </w:style>
  <w:style w:type="character" w:customStyle="1" w:styleId="small-caps">
    <w:name w:val="small-caps"/>
    <w:basedOn w:val="Policepardfaut"/>
  </w:style>
  <w:style w:type="paragraph" w:styleId="Textedebulles">
    <w:name w:val="Balloon Text"/>
    <w:basedOn w:val="Normal"/>
    <w:link w:val="TextedebullesCar"/>
    <w:uiPriority w:val="99"/>
    <w:semiHidden/>
    <w:unhideWhenUsed/>
    <w:rsid w:val="00136827"/>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36827"/>
    <w:rPr>
      <w:rFonts w:ascii="Times New Roman" w:hAnsi="Times New Roman" w:cs="Times New Roman"/>
      <w:sz w:val="18"/>
      <w:szCs w:val="18"/>
    </w:rPr>
  </w:style>
  <w:style w:type="paragraph" w:styleId="TM1">
    <w:name w:val="toc 1"/>
    <w:basedOn w:val="Normal"/>
    <w:next w:val="Normal"/>
    <w:autoRedefine/>
    <w:uiPriority w:val="39"/>
    <w:unhideWhenUsed/>
    <w:rsid w:val="00DC5A9D"/>
    <w:pPr>
      <w:spacing w:before="360" w:after="0"/>
    </w:pPr>
    <w:rPr>
      <w:rFonts w:asciiTheme="majorHAnsi" w:hAnsiTheme="majorHAnsi"/>
      <w:b/>
      <w:bCs/>
      <w:caps/>
      <w:sz w:val="24"/>
      <w:szCs w:val="24"/>
    </w:rPr>
  </w:style>
  <w:style w:type="paragraph" w:styleId="TM2">
    <w:name w:val="toc 2"/>
    <w:basedOn w:val="Normal"/>
    <w:next w:val="Normal"/>
    <w:autoRedefine/>
    <w:uiPriority w:val="39"/>
    <w:unhideWhenUsed/>
    <w:rsid w:val="00DC5A9D"/>
    <w:pPr>
      <w:spacing w:before="240" w:after="0"/>
    </w:pPr>
    <w:rPr>
      <w:rFonts w:cstheme="minorHAnsi"/>
      <w:b/>
      <w:bCs/>
      <w:sz w:val="20"/>
      <w:szCs w:val="20"/>
    </w:rPr>
  </w:style>
  <w:style w:type="paragraph" w:styleId="TM3">
    <w:name w:val="toc 3"/>
    <w:basedOn w:val="Normal"/>
    <w:next w:val="Normal"/>
    <w:autoRedefine/>
    <w:uiPriority w:val="39"/>
    <w:unhideWhenUsed/>
    <w:rsid w:val="00DC5A9D"/>
    <w:pPr>
      <w:spacing w:after="0"/>
      <w:ind w:left="220"/>
    </w:pPr>
    <w:rPr>
      <w:rFonts w:cstheme="minorHAnsi"/>
      <w:sz w:val="20"/>
      <w:szCs w:val="20"/>
    </w:rPr>
  </w:style>
  <w:style w:type="paragraph" w:styleId="TM4">
    <w:name w:val="toc 4"/>
    <w:basedOn w:val="Normal"/>
    <w:next w:val="Normal"/>
    <w:autoRedefine/>
    <w:uiPriority w:val="39"/>
    <w:unhideWhenUsed/>
    <w:rsid w:val="00DC5A9D"/>
    <w:pPr>
      <w:spacing w:after="0"/>
      <w:ind w:left="440"/>
    </w:pPr>
    <w:rPr>
      <w:rFonts w:cstheme="minorHAnsi"/>
      <w:sz w:val="20"/>
      <w:szCs w:val="20"/>
    </w:rPr>
  </w:style>
  <w:style w:type="paragraph" w:styleId="TM5">
    <w:name w:val="toc 5"/>
    <w:basedOn w:val="Normal"/>
    <w:next w:val="Normal"/>
    <w:autoRedefine/>
    <w:uiPriority w:val="39"/>
    <w:unhideWhenUsed/>
    <w:rsid w:val="00DC5A9D"/>
    <w:pPr>
      <w:spacing w:after="0"/>
      <w:ind w:left="660"/>
    </w:pPr>
    <w:rPr>
      <w:rFonts w:cstheme="minorHAnsi"/>
      <w:sz w:val="20"/>
      <w:szCs w:val="20"/>
    </w:rPr>
  </w:style>
  <w:style w:type="paragraph" w:styleId="TM6">
    <w:name w:val="toc 6"/>
    <w:basedOn w:val="Normal"/>
    <w:next w:val="Normal"/>
    <w:autoRedefine/>
    <w:uiPriority w:val="39"/>
    <w:unhideWhenUsed/>
    <w:rsid w:val="00DC5A9D"/>
    <w:pPr>
      <w:spacing w:after="0"/>
      <w:ind w:left="880"/>
    </w:pPr>
    <w:rPr>
      <w:rFonts w:cstheme="minorHAnsi"/>
      <w:sz w:val="20"/>
      <w:szCs w:val="20"/>
    </w:rPr>
  </w:style>
  <w:style w:type="paragraph" w:styleId="TM7">
    <w:name w:val="toc 7"/>
    <w:basedOn w:val="Normal"/>
    <w:next w:val="Normal"/>
    <w:autoRedefine/>
    <w:uiPriority w:val="39"/>
    <w:unhideWhenUsed/>
    <w:rsid w:val="00DC5A9D"/>
    <w:pPr>
      <w:spacing w:after="0"/>
      <w:ind w:left="1100"/>
    </w:pPr>
    <w:rPr>
      <w:rFonts w:cstheme="minorHAnsi"/>
      <w:sz w:val="20"/>
      <w:szCs w:val="20"/>
    </w:rPr>
  </w:style>
  <w:style w:type="paragraph" w:styleId="TM8">
    <w:name w:val="toc 8"/>
    <w:basedOn w:val="Normal"/>
    <w:next w:val="Normal"/>
    <w:autoRedefine/>
    <w:uiPriority w:val="39"/>
    <w:unhideWhenUsed/>
    <w:rsid w:val="00DC5A9D"/>
    <w:pPr>
      <w:spacing w:after="0"/>
      <w:ind w:left="1320"/>
    </w:pPr>
    <w:rPr>
      <w:rFonts w:cstheme="minorHAnsi"/>
      <w:sz w:val="20"/>
      <w:szCs w:val="20"/>
    </w:rPr>
  </w:style>
  <w:style w:type="paragraph" w:styleId="TM9">
    <w:name w:val="toc 9"/>
    <w:basedOn w:val="Normal"/>
    <w:next w:val="Normal"/>
    <w:autoRedefine/>
    <w:uiPriority w:val="39"/>
    <w:unhideWhenUsed/>
    <w:rsid w:val="00DC5A9D"/>
    <w:pPr>
      <w:spacing w:after="0"/>
      <w:ind w:left="1540"/>
    </w:pPr>
    <w:rPr>
      <w:rFonts w:cstheme="minorHAnsi"/>
      <w:sz w:val="20"/>
      <w:szCs w:val="20"/>
    </w:rPr>
  </w:style>
  <w:style w:type="paragraph" w:styleId="Pieddepage">
    <w:name w:val="footer"/>
    <w:basedOn w:val="Normal"/>
    <w:link w:val="PieddepageCar"/>
    <w:uiPriority w:val="99"/>
    <w:unhideWhenUsed/>
    <w:rsid w:val="006D728D"/>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D728D"/>
  </w:style>
  <w:style w:type="character" w:styleId="Numrodepage">
    <w:name w:val="page number"/>
    <w:basedOn w:val="Policepardfaut"/>
    <w:uiPriority w:val="99"/>
    <w:semiHidden/>
    <w:unhideWhenUsed/>
    <w:rsid w:val="006D728D"/>
  </w:style>
  <w:style w:type="paragraph" w:styleId="En-tte">
    <w:name w:val="header"/>
    <w:basedOn w:val="Normal"/>
    <w:link w:val="En-tteCar"/>
    <w:uiPriority w:val="99"/>
    <w:unhideWhenUsed/>
    <w:rsid w:val="006D728D"/>
    <w:pPr>
      <w:tabs>
        <w:tab w:val="center" w:pos="4513"/>
        <w:tab w:val="right" w:pos="9026"/>
      </w:tabs>
      <w:spacing w:after="0" w:line="240" w:lineRule="auto"/>
    </w:pPr>
  </w:style>
  <w:style w:type="character" w:customStyle="1" w:styleId="En-tteCar">
    <w:name w:val="En-tête Car"/>
    <w:basedOn w:val="Policepardfaut"/>
    <w:link w:val="En-tte"/>
    <w:uiPriority w:val="99"/>
    <w:rsid w:val="006D728D"/>
  </w:style>
  <w:style w:type="paragraph" w:styleId="Rvision">
    <w:name w:val="Revision"/>
    <w:hidden/>
    <w:uiPriority w:val="99"/>
    <w:semiHidden/>
    <w:rsid w:val="00A935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riksdagen.se/globalassets/07.-dokument--lagar/the-instrument-of-government-2015.pdf" TargetMode="External"/><Relationship Id="rId3" Type="http://schemas.openxmlformats.org/officeDocument/2006/relationships/hyperlink" Target="http://archive.ipu.org/parline-f/reports/1191.htm" TargetMode="External"/><Relationship Id="rId7" Type="http://schemas.openxmlformats.org/officeDocument/2006/relationships/hyperlink" Target="https://www.nieuwsblad.be/cnt/dmf20230411_94963058" TargetMode="External"/><Relationship Id="rId2" Type="http://schemas.openxmlformats.org/officeDocument/2006/relationships/hyperlink" Target="https://blog.juspoliticum.com/2021/01/11/decembre-2018-octobre-2020-la-derniere-crise-politique-de-letat-belge-la-plus-profonde-2-2-par-hugues-dumont/" TargetMode="External"/><Relationship Id="rId1" Type="http://schemas.openxmlformats.org/officeDocument/2006/relationships/hyperlink" Target="https://blog.juspoliticum.com/2021/01/11/decembre-2018-octobre-2020-la-derniere-crise-politique-de-letat-belge-la-plus-profonde-1-2-par-hugues-dumont/" TargetMode="External"/><Relationship Id="rId6" Type="http://schemas.openxmlformats.org/officeDocument/2006/relationships/hyperlink" Target="https://www.ecanz.gov.au/electoral-systems/preferential" TargetMode="External"/><Relationship Id="rId5" Type="http://schemas.openxmlformats.org/officeDocument/2006/relationships/hyperlink" Target="https://parlinfo.aph.gov.au/parlInfo/download/library/prspub/8533574/upload_binary/8533574.pdf" TargetMode="External"/><Relationship Id="rId10" Type="http://schemas.openxmlformats.org/officeDocument/2006/relationships/hyperlink" Target="https://www.nieuwsblad.be/cnt/dmf20230411_94963058" TargetMode="External"/><Relationship Id="rId4" Type="http://schemas.openxmlformats.org/officeDocument/2006/relationships/hyperlink" Target="https://elections.public.lu/fr/systeme-electoral/legislatives-mode-emploi/principes.html" TargetMode="External"/><Relationship Id="rId9" Type="http://schemas.openxmlformats.org/officeDocument/2006/relationships/hyperlink" Target="https://blog.juspoliticum.com/2018/06/15/espagne-la-motion-de-censure-peu-constructive-qui-a-porte-pedro-sanchez-au-pouvoir-par-anthony-sf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4bbd6b-feee-4e83-af67-bae285affc4e">
      <Value>1</Value>
    </TaxCatchAll>
    <ad95ca8e6d374ac9805bbce3e964f1d8 xmlns="85feddba-ed4f-4aed-a5a5-3a2ffe8839f6">
      <Terms xmlns="http://schemas.microsoft.com/office/infopath/2007/PartnerControls">
        <TermInfo>
          <TermName>Personal</TermName>
          <TermId>1dab57c5-e905-46c5-962d-90280970eae8</TermId>
        </TermInfo>
      </Terms>
    </ad95ca8e6d374ac9805bbce3e964f1d8>
    <nea3f4ed40d04dbd8672a707f28fb94f xmlns="85feddba-ed4f-4aed-a5a5-3a2ffe8839f6">
      <Terms xmlns="http://schemas.microsoft.com/office/infopath/2007/PartnerControls"/>
    </nea3f4ed40d04dbd8672a707f28fb94f>
    <SupportDepartment xmlns="85feddba-ed4f-4aed-a5a5-3a2ffe8839f6" xmlns:ns1="http://www.w3.org/2001/XMLSchema-instance" ns1:nil="true"/>
    <Notes1 xmlns="85feddba-ed4f-4aed-a5a5-3a2ffe8839f6" xmlns:ns1="http://www.w3.org/2001/XMLSchema-instance" ns1:nil="true"/>
    <_dlc_DocId xmlns="85feddba-ed4f-4aed-a5a5-3a2ffe8839f6">9505859</_dlc_DocId>
    <_dlc_DocIdUrl xmlns="85feddba-ed4f-4aed-a5a5-3a2ffe8839f6">
      <Url>http://dms/data/JORE/_layouts/15/DocIdRedir.aspx?ID=9505859</Url>
      <Description>9505859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ersonal Documents" ma:contentTypeID="0x0101003E2A0483666C4048A7AE81B505A57888007B122129984A6A4C963E5C757754443E" ma:contentTypeVersion="2" ma:contentTypeDescription="" ma:contentTypeScope="" ma:versionID="8b0c98a01bef4439f2333bcce4460fee">
  <xsd:schema xmlns:xsd="http://www.w3.org/2001/XMLSchema" xmlns:xs="http://www.w3.org/2001/XMLSchema" xmlns:p="http://schemas.microsoft.com/office/2006/metadata/properties" xmlns:ns2="85feddba-ed4f-4aed-a5a5-3a2ffe8839f6" xmlns:ns3="074bbd6b-feee-4e83-af67-bae285affc4e" targetNamespace="http://schemas.microsoft.com/office/2006/metadata/properties" ma:root="true" ma:fieldsID="0f18bc46e0a8cd15638f84999e61b703" ns2:_="" ns3:_="">
    <xsd:import namespace="85feddba-ed4f-4aed-a5a5-3a2ffe8839f6"/>
    <xsd:import namespace="074bbd6b-feee-4e83-af67-bae285affc4e"/>
    <xsd:element name="properties">
      <xsd:complexType>
        <xsd:sequence>
          <xsd:element name="documentManagement">
            <xsd:complexType>
              <xsd:all>
                <xsd:element ref="ns2:ad95ca8e6d374ac9805bbce3e964f1d8" minOccurs="0"/>
                <xsd:element ref="ns3:TaxCatchAll" minOccurs="0"/>
                <xsd:element ref="ns3:TaxCatchAllLabel" minOccurs="0"/>
                <xsd:element ref="ns2:nea3f4ed40d04dbd8672a707f28fb94f" minOccurs="0"/>
                <xsd:element ref="ns2:SupportDepartment" minOccurs="0"/>
                <xsd:element ref="ns2:Notes1"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eddba-ed4f-4aed-a5a5-3a2ffe8839f6" elementFormDefault="qualified">
    <xsd:import namespace="http://schemas.microsoft.com/office/2006/documentManagement/types"/>
    <xsd:import namespace="http://schemas.microsoft.com/office/infopath/2007/PartnerControls"/>
    <xsd:element name="ad95ca8e6d374ac9805bbce3e964f1d8" ma:index="8" nillable="true" ma:taxonomy="true" ma:internalName="ad95ca8e6d374ac9805bbce3e964f1d8" ma:taxonomyFieldName="WorkspaceType" ma:displayName="WorkspaceType" ma:default="1;#Personal|1dab57c5-e905-46c5-962d-90280970eae8" ma:fieldId="{ad95ca8e-6d37-4ac9-805b-bce3e964f1d8}" ma:sspId="70c07ca6-b688-42af-b06c-e61464fbd6e9" ma:termSetId="d6ed0937-8684-4609-85cf-71aa38a8429c" ma:anchorId="00000000-0000-0000-0000-000000000000" ma:open="false" ma:isKeyword="false">
      <xsd:complexType>
        <xsd:sequence>
          <xsd:element ref="pc:Terms" minOccurs="0" maxOccurs="1"/>
        </xsd:sequence>
      </xsd:complexType>
    </xsd:element>
    <xsd:element name="nea3f4ed40d04dbd8672a707f28fb94f" ma:index="12" nillable="true" ma:taxonomy="true" ma:internalName="nea3f4ed40d04dbd8672a707f28fb94f" ma:taxonomyFieldName="PracticeGroup" ma:displayName="PracticeGroup" ma:default="" ma:fieldId="{7ea3f4ed-40d0-4dbd-8672-a707f28fb94f}" ma:sspId="70c07ca6-b688-42af-b06c-e61464fbd6e9" ma:termSetId="abacd0fb-96dd-4c81-9019-1a27567f2c56" ma:anchorId="00000000-0000-0000-0000-000000000000" ma:open="false" ma:isKeyword="false">
      <xsd:complexType>
        <xsd:sequence>
          <xsd:element ref="pc:Terms" minOccurs="0" maxOccurs="1"/>
        </xsd:sequence>
      </xsd:complexType>
    </xsd:element>
    <xsd:element name="SupportDepartment" ma:index="14" nillable="true" ma:displayName="SupportDepartment" ma:format="Dropdown" ma:internalName="SupportDepartment">
      <xsd:simpleType>
        <xsd:restriction base="dms:Choice">
          <xsd:enumeration value="IT"/>
          <xsd:enumeration value="Marketing"/>
          <xsd:enumeration value="HRL"/>
          <xsd:enumeration value="HRP"/>
          <xsd:enumeration value="Building&amp;Facilities"/>
          <xsd:enumeration value="Accounting"/>
        </xsd:restriction>
      </xsd:simpleType>
    </xsd:element>
    <xsd:element name="Notes1" ma:index="15" nillable="true" ma:displayName="Notes" ma:internalName="Notes1">
      <xsd:simpleType>
        <xsd:restriction base="dms:Note">
          <xsd:maxLength value="255"/>
        </xsd:restriction>
      </xsd:simple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74bbd6b-feee-4e83-af67-bae285affc4e"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35B91C0-5E3A-42C5-B575-A7D4DC34EC0B}" ma:internalName="TaxCatchAll" ma:showField="CatchAllData" ma:web="{d2608a9d-77d2-4a89-9201-b9ae29cd59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35B91C0-5E3A-42C5-B575-A7D4DC34EC0B}" ma:internalName="TaxCatchAllLabel" ma:readOnly="true" ma:showField="CatchAllDataLabel" ma:web="{d2608a9d-77d2-4a89-9201-b9ae29cd592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3B66B-E46F-46BA-B787-C6E0C7747E64}">
  <ds:schemaRefs>
    <ds:schemaRef ds:uri="http://schemas.microsoft.com/sharepoint/v3/contenttype/forms"/>
  </ds:schemaRefs>
</ds:datastoreItem>
</file>

<file path=customXml/itemProps2.xml><?xml version="1.0" encoding="utf-8"?>
<ds:datastoreItem xmlns:ds="http://schemas.openxmlformats.org/officeDocument/2006/customXml" ds:itemID="{5188C124-C0EF-43DA-A3A4-FC4ACA3AF651}">
  <ds:schemaRefs>
    <ds:schemaRef ds:uri="http://schemas.microsoft.com/office/2006/metadata/properties"/>
    <ds:schemaRef ds:uri="http://schemas.microsoft.com/office/infopath/2007/PartnerControls"/>
    <ds:schemaRef ds:uri="074bbd6b-feee-4e83-af67-bae285affc4e"/>
    <ds:schemaRef ds:uri="85feddba-ed4f-4aed-a5a5-3a2ffe8839f6"/>
  </ds:schemaRefs>
</ds:datastoreItem>
</file>

<file path=customXml/itemProps3.xml><?xml version="1.0" encoding="utf-8"?>
<ds:datastoreItem xmlns:ds="http://schemas.openxmlformats.org/officeDocument/2006/customXml" ds:itemID="{7B58CEC3-5101-46BE-9865-1754D74D4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eddba-ed4f-4aed-a5a5-3a2ffe8839f6"/>
    <ds:schemaRef ds:uri="074bbd6b-feee-4e83-af67-bae285aff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045DBC-9B69-4B19-A42E-5DA1396BD186}">
  <ds:schemaRefs>
    <ds:schemaRef ds:uri="http://schemas.microsoft.com/sharepoint/events"/>
  </ds:schemaRefs>
</ds:datastoreItem>
</file>

<file path=customXml/itemProps5.xml><?xml version="1.0" encoding="utf-8"?>
<ds:datastoreItem xmlns:ds="http://schemas.openxmlformats.org/officeDocument/2006/customXml" ds:itemID="{AB40231D-AE05-2849-922C-675F5946C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38</Pages>
  <Words>12619</Words>
  <Characters>69405</Characters>
  <Application>Microsoft Office Word</Application>
  <DocSecurity>0</DocSecurity>
  <Lines>578</Lines>
  <Paragraphs>163</Paragraphs>
  <ScaleCrop>false</ScaleCrop>
  <HeadingPairs>
    <vt:vector size="4" baseType="variant">
      <vt:variant>
        <vt:lpstr>Titre</vt:lpstr>
      </vt:variant>
      <vt:variant>
        <vt:i4>1</vt:i4>
      </vt:variant>
      <vt:variant>
        <vt:lpstr/>
      </vt:variant>
      <vt:variant>
        <vt:i4>1</vt:i4>
      </vt:variant>
    </vt:vector>
  </HeadingPairs>
  <TitlesOfParts>
    <vt:vector size="2" baseType="lpstr">
      <vt:lpstr/>
      <vt:lpstr/>
    </vt:vector>
  </TitlesOfParts>
  <Company/>
  <LinksUpToDate>false</LinksUpToDate>
  <CharactersWithSpaces>81861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Renaux Jonathan</dc:creator>
  <cp:lastModifiedBy>Hugues Dumont</cp:lastModifiedBy>
  <cp:revision>15</cp:revision>
  <dcterms:created xsi:type="dcterms:W3CDTF">2023-07-25T09:54:00Z</dcterms:created>
  <dcterms:modified xsi:type="dcterms:W3CDTF">2023-08-30T14:53:00Z</dcterms:modified>
</cp:coreProperties>
</file>