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44F9D" w14:textId="39110DE1" w:rsidR="00F03D1D" w:rsidRDefault="00F03D1D">
      <w:pPr>
        <w:rPr>
          <w:lang w:val="nl-BE"/>
        </w:rPr>
      </w:pPr>
    </w:p>
    <w:p w14:paraId="256F0664" w14:textId="77777777" w:rsidR="003D07EC" w:rsidRDefault="003D07EC">
      <w:pPr>
        <w:rPr>
          <w:lang w:val="nl-BE"/>
        </w:rPr>
      </w:pPr>
    </w:p>
    <w:p w14:paraId="2F54E154" w14:textId="77777777" w:rsidR="003D07EC" w:rsidRDefault="003D07EC">
      <w:pPr>
        <w:rPr>
          <w:lang w:val="nl-BE"/>
        </w:rPr>
      </w:pPr>
    </w:p>
    <w:p w14:paraId="68D73A7A" w14:textId="0E3493FC" w:rsidR="004C0166" w:rsidRPr="00EA67EB" w:rsidRDefault="001B403E" w:rsidP="00EA67EB">
      <w:pPr>
        <w:jc w:val="center"/>
        <w:rPr>
          <w:b/>
          <w:sz w:val="32"/>
          <w:szCs w:val="32"/>
        </w:rPr>
      </w:pPr>
      <w:r w:rsidRPr="00354FBB">
        <w:rPr>
          <w:b/>
          <w:sz w:val="32"/>
          <w:szCs w:val="32"/>
        </w:rPr>
        <w:t xml:space="preserve">Yves </w:t>
      </w:r>
      <w:proofErr w:type="spellStart"/>
      <w:r w:rsidRPr="00354FBB">
        <w:rPr>
          <w:b/>
          <w:sz w:val="32"/>
          <w:szCs w:val="32"/>
        </w:rPr>
        <w:t>Congar</w:t>
      </w:r>
      <w:proofErr w:type="spellEnd"/>
      <w:r w:rsidRPr="00354FBB">
        <w:rPr>
          <w:b/>
          <w:sz w:val="32"/>
          <w:szCs w:val="32"/>
        </w:rPr>
        <w:t>, o.p.</w:t>
      </w:r>
      <w:r w:rsidR="004C0166" w:rsidRPr="00354FBB">
        <w:rPr>
          <w:b/>
          <w:sz w:val="32"/>
          <w:szCs w:val="32"/>
        </w:rPr>
        <w:t xml:space="preserve"> (1904-1995)</w:t>
      </w:r>
      <w:r w:rsidR="00EA67EB">
        <w:rPr>
          <w:b/>
          <w:sz w:val="32"/>
          <w:szCs w:val="32"/>
        </w:rPr>
        <w:t xml:space="preserve"> —</w:t>
      </w:r>
    </w:p>
    <w:p w14:paraId="23EB3A28" w14:textId="35843D54" w:rsidR="004C0166" w:rsidRPr="004C0166" w:rsidRDefault="00EA67EB" w:rsidP="003D07EC">
      <w:pPr>
        <w:jc w:val="center"/>
        <w:rPr>
          <w:sz w:val="28"/>
          <w:szCs w:val="28"/>
        </w:rPr>
      </w:pPr>
      <w:r>
        <w:rPr>
          <w:b/>
          <w:sz w:val="28"/>
          <w:szCs w:val="28"/>
        </w:rPr>
        <w:t>U</w:t>
      </w:r>
      <w:r w:rsidR="00D31D56">
        <w:rPr>
          <w:b/>
          <w:sz w:val="28"/>
          <w:szCs w:val="28"/>
        </w:rPr>
        <w:t xml:space="preserve">n </w:t>
      </w:r>
      <w:r>
        <w:rPr>
          <w:b/>
          <w:sz w:val="28"/>
          <w:szCs w:val="28"/>
        </w:rPr>
        <w:t>itinéraire pionnier</w:t>
      </w:r>
      <w:r w:rsidR="004C0166" w:rsidRPr="004C0166">
        <w:rPr>
          <w:b/>
          <w:sz w:val="28"/>
          <w:szCs w:val="28"/>
        </w:rPr>
        <w:t xml:space="preserve"> en ecclésiologie et œcuménisme</w:t>
      </w:r>
    </w:p>
    <w:p w14:paraId="1222D039" w14:textId="77777777" w:rsidR="004C0166" w:rsidRDefault="004C0166" w:rsidP="003D07EC">
      <w:pPr>
        <w:jc w:val="center"/>
      </w:pPr>
    </w:p>
    <w:p w14:paraId="5C9ADD51" w14:textId="77777777" w:rsidR="004C0166" w:rsidRDefault="004C0166" w:rsidP="003D07EC">
      <w:pPr>
        <w:jc w:val="center"/>
      </w:pPr>
    </w:p>
    <w:p w14:paraId="1939B0B1" w14:textId="1F7696DF" w:rsidR="004C0166" w:rsidRDefault="00F74E13" w:rsidP="004C0166">
      <w:pPr>
        <w:spacing w:line="360" w:lineRule="auto"/>
        <w:ind w:firstLine="284"/>
        <w:jc w:val="both"/>
      </w:pPr>
      <w:r>
        <w:t xml:space="preserve">Vingt-cinq ans après son décès, le P. Yves </w:t>
      </w:r>
      <w:proofErr w:type="spellStart"/>
      <w:r>
        <w:t>Congar</w:t>
      </w:r>
      <w:proofErr w:type="spellEnd"/>
      <w:r>
        <w:t>, o.p., continue à nourrir et à interroger la réflexion de beaucoup de chrétiens sur l’Église et la recherche œcuménique de son unité visible. D’où vient une telle pérennité de son œuvre théologique ?</w:t>
      </w:r>
    </w:p>
    <w:p w14:paraId="0788CDC1" w14:textId="60F07EE5" w:rsidR="00354FBB" w:rsidRDefault="00354FBB" w:rsidP="004C0166">
      <w:pPr>
        <w:spacing w:line="360" w:lineRule="auto"/>
        <w:ind w:firstLine="284"/>
        <w:jc w:val="both"/>
      </w:pPr>
      <w:r>
        <w:t>Cette vocation ecclésiologique et œcuménique</w:t>
      </w:r>
      <w:r w:rsidR="00EA4680">
        <w:t xml:space="preserve"> à la fois</w:t>
      </w:r>
      <w:r w:rsidR="00BA2C71">
        <w:t xml:space="preserve"> </w:t>
      </w:r>
      <w:proofErr w:type="spellStart"/>
      <w:r w:rsidR="00BA2C71">
        <w:t>a</w:t>
      </w:r>
      <w:proofErr w:type="spellEnd"/>
      <w:r w:rsidR="00BA2C71">
        <w:t xml:space="preserve"> ses </w:t>
      </w:r>
      <w:r w:rsidR="00CB7CF0">
        <w:t xml:space="preserve">préparations et enracinements, comme nous allons l’évoquer. Ensuite, elle prend forme </w:t>
      </w:r>
      <w:r w:rsidR="004E12A0">
        <w:t xml:space="preserve">et se concrétise </w:t>
      </w:r>
      <w:r w:rsidR="00CB7CF0">
        <w:t>à la faveur des circonstances en s’en nourrissant</w:t>
      </w:r>
      <w:r w:rsidR="004E12A0">
        <w:t>. Enfin, elle se déploie</w:t>
      </w:r>
      <w:r w:rsidR="00927CF7">
        <w:t xml:space="preserve"> et se dilate</w:t>
      </w:r>
      <w:r w:rsidR="004E12A0">
        <w:t>, non sans évolution, conversion et autocritique.</w:t>
      </w:r>
    </w:p>
    <w:p w14:paraId="3328C2FD" w14:textId="77777777" w:rsidR="004E12A0" w:rsidRDefault="004E12A0" w:rsidP="004C0166">
      <w:pPr>
        <w:spacing w:line="360" w:lineRule="auto"/>
        <w:ind w:firstLine="284"/>
        <w:jc w:val="both"/>
      </w:pPr>
    </w:p>
    <w:p w14:paraId="065679F6" w14:textId="2E33E418" w:rsidR="004E12A0" w:rsidRPr="004E12A0" w:rsidRDefault="004E12A0" w:rsidP="004E12A0">
      <w:pPr>
        <w:spacing w:line="360" w:lineRule="auto"/>
        <w:jc w:val="both"/>
        <w:rPr>
          <w:b/>
        </w:rPr>
      </w:pPr>
      <w:r w:rsidRPr="004E12A0">
        <w:rPr>
          <w:b/>
        </w:rPr>
        <w:t>1. Enracinements et préparations</w:t>
      </w:r>
    </w:p>
    <w:p w14:paraId="3E917728" w14:textId="4F869AB4" w:rsidR="004E12A0" w:rsidRDefault="00C57CCC" w:rsidP="004C0166">
      <w:pPr>
        <w:spacing w:line="360" w:lineRule="auto"/>
        <w:ind w:firstLine="284"/>
        <w:jc w:val="both"/>
      </w:pPr>
      <w:r>
        <w:t>Notons-le d’emblée</w:t>
      </w:r>
      <w:r w:rsidR="00785505">
        <w:t xml:space="preserve">, comme </w:t>
      </w:r>
      <w:r w:rsidR="003D4915">
        <w:t>en</w:t>
      </w:r>
      <w:r w:rsidR="00785505">
        <w:t xml:space="preserve"> préface à cet article, Yves </w:t>
      </w:r>
      <w:proofErr w:type="spellStart"/>
      <w:r w:rsidR="00785505">
        <w:t>Congar</w:t>
      </w:r>
      <w:proofErr w:type="spellEnd"/>
      <w:r w:rsidR="00785505">
        <w:t xml:space="preserve"> n’est pas d’abord un homme de livres</w:t>
      </w:r>
      <w:r w:rsidR="005D4D4D">
        <w:t>, même s’il en a lu des centaines et écrit des dizaines, mais un homme de la vie et de l’histoire humaine, auxquelles il est très attentif : il ne cesse d’apprendre de la vie et de l’expérience</w:t>
      </w:r>
      <w:r w:rsidR="004B0A71">
        <w:rPr>
          <w:rStyle w:val="Appelnotedebasdep"/>
        </w:rPr>
        <w:footnoteReference w:id="1"/>
      </w:r>
      <w:r w:rsidR="00274D9A">
        <w:t xml:space="preserve">. Aussi les </w:t>
      </w:r>
      <w:r w:rsidR="00B045F3">
        <w:t xml:space="preserve">personnes, les </w:t>
      </w:r>
      <w:r w:rsidR="00274D9A">
        <w:t xml:space="preserve">événements ont-ils </w:t>
      </w:r>
      <w:r w:rsidR="00B045F3">
        <w:t>une grande</w:t>
      </w:r>
      <w:r w:rsidR="00274D9A">
        <w:t xml:space="preserve"> importance pour comprendre </w:t>
      </w:r>
      <w:r w:rsidR="00955101">
        <w:t xml:space="preserve">l’itinéraire </w:t>
      </w:r>
      <w:proofErr w:type="spellStart"/>
      <w:r w:rsidR="00955101">
        <w:t>congarien</w:t>
      </w:r>
      <w:proofErr w:type="spellEnd"/>
      <w:r w:rsidR="00955101">
        <w:t>.</w:t>
      </w:r>
    </w:p>
    <w:p w14:paraId="2576C86F" w14:textId="3A4E4DF3" w:rsidR="008D320F" w:rsidRDefault="008D320F" w:rsidP="004C0166">
      <w:pPr>
        <w:spacing w:line="360" w:lineRule="auto"/>
        <w:ind w:firstLine="284"/>
        <w:jc w:val="both"/>
      </w:pPr>
      <w:proofErr w:type="spellStart"/>
      <w:r>
        <w:t>Congar</w:t>
      </w:r>
      <w:proofErr w:type="spellEnd"/>
      <w:r>
        <w:t xml:space="preserve"> naît en 1904, six ans avant la Première conférence mondiale des missions à Édimbourg</w:t>
      </w:r>
      <w:r w:rsidR="00F42A5C">
        <w:t>, que l’on considère symboliquement comme le moment fondateur de l’œcuménisme moderne (le mot « œcuménisme » apparaît</w:t>
      </w:r>
      <w:r w:rsidR="00951FC7">
        <w:t>ra</w:t>
      </w:r>
      <w:r w:rsidR="00F42A5C">
        <w:t xml:space="preserve"> au début des années 20 du vingtième siècle). </w:t>
      </w:r>
      <w:r w:rsidR="00281601">
        <w:t xml:space="preserve">Sa ville natale de Sedan avait été un des grands centres du protestantisme français aux XVIe et XVIIe siècles. Dans ce pays de religion mixte, les parents </w:t>
      </w:r>
      <w:proofErr w:type="spellStart"/>
      <w:r w:rsidR="00281601">
        <w:t>Congar</w:t>
      </w:r>
      <w:proofErr w:type="spellEnd"/>
      <w:r w:rsidR="00281601">
        <w:t xml:space="preserve"> avaient lié amitié avec des réformés et des juifs</w:t>
      </w:r>
      <w:r w:rsidR="00807E98">
        <w:t>. Enfant, Yves jouait avec de petits protestants et discutait même sur la messe avec le fils du pasteur</w:t>
      </w:r>
      <w:r w:rsidR="00AF4DD3">
        <w:t xml:space="preserve"> (nous tenons là, à n’en pas douter, les premiers dialogues œcuméniques du futur théologien !).</w:t>
      </w:r>
      <w:r w:rsidR="00B25E5E">
        <w:t xml:space="preserve"> En outre,</w:t>
      </w:r>
      <w:r w:rsidR="007B18B8">
        <w:t xml:space="preserve"> </w:t>
      </w:r>
      <w:r w:rsidR="009515B0">
        <w:t xml:space="preserve">pendant la première guerre mondiale, </w:t>
      </w:r>
      <w:r w:rsidR="00165665">
        <w:t xml:space="preserve">les catholiques sedanais purent célébrer le culte dans une chapelle que le pasteur </w:t>
      </w:r>
      <w:r w:rsidR="00165665">
        <w:lastRenderedPageBreak/>
        <w:t xml:space="preserve">calviniste avait mise à la disposition du curé suite à la destruction </w:t>
      </w:r>
      <w:r w:rsidR="00622CBD">
        <w:t>d</w:t>
      </w:r>
      <w:r w:rsidR="00165665">
        <w:t xml:space="preserve">e l’église par les uhlans en 1914. </w:t>
      </w:r>
      <w:r w:rsidR="00622CBD">
        <w:t>Toutes ces notations peuvent paraître anecdotiques</w:t>
      </w:r>
      <w:r w:rsidR="00683625">
        <w:t>. Pourtant, le dominicain d’</w:t>
      </w:r>
      <w:r w:rsidR="00013F96">
        <w:t>origine ardennaise</w:t>
      </w:r>
      <w:r w:rsidR="00484C9D">
        <w:t>, non sans raison,</w:t>
      </w:r>
      <w:r w:rsidR="00013F96">
        <w:t xml:space="preserve"> discernera plus tard</w:t>
      </w:r>
      <w:r w:rsidR="00484C9D">
        <w:t xml:space="preserve"> dans ces circonstances </w:t>
      </w:r>
      <w:r w:rsidR="00BE1573">
        <w:t>l’enracinement</w:t>
      </w:r>
      <w:r w:rsidR="00484C9D">
        <w:t xml:space="preserve"> de sa vocation œcuménique</w:t>
      </w:r>
      <w:r w:rsidR="002629C8">
        <w:rPr>
          <w:rStyle w:val="Appelnotedebasdep"/>
        </w:rPr>
        <w:footnoteReference w:id="2"/>
      </w:r>
      <w:r w:rsidR="002629C8">
        <w:t xml:space="preserve">. Durant </w:t>
      </w:r>
      <w:r w:rsidR="00A60B45">
        <w:t>c</w:t>
      </w:r>
      <w:r w:rsidR="002629C8">
        <w:t>es années</w:t>
      </w:r>
      <w:r w:rsidR="0052197A">
        <w:t>, il reçoit les premières bases d’une authentique conscience d’Église</w:t>
      </w:r>
      <w:r w:rsidR="00644923">
        <w:t xml:space="preserve">. </w:t>
      </w:r>
      <w:r w:rsidR="00DE08F8">
        <w:t>Selon son propre témoignage, i</w:t>
      </w:r>
      <w:r w:rsidR="00644923">
        <w:t>l les doit à plusieurs expériences fondatrices : la vie fervente de la petite communauté paroissiale de Sedan et surtout la prédication de son curé, « si pleine de doctrine et de sens catholique »</w:t>
      </w:r>
      <w:r w:rsidR="00644923">
        <w:rPr>
          <w:rStyle w:val="Appelnotedebasdep"/>
        </w:rPr>
        <w:footnoteReference w:id="3"/>
      </w:r>
      <w:r w:rsidR="00644923">
        <w:t xml:space="preserve"> ; </w:t>
      </w:r>
      <w:r w:rsidR="00B23F7F">
        <w:t xml:space="preserve">l’influence de l’abbé Daniel </w:t>
      </w:r>
      <w:proofErr w:type="spellStart"/>
      <w:r w:rsidR="00B23F7F">
        <w:t>Lallement</w:t>
      </w:r>
      <w:proofErr w:type="spellEnd"/>
      <w:r w:rsidR="00B23F7F">
        <w:t xml:space="preserve">, lui aussi sedanais, qui lui révèle </w:t>
      </w:r>
      <w:r w:rsidR="006925C4">
        <w:t xml:space="preserve">entre autres </w:t>
      </w:r>
      <w:r w:rsidR="00B23F7F">
        <w:t>la réalité liturgique</w:t>
      </w:r>
      <w:r w:rsidR="006621D0">
        <w:t xml:space="preserve">, ô combien importante pour </w:t>
      </w:r>
      <w:proofErr w:type="spellStart"/>
      <w:r w:rsidR="006621D0">
        <w:t>Congar</w:t>
      </w:r>
      <w:proofErr w:type="spellEnd"/>
      <w:r w:rsidR="006621D0">
        <w:t>,</w:t>
      </w:r>
      <w:r w:rsidR="00B23F7F">
        <w:t xml:space="preserve"> et celle de la vie religieuse</w:t>
      </w:r>
      <w:r w:rsidR="006621D0">
        <w:t>, en l’emmenant</w:t>
      </w:r>
      <w:r w:rsidR="006925C4">
        <w:t xml:space="preserve">, pour les Vêpres de la Transfiguration du 5 août 1919, chez les </w:t>
      </w:r>
      <w:r w:rsidR="008A2203">
        <w:t>b</w:t>
      </w:r>
      <w:r w:rsidR="006925C4">
        <w:t>énédictins français de Saint-</w:t>
      </w:r>
      <w:proofErr w:type="spellStart"/>
      <w:r w:rsidR="006925C4">
        <w:t>Wandrille</w:t>
      </w:r>
      <w:proofErr w:type="spellEnd"/>
      <w:r w:rsidR="006925C4">
        <w:t xml:space="preserve">, exilés depuis 1904 à Conques en Belgique, sur les bords de la Semois ; </w:t>
      </w:r>
      <w:r w:rsidR="006621D0">
        <w:t xml:space="preserve"> </w:t>
      </w:r>
      <w:r w:rsidR="00A50A78">
        <w:t>enfin le rayonnement de sa mère, dans la bibliothèque de laquelle</w:t>
      </w:r>
      <w:r w:rsidR="002F6913">
        <w:t xml:space="preserve"> il trouve </w:t>
      </w:r>
      <w:r w:rsidR="002F6913" w:rsidRPr="002F6913">
        <w:rPr>
          <w:i/>
        </w:rPr>
        <w:t>L</w:t>
      </w:r>
      <w:r w:rsidR="00DE08F8" w:rsidRPr="002F6913">
        <w:rPr>
          <w:i/>
        </w:rPr>
        <w:t>e Mystère de l’Église</w:t>
      </w:r>
      <w:r w:rsidR="00DE08F8">
        <w:t xml:space="preserve"> du P. </w:t>
      </w:r>
      <w:r w:rsidR="0021544E">
        <w:t xml:space="preserve">Humbert </w:t>
      </w:r>
      <w:proofErr w:type="spellStart"/>
      <w:r w:rsidR="00DE08F8">
        <w:t>Clérissac</w:t>
      </w:r>
      <w:proofErr w:type="spellEnd"/>
      <w:r w:rsidR="00DE08F8">
        <w:t>, un livre qui exerça une grande influence sur sa pensée en lui découvrant « la poésie du catholicisme »</w:t>
      </w:r>
      <w:r w:rsidR="00B91E24">
        <w:rPr>
          <w:rStyle w:val="Appelnotedebasdep"/>
        </w:rPr>
        <w:footnoteReference w:id="4"/>
      </w:r>
      <w:r w:rsidR="002F6913">
        <w:t xml:space="preserve"> (c’est dans la même bibliothèque qu’il trouvera aussi, plus tard, la revue des </w:t>
      </w:r>
      <w:r w:rsidR="008A2203">
        <w:t>a</w:t>
      </w:r>
      <w:r w:rsidR="002F6913">
        <w:t xml:space="preserve">ssomptionnistes </w:t>
      </w:r>
      <w:r w:rsidR="002F6913" w:rsidRPr="002F6913">
        <w:rPr>
          <w:i/>
        </w:rPr>
        <w:t>L’Union des Églises</w:t>
      </w:r>
      <w:r w:rsidR="002F6913">
        <w:t>).</w:t>
      </w:r>
    </w:p>
    <w:p w14:paraId="68C8505C" w14:textId="2142A895" w:rsidR="00E73723" w:rsidRDefault="00E73723" w:rsidP="004C0166">
      <w:pPr>
        <w:spacing w:line="360" w:lineRule="auto"/>
        <w:ind w:firstLine="284"/>
        <w:jc w:val="both"/>
      </w:pPr>
      <w:r>
        <w:t>Tels sont les germes d’un appel non seulement œcuménique et ecclésiologique, mais aussi sacerdotal et religieux, dominicain et thomiste</w:t>
      </w:r>
      <w:r w:rsidR="00DD0CA4">
        <w:t xml:space="preserve">. C’est ainsi du moins que le P. </w:t>
      </w:r>
      <w:proofErr w:type="spellStart"/>
      <w:r w:rsidR="00DD0CA4">
        <w:t>Congar</w:t>
      </w:r>
      <w:proofErr w:type="spellEnd"/>
      <w:r w:rsidR="00DD0CA4">
        <w:t xml:space="preserve">, ultérieurement, relira </w:t>
      </w:r>
      <w:r w:rsidR="00411C01">
        <w:t>l’unité et la cohérence de sa vocation</w:t>
      </w:r>
      <w:r w:rsidR="00411C01">
        <w:rPr>
          <w:rStyle w:val="Appelnotedebasdep"/>
        </w:rPr>
        <w:footnoteReference w:id="5"/>
      </w:r>
      <w:r w:rsidR="00411C01">
        <w:t>.</w:t>
      </w:r>
    </w:p>
    <w:p w14:paraId="16F71DD8" w14:textId="0981DE66" w:rsidR="003929E3" w:rsidRDefault="003929E3" w:rsidP="004C0166">
      <w:pPr>
        <w:spacing w:line="360" w:lineRule="auto"/>
        <w:ind w:firstLine="284"/>
        <w:jc w:val="both"/>
      </w:pPr>
      <w:r>
        <w:t xml:space="preserve">On peut encore ajouter quelques éléments </w:t>
      </w:r>
      <w:r w:rsidR="0021098F">
        <w:t>plus intentionnels</w:t>
      </w:r>
      <w:r w:rsidR="004848D2">
        <w:t>, personnels</w:t>
      </w:r>
      <w:r w:rsidR="0021098F">
        <w:t xml:space="preserve"> et décisifs qui structurent petit à petit son projet ecclésiologique et œcuménique.</w:t>
      </w:r>
      <w:r w:rsidR="008A2203">
        <w:t xml:space="preserve"> Ainsi le frère prêcheur se prépare-t-il à l’ordination sacerdotale (25 juillet 1930) en étudiant, d’une part, l’évangile selon Jean avec les commentaires de Thomas d’Aquin et du P. </w:t>
      </w:r>
      <w:proofErr w:type="spellStart"/>
      <w:r w:rsidR="008A2203">
        <w:t>Marie-Joseph</w:t>
      </w:r>
      <w:proofErr w:type="spellEnd"/>
      <w:r w:rsidR="008A2203">
        <w:t xml:space="preserve"> Lagrange (c’est précisément en méditant le chapitre 17 de cet évangile, confie-t-il, qu’en 1929, à 25 ans, il reconnaît définitivement </w:t>
      </w:r>
      <w:r w:rsidR="00B55A84">
        <w:t xml:space="preserve">un appel </w:t>
      </w:r>
      <w:r w:rsidR="008A2203">
        <w:t xml:space="preserve">à œuvrer à l’unité des disciples du Christ), et, d’autre part, la théologie du « sacrifice eucharistique », tout spécialement dans le livre du chanoine Eugène Masure, </w:t>
      </w:r>
      <w:r w:rsidR="008A2203" w:rsidRPr="008A2203">
        <w:rPr>
          <w:i/>
        </w:rPr>
        <w:t>Le sacrifice du chef</w:t>
      </w:r>
      <w:r w:rsidR="008A2203">
        <w:t>.</w:t>
      </w:r>
      <w:r w:rsidR="00F4661C">
        <w:t xml:space="preserve"> </w:t>
      </w:r>
      <w:r w:rsidR="00A239B1">
        <w:t xml:space="preserve">Auparavant déjà, </w:t>
      </w:r>
      <w:r w:rsidR="009B7C4D">
        <w:t>au cours des trois années au Séminaire des Carmes</w:t>
      </w:r>
      <w:r w:rsidR="00920A13">
        <w:t xml:space="preserve"> à Paris et des quatre</w:t>
      </w:r>
      <w:r w:rsidR="00551331">
        <w:t xml:space="preserve"> ans de vie religieuse dominicaine</w:t>
      </w:r>
      <w:r w:rsidR="00C12D66">
        <w:t xml:space="preserve"> à Amiens, puis au </w:t>
      </w:r>
      <w:proofErr w:type="spellStart"/>
      <w:r w:rsidR="00C12D66">
        <w:t>Saulchoir</w:t>
      </w:r>
      <w:proofErr w:type="spellEnd"/>
      <w:r w:rsidR="00C12D66">
        <w:t xml:space="preserve"> de </w:t>
      </w:r>
      <w:proofErr w:type="spellStart"/>
      <w:r w:rsidR="00C12D66">
        <w:lastRenderedPageBreak/>
        <w:t>Kain</w:t>
      </w:r>
      <w:proofErr w:type="spellEnd"/>
      <w:r w:rsidR="00C12D66">
        <w:t xml:space="preserve"> (Tournai)</w:t>
      </w:r>
      <w:r w:rsidR="00BE5A69">
        <w:t>, se souvie</w:t>
      </w:r>
      <w:r w:rsidR="00FF1126">
        <w:t>n</w:t>
      </w:r>
      <w:r w:rsidR="00BE5A69">
        <w:t>t-il,</w:t>
      </w:r>
      <w:r w:rsidR="00B618C4">
        <w:t xml:space="preserve"> il </w:t>
      </w:r>
      <w:r w:rsidR="00262665">
        <w:t>s’était chaque jour</w:t>
      </w:r>
      <w:r w:rsidR="003D0525">
        <w:t>, de son m</w:t>
      </w:r>
      <w:r w:rsidR="00F275B0">
        <w:t>i</w:t>
      </w:r>
      <w:r w:rsidR="003D0525">
        <w:t>eux</w:t>
      </w:r>
      <w:r w:rsidR="00F275B0">
        <w:t xml:space="preserve">, </w:t>
      </w:r>
      <w:r w:rsidR="005A77DE">
        <w:t>offert à Dieu</w:t>
      </w:r>
      <w:r w:rsidR="00473F55">
        <w:t xml:space="preserve"> pour accomplir sa volonté</w:t>
      </w:r>
      <w:r w:rsidR="002E221C">
        <w:t>, ressentant</w:t>
      </w:r>
      <w:r w:rsidR="007F1BA6">
        <w:t>, à Laude</w:t>
      </w:r>
      <w:r w:rsidR="0041549A">
        <w:t>s</w:t>
      </w:r>
      <w:r w:rsidR="00F52F60">
        <w:t xml:space="preserve">, un verset du </w:t>
      </w:r>
      <w:r w:rsidR="00F52F60" w:rsidRPr="00F52F60">
        <w:rPr>
          <w:i/>
        </w:rPr>
        <w:t>Benedictus</w:t>
      </w:r>
      <w:r w:rsidR="00F52F60">
        <w:t xml:space="preserve"> avec une force toute particulière</w:t>
      </w:r>
      <w:r w:rsidR="006D0CDB">
        <w:t xml:space="preserve"> (il était </w:t>
      </w:r>
      <w:r w:rsidR="001B4D56">
        <w:t>« moins dit par moi</w:t>
      </w:r>
      <w:r w:rsidR="00FC0791">
        <w:t xml:space="preserve"> qu’il ne m’était dit</w:t>
      </w:r>
      <w:r w:rsidR="001916CD">
        <w:t xml:space="preserve"> au-dedans par un Autre »</w:t>
      </w:r>
      <w:r w:rsidR="00FD4513">
        <w:rPr>
          <w:rStyle w:val="Appelnotedebasdep"/>
        </w:rPr>
        <w:footnoteReference w:id="6"/>
      </w:r>
      <w:r w:rsidR="00C07441">
        <w:t xml:space="preserve">) : </w:t>
      </w:r>
      <w:r w:rsidR="00C07441" w:rsidRPr="0041549A">
        <w:rPr>
          <w:i/>
        </w:rPr>
        <w:t>Et tu, puer</w:t>
      </w:r>
      <w:r w:rsidR="002B6F05" w:rsidRPr="0041549A">
        <w:rPr>
          <w:i/>
        </w:rPr>
        <w:t xml:space="preserve">, </w:t>
      </w:r>
      <w:proofErr w:type="spellStart"/>
      <w:r w:rsidR="002B6F05" w:rsidRPr="0041549A">
        <w:rPr>
          <w:i/>
        </w:rPr>
        <w:t>propheta</w:t>
      </w:r>
      <w:proofErr w:type="spellEnd"/>
      <w:r w:rsidR="002B6F05" w:rsidRPr="0041549A">
        <w:rPr>
          <w:i/>
        </w:rPr>
        <w:t xml:space="preserve"> </w:t>
      </w:r>
      <w:proofErr w:type="spellStart"/>
      <w:r w:rsidR="002B6F05" w:rsidRPr="0041549A">
        <w:rPr>
          <w:i/>
        </w:rPr>
        <w:t>Altissimi</w:t>
      </w:r>
      <w:proofErr w:type="spellEnd"/>
      <w:r w:rsidR="002B6F05" w:rsidRPr="0041549A">
        <w:rPr>
          <w:i/>
        </w:rPr>
        <w:t xml:space="preserve"> </w:t>
      </w:r>
      <w:proofErr w:type="spellStart"/>
      <w:r w:rsidR="002B6F05" w:rsidRPr="0041549A">
        <w:rPr>
          <w:i/>
        </w:rPr>
        <w:t>vocaberis</w:t>
      </w:r>
      <w:proofErr w:type="spellEnd"/>
      <w:r w:rsidR="002B6F05" w:rsidRPr="0041549A">
        <w:rPr>
          <w:i/>
        </w:rPr>
        <w:t>…</w:t>
      </w:r>
      <w:r w:rsidR="0041549A">
        <w:t xml:space="preserve"> Aucun sentiment d’une vocation exceptionnelle, mais un effort d’ouverture quotidienne, dans la fidélité, à la volonté de Dieu : une disponibilité pour « préparer les chemins du Seigneur » selon les besoins de l’Église et du monde. Il rattachera aussi à ce verset son activité, de pionnier préciserais-je, en matière œcuménique et ecclésiologique</w:t>
      </w:r>
      <w:r w:rsidR="007B081E">
        <w:t>.</w:t>
      </w:r>
    </w:p>
    <w:p w14:paraId="0E35D31C" w14:textId="75C48779" w:rsidR="003469C6" w:rsidRDefault="003469C6" w:rsidP="004C0166">
      <w:pPr>
        <w:spacing w:line="360" w:lineRule="auto"/>
        <w:ind w:firstLine="284"/>
        <w:jc w:val="both"/>
      </w:pPr>
      <w:r>
        <w:t>En ce qui concerne sa préparation</w:t>
      </w:r>
      <w:r w:rsidR="009D2B28">
        <w:t xml:space="preserve"> plus spécifiquement intellectuelle, sa thèse de lectorat ou travail de fin d’études dominicaines portait sur l’unité de l’Églis</w:t>
      </w:r>
      <w:r w:rsidR="001B3BDC">
        <w:t xml:space="preserve">e, un sujet significatif </w:t>
      </w:r>
      <w:r w:rsidR="005B3617">
        <w:t xml:space="preserve">et original </w:t>
      </w:r>
      <w:r w:rsidR="001B3BDC">
        <w:t xml:space="preserve">choisi durant l’été </w:t>
      </w:r>
      <w:r w:rsidR="002B2A96">
        <w:t>1928 et pour lequel il dut « entreprendre un grand travail de dépouillement et d’initiation », car « le sujet était très vaste » et il n’avait « jamais reçu sur ce point le mo</w:t>
      </w:r>
      <w:r w:rsidR="00E774A3">
        <w:t>i</w:t>
      </w:r>
      <w:r w:rsidR="002B2A96">
        <w:t>ndre enseignement »</w:t>
      </w:r>
      <w:r w:rsidR="002B2A96">
        <w:rPr>
          <w:rStyle w:val="Appelnotedebasdep"/>
        </w:rPr>
        <w:footnoteReference w:id="7"/>
      </w:r>
      <w:r w:rsidR="00E774A3">
        <w:t> ; au cours de l’année académique 1928-1929, il suivit aussi les cours d’histoire des doctrines chrétiennes, où le P</w:t>
      </w:r>
      <w:r w:rsidR="00CE2EED">
        <w:t>.</w:t>
      </w:r>
      <w:r w:rsidR="00E774A3">
        <w:t xml:space="preserve"> Chenu parla à ses étudiants du Mouvement « Foi et Constitution » et de la première conférence œcuménique de celui-ci, qui venait de se tenir à Lausanne</w:t>
      </w:r>
      <w:r w:rsidR="009F5804">
        <w:t xml:space="preserve"> </w:t>
      </w:r>
      <w:r w:rsidR="00E774A3">
        <w:t>en 1927</w:t>
      </w:r>
      <w:r w:rsidR="005B3617">
        <w:t xml:space="preserve"> (le professeur n’avait pas besoin de plus d’une heure par semaine pour ouvrir au frère </w:t>
      </w:r>
      <w:proofErr w:type="spellStart"/>
      <w:r w:rsidR="005B3617">
        <w:t>Congar</w:t>
      </w:r>
      <w:proofErr w:type="spellEnd"/>
      <w:r w:rsidR="005B3617">
        <w:t>, note celui-ci, des horizons nouveaux sur une réalité déjà présente à son esprit)</w:t>
      </w:r>
      <w:r w:rsidR="005B3617">
        <w:rPr>
          <w:rStyle w:val="Appelnotedebasdep"/>
        </w:rPr>
        <w:footnoteReference w:id="8"/>
      </w:r>
      <w:r w:rsidR="0025787C">
        <w:t>.</w:t>
      </w:r>
    </w:p>
    <w:p w14:paraId="4087A4B5" w14:textId="18E93D1C" w:rsidR="00314CA3" w:rsidRDefault="00314CA3" w:rsidP="004C0166">
      <w:pPr>
        <w:spacing w:line="360" w:lineRule="auto"/>
        <w:ind w:firstLine="284"/>
        <w:jc w:val="both"/>
      </w:pPr>
      <w:r>
        <w:t xml:space="preserve">C’est vers la même époque que Marie-Dominique Chenu lui avait aussi révélé Johan Adam </w:t>
      </w:r>
      <w:proofErr w:type="spellStart"/>
      <w:r>
        <w:t>Möhler</w:t>
      </w:r>
      <w:proofErr w:type="spellEnd"/>
      <w:r w:rsidR="00367BBE">
        <w:t>, en qui l’étudiant en théologie découvrit la source moderne principale dont il avait besoin</w:t>
      </w:r>
      <w:r w:rsidR="008B3FCB">
        <w:t> : ce qu’avait fait le théologien de Tübingen au XIXe siècle allait devenir pour lui un souffle, un idéal dont il voudrait s’inspirer pour conduire, au XXe siècle, sa propre réflexion</w:t>
      </w:r>
      <w:r w:rsidR="00701ADC">
        <w:rPr>
          <w:rStyle w:val="Appelnotedebasdep"/>
        </w:rPr>
        <w:footnoteReference w:id="9"/>
      </w:r>
      <w:r w:rsidR="00D64C37">
        <w:t>.</w:t>
      </w:r>
    </w:p>
    <w:p w14:paraId="0F7E0CFA" w14:textId="74C32B9E" w:rsidR="00820356" w:rsidRDefault="00FB7C38" w:rsidP="004C0166">
      <w:pPr>
        <w:spacing w:line="360" w:lineRule="auto"/>
        <w:ind w:firstLine="284"/>
        <w:jc w:val="both"/>
      </w:pPr>
      <w:r>
        <w:t xml:space="preserve">Après le passage de ses examens au </w:t>
      </w:r>
      <w:proofErr w:type="spellStart"/>
      <w:r>
        <w:t>Saulchoir</w:t>
      </w:r>
      <w:proofErr w:type="spellEnd"/>
      <w:r>
        <w:t>, le nouveau lecteur ne bénéficiera que de six mois d’études complémentaires, passés à Paris de janvier à juin 1932, en suivant quelques cours</w:t>
      </w:r>
      <w:r w:rsidR="002A5A76">
        <w:t xml:space="preserve"> de sociologie rationnelle à l’Institut catholique (abbé </w:t>
      </w:r>
      <w:proofErr w:type="spellStart"/>
      <w:r w:rsidR="002A5A76">
        <w:t>Lallement</w:t>
      </w:r>
      <w:proofErr w:type="spellEnd"/>
      <w:r w:rsidR="002A5A76">
        <w:t xml:space="preserve">), ceux de Gabriel Le Bras et de Étienne Gilson aux Hautes-Études, enfin ceux des pasteurs Auguste Lecerf (dogmatique réformée) et André </w:t>
      </w:r>
      <w:proofErr w:type="spellStart"/>
      <w:r w:rsidR="002A5A76">
        <w:t>Jundt</w:t>
      </w:r>
      <w:proofErr w:type="spellEnd"/>
      <w:r w:rsidR="002A5A76">
        <w:t xml:space="preserve"> (dogmatique luthérienne) à la Faculté de théologie protestante</w:t>
      </w:r>
      <w:r w:rsidR="00892D19">
        <w:rPr>
          <w:rStyle w:val="Appelnotedebasdep"/>
        </w:rPr>
        <w:footnoteReference w:id="10"/>
      </w:r>
      <w:r w:rsidR="00D75C35">
        <w:t xml:space="preserve">. </w:t>
      </w:r>
      <w:r w:rsidR="00D75C35">
        <w:lastRenderedPageBreak/>
        <w:t xml:space="preserve">Convaincu « que [sa] génération avait pour mission de faire aboutir, </w:t>
      </w:r>
      <w:r w:rsidR="00D75C35" w:rsidRPr="00D75C35">
        <w:rPr>
          <w:i/>
        </w:rPr>
        <w:t>dans l’Église</w:t>
      </w:r>
      <w:r w:rsidR="00D75C35">
        <w:t xml:space="preserve">, ce qu’il y avait de juste dans les requêtes et les problèmes posés par le modernisme », </w:t>
      </w:r>
      <w:proofErr w:type="spellStart"/>
      <w:r w:rsidR="00D75C35">
        <w:t>Congar</w:t>
      </w:r>
      <w:proofErr w:type="spellEnd"/>
      <w:r w:rsidR="00D75C35">
        <w:t xml:space="preserve"> espérait pouvoir également « assister à quelques leçons de Loisy, qui faisait sa dernière année au Collège de France et dont [il] </w:t>
      </w:r>
      <w:proofErr w:type="spellStart"/>
      <w:r w:rsidR="00D75C35">
        <w:t>venai</w:t>
      </w:r>
      <w:proofErr w:type="spellEnd"/>
      <w:r w:rsidR="00D75C35">
        <w:t>[t] de lire les Mémoires</w:t>
      </w:r>
      <w:r w:rsidR="00F86D5F">
        <w:t> », ce qui ne lui fut pas permis par son provincial</w:t>
      </w:r>
      <w:r w:rsidR="00280073">
        <w:rPr>
          <w:rStyle w:val="Appelnotedebasdep"/>
        </w:rPr>
        <w:footnoteReference w:id="11"/>
      </w:r>
      <w:r w:rsidR="00F86D5F">
        <w:t>.</w:t>
      </w:r>
    </w:p>
    <w:p w14:paraId="454A80E0" w14:textId="0A95D22D" w:rsidR="00854856" w:rsidRDefault="00854856" w:rsidP="004C0166">
      <w:pPr>
        <w:spacing w:line="360" w:lineRule="auto"/>
        <w:ind w:firstLine="284"/>
        <w:jc w:val="both"/>
      </w:pPr>
      <w:r>
        <w:t>Au temps des études</w:t>
      </w:r>
      <w:r w:rsidR="00CA30D9">
        <w:t xml:space="preserve"> et préparations</w:t>
      </w:r>
      <w:r>
        <w:t xml:space="preserve"> succèdent l’enseignement au </w:t>
      </w:r>
      <w:proofErr w:type="spellStart"/>
      <w:r>
        <w:t>Saulchoir</w:t>
      </w:r>
      <w:proofErr w:type="spellEnd"/>
      <w:r w:rsidR="00CA30D9">
        <w:t>, de nouvelles expériences et rencontres, ainsi que les premières publications…</w:t>
      </w:r>
    </w:p>
    <w:p w14:paraId="4FC325F6" w14:textId="77777777" w:rsidR="009B4955" w:rsidRDefault="009B4955" w:rsidP="009B4955">
      <w:pPr>
        <w:spacing w:line="360" w:lineRule="auto"/>
        <w:ind w:firstLine="284"/>
        <w:jc w:val="both"/>
      </w:pPr>
    </w:p>
    <w:p w14:paraId="0C943E50" w14:textId="06E9337A" w:rsidR="009B4955" w:rsidRPr="004E12A0" w:rsidRDefault="009B4955" w:rsidP="009B4955">
      <w:pPr>
        <w:spacing w:line="360" w:lineRule="auto"/>
        <w:jc w:val="both"/>
        <w:rPr>
          <w:b/>
        </w:rPr>
      </w:pPr>
      <w:r>
        <w:rPr>
          <w:b/>
        </w:rPr>
        <w:t>2</w:t>
      </w:r>
      <w:r w:rsidRPr="004E12A0">
        <w:rPr>
          <w:b/>
        </w:rPr>
        <w:t xml:space="preserve">. </w:t>
      </w:r>
      <w:r>
        <w:rPr>
          <w:b/>
        </w:rPr>
        <w:t>Concrétisation</w:t>
      </w:r>
    </w:p>
    <w:p w14:paraId="449CD5CE" w14:textId="51FE11DF" w:rsidR="009B4955" w:rsidRDefault="0031677C" w:rsidP="009B4955">
      <w:pPr>
        <w:spacing w:line="360" w:lineRule="auto"/>
        <w:ind w:firstLine="284"/>
        <w:jc w:val="both"/>
      </w:pPr>
      <w:r>
        <w:t xml:space="preserve">Au </w:t>
      </w:r>
      <w:proofErr w:type="spellStart"/>
      <w:r>
        <w:t>Saulchoir</w:t>
      </w:r>
      <w:proofErr w:type="spellEnd"/>
      <w:r>
        <w:t xml:space="preserve">, dès 1933, le jeune professeur réussit à faire basculer en théologie le </w:t>
      </w:r>
      <w:r w:rsidRPr="0031677C">
        <w:rPr>
          <w:i/>
        </w:rPr>
        <w:t xml:space="preserve">De </w:t>
      </w:r>
      <w:proofErr w:type="spellStart"/>
      <w:r w:rsidRPr="0031677C">
        <w:rPr>
          <w:i/>
        </w:rPr>
        <w:t>Ecclesia</w:t>
      </w:r>
      <w:proofErr w:type="spellEnd"/>
      <w:r>
        <w:t>, qui jusque-là était encore inclus dans le programme d’apologétique.</w:t>
      </w:r>
      <w:r w:rsidR="00217AF2">
        <w:t xml:space="preserve"> À ce moment, remonte aussi le désir de bâtir un vaste traité de l’Église.</w:t>
      </w:r>
      <w:r w:rsidR="00E22A1C">
        <w:t xml:space="preserve"> Le point de vue et le plan adoptés par son cours de 1932</w:t>
      </w:r>
      <w:r w:rsidR="00044324">
        <w:t xml:space="preserve"> manifestent qu’il a entrepris de penser le mystère de l’Église en lui appliquant les catégories thomistes de</w:t>
      </w:r>
      <w:r w:rsidR="004D7A32">
        <w:t xml:space="preserve"> la société, </w:t>
      </w:r>
      <w:r w:rsidR="004A7455">
        <w:t>mais il éprouvera progressivement l’inaptitude de ces catégories à rendre compte entièrement de la réalité ecclésiale</w:t>
      </w:r>
      <w:r w:rsidR="004A7455">
        <w:rPr>
          <w:rStyle w:val="Appelnotedebasdep"/>
        </w:rPr>
        <w:footnoteReference w:id="12"/>
      </w:r>
      <w:r w:rsidR="00BC44C4">
        <w:t>.</w:t>
      </w:r>
    </w:p>
    <w:p w14:paraId="093DE63A" w14:textId="3E08E974" w:rsidR="00920797" w:rsidRDefault="006854B3" w:rsidP="00920797">
      <w:pPr>
        <w:spacing w:line="360" w:lineRule="auto"/>
        <w:ind w:firstLine="284"/>
        <w:jc w:val="both"/>
      </w:pPr>
      <w:r>
        <w:t xml:space="preserve">Dès </w:t>
      </w:r>
      <w:r w:rsidR="00877F53">
        <w:t xml:space="preserve">1930, </w:t>
      </w:r>
      <w:proofErr w:type="spellStart"/>
      <w:r w:rsidR="00877F53">
        <w:t>Congar</w:t>
      </w:r>
      <w:proofErr w:type="spellEnd"/>
      <w:r w:rsidR="00877F53">
        <w:t xml:space="preserve"> avait commencé à découvrir le monde allemand. Il avait alors senti, « bien que le connaissant encore mal, qu’il y avait quelque chose de très profond à comprendre</w:t>
      </w:r>
      <w:r w:rsidR="00933185">
        <w:t xml:space="preserve"> et à trouver chez Luther »</w:t>
      </w:r>
      <w:r w:rsidR="00933185">
        <w:rPr>
          <w:rStyle w:val="Appelnotedebasdep"/>
        </w:rPr>
        <w:footnoteReference w:id="13"/>
      </w:r>
      <w:r w:rsidR="00A276FC">
        <w:t xml:space="preserve"> ; l’été suivant, </w:t>
      </w:r>
      <w:r w:rsidR="008B4870">
        <w:t>il « subit la fascination des hauts lieux du luthéranisme »</w:t>
      </w:r>
      <w:r w:rsidR="008B4870">
        <w:rPr>
          <w:rStyle w:val="Appelnotedebasdep"/>
        </w:rPr>
        <w:footnoteReference w:id="14"/>
      </w:r>
      <w:r w:rsidR="008B4870">
        <w:t> : la Wartburg, Erfurt, Wittenberg.</w:t>
      </w:r>
      <w:r w:rsidR="0022307A">
        <w:t xml:space="preserve"> Lors de son semestre d’études à Paris en 1932, il s’était rendu</w:t>
      </w:r>
      <w:r w:rsidR="00657788">
        <w:t xml:space="preserve"> aussi au « Cercle franco-russe », lieu de rencontres entre orthodoxes, protestants et catholiques, où l’on pouvait côtoyer Jacques Maritain, Nicolas Berdiaev, Serge Boulgakov, Lev Gillet et Emmanuel Mounier</w:t>
      </w:r>
      <w:r w:rsidR="00614986">
        <w:rPr>
          <w:rStyle w:val="Appelnotedebasdep"/>
        </w:rPr>
        <w:footnoteReference w:id="15"/>
      </w:r>
      <w:r w:rsidR="00657788">
        <w:t>.</w:t>
      </w:r>
      <w:r w:rsidR="00614986">
        <w:t xml:space="preserve"> À l’Institut catholique, il avait encore fait la connaissance de l’abbé Albert </w:t>
      </w:r>
      <w:proofErr w:type="spellStart"/>
      <w:r w:rsidR="00614986">
        <w:t>Gratieux</w:t>
      </w:r>
      <w:proofErr w:type="spellEnd"/>
      <w:r w:rsidR="00614986">
        <w:t xml:space="preserve">, qui donnait des cours sur Alexis </w:t>
      </w:r>
      <w:proofErr w:type="spellStart"/>
      <w:r w:rsidR="00614986">
        <w:t>Stepanovitch</w:t>
      </w:r>
      <w:proofErr w:type="spellEnd"/>
      <w:r w:rsidR="00D9457C">
        <w:t xml:space="preserve"> </w:t>
      </w:r>
      <w:r w:rsidR="00D9457C">
        <w:lastRenderedPageBreak/>
        <w:t>Khomiakov et le mouvement slavophile</w:t>
      </w:r>
      <w:r w:rsidR="0041480B">
        <w:t xml:space="preserve">. C’est ensuite à dom Lambert Beauduin, le fondateur du prieuré </w:t>
      </w:r>
      <w:r w:rsidR="00920797">
        <w:t xml:space="preserve">« bi-rituel » </w:t>
      </w:r>
      <w:r w:rsidR="0041480B">
        <w:t>d’Amay-sur-Meuse (</w:t>
      </w:r>
      <w:r w:rsidR="00920797">
        <w:t xml:space="preserve">déplacé ensuite à </w:t>
      </w:r>
      <w:proofErr w:type="spellStart"/>
      <w:r w:rsidR="00920797">
        <w:t>Chevetogne</w:t>
      </w:r>
      <w:proofErr w:type="spellEnd"/>
      <w:r w:rsidR="00920797">
        <w:t>)</w:t>
      </w:r>
      <w:r w:rsidR="0085293E">
        <w:t>,</w:t>
      </w:r>
      <w:r w:rsidR="00920797">
        <w:t xml:space="preserve"> qu’il rendrait visite pour lui exposer son projet d</w:t>
      </w:r>
      <w:proofErr w:type="gramStart"/>
      <w:r w:rsidR="00920797">
        <w:t>’«</w:t>
      </w:r>
      <w:proofErr w:type="gramEnd"/>
      <w:r w:rsidR="00920797">
        <w:t xml:space="preserve"> entreprendre un renouveau de l’ecclésiologie en liaison avec une large participation à l’activité </w:t>
      </w:r>
      <w:proofErr w:type="spellStart"/>
      <w:r w:rsidR="00920797">
        <w:t>unionique</w:t>
      </w:r>
      <w:proofErr w:type="spellEnd"/>
      <w:r w:rsidR="00920797">
        <w:t> »</w:t>
      </w:r>
      <w:r w:rsidR="00920797">
        <w:rPr>
          <w:rStyle w:val="Appelnotedebasdep"/>
        </w:rPr>
        <w:footnoteReference w:id="16"/>
      </w:r>
      <w:r w:rsidR="0091573A">
        <w:t xml:space="preserve">. Lors d’un séjour à Amay en juillet-août 1932, il </w:t>
      </w:r>
      <w:r w:rsidR="00BA7462">
        <w:t xml:space="preserve">y </w:t>
      </w:r>
      <w:r w:rsidR="0091573A">
        <w:t>rencontrerait également l’abbé Paul Couturier</w:t>
      </w:r>
      <w:r w:rsidR="00CA0274">
        <w:t xml:space="preserve">, </w:t>
      </w:r>
      <w:r w:rsidR="006B30A4">
        <w:t>sans apprendre alors que celui-ci venait d</w:t>
      </w:r>
      <w:r w:rsidR="00BA7462">
        <w:t xml:space="preserve">’y </w:t>
      </w:r>
      <w:r w:rsidR="006B30A4">
        <w:t>recevoir l’inspiration</w:t>
      </w:r>
      <w:r w:rsidR="00BA7462">
        <w:t xml:space="preserve"> de se consacrer à la cause de l’Unité et de décider de promouvoir sa fameuse « Semaine de l’universelle prière pour l’unité chrétienne »</w:t>
      </w:r>
      <w:r w:rsidR="00BA7462">
        <w:rPr>
          <w:rStyle w:val="Appelnotedebasdep"/>
        </w:rPr>
        <w:footnoteReference w:id="17"/>
      </w:r>
      <w:r w:rsidR="00BA7462">
        <w:t>.</w:t>
      </w:r>
    </w:p>
    <w:p w14:paraId="3C0ED86F" w14:textId="027D452B" w:rsidR="00BA7462" w:rsidRDefault="00BA7462" w:rsidP="00920797">
      <w:pPr>
        <w:spacing w:line="360" w:lineRule="auto"/>
        <w:ind w:firstLine="284"/>
        <w:jc w:val="both"/>
      </w:pPr>
      <w:r>
        <w:t xml:space="preserve">Tous ces </w:t>
      </w:r>
      <w:r w:rsidR="005C269A">
        <w:t>contact</w:t>
      </w:r>
      <w:r>
        <w:t xml:space="preserve">s, et bien d’autres qui </w:t>
      </w:r>
      <w:r w:rsidR="005C269A">
        <w:t>seront ou non mentionné</w:t>
      </w:r>
      <w:r>
        <w:t>s ici</w:t>
      </w:r>
      <w:r w:rsidR="005C269A">
        <w:t xml:space="preserve">, tracent un réseau extraordinaire de relations qui non seulement font connaître le jeune </w:t>
      </w:r>
      <w:proofErr w:type="spellStart"/>
      <w:r w:rsidR="005C269A">
        <w:t>Congar</w:t>
      </w:r>
      <w:proofErr w:type="spellEnd"/>
      <w:r w:rsidR="00F72033">
        <w:t>, mais l’ouvrent successivement aux grandes dimensions et personnalités de l’œcuménisme naissant.</w:t>
      </w:r>
      <w:r w:rsidR="00D83A2F">
        <w:t xml:space="preserve"> « Quant aux dures années 30, pourra même écrire l’historien de l’œcuménisme européen contemporain d’expression française, impossible de s’y méprendre, elles portent la marque du Père </w:t>
      </w:r>
      <w:proofErr w:type="spellStart"/>
      <w:r w:rsidR="00D83A2F">
        <w:t>Congar</w:t>
      </w:r>
      <w:proofErr w:type="spellEnd"/>
      <w:r w:rsidR="00D83A2F">
        <w:t> »</w:t>
      </w:r>
      <w:r w:rsidR="00D83A2F">
        <w:rPr>
          <w:rStyle w:val="Appelnotedebasdep"/>
        </w:rPr>
        <w:footnoteReference w:id="18"/>
      </w:r>
      <w:r w:rsidR="006760B3">
        <w:t xml:space="preserve">. Si ce dernier est d’abord et avant tout professeur au </w:t>
      </w:r>
      <w:proofErr w:type="spellStart"/>
      <w:r w:rsidR="006760B3">
        <w:t>Saulchoir</w:t>
      </w:r>
      <w:proofErr w:type="spellEnd"/>
      <w:r w:rsidR="006760B3">
        <w:t>, « pourtant l’essentiel de ses activités ‘extérieures’ et une large part de sa production</w:t>
      </w:r>
      <w:r w:rsidR="002265C5">
        <w:t xml:space="preserve"> déjà abondante concernent de près ou de loin les questions œcuméniques »</w:t>
      </w:r>
      <w:r w:rsidR="002265C5">
        <w:rPr>
          <w:rStyle w:val="Appelnotedebasdep"/>
        </w:rPr>
        <w:footnoteReference w:id="19"/>
      </w:r>
      <w:r w:rsidR="002265C5">
        <w:t xml:space="preserve">. </w:t>
      </w:r>
      <w:r w:rsidR="00D31D56">
        <w:t>Le dominicain français devient l’interlocuteur catholique principal du dialogue</w:t>
      </w:r>
      <w:r w:rsidR="009C2158">
        <w:t xml:space="preserve"> œcuménique</w:t>
      </w:r>
      <w:r w:rsidR="00630271">
        <w:t xml:space="preserve">. </w:t>
      </w:r>
      <w:r w:rsidR="00D76C96">
        <w:t>À partir de 1935, ses initiatives, qu’il doit concilier avec ses obligations professorales, se succèdent « à un rythme effrayant », le conduisant « au bord de l’épuisement physique et nerveux »</w:t>
      </w:r>
      <w:r w:rsidR="00D76C96">
        <w:rPr>
          <w:rStyle w:val="Appelnotedebasdep"/>
        </w:rPr>
        <w:footnoteReference w:id="20"/>
      </w:r>
      <w:r w:rsidR="0031693D">
        <w:t>. La même année</w:t>
      </w:r>
      <w:r w:rsidR="003A7336">
        <w:t>,</w:t>
      </w:r>
      <w:r w:rsidR="0031693D">
        <w:t xml:space="preserve"> naissent les « Cahiers pour le protestantisme »</w:t>
      </w:r>
      <w:r w:rsidR="00343315">
        <w:t>. L’œcuméniste, qui porte seul la responsabilité de cette vaste entreprise, veut y faire toucher</w:t>
      </w:r>
      <w:r w:rsidR="003A7336">
        <w:t xml:space="preserve"> du doigt la « sensibilité protestante » contemporaine et la montrer en actes à travers quelques « grandes figures »</w:t>
      </w:r>
      <w:r w:rsidR="003A7336">
        <w:rPr>
          <w:rStyle w:val="Appelnotedebasdep"/>
        </w:rPr>
        <w:footnoteReference w:id="21"/>
      </w:r>
      <w:r w:rsidR="00543846">
        <w:t xml:space="preserve">. Les « Cahiers » vont jouer un rôle décisif dans la carrière œcuménique de </w:t>
      </w:r>
      <w:proofErr w:type="spellStart"/>
      <w:r w:rsidR="00543846">
        <w:t>Congar</w:t>
      </w:r>
      <w:proofErr w:type="spellEnd"/>
      <w:r w:rsidR="00543846">
        <w:t>, l’accréditant ou le rendant suspect en divers lieux, lui apportant de multiples demandes de collaboration</w:t>
      </w:r>
      <w:r w:rsidR="003D7279">
        <w:t xml:space="preserve">, jouant un rôle </w:t>
      </w:r>
      <w:r w:rsidR="00BE4FDB">
        <w:t>non moins</w:t>
      </w:r>
      <w:r w:rsidR="003D7279">
        <w:t xml:space="preserve"> décisif dans l’évolution des rapports interconfessionnels en </w:t>
      </w:r>
      <w:r w:rsidR="00E8745A">
        <w:t>France et témoignant, par les thèmes qu’ils véhiculent (charité et objectivité)</w:t>
      </w:r>
      <w:r w:rsidR="00BE4FDB">
        <w:t>,</w:t>
      </w:r>
      <w:r w:rsidR="00E8745A">
        <w:t xml:space="preserve"> de la naissance de l’œcuménisme en milieu catholique</w:t>
      </w:r>
      <w:r w:rsidR="00E8745A">
        <w:rPr>
          <w:rStyle w:val="Appelnotedebasdep"/>
        </w:rPr>
        <w:footnoteReference w:id="22"/>
      </w:r>
      <w:r w:rsidR="00224D09">
        <w:t>.</w:t>
      </w:r>
      <w:r w:rsidR="00652F1D">
        <w:t xml:space="preserve"> Le dominicain du </w:t>
      </w:r>
      <w:proofErr w:type="spellStart"/>
      <w:r w:rsidR="00652F1D">
        <w:t>Saulchoir</w:t>
      </w:r>
      <w:proofErr w:type="spellEnd"/>
      <w:r w:rsidR="00652F1D">
        <w:t xml:space="preserve"> cherche à regrouper</w:t>
      </w:r>
      <w:r w:rsidR="00482097">
        <w:t xml:space="preserve"> les compétences</w:t>
      </w:r>
      <w:r w:rsidR="005320BC">
        <w:t xml:space="preserve"> et les bonnes </w:t>
      </w:r>
      <w:r w:rsidR="005320BC">
        <w:lastRenderedPageBreak/>
        <w:t>volontés</w:t>
      </w:r>
      <w:r w:rsidR="00EF1750">
        <w:t>. Inlassablement, il accomplit une « tâche d’éveilleur et de rassembleur » au service de l’Unité</w:t>
      </w:r>
      <w:r w:rsidR="00F74C02">
        <w:rPr>
          <w:rStyle w:val="Appelnotedebasdep"/>
        </w:rPr>
        <w:footnoteReference w:id="23"/>
      </w:r>
      <w:r w:rsidR="00CF1682">
        <w:t>.</w:t>
      </w:r>
    </w:p>
    <w:p w14:paraId="62205F74" w14:textId="58B75C92" w:rsidR="000C35BD" w:rsidRDefault="000C35BD" w:rsidP="00920797">
      <w:pPr>
        <w:spacing w:line="360" w:lineRule="auto"/>
        <w:ind w:firstLine="284"/>
        <w:jc w:val="both"/>
      </w:pPr>
      <w:r>
        <w:t>C’est sur cette trajectoire ascendante et harassante</w:t>
      </w:r>
      <w:r w:rsidR="0080051C">
        <w:t xml:space="preserve">, qu’à la fin de 1935, </w:t>
      </w:r>
      <w:proofErr w:type="spellStart"/>
      <w:r w:rsidR="0080051C">
        <w:t>Congar</w:t>
      </w:r>
      <w:proofErr w:type="spellEnd"/>
      <w:r w:rsidR="0080051C">
        <w:t xml:space="preserve"> est invité par les chapelains de la basilique du Sacré-Cœur de Montmartre à prêcher ce qui était encore alors « l’Octave solennelle de prières pour l’unité du monde chrétien »</w:t>
      </w:r>
      <w:r w:rsidR="005465E5">
        <w:t>,</w:t>
      </w:r>
      <w:r w:rsidR="0080051C">
        <w:t xml:space="preserve"> du 18 au 25 janvier</w:t>
      </w:r>
      <w:r w:rsidR="00232976">
        <w:t xml:space="preserve"> 1936</w:t>
      </w:r>
      <w:r w:rsidR="0080051C">
        <w:t>.</w:t>
      </w:r>
      <w:r w:rsidR="003C1173">
        <w:t xml:space="preserve"> Ces huit conférences</w:t>
      </w:r>
      <w:r w:rsidR="00F20215">
        <w:t xml:space="preserve">, plus théologiques </w:t>
      </w:r>
      <w:r w:rsidR="005465E5">
        <w:t>que</w:t>
      </w:r>
      <w:r w:rsidR="00F20215">
        <w:t xml:space="preserve"> spirituelles, attirent selon les jours de 800 à 2000 personnes</w:t>
      </w:r>
      <w:r w:rsidR="002954E7">
        <w:t xml:space="preserve"> et n’auro</w:t>
      </w:r>
      <w:r w:rsidR="005848EA">
        <w:t xml:space="preserve">nt pas moins de retentissement </w:t>
      </w:r>
      <w:r w:rsidR="002954E7">
        <w:t>que les « Cahiers »</w:t>
      </w:r>
      <w:r w:rsidR="002954E7">
        <w:rPr>
          <w:rStyle w:val="Appelnotedebasdep"/>
        </w:rPr>
        <w:footnoteReference w:id="24"/>
      </w:r>
      <w:r w:rsidR="002954E7">
        <w:t>.</w:t>
      </w:r>
      <w:r w:rsidR="005848EA">
        <w:t xml:space="preserve"> </w:t>
      </w:r>
      <w:r w:rsidR="006A6301">
        <w:t xml:space="preserve">Ces conférences, retravaillées et développées, fourniront </w:t>
      </w:r>
      <w:r w:rsidR="00232976">
        <w:t xml:space="preserve">un an plus tard </w:t>
      </w:r>
      <w:r w:rsidR="006A6301">
        <w:t xml:space="preserve">le contenu du premier grand livre d’Yves </w:t>
      </w:r>
      <w:proofErr w:type="spellStart"/>
      <w:r w:rsidR="006A6301">
        <w:t>Congar</w:t>
      </w:r>
      <w:proofErr w:type="spellEnd"/>
      <w:r w:rsidR="006A6301">
        <w:t xml:space="preserve"> : </w:t>
      </w:r>
      <w:r w:rsidR="006A6301" w:rsidRPr="006A6301">
        <w:rPr>
          <w:i/>
        </w:rPr>
        <w:t>Chrétiens désunis</w:t>
      </w:r>
      <w:r w:rsidR="006A6301">
        <w:t>.</w:t>
      </w:r>
      <w:r w:rsidR="00670D96">
        <w:t xml:space="preserve"> Entre-temps, </w:t>
      </w:r>
      <w:r w:rsidR="006E3EAA">
        <w:t>pendant l’été 1936, il fera l’expérience « de l’homme anglais, d</w:t>
      </w:r>
      <w:r w:rsidR="00A1439B">
        <w:t xml:space="preserve">e la culture anglaise et de la </w:t>
      </w:r>
      <w:r w:rsidR="006E3EAA">
        <w:t>religion anglicane », qui lui manquait encore</w:t>
      </w:r>
      <w:r w:rsidR="00A1439B">
        <w:t xml:space="preserve">, et apprendra ainsi à aimer l’Église anglicane « pour son admirable patrimoine, son culte, son </w:t>
      </w:r>
      <w:r w:rsidR="00A1439B" w:rsidRPr="00A1439B">
        <w:rPr>
          <w:i/>
        </w:rPr>
        <w:t>éthos</w:t>
      </w:r>
      <w:r w:rsidR="00A1439B">
        <w:t xml:space="preserve"> à la fois religieux et humaniste, respectueux et libre »</w:t>
      </w:r>
      <w:r w:rsidR="009B6251">
        <w:rPr>
          <w:rStyle w:val="Appelnotedebasdep"/>
        </w:rPr>
        <w:footnoteReference w:id="25"/>
      </w:r>
      <w:r w:rsidR="009B6251">
        <w:t>.</w:t>
      </w:r>
    </w:p>
    <w:p w14:paraId="45398ADA" w14:textId="35B5791E" w:rsidR="009B6251" w:rsidRDefault="009B6251" w:rsidP="00920797">
      <w:pPr>
        <w:spacing w:line="360" w:lineRule="auto"/>
        <w:ind w:firstLine="284"/>
        <w:jc w:val="both"/>
      </w:pPr>
      <w:r>
        <w:t>Sur de telles bases, l’œcuméniste français allait pouvoir confirmer et déployer son grand projet ecclésiologique et œcuménique à la fois.</w:t>
      </w:r>
    </w:p>
    <w:p w14:paraId="4C491264" w14:textId="77777777" w:rsidR="00FF5F4A" w:rsidRDefault="00FF5F4A" w:rsidP="00FF5F4A">
      <w:pPr>
        <w:spacing w:line="360" w:lineRule="auto"/>
        <w:ind w:firstLine="284"/>
        <w:jc w:val="both"/>
      </w:pPr>
    </w:p>
    <w:p w14:paraId="2A536411" w14:textId="46A8647A" w:rsidR="00FF5F4A" w:rsidRPr="004E12A0" w:rsidRDefault="00FF5F4A" w:rsidP="00FF5F4A">
      <w:pPr>
        <w:spacing w:line="360" w:lineRule="auto"/>
        <w:jc w:val="both"/>
        <w:rPr>
          <w:b/>
        </w:rPr>
      </w:pPr>
      <w:r>
        <w:rPr>
          <w:b/>
        </w:rPr>
        <w:t>3</w:t>
      </w:r>
      <w:r w:rsidRPr="004E12A0">
        <w:rPr>
          <w:b/>
        </w:rPr>
        <w:t xml:space="preserve">. </w:t>
      </w:r>
      <w:r>
        <w:rPr>
          <w:b/>
        </w:rPr>
        <w:t>Confirmation et déploiement</w:t>
      </w:r>
    </w:p>
    <w:p w14:paraId="23C15E3D" w14:textId="2DCDDD90" w:rsidR="00FF5F4A" w:rsidRDefault="002A1C6B" w:rsidP="00FF5F4A">
      <w:pPr>
        <w:spacing w:line="360" w:lineRule="auto"/>
        <w:ind w:firstLine="284"/>
        <w:jc w:val="both"/>
      </w:pPr>
      <w:r>
        <w:t xml:space="preserve">Le </w:t>
      </w:r>
      <w:r w:rsidR="006F143A">
        <w:t>ressort profond</w:t>
      </w:r>
      <w:r>
        <w:t xml:space="preserve"> d</w:t>
      </w:r>
      <w:r w:rsidR="006F143A">
        <w:t>e son</w:t>
      </w:r>
      <w:r>
        <w:t xml:space="preserve"> projet se précise</w:t>
      </w:r>
      <w:r w:rsidR="006F143A">
        <w:t xml:space="preserve"> quand </w:t>
      </w:r>
      <w:proofErr w:type="spellStart"/>
      <w:r w:rsidR="006F143A">
        <w:t>Congar</w:t>
      </w:r>
      <w:proofErr w:type="spellEnd"/>
      <w:r w:rsidR="006F143A">
        <w:t xml:space="preserve"> accepte de donner une conclusion</w:t>
      </w:r>
      <w:r w:rsidR="00582493">
        <w:t xml:space="preserve"> théologique à l’enquête de </w:t>
      </w:r>
      <w:r w:rsidR="00582493" w:rsidRPr="00FE327C">
        <w:rPr>
          <w:i/>
        </w:rPr>
        <w:t>La Vie Intellectuelle</w:t>
      </w:r>
      <w:r w:rsidR="00582493">
        <w:t xml:space="preserve"> sur les raisons actuelles de l’incroyance</w:t>
      </w:r>
      <w:r w:rsidR="00FE327C">
        <w:t xml:space="preserve"> (31 juillet 1935).</w:t>
      </w:r>
      <w:r w:rsidR="00244EC8">
        <w:t xml:space="preserve"> Cette enquête lui fit percevoir la nécessité de restaurer le vrai visage du catholicisme</w:t>
      </w:r>
      <w:r w:rsidR="007B16A0">
        <w:t>. L’</w:t>
      </w:r>
      <w:proofErr w:type="spellStart"/>
      <w:r w:rsidR="007B16A0">
        <w:t>ecclésiologue</w:t>
      </w:r>
      <w:proofErr w:type="spellEnd"/>
      <w:r w:rsidR="007B16A0">
        <w:t xml:space="preserve"> diagnostique un « déficit d’incarnation ou de catholicité » de la part de l’Église</w:t>
      </w:r>
      <w:r w:rsidR="002E4F6D">
        <w:t> : « une immense tranche de l’activité humaine, toute une croissance d’humanité, de chair humaine — la vie moderne avec sa Science, ses misères, ses grandeurs — n’a pas eu l’incarnation en soi du Verbe ; l’Église n’a pas don</w:t>
      </w:r>
      <w:r w:rsidR="00612B1C">
        <w:t>n</w:t>
      </w:r>
      <w:r w:rsidR="002E4F6D">
        <w:t>é son âme à ce corps</w:t>
      </w:r>
      <w:r w:rsidR="00612B1C">
        <w:t xml:space="preserve"> qui s’étendait</w:t>
      </w:r>
      <w:r w:rsidR="00A901A6">
        <w:t> »</w:t>
      </w:r>
      <w:r w:rsidR="00A901A6">
        <w:rPr>
          <w:rStyle w:val="Appelnotedebasdep"/>
        </w:rPr>
        <w:footnoteReference w:id="26"/>
      </w:r>
      <w:r w:rsidR="004D4ED7">
        <w:t>. À toute extension de l’humain en l’un des domaines de la création doit, en effet, répondre une croissance de l’Église</w:t>
      </w:r>
      <w:r w:rsidR="005D3520">
        <w:t>, une incorporation de la foi, une humanisation de Dieu</w:t>
      </w:r>
      <w:r w:rsidR="00714A1F">
        <w:t> : ainsi se définit la catholicité ecclésiale. L’Église, c’est l’univers en tant que transfiguré par grâce à l’image de Dieu</w:t>
      </w:r>
      <w:r w:rsidR="00714A1F">
        <w:rPr>
          <w:rStyle w:val="Appelnotedebasdep"/>
        </w:rPr>
        <w:footnoteReference w:id="27"/>
      </w:r>
      <w:r w:rsidR="00714A1F">
        <w:t>.</w:t>
      </w:r>
    </w:p>
    <w:p w14:paraId="640A766D" w14:textId="77777777" w:rsidR="004A150C" w:rsidRDefault="0099676A" w:rsidP="00FF5F4A">
      <w:pPr>
        <w:spacing w:line="360" w:lineRule="auto"/>
        <w:ind w:firstLine="284"/>
        <w:jc w:val="both"/>
      </w:pPr>
      <w:r>
        <w:lastRenderedPageBreak/>
        <w:t>Peu de temps après, en fondant la collection « </w:t>
      </w:r>
      <w:proofErr w:type="spellStart"/>
      <w:r>
        <w:t>Unam</w:t>
      </w:r>
      <w:proofErr w:type="spellEnd"/>
      <w:r>
        <w:t xml:space="preserve"> </w:t>
      </w:r>
      <w:proofErr w:type="spellStart"/>
      <w:r>
        <w:t>Sanctam</w:t>
      </w:r>
      <w:proofErr w:type="spellEnd"/>
      <w:r>
        <w:t> », le dominicain précise son dessein ecclésiologique : « mieux faire connaître la nature ou, si l’on veut, le mystère de l’Église » en procurant « une notion de l’Église large, riche, vivante, pleine de sève biblique et traditionnelle »</w:t>
      </w:r>
      <w:r>
        <w:rPr>
          <w:rStyle w:val="Appelnotedebasdep"/>
        </w:rPr>
        <w:footnoteReference w:id="28"/>
      </w:r>
      <w:r>
        <w:t>.</w:t>
      </w:r>
      <w:r w:rsidR="00A15D0F">
        <w:t xml:space="preserve"> </w:t>
      </w:r>
      <w:r w:rsidR="00A15D0F" w:rsidRPr="00156C6E">
        <w:rPr>
          <w:i/>
        </w:rPr>
        <w:t>Chrétiens désunis</w:t>
      </w:r>
      <w:r w:rsidR="00156C6E">
        <w:t xml:space="preserve"> en sera le premier volume</w:t>
      </w:r>
      <w:r w:rsidR="00156C6E">
        <w:rPr>
          <w:rStyle w:val="Appelnotedebasdep"/>
        </w:rPr>
        <w:footnoteReference w:id="29"/>
      </w:r>
      <w:r w:rsidR="00CB1C08">
        <w:t xml:space="preserve">, dont le projet « œcuménique » se reflète assez exactement dans le titre de </w:t>
      </w:r>
      <w:r w:rsidR="00AE5A3F">
        <w:t xml:space="preserve">la </w:t>
      </w:r>
      <w:r w:rsidR="00CB1C08">
        <w:t>collection : travailler à l’unité de l’Église</w:t>
      </w:r>
      <w:r w:rsidR="00AE5A3F">
        <w:t>, qui est une et doit le redevenir complètement de manière visible (</w:t>
      </w:r>
      <w:proofErr w:type="spellStart"/>
      <w:r w:rsidR="00AE5A3F" w:rsidRPr="00AE5A3F">
        <w:rPr>
          <w:i/>
        </w:rPr>
        <w:t>unam</w:t>
      </w:r>
      <w:proofErr w:type="spellEnd"/>
      <w:r w:rsidR="00AE5A3F">
        <w:t>), et qui est sainte (</w:t>
      </w:r>
      <w:proofErr w:type="spellStart"/>
      <w:r w:rsidR="00AE5A3F" w:rsidRPr="00AE5A3F">
        <w:rPr>
          <w:i/>
        </w:rPr>
        <w:t>sanctam</w:t>
      </w:r>
      <w:proofErr w:type="spellEnd"/>
      <w:r w:rsidR="00AE5A3F">
        <w:t>).</w:t>
      </w:r>
      <w:r w:rsidR="004E41BE">
        <w:t xml:space="preserve"> Cet ouvrage, première synthèse </w:t>
      </w:r>
      <w:r w:rsidR="007F7BB8">
        <w:t>de</w:t>
      </w:r>
      <w:r w:rsidR="004E41BE">
        <w:t xml:space="preserve"> langue française</w:t>
      </w:r>
      <w:r w:rsidR="00CB11B9">
        <w:t xml:space="preserve"> en la matière</w:t>
      </w:r>
      <w:r w:rsidR="007F7BB8">
        <w:t xml:space="preserve">, </w:t>
      </w:r>
      <w:r w:rsidR="00AF0038">
        <w:t>fut</w:t>
      </w:r>
      <w:r w:rsidR="007F7BB8">
        <w:t xml:space="preserve"> un livre de référence pendant plus de quinze ans, car il « établissait les bases théologiques d’un statut </w:t>
      </w:r>
      <w:r w:rsidR="00FA24B0">
        <w:t>de l’œcuménisme en milieu catholique », marquant un jalon capital dans l’ordre doctrinal comme Amay l’avait été dans l’ordre de l’action et l’abbé Couturier le devenait dans l’ordre de la spiritualité</w:t>
      </w:r>
      <w:r w:rsidR="00FA24B0">
        <w:rPr>
          <w:rStyle w:val="Appelnotedebasdep"/>
        </w:rPr>
        <w:footnoteReference w:id="30"/>
      </w:r>
      <w:r w:rsidR="001C6F54">
        <w:t>.</w:t>
      </w:r>
    </w:p>
    <w:p w14:paraId="4DB9A04C" w14:textId="006E110A" w:rsidR="0099676A" w:rsidRDefault="001A6CB8" w:rsidP="00FF5F4A">
      <w:pPr>
        <w:spacing w:line="360" w:lineRule="auto"/>
        <w:ind w:firstLine="284"/>
        <w:jc w:val="both"/>
      </w:pPr>
      <w:r>
        <w:t>Cet effort doctrinal, tant ecclésiologique qu’œcuménique, allait aussi entraîner</w:t>
      </w:r>
      <w:r w:rsidR="00183794">
        <w:t xml:space="preserve"> une vue proprement théologale, et non plus seulement</w:t>
      </w:r>
      <w:r w:rsidR="00163EEB">
        <w:t xml:space="preserve"> sociétaire ou juridique, de l’unité ecclésiale</w:t>
      </w:r>
      <w:r w:rsidR="00E9075C">
        <w:t>, ainsi qu’une perception qualitative, et non plus étroitement quantitative, temporelle et géographique, de la catholicité, jusqu’à dilater le concept d’Église aux dimensions mêmes de l’univers grâce à la notion originale d’œcuménicité. Une telle tentative renouvelait profondément l’approche apologétique et juridique, encore dominante à l’époque</w:t>
      </w:r>
      <w:r w:rsidR="00E9075C">
        <w:rPr>
          <w:rStyle w:val="Appelnotedebasdep"/>
        </w:rPr>
        <w:footnoteReference w:id="31"/>
      </w:r>
      <w:r w:rsidR="00EB1736">
        <w:t>.</w:t>
      </w:r>
      <w:r w:rsidR="007F1A4F">
        <w:t xml:space="preserve"> Outre</w:t>
      </w:r>
      <w:r w:rsidR="002B52DB">
        <w:t xml:space="preserve"> cette avancée doctrinale remarquable</w:t>
      </w:r>
      <w:r w:rsidR="00EB509C">
        <w:t xml:space="preserve">, l’originalité de </w:t>
      </w:r>
      <w:r w:rsidR="00EB509C" w:rsidRPr="00EB509C">
        <w:rPr>
          <w:i/>
        </w:rPr>
        <w:t>Chrétiens désunis</w:t>
      </w:r>
      <w:r w:rsidR="00EB509C">
        <w:t xml:space="preserve"> réside en une théologie du possible, sur une ligne de crête entre positions officielles (exclusivistes) de la hiérarchie catholique</w:t>
      </w:r>
      <w:r w:rsidR="009270E6">
        <w:t xml:space="preserve"> et appréciation positive des autres chrétiens.</w:t>
      </w:r>
      <w:r w:rsidR="003E533C">
        <w:t xml:space="preserve"> Cette théologie du possible manifeste une réelle audace tant par les positions doctrinales évoquées que par sa méthodologie « œcuménique »</w:t>
      </w:r>
      <w:r w:rsidR="00FC75DB">
        <w:t xml:space="preserve"> (les guillemets indiquent que le mot est encore suspect en 1937 dans le monde catholique).</w:t>
      </w:r>
      <w:r w:rsidR="00B27311">
        <w:t xml:space="preserve"> Cette méthode</w:t>
      </w:r>
      <w:r w:rsidR="0093056C">
        <w:t xml:space="preserve"> implique les principes suivants</w:t>
      </w:r>
      <w:r w:rsidR="0041059D">
        <w:t xml:space="preserve"> : adopter une attitude irénique et loyale, bannissant la polémique ; </w:t>
      </w:r>
      <w:r w:rsidR="00233D5D">
        <w:t xml:space="preserve">retourner </w:t>
      </w:r>
      <w:r w:rsidR="00477CE2" w:rsidRPr="00477CE2">
        <w:rPr>
          <w:i/>
        </w:rPr>
        <w:t>ensemble</w:t>
      </w:r>
      <w:r w:rsidR="00477CE2">
        <w:t xml:space="preserve"> </w:t>
      </w:r>
      <w:r w:rsidR="00233D5D">
        <w:t>aux sources profonde</w:t>
      </w:r>
      <w:r w:rsidR="00477CE2">
        <w:t>s</w:t>
      </w:r>
      <w:r w:rsidR="00233D5D">
        <w:t xml:space="preserve"> du christianisme</w:t>
      </w:r>
      <w:r w:rsidR="00477CE2">
        <w:t xml:space="preserve">, avant la désunion, et, à ce degré de profondeur commune, retrouver les expressions de l’unité ; </w:t>
      </w:r>
      <w:r w:rsidR="0041059D">
        <w:t>promouvoir une découverte mutuelle sereine des différentes traditions chrétiennes</w:t>
      </w:r>
      <w:r w:rsidR="006D5444">
        <w:t xml:space="preserve">, mais sans gommer les différences doctrinales, dans </w:t>
      </w:r>
      <w:r w:rsidR="006D5444">
        <w:lastRenderedPageBreak/>
        <w:t>l’honnêteté intellectuelle ; comparer les doctrines respectives, mais savoir aussi se critiquer mutuellement, dans la vérité et la fraternité</w:t>
      </w:r>
      <w:r w:rsidR="00626B4A">
        <w:t xml:space="preserve">, ce qui inclut une nécessaire réforme ecclésiale ; </w:t>
      </w:r>
      <w:r w:rsidR="00D76A28">
        <w:t>simultanément prier, car la « réunion » des Églises est d’abord « objet d’espérance théologale et de prière »</w:t>
      </w:r>
      <w:r w:rsidR="00C015C8">
        <w:rPr>
          <w:rStyle w:val="Appelnotedebasdep"/>
        </w:rPr>
        <w:footnoteReference w:id="32"/>
      </w:r>
      <w:r w:rsidR="00C015C8">
        <w:t>.</w:t>
      </w:r>
    </w:p>
    <w:p w14:paraId="572CCABC" w14:textId="098CF3C9" w:rsidR="00924100" w:rsidRDefault="00924100" w:rsidP="00FF5F4A">
      <w:pPr>
        <w:spacing w:line="360" w:lineRule="auto"/>
        <w:ind w:firstLine="284"/>
        <w:jc w:val="both"/>
      </w:pPr>
      <w:r>
        <w:t>D’un point de vue proprement théologique, avons-nous déjà indiqué</w:t>
      </w:r>
      <w:r w:rsidR="00110322">
        <w:t>, ce qui est neuf et central, c’est la conception de la catholicité qui émerge ici et rend possible une première ouverture de l’Église catholique à l</w:t>
      </w:r>
      <w:proofErr w:type="gramStart"/>
      <w:r w:rsidR="00110322">
        <w:t>’«</w:t>
      </w:r>
      <w:proofErr w:type="gramEnd"/>
      <w:r w:rsidR="00110322">
        <w:t> œcuménisme »</w:t>
      </w:r>
      <w:r w:rsidR="00CB76E0">
        <w:t>. Universalité dynamique, expansion de l’unité</w:t>
      </w:r>
      <w:r w:rsidR="001F65EF">
        <w:t>, la catholicité ecclésiale garantit le respect et l’accomplissement de la diversité humaine, tout en la purifiant, tout en la faisant mourir à un trop grand particularisme pour la faire entrer dans l’unité supérieure du tout, sous l’action du Saint-Esprit.</w:t>
      </w:r>
      <w:r w:rsidR="009E19BC">
        <w:t xml:space="preserve"> Pour </w:t>
      </w:r>
      <w:proofErr w:type="spellStart"/>
      <w:r w:rsidR="009E19BC">
        <w:t>Congar</w:t>
      </w:r>
      <w:proofErr w:type="spellEnd"/>
      <w:r w:rsidR="009E19BC">
        <w:t>, l’Église catholique doit reconnaître qu’elle ne réalise présentement sa catholicité que d’une manière imparfaite</w:t>
      </w:r>
      <w:r w:rsidR="0064716B">
        <w:t>, qu’elle doit dès lors sans cesse se réformer pour être catholique d’une catholicité toujours plus parfaite, plus plénière, ouverte et accueillante aux valeurs chrétiennes inaliénables des autres confessions précisément pour les réintégrer dans la catholicité</w:t>
      </w:r>
      <w:r w:rsidR="002A2023">
        <w:t>.</w:t>
      </w:r>
    </w:p>
    <w:p w14:paraId="1F3684AF" w14:textId="778A35DD" w:rsidR="002A2023" w:rsidRDefault="002A2023" w:rsidP="00FF5F4A">
      <w:pPr>
        <w:spacing w:line="360" w:lineRule="auto"/>
        <w:ind w:firstLine="284"/>
        <w:jc w:val="both"/>
      </w:pPr>
      <w:r>
        <w:t>Ce n’était qu’un début d’ouverture</w:t>
      </w:r>
      <w:r w:rsidR="0044146E">
        <w:t xml:space="preserve"> aux autres chrétiens, décisif néanmoins</w:t>
      </w:r>
      <w:r w:rsidR="00436F05">
        <w:t xml:space="preserve"> pour l’évolution du catholicisme et audacieux pour l’époque, mais cette ouverture s’approfondirait avec le temps. </w:t>
      </w:r>
      <w:r w:rsidR="0057261C">
        <w:t>On</w:t>
      </w:r>
      <w:r w:rsidR="00436F05">
        <w:t xml:space="preserve"> p</w:t>
      </w:r>
      <w:r w:rsidR="001A0634">
        <w:t>eut</w:t>
      </w:r>
      <w:r w:rsidR="00436F05">
        <w:t xml:space="preserve"> à peine l’évoquer ici. </w:t>
      </w:r>
      <w:r w:rsidR="007D6FFC">
        <w:t xml:space="preserve">Progressivement, le théologien dominicain accordera une valeur </w:t>
      </w:r>
      <w:r w:rsidR="00285894">
        <w:t xml:space="preserve">de </w:t>
      </w:r>
      <w:r w:rsidR="007D6FFC">
        <w:t xml:space="preserve">plus </w:t>
      </w:r>
      <w:r w:rsidR="00285894">
        <w:t xml:space="preserve">en plus </w:t>
      </w:r>
      <w:r w:rsidR="007D6FFC">
        <w:t>positive à la diversité en tant que telle, qu’elle soit interne ou externe à l’Église</w:t>
      </w:r>
      <w:r w:rsidR="008C3874">
        <w:t>, jusqu’au dernier état de sa pensée</w:t>
      </w:r>
      <w:r w:rsidR="00285894">
        <w:t xml:space="preserve"> ecclés</w:t>
      </w:r>
      <w:r w:rsidR="00614686">
        <w:t>iologique et œcuménique, exposé</w:t>
      </w:r>
      <w:r w:rsidR="00285894">
        <w:t xml:space="preserve"> dans un ouvrage au titre très </w:t>
      </w:r>
      <w:r w:rsidR="000B4EE6">
        <w:t>suggestif</w:t>
      </w:r>
      <w:r w:rsidR="000510A1">
        <w:t xml:space="preserve"> : </w:t>
      </w:r>
      <w:r w:rsidR="000510A1" w:rsidRPr="00B659F6">
        <w:rPr>
          <w:i/>
        </w:rPr>
        <w:t>Diversités et communion</w:t>
      </w:r>
      <w:r w:rsidR="000510A1">
        <w:rPr>
          <w:rStyle w:val="Appelnotedebasdep"/>
        </w:rPr>
        <w:footnoteReference w:id="33"/>
      </w:r>
      <w:r w:rsidR="00B659F6">
        <w:t>.</w:t>
      </w:r>
      <w:r w:rsidR="004D6D09">
        <w:t xml:space="preserve"> Dans </w:t>
      </w:r>
      <w:r w:rsidR="004D6D09" w:rsidRPr="004D6D09">
        <w:rPr>
          <w:i/>
        </w:rPr>
        <w:t>Chrétiens désunis</w:t>
      </w:r>
      <w:r w:rsidR="004D6D09">
        <w:t xml:space="preserve"> de 1937 et ce</w:t>
      </w:r>
      <w:r w:rsidR="003874CD">
        <w:t>t</w:t>
      </w:r>
      <w:r w:rsidR="004D6D09">
        <w:t xml:space="preserve"> ouvrage de 1982, on trouve une même polarité fondamentale entre unité et richesse interne de l’Église</w:t>
      </w:r>
      <w:r w:rsidR="000B4EE6">
        <w:t>. Ce qui varie, c’est le concept utilisé pour désigner la seconde : de la catholicité comme « capacité universelle de l’</w:t>
      </w:r>
      <w:r w:rsidR="000B4EE6" w:rsidRPr="000B4EE6">
        <w:rPr>
          <w:i/>
        </w:rPr>
        <w:t>unité</w:t>
      </w:r>
      <w:r w:rsidR="000B4EE6">
        <w:t> », on est passé</w:t>
      </w:r>
      <w:r w:rsidR="00C12EC1">
        <w:t xml:space="preserve"> à une notion de </w:t>
      </w:r>
      <w:r w:rsidR="00C12EC1" w:rsidRPr="00C12EC1">
        <w:rPr>
          <w:i/>
        </w:rPr>
        <w:t>diversité</w:t>
      </w:r>
      <w:r w:rsidR="00C12EC1">
        <w:t xml:space="preserve"> (au pluriel) ou de « pluralisme » comme valeur interne de l’unité. Le premier terme lui-même a reçu une dénomination nouvelle : l’unité s’appelle désormais « communion », terme plus mystérique et pneumatologique (</w:t>
      </w:r>
      <w:r w:rsidR="00C12EC1" w:rsidRPr="00C12EC1">
        <w:rPr>
          <w:i/>
        </w:rPr>
        <w:t>Diversités et communion</w:t>
      </w:r>
      <w:r w:rsidR="00C12EC1">
        <w:t>). La diversité prend ainsi une valeur nettement positive</w:t>
      </w:r>
      <w:r w:rsidR="00643AC2">
        <w:t>, constitutive</w:t>
      </w:r>
      <w:r w:rsidR="00C12EC1">
        <w:t xml:space="preserve"> de l’unité, alors qu’elle était une réalité </w:t>
      </w:r>
      <w:r w:rsidR="00EF1D7B">
        <w:t xml:space="preserve">plutôt </w:t>
      </w:r>
      <w:r w:rsidR="00C12EC1">
        <w:t>provisoire et secondaire en regard de l’unité en 1937.</w:t>
      </w:r>
      <w:r w:rsidR="00686996">
        <w:t xml:space="preserve"> Le « pluralisme », « c’est la différenciation </w:t>
      </w:r>
      <w:r w:rsidR="000516BB">
        <w:t>d</w:t>
      </w:r>
      <w:r w:rsidR="00686996">
        <w:t xml:space="preserve">e quelque </w:t>
      </w:r>
      <w:r w:rsidR="00686996">
        <w:lastRenderedPageBreak/>
        <w:t>chose de commun »</w:t>
      </w:r>
      <w:r w:rsidR="00686996">
        <w:rPr>
          <w:rStyle w:val="Appelnotedebasdep"/>
        </w:rPr>
        <w:footnoteReference w:id="34"/>
      </w:r>
      <w:r w:rsidR="000516BB">
        <w:t xml:space="preserve">. Il s’explique par deux raisons : </w:t>
      </w:r>
      <w:r w:rsidR="003E7EAA">
        <w:t xml:space="preserve">la transcendance de </w:t>
      </w:r>
      <w:r w:rsidR="001A2ADC">
        <w:t>la Réalité qu’il s’agit de traduire dans l’histoire</w:t>
      </w:r>
      <w:r w:rsidR="00D828BB">
        <w:rPr>
          <w:rStyle w:val="Appelnotedebasdep"/>
        </w:rPr>
        <w:footnoteReference w:id="35"/>
      </w:r>
      <w:r w:rsidR="001A2ADC">
        <w:t> ; la réception, nécessairement existentielle et subjective, des diverses réalités chrétiennes</w:t>
      </w:r>
      <w:r w:rsidR="00D828BB">
        <w:t>. « Dans ce cadre de communion (au plan de la foi ecclésialement professée et au plan du ministère ordonné) une large diversité est possible, et l’on ne doit pas confondre la foi avec une seule de ses formulations historiques »</w:t>
      </w:r>
      <w:r w:rsidR="00D828BB">
        <w:rPr>
          <w:rStyle w:val="Appelnotedebasdep"/>
        </w:rPr>
        <w:footnoteReference w:id="36"/>
      </w:r>
      <w:r w:rsidR="00D828BB">
        <w:t>.</w:t>
      </w:r>
      <w:r w:rsidR="00694781">
        <w:t xml:space="preserve"> </w:t>
      </w:r>
      <w:r w:rsidR="006D62D9">
        <w:t xml:space="preserve">En somme, si la « catholicité » de </w:t>
      </w:r>
      <w:r w:rsidR="006D62D9" w:rsidRPr="006D62D9">
        <w:rPr>
          <w:i/>
        </w:rPr>
        <w:t>Chrétiens désunis</w:t>
      </w:r>
      <w:r w:rsidR="006D62D9">
        <w:t xml:space="preserve"> était extension de l’unité, la « diversité » en est ici la tension interne.</w:t>
      </w:r>
      <w:r w:rsidR="00E235D8">
        <w:t xml:space="preserve"> Le premier modèle justifiait, d’une manière certes intelligente et bienveillante, le « retour » des autres Églises à Rome, présenté comme accomplissement de la plénitude catholique ; le second modèle prend vraiment acte de la diversité des confessions chrétiennes et engage une « </w:t>
      </w:r>
      <w:proofErr w:type="spellStart"/>
      <w:r w:rsidR="00E235D8">
        <w:t>re</w:t>
      </w:r>
      <w:proofErr w:type="spellEnd"/>
      <w:r w:rsidR="00E235D8">
        <w:t>-réception » mutuelle des traditions différentes pour « reformuler ensemble » la doctrine.</w:t>
      </w:r>
      <w:r w:rsidR="00BF3F6B">
        <w:t xml:space="preserve"> « L’unité parfaite sera </w:t>
      </w:r>
      <w:r w:rsidR="00BF3F6B" w:rsidRPr="00BF3F6B">
        <w:rPr>
          <w:i/>
        </w:rPr>
        <w:t>donnée</w:t>
      </w:r>
      <w:r w:rsidR="00BF3F6B">
        <w:t xml:space="preserve"> </w:t>
      </w:r>
      <w:proofErr w:type="spellStart"/>
      <w:r w:rsidR="00BF3F6B">
        <w:t>eschatologiquement</w:t>
      </w:r>
      <w:proofErr w:type="spellEnd"/>
      <w:r w:rsidR="00BF3F6B">
        <w:t> »</w:t>
      </w:r>
      <w:r w:rsidR="00BF3F6B">
        <w:rPr>
          <w:rStyle w:val="Appelnotedebasdep"/>
        </w:rPr>
        <w:footnoteReference w:id="37"/>
      </w:r>
      <w:r w:rsidR="00C83C14">
        <w:t>.</w:t>
      </w:r>
    </w:p>
    <w:p w14:paraId="14026F4B" w14:textId="54772C36" w:rsidR="00391A49" w:rsidRDefault="00690DDF" w:rsidP="00FF5F4A">
      <w:pPr>
        <w:spacing w:line="360" w:lineRule="auto"/>
        <w:ind w:firstLine="284"/>
        <w:jc w:val="both"/>
      </w:pPr>
      <w:r>
        <w:t>E</w:t>
      </w:r>
      <w:r w:rsidR="00F57AEF">
        <w:t xml:space="preserve">n lien </w:t>
      </w:r>
      <w:r w:rsidR="00C43409">
        <w:t xml:space="preserve">intrinsèque </w:t>
      </w:r>
      <w:r>
        <w:t>avec</w:t>
      </w:r>
      <w:r w:rsidR="00F57AEF">
        <w:t xml:space="preserve"> </w:t>
      </w:r>
      <w:r w:rsidR="00391A49">
        <w:t xml:space="preserve">cette longue évolution œcuménique, contrainte à une </w:t>
      </w:r>
      <w:r w:rsidR="0087257A">
        <w:t>assez</w:t>
      </w:r>
      <w:r w:rsidR="00391A49">
        <w:t xml:space="preserve"> grande prudence jusqu’au concile Vatican II, </w:t>
      </w:r>
      <w:proofErr w:type="spellStart"/>
      <w:r w:rsidR="00391A49">
        <w:t>Congar</w:t>
      </w:r>
      <w:proofErr w:type="spellEnd"/>
      <w:r w:rsidR="00391A49">
        <w:t xml:space="preserve"> déploie sa réflexion ecclésiologique </w:t>
      </w:r>
      <w:r w:rsidR="00765F34">
        <w:t>dans le contexte de ressourcement et de réformisme</w:t>
      </w:r>
      <w:r w:rsidR="00391A49">
        <w:t xml:space="preserve"> </w:t>
      </w:r>
      <w:r w:rsidR="004E4A3B">
        <w:t>qui caractérise les lendemains de</w:t>
      </w:r>
      <w:r w:rsidR="00391A49">
        <w:t xml:space="preserve"> la Seconde guerre mondiale</w:t>
      </w:r>
      <w:r w:rsidR="004E4A3B">
        <w:t>,</w:t>
      </w:r>
      <w:r w:rsidR="000E43EF">
        <w:t xml:space="preserve"> en prenant à bras le corps le problème d’une vraie réforme de l’Église, envisagé dès la fin de </w:t>
      </w:r>
      <w:r w:rsidR="000E43EF" w:rsidRPr="000E43EF">
        <w:rPr>
          <w:i/>
        </w:rPr>
        <w:t>Chrétiens désunis</w:t>
      </w:r>
      <w:r w:rsidR="000E43EF">
        <w:t>, ainsi que la question du la</w:t>
      </w:r>
      <w:r w:rsidR="00AD336F">
        <w:t>ï</w:t>
      </w:r>
      <w:r w:rsidR="000E43EF">
        <w:t xml:space="preserve">cat, qui redécouvrait alors </w:t>
      </w:r>
      <w:r w:rsidR="00741B7F">
        <w:t xml:space="preserve">toute </w:t>
      </w:r>
      <w:r w:rsidR="000E43EF">
        <w:t>sa dignité au sein du catholicisme notamment</w:t>
      </w:r>
      <w:r w:rsidR="00AB3D19">
        <w:rPr>
          <w:rStyle w:val="Appelnotedebasdep"/>
        </w:rPr>
        <w:footnoteReference w:id="38"/>
      </w:r>
      <w:r w:rsidR="000E43EF">
        <w:t>.</w:t>
      </w:r>
    </w:p>
    <w:p w14:paraId="55C88E40" w14:textId="38739E08" w:rsidR="00201E05" w:rsidRDefault="00201E05" w:rsidP="00FF5F4A">
      <w:pPr>
        <w:spacing w:line="360" w:lineRule="auto"/>
        <w:ind w:firstLine="284"/>
        <w:jc w:val="both"/>
      </w:pPr>
      <w:r>
        <w:t>Tout en remettant en évidence la réalité mystérique de l’Église</w:t>
      </w:r>
      <w:r>
        <w:rPr>
          <w:rStyle w:val="Appelnotedebasdep"/>
        </w:rPr>
        <w:footnoteReference w:id="39"/>
      </w:r>
      <w:r>
        <w:t xml:space="preserve">, </w:t>
      </w:r>
      <w:r w:rsidR="0044745D">
        <w:t xml:space="preserve">le dominicain français </w:t>
      </w:r>
      <w:r w:rsidR="00C43409">
        <w:t xml:space="preserve">en discerne aussi tous les aspects humains et contingents, qui appellent une réforme permanente. Tel est précisément le sujet de </w:t>
      </w:r>
      <w:r w:rsidR="00C43409" w:rsidRPr="00C43409">
        <w:rPr>
          <w:i/>
        </w:rPr>
        <w:t>Vraie et fausse réforme dans l’Église</w:t>
      </w:r>
      <w:r w:rsidR="00C43409">
        <w:t xml:space="preserve">, une œuvre majeure de 648 p. et sans doute la plus caractéristique </w:t>
      </w:r>
      <w:r w:rsidR="0021009B">
        <w:t xml:space="preserve">du génie </w:t>
      </w:r>
      <w:proofErr w:type="spellStart"/>
      <w:r w:rsidR="0021009B">
        <w:t>congarien</w:t>
      </w:r>
      <w:proofErr w:type="spellEnd"/>
      <w:r w:rsidR="0021009B">
        <w:t xml:space="preserve"> : on y trouve </w:t>
      </w:r>
      <w:proofErr w:type="spellStart"/>
      <w:r w:rsidR="0021009B">
        <w:t>Congar</w:t>
      </w:r>
      <w:proofErr w:type="spellEnd"/>
      <w:r w:rsidR="0021009B">
        <w:t xml:space="preserve"> tel qu’en lui-même, avec sa vaste connaissance de la tradition ecclésiale, son esprit de synthèse et son souffle militant.</w:t>
      </w:r>
      <w:r w:rsidR="00CE75D2">
        <w:t xml:space="preserve"> </w:t>
      </w:r>
      <w:r w:rsidR="007D4F4B">
        <w:t>La première partie de cet ouvrage s’articule autour de la question suivante : pourquoi et en quel sens l’</w:t>
      </w:r>
      <w:r w:rsidR="00A34EE6">
        <w:t>É</w:t>
      </w:r>
      <w:r w:rsidR="007D4F4B">
        <w:t xml:space="preserve">glise se réforme-t-elle ? À partir d’une enquête dans la Bible, les Pères et la Tradition ecclésiale, l’auteur est amené à déterminer ce qui est </w:t>
      </w:r>
      <w:r w:rsidR="007D4F4B">
        <w:lastRenderedPageBreak/>
        <w:t xml:space="preserve">réformable et ce qui est irréformable dans l’Église. Il distingue ainsi, d’une part, l’Institution, la structure (hiérarchique) de l’Église, qui est donnée par le Christ et demeure invariante, sainte, sans mélange de péché, et, d’autre part, la communauté (concrète) des membres de l’Église, la vie de celle-ci, une vie ecclésiale sainte mais mêlée d’impureté et donc réformable. </w:t>
      </w:r>
      <w:r w:rsidR="00113551">
        <w:t>À mi-chemin entre les deux, l</w:t>
      </w:r>
      <w:proofErr w:type="gramStart"/>
      <w:r w:rsidR="00113551">
        <w:t>’«</w:t>
      </w:r>
      <w:proofErr w:type="gramEnd"/>
      <w:r w:rsidR="00113551">
        <w:t> état des choses dans l’Église », c’est la figure concrète des pouvoirs, des sacrements, des dogmes, dans leur revêtement périssable, à tel moment de l’histoire, ou dans les hommes qui les exercent : à la fois institution au sens sociologique et vie, le tout étant éminemment réformable</w:t>
      </w:r>
      <w:r w:rsidR="00A71F10">
        <w:t xml:space="preserve"> également</w:t>
      </w:r>
      <w:r w:rsidR="00113551">
        <w:t>.</w:t>
      </w:r>
      <w:r w:rsidR="00A71F10">
        <w:t xml:space="preserve"> L’Église concrète est donc à la fois sainte, fondée et animée par le Seigneur, et prend à chaque époque de l’histoire un visage humain, imparfait, modifiable et réformable. Dans une deuxième partie, </w:t>
      </w:r>
      <w:r w:rsidR="00323F2F">
        <w:t>l’</w:t>
      </w:r>
      <w:proofErr w:type="spellStart"/>
      <w:r w:rsidR="00323F2F">
        <w:t>ecclésiologue</w:t>
      </w:r>
      <w:proofErr w:type="spellEnd"/>
      <w:r w:rsidR="00323F2F">
        <w:t xml:space="preserve"> détaille les conditions d’un réformisme qui ne provoque pas de schisme : donner la primauté à la charité et au souci pastoral ; rester dans la communion du tout ecclésial ; faire preuve de patience, éviter les mises en demeure et le fait accompli ; effectuer un vrai renouvellement par un « ressourcement » en profondeur. Après un dialogue approfondi</w:t>
      </w:r>
      <w:r w:rsidR="00384494">
        <w:t xml:space="preserve"> et critique</w:t>
      </w:r>
      <w:r w:rsidR="001C3AEF">
        <w:t xml:space="preserve"> avec la Réforme protestante dans la troisième partie (où l’œcuméniste catholique lui reproche essentiellement une disjonction entre Église invisible et communauté ecclésiale terrestre, ainsi que la vision vétérotestamentaire d’une Église encore uniquement à l’état de promesse</w:t>
      </w:r>
      <w:r w:rsidR="00655B90">
        <w:t>), une conclusion propose son regard sur le problème concret des attitudes devant le réformisme.</w:t>
      </w:r>
      <w:r w:rsidR="00D3783B">
        <w:t xml:space="preserve"> Quelles que soient les critiques qu’on puisse aujourd’hui adresser à cette somme remarquable, on en retiendra</w:t>
      </w:r>
      <w:r w:rsidR="001B58EC">
        <w:t xml:space="preserve"> des positions équilibrées, un sens profond de l’Église et surtout l’audace évangélique et prophétique de </w:t>
      </w:r>
      <w:proofErr w:type="spellStart"/>
      <w:r w:rsidR="001B58EC">
        <w:t>Congar</w:t>
      </w:r>
      <w:proofErr w:type="spellEnd"/>
      <w:r w:rsidR="001B58EC">
        <w:t xml:space="preserve"> en 1950, </w:t>
      </w:r>
      <w:r w:rsidR="0094441C">
        <w:t>l’année même où paraissait l’encycl</w:t>
      </w:r>
      <w:r w:rsidR="00C42648">
        <w:t>iq</w:t>
      </w:r>
      <w:r w:rsidR="0094441C">
        <w:t xml:space="preserve">ue </w:t>
      </w:r>
      <w:proofErr w:type="spellStart"/>
      <w:r w:rsidR="0094441C" w:rsidRPr="00241C6F">
        <w:rPr>
          <w:i/>
        </w:rPr>
        <w:t>Humani</w:t>
      </w:r>
      <w:proofErr w:type="spellEnd"/>
      <w:r w:rsidR="0094441C" w:rsidRPr="00241C6F">
        <w:rPr>
          <w:i/>
        </w:rPr>
        <w:t xml:space="preserve"> generis</w:t>
      </w:r>
      <w:r w:rsidR="0094441C">
        <w:t xml:space="preserve"> de Pie XII.</w:t>
      </w:r>
    </w:p>
    <w:p w14:paraId="5D878A72" w14:textId="2D86C75E" w:rsidR="00E77E7D" w:rsidRDefault="00E77E7D" w:rsidP="00FF5F4A">
      <w:pPr>
        <w:spacing w:line="360" w:lineRule="auto"/>
        <w:ind w:firstLine="284"/>
        <w:jc w:val="both"/>
      </w:pPr>
      <w:r>
        <w:t>Trois ans plus tard</w:t>
      </w:r>
      <w:r w:rsidR="0071246E">
        <w:t xml:space="preserve">, malgré l’atmosphère de suspicion romaine à son égard, </w:t>
      </w:r>
      <w:r w:rsidR="00C42648">
        <w:t xml:space="preserve">le dominicain français réussit à publier son autre somme, </w:t>
      </w:r>
      <w:r w:rsidR="00C42648" w:rsidRPr="00EB22F8">
        <w:rPr>
          <w:i/>
        </w:rPr>
        <w:t>Jalons pour une théologie du laïcat</w:t>
      </w:r>
      <w:r w:rsidR="00C42648">
        <w:t xml:space="preserve"> (685 p.)</w:t>
      </w:r>
      <w:r w:rsidR="00EB22F8">
        <w:rPr>
          <w:rStyle w:val="Appelnotedebasdep"/>
        </w:rPr>
        <w:footnoteReference w:id="40"/>
      </w:r>
      <w:r w:rsidR="00C42648">
        <w:t xml:space="preserve">, </w:t>
      </w:r>
      <w:r w:rsidR="00EB22F8">
        <w:t>qui visait à revaloriser</w:t>
      </w:r>
      <w:r w:rsidR="008C1CD2">
        <w:t>, à p</w:t>
      </w:r>
      <w:r w:rsidR="00AF07D8">
        <w:t>artir de la condition baptismale,</w:t>
      </w:r>
      <w:r w:rsidR="00EB22F8">
        <w:t xml:space="preserve"> la place du laïc dans la vie et la mission de l’Église.</w:t>
      </w:r>
      <w:r w:rsidR="00AF07D8">
        <w:t xml:space="preserve"> L’Introduction précise les lignes de force d’une théologie du laïcat</w:t>
      </w:r>
      <w:r w:rsidR="001910FE">
        <w:t xml:space="preserve">. Les laïcs sont en train de retrouver une conscience plus exacte d’être pleinement d’Église, </w:t>
      </w:r>
      <w:r w:rsidR="00842F90">
        <w:t>d’être organiquement ses membres actifs</w:t>
      </w:r>
      <w:r w:rsidR="00254747">
        <w:t xml:space="preserve">, de plein droit et de plein exercice. À partir de là et dans un large contexte de renouveau ecclésiologique s’est affirmé de plus en plus le besoin d’une théologie du laïcat pour éclairer l’accession pacifique de celui-ci aux tâches qu’il est appelé à </w:t>
      </w:r>
      <w:r w:rsidR="00254747">
        <w:lastRenderedPageBreak/>
        <w:t>remplir, non seulement dans « le domaine de l’action profane sociale et internationale », mais aussi dans « celui d’une activité proprement spirituelle, d’un rôle actif dans l’Église »</w:t>
      </w:r>
      <w:r w:rsidR="00254747">
        <w:rPr>
          <w:rStyle w:val="Appelnotedebasdep"/>
        </w:rPr>
        <w:footnoteReference w:id="41"/>
      </w:r>
      <w:r w:rsidR="007A6303">
        <w:t>. La vraie difficulté d’une théologie du laïcat « tient en ceci qu’elle suppose en réalité toute une synthèse ecclésiologique où le mystère de l’Église ait reçu toutes ses dimensions jusqu’à inclure pleinement la réalité ecclésiale du laïcat », ainsi qu</w:t>
      </w:r>
      <w:proofErr w:type="gramStart"/>
      <w:r w:rsidR="007A6303">
        <w:t>’«</w:t>
      </w:r>
      <w:proofErr w:type="gramEnd"/>
      <w:r w:rsidR="007A6303">
        <w:t> une anthropologie et même une théologie de la création dans son rapport à la christologie »</w:t>
      </w:r>
      <w:r w:rsidR="007A6303">
        <w:rPr>
          <w:rStyle w:val="Appelnotedebasdep"/>
        </w:rPr>
        <w:footnoteReference w:id="42"/>
      </w:r>
      <w:r w:rsidR="007A6303">
        <w:t>. Les périls auxquels exposent tant de difficiles questions imposent seulement le devoir d’apporter une doctrine du laïcat « sérieusement élaborée, ferme, équilibrée</w:t>
      </w:r>
      <w:r w:rsidR="00504D72">
        <w:t xml:space="preserve">, appuyée sur la Tradition », veillant à ce « que la </w:t>
      </w:r>
      <w:r w:rsidR="00504D72" w:rsidRPr="00504D72">
        <w:rPr>
          <w:i/>
        </w:rPr>
        <w:t>vie</w:t>
      </w:r>
      <w:r w:rsidR="00504D72">
        <w:t xml:space="preserve"> se développe dans les cadres et sur la charpente de la </w:t>
      </w:r>
      <w:r w:rsidR="00504D72" w:rsidRPr="00504D72">
        <w:rPr>
          <w:i/>
        </w:rPr>
        <w:t>structure</w:t>
      </w:r>
      <w:r w:rsidR="00504D72">
        <w:t> »</w:t>
      </w:r>
      <w:r w:rsidR="00504D72">
        <w:rPr>
          <w:rStyle w:val="Appelnotedebasdep"/>
        </w:rPr>
        <w:footnoteReference w:id="43"/>
      </w:r>
      <w:r w:rsidR="00504D72">
        <w:t>. Ce propos inspire le plan de l’ouvrage. Après un chapitre préliminaire, qui procure une première définition du laïc, le sujet est traité en deux parties</w:t>
      </w:r>
      <w:r w:rsidR="00BE6FFE">
        <w:t>. La première assure « ce statut de structure sans lequel on risquerait de divaguer »</w:t>
      </w:r>
      <w:r w:rsidR="00BE6FFE">
        <w:rPr>
          <w:rStyle w:val="Appelnotedebasdep"/>
        </w:rPr>
        <w:footnoteReference w:id="44"/>
      </w:r>
      <w:r w:rsidR="00BE6FFE">
        <w:t>,</w:t>
      </w:r>
      <w:r w:rsidR="00ED2E27">
        <w:t xml:space="preserve"> en déterminant successivement la position d’une théologie du laïcat (chap. II) et celle du laïcat lui-même dans le Plan de Dieu (chap. III). La seconde partie aborde le laïcat en exercice au sein de la vie ecclésiale, par le biais de la triple fonction : sacerdotale (chap. IV), royale (chap. V) et prophétique (chap. VI), de l’Église. Ne pouvant ramener rigoureusement toute l’activité « </w:t>
      </w:r>
      <w:proofErr w:type="spellStart"/>
      <w:r w:rsidR="00ED2E27">
        <w:t>laïcale</w:t>
      </w:r>
      <w:proofErr w:type="spellEnd"/>
      <w:r w:rsidR="00ED2E27">
        <w:t> » à ces trois fonctions, l’étude consacre un chapitre spécial respectivement aux laïcs dans la vie communautaire de l’Église (chap. VII) et dans sa mission apostolique (chap. VIII). Un dernier chapitre porte sur la spiritualité et la sanctification des laïcs engagés dans le monde (chap. IX).</w:t>
      </w:r>
    </w:p>
    <w:p w14:paraId="305223F9" w14:textId="3170E79A" w:rsidR="00DB43C5" w:rsidRDefault="00DB43C5" w:rsidP="00FF5F4A">
      <w:pPr>
        <w:spacing w:line="360" w:lineRule="auto"/>
        <w:ind w:firstLine="284"/>
        <w:jc w:val="both"/>
      </w:pPr>
      <w:r>
        <w:t xml:space="preserve">Parmi les ouvrages </w:t>
      </w:r>
      <w:proofErr w:type="spellStart"/>
      <w:r>
        <w:t>anté</w:t>
      </w:r>
      <w:proofErr w:type="spellEnd"/>
      <w:r w:rsidR="00EE659E">
        <w:t>-</w:t>
      </w:r>
      <w:r>
        <w:t xml:space="preserve">conciliaires marquants de </w:t>
      </w:r>
      <w:proofErr w:type="spellStart"/>
      <w:r>
        <w:t>Congar</w:t>
      </w:r>
      <w:proofErr w:type="spellEnd"/>
      <w:r>
        <w:t>, on peut encore citer</w:t>
      </w:r>
      <w:r w:rsidR="008F23B5">
        <w:t xml:space="preserve"> les deux volumes de </w:t>
      </w:r>
      <w:r w:rsidR="008F23B5" w:rsidRPr="007D70F8">
        <w:rPr>
          <w:i/>
        </w:rPr>
        <w:t>La Tradition et les traditions</w:t>
      </w:r>
      <w:r w:rsidR="008F23B5">
        <w:rPr>
          <w:rStyle w:val="Appelnotedebasdep"/>
        </w:rPr>
        <w:footnoteReference w:id="45"/>
      </w:r>
      <w:r w:rsidR="007D70F8">
        <w:t>.</w:t>
      </w:r>
      <w:r w:rsidR="00DE1551">
        <w:t xml:space="preserve"> </w:t>
      </w:r>
      <w:r w:rsidR="006C2284">
        <w:t>Une investigation scripturaire et historique approfondie</w:t>
      </w:r>
      <w:r w:rsidR="00774C35">
        <w:t>, de même qu’une reprise théologique des résultats de cette enquête lui permettent d’opérer une distinction critériologique entre Tradition et traditions, entre la grande Tradition de l’Église</w:t>
      </w:r>
      <w:r w:rsidR="000814F3">
        <w:t xml:space="preserve"> (continuant la Tradition des Apôtres)</w:t>
      </w:r>
      <w:r w:rsidR="00774C35">
        <w:t xml:space="preserve"> et ses branches secondaires</w:t>
      </w:r>
      <w:r w:rsidR="009256EA">
        <w:t>, unilatérales et parfois même déviantes.</w:t>
      </w:r>
    </w:p>
    <w:p w14:paraId="6A3F75A1" w14:textId="326C5988" w:rsidR="00153A40" w:rsidRDefault="00153A40" w:rsidP="00FF5F4A">
      <w:pPr>
        <w:spacing w:line="360" w:lineRule="auto"/>
        <w:ind w:firstLine="284"/>
        <w:jc w:val="both"/>
      </w:pPr>
      <w:r>
        <w:t xml:space="preserve">Les grands ouvrages </w:t>
      </w:r>
      <w:proofErr w:type="spellStart"/>
      <w:r>
        <w:t>anté</w:t>
      </w:r>
      <w:proofErr w:type="spellEnd"/>
      <w:r>
        <w:t>-conciliaires du théologien dominicain constituent ainsi des applications successives</w:t>
      </w:r>
      <w:r w:rsidR="00952D10">
        <w:t xml:space="preserve">, sur des </w:t>
      </w:r>
      <w:r w:rsidR="00B90033">
        <w:t>aspect</w:t>
      </w:r>
      <w:r w:rsidR="00952D10">
        <w:t>s particuliers,</w:t>
      </w:r>
      <w:r>
        <w:t xml:space="preserve"> du programme </w:t>
      </w:r>
      <w:r w:rsidR="00952D10">
        <w:t xml:space="preserve">ecclésiologique et </w:t>
      </w:r>
      <w:r w:rsidR="00952D10">
        <w:lastRenderedPageBreak/>
        <w:t xml:space="preserve">œcuménique </w:t>
      </w:r>
      <w:r w:rsidR="00B90033">
        <w:t xml:space="preserve">esquissé dans le prospectus de lancement de la collection </w:t>
      </w:r>
      <w:proofErr w:type="spellStart"/>
      <w:r w:rsidR="00B90033" w:rsidRPr="00B90033">
        <w:rPr>
          <w:i/>
        </w:rPr>
        <w:t>Unam</w:t>
      </w:r>
      <w:proofErr w:type="spellEnd"/>
      <w:r w:rsidR="00B90033" w:rsidRPr="00B90033">
        <w:rPr>
          <w:i/>
        </w:rPr>
        <w:t xml:space="preserve"> </w:t>
      </w:r>
      <w:proofErr w:type="spellStart"/>
      <w:r w:rsidR="00B90033" w:rsidRPr="00B90033">
        <w:rPr>
          <w:i/>
        </w:rPr>
        <w:t>Sanctam</w:t>
      </w:r>
      <w:proofErr w:type="spellEnd"/>
      <w:r w:rsidR="00B90033">
        <w:t xml:space="preserve"> et élaboré dans </w:t>
      </w:r>
      <w:r w:rsidR="00B90033" w:rsidRPr="00B90033">
        <w:rPr>
          <w:i/>
        </w:rPr>
        <w:t>Chrétiens désunis</w:t>
      </w:r>
      <w:r w:rsidR="00B90033">
        <w:t>.</w:t>
      </w:r>
    </w:p>
    <w:p w14:paraId="2AB2EA9A" w14:textId="336967B7" w:rsidR="005704BB" w:rsidRDefault="00F65838" w:rsidP="00FF5F4A">
      <w:pPr>
        <w:spacing w:line="360" w:lineRule="auto"/>
        <w:ind w:firstLine="284"/>
        <w:jc w:val="both"/>
      </w:pPr>
      <w:r>
        <w:t xml:space="preserve">Par-delà une contribution considérable au concile Vatican II, </w:t>
      </w:r>
      <w:r w:rsidR="00371443">
        <w:t xml:space="preserve">le P. </w:t>
      </w:r>
      <w:proofErr w:type="spellStart"/>
      <w:r w:rsidR="00371443">
        <w:t>Congar</w:t>
      </w:r>
      <w:proofErr w:type="spellEnd"/>
      <w:r w:rsidR="00371443">
        <w:t xml:space="preserve"> </w:t>
      </w:r>
      <w:r>
        <w:t>prolongera</w:t>
      </w:r>
      <w:r w:rsidR="00371443">
        <w:t xml:space="preserve"> sa trajectoire </w:t>
      </w:r>
      <w:proofErr w:type="spellStart"/>
      <w:r w:rsidR="00371443">
        <w:t>anté</w:t>
      </w:r>
      <w:proofErr w:type="spellEnd"/>
      <w:r w:rsidR="00371443">
        <w:t xml:space="preserve">-conciliaire, non sans quelques évolutions sensibles dues à l’événement et à l’enseignement conciliaires, non sans quelques </w:t>
      </w:r>
      <w:proofErr w:type="spellStart"/>
      <w:r w:rsidR="00371443" w:rsidRPr="00371443">
        <w:rPr>
          <w:i/>
        </w:rPr>
        <w:t>retractationes</w:t>
      </w:r>
      <w:proofErr w:type="spellEnd"/>
      <w:r w:rsidR="00371443">
        <w:t xml:space="preserve"> même</w:t>
      </w:r>
      <w:r w:rsidR="00371443">
        <w:rPr>
          <w:rStyle w:val="Appelnotedebasdep"/>
        </w:rPr>
        <w:footnoteReference w:id="46"/>
      </w:r>
      <w:r w:rsidR="00371443">
        <w:t>.</w:t>
      </w:r>
      <w:r w:rsidR="006F1707">
        <w:t xml:space="preserve"> Ce sera aussi le temps de belles synthèses historiques</w:t>
      </w:r>
      <w:r w:rsidR="00E80691">
        <w:rPr>
          <w:rStyle w:val="Appelnotedebasdep"/>
        </w:rPr>
        <w:footnoteReference w:id="47"/>
      </w:r>
      <w:r w:rsidR="00E80691">
        <w:t>, ecclésiologiques</w:t>
      </w:r>
      <w:r w:rsidR="00E80691">
        <w:rPr>
          <w:rStyle w:val="Appelnotedebasdep"/>
        </w:rPr>
        <w:footnoteReference w:id="48"/>
      </w:r>
      <w:r w:rsidR="006F1707">
        <w:t xml:space="preserve"> et </w:t>
      </w:r>
      <w:r w:rsidR="00E80691">
        <w:t>théologiques en réponse aux appels des temps nouveaux</w:t>
      </w:r>
      <w:r w:rsidR="00E80691">
        <w:rPr>
          <w:rStyle w:val="Appelnotedebasdep"/>
        </w:rPr>
        <w:footnoteReference w:id="49"/>
      </w:r>
      <w:r w:rsidR="002330FD">
        <w:t>.</w:t>
      </w:r>
    </w:p>
    <w:p w14:paraId="15C41956" w14:textId="77777777" w:rsidR="00F03D1D" w:rsidRDefault="00F03D1D" w:rsidP="00FF5F4A">
      <w:pPr>
        <w:spacing w:line="360" w:lineRule="auto"/>
        <w:ind w:firstLine="284"/>
        <w:jc w:val="both"/>
      </w:pPr>
    </w:p>
    <w:p w14:paraId="1E066CE0" w14:textId="1F76B1A9" w:rsidR="0005092A" w:rsidRDefault="00F03D1D" w:rsidP="00B842F6">
      <w:pPr>
        <w:spacing w:line="360" w:lineRule="auto"/>
        <w:ind w:firstLine="284"/>
        <w:jc w:val="both"/>
      </w:pPr>
      <w:r>
        <w:t xml:space="preserve">Si l’on </w:t>
      </w:r>
      <w:r w:rsidR="00AE5562">
        <w:t>n’</w:t>
      </w:r>
      <w:r>
        <w:t>avait que quelques mots pour caractériser</w:t>
      </w:r>
      <w:r w:rsidR="002330FD">
        <w:t xml:space="preserve"> cette destinée ecclésiologique et œcuménique exceptionnelle</w:t>
      </w:r>
      <w:r>
        <w:t>, on pourrait retenir ceux-ci : « vérité, car c’est là sa passion et sa vocation ; dialogue, car c’est dans la rencontre et le dialogue qu’il s’est construit, tentant d’élargir sans cesse son horizon ; réformateur, car c’est à ce patient labeur qu’il s’est voué ; résistant, car jamais il n’a abdiqué devant un système qui niait la liberté et ne cherchait plus la vérité ; serviteur, car c’est dans cet esprit qu’il a inlassablement travaillé à l’unité, sa passion et sa vie »</w:t>
      </w:r>
      <w:r>
        <w:rPr>
          <w:rStyle w:val="Appelnotedebasdep"/>
        </w:rPr>
        <w:footnoteReference w:id="50"/>
      </w:r>
      <w:r w:rsidR="0005092A">
        <w:t>.</w:t>
      </w:r>
    </w:p>
    <w:p w14:paraId="582B2322" w14:textId="77777777" w:rsidR="00076041" w:rsidRDefault="00076041" w:rsidP="00B842F6">
      <w:pPr>
        <w:spacing w:line="360" w:lineRule="auto"/>
        <w:ind w:firstLine="284"/>
        <w:jc w:val="both"/>
      </w:pPr>
    </w:p>
    <w:p w14:paraId="09EFB94E" w14:textId="5A8AE5E0" w:rsidR="00076041" w:rsidRDefault="009B77F7" w:rsidP="009B77F7">
      <w:pPr>
        <w:jc w:val="both"/>
      </w:pPr>
      <w:r w:rsidRPr="00BA375B">
        <w:rPr>
          <w:i/>
          <w:sz w:val="26"/>
          <w:szCs w:val="26"/>
        </w:rPr>
        <w:t>Joseph Famerée</w:t>
      </w:r>
      <w:r w:rsidR="00A6769D" w:rsidRPr="00BA375B">
        <w:rPr>
          <w:i/>
        </w:rPr>
        <w:t>, né en 1955, fait partie de la Congrégation des Prêtres du Sacré-Cœur de Jésus (</w:t>
      </w:r>
      <w:proofErr w:type="spellStart"/>
      <w:r w:rsidR="00A6769D" w:rsidRPr="00BA375B">
        <w:rPr>
          <w:i/>
        </w:rPr>
        <w:t>Dehoniens</w:t>
      </w:r>
      <w:proofErr w:type="spellEnd"/>
      <w:r w:rsidR="00A6769D" w:rsidRPr="00BA375B">
        <w:rPr>
          <w:i/>
        </w:rPr>
        <w:t xml:space="preserve">). </w:t>
      </w:r>
      <w:r w:rsidR="00377DC3" w:rsidRPr="00BA375B">
        <w:rPr>
          <w:i/>
        </w:rPr>
        <w:t xml:space="preserve">Il est professeur ordinaire d’ecclésiologie, d’œcuménisme et de théologie des Églises orientales à la Faculté de théologie de l’Université catholique de Louvain (Louvain-la-Neuve, Belgique). Il est membre du Groupe des Dombes. Publication récente : </w:t>
      </w:r>
      <w:r w:rsidR="00377DC3">
        <w:t xml:space="preserve">Ecclésiologie et œcuménisme. Recueil d’études </w:t>
      </w:r>
      <w:r w:rsidR="00377DC3" w:rsidRPr="00BA375B">
        <w:rPr>
          <w:i/>
        </w:rPr>
        <w:t>(BETL, 289), Leuven</w:t>
      </w:r>
      <w:r w:rsidR="00EA7095" w:rsidRPr="00BA375B">
        <w:rPr>
          <w:i/>
        </w:rPr>
        <w:t xml:space="preserve"> - Paris - </w:t>
      </w:r>
      <w:r w:rsidR="00377DC3" w:rsidRPr="00BA375B">
        <w:rPr>
          <w:i/>
        </w:rPr>
        <w:t>Bristol</w:t>
      </w:r>
      <w:r w:rsidR="00EA7095" w:rsidRPr="00BA375B">
        <w:rPr>
          <w:i/>
        </w:rPr>
        <w:t>, CT, Pe</w:t>
      </w:r>
      <w:r w:rsidR="00BA375B" w:rsidRPr="00BA375B">
        <w:rPr>
          <w:i/>
        </w:rPr>
        <w:t>e</w:t>
      </w:r>
      <w:r w:rsidR="00EA7095" w:rsidRPr="00BA375B">
        <w:rPr>
          <w:i/>
        </w:rPr>
        <w:t>ters, 2017.</w:t>
      </w:r>
    </w:p>
    <w:p w14:paraId="2A840B8D" w14:textId="77777777" w:rsidR="00F52539" w:rsidRDefault="00F52539" w:rsidP="009B77F7">
      <w:pPr>
        <w:jc w:val="both"/>
      </w:pPr>
    </w:p>
    <w:p w14:paraId="26BBF365" w14:textId="48B20BBC" w:rsidR="00F52539" w:rsidRPr="00DF77F5" w:rsidRDefault="00F52539" w:rsidP="009B77F7">
      <w:pPr>
        <w:jc w:val="both"/>
        <w:rPr>
          <w:sz w:val="22"/>
          <w:szCs w:val="22"/>
        </w:rPr>
      </w:pPr>
      <w:r w:rsidRPr="00DF77F5">
        <w:rPr>
          <w:sz w:val="22"/>
          <w:szCs w:val="22"/>
        </w:rPr>
        <w:t>(</w:t>
      </w:r>
      <w:r w:rsidRPr="004E783C">
        <w:rPr>
          <w:i/>
          <w:sz w:val="22"/>
          <w:szCs w:val="22"/>
        </w:rPr>
        <w:t>Résumé</w:t>
      </w:r>
      <w:r w:rsidRPr="00DF77F5">
        <w:rPr>
          <w:sz w:val="22"/>
          <w:szCs w:val="22"/>
        </w:rPr>
        <w:t>)</w:t>
      </w:r>
      <w:r w:rsidR="005034DB" w:rsidRPr="00DF77F5">
        <w:rPr>
          <w:sz w:val="22"/>
          <w:szCs w:val="22"/>
        </w:rPr>
        <w:t xml:space="preserve"> L’itinéraire ecclésiologique et œcuménique d’Y. </w:t>
      </w:r>
      <w:proofErr w:type="spellStart"/>
      <w:r w:rsidR="005034DB" w:rsidRPr="00DF77F5">
        <w:rPr>
          <w:sz w:val="22"/>
          <w:szCs w:val="22"/>
        </w:rPr>
        <w:t>Congar</w:t>
      </w:r>
      <w:proofErr w:type="spellEnd"/>
      <w:r w:rsidR="005034DB" w:rsidRPr="00DF77F5">
        <w:rPr>
          <w:sz w:val="22"/>
          <w:szCs w:val="22"/>
        </w:rPr>
        <w:t xml:space="preserve"> est exceptionnel. Il en est redevable d’abord à un milieu de vie favorable pendant sa prime jeunesse (Sedan, pays de religion mixte ; l’abbé </w:t>
      </w:r>
      <w:proofErr w:type="spellStart"/>
      <w:r w:rsidR="005034DB" w:rsidRPr="00DF77F5">
        <w:rPr>
          <w:sz w:val="22"/>
          <w:szCs w:val="22"/>
        </w:rPr>
        <w:t>Lallement</w:t>
      </w:r>
      <w:proofErr w:type="spellEnd"/>
      <w:r w:rsidR="005034DB" w:rsidRPr="00DF77F5">
        <w:rPr>
          <w:sz w:val="22"/>
          <w:szCs w:val="22"/>
        </w:rPr>
        <w:t> ; sa mère). Il saura ensuite</w:t>
      </w:r>
      <w:r w:rsidR="00794455" w:rsidRPr="00DF77F5">
        <w:rPr>
          <w:sz w:val="22"/>
          <w:szCs w:val="22"/>
        </w:rPr>
        <w:t xml:space="preserve"> faire fructifier ces germes d’un appel et lui donner une forme bien personnelle (rencontres, formation au </w:t>
      </w:r>
      <w:proofErr w:type="spellStart"/>
      <w:r w:rsidR="00794455" w:rsidRPr="00DF77F5">
        <w:rPr>
          <w:sz w:val="22"/>
          <w:szCs w:val="22"/>
        </w:rPr>
        <w:t>Saulchoir</w:t>
      </w:r>
      <w:proofErr w:type="spellEnd"/>
      <w:r w:rsidR="00794455" w:rsidRPr="00DF77F5">
        <w:rPr>
          <w:sz w:val="22"/>
          <w:szCs w:val="22"/>
        </w:rPr>
        <w:t xml:space="preserve"> et à Paris, « Cahiers pour le protestantisme »). Cette vocation à l’écoute de son temps se déploiera également à travers une œuvre théologique monumentale</w:t>
      </w:r>
      <w:r w:rsidR="00CF53B3" w:rsidRPr="00DF77F5">
        <w:rPr>
          <w:sz w:val="22"/>
          <w:szCs w:val="22"/>
        </w:rPr>
        <w:t xml:space="preserve">, jalonnée notamment par ses </w:t>
      </w:r>
      <w:r w:rsidR="00DF77F5" w:rsidRPr="00DF77F5">
        <w:rPr>
          <w:sz w:val="22"/>
          <w:szCs w:val="22"/>
        </w:rPr>
        <w:t xml:space="preserve">grandes </w:t>
      </w:r>
      <w:r w:rsidR="00CF53B3" w:rsidRPr="00DF77F5">
        <w:rPr>
          <w:sz w:val="22"/>
          <w:szCs w:val="22"/>
        </w:rPr>
        <w:t>études novatrices sur l’unité et la catholicité, la réforme de l’Église, la théologie du laïcat ou la Tradition et les traditions</w:t>
      </w:r>
      <w:r w:rsidR="00D54FF6" w:rsidRPr="00DF77F5">
        <w:rPr>
          <w:sz w:val="22"/>
          <w:szCs w:val="22"/>
        </w:rPr>
        <w:t>.</w:t>
      </w:r>
      <w:bookmarkStart w:id="0" w:name="_GoBack"/>
      <w:bookmarkEnd w:id="0"/>
    </w:p>
    <w:sectPr w:rsidR="00F52539" w:rsidRPr="00DF77F5" w:rsidSect="00281601">
      <w:headerReference w:type="even" r:id="rId7"/>
      <w:headerReference w:type="default" r:id="rId8"/>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E920AE" w14:textId="77777777" w:rsidR="009A566F" w:rsidRDefault="009A566F" w:rsidP="003D07EC">
      <w:r>
        <w:separator/>
      </w:r>
    </w:p>
  </w:endnote>
  <w:endnote w:type="continuationSeparator" w:id="0">
    <w:p w14:paraId="1B4CEEFD" w14:textId="77777777" w:rsidR="009A566F" w:rsidRDefault="009A566F" w:rsidP="003D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408A4" w14:textId="77777777" w:rsidR="009A566F" w:rsidRDefault="009A566F" w:rsidP="003D07EC">
      <w:r>
        <w:separator/>
      </w:r>
    </w:p>
  </w:footnote>
  <w:footnote w:type="continuationSeparator" w:id="0">
    <w:p w14:paraId="60BC4EAE" w14:textId="77777777" w:rsidR="009A566F" w:rsidRDefault="009A566F" w:rsidP="003D07EC">
      <w:r>
        <w:continuationSeparator/>
      </w:r>
    </w:p>
  </w:footnote>
  <w:footnote w:id="1">
    <w:p w14:paraId="1AFA8227" w14:textId="3B49FF96" w:rsidR="00F03D1D" w:rsidRPr="00A664A4" w:rsidRDefault="00F03D1D" w:rsidP="009444F0">
      <w:pPr>
        <w:pStyle w:val="Notedebasdepage"/>
        <w:jc w:val="both"/>
        <w:rPr>
          <w:sz w:val="20"/>
          <w:szCs w:val="20"/>
        </w:rPr>
      </w:pPr>
      <w:r w:rsidRPr="009444F0">
        <w:rPr>
          <w:rStyle w:val="Appelnotedebasdep"/>
          <w:sz w:val="20"/>
          <w:szCs w:val="20"/>
        </w:rPr>
        <w:footnoteRef/>
      </w:r>
      <w:r w:rsidRPr="009444F0">
        <w:rPr>
          <w:sz w:val="20"/>
          <w:szCs w:val="20"/>
        </w:rPr>
        <w:t xml:space="preserve"> </w:t>
      </w:r>
      <w:r>
        <w:rPr>
          <w:sz w:val="20"/>
          <w:szCs w:val="20"/>
        </w:rPr>
        <w:t xml:space="preserve">« Comme chaque fois que l’on fait vraiment une expérience nouvelle, on devient à quelque degré un autre homme. On voit les choses autrement. Il en est qu’on ne pourra plus jamais penser ou dire comme auparavant… C’est ainsi que moi-même, au cours de ces cinq ou six années qui avaient suivi mon ordination sacerdotale, je naissais d’une sorte de seconde naissance, en venant au monde des ‘Autres’, qui est aussi le monde réel », écrira </w:t>
      </w:r>
      <w:proofErr w:type="spellStart"/>
      <w:r>
        <w:rPr>
          <w:sz w:val="20"/>
          <w:szCs w:val="20"/>
        </w:rPr>
        <w:t>Congar</w:t>
      </w:r>
      <w:proofErr w:type="spellEnd"/>
      <w:r>
        <w:rPr>
          <w:sz w:val="20"/>
          <w:szCs w:val="20"/>
        </w:rPr>
        <w:t xml:space="preserve"> dans </w:t>
      </w:r>
      <w:r w:rsidRPr="005826AB">
        <w:rPr>
          <w:i/>
          <w:sz w:val="20"/>
          <w:szCs w:val="20"/>
        </w:rPr>
        <w:t>Une passion : l’unité. Réflexions et souvenirs 1929-1973</w:t>
      </w:r>
      <w:r>
        <w:rPr>
          <w:sz w:val="20"/>
          <w:szCs w:val="20"/>
        </w:rPr>
        <w:t xml:space="preserve"> (Foi Vivante, 156), Paris, Cerf, 1974, p. 33.</w:t>
      </w:r>
    </w:p>
  </w:footnote>
  <w:footnote w:id="2">
    <w:p w14:paraId="2EAF53E0" w14:textId="6CD3412B" w:rsidR="00F03D1D" w:rsidRPr="00B76497" w:rsidRDefault="00F03D1D" w:rsidP="002629C8">
      <w:pPr>
        <w:pStyle w:val="Notedebasdepage"/>
        <w:jc w:val="both"/>
        <w:rPr>
          <w:sz w:val="20"/>
          <w:szCs w:val="20"/>
        </w:rPr>
      </w:pPr>
      <w:r w:rsidRPr="002629C8">
        <w:rPr>
          <w:rStyle w:val="Appelnotedebasdep"/>
          <w:sz w:val="20"/>
          <w:szCs w:val="20"/>
        </w:rPr>
        <w:footnoteRef/>
      </w:r>
      <w:r w:rsidRPr="002629C8">
        <w:rPr>
          <w:sz w:val="20"/>
          <w:szCs w:val="20"/>
        </w:rPr>
        <w:t xml:space="preserve"> </w:t>
      </w:r>
      <w:r>
        <w:rPr>
          <w:sz w:val="20"/>
          <w:szCs w:val="20"/>
        </w:rPr>
        <w:t xml:space="preserve">Sur ces indications biographiques et celles qui suivent, voir 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9-35 ; J. P</w:t>
      </w:r>
      <w:r w:rsidRPr="00F33601">
        <w:rPr>
          <w:smallCaps/>
          <w:sz w:val="20"/>
          <w:szCs w:val="20"/>
        </w:rPr>
        <w:t>uyo</w:t>
      </w:r>
      <w:r>
        <w:rPr>
          <w:sz w:val="20"/>
          <w:szCs w:val="20"/>
        </w:rPr>
        <w:t xml:space="preserve">, </w:t>
      </w:r>
      <w:r w:rsidRPr="00F33601">
        <w:rPr>
          <w:i/>
          <w:sz w:val="20"/>
          <w:szCs w:val="20"/>
        </w:rPr>
        <w:t xml:space="preserve">Jean Puyo interroge le Père </w:t>
      </w:r>
      <w:proofErr w:type="spellStart"/>
      <w:r w:rsidRPr="00F33601">
        <w:rPr>
          <w:i/>
          <w:sz w:val="20"/>
          <w:szCs w:val="20"/>
        </w:rPr>
        <w:t>Congar</w:t>
      </w:r>
      <w:proofErr w:type="spellEnd"/>
      <w:r w:rsidRPr="00F33601">
        <w:rPr>
          <w:i/>
          <w:sz w:val="20"/>
          <w:szCs w:val="20"/>
        </w:rPr>
        <w:t>. « Une vie pour la vérité »</w:t>
      </w:r>
      <w:r>
        <w:rPr>
          <w:sz w:val="20"/>
          <w:szCs w:val="20"/>
        </w:rPr>
        <w:t xml:space="preserve"> (« Les interviews »), Paris, Centurion, 1975, p. 5-86.</w:t>
      </w:r>
    </w:p>
  </w:footnote>
  <w:footnote w:id="3">
    <w:p w14:paraId="4E8BF1DE" w14:textId="7F77F724" w:rsidR="00F03D1D" w:rsidRPr="00644923" w:rsidRDefault="00F03D1D" w:rsidP="00644923">
      <w:pPr>
        <w:pStyle w:val="Notedebasdepage"/>
        <w:jc w:val="both"/>
        <w:rPr>
          <w:sz w:val="20"/>
          <w:szCs w:val="20"/>
        </w:rPr>
      </w:pPr>
      <w:r w:rsidRPr="00644923">
        <w:rPr>
          <w:rStyle w:val="Appelnotedebasdep"/>
          <w:sz w:val="20"/>
          <w:szCs w:val="20"/>
        </w:rPr>
        <w:footnoteRef/>
      </w:r>
      <w:r w:rsidRPr="00644923">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13.</w:t>
      </w:r>
    </w:p>
  </w:footnote>
  <w:footnote w:id="4">
    <w:p w14:paraId="7A52FF8F" w14:textId="1FA84A4E" w:rsidR="00F03D1D" w:rsidRPr="002F6913" w:rsidRDefault="00F03D1D" w:rsidP="00B91E24">
      <w:pPr>
        <w:pStyle w:val="Notedebasdepage"/>
        <w:jc w:val="both"/>
        <w:rPr>
          <w:sz w:val="20"/>
          <w:szCs w:val="20"/>
          <w:lang w:val="nl-BE"/>
        </w:rPr>
      </w:pPr>
      <w:r w:rsidRPr="00B91E24">
        <w:rPr>
          <w:rStyle w:val="Appelnotedebasdep"/>
          <w:sz w:val="20"/>
          <w:szCs w:val="20"/>
        </w:rPr>
        <w:footnoteRef/>
      </w:r>
      <w:r w:rsidRPr="002F6913">
        <w:rPr>
          <w:sz w:val="20"/>
          <w:szCs w:val="20"/>
          <w:lang w:val="nl-BE"/>
        </w:rPr>
        <w:t xml:space="preserve"> J. P</w:t>
      </w:r>
      <w:r w:rsidRPr="002F6913">
        <w:rPr>
          <w:smallCaps/>
          <w:sz w:val="20"/>
          <w:szCs w:val="20"/>
          <w:lang w:val="nl-BE"/>
        </w:rPr>
        <w:t>uyo</w:t>
      </w:r>
      <w:r w:rsidRPr="002F6913">
        <w:rPr>
          <w:sz w:val="20"/>
          <w:szCs w:val="20"/>
          <w:lang w:val="nl-BE"/>
        </w:rPr>
        <w:t xml:space="preserve">, </w:t>
      </w:r>
      <w:r w:rsidRPr="002F6913">
        <w:rPr>
          <w:i/>
          <w:sz w:val="20"/>
          <w:szCs w:val="20"/>
          <w:lang w:val="nl-BE"/>
        </w:rPr>
        <w:t>op. cit.</w:t>
      </w:r>
      <w:r w:rsidRPr="002F6913">
        <w:rPr>
          <w:sz w:val="20"/>
          <w:szCs w:val="20"/>
          <w:lang w:val="nl-BE"/>
        </w:rPr>
        <w:t>, p. 74.</w:t>
      </w:r>
    </w:p>
  </w:footnote>
  <w:footnote w:id="5">
    <w:p w14:paraId="154A2377" w14:textId="691137CB" w:rsidR="00F03D1D" w:rsidRPr="00411C01" w:rsidRDefault="00F03D1D" w:rsidP="00411C01">
      <w:pPr>
        <w:pStyle w:val="Notedebasdepage"/>
        <w:jc w:val="both"/>
        <w:rPr>
          <w:sz w:val="20"/>
          <w:szCs w:val="20"/>
        </w:rPr>
      </w:pPr>
      <w:r w:rsidRPr="00411C01">
        <w:rPr>
          <w:rStyle w:val="Appelnotedebasdep"/>
          <w:sz w:val="20"/>
          <w:szCs w:val="20"/>
        </w:rPr>
        <w:footnoteRef/>
      </w:r>
      <w:r w:rsidRPr="00411C01">
        <w:rPr>
          <w:sz w:val="20"/>
          <w:szCs w:val="20"/>
        </w:rPr>
        <w:t xml:space="preserve"> </w:t>
      </w:r>
      <w:r w:rsidR="00A60B45">
        <w:rPr>
          <w:sz w:val="20"/>
          <w:szCs w:val="20"/>
        </w:rPr>
        <w:t xml:space="preserve">Cf.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13-14.</w:t>
      </w:r>
    </w:p>
  </w:footnote>
  <w:footnote w:id="6">
    <w:p w14:paraId="20506800" w14:textId="1D8F220A" w:rsidR="00F03D1D" w:rsidRPr="009D07DA" w:rsidRDefault="00F03D1D" w:rsidP="00F22E86">
      <w:pPr>
        <w:pStyle w:val="Notedebasdepage"/>
        <w:jc w:val="both"/>
        <w:rPr>
          <w:sz w:val="20"/>
          <w:szCs w:val="20"/>
        </w:rPr>
      </w:pPr>
      <w:r w:rsidRPr="00F22E86">
        <w:rPr>
          <w:rStyle w:val="Appelnotedebasdep"/>
          <w:sz w:val="20"/>
          <w:szCs w:val="20"/>
        </w:rPr>
        <w:footnoteRef/>
      </w:r>
      <w:r w:rsidRPr="00F22E86">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9.</w:t>
      </w:r>
    </w:p>
  </w:footnote>
  <w:footnote w:id="7">
    <w:p w14:paraId="317332A7" w14:textId="0061A16C" w:rsidR="00F03D1D" w:rsidRPr="00523D60" w:rsidRDefault="00F03D1D" w:rsidP="002B2A96">
      <w:pPr>
        <w:pStyle w:val="Notedebasdepage"/>
        <w:jc w:val="both"/>
        <w:rPr>
          <w:sz w:val="20"/>
          <w:szCs w:val="20"/>
        </w:rPr>
      </w:pPr>
      <w:r w:rsidRPr="002B2A96">
        <w:rPr>
          <w:rStyle w:val="Appelnotedebasdep"/>
          <w:sz w:val="20"/>
          <w:szCs w:val="20"/>
        </w:rPr>
        <w:footnoteRef/>
      </w:r>
      <w:r w:rsidRPr="002B2A96">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E774A3">
        <w:rPr>
          <w:i/>
          <w:sz w:val="20"/>
          <w:szCs w:val="20"/>
        </w:rPr>
        <w:t>Journal d’un théologien (1946-1956)</w:t>
      </w:r>
      <w:r>
        <w:rPr>
          <w:sz w:val="20"/>
          <w:szCs w:val="20"/>
        </w:rPr>
        <w:t xml:space="preserve">, présenté et annoté par É. </w:t>
      </w:r>
      <w:proofErr w:type="spellStart"/>
      <w:r>
        <w:rPr>
          <w:sz w:val="20"/>
          <w:szCs w:val="20"/>
        </w:rPr>
        <w:t>F</w:t>
      </w:r>
      <w:r w:rsidRPr="00E774A3">
        <w:rPr>
          <w:smallCaps/>
          <w:sz w:val="20"/>
          <w:szCs w:val="20"/>
        </w:rPr>
        <w:t>ouilloux</w:t>
      </w:r>
      <w:proofErr w:type="spellEnd"/>
      <w:r>
        <w:rPr>
          <w:sz w:val="20"/>
          <w:szCs w:val="20"/>
        </w:rPr>
        <w:t xml:space="preserve">, avec la collaboration de </w:t>
      </w:r>
      <w:r w:rsidRPr="00E774A3">
        <w:rPr>
          <w:smallCaps/>
          <w:sz w:val="20"/>
          <w:szCs w:val="20"/>
        </w:rPr>
        <w:t xml:space="preserve">D. </w:t>
      </w:r>
      <w:proofErr w:type="spellStart"/>
      <w:r w:rsidRPr="00E774A3">
        <w:rPr>
          <w:smallCaps/>
          <w:sz w:val="20"/>
          <w:szCs w:val="20"/>
        </w:rPr>
        <w:t>Congar</w:t>
      </w:r>
      <w:proofErr w:type="spellEnd"/>
      <w:r w:rsidRPr="00E774A3">
        <w:rPr>
          <w:smallCaps/>
          <w:sz w:val="20"/>
          <w:szCs w:val="20"/>
        </w:rPr>
        <w:t xml:space="preserve">, A. Duval </w:t>
      </w:r>
      <w:r w:rsidRPr="00E774A3">
        <w:rPr>
          <w:sz w:val="20"/>
          <w:szCs w:val="20"/>
        </w:rPr>
        <w:t>et</w:t>
      </w:r>
      <w:r w:rsidRPr="00E774A3">
        <w:rPr>
          <w:smallCaps/>
          <w:sz w:val="20"/>
          <w:szCs w:val="20"/>
        </w:rPr>
        <w:t xml:space="preserve"> B. Montagnes</w:t>
      </w:r>
      <w:r>
        <w:rPr>
          <w:sz w:val="20"/>
          <w:szCs w:val="20"/>
        </w:rPr>
        <w:t>, Paris, Cerf, 2000, p. 21-22 (« Mon témoignage »).</w:t>
      </w:r>
    </w:p>
  </w:footnote>
  <w:footnote w:id="8">
    <w:p w14:paraId="7D0D0ED3" w14:textId="74C6AF6A" w:rsidR="00F03D1D" w:rsidRPr="005779E0" w:rsidRDefault="00F03D1D" w:rsidP="005B3617">
      <w:pPr>
        <w:pStyle w:val="Notedebasdepage"/>
        <w:jc w:val="both"/>
        <w:rPr>
          <w:sz w:val="20"/>
          <w:szCs w:val="20"/>
          <w:lang w:val="nl-BE"/>
        </w:rPr>
      </w:pPr>
      <w:r w:rsidRPr="005B3617">
        <w:rPr>
          <w:rStyle w:val="Appelnotedebasdep"/>
          <w:sz w:val="20"/>
          <w:szCs w:val="20"/>
        </w:rPr>
        <w:footnoteRef/>
      </w:r>
      <w:r w:rsidRPr="005B3617">
        <w:rPr>
          <w:sz w:val="20"/>
          <w:szCs w:val="20"/>
          <w:lang w:val="nl-BE"/>
        </w:rPr>
        <w:t xml:space="preserve"> Cf. </w:t>
      </w:r>
      <w:r w:rsidRPr="002F6913">
        <w:rPr>
          <w:sz w:val="20"/>
          <w:szCs w:val="20"/>
          <w:lang w:val="nl-BE"/>
        </w:rPr>
        <w:t>J. P</w:t>
      </w:r>
      <w:r w:rsidRPr="002F6913">
        <w:rPr>
          <w:smallCaps/>
          <w:sz w:val="20"/>
          <w:szCs w:val="20"/>
          <w:lang w:val="nl-BE"/>
        </w:rPr>
        <w:t>uyo</w:t>
      </w:r>
      <w:r w:rsidRPr="002F6913">
        <w:rPr>
          <w:sz w:val="20"/>
          <w:szCs w:val="20"/>
          <w:lang w:val="nl-BE"/>
        </w:rPr>
        <w:t xml:space="preserve">, </w:t>
      </w:r>
      <w:r w:rsidRPr="002F6913">
        <w:rPr>
          <w:i/>
          <w:sz w:val="20"/>
          <w:szCs w:val="20"/>
          <w:lang w:val="nl-BE"/>
        </w:rPr>
        <w:t>op. cit.</w:t>
      </w:r>
      <w:r>
        <w:rPr>
          <w:sz w:val="20"/>
          <w:szCs w:val="20"/>
          <w:lang w:val="nl-BE"/>
        </w:rPr>
        <w:t xml:space="preserve">, p. </w:t>
      </w:r>
      <w:r>
        <w:rPr>
          <w:sz w:val="20"/>
          <w:szCs w:val="20"/>
          <w:lang w:val="nl-BE"/>
        </w:rPr>
        <w:t>75</w:t>
      </w:r>
      <w:r w:rsidRPr="002F6913">
        <w:rPr>
          <w:sz w:val="20"/>
          <w:szCs w:val="20"/>
          <w:lang w:val="nl-BE"/>
        </w:rPr>
        <w:t>.</w:t>
      </w:r>
    </w:p>
  </w:footnote>
  <w:footnote w:id="9">
    <w:p w14:paraId="7FCD48AA" w14:textId="2CED511B" w:rsidR="00F03D1D" w:rsidRPr="00C0433D" w:rsidRDefault="00F03D1D" w:rsidP="00701ADC">
      <w:pPr>
        <w:pStyle w:val="Notedebasdepage"/>
        <w:jc w:val="both"/>
        <w:rPr>
          <w:sz w:val="20"/>
          <w:szCs w:val="20"/>
          <w:lang w:val="nl-BE"/>
        </w:rPr>
      </w:pPr>
      <w:r w:rsidRPr="00701ADC">
        <w:rPr>
          <w:rStyle w:val="Appelnotedebasdep"/>
          <w:sz w:val="20"/>
          <w:szCs w:val="20"/>
        </w:rPr>
        <w:footnoteRef/>
      </w:r>
      <w:r w:rsidRPr="00C0433D">
        <w:rPr>
          <w:sz w:val="20"/>
          <w:szCs w:val="20"/>
          <w:lang w:val="nl-BE"/>
        </w:rPr>
        <w:t xml:space="preserve"> </w:t>
      </w:r>
      <w:r w:rsidRPr="00C0433D">
        <w:rPr>
          <w:sz w:val="20"/>
          <w:szCs w:val="20"/>
          <w:lang w:val="nl-BE"/>
        </w:rPr>
        <w:t>Cf. J. P</w:t>
      </w:r>
      <w:r w:rsidRPr="00C0433D">
        <w:rPr>
          <w:smallCaps/>
          <w:sz w:val="20"/>
          <w:szCs w:val="20"/>
          <w:lang w:val="nl-BE"/>
        </w:rPr>
        <w:t>uyo</w:t>
      </w:r>
      <w:r w:rsidRPr="00C0433D">
        <w:rPr>
          <w:sz w:val="20"/>
          <w:szCs w:val="20"/>
          <w:lang w:val="nl-BE"/>
        </w:rPr>
        <w:t xml:space="preserve">, </w:t>
      </w:r>
      <w:r w:rsidRPr="00C0433D">
        <w:rPr>
          <w:i/>
          <w:sz w:val="20"/>
          <w:szCs w:val="20"/>
          <w:lang w:val="nl-BE"/>
        </w:rPr>
        <w:t>op. cit.</w:t>
      </w:r>
      <w:r w:rsidRPr="00C0433D">
        <w:rPr>
          <w:sz w:val="20"/>
          <w:szCs w:val="20"/>
          <w:lang w:val="nl-BE"/>
        </w:rPr>
        <w:t>, p. 48.</w:t>
      </w:r>
    </w:p>
  </w:footnote>
  <w:footnote w:id="10">
    <w:p w14:paraId="71168341" w14:textId="1719A769" w:rsidR="00F03D1D" w:rsidRPr="00892D19" w:rsidRDefault="00F03D1D" w:rsidP="00892D19">
      <w:pPr>
        <w:pStyle w:val="Notedebasdepage"/>
        <w:jc w:val="both"/>
        <w:rPr>
          <w:sz w:val="20"/>
          <w:szCs w:val="20"/>
        </w:rPr>
      </w:pPr>
      <w:r w:rsidRPr="00892D19">
        <w:rPr>
          <w:rStyle w:val="Appelnotedebasdep"/>
          <w:sz w:val="20"/>
          <w:szCs w:val="20"/>
        </w:rPr>
        <w:footnoteRef/>
      </w:r>
      <w:r w:rsidRPr="00892D19">
        <w:rPr>
          <w:sz w:val="20"/>
          <w:szCs w:val="20"/>
        </w:rPr>
        <w:t xml:space="preserve"> </w:t>
      </w:r>
      <w:r>
        <w:rPr>
          <w:sz w:val="20"/>
          <w:szCs w:val="20"/>
        </w:rPr>
        <w:t xml:space="preserve">Cf. 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17 s.</w:t>
      </w:r>
    </w:p>
  </w:footnote>
  <w:footnote w:id="11">
    <w:p w14:paraId="7E6D5537" w14:textId="4E382F73" w:rsidR="00F03D1D" w:rsidRPr="00280073" w:rsidRDefault="00F03D1D" w:rsidP="00280073">
      <w:pPr>
        <w:pStyle w:val="Notedebasdepage"/>
        <w:jc w:val="both"/>
        <w:rPr>
          <w:sz w:val="20"/>
          <w:szCs w:val="20"/>
        </w:rPr>
      </w:pPr>
      <w:r w:rsidRPr="00280073">
        <w:rPr>
          <w:rStyle w:val="Appelnotedebasdep"/>
          <w:sz w:val="20"/>
          <w:szCs w:val="20"/>
        </w:rPr>
        <w:footnoteRef/>
      </w:r>
      <w:r w:rsidRPr="00280073">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E774A3">
        <w:rPr>
          <w:i/>
          <w:sz w:val="20"/>
          <w:szCs w:val="20"/>
        </w:rPr>
        <w:t>Journal d’un théologien</w:t>
      </w:r>
      <w:r>
        <w:rPr>
          <w:sz w:val="20"/>
          <w:szCs w:val="20"/>
        </w:rPr>
        <w:t>, p. 24. Concernant les requêtes légitimes du modernisme, « il s’agissait donc de restituer à la théologie sa dimension historique et sa dimension de connaissance religieuse vivante » (</w:t>
      </w:r>
      <w:r w:rsidRPr="00567EC8">
        <w:rPr>
          <w:i/>
          <w:sz w:val="20"/>
          <w:szCs w:val="20"/>
        </w:rPr>
        <w:t>ibid.</w:t>
      </w:r>
      <w:r>
        <w:rPr>
          <w:sz w:val="20"/>
          <w:szCs w:val="20"/>
        </w:rPr>
        <w:t>, p. 60).</w:t>
      </w:r>
    </w:p>
  </w:footnote>
  <w:footnote w:id="12">
    <w:p w14:paraId="42DF264E" w14:textId="74A3B117" w:rsidR="00F03D1D" w:rsidRPr="00683CE8" w:rsidRDefault="00F03D1D" w:rsidP="004A7455">
      <w:pPr>
        <w:pStyle w:val="Notedebasdepage"/>
        <w:jc w:val="both"/>
        <w:rPr>
          <w:sz w:val="20"/>
          <w:szCs w:val="20"/>
        </w:rPr>
      </w:pPr>
      <w:r w:rsidRPr="004A7455">
        <w:rPr>
          <w:rStyle w:val="Appelnotedebasdep"/>
          <w:sz w:val="20"/>
          <w:szCs w:val="20"/>
        </w:rPr>
        <w:footnoteRef/>
      </w:r>
      <w:r w:rsidRPr="004A7455">
        <w:rPr>
          <w:sz w:val="20"/>
          <w:szCs w:val="20"/>
        </w:rPr>
        <w:t xml:space="preserve"> </w:t>
      </w:r>
      <w:r>
        <w:rPr>
          <w:sz w:val="20"/>
          <w:szCs w:val="20"/>
        </w:rPr>
        <w:t xml:space="preserve">Voir son Cours d’ecclésiologie 1932-1933, aux Archives de la Province dominicaine de France [Bibliothèque du </w:t>
      </w:r>
      <w:proofErr w:type="spellStart"/>
      <w:r>
        <w:rPr>
          <w:sz w:val="20"/>
          <w:szCs w:val="20"/>
        </w:rPr>
        <w:t>Saulchoir</w:t>
      </w:r>
      <w:proofErr w:type="spellEnd"/>
      <w:r>
        <w:rPr>
          <w:sz w:val="20"/>
          <w:szCs w:val="20"/>
        </w:rPr>
        <w:t>, Paris], 832, 40.</w:t>
      </w:r>
    </w:p>
  </w:footnote>
  <w:footnote w:id="13">
    <w:p w14:paraId="1CFC1BCE" w14:textId="4FE7DE5F" w:rsidR="00F03D1D" w:rsidRPr="00EE36A3" w:rsidRDefault="00F03D1D" w:rsidP="00933185">
      <w:pPr>
        <w:pStyle w:val="Notedebasdepage"/>
        <w:jc w:val="both"/>
        <w:rPr>
          <w:sz w:val="20"/>
          <w:szCs w:val="20"/>
        </w:rPr>
      </w:pPr>
      <w:r w:rsidRPr="00933185">
        <w:rPr>
          <w:rStyle w:val="Appelnotedebasdep"/>
          <w:sz w:val="20"/>
          <w:szCs w:val="20"/>
        </w:rPr>
        <w:footnoteRef/>
      </w:r>
      <w:r w:rsidRPr="00933185">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17. Il pourra reconnaître en 1975 : « J’ai beaucoup étudié Luther. Il ne se passe guère de mois où je ne revienne à ses écrits. Je ne crains pas de l</w:t>
      </w:r>
      <w:r w:rsidR="005779E0">
        <w:rPr>
          <w:sz w:val="20"/>
          <w:szCs w:val="20"/>
        </w:rPr>
        <w:t>e</w:t>
      </w:r>
      <w:r>
        <w:rPr>
          <w:sz w:val="20"/>
          <w:szCs w:val="20"/>
        </w:rPr>
        <w:t xml:space="preserve"> dire : j’ai pour lui de l’admiration » (</w:t>
      </w:r>
      <w:r w:rsidRPr="00EE36A3">
        <w:rPr>
          <w:sz w:val="20"/>
          <w:szCs w:val="20"/>
        </w:rPr>
        <w:t>J. P</w:t>
      </w:r>
      <w:r w:rsidRPr="00EE36A3">
        <w:rPr>
          <w:smallCaps/>
          <w:sz w:val="20"/>
          <w:szCs w:val="20"/>
        </w:rPr>
        <w:t>uyo</w:t>
      </w:r>
      <w:r w:rsidRPr="00EE36A3">
        <w:rPr>
          <w:sz w:val="20"/>
          <w:szCs w:val="20"/>
        </w:rPr>
        <w:t xml:space="preserve">, </w:t>
      </w:r>
      <w:r w:rsidRPr="00EE36A3">
        <w:rPr>
          <w:i/>
          <w:sz w:val="20"/>
          <w:szCs w:val="20"/>
        </w:rPr>
        <w:t xml:space="preserve">op. </w:t>
      </w:r>
      <w:proofErr w:type="spellStart"/>
      <w:proofErr w:type="gramStart"/>
      <w:r w:rsidRPr="00EE36A3">
        <w:rPr>
          <w:i/>
          <w:sz w:val="20"/>
          <w:szCs w:val="20"/>
        </w:rPr>
        <w:t>cit</w:t>
      </w:r>
      <w:proofErr w:type="spellEnd"/>
      <w:proofErr w:type="gramEnd"/>
      <w:r w:rsidRPr="00EE36A3">
        <w:rPr>
          <w:i/>
          <w:sz w:val="20"/>
          <w:szCs w:val="20"/>
        </w:rPr>
        <w:t>.</w:t>
      </w:r>
      <w:r w:rsidRPr="00EE36A3">
        <w:rPr>
          <w:sz w:val="20"/>
          <w:szCs w:val="20"/>
        </w:rPr>
        <w:t xml:space="preserve">, p. </w:t>
      </w:r>
      <w:r>
        <w:rPr>
          <w:sz w:val="20"/>
          <w:szCs w:val="20"/>
        </w:rPr>
        <w:t>59). Voir J. F</w:t>
      </w:r>
      <w:r w:rsidRPr="005D61CC">
        <w:rPr>
          <w:smallCaps/>
          <w:sz w:val="20"/>
          <w:szCs w:val="20"/>
        </w:rPr>
        <w:t>amerée</w:t>
      </w:r>
      <w:r>
        <w:rPr>
          <w:sz w:val="20"/>
          <w:szCs w:val="20"/>
        </w:rPr>
        <w:t xml:space="preserve">, « Yves </w:t>
      </w:r>
      <w:proofErr w:type="spellStart"/>
      <w:r>
        <w:rPr>
          <w:sz w:val="20"/>
          <w:szCs w:val="20"/>
        </w:rPr>
        <w:t>Congar</w:t>
      </w:r>
      <w:proofErr w:type="spellEnd"/>
      <w:r>
        <w:rPr>
          <w:sz w:val="20"/>
          <w:szCs w:val="20"/>
        </w:rPr>
        <w:t xml:space="preserve">, lecteur de Luther », dans S.-M. </w:t>
      </w:r>
      <w:proofErr w:type="spellStart"/>
      <w:r>
        <w:rPr>
          <w:sz w:val="20"/>
          <w:szCs w:val="20"/>
        </w:rPr>
        <w:t>M</w:t>
      </w:r>
      <w:r w:rsidRPr="005D61CC">
        <w:rPr>
          <w:smallCaps/>
          <w:sz w:val="20"/>
          <w:szCs w:val="20"/>
        </w:rPr>
        <w:t>orgain</w:t>
      </w:r>
      <w:proofErr w:type="spellEnd"/>
      <w:r>
        <w:rPr>
          <w:sz w:val="20"/>
          <w:szCs w:val="20"/>
        </w:rPr>
        <w:t xml:space="preserve"> (</w:t>
      </w:r>
      <w:proofErr w:type="spellStart"/>
      <w:r>
        <w:rPr>
          <w:sz w:val="20"/>
          <w:szCs w:val="20"/>
        </w:rPr>
        <w:t>dir</w:t>
      </w:r>
      <w:proofErr w:type="spellEnd"/>
      <w:r>
        <w:rPr>
          <w:sz w:val="20"/>
          <w:szCs w:val="20"/>
        </w:rPr>
        <w:t xml:space="preserve">.), </w:t>
      </w:r>
      <w:r w:rsidRPr="005D61CC">
        <w:rPr>
          <w:i/>
          <w:sz w:val="20"/>
          <w:szCs w:val="20"/>
        </w:rPr>
        <w:t>En 500 après Martin Luther. Réception et conflits d’interprétation (1517-2017)</w:t>
      </w:r>
      <w:r>
        <w:rPr>
          <w:sz w:val="20"/>
          <w:szCs w:val="20"/>
        </w:rPr>
        <w:t xml:space="preserve"> (BRHE, 104), Turnhout, </w:t>
      </w:r>
      <w:proofErr w:type="spellStart"/>
      <w:r>
        <w:rPr>
          <w:sz w:val="20"/>
          <w:szCs w:val="20"/>
        </w:rPr>
        <w:t>Brepols</w:t>
      </w:r>
      <w:proofErr w:type="spellEnd"/>
      <w:r>
        <w:rPr>
          <w:sz w:val="20"/>
          <w:szCs w:val="20"/>
        </w:rPr>
        <w:t>, 2018, p. 189-201.</w:t>
      </w:r>
    </w:p>
  </w:footnote>
  <w:footnote w:id="14">
    <w:p w14:paraId="4AC0E90B" w14:textId="3824F6DD" w:rsidR="00F03D1D" w:rsidRPr="008B4870" w:rsidRDefault="00F03D1D" w:rsidP="008B4870">
      <w:pPr>
        <w:pStyle w:val="Notedebasdepage"/>
        <w:jc w:val="both"/>
        <w:rPr>
          <w:sz w:val="20"/>
          <w:szCs w:val="20"/>
        </w:rPr>
      </w:pPr>
      <w:r w:rsidRPr="008B4870">
        <w:rPr>
          <w:rStyle w:val="Appelnotedebasdep"/>
          <w:sz w:val="20"/>
          <w:szCs w:val="20"/>
        </w:rPr>
        <w:footnoteRef/>
      </w:r>
      <w:r w:rsidRPr="008B4870">
        <w:rPr>
          <w:sz w:val="20"/>
          <w:szCs w:val="20"/>
        </w:rPr>
        <w:t xml:space="preserve"> </w:t>
      </w:r>
      <w:r>
        <w:rPr>
          <w:sz w:val="20"/>
          <w:szCs w:val="20"/>
        </w:rPr>
        <w:t xml:space="preserve">Selon l’heureuse expression de É. </w:t>
      </w:r>
      <w:proofErr w:type="spellStart"/>
      <w:r>
        <w:rPr>
          <w:sz w:val="20"/>
          <w:szCs w:val="20"/>
        </w:rPr>
        <w:t>F</w:t>
      </w:r>
      <w:r w:rsidRPr="008B4870">
        <w:rPr>
          <w:smallCaps/>
          <w:sz w:val="20"/>
          <w:szCs w:val="20"/>
        </w:rPr>
        <w:t>ouilloux</w:t>
      </w:r>
      <w:proofErr w:type="spellEnd"/>
      <w:r>
        <w:rPr>
          <w:sz w:val="20"/>
          <w:szCs w:val="20"/>
        </w:rPr>
        <w:t xml:space="preserve">, </w:t>
      </w:r>
      <w:r w:rsidRPr="00E567A7">
        <w:rPr>
          <w:i/>
          <w:sz w:val="20"/>
          <w:szCs w:val="20"/>
        </w:rPr>
        <w:t>Les catholiques et l’unité chrétienne</w:t>
      </w:r>
      <w:r w:rsidR="007973F1" w:rsidRPr="007973F1">
        <w:rPr>
          <w:i/>
          <w:sz w:val="20"/>
          <w:szCs w:val="20"/>
        </w:rPr>
        <w:t xml:space="preserve"> </w:t>
      </w:r>
      <w:proofErr w:type="spellStart"/>
      <w:r w:rsidR="007973F1" w:rsidRPr="00E567A7">
        <w:rPr>
          <w:i/>
          <w:sz w:val="20"/>
          <w:szCs w:val="20"/>
        </w:rPr>
        <w:t>chrétienne</w:t>
      </w:r>
      <w:proofErr w:type="spellEnd"/>
      <w:r w:rsidR="007973F1" w:rsidRPr="00E567A7">
        <w:rPr>
          <w:i/>
          <w:sz w:val="20"/>
          <w:szCs w:val="20"/>
        </w:rPr>
        <w:t xml:space="preserve"> du XIXe au XXe siècle. Itinéraires européens d’expression française</w:t>
      </w:r>
      <w:r w:rsidR="007973F1">
        <w:rPr>
          <w:sz w:val="20"/>
          <w:szCs w:val="20"/>
        </w:rPr>
        <w:t>, Paris, Centurion, 1982,</w:t>
      </w:r>
      <w:r>
        <w:rPr>
          <w:sz w:val="20"/>
          <w:szCs w:val="20"/>
        </w:rPr>
        <w:t xml:space="preserve"> p. 217.</w:t>
      </w:r>
    </w:p>
  </w:footnote>
  <w:footnote w:id="15">
    <w:p w14:paraId="3C885C83" w14:textId="2BFE1114" w:rsidR="00F03D1D" w:rsidRPr="00614986" w:rsidRDefault="00F03D1D" w:rsidP="00614986">
      <w:pPr>
        <w:pStyle w:val="Notedebasdepage"/>
        <w:jc w:val="both"/>
        <w:rPr>
          <w:sz w:val="20"/>
          <w:szCs w:val="20"/>
        </w:rPr>
      </w:pPr>
      <w:r w:rsidRPr="00614986">
        <w:rPr>
          <w:rStyle w:val="Appelnotedebasdep"/>
          <w:sz w:val="20"/>
          <w:szCs w:val="20"/>
        </w:rPr>
        <w:footnoteRef/>
      </w:r>
      <w:r w:rsidRPr="00614986">
        <w:rPr>
          <w:sz w:val="20"/>
          <w:szCs w:val="20"/>
        </w:rPr>
        <w:t xml:space="preserve"> </w:t>
      </w:r>
      <w:r>
        <w:rPr>
          <w:sz w:val="20"/>
          <w:szCs w:val="20"/>
        </w:rPr>
        <w:t xml:space="preserve">Cf. 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18 s.</w:t>
      </w:r>
    </w:p>
  </w:footnote>
  <w:footnote w:id="16">
    <w:p w14:paraId="1989FD67" w14:textId="0DEA4383" w:rsidR="00F03D1D" w:rsidRPr="00D83A2F" w:rsidRDefault="00F03D1D" w:rsidP="00920797">
      <w:pPr>
        <w:pStyle w:val="Notedebasdepage"/>
        <w:jc w:val="both"/>
        <w:rPr>
          <w:sz w:val="20"/>
          <w:szCs w:val="20"/>
        </w:rPr>
      </w:pPr>
      <w:r w:rsidRPr="00920797">
        <w:rPr>
          <w:rStyle w:val="Appelnotedebasdep"/>
          <w:sz w:val="20"/>
          <w:szCs w:val="20"/>
        </w:rPr>
        <w:footnoteRef/>
      </w:r>
      <w:r w:rsidRPr="00920797">
        <w:rPr>
          <w:sz w:val="20"/>
          <w:szCs w:val="20"/>
        </w:rPr>
        <w:t xml:space="preserve"> </w:t>
      </w:r>
      <w:r w:rsidRPr="00920797">
        <w:rPr>
          <w:i/>
          <w:sz w:val="20"/>
          <w:szCs w:val="20"/>
        </w:rPr>
        <w:t>Ibid</w:t>
      </w:r>
      <w:r>
        <w:rPr>
          <w:sz w:val="20"/>
          <w:szCs w:val="20"/>
        </w:rPr>
        <w:t>., p. 21.</w:t>
      </w:r>
    </w:p>
  </w:footnote>
  <w:footnote w:id="17">
    <w:p w14:paraId="0A63F6A5" w14:textId="312A3A64" w:rsidR="00F03D1D" w:rsidRPr="00D83A2F" w:rsidRDefault="00F03D1D" w:rsidP="00BA7462">
      <w:pPr>
        <w:pStyle w:val="Notedebasdepage"/>
        <w:jc w:val="both"/>
        <w:rPr>
          <w:sz w:val="20"/>
          <w:szCs w:val="20"/>
        </w:rPr>
      </w:pPr>
      <w:r w:rsidRPr="00BA7462">
        <w:rPr>
          <w:rStyle w:val="Appelnotedebasdep"/>
          <w:sz w:val="20"/>
          <w:szCs w:val="20"/>
        </w:rPr>
        <w:footnoteRef/>
      </w:r>
      <w:r w:rsidRPr="00BA7462">
        <w:rPr>
          <w:sz w:val="20"/>
          <w:szCs w:val="20"/>
        </w:rPr>
        <w:t xml:space="preserve"> </w:t>
      </w:r>
      <w:r w:rsidRPr="00920797">
        <w:rPr>
          <w:i/>
          <w:sz w:val="20"/>
          <w:szCs w:val="20"/>
        </w:rPr>
        <w:t>Ibid</w:t>
      </w:r>
      <w:r>
        <w:rPr>
          <w:sz w:val="20"/>
          <w:szCs w:val="20"/>
        </w:rPr>
        <w:t>., p. 21-23.</w:t>
      </w:r>
    </w:p>
  </w:footnote>
  <w:footnote w:id="18">
    <w:p w14:paraId="2DD06C68" w14:textId="4CE1E416" w:rsidR="00F03D1D" w:rsidRPr="00D83A2F" w:rsidRDefault="00F03D1D" w:rsidP="00D83A2F">
      <w:pPr>
        <w:pStyle w:val="Notedebasdepage"/>
        <w:jc w:val="both"/>
        <w:rPr>
          <w:sz w:val="20"/>
          <w:szCs w:val="20"/>
        </w:rPr>
      </w:pPr>
      <w:r w:rsidRPr="00D83A2F">
        <w:rPr>
          <w:rStyle w:val="Appelnotedebasdep"/>
          <w:sz w:val="20"/>
          <w:szCs w:val="20"/>
        </w:rPr>
        <w:footnoteRef/>
      </w:r>
      <w:r w:rsidRPr="00D83A2F">
        <w:rPr>
          <w:sz w:val="20"/>
          <w:szCs w:val="20"/>
        </w:rPr>
        <w:t xml:space="preserve"> </w:t>
      </w:r>
      <w:r>
        <w:rPr>
          <w:sz w:val="20"/>
          <w:szCs w:val="20"/>
        </w:rPr>
        <w:t xml:space="preserve">É. </w:t>
      </w:r>
      <w:proofErr w:type="spellStart"/>
      <w:r>
        <w:rPr>
          <w:sz w:val="20"/>
          <w:szCs w:val="20"/>
        </w:rPr>
        <w:t>F</w:t>
      </w:r>
      <w:r w:rsidRPr="008B4870">
        <w:rPr>
          <w:smallCaps/>
          <w:sz w:val="20"/>
          <w:szCs w:val="20"/>
        </w:rPr>
        <w:t>ouilloux</w:t>
      </w:r>
      <w:proofErr w:type="spellEnd"/>
      <w:r>
        <w:rPr>
          <w:sz w:val="20"/>
          <w:szCs w:val="20"/>
        </w:rPr>
        <w:t xml:space="preserve">, </w:t>
      </w:r>
      <w:r w:rsidRPr="00E567A7">
        <w:rPr>
          <w:i/>
          <w:sz w:val="20"/>
          <w:szCs w:val="20"/>
        </w:rPr>
        <w:t>Les catholiques et l’unité chrétienne</w:t>
      </w:r>
      <w:r>
        <w:rPr>
          <w:sz w:val="20"/>
          <w:szCs w:val="20"/>
        </w:rPr>
        <w:t>, p. 207.</w:t>
      </w:r>
    </w:p>
  </w:footnote>
  <w:footnote w:id="19">
    <w:p w14:paraId="18D7D68A" w14:textId="7CE9E75E" w:rsidR="00F03D1D" w:rsidRPr="003A7336" w:rsidRDefault="00F03D1D" w:rsidP="002265C5">
      <w:pPr>
        <w:pStyle w:val="Notedebasdepage"/>
        <w:jc w:val="both"/>
        <w:rPr>
          <w:sz w:val="20"/>
          <w:szCs w:val="20"/>
        </w:rPr>
      </w:pPr>
      <w:r w:rsidRPr="002265C5">
        <w:rPr>
          <w:rStyle w:val="Appelnotedebasdep"/>
          <w:sz w:val="20"/>
          <w:szCs w:val="20"/>
        </w:rPr>
        <w:footnoteRef/>
      </w:r>
      <w:r w:rsidRPr="002265C5">
        <w:rPr>
          <w:sz w:val="20"/>
          <w:szCs w:val="20"/>
        </w:rPr>
        <w:t xml:space="preserve"> </w:t>
      </w:r>
      <w:r w:rsidRPr="002265C5">
        <w:rPr>
          <w:i/>
          <w:sz w:val="20"/>
          <w:szCs w:val="20"/>
        </w:rPr>
        <w:t>Ibid.</w:t>
      </w:r>
    </w:p>
  </w:footnote>
  <w:footnote w:id="20">
    <w:p w14:paraId="7855E408" w14:textId="5294902F" w:rsidR="00F03D1D" w:rsidRPr="003A7336" w:rsidRDefault="00F03D1D" w:rsidP="00D76C96">
      <w:pPr>
        <w:pStyle w:val="Notedebasdepage"/>
        <w:jc w:val="both"/>
        <w:rPr>
          <w:sz w:val="20"/>
          <w:szCs w:val="20"/>
        </w:rPr>
      </w:pPr>
      <w:r w:rsidRPr="00D76C96">
        <w:rPr>
          <w:rStyle w:val="Appelnotedebasdep"/>
          <w:sz w:val="20"/>
          <w:szCs w:val="20"/>
        </w:rPr>
        <w:footnoteRef/>
      </w:r>
      <w:r w:rsidRPr="00D76C96">
        <w:rPr>
          <w:sz w:val="20"/>
          <w:szCs w:val="20"/>
        </w:rPr>
        <w:t xml:space="preserve"> </w:t>
      </w:r>
      <w:r w:rsidRPr="003A7336">
        <w:rPr>
          <w:i/>
          <w:sz w:val="20"/>
          <w:szCs w:val="20"/>
        </w:rPr>
        <w:t>Ibid.</w:t>
      </w:r>
      <w:r w:rsidRPr="003A7336">
        <w:rPr>
          <w:sz w:val="20"/>
          <w:szCs w:val="20"/>
        </w:rPr>
        <w:t>, p. 221.</w:t>
      </w:r>
    </w:p>
  </w:footnote>
  <w:footnote w:id="21">
    <w:p w14:paraId="7575D598" w14:textId="0EDB5DF3" w:rsidR="00F03D1D" w:rsidRPr="003A7336" w:rsidRDefault="00F03D1D" w:rsidP="003A7336">
      <w:pPr>
        <w:pStyle w:val="Notedebasdepage"/>
        <w:jc w:val="both"/>
        <w:rPr>
          <w:sz w:val="20"/>
          <w:szCs w:val="20"/>
        </w:rPr>
      </w:pPr>
      <w:r w:rsidRPr="003A7336">
        <w:rPr>
          <w:rStyle w:val="Appelnotedebasdep"/>
          <w:sz w:val="20"/>
          <w:szCs w:val="20"/>
        </w:rPr>
        <w:footnoteRef/>
      </w:r>
      <w:r w:rsidRPr="003A7336">
        <w:rPr>
          <w:sz w:val="20"/>
          <w:szCs w:val="20"/>
        </w:rPr>
        <w:t xml:space="preserve"> </w:t>
      </w:r>
      <w:r w:rsidR="00E501BB">
        <w:rPr>
          <w:sz w:val="20"/>
          <w:szCs w:val="20"/>
        </w:rPr>
        <w:t xml:space="preserve">Cf.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sidR="00AD2A37">
        <w:rPr>
          <w:sz w:val="20"/>
          <w:szCs w:val="20"/>
        </w:rPr>
        <w:t xml:space="preserve">, </w:t>
      </w:r>
      <w:r>
        <w:rPr>
          <w:sz w:val="20"/>
          <w:szCs w:val="20"/>
        </w:rPr>
        <w:t>p. 27-29.</w:t>
      </w:r>
    </w:p>
  </w:footnote>
  <w:footnote w:id="22">
    <w:p w14:paraId="31A7C0C2" w14:textId="5E473612" w:rsidR="00F03D1D" w:rsidRPr="00E8745A" w:rsidRDefault="00F03D1D" w:rsidP="00E8745A">
      <w:pPr>
        <w:pStyle w:val="Notedebasdepage"/>
        <w:jc w:val="both"/>
        <w:rPr>
          <w:sz w:val="20"/>
          <w:szCs w:val="20"/>
        </w:rPr>
      </w:pPr>
      <w:r w:rsidRPr="00E8745A">
        <w:rPr>
          <w:rStyle w:val="Appelnotedebasdep"/>
          <w:sz w:val="20"/>
          <w:szCs w:val="20"/>
        </w:rPr>
        <w:footnoteRef/>
      </w:r>
      <w:r w:rsidRPr="00E8745A">
        <w:rPr>
          <w:sz w:val="20"/>
          <w:szCs w:val="20"/>
        </w:rPr>
        <w:t xml:space="preserve"> </w:t>
      </w:r>
      <w:r>
        <w:rPr>
          <w:sz w:val="20"/>
          <w:szCs w:val="20"/>
        </w:rPr>
        <w:t xml:space="preserve">Cf. É. </w:t>
      </w:r>
      <w:proofErr w:type="spellStart"/>
      <w:r>
        <w:rPr>
          <w:sz w:val="20"/>
          <w:szCs w:val="20"/>
        </w:rPr>
        <w:t>F</w:t>
      </w:r>
      <w:r w:rsidRPr="008B4870">
        <w:rPr>
          <w:smallCaps/>
          <w:sz w:val="20"/>
          <w:szCs w:val="20"/>
        </w:rPr>
        <w:t>ouilloux</w:t>
      </w:r>
      <w:proofErr w:type="spellEnd"/>
      <w:r>
        <w:rPr>
          <w:sz w:val="20"/>
          <w:szCs w:val="20"/>
        </w:rPr>
        <w:t xml:space="preserve">, </w:t>
      </w:r>
      <w:r w:rsidRPr="00E567A7">
        <w:rPr>
          <w:i/>
          <w:sz w:val="20"/>
          <w:szCs w:val="20"/>
        </w:rPr>
        <w:t>Les catholiques et l’unité chrétienne</w:t>
      </w:r>
      <w:r>
        <w:rPr>
          <w:sz w:val="20"/>
          <w:szCs w:val="20"/>
        </w:rPr>
        <w:t>, p. 226-227.</w:t>
      </w:r>
    </w:p>
  </w:footnote>
  <w:footnote w:id="23">
    <w:p w14:paraId="2C6D241E" w14:textId="13913250" w:rsidR="00F03D1D" w:rsidRPr="009B6251" w:rsidRDefault="00F03D1D" w:rsidP="00D456BB">
      <w:pPr>
        <w:pStyle w:val="Notedebasdepage"/>
        <w:jc w:val="both"/>
        <w:rPr>
          <w:sz w:val="20"/>
          <w:szCs w:val="20"/>
        </w:rPr>
      </w:pPr>
      <w:r w:rsidRPr="00D456BB">
        <w:rPr>
          <w:rStyle w:val="Appelnotedebasdep"/>
          <w:sz w:val="20"/>
          <w:szCs w:val="20"/>
        </w:rPr>
        <w:footnoteRef/>
      </w:r>
      <w:r w:rsidRPr="00D456BB">
        <w:rPr>
          <w:sz w:val="20"/>
          <w:szCs w:val="20"/>
        </w:rPr>
        <w:t xml:space="preserve"> </w:t>
      </w:r>
      <w:r w:rsidRPr="00D456BB">
        <w:rPr>
          <w:i/>
          <w:sz w:val="20"/>
          <w:szCs w:val="20"/>
        </w:rPr>
        <w:t>Ibid.</w:t>
      </w:r>
      <w:r>
        <w:rPr>
          <w:sz w:val="20"/>
          <w:szCs w:val="20"/>
        </w:rPr>
        <w:t>, p. 227-230.</w:t>
      </w:r>
    </w:p>
  </w:footnote>
  <w:footnote w:id="24">
    <w:p w14:paraId="40240C5A" w14:textId="59A94982" w:rsidR="00F03D1D" w:rsidRPr="009B6251" w:rsidRDefault="00F03D1D" w:rsidP="002954E7">
      <w:pPr>
        <w:pStyle w:val="Notedebasdepage"/>
        <w:jc w:val="both"/>
        <w:rPr>
          <w:sz w:val="20"/>
          <w:szCs w:val="20"/>
        </w:rPr>
      </w:pPr>
      <w:r w:rsidRPr="002954E7">
        <w:rPr>
          <w:rStyle w:val="Appelnotedebasdep"/>
          <w:sz w:val="20"/>
          <w:szCs w:val="20"/>
        </w:rPr>
        <w:footnoteRef/>
      </w:r>
      <w:r w:rsidRPr="002954E7">
        <w:rPr>
          <w:sz w:val="20"/>
          <w:szCs w:val="20"/>
        </w:rPr>
        <w:t xml:space="preserve"> </w:t>
      </w:r>
      <w:r w:rsidR="00CA221C">
        <w:rPr>
          <w:sz w:val="20"/>
          <w:szCs w:val="20"/>
        </w:rPr>
        <w:t xml:space="preserve">Cf. </w:t>
      </w:r>
      <w:r w:rsidR="00CA221C">
        <w:rPr>
          <w:i/>
          <w:sz w:val="20"/>
          <w:szCs w:val="20"/>
        </w:rPr>
        <w:t>i</w:t>
      </w:r>
      <w:r w:rsidRPr="004F7AE7">
        <w:rPr>
          <w:i/>
          <w:sz w:val="20"/>
          <w:szCs w:val="20"/>
        </w:rPr>
        <w:t>bid.</w:t>
      </w:r>
      <w:r>
        <w:rPr>
          <w:sz w:val="20"/>
          <w:szCs w:val="20"/>
        </w:rPr>
        <w:t>, p. 230-231.</w:t>
      </w:r>
    </w:p>
  </w:footnote>
  <w:footnote w:id="25">
    <w:p w14:paraId="5EEF1D56" w14:textId="6CF23637" w:rsidR="00F03D1D" w:rsidRPr="009B6251" w:rsidRDefault="00F03D1D" w:rsidP="009B6251">
      <w:pPr>
        <w:pStyle w:val="Notedebasdepage"/>
        <w:jc w:val="both"/>
        <w:rPr>
          <w:sz w:val="20"/>
          <w:szCs w:val="20"/>
        </w:rPr>
      </w:pPr>
      <w:r w:rsidRPr="009B6251">
        <w:rPr>
          <w:rStyle w:val="Appelnotedebasdep"/>
          <w:sz w:val="20"/>
          <w:szCs w:val="20"/>
        </w:rPr>
        <w:footnoteRef/>
      </w:r>
      <w:r w:rsidRPr="009B6251">
        <w:rPr>
          <w:sz w:val="20"/>
          <w:szCs w:val="20"/>
        </w:rPr>
        <w:t xml:space="preserve"> </w:t>
      </w:r>
      <w:r>
        <w:rPr>
          <w:sz w:val="20"/>
          <w:szCs w:val="20"/>
        </w:rPr>
        <w:t xml:space="preserve">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33-35.</w:t>
      </w:r>
    </w:p>
  </w:footnote>
  <w:footnote w:id="26">
    <w:p w14:paraId="6EE3D77A" w14:textId="4713C232" w:rsidR="00F03D1D" w:rsidRPr="00A901A6" w:rsidRDefault="00F03D1D" w:rsidP="00A901A6">
      <w:pPr>
        <w:pStyle w:val="Notedebasdepage"/>
        <w:jc w:val="both"/>
        <w:rPr>
          <w:sz w:val="20"/>
          <w:szCs w:val="20"/>
        </w:rPr>
      </w:pPr>
      <w:r w:rsidRPr="00A901A6">
        <w:rPr>
          <w:rStyle w:val="Appelnotedebasdep"/>
          <w:sz w:val="20"/>
          <w:szCs w:val="20"/>
        </w:rPr>
        <w:footnoteRef/>
      </w:r>
      <w:r w:rsidRPr="00A901A6">
        <w:rPr>
          <w:sz w:val="20"/>
          <w:szCs w:val="20"/>
        </w:rPr>
        <w:t xml:space="preserve"> </w:t>
      </w:r>
      <w:r>
        <w:rPr>
          <w:sz w:val="20"/>
          <w:szCs w:val="20"/>
        </w:rPr>
        <w:t xml:space="preserve">Y. </w:t>
      </w:r>
      <w:proofErr w:type="spellStart"/>
      <w:r>
        <w:rPr>
          <w:sz w:val="20"/>
          <w:szCs w:val="20"/>
        </w:rPr>
        <w:t>C</w:t>
      </w:r>
      <w:r w:rsidRPr="00A901A6">
        <w:rPr>
          <w:smallCaps/>
          <w:sz w:val="20"/>
          <w:szCs w:val="20"/>
        </w:rPr>
        <w:t>ongar</w:t>
      </w:r>
      <w:proofErr w:type="spellEnd"/>
      <w:r>
        <w:rPr>
          <w:sz w:val="20"/>
          <w:szCs w:val="20"/>
        </w:rPr>
        <w:t xml:space="preserve">, « Une Conclusion théologique à l’Enquête sur les raisons actuelles de l’incroyance », dans </w:t>
      </w:r>
      <w:r w:rsidRPr="00A901A6">
        <w:rPr>
          <w:i/>
          <w:sz w:val="20"/>
          <w:szCs w:val="20"/>
        </w:rPr>
        <w:t>La Vie Intellectuelle</w:t>
      </w:r>
      <w:r>
        <w:rPr>
          <w:sz w:val="20"/>
          <w:szCs w:val="20"/>
        </w:rPr>
        <w:t xml:space="preserve"> 37 (1935) 214-249, ici 241.</w:t>
      </w:r>
    </w:p>
  </w:footnote>
  <w:footnote w:id="27">
    <w:p w14:paraId="18A5BF95" w14:textId="024115F5" w:rsidR="00F03D1D" w:rsidRPr="0099676A" w:rsidRDefault="00F03D1D" w:rsidP="00714A1F">
      <w:pPr>
        <w:pStyle w:val="Notedebasdepage"/>
        <w:jc w:val="both"/>
        <w:rPr>
          <w:sz w:val="20"/>
          <w:szCs w:val="20"/>
        </w:rPr>
      </w:pPr>
      <w:r w:rsidRPr="00714A1F">
        <w:rPr>
          <w:rStyle w:val="Appelnotedebasdep"/>
          <w:sz w:val="20"/>
          <w:szCs w:val="20"/>
        </w:rPr>
        <w:footnoteRef/>
      </w:r>
      <w:r w:rsidRPr="00714A1F">
        <w:rPr>
          <w:sz w:val="20"/>
          <w:szCs w:val="20"/>
        </w:rPr>
        <w:t xml:space="preserve"> </w:t>
      </w:r>
      <w:r w:rsidRPr="00714A1F">
        <w:rPr>
          <w:i/>
          <w:sz w:val="20"/>
          <w:szCs w:val="20"/>
        </w:rPr>
        <w:t>Ibid.</w:t>
      </w:r>
      <w:r>
        <w:rPr>
          <w:sz w:val="20"/>
          <w:szCs w:val="20"/>
        </w:rPr>
        <w:t>, p. 242.</w:t>
      </w:r>
    </w:p>
  </w:footnote>
  <w:footnote w:id="28">
    <w:p w14:paraId="27006260" w14:textId="2316C87B" w:rsidR="00F03D1D" w:rsidRPr="0099676A" w:rsidRDefault="00F03D1D" w:rsidP="0099676A">
      <w:pPr>
        <w:pStyle w:val="Notedebasdepage"/>
        <w:jc w:val="both"/>
        <w:rPr>
          <w:sz w:val="20"/>
          <w:szCs w:val="20"/>
        </w:rPr>
      </w:pPr>
      <w:r w:rsidRPr="0099676A">
        <w:rPr>
          <w:rStyle w:val="Appelnotedebasdep"/>
          <w:sz w:val="20"/>
          <w:szCs w:val="20"/>
        </w:rPr>
        <w:footnoteRef/>
      </w:r>
      <w:r w:rsidRPr="0099676A">
        <w:rPr>
          <w:sz w:val="20"/>
          <w:szCs w:val="20"/>
        </w:rPr>
        <w:t xml:space="preserve"> </w:t>
      </w:r>
      <w:r>
        <w:rPr>
          <w:sz w:val="20"/>
          <w:szCs w:val="20"/>
        </w:rPr>
        <w:t>Selon les termes mêmes du prospectus de lancement d</w:t>
      </w:r>
      <w:proofErr w:type="gramStart"/>
      <w:r>
        <w:rPr>
          <w:sz w:val="20"/>
          <w:szCs w:val="20"/>
        </w:rPr>
        <w:t>’«</w:t>
      </w:r>
      <w:proofErr w:type="gramEnd"/>
      <w:r>
        <w:rPr>
          <w:sz w:val="20"/>
          <w:szCs w:val="20"/>
        </w:rPr>
        <w:t> </w:t>
      </w:r>
      <w:proofErr w:type="spellStart"/>
      <w:r>
        <w:rPr>
          <w:sz w:val="20"/>
          <w:szCs w:val="20"/>
        </w:rPr>
        <w:t>Unam</w:t>
      </w:r>
      <w:proofErr w:type="spellEnd"/>
      <w:r>
        <w:rPr>
          <w:sz w:val="20"/>
          <w:szCs w:val="20"/>
        </w:rPr>
        <w:t xml:space="preserve"> </w:t>
      </w:r>
      <w:proofErr w:type="spellStart"/>
      <w:r>
        <w:rPr>
          <w:sz w:val="20"/>
          <w:szCs w:val="20"/>
        </w:rPr>
        <w:t>Sanctam</w:t>
      </w:r>
      <w:proofErr w:type="spellEnd"/>
      <w:r>
        <w:rPr>
          <w:sz w:val="20"/>
          <w:szCs w:val="20"/>
        </w:rPr>
        <w:t xml:space="preserve"> », cités dans 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Pr>
          <w:sz w:val="20"/>
          <w:szCs w:val="20"/>
        </w:rPr>
        <w:t>, p. 46-47.</w:t>
      </w:r>
    </w:p>
  </w:footnote>
  <w:footnote w:id="29">
    <w:p w14:paraId="6C10CD5C" w14:textId="285E6FFD" w:rsidR="00F03D1D" w:rsidRPr="00523AB6" w:rsidRDefault="00F03D1D" w:rsidP="00156C6E">
      <w:pPr>
        <w:pStyle w:val="Notedebasdepage"/>
        <w:jc w:val="both"/>
        <w:rPr>
          <w:sz w:val="20"/>
          <w:szCs w:val="20"/>
        </w:rPr>
      </w:pPr>
      <w:r w:rsidRPr="00156C6E">
        <w:rPr>
          <w:rStyle w:val="Appelnotedebasdep"/>
          <w:sz w:val="20"/>
          <w:szCs w:val="20"/>
        </w:rPr>
        <w:footnoteRef/>
      </w:r>
      <w:r w:rsidRPr="00156C6E">
        <w:rPr>
          <w:sz w:val="20"/>
          <w:szCs w:val="20"/>
        </w:rPr>
        <w:t xml:space="preserve"> </w:t>
      </w:r>
      <w:r>
        <w:rPr>
          <w:sz w:val="20"/>
          <w:szCs w:val="20"/>
        </w:rPr>
        <w:t xml:space="preserve">Y. </w:t>
      </w:r>
      <w:proofErr w:type="spellStart"/>
      <w:r>
        <w:rPr>
          <w:sz w:val="20"/>
          <w:szCs w:val="20"/>
        </w:rPr>
        <w:t>C</w:t>
      </w:r>
      <w:r w:rsidRPr="00523AB6">
        <w:rPr>
          <w:smallCaps/>
          <w:sz w:val="20"/>
          <w:szCs w:val="20"/>
        </w:rPr>
        <w:t>ongar</w:t>
      </w:r>
      <w:proofErr w:type="spellEnd"/>
      <w:r>
        <w:rPr>
          <w:sz w:val="20"/>
          <w:szCs w:val="20"/>
        </w:rPr>
        <w:t xml:space="preserve">, </w:t>
      </w:r>
      <w:r w:rsidRPr="00523AB6">
        <w:rPr>
          <w:i/>
          <w:sz w:val="20"/>
          <w:szCs w:val="20"/>
        </w:rPr>
        <w:t>Chrétiens désunis. Principes d’un « œcuménisme » catholique</w:t>
      </w:r>
      <w:r>
        <w:rPr>
          <w:sz w:val="20"/>
          <w:szCs w:val="20"/>
        </w:rPr>
        <w:t xml:space="preserve"> (</w:t>
      </w:r>
      <w:proofErr w:type="spellStart"/>
      <w:r>
        <w:rPr>
          <w:sz w:val="20"/>
          <w:szCs w:val="20"/>
        </w:rPr>
        <w:t>Unam</w:t>
      </w:r>
      <w:proofErr w:type="spellEnd"/>
      <w:r>
        <w:rPr>
          <w:sz w:val="20"/>
          <w:szCs w:val="20"/>
        </w:rPr>
        <w:t xml:space="preserve"> </w:t>
      </w:r>
      <w:proofErr w:type="spellStart"/>
      <w:r>
        <w:rPr>
          <w:sz w:val="20"/>
          <w:szCs w:val="20"/>
        </w:rPr>
        <w:t>Sanctam</w:t>
      </w:r>
      <w:proofErr w:type="spellEnd"/>
      <w:r>
        <w:rPr>
          <w:sz w:val="20"/>
          <w:szCs w:val="20"/>
        </w:rPr>
        <w:t>, 1), Paris, Cerf, 1937.</w:t>
      </w:r>
    </w:p>
  </w:footnote>
  <w:footnote w:id="30">
    <w:p w14:paraId="4E9AFB56" w14:textId="157DCA6F" w:rsidR="00F03D1D" w:rsidRPr="00FA24B0" w:rsidRDefault="00F03D1D" w:rsidP="00FA24B0">
      <w:pPr>
        <w:pStyle w:val="Notedebasdepage"/>
        <w:jc w:val="both"/>
        <w:rPr>
          <w:sz w:val="20"/>
          <w:szCs w:val="20"/>
        </w:rPr>
      </w:pPr>
      <w:r w:rsidRPr="00FA24B0">
        <w:rPr>
          <w:rStyle w:val="Appelnotedebasdep"/>
          <w:sz w:val="20"/>
          <w:szCs w:val="20"/>
        </w:rPr>
        <w:footnoteRef/>
      </w:r>
      <w:r w:rsidRPr="00FA24B0">
        <w:rPr>
          <w:sz w:val="20"/>
          <w:szCs w:val="20"/>
        </w:rPr>
        <w:t xml:space="preserve"> </w:t>
      </w:r>
      <w:r w:rsidRPr="001C6F54">
        <w:rPr>
          <w:i/>
          <w:sz w:val="20"/>
          <w:szCs w:val="20"/>
        </w:rPr>
        <w:t>Nouvelle Histoire de l’Église</w:t>
      </w:r>
      <w:r>
        <w:rPr>
          <w:sz w:val="20"/>
          <w:szCs w:val="20"/>
        </w:rPr>
        <w:t>, t. 5, Paris, Seuil, 1975, p. 653 (R. Aubert).</w:t>
      </w:r>
    </w:p>
  </w:footnote>
  <w:footnote w:id="31">
    <w:p w14:paraId="7F49BED8" w14:textId="2B105789" w:rsidR="00F03D1D" w:rsidRPr="00E9075C" w:rsidRDefault="00F03D1D" w:rsidP="00E9075C">
      <w:pPr>
        <w:pStyle w:val="Notedebasdepage"/>
        <w:jc w:val="both"/>
        <w:rPr>
          <w:sz w:val="20"/>
          <w:szCs w:val="20"/>
        </w:rPr>
      </w:pPr>
      <w:r w:rsidRPr="00E9075C">
        <w:rPr>
          <w:rStyle w:val="Appelnotedebasdep"/>
          <w:sz w:val="20"/>
          <w:szCs w:val="20"/>
        </w:rPr>
        <w:footnoteRef/>
      </w:r>
      <w:r w:rsidRPr="00E9075C">
        <w:rPr>
          <w:sz w:val="20"/>
          <w:szCs w:val="20"/>
        </w:rPr>
        <w:t xml:space="preserve"> </w:t>
      </w:r>
      <w:r>
        <w:rPr>
          <w:sz w:val="20"/>
          <w:szCs w:val="20"/>
        </w:rPr>
        <w:t xml:space="preserve">Le fait ne manqua pas d’inquiéter les autorités romaines, pour lesquelles </w:t>
      </w:r>
      <w:proofErr w:type="spellStart"/>
      <w:r>
        <w:rPr>
          <w:sz w:val="20"/>
          <w:szCs w:val="20"/>
        </w:rPr>
        <w:t>Congar</w:t>
      </w:r>
      <w:proofErr w:type="spellEnd"/>
      <w:r>
        <w:rPr>
          <w:sz w:val="20"/>
          <w:szCs w:val="20"/>
        </w:rPr>
        <w:t xml:space="preserve"> devint suspect dès cette époque, cf. Y. </w:t>
      </w:r>
      <w:proofErr w:type="spellStart"/>
      <w:r>
        <w:rPr>
          <w:sz w:val="20"/>
          <w:szCs w:val="20"/>
        </w:rPr>
        <w:t>C</w:t>
      </w:r>
      <w:r w:rsidRPr="00F33601">
        <w:rPr>
          <w:smallCaps/>
          <w:sz w:val="20"/>
          <w:szCs w:val="20"/>
        </w:rPr>
        <w:t>ongar</w:t>
      </w:r>
      <w:proofErr w:type="spellEnd"/>
      <w:r>
        <w:rPr>
          <w:sz w:val="20"/>
          <w:szCs w:val="20"/>
        </w:rPr>
        <w:t xml:space="preserve">, </w:t>
      </w:r>
      <w:r w:rsidRPr="00F33601">
        <w:rPr>
          <w:i/>
          <w:sz w:val="20"/>
          <w:szCs w:val="20"/>
        </w:rPr>
        <w:t>Une passion : l’unité</w:t>
      </w:r>
      <w:r w:rsidR="00AD2A37">
        <w:rPr>
          <w:sz w:val="20"/>
          <w:szCs w:val="20"/>
        </w:rPr>
        <w:t>,</w:t>
      </w:r>
      <w:r>
        <w:rPr>
          <w:sz w:val="20"/>
          <w:szCs w:val="20"/>
        </w:rPr>
        <w:t xml:space="preserve"> p. 54 </w:t>
      </w:r>
      <w:proofErr w:type="spellStart"/>
      <w:r>
        <w:rPr>
          <w:sz w:val="20"/>
          <w:szCs w:val="20"/>
        </w:rPr>
        <w:t>ss</w:t>
      </w:r>
      <w:proofErr w:type="spellEnd"/>
      <w:r>
        <w:rPr>
          <w:sz w:val="20"/>
          <w:szCs w:val="20"/>
        </w:rPr>
        <w:t xml:space="preserve"> ; </w:t>
      </w:r>
      <w:r w:rsidRPr="00EE36A3">
        <w:rPr>
          <w:sz w:val="20"/>
          <w:szCs w:val="20"/>
        </w:rPr>
        <w:t>J. P</w:t>
      </w:r>
      <w:r w:rsidRPr="00EE36A3">
        <w:rPr>
          <w:smallCaps/>
          <w:sz w:val="20"/>
          <w:szCs w:val="20"/>
        </w:rPr>
        <w:t>uyo</w:t>
      </w:r>
      <w:r w:rsidRPr="00EE36A3">
        <w:rPr>
          <w:sz w:val="20"/>
          <w:szCs w:val="20"/>
        </w:rPr>
        <w:t xml:space="preserve">, </w:t>
      </w:r>
      <w:r w:rsidRPr="00EE36A3">
        <w:rPr>
          <w:i/>
          <w:sz w:val="20"/>
          <w:szCs w:val="20"/>
        </w:rPr>
        <w:t xml:space="preserve">op. </w:t>
      </w:r>
      <w:proofErr w:type="spellStart"/>
      <w:proofErr w:type="gramStart"/>
      <w:r w:rsidRPr="00EE36A3">
        <w:rPr>
          <w:i/>
          <w:sz w:val="20"/>
          <w:szCs w:val="20"/>
        </w:rPr>
        <w:t>cit</w:t>
      </w:r>
      <w:proofErr w:type="spellEnd"/>
      <w:proofErr w:type="gramEnd"/>
      <w:r w:rsidRPr="00EE36A3">
        <w:rPr>
          <w:i/>
          <w:sz w:val="20"/>
          <w:szCs w:val="20"/>
        </w:rPr>
        <w:t>.</w:t>
      </w:r>
      <w:r w:rsidRPr="00EE36A3">
        <w:rPr>
          <w:sz w:val="20"/>
          <w:szCs w:val="20"/>
        </w:rPr>
        <w:t xml:space="preserve">, p. </w:t>
      </w:r>
      <w:r>
        <w:rPr>
          <w:sz w:val="20"/>
          <w:szCs w:val="20"/>
        </w:rPr>
        <w:t xml:space="preserve">100 </w:t>
      </w:r>
      <w:proofErr w:type="spellStart"/>
      <w:r>
        <w:rPr>
          <w:sz w:val="20"/>
          <w:szCs w:val="20"/>
        </w:rPr>
        <w:t>ss</w:t>
      </w:r>
      <w:proofErr w:type="spellEnd"/>
      <w:r>
        <w:rPr>
          <w:sz w:val="20"/>
          <w:szCs w:val="20"/>
        </w:rPr>
        <w:t>.</w:t>
      </w:r>
    </w:p>
  </w:footnote>
  <w:footnote w:id="32">
    <w:p w14:paraId="367455AE" w14:textId="3CC2788A" w:rsidR="00F03D1D" w:rsidRPr="000510A1" w:rsidRDefault="00F03D1D" w:rsidP="00C015C8">
      <w:pPr>
        <w:pStyle w:val="Notedebasdepage"/>
        <w:jc w:val="both"/>
        <w:rPr>
          <w:sz w:val="20"/>
          <w:szCs w:val="20"/>
        </w:rPr>
      </w:pPr>
      <w:r w:rsidRPr="00C015C8">
        <w:rPr>
          <w:rStyle w:val="Appelnotedebasdep"/>
          <w:sz w:val="20"/>
          <w:szCs w:val="20"/>
        </w:rPr>
        <w:footnoteRef/>
      </w:r>
      <w:r w:rsidRPr="00C015C8">
        <w:rPr>
          <w:sz w:val="20"/>
          <w:szCs w:val="20"/>
        </w:rPr>
        <w:t xml:space="preserve"> </w:t>
      </w:r>
      <w:r w:rsidRPr="00C015C8">
        <w:rPr>
          <w:i/>
          <w:sz w:val="20"/>
          <w:szCs w:val="20"/>
        </w:rPr>
        <w:t>Chrétiens désunis</w:t>
      </w:r>
      <w:r>
        <w:rPr>
          <w:sz w:val="20"/>
          <w:szCs w:val="20"/>
        </w:rPr>
        <w:t>, p. 402.</w:t>
      </w:r>
    </w:p>
  </w:footnote>
  <w:footnote w:id="33">
    <w:p w14:paraId="019F7612" w14:textId="224D7764" w:rsidR="00F03D1D" w:rsidRPr="000510A1" w:rsidRDefault="00F03D1D" w:rsidP="000510A1">
      <w:pPr>
        <w:pStyle w:val="Notedebasdepage"/>
        <w:jc w:val="both"/>
        <w:rPr>
          <w:sz w:val="20"/>
          <w:szCs w:val="20"/>
        </w:rPr>
      </w:pPr>
      <w:r w:rsidRPr="000510A1">
        <w:rPr>
          <w:rStyle w:val="Appelnotedebasdep"/>
          <w:sz w:val="20"/>
          <w:szCs w:val="20"/>
        </w:rPr>
        <w:footnoteRef/>
      </w:r>
      <w:r w:rsidRPr="000510A1">
        <w:rPr>
          <w:sz w:val="20"/>
          <w:szCs w:val="20"/>
        </w:rPr>
        <w:t xml:space="preserve"> </w:t>
      </w:r>
      <w:r>
        <w:rPr>
          <w:sz w:val="20"/>
          <w:szCs w:val="20"/>
        </w:rPr>
        <w:t xml:space="preserve">Y. </w:t>
      </w:r>
      <w:proofErr w:type="spellStart"/>
      <w:r>
        <w:rPr>
          <w:sz w:val="20"/>
          <w:szCs w:val="20"/>
        </w:rPr>
        <w:t>C</w:t>
      </w:r>
      <w:r w:rsidRPr="000510A1">
        <w:rPr>
          <w:smallCaps/>
          <w:sz w:val="20"/>
          <w:szCs w:val="20"/>
        </w:rPr>
        <w:t>ongar</w:t>
      </w:r>
      <w:proofErr w:type="spellEnd"/>
      <w:r>
        <w:rPr>
          <w:sz w:val="20"/>
          <w:szCs w:val="20"/>
        </w:rPr>
        <w:t xml:space="preserve">, </w:t>
      </w:r>
      <w:r w:rsidRPr="000510A1">
        <w:rPr>
          <w:i/>
          <w:sz w:val="20"/>
          <w:szCs w:val="20"/>
        </w:rPr>
        <w:t>Diversités et communion. Dossier historique et conclusion théologique</w:t>
      </w:r>
      <w:r>
        <w:rPr>
          <w:sz w:val="20"/>
          <w:szCs w:val="20"/>
        </w:rPr>
        <w:t xml:space="preserve"> (</w:t>
      </w:r>
      <w:proofErr w:type="spellStart"/>
      <w:r>
        <w:rPr>
          <w:sz w:val="20"/>
          <w:szCs w:val="20"/>
        </w:rPr>
        <w:t>Cogitatio</w:t>
      </w:r>
      <w:proofErr w:type="spellEnd"/>
      <w:r>
        <w:rPr>
          <w:sz w:val="20"/>
          <w:szCs w:val="20"/>
        </w:rPr>
        <w:t xml:space="preserve"> </w:t>
      </w:r>
      <w:proofErr w:type="spellStart"/>
      <w:r>
        <w:rPr>
          <w:sz w:val="20"/>
          <w:szCs w:val="20"/>
        </w:rPr>
        <w:t>fidei</w:t>
      </w:r>
      <w:proofErr w:type="spellEnd"/>
      <w:r>
        <w:rPr>
          <w:sz w:val="20"/>
          <w:szCs w:val="20"/>
        </w:rPr>
        <w:t>, 112), Paris, Cerf, 1982.</w:t>
      </w:r>
    </w:p>
  </w:footnote>
  <w:footnote w:id="34">
    <w:p w14:paraId="4B08AACE" w14:textId="2CFADB31" w:rsidR="00F03D1D" w:rsidRPr="000516BB" w:rsidRDefault="00F03D1D" w:rsidP="00686996">
      <w:pPr>
        <w:pStyle w:val="Notedebasdepage"/>
        <w:jc w:val="both"/>
        <w:rPr>
          <w:sz w:val="20"/>
          <w:szCs w:val="20"/>
        </w:rPr>
      </w:pPr>
      <w:r w:rsidRPr="00686996">
        <w:rPr>
          <w:rStyle w:val="Appelnotedebasdep"/>
          <w:sz w:val="20"/>
          <w:szCs w:val="20"/>
        </w:rPr>
        <w:footnoteRef/>
      </w:r>
      <w:r w:rsidRPr="00686996">
        <w:rPr>
          <w:sz w:val="20"/>
          <w:szCs w:val="20"/>
        </w:rPr>
        <w:t xml:space="preserve"> </w:t>
      </w:r>
      <w:r>
        <w:rPr>
          <w:sz w:val="20"/>
          <w:szCs w:val="20"/>
        </w:rPr>
        <w:t xml:space="preserve">Y. </w:t>
      </w:r>
      <w:proofErr w:type="spellStart"/>
      <w:r>
        <w:rPr>
          <w:sz w:val="20"/>
          <w:szCs w:val="20"/>
        </w:rPr>
        <w:t>C</w:t>
      </w:r>
      <w:r w:rsidRPr="000510A1">
        <w:rPr>
          <w:smallCaps/>
          <w:sz w:val="20"/>
          <w:szCs w:val="20"/>
        </w:rPr>
        <w:t>ongar</w:t>
      </w:r>
      <w:proofErr w:type="spellEnd"/>
      <w:r>
        <w:rPr>
          <w:sz w:val="20"/>
          <w:szCs w:val="20"/>
        </w:rPr>
        <w:t xml:space="preserve">, </w:t>
      </w:r>
      <w:r w:rsidRPr="000510A1">
        <w:rPr>
          <w:i/>
          <w:sz w:val="20"/>
          <w:szCs w:val="20"/>
        </w:rPr>
        <w:t>Diversités et communion</w:t>
      </w:r>
      <w:r>
        <w:rPr>
          <w:sz w:val="20"/>
          <w:szCs w:val="20"/>
        </w:rPr>
        <w:t>, p. 64.</w:t>
      </w:r>
    </w:p>
  </w:footnote>
  <w:footnote w:id="35">
    <w:p w14:paraId="73C39E03" w14:textId="56AD032A" w:rsidR="00F03D1D" w:rsidRPr="00D828BB" w:rsidRDefault="00F03D1D" w:rsidP="00D828BB">
      <w:pPr>
        <w:pStyle w:val="Notedebasdepage"/>
        <w:jc w:val="both"/>
        <w:rPr>
          <w:sz w:val="20"/>
          <w:szCs w:val="20"/>
        </w:rPr>
      </w:pPr>
      <w:r w:rsidRPr="00D828BB">
        <w:rPr>
          <w:rStyle w:val="Appelnotedebasdep"/>
          <w:sz w:val="20"/>
          <w:szCs w:val="20"/>
        </w:rPr>
        <w:footnoteRef/>
      </w:r>
      <w:r w:rsidRPr="00D828BB">
        <w:rPr>
          <w:sz w:val="20"/>
          <w:szCs w:val="20"/>
        </w:rPr>
        <w:t xml:space="preserve"> </w:t>
      </w:r>
      <w:r>
        <w:rPr>
          <w:sz w:val="20"/>
          <w:szCs w:val="20"/>
        </w:rPr>
        <w:t>« Puisque aucune expression n’est totalement adéquate à son Donné ou à sa visée finale, plusieurs expressions sont possibles, et même souhaitables » (</w:t>
      </w:r>
      <w:r w:rsidRPr="00D828BB">
        <w:rPr>
          <w:i/>
          <w:sz w:val="20"/>
          <w:szCs w:val="20"/>
        </w:rPr>
        <w:t>ibid.</w:t>
      </w:r>
      <w:r>
        <w:rPr>
          <w:sz w:val="20"/>
          <w:szCs w:val="20"/>
        </w:rPr>
        <w:t>, p. 65).</w:t>
      </w:r>
    </w:p>
  </w:footnote>
  <w:footnote w:id="36">
    <w:p w14:paraId="307E85C6" w14:textId="7814AA34" w:rsidR="00F03D1D" w:rsidRPr="00EA67EB" w:rsidRDefault="00F03D1D" w:rsidP="00D828BB">
      <w:pPr>
        <w:pStyle w:val="Notedebasdepage"/>
        <w:jc w:val="both"/>
        <w:rPr>
          <w:sz w:val="20"/>
          <w:szCs w:val="20"/>
        </w:rPr>
      </w:pPr>
      <w:r w:rsidRPr="00D828BB">
        <w:rPr>
          <w:rStyle w:val="Appelnotedebasdep"/>
          <w:sz w:val="20"/>
          <w:szCs w:val="20"/>
        </w:rPr>
        <w:footnoteRef/>
      </w:r>
      <w:r w:rsidRPr="00D828BB">
        <w:rPr>
          <w:sz w:val="20"/>
          <w:szCs w:val="20"/>
        </w:rPr>
        <w:t xml:space="preserve"> </w:t>
      </w:r>
      <w:r w:rsidRPr="00D828BB">
        <w:rPr>
          <w:i/>
          <w:sz w:val="20"/>
          <w:szCs w:val="20"/>
        </w:rPr>
        <w:t>Ibid.</w:t>
      </w:r>
      <w:r>
        <w:rPr>
          <w:sz w:val="20"/>
          <w:szCs w:val="20"/>
        </w:rPr>
        <w:t>, p. 68.</w:t>
      </w:r>
    </w:p>
  </w:footnote>
  <w:footnote w:id="37">
    <w:p w14:paraId="4F1116C7" w14:textId="2F4AB297" w:rsidR="00F03D1D" w:rsidRPr="00EA67EB" w:rsidRDefault="00F03D1D" w:rsidP="00BF3F6B">
      <w:pPr>
        <w:pStyle w:val="Notedebasdepage"/>
        <w:jc w:val="both"/>
        <w:rPr>
          <w:sz w:val="20"/>
          <w:szCs w:val="20"/>
        </w:rPr>
      </w:pPr>
      <w:r w:rsidRPr="00BF3F6B">
        <w:rPr>
          <w:rStyle w:val="Appelnotedebasdep"/>
          <w:sz w:val="20"/>
          <w:szCs w:val="20"/>
        </w:rPr>
        <w:footnoteRef/>
      </w:r>
      <w:r w:rsidRPr="00BF3F6B">
        <w:rPr>
          <w:sz w:val="20"/>
          <w:szCs w:val="20"/>
        </w:rPr>
        <w:t xml:space="preserve"> </w:t>
      </w:r>
      <w:r w:rsidRPr="00D828BB">
        <w:rPr>
          <w:i/>
          <w:sz w:val="20"/>
          <w:szCs w:val="20"/>
        </w:rPr>
        <w:t>Ibid.</w:t>
      </w:r>
      <w:r>
        <w:rPr>
          <w:sz w:val="20"/>
          <w:szCs w:val="20"/>
        </w:rPr>
        <w:t>, p. 238.</w:t>
      </w:r>
    </w:p>
  </w:footnote>
  <w:footnote w:id="38">
    <w:p w14:paraId="02446BFF" w14:textId="4E1A1EDF" w:rsidR="00F03D1D" w:rsidRPr="00BC24B9" w:rsidRDefault="00F03D1D" w:rsidP="00AB3D19">
      <w:pPr>
        <w:pStyle w:val="Notedebasdepage"/>
        <w:jc w:val="both"/>
        <w:rPr>
          <w:sz w:val="20"/>
          <w:szCs w:val="20"/>
        </w:rPr>
      </w:pPr>
      <w:r w:rsidRPr="00AB3D19">
        <w:rPr>
          <w:rStyle w:val="Appelnotedebasdep"/>
          <w:sz w:val="20"/>
          <w:szCs w:val="20"/>
        </w:rPr>
        <w:footnoteRef/>
      </w:r>
      <w:r w:rsidRPr="00AB3D19">
        <w:rPr>
          <w:sz w:val="20"/>
          <w:szCs w:val="20"/>
        </w:rPr>
        <w:t xml:space="preserve"> </w:t>
      </w:r>
      <w:r>
        <w:rPr>
          <w:sz w:val="20"/>
          <w:szCs w:val="20"/>
        </w:rPr>
        <w:t xml:space="preserve">Pour le relevé de l’immense bibliographie </w:t>
      </w:r>
      <w:proofErr w:type="spellStart"/>
      <w:r>
        <w:rPr>
          <w:sz w:val="20"/>
          <w:szCs w:val="20"/>
        </w:rPr>
        <w:t>congarienne</w:t>
      </w:r>
      <w:proofErr w:type="spellEnd"/>
      <w:r>
        <w:rPr>
          <w:sz w:val="20"/>
          <w:szCs w:val="20"/>
        </w:rPr>
        <w:t xml:space="preserve"> (quelque 1790 titres), cf. P. </w:t>
      </w:r>
      <w:proofErr w:type="spellStart"/>
      <w:r>
        <w:rPr>
          <w:sz w:val="20"/>
          <w:szCs w:val="20"/>
        </w:rPr>
        <w:t>Q</w:t>
      </w:r>
      <w:r w:rsidRPr="00867FE2">
        <w:rPr>
          <w:smallCaps/>
          <w:sz w:val="20"/>
          <w:szCs w:val="20"/>
        </w:rPr>
        <w:t>uattrocchi</w:t>
      </w:r>
      <w:proofErr w:type="spellEnd"/>
      <w:r>
        <w:rPr>
          <w:sz w:val="20"/>
          <w:szCs w:val="20"/>
        </w:rPr>
        <w:t xml:space="preserve">, « Bibliographie générale du Père Yves M.-J. </w:t>
      </w:r>
      <w:proofErr w:type="spellStart"/>
      <w:r>
        <w:rPr>
          <w:sz w:val="20"/>
          <w:szCs w:val="20"/>
        </w:rPr>
        <w:t>Congar</w:t>
      </w:r>
      <w:proofErr w:type="spellEnd"/>
      <w:r>
        <w:rPr>
          <w:sz w:val="20"/>
          <w:szCs w:val="20"/>
        </w:rPr>
        <w:t xml:space="preserve"> », dans J.-P. </w:t>
      </w:r>
      <w:proofErr w:type="spellStart"/>
      <w:r>
        <w:rPr>
          <w:sz w:val="20"/>
          <w:szCs w:val="20"/>
        </w:rPr>
        <w:t>J</w:t>
      </w:r>
      <w:r w:rsidRPr="00867FE2">
        <w:rPr>
          <w:smallCaps/>
          <w:sz w:val="20"/>
          <w:szCs w:val="20"/>
        </w:rPr>
        <w:t>ossua</w:t>
      </w:r>
      <w:proofErr w:type="spellEnd"/>
      <w:r>
        <w:rPr>
          <w:sz w:val="20"/>
          <w:szCs w:val="20"/>
        </w:rPr>
        <w:t xml:space="preserve">, </w:t>
      </w:r>
      <w:r w:rsidRPr="00867FE2">
        <w:rPr>
          <w:i/>
          <w:sz w:val="20"/>
          <w:szCs w:val="20"/>
        </w:rPr>
        <w:t xml:space="preserve">Le Père </w:t>
      </w:r>
      <w:proofErr w:type="spellStart"/>
      <w:r w:rsidRPr="00867FE2">
        <w:rPr>
          <w:i/>
          <w:sz w:val="20"/>
          <w:szCs w:val="20"/>
        </w:rPr>
        <w:t>Congar</w:t>
      </w:r>
      <w:proofErr w:type="spellEnd"/>
      <w:r w:rsidRPr="00867FE2">
        <w:rPr>
          <w:i/>
          <w:sz w:val="20"/>
          <w:szCs w:val="20"/>
        </w:rPr>
        <w:t>. La théologie au service du Peuple de Dieu</w:t>
      </w:r>
      <w:r>
        <w:rPr>
          <w:sz w:val="20"/>
          <w:szCs w:val="20"/>
        </w:rPr>
        <w:t xml:space="preserve"> (Chrétiens de tous les temps, 20), Paris, Cerf, 1967, p. 219-270 ; A. N</w:t>
      </w:r>
      <w:r w:rsidRPr="00867FE2">
        <w:rPr>
          <w:smallCaps/>
          <w:sz w:val="20"/>
          <w:szCs w:val="20"/>
        </w:rPr>
        <w:t>ichols</w:t>
      </w:r>
      <w:r>
        <w:rPr>
          <w:sz w:val="20"/>
          <w:szCs w:val="20"/>
        </w:rPr>
        <w:t xml:space="preserve">, « An Yves </w:t>
      </w:r>
      <w:proofErr w:type="spellStart"/>
      <w:r>
        <w:rPr>
          <w:sz w:val="20"/>
          <w:szCs w:val="20"/>
        </w:rPr>
        <w:t>Congar</w:t>
      </w:r>
      <w:proofErr w:type="spellEnd"/>
      <w:r>
        <w:rPr>
          <w:sz w:val="20"/>
          <w:szCs w:val="20"/>
        </w:rPr>
        <w:t xml:space="preserve"> </w:t>
      </w:r>
      <w:proofErr w:type="spellStart"/>
      <w:r>
        <w:rPr>
          <w:sz w:val="20"/>
          <w:szCs w:val="20"/>
        </w:rPr>
        <w:t>Bibliography</w:t>
      </w:r>
      <w:proofErr w:type="spellEnd"/>
      <w:r>
        <w:rPr>
          <w:sz w:val="20"/>
          <w:szCs w:val="20"/>
        </w:rPr>
        <w:t xml:space="preserve"> 1967-1987) », dans </w:t>
      </w:r>
      <w:proofErr w:type="spellStart"/>
      <w:r w:rsidRPr="00867FE2">
        <w:rPr>
          <w:i/>
          <w:sz w:val="20"/>
          <w:szCs w:val="20"/>
        </w:rPr>
        <w:t>Angelicum</w:t>
      </w:r>
      <w:proofErr w:type="spellEnd"/>
      <w:r>
        <w:rPr>
          <w:sz w:val="20"/>
          <w:szCs w:val="20"/>
        </w:rPr>
        <w:t xml:space="preserve"> 66 (1989) 422-466.</w:t>
      </w:r>
    </w:p>
  </w:footnote>
  <w:footnote w:id="39">
    <w:p w14:paraId="6B8AC3D9" w14:textId="60BD3765" w:rsidR="00F03D1D" w:rsidRPr="00201E05" w:rsidRDefault="00F03D1D" w:rsidP="00201E05">
      <w:pPr>
        <w:pStyle w:val="Notedebasdepage"/>
        <w:jc w:val="both"/>
        <w:rPr>
          <w:sz w:val="20"/>
          <w:szCs w:val="20"/>
        </w:rPr>
      </w:pPr>
      <w:r w:rsidRPr="00201E05">
        <w:rPr>
          <w:rStyle w:val="Appelnotedebasdep"/>
          <w:sz w:val="20"/>
          <w:szCs w:val="20"/>
        </w:rPr>
        <w:footnoteRef/>
      </w:r>
      <w:r w:rsidRPr="00201E05">
        <w:rPr>
          <w:sz w:val="20"/>
          <w:szCs w:val="20"/>
        </w:rPr>
        <w:t xml:space="preserve"> </w:t>
      </w:r>
      <w:r>
        <w:rPr>
          <w:sz w:val="20"/>
          <w:szCs w:val="20"/>
        </w:rPr>
        <w:t xml:space="preserve">Cf. Y. </w:t>
      </w:r>
      <w:proofErr w:type="spellStart"/>
      <w:r>
        <w:rPr>
          <w:sz w:val="20"/>
          <w:szCs w:val="20"/>
        </w:rPr>
        <w:t>C</w:t>
      </w:r>
      <w:r w:rsidRPr="00201E05">
        <w:rPr>
          <w:smallCaps/>
          <w:sz w:val="20"/>
          <w:szCs w:val="20"/>
        </w:rPr>
        <w:t>ongar</w:t>
      </w:r>
      <w:proofErr w:type="spellEnd"/>
      <w:r>
        <w:rPr>
          <w:sz w:val="20"/>
          <w:szCs w:val="20"/>
        </w:rPr>
        <w:t xml:space="preserve">, </w:t>
      </w:r>
      <w:r w:rsidRPr="00201E05">
        <w:rPr>
          <w:i/>
          <w:sz w:val="20"/>
          <w:szCs w:val="20"/>
        </w:rPr>
        <w:t>Chrétiens désunis</w:t>
      </w:r>
      <w:r>
        <w:rPr>
          <w:sz w:val="20"/>
          <w:szCs w:val="20"/>
        </w:rPr>
        <w:t> ; I</w:t>
      </w:r>
      <w:r w:rsidRPr="00201E05">
        <w:rPr>
          <w:smallCaps/>
          <w:sz w:val="20"/>
          <w:szCs w:val="20"/>
        </w:rPr>
        <w:t>d</w:t>
      </w:r>
      <w:r>
        <w:rPr>
          <w:sz w:val="20"/>
          <w:szCs w:val="20"/>
        </w:rPr>
        <w:t xml:space="preserve">., </w:t>
      </w:r>
      <w:r w:rsidRPr="00201E05">
        <w:rPr>
          <w:i/>
          <w:sz w:val="20"/>
          <w:szCs w:val="20"/>
        </w:rPr>
        <w:t>Esquisses du Mystère de l’Église</w:t>
      </w:r>
      <w:r>
        <w:rPr>
          <w:sz w:val="20"/>
          <w:szCs w:val="20"/>
        </w:rPr>
        <w:t xml:space="preserve"> (</w:t>
      </w:r>
      <w:proofErr w:type="spellStart"/>
      <w:r>
        <w:rPr>
          <w:sz w:val="20"/>
          <w:szCs w:val="20"/>
        </w:rPr>
        <w:t>Unam</w:t>
      </w:r>
      <w:proofErr w:type="spellEnd"/>
      <w:r>
        <w:rPr>
          <w:sz w:val="20"/>
          <w:szCs w:val="20"/>
        </w:rPr>
        <w:t xml:space="preserve"> </w:t>
      </w:r>
      <w:proofErr w:type="spellStart"/>
      <w:r>
        <w:rPr>
          <w:sz w:val="20"/>
          <w:szCs w:val="20"/>
        </w:rPr>
        <w:t>Sanctam</w:t>
      </w:r>
      <w:proofErr w:type="spellEnd"/>
      <w:r>
        <w:rPr>
          <w:sz w:val="20"/>
          <w:szCs w:val="20"/>
        </w:rPr>
        <w:t>, 8), Paris, Cerf, 1941.</w:t>
      </w:r>
    </w:p>
  </w:footnote>
  <w:footnote w:id="40">
    <w:p w14:paraId="4666ABBA" w14:textId="67A070D6" w:rsidR="00F03D1D" w:rsidRPr="00EA67EB" w:rsidRDefault="00F03D1D" w:rsidP="00EB22F8">
      <w:pPr>
        <w:pStyle w:val="Notedebasdepage"/>
        <w:jc w:val="both"/>
        <w:rPr>
          <w:sz w:val="20"/>
          <w:szCs w:val="20"/>
        </w:rPr>
      </w:pPr>
      <w:r w:rsidRPr="00EB22F8">
        <w:rPr>
          <w:rStyle w:val="Appelnotedebasdep"/>
          <w:sz w:val="20"/>
          <w:szCs w:val="20"/>
        </w:rPr>
        <w:footnoteRef/>
      </w:r>
      <w:r w:rsidRPr="00EB22F8">
        <w:rPr>
          <w:sz w:val="20"/>
          <w:szCs w:val="20"/>
        </w:rPr>
        <w:t xml:space="preserve"> </w:t>
      </w:r>
      <w:r>
        <w:rPr>
          <w:sz w:val="20"/>
          <w:szCs w:val="20"/>
        </w:rPr>
        <w:t>(</w:t>
      </w:r>
      <w:proofErr w:type="spellStart"/>
      <w:r>
        <w:rPr>
          <w:sz w:val="20"/>
          <w:szCs w:val="20"/>
        </w:rPr>
        <w:t>Unam</w:t>
      </w:r>
      <w:proofErr w:type="spellEnd"/>
      <w:r>
        <w:rPr>
          <w:sz w:val="20"/>
          <w:szCs w:val="20"/>
        </w:rPr>
        <w:t xml:space="preserve"> </w:t>
      </w:r>
      <w:proofErr w:type="spellStart"/>
      <w:r>
        <w:rPr>
          <w:sz w:val="20"/>
          <w:szCs w:val="20"/>
        </w:rPr>
        <w:t>Sanctam</w:t>
      </w:r>
      <w:proofErr w:type="spellEnd"/>
      <w:r>
        <w:rPr>
          <w:sz w:val="20"/>
          <w:szCs w:val="20"/>
        </w:rPr>
        <w:t>, 23), Paris, Cerf, 1953.</w:t>
      </w:r>
    </w:p>
  </w:footnote>
  <w:footnote w:id="41">
    <w:p w14:paraId="15A75C81" w14:textId="18D5F8A6" w:rsidR="00F03D1D" w:rsidRPr="00EA67EB" w:rsidRDefault="00F03D1D" w:rsidP="00254747">
      <w:pPr>
        <w:pStyle w:val="Notedebasdepage"/>
        <w:jc w:val="both"/>
        <w:rPr>
          <w:sz w:val="20"/>
          <w:szCs w:val="20"/>
        </w:rPr>
      </w:pPr>
      <w:r w:rsidRPr="00254747">
        <w:rPr>
          <w:rStyle w:val="Appelnotedebasdep"/>
          <w:sz w:val="20"/>
          <w:szCs w:val="20"/>
        </w:rPr>
        <w:footnoteRef/>
      </w:r>
      <w:r w:rsidRPr="00254747">
        <w:rPr>
          <w:sz w:val="20"/>
          <w:szCs w:val="20"/>
        </w:rPr>
        <w:t xml:space="preserve"> </w:t>
      </w:r>
      <w:r w:rsidRPr="00254747">
        <w:rPr>
          <w:i/>
          <w:sz w:val="20"/>
          <w:szCs w:val="20"/>
        </w:rPr>
        <w:t>Jalons</w:t>
      </w:r>
      <w:r>
        <w:rPr>
          <w:sz w:val="20"/>
          <w:szCs w:val="20"/>
        </w:rPr>
        <w:t>, p. 12.</w:t>
      </w:r>
    </w:p>
  </w:footnote>
  <w:footnote w:id="42">
    <w:p w14:paraId="51EC8279" w14:textId="6B0B18A9" w:rsidR="00F03D1D" w:rsidRPr="00504D72" w:rsidRDefault="00F03D1D" w:rsidP="007A6303">
      <w:pPr>
        <w:pStyle w:val="Notedebasdepage"/>
        <w:jc w:val="both"/>
        <w:rPr>
          <w:sz w:val="20"/>
          <w:szCs w:val="20"/>
        </w:rPr>
      </w:pPr>
      <w:r w:rsidRPr="007A6303">
        <w:rPr>
          <w:rStyle w:val="Appelnotedebasdep"/>
          <w:sz w:val="20"/>
          <w:szCs w:val="20"/>
        </w:rPr>
        <w:footnoteRef/>
      </w:r>
      <w:r w:rsidRPr="007A6303">
        <w:rPr>
          <w:sz w:val="20"/>
          <w:szCs w:val="20"/>
        </w:rPr>
        <w:t xml:space="preserve"> </w:t>
      </w:r>
      <w:r w:rsidRPr="007A6303">
        <w:rPr>
          <w:i/>
          <w:sz w:val="20"/>
          <w:szCs w:val="20"/>
        </w:rPr>
        <w:t>Ibid.</w:t>
      </w:r>
      <w:r>
        <w:rPr>
          <w:sz w:val="20"/>
          <w:szCs w:val="20"/>
        </w:rPr>
        <w:t>, p. 13 et 14.</w:t>
      </w:r>
    </w:p>
  </w:footnote>
  <w:footnote w:id="43">
    <w:p w14:paraId="67015C0E" w14:textId="2F80B47B" w:rsidR="00F03D1D" w:rsidRPr="00504D72" w:rsidRDefault="00F03D1D" w:rsidP="00504D72">
      <w:pPr>
        <w:pStyle w:val="Notedebasdepage"/>
        <w:jc w:val="both"/>
        <w:rPr>
          <w:sz w:val="20"/>
          <w:szCs w:val="20"/>
        </w:rPr>
      </w:pPr>
      <w:r w:rsidRPr="00504D72">
        <w:rPr>
          <w:rStyle w:val="Appelnotedebasdep"/>
          <w:sz w:val="20"/>
          <w:szCs w:val="20"/>
        </w:rPr>
        <w:footnoteRef/>
      </w:r>
      <w:r w:rsidRPr="00504D72">
        <w:rPr>
          <w:sz w:val="20"/>
          <w:szCs w:val="20"/>
        </w:rPr>
        <w:t xml:space="preserve"> </w:t>
      </w:r>
      <w:r w:rsidRPr="007A6303">
        <w:rPr>
          <w:i/>
          <w:sz w:val="20"/>
          <w:szCs w:val="20"/>
        </w:rPr>
        <w:t>Ibid.</w:t>
      </w:r>
      <w:r>
        <w:rPr>
          <w:sz w:val="20"/>
          <w:szCs w:val="20"/>
        </w:rPr>
        <w:t>, p. 15 et 16.</w:t>
      </w:r>
    </w:p>
  </w:footnote>
  <w:footnote w:id="44">
    <w:p w14:paraId="5262B4CC" w14:textId="26E54509" w:rsidR="00F03D1D" w:rsidRPr="00BE6FFE" w:rsidRDefault="00F03D1D" w:rsidP="00BE6FFE">
      <w:pPr>
        <w:pStyle w:val="Notedebasdepage"/>
        <w:jc w:val="both"/>
        <w:rPr>
          <w:sz w:val="20"/>
          <w:szCs w:val="20"/>
        </w:rPr>
      </w:pPr>
      <w:r w:rsidRPr="00BE6FFE">
        <w:rPr>
          <w:rStyle w:val="Appelnotedebasdep"/>
          <w:sz w:val="20"/>
          <w:szCs w:val="20"/>
        </w:rPr>
        <w:footnoteRef/>
      </w:r>
      <w:r w:rsidRPr="00BE6FFE">
        <w:rPr>
          <w:sz w:val="20"/>
          <w:szCs w:val="20"/>
        </w:rPr>
        <w:t xml:space="preserve"> </w:t>
      </w:r>
      <w:r w:rsidRPr="007A6303">
        <w:rPr>
          <w:i/>
          <w:sz w:val="20"/>
          <w:szCs w:val="20"/>
        </w:rPr>
        <w:t>Ibid.</w:t>
      </w:r>
      <w:r>
        <w:rPr>
          <w:sz w:val="20"/>
          <w:szCs w:val="20"/>
        </w:rPr>
        <w:t>, p. 17.</w:t>
      </w:r>
    </w:p>
  </w:footnote>
  <w:footnote w:id="45">
    <w:p w14:paraId="115674FA" w14:textId="41F8BEBA" w:rsidR="00F03D1D" w:rsidRPr="008F23B5" w:rsidRDefault="00F03D1D" w:rsidP="008F23B5">
      <w:pPr>
        <w:pStyle w:val="Notedebasdepage"/>
        <w:jc w:val="both"/>
        <w:rPr>
          <w:sz w:val="20"/>
          <w:szCs w:val="20"/>
        </w:rPr>
      </w:pPr>
      <w:r w:rsidRPr="008F23B5">
        <w:rPr>
          <w:rStyle w:val="Appelnotedebasdep"/>
          <w:sz w:val="20"/>
          <w:szCs w:val="20"/>
        </w:rPr>
        <w:footnoteRef/>
      </w:r>
      <w:r w:rsidRPr="008F23B5">
        <w:rPr>
          <w:sz w:val="20"/>
          <w:szCs w:val="20"/>
        </w:rPr>
        <w:t xml:space="preserve"> </w:t>
      </w:r>
      <w:r>
        <w:rPr>
          <w:sz w:val="20"/>
          <w:szCs w:val="20"/>
        </w:rPr>
        <w:t xml:space="preserve">Y. </w:t>
      </w:r>
      <w:proofErr w:type="spellStart"/>
      <w:r>
        <w:rPr>
          <w:sz w:val="20"/>
          <w:szCs w:val="20"/>
        </w:rPr>
        <w:t>C</w:t>
      </w:r>
      <w:r w:rsidRPr="008F23B5">
        <w:rPr>
          <w:smallCaps/>
          <w:sz w:val="20"/>
          <w:szCs w:val="20"/>
        </w:rPr>
        <w:t>ongar</w:t>
      </w:r>
      <w:proofErr w:type="spellEnd"/>
      <w:r>
        <w:rPr>
          <w:sz w:val="20"/>
          <w:szCs w:val="20"/>
        </w:rPr>
        <w:t xml:space="preserve">, </w:t>
      </w:r>
      <w:r w:rsidRPr="008F23B5">
        <w:rPr>
          <w:i/>
          <w:sz w:val="20"/>
          <w:szCs w:val="20"/>
        </w:rPr>
        <w:t>La Tradition et les traditions</w:t>
      </w:r>
      <w:r>
        <w:rPr>
          <w:sz w:val="20"/>
          <w:szCs w:val="20"/>
        </w:rPr>
        <w:t xml:space="preserve">, t. I, </w:t>
      </w:r>
      <w:r w:rsidRPr="008F23B5">
        <w:rPr>
          <w:i/>
          <w:sz w:val="20"/>
          <w:szCs w:val="20"/>
        </w:rPr>
        <w:t>Essai historique</w:t>
      </w:r>
      <w:r>
        <w:rPr>
          <w:sz w:val="20"/>
          <w:szCs w:val="20"/>
        </w:rPr>
        <w:t xml:space="preserve">, Paris, Fayard, 1960 ; t. II, </w:t>
      </w:r>
      <w:r w:rsidRPr="008F23B5">
        <w:rPr>
          <w:i/>
          <w:sz w:val="20"/>
          <w:szCs w:val="20"/>
        </w:rPr>
        <w:t>Essai théologique</w:t>
      </w:r>
      <w:r>
        <w:rPr>
          <w:sz w:val="20"/>
          <w:szCs w:val="20"/>
        </w:rPr>
        <w:t>, Paris, Fayard, 1963.</w:t>
      </w:r>
    </w:p>
  </w:footnote>
  <w:footnote w:id="46">
    <w:p w14:paraId="7534D13B" w14:textId="3852FA0C" w:rsidR="00F03D1D" w:rsidRPr="00371443" w:rsidRDefault="00F03D1D" w:rsidP="00371443">
      <w:pPr>
        <w:pStyle w:val="Notedebasdepage"/>
        <w:jc w:val="both"/>
        <w:rPr>
          <w:sz w:val="20"/>
          <w:szCs w:val="20"/>
        </w:rPr>
      </w:pPr>
      <w:r w:rsidRPr="00371443">
        <w:rPr>
          <w:rStyle w:val="Appelnotedebasdep"/>
          <w:sz w:val="20"/>
          <w:szCs w:val="20"/>
        </w:rPr>
        <w:footnoteRef/>
      </w:r>
      <w:r w:rsidRPr="00371443">
        <w:rPr>
          <w:sz w:val="20"/>
          <w:szCs w:val="20"/>
        </w:rPr>
        <w:t xml:space="preserve"> </w:t>
      </w:r>
      <w:r>
        <w:rPr>
          <w:sz w:val="20"/>
          <w:szCs w:val="20"/>
        </w:rPr>
        <w:t xml:space="preserve">Voir, par exemple, Y. </w:t>
      </w:r>
      <w:proofErr w:type="spellStart"/>
      <w:r>
        <w:rPr>
          <w:sz w:val="20"/>
          <w:szCs w:val="20"/>
        </w:rPr>
        <w:t>C</w:t>
      </w:r>
      <w:r w:rsidRPr="00371443">
        <w:rPr>
          <w:smallCaps/>
          <w:sz w:val="20"/>
          <w:szCs w:val="20"/>
        </w:rPr>
        <w:t>ongar</w:t>
      </w:r>
      <w:proofErr w:type="spellEnd"/>
      <w:r>
        <w:rPr>
          <w:sz w:val="20"/>
          <w:szCs w:val="20"/>
        </w:rPr>
        <w:t xml:space="preserve">, </w:t>
      </w:r>
      <w:r w:rsidRPr="00371443">
        <w:rPr>
          <w:i/>
          <w:sz w:val="20"/>
          <w:szCs w:val="20"/>
        </w:rPr>
        <w:t>Ministères et communion ecclésiale</w:t>
      </w:r>
      <w:r>
        <w:rPr>
          <w:sz w:val="20"/>
          <w:szCs w:val="20"/>
        </w:rPr>
        <w:t xml:space="preserve"> (Théologie sans frontières, 23), Paris, Cerf, 1971.</w:t>
      </w:r>
    </w:p>
  </w:footnote>
  <w:footnote w:id="47">
    <w:p w14:paraId="67573B65" w14:textId="2490A1F2" w:rsidR="00F03D1D" w:rsidRPr="00E80691" w:rsidRDefault="00F03D1D" w:rsidP="00E80691">
      <w:pPr>
        <w:pStyle w:val="Notedebasdepage"/>
        <w:jc w:val="both"/>
        <w:rPr>
          <w:sz w:val="20"/>
          <w:szCs w:val="20"/>
        </w:rPr>
      </w:pPr>
      <w:r w:rsidRPr="00E80691">
        <w:rPr>
          <w:rStyle w:val="Appelnotedebasdep"/>
          <w:sz w:val="20"/>
          <w:szCs w:val="20"/>
        </w:rPr>
        <w:footnoteRef/>
      </w:r>
      <w:r w:rsidRPr="00E80691">
        <w:rPr>
          <w:sz w:val="20"/>
          <w:szCs w:val="20"/>
        </w:rPr>
        <w:t xml:space="preserve"> </w:t>
      </w:r>
      <w:r>
        <w:rPr>
          <w:sz w:val="20"/>
          <w:szCs w:val="20"/>
        </w:rPr>
        <w:t xml:space="preserve">Voir, par exemple, Y. </w:t>
      </w:r>
      <w:proofErr w:type="spellStart"/>
      <w:r>
        <w:rPr>
          <w:sz w:val="20"/>
          <w:szCs w:val="20"/>
        </w:rPr>
        <w:t>C</w:t>
      </w:r>
      <w:r w:rsidRPr="00E80691">
        <w:rPr>
          <w:smallCaps/>
          <w:sz w:val="20"/>
          <w:szCs w:val="20"/>
        </w:rPr>
        <w:t>ongar</w:t>
      </w:r>
      <w:proofErr w:type="spellEnd"/>
      <w:r>
        <w:rPr>
          <w:sz w:val="20"/>
          <w:szCs w:val="20"/>
        </w:rPr>
        <w:t xml:space="preserve">, </w:t>
      </w:r>
      <w:r w:rsidRPr="00E80691">
        <w:rPr>
          <w:i/>
          <w:sz w:val="20"/>
          <w:szCs w:val="20"/>
        </w:rPr>
        <w:t>L’Église. De saint Augustin à l’époque moderne</w:t>
      </w:r>
      <w:r>
        <w:rPr>
          <w:sz w:val="20"/>
          <w:szCs w:val="20"/>
        </w:rPr>
        <w:t xml:space="preserve"> (Histoire des dogmes, t. III/3, vol. 20), Paris, Cerf, 1970.</w:t>
      </w:r>
    </w:p>
  </w:footnote>
  <w:footnote w:id="48">
    <w:p w14:paraId="31515604" w14:textId="2AAAEB59" w:rsidR="00F03D1D" w:rsidRPr="00E80691" w:rsidRDefault="00F03D1D" w:rsidP="00E80691">
      <w:pPr>
        <w:pStyle w:val="Notedebasdepage"/>
        <w:jc w:val="both"/>
        <w:rPr>
          <w:sz w:val="20"/>
          <w:szCs w:val="20"/>
        </w:rPr>
      </w:pPr>
      <w:r w:rsidRPr="00E80691">
        <w:rPr>
          <w:rStyle w:val="Appelnotedebasdep"/>
          <w:sz w:val="20"/>
          <w:szCs w:val="20"/>
        </w:rPr>
        <w:footnoteRef/>
      </w:r>
      <w:r w:rsidRPr="00E80691">
        <w:rPr>
          <w:sz w:val="20"/>
          <w:szCs w:val="20"/>
        </w:rPr>
        <w:t xml:space="preserve"> </w:t>
      </w:r>
      <w:r>
        <w:rPr>
          <w:sz w:val="20"/>
          <w:szCs w:val="20"/>
        </w:rPr>
        <w:t xml:space="preserve">Voir notamment Y. </w:t>
      </w:r>
      <w:proofErr w:type="spellStart"/>
      <w:r>
        <w:rPr>
          <w:sz w:val="20"/>
          <w:szCs w:val="20"/>
        </w:rPr>
        <w:t>C</w:t>
      </w:r>
      <w:r w:rsidRPr="00E80691">
        <w:rPr>
          <w:smallCaps/>
          <w:sz w:val="20"/>
          <w:szCs w:val="20"/>
        </w:rPr>
        <w:t>ongar</w:t>
      </w:r>
      <w:proofErr w:type="spellEnd"/>
      <w:r>
        <w:rPr>
          <w:sz w:val="20"/>
          <w:szCs w:val="20"/>
        </w:rPr>
        <w:t xml:space="preserve">, </w:t>
      </w:r>
      <w:r w:rsidRPr="00E80691">
        <w:rPr>
          <w:i/>
          <w:sz w:val="20"/>
          <w:szCs w:val="20"/>
        </w:rPr>
        <w:t>L’Église, une, sainte, catholique et apostolique</w:t>
      </w:r>
      <w:r>
        <w:rPr>
          <w:sz w:val="20"/>
          <w:szCs w:val="20"/>
        </w:rPr>
        <w:t xml:space="preserve"> (</w:t>
      </w:r>
      <w:proofErr w:type="spellStart"/>
      <w:r w:rsidRPr="00E80691">
        <w:rPr>
          <w:i/>
          <w:sz w:val="20"/>
          <w:szCs w:val="20"/>
        </w:rPr>
        <w:t>Mysterium</w:t>
      </w:r>
      <w:proofErr w:type="spellEnd"/>
      <w:r w:rsidRPr="00E80691">
        <w:rPr>
          <w:i/>
          <w:sz w:val="20"/>
          <w:szCs w:val="20"/>
        </w:rPr>
        <w:t xml:space="preserve"> </w:t>
      </w:r>
      <w:proofErr w:type="spellStart"/>
      <w:r w:rsidRPr="00E80691">
        <w:rPr>
          <w:i/>
          <w:sz w:val="20"/>
          <w:szCs w:val="20"/>
        </w:rPr>
        <w:t>salutis</w:t>
      </w:r>
      <w:proofErr w:type="spellEnd"/>
      <w:r>
        <w:rPr>
          <w:sz w:val="20"/>
          <w:szCs w:val="20"/>
        </w:rPr>
        <w:t>. Dogmatique de l’histoire du salut, IV/15), Paris, Cerf, 1970.</w:t>
      </w:r>
    </w:p>
  </w:footnote>
  <w:footnote w:id="49">
    <w:p w14:paraId="6A9CE8ED" w14:textId="0E33F7C0" w:rsidR="00F03D1D" w:rsidRPr="00E80691" w:rsidRDefault="00F03D1D" w:rsidP="00E80691">
      <w:pPr>
        <w:pStyle w:val="Notedebasdepage"/>
        <w:jc w:val="both"/>
        <w:rPr>
          <w:sz w:val="20"/>
          <w:szCs w:val="20"/>
        </w:rPr>
      </w:pPr>
      <w:r w:rsidRPr="00E80691">
        <w:rPr>
          <w:rStyle w:val="Appelnotedebasdep"/>
          <w:sz w:val="20"/>
          <w:szCs w:val="20"/>
        </w:rPr>
        <w:footnoteRef/>
      </w:r>
      <w:r w:rsidRPr="00E80691">
        <w:rPr>
          <w:sz w:val="20"/>
          <w:szCs w:val="20"/>
        </w:rPr>
        <w:t xml:space="preserve"> </w:t>
      </w:r>
      <w:r>
        <w:rPr>
          <w:sz w:val="20"/>
          <w:szCs w:val="20"/>
        </w:rPr>
        <w:t xml:space="preserve">Je pense notamment à Y. </w:t>
      </w:r>
      <w:proofErr w:type="spellStart"/>
      <w:r>
        <w:rPr>
          <w:sz w:val="20"/>
          <w:szCs w:val="20"/>
        </w:rPr>
        <w:t>C</w:t>
      </w:r>
      <w:r w:rsidRPr="00AD2A37">
        <w:rPr>
          <w:smallCaps/>
          <w:sz w:val="20"/>
          <w:szCs w:val="20"/>
        </w:rPr>
        <w:t>ongar</w:t>
      </w:r>
      <w:proofErr w:type="spellEnd"/>
      <w:r>
        <w:rPr>
          <w:sz w:val="20"/>
          <w:szCs w:val="20"/>
        </w:rPr>
        <w:t xml:space="preserve">, </w:t>
      </w:r>
      <w:r w:rsidRPr="00AD2A37">
        <w:rPr>
          <w:i/>
          <w:sz w:val="20"/>
          <w:szCs w:val="20"/>
        </w:rPr>
        <w:t>Un peuple messianique. L’Église, sacrement du salut. Salut et libération</w:t>
      </w:r>
      <w:r>
        <w:rPr>
          <w:sz w:val="20"/>
          <w:szCs w:val="20"/>
        </w:rPr>
        <w:t xml:space="preserve"> (</w:t>
      </w:r>
      <w:proofErr w:type="spellStart"/>
      <w:r>
        <w:rPr>
          <w:sz w:val="20"/>
          <w:szCs w:val="20"/>
        </w:rPr>
        <w:t>Cogitatio</w:t>
      </w:r>
      <w:proofErr w:type="spellEnd"/>
      <w:r>
        <w:rPr>
          <w:sz w:val="20"/>
          <w:szCs w:val="20"/>
        </w:rPr>
        <w:t xml:space="preserve"> </w:t>
      </w:r>
      <w:proofErr w:type="spellStart"/>
      <w:r>
        <w:rPr>
          <w:sz w:val="20"/>
          <w:szCs w:val="20"/>
        </w:rPr>
        <w:t>fidei</w:t>
      </w:r>
      <w:proofErr w:type="spellEnd"/>
      <w:r>
        <w:rPr>
          <w:sz w:val="20"/>
          <w:szCs w:val="20"/>
        </w:rPr>
        <w:t xml:space="preserve">, 85), Paris, Cerf, 1975 (réflexion suscitée par l’apparition de la théologie de libération), à sa trilogie </w:t>
      </w:r>
      <w:r w:rsidRPr="00E65D60">
        <w:rPr>
          <w:i/>
          <w:sz w:val="20"/>
          <w:szCs w:val="20"/>
        </w:rPr>
        <w:t>Je crois en l’Esprit Saint</w:t>
      </w:r>
      <w:r>
        <w:rPr>
          <w:sz w:val="20"/>
          <w:szCs w:val="20"/>
        </w:rPr>
        <w:t xml:space="preserve">, Paris, Cerf, 1979-1980 (recherche pneumatologique appelée par le développement du Renouveau charismatique) et à </w:t>
      </w:r>
      <w:r w:rsidRPr="00FD3AB2">
        <w:rPr>
          <w:i/>
          <w:sz w:val="20"/>
          <w:szCs w:val="20"/>
        </w:rPr>
        <w:t>Diversités et communion</w:t>
      </w:r>
      <w:r>
        <w:rPr>
          <w:sz w:val="20"/>
          <w:szCs w:val="20"/>
        </w:rPr>
        <w:t xml:space="preserve"> déjà évoqué (dernier état de sa pensée œcuménique).</w:t>
      </w:r>
    </w:p>
  </w:footnote>
  <w:footnote w:id="50">
    <w:p w14:paraId="107CA849" w14:textId="689512F9" w:rsidR="00F03D1D" w:rsidRPr="00F03D1D" w:rsidRDefault="00F03D1D" w:rsidP="00F03D1D">
      <w:pPr>
        <w:pStyle w:val="Notedebasdepage"/>
        <w:jc w:val="both"/>
        <w:rPr>
          <w:sz w:val="20"/>
          <w:szCs w:val="20"/>
        </w:rPr>
      </w:pPr>
      <w:r w:rsidRPr="00F03D1D">
        <w:rPr>
          <w:rStyle w:val="Appelnotedebasdep"/>
          <w:sz w:val="20"/>
          <w:szCs w:val="20"/>
        </w:rPr>
        <w:footnoteRef/>
      </w:r>
      <w:r w:rsidRPr="00F03D1D">
        <w:rPr>
          <w:sz w:val="20"/>
          <w:szCs w:val="20"/>
        </w:rPr>
        <w:t xml:space="preserve"> </w:t>
      </w:r>
      <w:r>
        <w:rPr>
          <w:sz w:val="20"/>
          <w:szCs w:val="20"/>
        </w:rPr>
        <w:t xml:space="preserve">Cf. </w:t>
      </w:r>
      <w:r w:rsidRPr="0005092A">
        <w:rPr>
          <w:smallCaps/>
          <w:sz w:val="20"/>
          <w:szCs w:val="20"/>
        </w:rPr>
        <w:t xml:space="preserve">J. Famerée – G. </w:t>
      </w:r>
      <w:proofErr w:type="spellStart"/>
      <w:r w:rsidRPr="0005092A">
        <w:rPr>
          <w:smallCaps/>
          <w:sz w:val="20"/>
          <w:szCs w:val="20"/>
        </w:rPr>
        <w:t>Routhier</w:t>
      </w:r>
      <w:proofErr w:type="spellEnd"/>
      <w:r>
        <w:rPr>
          <w:sz w:val="20"/>
          <w:szCs w:val="20"/>
        </w:rPr>
        <w:t xml:space="preserve">, </w:t>
      </w:r>
      <w:r w:rsidRPr="0005092A">
        <w:rPr>
          <w:i/>
          <w:sz w:val="20"/>
          <w:szCs w:val="20"/>
        </w:rPr>
        <w:t xml:space="preserve">Yves </w:t>
      </w:r>
      <w:proofErr w:type="spellStart"/>
      <w:r w:rsidRPr="0005092A">
        <w:rPr>
          <w:i/>
          <w:sz w:val="20"/>
          <w:szCs w:val="20"/>
        </w:rPr>
        <w:t>Congar</w:t>
      </w:r>
      <w:proofErr w:type="spellEnd"/>
      <w:r>
        <w:rPr>
          <w:sz w:val="20"/>
          <w:szCs w:val="20"/>
        </w:rPr>
        <w:t xml:space="preserve"> (Initiations aux théologiens), Paris, Cerf, 2008, p. 51.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5A2FD" w14:textId="77777777" w:rsidR="00F03D1D" w:rsidRDefault="00F03D1D" w:rsidP="00F03D1D">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061F4B5" w14:textId="77777777" w:rsidR="00F03D1D" w:rsidRDefault="00F03D1D" w:rsidP="00281601">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69E2B" w14:textId="77777777" w:rsidR="00F03D1D" w:rsidRDefault="00F03D1D" w:rsidP="00F03D1D">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E783C">
      <w:rPr>
        <w:rStyle w:val="Numrodepage"/>
        <w:noProof/>
      </w:rPr>
      <w:t>12</w:t>
    </w:r>
    <w:r>
      <w:rPr>
        <w:rStyle w:val="Numrodepage"/>
      </w:rPr>
      <w:fldChar w:fldCharType="end"/>
    </w:r>
  </w:p>
  <w:p w14:paraId="743C4958" w14:textId="77777777" w:rsidR="00F03D1D" w:rsidRDefault="00F03D1D" w:rsidP="00281601">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6876CD"/>
    <w:multiLevelType w:val="hybridMultilevel"/>
    <w:tmpl w:val="8A80B9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EC"/>
    <w:rsid w:val="00000CA2"/>
    <w:rsid w:val="00013F96"/>
    <w:rsid w:val="000325BF"/>
    <w:rsid w:val="00044324"/>
    <w:rsid w:val="0005092A"/>
    <w:rsid w:val="000510A1"/>
    <w:rsid w:val="000516BB"/>
    <w:rsid w:val="00076041"/>
    <w:rsid w:val="000814F3"/>
    <w:rsid w:val="000A7F85"/>
    <w:rsid w:val="000B4EE6"/>
    <w:rsid w:val="000C35BD"/>
    <w:rsid w:val="000E43EF"/>
    <w:rsid w:val="00110322"/>
    <w:rsid w:val="00113551"/>
    <w:rsid w:val="00153A40"/>
    <w:rsid w:val="00156C6E"/>
    <w:rsid w:val="00163EEB"/>
    <w:rsid w:val="00165665"/>
    <w:rsid w:val="00183794"/>
    <w:rsid w:val="001910FE"/>
    <w:rsid w:val="001916CD"/>
    <w:rsid w:val="001A0634"/>
    <w:rsid w:val="001A2ADC"/>
    <w:rsid w:val="001A51DF"/>
    <w:rsid w:val="001A6CB8"/>
    <w:rsid w:val="001B3BDC"/>
    <w:rsid w:val="001B403E"/>
    <w:rsid w:val="001B4D56"/>
    <w:rsid w:val="001B58EC"/>
    <w:rsid w:val="001B79A7"/>
    <w:rsid w:val="001C3AEF"/>
    <w:rsid w:val="001C6F54"/>
    <w:rsid w:val="001D7304"/>
    <w:rsid w:val="001E5857"/>
    <w:rsid w:val="001F3600"/>
    <w:rsid w:val="001F42B9"/>
    <w:rsid w:val="001F65EF"/>
    <w:rsid w:val="00201E05"/>
    <w:rsid w:val="0021009B"/>
    <w:rsid w:val="0021098F"/>
    <w:rsid w:val="00213236"/>
    <w:rsid w:val="0021544E"/>
    <w:rsid w:val="00217AF2"/>
    <w:rsid w:val="0022145D"/>
    <w:rsid w:val="0022307A"/>
    <w:rsid w:val="00224D09"/>
    <w:rsid w:val="002265C5"/>
    <w:rsid w:val="00232976"/>
    <w:rsid w:val="002330FD"/>
    <w:rsid w:val="00233D5D"/>
    <w:rsid w:val="00241C6F"/>
    <w:rsid w:val="00244EC8"/>
    <w:rsid w:val="00245D9D"/>
    <w:rsid w:val="00254747"/>
    <w:rsid w:val="0025787C"/>
    <w:rsid w:val="00262665"/>
    <w:rsid w:val="002629C8"/>
    <w:rsid w:val="00274D9A"/>
    <w:rsid w:val="00280073"/>
    <w:rsid w:val="00281601"/>
    <w:rsid w:val="00285894"/>
    <w:rsid w:val="002954E7"/>
    <w:rsid w:val="002A1C6B"/>
    <w:rsid w:val="002A2023"/>
    <w:rsid w:val="002A5A76"/>
    <w:rsid w:val="002B2A96"/>
    <w:rsid w:val="002B52DB"/>
    <w:rsid w:val="002B6F05"/>
    <w:rsid w:val="002E221C"/>
    <w:rsid w:val="002E4F6D"/>
    <w:rsid w:val="002F6913"/>
    <w:rsid w:val="00314CA3"/>
    <w:rsid w:val="0031677C"/>
    <w:rsid w:val="0031693D"/>
    <w:rsid w:val="00323F2F"/>
    <w:rsid w:val="00343315"/>
    <w:rsid w:val="003469C6"/>
    <w:rsid w:val="00354FBB"/>
    <w:rsid w:val="0035765A"/>
    <w:rsid w:val="00367BBE"/>
    <w:rsid w:val="00371443"/>
    <w:rsid w:val="00377DC3"/>
    <w:rsid w:val="00384494"/>
    <w:rsid w:val="003874CD"/>
    <w:rsid w:val="00391A49"/>
    <w:rsid w:val="003929E3"/>
    <w:rsid w:val="003A01E2"/>
    <w:rsid w:val="003A7336"/>
    <w:rsid w:val="003C1173"/>
    <w:rsid w:val="003D0525"/>
    <w:rsid w:val="003D07EC"/>
    <w:rsid w:val="003D4915"/>
    <w:rsid w:val="003D7279"/>
    <w:rsid w:val="003E533C"/>
    <w:rsid w:val="003E7EAA"/>
    <w:rsid w:val="003F109A"/>
    <w:rsid w:val="0041059D"/>
    <w:rsid w:val="00411C01"/>
    <w:rsid w:val="0041480B"/>
    <w:rsid w:val="0041549A"/>
    <w:rsid w:val="00436F05"/>
    <w:rsid w:val="0044146E"/>
    <w:rsid w:val="0044633E"/>
    <w:rsid w:val="0044745D"/>
    <w:rsid w:val="00452661"/>
    <w:rsid w:val="00473F55"/>
    <w:rsid w:val="00477CE2"/>
    <w:rsid w:val="00482097"/>
    <w:rsid w:val="004848D2"/>
    <w:rsid w:val="00484C9D"/>
    <w:rsid w:val="0048611F"/>
    <w:rsid w:val="00496525"/>
    <w:rsid w:val="004A150C"/>
    <w:rsid w:val="004A7455"/>
    <w:rsid w:val="004B0A71"/>
    <w:rsid w:val="004C0166"/>
    <w:rsid w:val="004C1CE7"/>
    <w:rsid w:val="004D4ED7"/>
    <w:rsid w:val="004D6D09"/>
    <w:rsid w:val="004D7A32"/>
    <w:rsid w:val="004E12A0"/>
    <w:rsid w:val="004E41BE"/>
    <w:rsid w:val="004E4A3B"/>
    <w:rsid w:val="004E783C"/>
    <w:rsid w:val="004F4E87"/>
    <w:rsid w:val="004F7AE7"/>
    <w:rsid w:val="005034DB"/>
    <w:rsid w:val="00504D72"/>
    <w:rsid w:val="005057F1"/>
    <w:rsid w:val="0052197A"/>
    <w:rsid w:val="00523AB6"/>
    <w:rsid w:val="00523D60"/>
    <w:rsid w:val="005320BC"/>
    <w:rsid w:val="00543846"/>
    <w:rsid w:val="005465E5"/>
    <w:rsid w:val="00551331"/>
    <w:rsid w:val="00567EC8"/>
    <w:rsid w:val="005704BB"/>
    <w:rsid w:val="0057261C"/>
    <w:rsid w:val="005779E0"/>
    <w:rsid w:val="00582493"/>
    <w:rsid w:val="005826AB"/>
    <w:rsid w:val="005848EA"/>
    <w:rsid w:val="00587F1F"/>
    <w:rsid w:val="005A77DE"/>
    <w:rsid w:val="005B3617"/>
    <w:rsid w:val="005B7021"/>
    <w:rsid w:val="005C269A"/>
    <w:rsid w:val="005D3520"/>
    <w:rsid w:val="005D4D4D"/>
    <w:rsid w:val="005D61CC"/>
    <w:rsid w:val="00612B1C"/>
    <w:rsid w:val="00614686"/>
    <w:rsid w:val="00614986"/>
    <w:rsid w:val="00622CBD"/>
    <w:rsid w:val="00626B4A"/>
    <w:rsid w:val="00630271"/>
    <w:rsid w:val="00643AC2"/>
    <w:rsid w:val="00644923"/>
    <w:rsid w:val="0064716B"/>
    <w:rsid w:val="00652F1D"/>
    <w:rsid w:val="00655B90"/>
    <w:rsid w:val="00657788"/>
    <w:rsid w:val="006621D0"/>
    <w:rsid w:val="00670D96"/>
    <w:rsid w:val="006760B3"/>
    <w:rsid w:val="00683625"/>
    <w:rsid w:val="00683CE8"/>
    <w:rsid w:val="006854B3"/>
    <w:rsid w:val="00686996"/>
    <w:rsid w:val="00690DDF"/>
    <w:rsid w:val="006925C4"/>
    <w:rsid w:val="00694781"/>
    <w:rsid w:val="006A6301"/>
    <w:rsid w:val="006B30A4"/>
    <w:rsid w:val="006C2284"/>
    <w:rsid w:val="006D0CDB"/>
    <w:rsid w:val="006D5444"/>
    <w:rsid w:val="006D5BD2"/>
    <w:rsid w:val="006D62D9"/>
    <w:rsid w:val="006E3EAA"/>
    <w:rsid w:val="006F143A"/>
    <w:rsid w:val="006F1707"/>
    <w:rsid w:val="006F6B63"/>
    <w:rsid w:val="00701ADC"/>
    <w:rsid w:val="0071246E"/>
    <w:rsid w:val="00714A1F"/>
    <w:rsid w:val="00717B4D"/>
    <w:rsid w:val="00741B7F"/>
    <w:rsid w:val="00765F34"/>
    <w:rsid w:val="00774C35"/>
    <w:rsid w:val="00785505"/>
    <w:rsid w:val="007934D3"/>
    <w:rsid w:val="00794455"/>
    <w:rsid w:val="007973F1"/>
    <w:rsid w:val="007A6303"/>
    <w:rsid w:val="007B081E"/>
    <w:rsid w:val="007B16A0"/>
    <w:rsid w:val="007B18B8"/>
    <w:rsid w:val="007B3DD8"/>
    <w:rsid w:val="007D4F4B"/>
    <w:rsid w:val="007D6FFC"/>
    <w:rsid w:val="007D70F8"/>
    <w:rsid w:val="007F1A4F"/>
    <w:rsid w:val="007F1BA6"/>
    <w:rsid w:val="007F2EEA"/>
    <w:rsid w:val="007F7BB8"/>
    <w:rsid w:val="0080051C"/>
    <w:rsid w:val="00807E98"/>
    <w:rsid w:val="00820356"/>
    <w:rsid w:val="00842F90"/>
    <w:rsid w:val="0085293E"/>
    <w:rsid w:val="00854856"/>
    <w:rsid w:val="00867FE2"/>
    <w:rsid w:val="0087257A"/>
    <w:rsid w:val="0087341F"/>
    <w:rsid w:val="00877F53"/>
    <w:rsid w:val="0088015E"/>
    <w:rsid w:val="0089111E"/>
    <w:rsid w:val="00892D19"/>
    <w:rsid w:val="008A2203"/>
    <w:rsid w:val="008B3FCB"/>
    <w:rsid w:val="008B4870"/>
    <w:rsid w:val="008C1BC0"/>
    <w:rsid w:val="008C1CD2"/>
    <w:rsid w:val="008C3874"/>
    <w:rsid w:val="008D320F"/>
    <w:rsid w:val="008F23B5"/>
    <w:rsid w:val="0091573A"/>
    <w:rsid w:val="009159E1"/>
    <w:rsid w:val="009166F4"/>
    <w:rsid w:val="00920797"/>
    <w:rsid w:val="00920A13"/>
    <w:rsid w:val="00924100"/>
    <w:rsid w:val="009256EA"/>
    <w:rsid w:val="009270E6"/>
    <w:rsid w:val="00927CF7"/>
    <w:rsid w:val="0093056C"/>
    <w:rsid w:val="00933185"/>
    <w:rsid w:val="0093772E"/>
    <w:rsid w:val="0094441C"/>
    <w:rsid w:val="009444F0"/>
    <w:rsid w:val="00950BF7"/>
    <w:rsid w:val="009515B0"/>
    <w:rsid w:val="00951FC7"/>
    <w:rsid w:val="00952D10"/>
    <w:rsid w:val="00955101"/>
    <w:rsid w:val="00965717"/>
    <w:rsid w:val="0099676A"/>
    <w:rsid w:val="009A566F"/>
    <w:rsid w:val="009B4955"/>
    <w:rsid w:val="009B6251"/>
    <w:rsid w:val="009B77F7"/>
    <w:rsid w:val="009B7C4D"/>
    <w:rsid w:val="009C1B0D"/>
    <w:rsid w:val="009C2158"/>
    <w:rsid w:val="009D07DA"/>
    <w:rsid w:val="009D2B28"/>
    <w:rsid w:val="009E19BC"/>
    <w:rsid w:val="009F39DA"/>
    <w:rsid w:val="009F5804"/>
    <w:rsid w:val="00A1439B"/>
    <w:rsid w:val="00A15D0F"/>
    <w:rsid w:val="00A239B1"/>
    <w:rsid w:val="00A276FC"/>
    <w:rsid w:val="00A34EE6"/>
    <w:rsid w:val="00A50A78"/>
    <w:rsid w:val="00A577C4"/>
    <w:rsid w:val="00A60B45"/>
    <w:rsid w:val="00A664A4"/>
    <w:rsid w:val="00A6769D"/>
    <w:rsid w:val="00A71F10"/>
    <w:rsid w:val="00A74334"/>
    <w:rsid w:val="00A901A6"/>
    <w:rsid w:val="00AA24BD"/>
    <w:rsid w:val="00AA5450"/>
    <w:rsid w:val="00AB3D19"/>
    <w:rsid w:val="00AD2A37"/>
    <w:rsid w:val="00AD336F"/>
    <w:rsid w:val="00AE5562"/>
    <w:rsid w:val="00AE5A3F"/>
    <w:rsid w:val="00AF0038"/>
    <w:rsid w:val="00AF07D8"/>
    <w:rsid w:val="00AF119B"/>
    <w:rsid w:val="00AF4DD3"/>
    <w:rsid w:val="00B0371B"/>
    <w:rsid w:val="00B045F3"/>
    <w:rsid w:val="00B0514D"/>
    <w:rsid w:val="00B07110"/>
    <w:rsid w:val="00B23F7F"/>
    <w:rsid w:val="00B25E5E"/>
    <w:rsid w:val="00B27311"/>
    <w:rsid w:val="00B451D9"/>
    <w:rsid w:val="00B50727"/>
    <w:rsid w:val="00B55A84"/>
    <w:rsid w:val="00B618C4"/>
    <w:rsid w:val="00B659F6"/>
    <w:rsid w:val="00B76497"/>
    <w:rsid w:val="00B842F6"/>
    <w:rsid w:val="00B90033"/>
    <w:rsid w:val="00B91E24"/>
    <w:rsid w:val="00BA2C71"/>
    <w:rsid w:val="00BA375B"/>
    <w:rsid w:val="00BA7462"/>
    <w:rsid w:val="00BC24B9"/>
    <w:rsid w:val="00BC44C4"/>
    <w:rsid w:val="00BE1573"/>
    <w:rsid w:val="00BE4720"/>
    <w:rsid w:val="00BE4FDB"/>
    <w:rsid w:val="00BE5A69"/>
    <w:rsid w:val="00BE6FFE"/>
    <w:rsid w:val="00BF3F6B"/>
    <w:rsid w:val="00C015C8"/>
    <w:rsid w:val="00C0433D"/>
    <w:rsid w:val="00C07441"/>
    <w:rsid w:val="00C12D66"/>
    <w:rsid w:val="00C12EC1"/>
    <w:rsid w:val="00C42648"/>
    <w:rsid w:val="00C43409"/>
    <w:rsid w:val="00C45CAA"/>
    <w:rsid w:val="00C57CCC"/>
    <w:rsid w:val="00C83C14"/>
    <w:rsid w:val="00C959AB"/>
    <w:rsid w:val="00CA0274"/>
    <w:rsid w:val="00CA221C"/>
    <w:rsid w:val="00CA30D9"/>
    <w:rsid w:val="00CB11B9"/>
    <w:rsid w:val="00CB1C08"/>
    <w:rsid w:val="00CB76E0"/>
    <w:rsid w:val="00CB7CF0"/>
    <w:rsid w:val="00CE23EE"/>
    <w:rsid w:val="00CE2EED"/>
    <w:rsid w:val="00CE75D2"/>
    <w:rsid w:val="00CF1682"/>
    <w:rsid w:val="00CF53B3"/>
    <w:rsid w:val="00D16185"/>
    <w:rsid w:val="00D31D56"/>
    <w:rsid w:val="00D3783B"/>
    <w:rsid w:val="00D456BB"/>
    <w:rsid w:val="00D54FF6"/>
    <w:rsid w:val="00D64C37"/>
    <w:rsid w:val="00D75C35"/>
    <w:rsid w:val="00D76A28"/>
    <w:rsid w:val="00D76C96"/>
    <w:rsid w:val="00D828BB"/>
    <w:rsid w:val="00D83A2F"/>
    <w:rsid w:val="00D9457C"/>
    <w:rsid w:val="00DB277C"/>
    <w:rsid w:val="00DB43C5"/>
    <w:rsid w:val="00DD0CA4"/>
    <w:rsid w:val="00DD3F19"/>
    <w:rsid w:val="00DE08F8"/>
    <w:rsid w:val="00DE1551"/>
    <w:rsid w:val="00DF77F5"/>
    <w:rsid w:val="00E22A1C"/>
    <w:rsid w:val="00E235D8"/>
    <w:rsid w:val="00E501BB"/>
    <w:rsid w:val="00E567A7"/>
    <w:rsid w:val="00E64ADC"/>
    <w:rsid w:val="00E65D60"/>
    <w:rsid w:val="00E73723"/>
    <w:rsid w:val="00E774A3"/>
    <w:rsid w:val="00E77E7D"/>
    <w:rsid w:val="00E80691"/>
    <w:rsid w:val="00E8745A"/>
    <w:rsid w:val="00E9075C"/>
    <w:rsid w:val="00EA4680"/>
    <w:rsid w:val="00EA67EB"/>
    <w:rsid w:val="00EA7095"/>
    <w:rsid w:val="00EB1736"/>
    <w:rsid w:val="00EB22F8"/>
    <w:rsid w:val="00EB509C"/>
    <w:rsid w:val="00ED2E27"/>
    <w:rsid w:val="00EE36A3"/>
    <w:rsid w:val="00EE530E"/>
    <w:rsid w:val="00EE659E"/>
    <w:rsid w:val="00EF1750"/>
    <w:rsid w:val="00EF1D7B"/>
    <w:rsid w:val="00F03D1D"/>
    <w:rsid w:val="00F14AE2"/>
    <w:rsid w:val="00F20215"/>
    <w:rsid w:val="00F22E86"/>
    <w:rsid w:val="00F275B0"/>
    <w:rsid w:val="00F32274"/>
    <w:rsid w:val="00F33601"/>
    <w:rsid w:val="00F42A5C"/>
    <w:rsid w:val="00F4661C"/>
    <w:rsid w:val="00F52539"/>
    <w:rsid w:val="00F52F60"/>
    <w:rsid w:val="00F57AEF"/>
    <w:rsid w:val="00F65838"/>
    <w:rsid w:val="00F72033"/>
    <w:rsid w:val="00F74C02"/>
    <w:rsid w:val="00F74E13"/>
    <w:rsid w:val="00F812A3"/>
    <w:rsid w:val="00F86D5F"/>
    <w:rsid w:val="00FA24B0"/>
    <w:rsid w:val="00FB7C38"/>
    <w:rsid w:val="00FC0791"/>
    <w:rsid w:val="00FC75DB"/>
    <w:rsid w:val="00FD3AB2"/>
    <w:rsid w:val="00FD4513"/>
    <w:rsid w:val="00FE081C"/>
    <w:rsid w:val="00FE327C"/>
    <w:rsid w:val="00FF1126"/>
    <w:rsid w:val="00FF5F4A"/>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FAE11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D07EC"/>
    <w:pPr>
      <w:tabs>
        <w:tab w:val="center" w:pos="4536"/>
        <w:tab w:val="right" w:pos="9072"/>
      </w:tabs>
    </w:pPr>
  </w:style>
  <w:style w:type="character" w:customStyle="1" w:styleId="En-tteCar">
    <w:name w:val="En-tête Car"/>
    <w:basedOn w:val="Policepardfaut"/>
    <w:link w:val="En-tte"/>
    <w:uiPriority w:val="99"/>
    <w:rsid w:val="003D07EC"/>
  </w:style>
  <w:style w:type="paragraph" w:styleId="Pieddepage">
    <w:name w:val="footer"/>
    <w:basedOn w:val="Normal"/>
    <w:link w:val="PieddepageCar"/>
    <w:uiPriority w:val="99"/>
    <w:unhideWhenUsed/>
    <w:rsid w:val="003D07EC"/>
    <w:pPr>
      <w:tabs>
        <w:tab w:val="center" w:pos="4536"/>
        <w:tab w:val="right" w:pos="9072"/>
      </w:tabs>
    </w:pPr>
  </w:style>
  <w:style w:type="character" w:customStyle="1" w:styleId="PieddepageCar">
    <w:name w:val="Pied de page Car"/>
    <w:basedOn w:val="Policepardfaut"/>
    <w:link w:val="Pieddepage"/>
    <w:uiPriority w:val="99"/>
    <w:rsid w:val="003D07EC"/>
  </w:style>
  <w:style w:type="paragraph" w:styleId="Pardeliste">
    <w:name w:val="List Paragraph"/>
    <w:basedOn w:val="Normal"/>
    <w:uiPriority w:val="34"/>
    <w:qFormat/>
    <w:rsid w:val="004E12A0"/>
    <w:pPr>
      <w:ind w:left="720"/>
      <w:contextualSpacing/>
    </w:pPr>
  </w:style>
  <w:style w:type="paragraph" w:styleId="Notedebasdepage">
    <w:name w:val="footnote text"/>
    <w:basedOn w:val="Normal"/>
    <w:link w:val="NotedebasdepageCar"/>
    <w:uiPriority w:val="99"/>
    <w:unhideWhenUsed/>
    <w:rsid w:val="004B0A71"/>
  </w:style>
  <w:style w:type="character" w:customStyle="1" w:styleId="NotedebasdepageCar">
    <w:name w:val="Note de bas de page Car"/>
    <w:basedOn w:val="Policepardfaut"/>
    <w:link w:val="Notedebasdepage"/>
    <w:uiPriority w:val="99"/>
    <w:rsid w:val="004B0A71"/>
  </w:style>
  <w:style w:type="character" w:styleId="Appelnotedebasdep">
    <w:name w:val="footnote reference"/>
    <w:basedOn w:val="Policepardfaut"/>
    <w:uiPriority w:val="99"/>
    <w:unhideWhenUsed/>
    <w:rsid w:val="004B0A71"/>
    <w:rPr>
      <w:vertAlign w:val="superscript"/>
    </w:rPr>
  </w:style>
  <w:style w:type="character" w:styleId="Numrodepage">
    <w:name w:val="page number"/>
    <w:basedOn w:val="Policepardfaut"/>
    <w:uiPriority w:val="99"/>
    <w:semiHidden/>
    <w:unhideWhenUsed/>
    <w:rsid w:val="0028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1005</TotalTime>
  <Pages>12</Pages>
  <Words>4318</Words>
  <Characters>23191</Characters>
  <Application>Microsoft Macintosh Word</Application>
  <DocSecurity>0</DocSecurity>
  <Lines>331</Lines>
  <Paragraphs>39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27470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Famerée</dc:creator>
  <cp:keywords/>
  <dc:description/>
  <cp:lastModifiedBy>Joseph Famerée</cp:lastModifiedBy>
  <cp:revision>103</cp:revision>
  <cp:lastPrinted>2020-07-01T15:14:00Z</cp:lastPrinted>
  <dcterms:created xsi:type="dcterms:W3CDTF">2020-06-26T10:11:00Z</dcterms:created>
  <dcterms:modified xsi:type="dcterms:W3CDTF">2020-07-02T12:51:00Z</dcterms:modified>
</cp:coreProperties>
</file>